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46CBA" w14:textId="77777777" w:rsidR="006A2D0F" w:rsidRPr="006A2D0F" w:rsidRDefault="00170B62" w:rsidP="006A2D0F">
      <w:pPr>
        <w:pStyle w:val="Heading1"/>
        <w:jc w:val="center"/>
        <w:rPr>
          <w:rFonts w:ascii="Times New Roman" w:hAnsi="Times New Roman"/>
          <w:b/>
          <w:color w:val="auto"/>
          <w:sz w:val="24"/>
          <w:szCs w:val="24"/>
          <w:lang w:val="en-GB"/>
        </w:rPr>
      </w:pPr>
      <w:bookmarkStart w:id="0" w:name="_Toc6067"/>
      <w:bookmarkStart w:id="1" w:name="_Toc19052"/>
      <w:bookmarkStart w:id="2" w:name="_Toc22699"/>
      <w:bookmarkStart w:id="3" w:name="_Toc18040"/>
      <w:bookmarkStart w:id="4" w:name="_Toc18897"/>
      <w:bookmarkStart w:id="5" w:name="_Toc185847117"/>
      <w:bookmarkStart w:id="6" w:name="_Toc9228"/>
      <w:bookmarkStart w:id="7" w:name="_Toc16433"/>
      <w:bookmarkStart w:id="8" w:name="_Toc16361"/>
      <w:bookmarkStart w:id="9" w:name="_Toc19298"/>
      <w:bookmarkStart w:id="10" w:name="_Toc207656703"/>
      <w:bookmarkStart w:id="11" w:name="_Toc20301"/>
      <w:r w:rsidRPr="00511F98">
        <w:rPr>
          <w:rFonts w:ascii="Times New Roman" w:hAnsi="Times New Roman"/>
          <w:b/>
          <w:color w:val="auto"/>
          <w:sz w:val="24"/>
          <w:szCs w:val="24"/>
        </w:rPr>
        <w:t xml:space="preserve">Macroeconomic Determinants </w:t>
      </w:r>
      <w:r w:rsidRPr="00511F98">
        <w:rPr>
          <w:rFonts w:ascii="Times New Roman" w:hAnsi="Times New Roman"/>
          <w:b/>
          <w:color w:val="auto"/>
          <w:sz w:val="24"/>
          <w:szCs w:val="24"/>
          <w:lang w:val="en-GB"/>
        </w:rPr>
        <w:t>o</w:t>
      </w:r>
      <w:r w:rsidRPr="00511F98">
        <w:rPr>
          <w:rFonts w:ascii="Times New Roman" w:hAnsi="Times New Roman"/>
          <w:b/>
          <w:color w:val="auto"/>
          <w:sz w:val="24"/>
          <w:szCs w:val="24"/>
        </w:rPr>
        <w:t xml:space="preserve">f </w:t>
      </w:r>
      <w:r w:rsidR="00C53A32" w:rsidRPr="00511F98">
        <w:rPr>
          <w:rFonts w:ascii="Times New Roman" w:hAnsi="Times New Roman"/>
          <w:b/>
          <w:color w:val="auto"/>
          <w:sz w:val="24"/>
          <w:szCs w:val="24"/>
          <w:lang w:val="en-GB"/>
        </w:rPr>
        <w:t>County Government</w:t>
      </w:r>
      <w:r w:rsidRPr="00511F98">
        <w:rPr>
          <w:rFonts w:ascii="Times New Roman" w:hAnsi="Times New Roman"/>
          <w:b/>
          <w:color w:val="auto"/>
          <w:sz w:val="24"/>
          <w:szCs w:val="24"/>
        </w:rPr>
        <w:t xml:space="preserve"> </w:t>
      </w:r>
      <w:r w:rsidR="00C53A32" w:rsidRPr="00511F98">
        <w:rPr>
          <w:rFonts w:ascii="Times New Roman" w:eastAsia="Calibri" w:hAnsi="Times New Roman"/>
          <w:b/>
          <w:color w:val="auto"/>
          <w:sz w:val="24"/>
          <w:szCs w:val="24"/>
          <w:lang w:val="en-GB"/>
        </w:rPr>
        <w:t>Debt</w:t>
      </w:r>
      <w:r w:rsidRPr="00511F98">
        <w:rPr>
          <w:rFonts w:ascii="Times New Roman" w:eastAsia="Calibri" w:hAnsi="Times New Roman"/>
          <w:b/>
          <w:color w:val="auto"/>
          <w:sz w:val="24"/>
          <w:szCs w:val="24"/>
        </w:rPr>
        <w:t xml:space="preserve"> </w:t>
      </w:r>
      <w:r w:rsidR="00CB762A" w:rsidRPr="00511F98">
        <w:rPr>
          <w:rFonts w:ascii="Times New Roman" w:hAnsi="Times New Roman"/>
          <w:b/>
          <w:color w:val="auto"/>
          <w:sz w:val="24"/>
          <w:szCs w:val="24"/>
          <w:lang w:val="en-GB"/>
        </w:rPr>
        <w:t>Accumulation</w:t>
      </w:r>
      <w:r w:rsidRPr="00511F98">
        <w:rPr>
          <w:rFonts w:ascii="Times New Roman" w:hAnsi="Times New Roman"/>
          <w:b/>
          <w:color w:val="auto"/>
          <w:sz w:val="24"/>
          <w:szCs w:val="24"/>
        </w:rPr>
        <w:t xml:space="preserve"> </w:t>
      </w:r>
      <w:r w:rsidR="007424B2" w:rsidRPr="00511F98">
        <w:rPr>
          <w:rFonts w:ascii="Times New Roman" w:hAnsi="Times New Roman"/>
          <w:b/>
          <w:color w:val="auto"/>
          <w:sz w:val="24"/>
          <w:szCs w:val="24"/>
          <w:lang w:val="en-GB"/>
        </w:rPr>
        <w:t xml:space="preserve">in </w:t>
      </w:r>
      <w:r w:rsidRPr="00511F98">
        <w:rPr>
          <w:rFonts w:ascii="Times New Roman" w:hAnsi="Times New Roman"/>
          <w:b/>
          <w:color w:val="auto"/>
          <w:sz w:val="24"/>
          <w:szCs w:val="24"/>
          <w:lang w:val="en-GB"/>
        </w:rPr>
        <w:t>Kenya</w:t>
      </w:r>
      <w:r w:rsidR="008516DB" w:rsidRPr="00511F98">
        <w:rPr>
          <w:rFonts w:ascii="Times New Roman" w:hAnsi="Times New Roman"/>
          <w:b/>
          <w:color w:val="auto"/>
          <w:sz w:val="24"/>
          <w:szCs w:val="24"/>
          <w:lang w:val="en-GB"/>
        </w:rPr>
        <w:t>: Post-COVID-</w:t>
      </w:r>
      <w:r w:rsidRPr="00511F98">
        <w:rPr>
          <w:rFonts w:ascii="Times New Roman" w:hAnsi="Times New Roman"/>
          <w:b/>
          <w:color w:val="auto"/>
          <w:sz w:val="24"/>
          <w:szCs w:val="24"/>
          <w:lang w:val="en-GB"/>
        </w:rPr>
        <w:t>19</w:t>
      </w:r>
      <w:r w:rsidR="008516DB" w:rsidRPr="00511F98">
        <w:rPr>
          <w:rFonts w:ascii="Times New Roman" w:hAnsi="Times New Roman"/>
          <w:b/>
          <w:color w:val="auto"/>
          <w:sz w:val="24"/>
          <w:szCs w:val="24"/>
          <w:lang w:val="en-GB"/>
        </w:rPr>
        <w:t xml:space="preserve"> era</w:t>
      </w:r>
    </w:p>
    <w:p w14:paraId="263C17A7" w14:textId="77777777" w:rsidR="006A2D0F" w:rsidRDefault="006A2D0F" w:rsidP="006059B5">
      <w:pPr>
        <w:spacing w:before="0" w:beforeAutospacing="0" w:after="0" w:line="480" w:lineRule="auto"/>
        <w:jc w:val="center"/>
        <w:rPr>
          <w:lang w:val="en-GB"/>
        </w:rPr>
      </w:pPr>
    </w:p>
    <w:p w14:paraId="05C5600E" w14:textId="77777777" w:rsidR="001635A6" w:rsidRPr="002E6D8F" w:rsidRDefault="001635A6">
      <w:pPr>
        <w:pStyle w:val="Heading1"/>
        <w:spacing w:before="0" w:line="240" w:lineRule="auto"/>
        <w:jc w:val="center"/>
        <w:rPr>
          <w:rFonts w:ascii="Times New Roman" w:hAnsi="Times New Roman"/>
          <w:color w:val="auto"/>
          <w:sz w:val="24"/>
          <w:szCs w:val="24"/>
          <w:lang w:val="en-GB"/>
        </w:rPr>
      </w:pPr>
      <w:bookmarkStart w:id="12" w:name="_GoBack"/>
      <w:bookmarkEnd w:id="12"/>
    </w:p>
    <w:p w14:paraId="0002B376" w14:textId="77777777" w:rsidR="00E14DEA" w:rsidRPr="002E6D8F" w:rsidRDefault="00170B62" w:rsidP="00E14DEA">
      <w:pPr>
        <w:pStyle w:val="Heading1"/>
        <w:spacing w:before="0" w:after="240" w:line="240" w:lineRule="auto"/>
        <w:rPr>
          <w:rFonts w:ascii="Times New Roman" w:hAnsi="Times New Roman"/>
          <w:b/>
          <w:bCs/>
          <w:color w:val="auto"/>
          <w:sz w:val="24"/>
          <w:szCs w:val="24"/>
          <w:lang w:val="en-GB"/>
        </w:rPr>
      </w:pPr>
      <w:r w:rsidRPr="002E6D8F">
        <w:rPr>
          <w:rFonts w:ascii="Times New Roman" w:hAnsi="Times New Roman"/>
          <w:b/>
          <w:bCs/>
          <w:color w:val="auto"/>
          <w:sz w:val="24"/>
          <w:szCs w:val="24"/>
        </w:rPr>
        <w:t>Abstract</w:t>
      </w:r>
      <w:bookmarkEnd w:id="0"/>
      <w:bookmarkEnd w:id="1"/>
      <w:bookmarkEnd w:id="2"/>
      <w:bookmarkEnd w:id="3"/>
      <w:bookmarkEnd w:id="4"/>
      <w:bookmarkEnd w:id="5"/>
      <w:bookmarkEnd w:id="6"/>
      <w:bookmarkEnd w:id="7"/>
      <w:bookmarkEnd w:id="8"/>
      <w:bookmarkEnd w:id="9"/>
      <w:bookmarkEnd w:id="10"/>
      <w:bookmarkEnd w:id="11"/>
    </w:p>
    <w:p w14:paraId="02AB6D16" w14:textId="77777777" w:rsidR="007424B2" w:rsidRPr="002E6D8F" w:rsidRDefault="00170B62" w:rsidP="007424B2">
      <w:pPr>
        <w:spacing w:before="0" w:beforeAutospacing="0" w:line="240" w:lineRule="auto"/>
        <w:jc w:val="both"/>
        <w:rPr>
          <w:rFonts w:eastAsia="Calibri"/>
          <w:sz w:val="24"/>
          <w:szCs w:val="24"/>
          <w:lang w:val="en-US"/>
        </w:rPr>
      </w:pPr>
      <w:r w:rsidRPr="002E6D8F">
        <w:rPr>
          <w:sz w:val="24"/>
          <w:szCs w:val="24"/>
          <w:lang w:val="en-GB" w:eastAsia="en-GB"/>
        </w:rPr>
        <w:t>The indebtedness of county governments in Kenya has played a crucial role in shaping post-pandemic economic stability and development, influenced by various macroeconomic factors. While borrowing provided necessary support for county operations and resilience during the COVID-19 pandemic, it also heightened fiscal vulnerabilities, such as declining tax revenue, rising levels of corruption, and increased reliance on credit. Many counties found themselves trapped in a debt cycle exacerbated by high-interest loans. This study examined the effects of economic growth, tax revenue, government expenditure, and corruption levels on the indebtedness of county governments in post-COVID-19 Kenya. It was grounded in the theory of debt accumulation and utilised a fixed effects regression model. The results of the model revealed that government expenditure (β = 0.1724, p &lt; 0.01) and the corruption rate (β = 0.2611, p &lt; 0.01) had significant positive effects on indebtedness. Tax revenue also had a significant positive effect (β = 0.2982, p &lt; 0.01), while economic growth was statistically insignificant (β = -0.0284, p = 0.099). The study concludes that excessive government spending and corruption are the main drivers of county indebtedness in the post-COVID-19 period. It recommends enhancing fiscal discipline, enforcing strict expenditure controls, strengthening anti-corruption measures, and improving the mobilisation of own-source revenue to reduce reliance on debt and ensure sustainable financing for counties.</w:t>
      </w:r>
    </w:p>
    <w:p w14:paraId="05848432" w14:textId="77777777" w:rsidR="006059B5" w:rsidRPr="002E6D8F" w:rsidRDefault="00170B62" w:rsidP="001635A6">
      <w:pPr>
        <w:rPr>
          <w:rStyle w:val="katex-mathml"/>
          <w:sz w:val="24"/>
          <w:szCs w:val="24"/>
        </w:rPr>
      </w:pPr>
      <w:r w:rsidRPr="00A81DF9">
        <w:rPr>
          <w:rStyle w:val="katex-mathml"/>
          <w:b/>
          <w:sz w:val="24"/>
          <w:szCs w:val="24"/>
        </w:rPr>
        <w:t>Keywords</w:t>
      </w:r>
      <w:r w:rsidRPr="002E6D8F">
        <w:rPr>
          <w:rStyle w:val="katex-mathml"/>
          <w:sz w:val="24"/>
          <w:szCs w:val="24"/>
        </w:rPr>
        <w:t xml:space="preserve">:  </w:t>
      </w:r>
      <w:r w:rsidR="00923815" w:rsidRPr="002E6D8F">
        <w:rPr>
          <w:rFonts w:eastAsia="Calibri"/>
          <w:sz w:val="24"/>
          <w:szCs w:val="24"/>
        </w:rPr>
        <w:t>Indebtedness</w:t>
      </w:r>
      <w:r w:rsidRPr="002E6D8F">
        <w:rPr>
          <w:rStyle w:val="katex-mathml"/>
          <w:sz w:val="24"/>
          <w:szCs w:val="24"/>
          <w:lang w:val="en-GB"/>
        </w:rPr>
        <w:t xml:space="preserve">; </w:t>
      </w:r>
      <w:r w:rsidRPr="002E6D8F">
        <w:rPr>
          <w:rStyle w:val="katex-mathml"/>
          <w:sz w:val="24"/>
          <w:szCs w:val="24"/>
        </w:rPr>
        <w:t xml:space="preserve">  </w:t>
      </w:r>
      <w:hyperlink r:id="rId9" w:history="1">
        <w:r w:rsidRPr="002E6D8F">
          <w:rPr>
            <w:rStyle w:val="katex-mathml"/>
            <w:sz w:val="24"/>
            <w:szCs w:val="24"/>
          </w:rPr>
          <w:t>macroeconomic determinants</w:t>
        </w:r>
      </w:hyperlink>
      <w:r w:rsidRPr="002E6D8F">
        <w:rPr>
          <w:rStyle w:val="katex-mathml"/>
          <w:sz w:val="24"/>
          <w:szCs w:val="24"/>
        </w:rPr>
        <w:t xml:space="preserve">; Kenya; OLS; </w:t>
      </w:r>
    </w:p>
    <w:p w14:paraId="47D02A1A" w14:textId="77777777" w:rsidR="007C2944" w:rsidRPr="002E6D8F" w:rsidRDefault="00170B62" w:rsidP="00F61956">
      <w:pPr>
        <w:pStyle w:val="Heading1"/>
        <w:spacing w:after="240" w:line="360" w:lineRule="auto"/>
        <w:rPr>
          <w:rFonts w:ascii="Times New Roman" w:hAnsi="Times New Roman"/>
          <w:b/>
          <w:bCs/>
          <w:color w:val="auto"/>
          <w:sz w:val="24"/>
          <w:szCs w:val="24"/>
        </w:rPr>
      </w:pPr>
      <w:bookmarkStart w:id="13" w:name="_Toc2482"/>
      <w:bookmarkStart w:id="14" w:name="_Toc4520"/>
      <w:bookmarkStart w:id="15" w:name="_Toc185847122"/>
      <w:bookmarkStart w:id="16" w:name="_Toc6187"/>
      <w:bookmarkStart w:id="17" w:name="_Toc22594"/>
      <w:bookmarkStart w:id="18" w:name="_Toc22306"/>
      <w:bookmarkStart w:id="19" w:name="_Toc2340"/>
      <w:bookmarkStart w:id="20" w:name="_Toc207656709"/>
      <w:bookmarkStart w:id="21" w:name="_Toc7554"/>
      <w:bookmarkStart w:id="22" w:name="_Toc23074"/>
      <w:bookmarkStart w:id="23" w:name="_Toc23159"/>
      <w:bookmarkStart w:id="24" w:name="_Toc28191"/>
      <w:r w:rsidRPr="002E6D8F">
        <w:rPr>
          <w:rFonts w:ascii="Times New Roman" w:hAnsi="Times New Roman"/>
          <w:b/>
          <w:bCs/>
          <w:color w:val="auto"/>
          <w:sz w:val="24"/>
          <w:szCs w:val="24"/>
          <w:lang w:val="en-GB"/>
        </w:rPr>
        <w:t xml:space="preserve">1 </w:t>
      </w:r>
      <w:r w:rsidRPr="002E6D8F">
        <w:rPr>
          <w:rFonts w:ascii="Times New Roman" w:hAnsi="Times New Roman"/>
          <w:b/>
          <w:bCs/>
          <w:color w:val="auto"/>
          <w:sz w:val="24"/>
          <w:szCs w:val="24"/>
        </w:rPr>
        <w:t>Introduction</w:t>
      </w:r>
      <w:bookmarkEnd w:id="13"/>
      <w:bookmarkEnd w:id="14"/>
      <w:bookmarkEnd w:id="15"/>
      <w:bookmarkEnd w:id="16"/>
      <w:bookmarkEnd w:id="17"/>
      <w:bookmarkEnd w:id="18"/>
      <w:bookmarkEnd w:id="19"/>
      <w:bookmarkEnd w:id="20"/>
      <w:bookmarkEnd w:id="21"/>
      <w:bookmarkEnd w:id="22"/>
      <w:bookmarkEnd w:id="23"/>
      <w:bookmarkEnd w:id="24"/>
    </w:p>
    <w:p w14:paraId="17EBF58D" w14:textId="77777777" w:rsidR="007C2944" w:rsidRPr="002E6D8F" w:rsidRDefault="00170B62">
      <w:pPr>
        <w:spacing w:before="0" w:beforeAutospacing="0" w:after="0" w:line="360" w:lineRule="auto"/>
        <w:jc w:val="both"/>
        <w:rPr>
          <w:rFonts w:eastAsia="Calibri"/>
          <w:sz w:val="24"/>
          <w:szCs w:val="24"/>
          <w:lang w:val="en-US"/>
        </w:rPr>
      </w:pPr>
      <w:bookmarkStart w:id="25" w:name="_Toc31747"/>
      <w:bookmarkStart w:id="26" w:name="_Toc3114"/>
      <w:bookmarkStart w:id="27" w:name="_Toc25293"/>
      <w:bookmarkStart w:id="28" w:name="_Toc185847125"/>
      <w:bookmarkStart w:id="29" w:name="_Toc30870"/>
      <w:bookmarkStart w:id="30" w:name="_Toc18674"/>
      <w:bookmarkStart w:id="31" w:name="_Toc4313"/>
      <w:bookmarkStart w:id="32" w:name="_Toc11994"/>
      <w:r w:rsidRPr="002E6D8F">
        <w:rPr>
          <w:rFonts w:eastAsia="Calibri"/>
          <w:sz w:val="24"/>
          <w:szCs w:val="24"/>
          <w:lang w:val="en-US"/>
        </w:rPr>
        <w:t xml:space="preserve">Government borrowing is a fundamental aspect of public finance, enabling countries to fund expenditures that enhance economic growth and national welfare. Public debt management aims to balance financing needs with sustainability by </w:t>
      </w:r>
      <w:proofErr w:type="spellStart"/>
      <w:r w:rsidRPr="002E6D8F">
        <w:rPr>
          <w:rFonts w:eastAsia="Calibri"/>
          <w:sz w:val="24"/>
          <w:szCs w:val="24"/>
          <w:lang w:val="en-US"/>
        </w:rPr>
        <w:t>minimising</w:t>
      </w:r>
      <w:proofErr w:type="spellEnd"/>
      <w:r w:rsidRPr="002E6D8F">
        <w:rPr>
          <w:rFonts w:eastAsia="Calibri"/>
          <w:sz w:val="24"/>
          <w:szCs w:val="24"/>
          <w:lang w:val="en-US"/>
        </w:rPr>
        <w:t xml:space="preserve"> costs and mitigating risks (</w:t>
      </w:r>
      <w:proofErr w:type="spellStart"/>
      <w:r w:rsidRPr="002E6D8F">
        <w:rPr>
          <w:rFonts w:eastAsia="Calibri"/>
          <w:sz w:val="24"/>
          <w:szCs w:val="24"/>
          <w:lang w:val="en-US"/>
        </w:rPr>
        <w:t>Melecky</w:t>
      </w:r>
      <w:proofErr w:type="spellEnd"/>
      <w:r w:rsidRPr="002E6D8F">
        <w:rPr>
          <w:rFonts w:eastAsia="Calibri"/>
          <w:sz w:val="24"/>
          <w:szCs w:val="24"/>
          <w:lang w:val="en-US"/>
        </w:rPr>
        <w:t xml:space="preserve">, 2007). In the aftermath of the 2008–2009 global financial crisis, many </w:t>
      </w:r>
      <w:r w:rsidR="00590B53" w:rsidRPr="002E6D8F">
        <w:rPr>
          <w:rFonts w:eastAsia="Calibri"/>
          <w:sz w:val="24"/>
          <w:szCs w:val="24"/>
          <w:lang w:val="en-US"/>
        </w:rPr>
        <w:t xml:space="preserve">national and subnational </w:t>
      </w:r>
      <w:r w:rsidRPr="002E6D8F">
        <w:rPr>
          <w:rFonts w:eastAsia="Calibri"/>
          <w:sz w:val="24"/>
          <w:szCs w:val="24"/>
          <w:lang w:val="en-US"/>
        </w:rPr>
        <w:t xml:space="preserve">governments increased borrowing to </w:t>
      </w:r>
      <w:proofErr w:type="spellStart"/>
      <w:r w:rsidRPr="002E6D8F">
        <w:rPr>
          <w:rFonts w:eastAsia="Calibri"/>
          <w:sz w:val="24"/>
          <w:szCs w:val="24"/>
          <w:lang w:val="en-US"/>
        </w:rPr>
        <w:t>stabilise</w:t>
      </w:r>
      <w:proofErr w:type="spellEnd"/>
      <w:r w:rsidRPr="002E6D8F">
        <w:rPr>
          <w:rFonts w:eastAsia="Calibri"/>
          <w:sz w:val="24"/>
          <w:szCs w:val="24"/>
          <w:lang w:val="en-US"/>
        </w:rPr>
        <w:t xml:space="preserve"> their economies. The COVID-19 pandemic further amplified debt vulnerabilities, compelling governments to implement large-scale fiscal interventions such as direct financial support, stimulus packages, and low-interest credit facilities (World Bank, 2022). These measures, while necessary for economic recovery, resulted in a substantial increase in government debt levels globally, raising concerns about long-term debt sustainability (IMF, 2023).</w:t>
      </w:r>
    </w:p>
    <w:p w14:paraId="5237E775" w14:textId="77777777" w:rsidR="007C2944" w:rsidRPr="002E6D8F" w:rsidRDefault="00170B62">
      <w:pPr>
        <w:spacing w:before="240" w:beforeAutospacing="0" w:after="0" w:line="360" w:lineRule="auto"/>
        <w:jc w:val="both"/>
        <w:rPr>
          <w:sz w:val="24"/>
          <w:szCs w:val="24"/>
          <w:lang w:val="en-US"/>
        </w:rPr>
      </w:pPr>
      <w:r w:rsidRPr="002E6D8F">
        <w:rPr>
          <w:rFonts w:eastAsia="Calibri"/>
          <w:sz w:val="24"/>
          <w:szCs w:val="24"/>
          <w:lang w:val="en-US"/>
        </w:rPr>
        <w:lastRenderedPageBreak/>
        <w:t xml:space="preserve">Kenya's debt levels remain relatively high compared to other emerging and newly </w:t>
      </w:r>
      <w:proofErr w:type="spellStart"/>
      <w:r w:rsidRPr="002E6D8F">
        <w:rPr>
          <w:rFonts w:eastAsia="Calibri"/>
          <w:sz w:val="24"/>
          <w:szCs w:val="24"/>
          <w:lang w:val="en-US"/>
        </w:rPr>
        <w:t>industrialised</w:t>
      </w:r>
      <w:proofErr w:type="spellEnd"/>
      <w:r w:rsidRPr="002E6D8F">
        <w:rPr>
          <w:rFonts w:eastAsia="Calibri"/>
          <w:sz w:val="24"/>
          <w:szCs w:val="24"/>
          <w:lang w:val="en-US"/>
        </w:rPr>
        <w:t xml:space="preserve"> economies (</w:t>
      </w:r>
      <w:r w:rsidRPr="002E6D8F">
        <w:rPr>
          <w:rFonts w:eastAsia="SimSun"/>
          <w:sz w:val="24"/>
          <w:szCs w:val="24"/>
        </w:rPr>
        <w:t>World Bank</w:t>
      </w:r>
      <w:r w:rsidRPr="002E6D8F">
        <w:rPr>
          <w:rFonts w:eastAsia="SimSun"/>
          <w:sz w:val="24"/>
          <w:szCs w:val="24"/>
          <w:lang w:val="en-US"/>
        </w:rPr>
        <w:t xml:space="preserve">, </w:t>
      </w:r>
      <w:r w:rsidR="000F6CF6" w:rsidRPr="002E6D8F">
        <w:rPr>
          <w:rFonts w:eastAsia="SimSun"/>
          <w:sz w:val="24"/>
          <w:szCs w:val="24"/>
        </w:rPr>
        <w:t>202</w:t>
      </w:r>
      <w:r w:rsidR="000F6CF6" w:rsidRPr="002E6D8F">
        <w:rPr>
          <w:rFonts w:eastAsia="SimSun"/>
          <w:sz w:val="24"/>
          <w:szCs w:val="24"/>
          <w:lang w:val="en-GB"/>
        </w:rPr>
        <w:t>3</w:t>
      </w:r>
      <w:r w:rsidRPr="002E6D8F">
        <w:rPr>
          <w:rFonts w:eastAsia="SimSun"/>
          <w:sz w:val="24"/>
          <w:szCs w:val="24"/>
        </w:rPr>
        <w:t>)</w:t>
      </w:r>
      <w:r w:rsidRPr="002E6D8F">
        <w:rPr>
          <w:rFonts w:eastAsia="Calibri"/>
          <w:sz w:val="24"/>
          <w:szCs w:val="24"/>
          <w:lang w:val="en-US"/>
        </w:rPr>
        <w:t xml:space="preserve">. However, the country has made notable progress in </w:t>
      </w:r>
      <w:proofErr w:type="spellStart"/>
      <w:r w:rsidRPr="002E6D8F">
        <w:rPr>
          <w:rFonts w:eastAsia="Calibri"/>
          <w:sz w:val="24"/>
          <w:szCs w:val="24"/>
          <w:lang w:val="en-US"/>
        </w:rPr>
        <w:t>mobilising</w:t>
      </w:r>
      <w:proofErr w:type="spellEnd"/>
      <w:r w:rsidRPr="002E6D8F">
        <w:rPr>
          <w:rFonts w:eastAsia="Calibri"/>
          <w:sz w:val="24"/>
          <w:szCs w:val="24"/>
          <w:lang w:val="en-US"/>
        </w:rPr>
        <w:t xml:space="preserve"> domestic revenue to finance its expenditures, aiming to reduce reliance on external and internal borrowing. In particular, the recurrent expenditure in Kenya is fully financed through domestic revenue, signifying the government's efforts to </w:t>
      </w:r>
      <w:proofErr w:type="spellStart"/>
      <w:r w:rsidRPr="002E6D8F">
        <w:rPr>
          <w:rFonts w:eastAsia="Calibri"/>
          <w:sz w:val="24"/>
          <w:szCs w:val="24"/>
          <w:lang w:val="en-US"/>
        </w:rPr>
        <w:t>minimise</w:t>
      </w:r>
      <w:proofErr w:type="spellEnd"/>
      <w:r w:rsidRPr="002E6D8F">
        <w:rPr>
          <w:rFonts w:eastAsia="Calibri"/>
          <w:sz w:val="24"/>
          <w:szCs w:val="24"/>
          <w:lang w:val="en-US"/>
        </w:rPr>
        <w:t xml:space="preserve"> its dependence on external debt. Despite this progress, Kenya's debt burden remains significant. For instance, in 2012, Kenya did not seek debt relief under the Heavily Indebted Poor Countries (HIPC) initiative, a clear indicator of its ability to manage its debt without external intervention (</w:t>
      </w:r>
      <w:proofErr w:type="spellStart"/>
      <w:r w:rsidRPr="002E6D8F">
        <w:rPr>
          <w:rFonts w:eastAsia="Calibri"/>
          <w:sz w:val="24"/>
          <w:szCs w:val="24"/>
          <w:lang w:val="en-US"/>
        </w:rPr>
        <w:t>Niersbach</w:t>
      </w:r>
      <w:proofErr w:type="spellEnd"/>
      <w:r w:rsidRPr="002E6D8F">
        <w:rPr>
          <w:rFonts w:eastAsia="Calibri"/>
          <w:sz w:val="24"/>
          <w:szCs w:val="24"/>
          <w:lang w:val="en-US"/>
        </w:rPr>
        <w:t>, 2014).</w:t>
      </w:r>
    </w:p>
    <w:p w14:paraId="45B7470D" w14:textId="77777777" w:rsidR="007C2944" w:rsidRPr="002E6D8F" w:rsidRDefault="00170B62">
      <w:pPr>
        <w:spacing w:before="240" w:beforeAutospacing="0" w:after="0" w:line="360" w:lineRule="auto"/>
        <w:jc w:val="both"/>
        <w:rPr>
          <w:sz w:val="24"/>
          <w:szCs w:val="24"/>
          <w:lang w:val="en-US"/>
        </w:rPr>
      </w:pPr>
      <w:r w:rsidRPr="002E6D8F">
        <w:rPr>
          <w:rFonts w:eastAsia="Calibri"/>
          <w:sz w:val="24"/>
          <w:szCs w:val="24"/>
          <w:lang w:val="en-US"/>
        </w:rPr>
        <w:t xml:space="preserve">Kenya's public debt, while still considered within tolerable levels, requires careful monitoring to prevent fiscal stress. According to </w:t>
      </w:r>
      <w:proofErr w:type="spellStart"/>
      <w:r w:rsidRPr="002E6D8F">
        <w:rPr>
          <w:rFonts w:eastAsia="Calibri"/>
          <w:sz w:val="24"/>
          <w:szCs w:val="24"/>
          <w:lang w:val="en-US"/>
        </w:rPr>
        <w:t>Kamundia</w:t>
      </w:r>
      <w:proofErr w:type="spellEnd"/>
      <w:r w:rsidRPr="002E6D8F">
        <w:rPr>
          <w:rFonts w:eastAsia="Calibri"/>
          <w:sz w:val="24"/>
          <w:szCs w:val="24"/>
          <w:lang w:val="en-US"/>
        </w:rPr>
        <w:t xml:space="preserve"> </w:t>
      </w:r>
      <w:r w:rsidRPr="002E6D8F">
        <w:rPr>
          <w:rFonts w:eastAsia="Calibri"/>
          <w:i/>
          <w:sz w:val="24"/>
          <w:szCs w:val="24"/>
          <w:lang w:val="en-US"/>
        </w:rPr>
        <w:t>et al.</w:t>
      </w:r>
      <w:r w:rsidRPr="002E6D8F">
        <w:rPr>
          <w:rFonts w:eastAsia="Calibri"/>
          <w:sz w:val="24"/>
          <w:szCs w:val="24"/>
          <w:lang w:val="en-US"/>
        </w:rPr>
        <w:t xml:space="preserve"> (2015), further efforts to reduce the public debt would foster greater confidence in Kenya's financial markets and attract investment. This is because high debt levels could hinder economic growth by diverting resources towards servicing debt rather than investing in development projects. Consequently, Kenya has adopted a comprehensive debt management strategy aimed at ensuring debt sustainability. This strategy </w:t>
      </w:r>
      <w:proofErr w:type="spellStart"/>
      <w:r w:rsidRPr="002E6D8F">
        <w:rPr>
          <w:rFonts w:eastAsia="Calibri"/>
          <w:sz w:val="24"/>
          <w:szCs w:val="24"/>
          <w:lang w:val="en-US"/>
        </w:rPr>
        <w:t>emphasises</w:t>
      </w:r>
      <w:proofErr w:type="spellEnd"/>
      <w:r w:rsidRPr="002E6D8F">
        <w:rPr>
          <w:rFonts w:eastAsia="Calibri"/>
          <w:sz w:val="24"/>
          <w:szCs w:val="24"/>
          <w:lang w:val="en-US"/>
        </w:rPr>
        <w:t xml:space="preserve"> borrowing only for developmental purposes, </w:t>
      </w:r>
      <w:proofErr w:type="spellStart"/>
      <w:r w:rsidRPr="002E6D8F">
        <w:rPr>
          <w:rFonts w:eastAsia="Calibri"/>
          <w:sz w:val="24"/>
          <w:szCs w:val="24"/>
          <w:lang w:val="en-US"/>
        </w:rPr>
        <w:t>minimising</w:t>
      </w:r>
      <w:proofErr w:type="spellEnd"/>
      <w:r w:rsidRPr="002E6D8F">
        <w:rPr>
          <w:rFonts w:eastAsia="Calibri"/>
          <w:sz w:val="24"/>
          <w:szCs w:val="24"/>
          <w:lang w:val="en-US"/>
        </w:rPr>
        <w:t xml:space="preserve"> the cost of debt, and managing associated risks</w:t>
      </w:r>
      <w:r w:rsidR="00523A63" w:rsidRPr="002E6D8F">
        <w:rPr>
          <w:rFonts w:eastAsia="Calibri"/>
          <w:sz w:val="24"/>
          <w:szCs w:val="24"/>
          <w:lang w:val="en-US"/>
        </w:rPr>
        <w:t xml:space="preserve"> (</w:t>
      </w:r>
      <w:proofErr w:type="spellStart"/>
      <w:r w:rsidR="00523A63" w:rsidRPr="002E6D8F">
        <w:rPr>
          <w:rFonts w:eastAsia="Calibri"/>
          <w:sz w:val="24"/>
          <w:szCs w:val="24"/>
          <w:lang w:val="en-US"/>
        </w:rPr>
        <w:t>Ewusi</w:t>
      </w:r>
      <w:proofErr w:type="spellEnd"/>
      <w:r w:rsidR="00523A63" w:rsidRPr="002E6D8F">
        <w:rPr>
          <w:rFonts w:eastAsia="Calibri"/>
          <w:sz w:val="24"/>
          <w:szCs w:val="24"/>
          <w:lang w:val="en-US"/>
        </w:rPr>
        <w:t>, 2024)</w:t>
      </w:r>
      <w:r w:rsidRPr="002E6D8F">
        <w:rPr>
          <w:rFonts w:eastAsia="Calibri"/>
          <w:sz w:val="24"/>
          <w:szCs w:val="24"/>
          <w:lang w:val="en-US"/>
        </w:rPr>
        <w:t>. The medium-term debt management strategy is prepared and executed annually by the National Treasury, with a focus on reducing costs and maintaining a reasonable debt limit (</w:t>
      </w:r>
      <w:r w:rsidR="00D8426C" w:rsidRPr="002E6D8F">
        <w:rPr>
          <w:rFonts w:eastAsia="SimSun"/>
          <w:sz w:val="24"/>
          <w:szCs w:val="24"/>
          <w:lang w:val="en-GB"/>
        </w:rPr>
        <w:t>Ministry of Finance</w:t>
      </w:r>
      <w:r w:rsidRPr="002E6D8F">
        <w:rPr>
          <w:rFonts w:eastAsia="SimSun"/>
          <w:sz w:val="24"/>
          <w:szCs w:val="24"/>
          <w:lang w:val="en-US"/>
        </w:rPr>
        <w:t xml:space="preserve">, </w:t>
      </w:r>
      <w:r w:rsidR="00D8426C" w:rsidRPr="002E6D8F">
        <w:rPr>
          <w:rFonts w:eastAsia="SimSun"/>
          <w:sz w:val="24"/>
          <w:szCs w:val="24"/>
        </w:rPr>
        <w:t>202</w:t>
      </w:r>
      <w:r w:rsidR="00D8426C" w:rsidRPr="002E6D8F">
        <w:rPr>
          <w:rFonts w:eastAsia="SimSun"/>
          <w:sz w:val="24"/>
          <w:szCs w:val="24"/>
          <w:lang w:val="en-GB"/>
        </w:rPr>
        <w:t>3</w:t>
      </w:r>
      <w:r w:rsidRPr="002E6D8F">
        <w:rPr>
          <w:rFonts w:eastAsia="SimSun"/>
          <w:sz w:val="24"/>
          <w:szCs w:val="24"/>
          <w:lang w:val="en-US"/>
        </w:rPr>
        <w:t>)</w:t>
      </w:r>
      <w:r w:rsidRPr="002E6D8F">
        <w:rPr>
          <w:rFonts w:eastAsia="Calibri"/>
          <w:sz w:val="24"/>
          <w:szCs w:val="24"/>
          <w:lang w:val="en-US"/>
        </w:rPr>
        <w:t>. Moreover, the enactment of the Constitution of Kenya (2010) and the Public Finance Management Act (PFMA) (2012) has provided a solid framework for managing public debt. These legal provisions aim to ensure that both national and county governments adhere to prudent debt management practices. The PFMA outlines strict procedures, accountability, and reporting requirements for county governments, further promoting fiscal discipline (Nairobi City County, 2016).</w:t>
      </w:r>
    </w:p>
    <w:p w14:paraId="232D8582" w14:textId="77777777" w:rsidR="007C2944" w:rsidRPr="002E6D8F" w:rsidRDefault="00170B62">
      <w:pPr>
        <w:spacing w:before="240" w:beforeAutospacing="0" w:after="0" w:line="360" w:lineRule="auto"/>
        <w:jc w:val="both"/>
        <w:rPr>
          <w:rFonts w:eastAsia="Calibri"/>
          <w:sz w:val="24"/>
          <w:szCs w:val="24"/>
          <w:lang w:val="en-US"/>
        </w:rPr>
      </w:pPr>
      <w:r w:rsidRPr="002E6D8F">
        <w:rPr>
          <w:rFonts w:eastAsia="Calibri"/>
          <w:sz w:val="24"/>
          <w:szCs w:val="24"/>
          <w:lang w:val="en-US"/>
        </w:rPr>
        <w:t xml:space="preserve">At the </w:t>
      </w:r>
      <w:r w:rsidR="00410A49" w:rsidRPr="002E6D8F">
        <w:rPr>
          <w:rFonts w:eastAsia="Calibri"/>
          <w:sz w:val="24"/>
          <w:szCs w:val="24"/>
          <w:lang w:val="en-US"/>
        </w:rPr>
        <w:t>sub-national level</w:t>
      </w:r>
      <w:r w:rsidRPr="002E6D8F">
        <w:rPr>
          <w:rFonts w:eastAsia="Calibri"/>
          <w:sz w:val="24"/>
          <w:szCs w:val="24"/>
          <w:lang w:val="en-US"/>
        </w:rPr>
        <w:t>, however, government indebtedness has been exacerbated by an increase in financial inclusion, particularly through digital lending platforms. These platforms, while expanding access to credit, have allowed counties to borrow at high interest rates without well-planned repayment strategies. This has led to a growing stock of pending bills, with service providers facing liquidity challenges, business closures, and stunted county development projects.</w:t>
      </w:r>
      <w:r w:rsidR="00410A49" w:rsidRPr="002E6D8F">
        <w:rPr>
          <w:rFonts w:eastAsia="Calibri"/>
          <w:sz w:val="24"/>
          <w:szCs w:val="24"/>
          <w:lang w:val="en-US"/>
        </w:rPr>
        <w:t xml:space="preserve"> </w:t>
      </w:r>
      <w:r w:rsidRPr="002E6D8F">
        <w:rPr>
          <w:rFonts w:eastAsia="Calibri"/>
          <w:sz w:val="24"/>
          <w:szCs w:val="24"/>
          <w:lang w:val="en-US"/>
        </w:rPr>
        <w:t xml:space="preserve">The COVID-19 pandemic further worsened these fiscal vulnerabilities, as county governments faced difficulties in debt repayments amid economic disruptions. In response to the </w:t>
      </w:r>
      <w:r w:rsidRPr="002E6D8F">
        <w:rPr>
          <w:rFonts w:eastAsia="Calibri"/>
          <w:sz w:val="24"/>
          <w:szCs w:val="24"/>
          <w:lang w:val="en-US"/>
        </w:rPr>
        <w:lastRenderedPageBreak/>
        <w:t>economic downturn, the Kenyan government implemented substantial fiscal stimulus measures, with public spending averaging 28% of GDP between 2020 and 2023 (Ministry of Finance, 2023). This expansionary fiscal policy, however, led to a decline in tax revenues, as Kenya's total tax revenue fell from 18.3% of GDP in 2019 to 16.1% in 2020 and recovered slightly to 17.4% in 2023 (Kenya Revenue Authority (KRA), 2023). The decline in tax collection forced county governments to increase borrowing, further exacerbating their debt burden.</w:t>
      </w:r>
    </w:p>
    <w:p w14:paraId="24678027" w14:textId="77777777" w:rsidR="007C2944" w:rsidRPr="002E6D8F" w:rsidRDefault="00170B62" w:rsidP="00410A49">
      <w:pPr>
        <w:spacing w:before="240" w:beforeAutospacing="0" w:after="0" w:line="360" w:lineRule="auto"/>
        <w:jc w:val="both"/>
        <w:rPr>
          <w:rFonts w:eastAsia="SimSun"/>
          <w:sz w:val="24"/>
          <w:szCs w:val="24"/>
          <w:lang w:val="en-GB"/>
        </w:rPr>
      </w:pPr>
      <w:r w:rsidRPr="002E6D8F">
        <w:rPr>
          <w:rFonts w:eastAsia="SimSun"/>
          <w:sz w:val="24"/>
          <w:szCs w:val="24"/>
        </w:rPr>
        <w:t>In the aftermath of the COVID-19 pandemic, Kenyan counties faced a combination of economic slowdown, reduced tax revenue, and growing public expenditure needs. Amid these challenges, corruption emerged as a significant concern undermining effective fiscal management. This rise in corruption levels points to worsening transparency and accountability at both national and county levels, potentially influencing borrowing behaviour and the accumulation of public debt. Despite existing fiscal frameworks, county governments increasingly turned to debt to sustain operations, a situation exacerbated by governance weaknesses such as corruption.</w:t>
      </w:r>
      <w:bookmarkStart w:id="33" w:name="_Toc7151"/>
      <w:bookmarkStart w:id="34" w:name="_Toc185847126"/>
      <w:bookmarkStart w:id="35" w:name="_Toc11753"/>
      <w:bookmarkStart w:id="36" w:name="_Toc1128"/>
      <w:bookmarkStart w:id="37" w:name="_Toc25070"/>
      <w:bookmarkStart w:id="38" w:name="_Toc25418"/>
      <w:bookmarkStart w:id="39" w:name="_Toc17814"/>
      <w:bookmarkStart w:id="40" w:name="_Toc393"/>
      <w:bookmarkEnd w:id="25"/>
      <w:bookmarkEnd w:id="26"/>
      <w:bookmarkEnd w:id="27"/>
      <w:bookmarkEnd w:id="28"/>
      <w:bookmarkEnd w:id="29"/>
      <w:bookmarkEnd w:id="30"/>
      <w:bookmarkEnd w:id="31"/>
      <w:bookmarkEnd w:id="32"/>
      <w:r w:rsidR="00410A49" w:rsidRPr="002E6D8F">
        <w:rPr>
          <w:rFonts w:eastAsia="SimSun"/>
          <w:sz w:val="24"/>
          <w:szCs w:val="24"/>
          <w:lang w:val="en-GB"/>
        </w:rPr>
        <w:t xml:space="preserve"> </w:t>
      </w:r>
      <w:r w:rsidRPr="002E6D8F">
        <w:rPr>
          <w:rFonts w:eastAsia="Calibri"/>
          <w:sz w:val="24"/>
          <w:szCs w:val="24"/>
          <w:lang w:val="en-US"/>
        </w:rPr>
        <w:t xml:space="preserve">Therefore, </w:t>
      </w:r>
      <w:bookmarkStart w:id="41" w:name="_Toc170411271"/>
      <w:bookmarkStart w:id="42" w:name="_Toc170411911"/>
      <w:bookmarkEnd w:id="33"/>
      <w:bookmarkEnd w:id="34"/>
      <w:bookmarkEnd w:id="35"/>
      <w:bookmarkEnd w:id="36"/>
      <w:bookmarkEnd w:id="37"/>
      <w:bookmarkEnd w:id="38"/>
      <w:bookmarkEnd w:id="39"/>
      <w:bookmarkEnd w:id="40"/>
      <w:r w:rsidR="00CE5169" w:rsidRPr="002E6D8F">
        <w:rPr>
          <w:rFonts w:eastAsia="Calibri"/>
          <w:sz w:val="24"/>
          <w:szCs w:val="24"/>
          <w:lang w:val="en-US"/>
        </w:rPr>
        <w:t xml:space="preserve">the </w:t>
      </w:r>
      <w:r w:rsidRPr="002E6D8F">
        <w:rPr>
          <w:sz w:val="24"/>
          <w:szCs w:val="24"/>
        </w:rPr>
        <w:t>main objective of this study was to determine the effect of macroeconomic determinants on county governments' indebtedness in the post-COVID-19 period in Kenya.</w:t>
      </w:r>
      <w:bookmarkEnd w:id="41"/>
      <w:bookmarkEnd w:id="42"/>
    </w:p>
    <w:p w14:paraId="31AC2D4A" w14:textId="77777777" w:rsidR="00CE5169" w:rsidRPr="002E6D8F" w:rsidRDefault="00CE5169" w:rsidP="00CE5169">
      <w:pPr>
        <w:pStyle w:val="Heading1"/>
        <w:spacing w:before="0" w:line="360" w:lineRule="auto"/>
        <w:rPr>
          <w:rFonts w:ascii="Times New Roman" w:hAnsi="Times New Roman"/>
          <w:b/>
          <w:bCs/>
          <w:color w:val="auto"/>
          <w:sz w:val="24"/>
          <w:szCs w:val="24"/>
          <w:lang w:val="en-GB"/>
        </w:rPr>
      </w:pPr>
      <w:bookmarkStart w:id="43" w:name="_Toc4876"/>
      <w:bookmarkStart w:id="44" w:name="_Toc24242"/>
      <w:bookmarkStart w:id="45" w:name="_Toc26120"/>
      <w:bookmarkStart w:id="46" w:name="_Toc185847134"/>
      <w:bookmarkStart w:id="47" w:name="_Toc5288"/>
      <w:bookmarkStart w:id="48" w:name="_Toc30242"/>
      <w:bookmarkStart w:id="49" w:name="_Toc207656721"/>
      <w:bookmarkStart w:id="50" w:name="_Toc30064"/>
      <w:bookmarkStart w:id="51" w:name="_Toc7447"/>
      <w:bookmarkStart w:id="52" w:name="_Toc30092"/>
      <w:bookmarkStart w:id="53" w:name="_Toc9001"/>
      <w:bookmarkStart w:id="54" w:name="_Toc20009"/>
    </w:p>
    <w:p w14:paraId="3552308C" w14:textId="77777777" w:rsidR="007C2944" w:rsidRPr="002E6D8F" w:rsidRDefault="00E45D1B" w:rsidP="00CE5169">
      <w:pPr>
        <w:pStyle w:val="Heading1"/>
        <w:spacing w:before="0" w:line="360" w:lineRule="auto"/>
        <w:rPr>
          <w:rFonts w:ascii="Times New Roman" w:hAnsi="Times New Roman"/>
          <w:b/>
          <w:bCs/>
          <w:color w:val="auto"/>
          <w:sz w:val="24"/>
          <w:szCs w:val="24"/>
          <w:lang w:val="en-GB"/>
        </w:rPr>
      </w:pPr>
      <w:r>
        <w:rPr>
          <w:rFonts w:ascii="Times New Roman" w:hAnsi="Times New Roman"/>
          <w:b/>
          <w:bCs/>
          <w:color w:val="auto"/>
          <w:sz w:val="24"/>
          <w:szCs w:val="24"/>
          <w:lang w:val="en-GB"/>
        </w:rPr>
        <w:t xml:space="preserve">2 </w:t>
      </w:r>
      <w:r w:rsidR="00170B62" w:rsidRPr="002E6D8F">
        <w:rPr>
          <w:rFonts w:ascii="Times New Roman" w:hAnsi="Times New Roman"/>
          <w:b/>
          <w:bCs/>
          <w:color w:val="auto"/>
          <w:sz w:val="24"/>
          <w:szCs w:val="24"/>
        </w:rPr>
        <w:t>Literature Review</w:t>
      </w:r>
      <w:bookmarkEnd w:id="43"/>
      <w:bookmarkEnd w:id="44"/>
      <w:bookmarkEnd w:id="45"/>
      <w:bookmarkEnd w:id="46"/>
      <w:bookmarkEnd w:id="47"/>
      <w:bookmarkEnd w:id="48"/>
      <w:bookmarkEnd w:id="49"/>
      <w:bookmarkEnd w:id="50"/>
      <w:bookmarkEnd w:id="51"/>
      <w:bookmarkEnd w:id="52"/>
      <w:bookmarkEnd w:id="53"/>
      <w:bookmarkEnd w:id="54"/>
    </w:p>
    <w:p w14:paraId="2D1D3B55" w14:textId="77777777" w:rsidR="007C2944" w:rsidRPr="002E6D8F" w:rsidRDefault="00170B62">
      <w:pPr>
        <w:spacing w:before="0" w:beforeAutospacing="0" w:after="0" w:line="360" w:lineRule="auto"/>
        <w:jc w:val="both"/>
        <w:rPr>
          <w:sz w:val="24"/>
          <w:szCs w:val="24"/>
          <w:lang w:val="en-US"/>
        </w:rPr>
      </w:pPr>
      <w:r w:rsidRPr="002E6D8F">
        <w:rPr>
          <w:rFonts w:eastAsia="Calibri"/>
          <w:sz w:val="24"/>
          <w:szCs w:val="24"/>
          <w:lang w:val="en-US"/>
        </w:rPr>
        <w:t>The Debt Accumulation t</w:t>
      </w:r>
      <w:r w:rsidR="001635A6" w:rsidRPr="002E6D8F">
        <w:rPr>
          <w:rFonts w:eastAsia="Calibri"/>
          <w:sz w:val="24"/>
          <w:szCs w:val="24"/>
          <w:lang w:val="en-US"/>
        </w:rPr>
        <w:t>heory explores the factors driving increasing debt levels, considering macroeconomic conditions, fiscal policies, and their long-term effects, such as debt distress, crowding out of private investment, and policy constraints. Governments accumulate debt when borrowing costs are low, but prolonged debt accumulation leads to higher default probabilities and rising marginal costs. The model underpinning this theory suggests that when debt costs become unsustainable, governments resort to austerity measures. These costs are endogenously determined within the model, aligning with empirical findings such as Bohn’s</w:t>
      </w:r>
      <w:r w:rsidR="00114D14" w:rsidRPr="002E6D8F">
        <w:rPr>
          <w:rFonts w:eastAsia="Calibri"/>
          <w:sz w:val="24"/>
          <w:szCs w:val="24"/>
          <w:lang w:val="en-US"/>
        </w:rPr>
        <w:t xml:space="preserve"> (1998</w:t>
      </w:r>
      <w:r w:rsidR="001635A6" w:rsidRPr="002E6D8F">
        <w:rPr>
          <w:rFonts w:eastAsia="Calibri"/>
          <w:sz w:val="24"/>
          <w:szCs w:val="24"/>
          <w:lang w:val="en-US"/>
        </w:rPr>
        <w:t>) Fiscal Reaction Function, which indicates a positive relationship between the primary fiscal balance and outstanding debt (</w:t>
      </w:r>
      <w:proofErr w:type="spellStart"/>
      <w:r w:rsidR="001635A6" w:rsidRPr="002E6D8F">
        <w:rPr>
          <w:rFonts w:eastAsia="Calibri"/>
          <w:sz w:val="24"/>
          <w:szCs w:val="24"/>
          <w:lang w:val="en-US"/>
        </w:rPr>
        <w:t>D'Erasmo</w:t>
      </w:r>
      <w:proofErr w:type="spellEnd"/>
      <w:r w:rsidR="001635A6" w:rsidRPr="002E6D8F">
        <w:rPr>
          <w:rFonts w:eastAsia="Calibri"/>
          <w:sz w:val="24"/>
          <w:szCs w:val="24"/>
          <w:lang w:val="en-US"/>
        </w:rPr>
        <w:t xml:space="preserve"> </w:t>
      </w:r>
      <w:r w:rsidR="001635A6" w:rsidRPr="002E6D8F">
        <w:rPr>
          <w:rFonts w:eastAsia="Calibri"/>
          <w:i/>
          <w:sz w:val="24"/>
          <w:szCs w:val="24"/>
          <w:lang w:val="en-US"/>
        </w:rPr>
        <w:t>et al.,</w:t>
      </w:r>
      <w:r w:rsidR="001635A6" w:rsidRPr="002E6D8F">
        <w:rPr>
          <w:rFonts w:eastAsia="Calibri"/>
          <w:sz w:val="24"/>
          <w:szCs w:val="24"/>
          <w:lang w:val="en-US"/>
        </w:rPr>
        <w:t xml:space="preserve"> 2016). </w:t>
      </w:r>
      <w:r w:rsidR="001635A6" w:rsidRPr="002E6D8F">
        <w:rPr>
          <w:rFonts w:eastAsia="SimSun"/>
          <w:sz w:val="24"/>
          <w:szCs w:val="24"/>
        </w:rPr>
        <w:t>The standard debt accumulation model, as adopted from Bohn (1998) and D’Erasmo</w:t>
      </w:r>
      <w:r w:rsidR="001635A6" w:rsidRPr="002E6D8F">
        <w:rPr>
          <w:rFonts w:eastAsia="SimSun"/>
          <w:i/>
          <w:sz w:val="24"/>
          <w:szCs w:val="24"/>
        </w:rPr>
        <w:t xml:space="preserve"> et al.</w:t>
      </w:r>
      <w:r w:rsidR="001635A6" w:rsidRPr="002E6D8F">
        <w:rPr>
          <w:rFonts w:eastAsia="SimSun"/>
          <w:sz w:val="24"/>
          <w:szCs w:val="24"/>
        </w:rPr>
        <w:t xml:space="preserve"> (2016), is expressed as shown in Equation 2.3.</w:t>
      </w:r>
    </w:p>
    <w:p w14:paraId="557A08DD" w14:textId="77777777" w:rsidR="007C2944" w:rsidRPr="002E6D8F" w:rsidRDefault="006E527C">
      <w:pPr>
        <w:spacing w:before="0" w:beforeAutospacing="0" w:after="0" w:line="360" w:lineRule="auto"/>
        <w:jc w:val="both"/>
        <w:rPr>
          <w:rFonts w:eastAsia="Calibri"/>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m:t>
            </m:r>
            <m:r>
              <w:rPr>
                <w:rFonts w:ascii="Cambria Math"/>
                <w:sz w:val="24"/>
                <w:szCs w:val="24"/>
                <w:lang w:val="en-US"/>
              </w:rPr>
              <m:t>+1</m:t>
            </m:r>
          </m:sub>
        </m:sSub>
        <m:r>
          <w:rPr>
            <w:rFonts w:ascii="Cambria Math"/>
            <w:sz w:val="24"/>
            <w:szCs w:val="24"/>
            <w:lang w:val="en-US"/>
          </w:rPr>
          <m:t xml:space="preserve">=(1+ </m:t>
        </m:r>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t</m:t>
            </m:r>
          </m:sub>
        </m:sSub>
        <m:r>
          <w:rPr>
            <w:rFonts w:asci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m:t>
            </m:r>
          </m:sub>
        </m:sSub>
        <m:r>
          <w:rPr>
            <w:rFonts w:asci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t</m:t>
            </m:r>
          </m:sub>
        </m:sSub>
        <m:r>
          <w:rPr>
            <w:rFonts w:ascii="Cambria Math"/>
            <w:sz w:val="24"/>
            <w:szCs w:val="24"/>
            <w:lang w:val="en-US"/>
          </w:rPr>
          <m:t>..................................................................</m:t>
        </m:r>
      </m:oMath>
      <w:r w:rsidR="001635A6" w:rsidRPr="002E6D8F">
        <w:rPr>
          <w:sz w:val="24"/>
          <w:szCs w:val="24"/>
          <w:lang w:val="en-US"/>
        </w:rPr>
        <w:t>(2.3)</w:t>
      </w:r>
    </w:p>
    <w:p w14:paraId="45B2F015" w14:textId="77777777" w:rsidR="007C2944" w:rsidRPr="002E6D8F" w:rsidRDefault="00170B62">
      <w:pPr>
        <w:spacing w:before="0" w:beforeAutospacing="0" w:after="0" w:line="360" w:lineRule="auto"/>
        <w:jc w:val="both"/>
        <w:rPr>
          <w:sz w:val="24"/>
          <w:szCs w:val="24"/>
          <w:lang w:val="en-US"/>
        </w:rPr>
      </w:pPr>
      <w:r w:rsidRPr="002E6D8F">
        <w:rPr>
          <w:rFonts w:eastAsia="Calibri"/>
          <w:sz w:val="24"/>
          <w:szCs w:val="24"/>
          <w:lang w:val="en-US"/>
        </w:rPr>
        <w:t>where:</w:t>
      </w:r>
    </w:p>
    <w:p w14:paraId="7CB141BF" w14:textId="77777777" w:rsidR="007C2944" w:rsidRPr="002E6D8F" w:rsidRDefault="006E527C">
      <w:pPr>
        <w:spacing w:before="0" w:beforeAutospacing="0" w:after="0" w:line="360" w:lineRule="auto"/>
        <w:jc w:val="both"/>
        <w:rPr>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m:t>
            </m:r>
          </m:sub>
        </m:sSub>
      </m:oMath>
      <w:r w:rsidR="001635A6" w:rsidRPr="002E6D8F">
        <w:rPr>
          <w:sz w:val="24"/>
          <w:szCs w:val="24"/>
          <w:lang w:val="en-US"/>
        </w:rPr>
        <w:t xml:space="preserve"> </w:t>
      </w:r>
      <w:r w:rsidR="001635A6" w:rsidRPr="002E6D8F">
        <w:rPr>
          <w:rFonts w:eastAsia="Calibri"/>
          <w:sz w:val="24"/>
          <w:szCs w:val="24"/>
          <w:lang w:val="en-US"/>
        </w:rPr>
        <w:t xml:space="preserve">is the level of public debt at time </w:t>
      </w:r>
      <w:r w:rsidR="001635A6" w:rsidRPr="002E6D8F">
        <w:rPr>
          <w:rFonts w:eastAsia="Calibri"/>
          <w:i/>
          <w:iCs/>
          <w:sz w:val="24"/>
          <w:szCs w:val="24"/>
          <w:lang w:val="en-US"/>
        </w:rPr>
        <w:t>t</w:t>
      </w:r>
      <w:r w:rsidR="001635A6" w:rsidRPr="002E6D8F">
        <w:rPr>
          <w:rFonts w:eastAsia="Calibri"/>
          <w:sz w:val="24"/>
          <w:szCs w:val="24"/>
          <w:lang w:val="en-US"/>
        </w:rPr>
        <w:t>,</w:t>
      </w:r>
    </w:p>
    <w:p w14:paraId="373440B6" w14:textId="77777777" w:rsidR="007C2944" w:rsidRPr="002E6D8F" w:rsidRDefault="006E527C">
      <w:pPr>
        <w:spacing w:before="0" w:beforeAutospacing="0" w:after="0" w:line="360" w:lineRule="auto"/>
        <w:jc w:val="both"/>
        <w:rPr>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t</m:t>
            </m:r>
          </m:sub>
        </m:sSub>
      </m:oMath>
      <w:r w:rsidR="001635A6" w:rsidRPr="002E6D8F">
        <w:rPr>
          <w:sz w:val="24"/>
          <w:szCs w:val="24"/>
          <w:lang w:val="en-US"/>
        </w:rPr>
        <w:t xml:space="preserve"> </w:t>
      </w:r>
      <w:r w:rsidR="001635A6" w:rsidRPr="002E6D8F">
        <w:rPr>
          <w:rFonts w:eastAsia="Calibri"/>
          <w:sz w:val="24"/>
          <w:szCs w:val="24"/>
          <w:lang w:val="en-US"/>
        </w:rPr>
        <w:t xml:space="preserve">represents the interest rate on debt at time </w:t>
      </w:r>
      <w:r w:rsidR="001635A6" w:rsidRPr="002E6D8F">
        <w:rPr>
          <w:rFonts w:eastAsia="Calibri"/>
          <w:i/>
          <w:iCs/>
          <w:sz w:val="24"/>
          <w:szCs w:val="24"/>
          <w:lang w:val="en-US"/>
        </w:rPr>
        <w:t>t</w:t>
      </w:r>
      <w:r w:rsidR="001635A6" w:rsidRPr="002E6D8F">
        <w:rPr>
          <w:rFonts w:eastAsia="Calibri"/>
          <w:sz w:val="24"/>
          <w:szCs w:val="24"/>
          <w:lang w:val="en-US"/>
        </w:rPr>
        <w:t>,</w:t>
      </w:r>
    </w:p>
    <w:p w14:paraId="6AA35790" w14:textId="77777777" w:rsidR="007C2944" w:rsidRPr="002E6D8F" w:rsidRDefault="006E527C">
      <w:pPr>
        <w:spacing w:before="0" w:beforeAutospacing="0" w:after="0" w:line="360" w:lineRule="auto"/>
        <w:jc w:val="both"/>
        <w:rPr>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m:t>
            </m:r>
          </m:sub>
        </m:sSub>
      </m:oMath>
      <w:r w:rsidR="001635A6" w:rsidRPr="002E6D8F">
        <w:rPr>
          <w:sz w:val="24"/>
          <w:szCs w:val="24"/>
          <w:lang w:val="en-US"/>
        </w:rPr>
        <w:t xml:space="preserve"> </w:t>
      </w:r>
      <w:r w:rsidR="001635A6" w:rsidRPr="002E6D8F">
        <w:rPr>
          <w:rFonts w:eastAsia="Calibri"/>
          <w:sz w:val="24"/>
          <w:szCs w:val="24"/>
          <w:lang w:val="en-US"/>
        </w:rPr>
        <w:t xml:space="preserve">is government expenditure at time </w:t>
      </w:r>
      <w:r w:rsidR="001635A6" w:rsidRPr="002E6D8F">
        <w:rPr>
          <w:rFonts w:eastAsia="Calibri"/>
          <w:i/>
          <w:iCs/>
          <w:sz w:val="24"/>
          <w:szCs w:val="24"/>
          <w:lang w:val="en-US"/>
        </w:rPr>
        <w:t>t</w:t>
      </w:r>
      <w:r w:rsidR="001635A6" w:rsidRPr="002E6D8F">
        <w:rPr>
          <w:rFonts w:eastAsia="Calibri"/>
          <w:sz w:val="24"/>
          <w:szCs w:val="24"/>
          <w:lang w:val="en-US"/>
        </w:rPr>
        <w:t>,</w:t>
      </w:r>
    </w:p>
    <w:p w14:paraId="17631A2A" w14:textId="77777777" w:rsidR="007C2944" w:rsidRPr="002E6D8F" w:rsidRDefault="006E527C">
      <w:pPr>
        <w:spacing w:before="0" w:beforeAutospacing="0" w:after="0" w:line="360" w:lineRule="auto"/>
        <w:jc w:val="both"/>
        <w:rPr>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t</m:t>
            </m:r>
          </m:sub>
        </m:sSub>
        <m:r>
          <w:rPr>
            <w:rFonts w:ascii="Cambria Math"/>
            <w:sz w:val="24"/>
            <w:szCs w:val="24"/>
            <w:lang w:val="en-US"/>
          </w:rPr>
          <m:t>.</m:t>
        </m:r>
      </m:oMath>
      <w:r w:rsidR="001635A6" w:rsidRPr="002E6D8F">
        <w:rPr>
          <w:sz w:val="24"/>
          <w:szCs w:val="24"/>
          <w:lang w:val="en-US"/>
        </w:rPr>
        <w:t xml:space="preserve">= </w:t>
      </w:r>
      <w:r w:rsidR="001635A6" w:rsidRPr="002E6D8F">
        <w:rPr>
          <w:rFonts w:eastAsia="Calibri"/>
          <w:sz w:val="24"/>
          <w:szCs w:val="24"/>
          <w:lang w:val="en-US"/>
        </w:rPr>
        <w:t xml:space="preserve">is tax revenue at time </w:t>
      </w:r>
      <w:r w:rsidR="001635A6" w:rsidRPr="002E6D8F">
        <w:rPr>
          <w:rFonts w:eastAsia="Calibri"/>
          <w:i/>
          <w:iCs/>
          <w:sz w:val="24"/>
          <w:szCs w:val="24"/>
          <w:lang w:val="en-US"/>
        </w:rPr>
        <w:t>t.</w:t>
      </w:r>
    </w:p>
    <w:p w14:paraId="4FEF717B" w14:textId="77777777" w:rsidR="007C2944" w:rsidRPr="002E6D8F" w:rsidRDefault="00170B62">
      <w:pPr>
        <w:spacing w:before="0" w:beforeAutospacing="0" w:after="0" w:line="360" w:lineRule="auto"/>
        <w:jc w:val="both"/>
        <w:rPr>
          <w:sz w:val="24"/>
          <w:szCs w:val="24"/>
          <w:lang w:val="en-US"/>
        </w:rPr>
      </w:pPr>
      <w:r w:rsidRPr="002E6D8F">
        <w:rPr>
          <w:rFonts w:eastAsia="Calibri"/>
          <w:sz w:val="24"/>
          <w:szCs w:val="24"/>
          <w:lang w:val="en-US"/>
        </w:rPr>
        <w:t xml:space="preserve">This equation demonstrates that debt in period </w:t>
      </w:r>
      <w:r w:rsidRPr="002E6D8F">
        <w:rPr>
          <w:rFonts w:eastAsia="Calibri"/>
          <w:i/>
          <w:iCs/>
          <w:sz w:val="24"/>
          <w:szCs w:val="24"/>
          <w:lang w:val="en-US"/>
        </w:rPr>
        <w:t xml:space="preserve">t+1 </w:t>
      </w:r>
      <w:r w:rsidRPr="002E6D8F">
        <w:rPr>
          <w:rFonts w:eastAsia="Calibri"/>
          <w:sz w:val="24"/>
          <w:szCs w:val="24"/>
          <w:lang w:val="en-US"/>
        </w:rPr>
        <w:t>is a function of the existing debt stock, the interest accrued, and the fiscal balance (the difference between government spending and revenue). When expenditures exceed revenues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m:t>
            </m:r>
          </m:sub>
        </m:sSub>
      </m:oMath>
      <w:r w:rsidRPr="002E6D8F">
        <w:rPr>
          <w:rFonts w:eastAsia="Calibri"/>
          <w:sz w:val="24"/>
          <w:szCs w:val="24"/>
          <w:lang w:val="en-US"/>
        </w:rPr>
        <w:t>&gt;</w:t>
      </w:r>
      <m:oMath>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t</m:t>
            </m:r>
          </m:sub>
        </m:sSub>
      </m:oMath>
      <w:r w:rsidRPr="002E6D8F">
        <w:rPr>
          <w:rFonts w:eastAsia="Calibri"/>
          <w:sz w:val="24"/>
          <w:szCs w:val="24"/>
          <w:lang w:val="en-US"/>
        </w:rPr>
        <w:t>), the debt level rises, necessitating borrowing to cover deficits. The sustainability of debt accumulation depends on the ability of an economy to generate sufficient growth and revenue to offset borrowing costs.</w:t>
      </w:r>
    </w:p>
    <w:p w14:paraId="2FE16CAD" w14:textId="77777777" w:rsidR="007C2944" w:rsidRPr="002E6D8F" w:rsidRDefault="007C2944">
      <w:pPr>
        <w:spacing w:before="0" w:beforeAutospacing="0" w:after="0" w:line="360" w:lineRule="auto"/>
        <w:jc w:val="both"/>
        <w:rPr>
          <w:rFonts w:eastAsia="Calibri"/>
          <w:sz w:val="24"/>
          <w:szCs w:val="24"/>
          <w:lang w:val="en-US"/>
        </w:rPr>
      </w:pPr>
    </w:p>
    <w:p w14:paraId="7612FF63" w14:textId="77777777" w:rsidR="007C2944" w:rsidRPr="002E6D8F" w:rsidRDefault="00170B62">
      <w:pPr>
        <w:spacing w:before="0" w:beforeAutospacing="0" w:after="0" w:line="360" w:lineRule="auto"/>
        <w:jc w:val="both"/>
        <w:rPr>
          <w:rFonts w:eastAsia="Calibri"/>
          <w:sz w:val="24"/>
          <w:szCs w:val="24"/>
          <w:lang w:val="en-US"/>
        </w:rPr>
      </w:pPr>
      <w:r w:rsidRPr="002E6D8F">
        <w:rPr>
          <w:rFonts w:eastAsia="Calibri"/>
          <w:sz w:val="24"/>
          <w:szCs w:val="24"/>
          <w:lang w:val="en-US"/>
        </w:rPr>
        <w:t xml:space="preserve">Applying this model to Kenya's post-COVID-19 period, county debt accumulation can be </w:t>
      </w:r>
      <w:proofErr w:type="spellStart"/>
      <w:r w:rsidRPr="002E6D8F">
        <w:rPr>
          <w:rFonts w:eastAsia="Calibri"/>
          <w:sz w:val="24"/>
          <w:szCs w:val="24"/>
          <w:lang w:val="en-US"/>
        </w:rPr>
        <w:t>analysed</w:t>
      </w:r>
      <w:proofErr w:type="spellEnd"/>
      <w:r w:rsidRPr="002E6D8F">
        <w:rPr>
          <w:rFonts w:eastAsia="Calibri"/>
          <w:sz w:val="24"/>
          <w:szCs w:val="24"/>
          <w:lang w:val="en-US"/>
        </w:rPr>
        <w:t xml:space="preserve"> through the interplay of economic growth, revenue generation, and fisca</w:t>
      </w:r>
      <w:r w:rsidR="009307A8" w:rsidRPr="002E6D8F">
        <w:rPr>
          <w:rFonts w:eastAsia="Calibri"/>
          <w:sz w:val="24"/>
          <w:szCs w:val="24"/>
          <w:lang w:val="en-US"/>
        </w:rPr>
        <w:t>l pressures. Debt accumulation t</w:t>
      </w:r>
      <w:r w:rsidRPr="002E6D8F">
        <w:rPr>
          <w:rFonts w:eastAsia="Calibri"/>
          <w:sz w:val="24"/>
          <w:szCs w:val="24"/>
          <w:lang w:val="en-US"/>
        </w:rPr>
        <w:t xml:space="preserve">heory suggests that borrowing is influenced by economic conditions, with lower interest rates and </w:t>
      </w:r>
      <w:proofErr w:type="spellStart"/>
      <w:r w:rsidRPr="002E6D8F">
        <w:rPr>
          <w:rFonts w:eastAsia="Calibri"/>
          <w:sz w:val="24"/>
          <w:szCs w:val="24"/>
          <w:lang w:val="en-US"/>
        </w:rPr>
        <w:t>favourable</w:t>
      </w:r>
      <w:proofErr w:type="spellEnd"/>
      <w:r w:rsidRPr="002E6D8F">
        <w:rPr>
          <w:rFonts w:eastAsia="Calibri"/>
          <w:sz w:val="24"/>
          <w:szCs w:val="24"/>
          <w:lang w:val="en-US"/>
        </w:rPr>
        <w:t xml:space="preserve"> macroeconomic environments encouraging debt accumulation, while fiscal constraints such as stagnant revenue growth and rising expenditures push county </w:t>
      </w:r>
      <w:r w:rsidR="009307A8" w:rsidRPr="002E6D8F">
        <w:rPr>
          <w:rFonts w:eastAsia="Calibri"/>
          <w:sz w:val="24"/>
          <w:szCs w:val="24"/>
          <w:lang w:val="en-US"/>
        </w:rPr>
        <w:t>governments</w:t>
      </w:r>
      <w:r w:rsidRPr="002E6D8F">
        <w:rPr>
          <w:rFonts w:eastAsia="Calibri"/>
          <w:sz w:val="24"/>
          <w:szCs w:val="24"/>
          <w:lang w:val="en-US"/>
        </w:rPr>
        <w:t xml:space="preserve"> to borrow (Bole, 2023). The economic disruptions from the pandemic have heightened fiscal vulnerabilities, leading to increased reliance on debt for financing essential public services (Makin &amp; Layton, 2021).</w:t>
      </w:r>
    </w:p>
    <w:p w14:paraId="51DC714D" w14:textId="77777777" w:rsidR="007C2944" w:rsidRPr="002E6D8F" w:rsidRDefault="007C2944">
      <w:pPr>
        <w:spacing w:before="0" w:beforeAutospacing="0" w:after="0" w:line="360" w:lineRule="auto"/>
        <w:jc w:val="both"/>
        <w:rPr>
          <w:sz w:val="24"/>
          <w:szCs w:val="24"/>
          <w:lang w:val="en-US"/>
        </w:rPr>
      </w:pPr>
    </w:p>
    <w:p w14:paraId="10F36606" w14:textId="77777777" w:rsidR="007C2944" w:rsidRPr="002E6D8F" w:rsidRDefault="00170B62">
      <w:pPr>
        <w:spacing w:before="0" w:beforeAutospacing="0" w:after="0" w:line="360" w:lineRule="auto"/>
        <w:jc w:val="both"/>
        <w:rPr>
          <w:rFonts w:eastAsia="Calibri"/>
          <w:sz w:val="24"/>
          <w:szCs w:val="24"/>
          <w:lang w:val="en-US"/>
        </w:rPr>
      </w:pPr>
      <w:r w:rsidRPr="002E6D8F">
        <w:rPr>
          <w:rFonts w:eastAsia="Calibri"/>
          <w:sz w:val="24"/>
          <w:szCs w:val="24"/>
          <w:lang w:val="en-US"/>
        </w:rPr>
        <w:t>In the post-pandemic context, the county governments face a dual challenge: economic recovery and sustainable debt management (</w:t>
      </w:r>
      <w:r w:rsidRPr="002E6D8F">
        <w:rPr>
          <w:rFonts w:eastAsia="Calibri"/>
          <w:sz w:val="24"/>
          <w:szCs w:val="24"/>
          <w:lang w:val="en-US" w:eastAsia="en-US"/>
        </w:rPr>
        <w:t xml:space="preserve">Wenjie, 2024). </w:t>
      </w:r>
      <w:r w:rsidRPr="002E6D8F">
        <w:rPr>
          <w:rFonts w:eastAsia="Calibri"/>
          <w:sz w:val="24"/>
          <w:szCs w:val="24"/>
          <w:lang w:val="en-US"/>
        </w:rPr>
        <w:t>Revenue fluctuations resulting from slowed economic growth, declining tax revenues, and rising corruption levels complicate debt sustainability. Debt Accumulation Theory highlights that when revenue generation fails to match growing expenditure needs, borrowi</w:t>
      </w:r>
      <w:r w:rsidR="00AD3068" w:rsidRPr="002E6D8F">
        <w:rPr>
          <w:rFonts w:eastAsia="Calibri"/>
          <w:sz w:val="24"/>
          <w:szCs w:val="24"/>
          <w:lang w:val="en-US"/>
        </w:rPr>
        <w:t>ng becomes inevitable (IMF, 2023</w:t>
      </w:r>
      <w:r w:rsidRPr="002E6D8F">
        <w:rPr>
          <w:rFonts w:eastAsia="Calibri"/>
          <w:sz w:val="24"/>
          <w:szCs w:val="24"/>
          <w:lang w:val="en-US"/>
        </w:rPr>
        <w:t>). However, excessive reliance on debt without corresponding economic growth leads to fiscal distress, weakening the county governments’ abilit</w:t>
      </w:r>
      <w:r w:rsidR="009307A8" w:rsidRPr="002E6D8F">
        <w:rPr>
          <w:rFonts w:eastAsia="Calibri"/>
          <w:sz w:val="24"/>
          <w:szCs w:val="24"/>
          <w:lang w:val="en-US"/>
        </w:rPr>
        <w:t xml:space="preserve">y to meet financial obligations (Kibet </w:t>
      </w:r>
      <w:r w:rsidR="009307A8" w:rsidRPr="002E6D8F">
        <w:rPr>
          <w:rFonts w:eastAsia="Calibri"/>
          <w:i/>
          <w:sz w:val="24"/>
          <w:szCs w:val="24"/>
          <w:lang w:val="en-US"/>
        </w:rPr>
        <w:t>et al</w:t>
      </w:r>
      <w:r w:rsidR="009307A8" w:rsidRPr="002E6D8F">
        <w:rPr>
          <w:rFonts w:eastAsia="Calibri"/>
          <w:sz w:val="24"/>
          <w:szCs w:val="24"/>
          <w:lang w:val="en-US"/>
        </w:rPr>
        <w:t xml:space="preserve">., 2019). </w:t>
      </w:r>
    </w:p>
    <w:p w14:paraId="649DBFDB" w14:textId="77777777" w:rsidR="007C2944" w:rsidRPr="002E6D8F" w:rsidRDefault="007C2944">
      <w:pPr>
        <w:spacing w:before="0" w:beforeAutospacing="0" w:after="0" w:line="360" w:lineRule="auto"/>
        <w:jc w:val="both"/>
        <w:rPr>
          <w:sz w:val="24"/>
          <w:szCs w:val="24"/>
          <w:lang w:val="en-US"/>
        </w:rPr>
      </w:pPr>
    </w:p>
    <w:p w14:paraId="12D61FEF" w14:textId="77777777" w:rsidR="007C2944" w:rsidRPr="002E6D8F" w:rsidRDefault="00170B62">
      <w:pPr>
        <w:spacing w:before="0" w:beforeAutospacing="0" w:after="0" w:line="360" w:lineRule="auto"/>
        <w:jc w:val="both"/>
        <w:rPr>
          <w:rFonts w:eastAsia="Calibri"/>
          <w:sz w:val="24"/>
          <w:szCs w:val="24"/>
          <w:lang w:val="en-US" w:eastAsia="en-US"/>
        </w:rPr>
      </w:pPr>
      <w:r w:rsidRPr="002E6D8F">
        <w:rPr>
          <w:rFonts w:eastAsia="Calibri"/>
          <w:sz w:val="24"/>
          <w:szCs w:val="24"/>
          <w:lang w:val="en-US"/>
        </w:rPr>
        <w:t>This study adopted the debt accumulation model to examine how macroeconomic factors—economic growth, tax revenue, corruption levels, and government expenditure drive county indebtedness (</w:t>
      </w:r>
      <w:proofErr w:type="spellStart"/>
      <w:r w:rsidRPr="002E6D8F">
        <w:rPr>
          <w:rFonts w:eastAsia="Calibri"/>
          <w:sz w:val="24"/>
          <w:szCs w:val="24"/>
          <w:lang w:val="en-US" w:eastAsia="en-US"/>
        </w:rPr>
        <w:t>Fengze</w:t>
      </w:r>
      <w:proofErr w:type="spellEnd"/>
      <w:r w:rsidRPr="002E6D8F">
        <w:rPr>
          <w:rFonts w:eastAsia="Calibri"/>
          <w:sz w:val="24"/>
          <w:szCs w:val="24"/>
          <w:lang w:val="en-US" w:eastAsia="en-US"/>
        </w:rPr>
        <w:t xml:space="preserve">, 2023). </w:t>
      </w:r>
      <w:r w:rsidRPr="002E6D8F">
        <w:rPr>
          <w:rFonts w:eastAsia="Calibri"/>
          <w:sz w:val="24"/>
          <w:szCs w:val="24"/>
          <w:lang w:val="en-US"/>
        </w:rPr>
        <w:t>Through an analysis of borrowing patterns in relation to key economic indicators, this research aims to inform policies that promote responsible debt management, improve revenue predictability, and enhance fiscal sustainability among counties (</w:t>
      </w:r>
      <w:r w:rsidR="00E14DEA" w:rsidRPr="002E6D8F">
        <w:rPr>
          <w:rFonts w:eastAsia="Calibri"/>
          <w:sz w:val="24"/>
          <w:szCs w:val="24"/>
          <w:lang w:val="en-US" w:eastAsia="en-US"/>
        </w:rPr>
        <w:t>Ahmed</w:t>
      </w:r>
      <w:r w:rsidRPr="002E6D8F">
        <w:rPr>
          <w:rFonts w:eastAsia="Calibri"/>
          <w:sz w:val="24"/>
          <w:szCs w:val="24"/>
          <w:lang w:val="en-US" w:eastAsia="en-US"/>
        </w:rPr>
        <w:t xml:space="preserve"> </w:t>
      </w:r>
      <w:r w:rsidR="00E14DEA" w:rsidRPr="002E6D8F">
        <w:rPr>
          <w:rFonts w:eastAsia="Calibri"/>
          <w:sz w:val="24"/>
          <w:szCs w:val="24"/>
          <w:lang w:val="en-US" w:eastAsia="en-US"/>
        </w:rPr>
        <w:t>&amp;</w:t>
      </w:r>
      <w:r w:rsidRPr="002E6D8F">
        <w:rPr>
          <w:rFonts w:eastAsia="Calibri"/>
          <w:sz w:val="24"/>
          <w:szCs w:val="24"/>
          <w:lang w:val="en-US" w:eastAsia="en-US"/>
        </w:rPr>
        <w:t xml:space="preserve"> Rahman, 2019). </w:t>
      </w:r>
    </w:p>
    <w:p w14:paraId="3B93D277" w14:textId="77777777" w:rsidR="00CE5169" w:rsidRPr="002E6D8F" w:rsidRDefault="00170B62" w:rsidP="00E14DEA">
      <w:pPr>
        <w:spacing w:line="360" w:lineRule="auto"/>
        <w:jc w:val="both"/>
        <w:rPr>
          <w:sz w:val="24"/>
          <w:szCs w:val="24"/>
          <w:lang w:val="en-US"/>
        </w:rPr>
      </w:pPr>
      <w:r w:rsidRPr="002E6D8F">
        <w:rPr>
          <w:sz w:val="24"/>
          <w:szCs w:val="24"/>
        </w:rPr>
        <w:lastRenderedPageBreak/>
        <w:t>The study links county governments’ borrowing behaviour to the Debt Accumulation Theory by illustrating that debt levels are driven by the interplay of expenditures, revenues, and interest costs. Consistent with the theory, counties with expenditures exceeding revenues—compounded by declining tax revenue, rising corruption, and fiscal pressures in the post-COVID-19 period—resorted to borrowing to finance deficits. This framework helps explain why macroeconomic factors such as government expenditure, tax revenue, and economic growth are key determinants of county indebtedness and underscores the importance of sustainable fiscal management.</w:t>
      </w:r>
    </w:p>
    <w:p w14:paraId="30FDF360" w14:textId="77777777" w:rsidR="007C2944" w:rsidRPr="002E6D8F" w:rsidRDefault="00170B62" w:rsidP="00CE5169">
      <w:pPr>
        <w:spacing w:before="0" w:beforeAutospacing="0" w:after="0" w:line="360" w:lineRule="auto"/>
        <w:jc w:val="both"/>
        <w:rPr>
          <w:rFonts w:eastAsia="Calibri"/>
          <w:sz w:val="24"/>
          <w:szCs w:val="24"/>
          <w:lang w:val="en-US"/>
        </w:rPr>
      </w:pPr>
      <w:r w:rsidRPr="002E6D8F">
        <w:rPr>
          <w:rFonts w:eastAsia="Calibri"/>
          <w:sz w:val="24"/>
          <w:szCs w:val="24"/>
          <w:lang w:val="en-US"/>
        </w:rPr>
        <w:t xml:space="preserve">An empirical review involves an in-depth analysis of existing studies and data to understand and </w:t>
      </w:r>
      <w:proofErr w:type="spellStart"/>
      <w:r w:rsidRPr="002E6D8F">
        <w:rPr>
          <w:rFonts w:eastAsia="Calibri"/>
          <w:sz w:val="24"/>
          <w:szCs w:val="24"/>
          <w:lang w:val="en-US"/>
        </w:rPr>
        <w:t>contextualise</w:t>
      </w:r>
      <w:proofErr w:type="spellEnd"/>
      <w:r w:rsidRPr="002E6D8F">
        <w:rPr>
          <w:rFonts w:eastAsia="Calibri"/>
          <w:sz w:val="24"/>
          <w:szCs w:val="24"/>
          <w:lang w:val="en-US"/>
        </w:rPr>
        <w:t xml:space="preserve"> the impact of specific factors on a given phenomenon (Stern, 2018; Chen &amp; Lin, 2021). This study focuses on the empirical literature regarding how macroeconomic determinants of economic growth, tax revenue, corruption levels, and government expenditure affect counties' indebtedness in Kenya during the post-COVID-19 period.</w:t>
      </w:r>
      <w:r w:rsidR="00CE5169" w:rsidRPr="002E6D8F">
        <w:rPr>
          <w:rFonts w:eastAsia="Calibri"/>
          <w:sz w:val="24"/>
          <w:szCs w:val="24"/>
          <w:lang w:val="en-US"/>
        </w:rPr>
        <w:t xml:space="preserve"> </w:t>
      </w:r>
      <w:r w:rsidRPr="002E6D8F">
        <w:rPr>
          <w:sz w:val="24"/>
          <w:szCs w:val="24"/>
        </w:rPr>
        <w:t>The study identifies several knowledge gaps in existing research on the relationship between macroeconomic conditions and county debt levels. While there is an extensive body of literature on county governments’   indebtedness in developed economies, much less is known about how macroeconomic factors influence County debt in sub-Saharan Africa, specifically in Kenya. Most studies on County indebtedness focus on developed countries, where the financial systems, government interventions, and consumer behaviour are different. The unique economic environment in Kenya, with its high levels of informal borrowing, reliance on remittances, and an evolving financial system, suggests that the dynamics of County debt in this region may differ significantly from those in the West. This gap in understanding the specific drivers of county indebtedness in Kenya, particularly in the post-COVID-19 period, warrants further investigation.</w:t>
      </w:r>
    </w:p>
    <w:p w14:paraId="196E830B" w14:textId="77777777" w:rsidR="007C2944" w:rsidRPr="002E6D8F" w:rsidRDefault="00170B62" w:rsidP="00CE5169">
      <w:pPr>
        <w:pStyle w:val="NormalWeb"/>
        <w:spacing w:line="360" w:lineRule="auto"/>
        <w:jc w:val="both"/>
      </w:pPr>
      <w:r w:rsidRPr="002E6D8F">
        <w:t xml:space="preserve">Another critical knowledge gap is the limited research on the impact of COVID-19 on County debt in Kenya. While the global pandemic has caused significant economic disruptions worldwide, the specific effects on county finances in Kenya remain underexplored. The pandemic has led to changes in income levels, rising corruption levels, and shifts in spending and borrowing patterns, all of which are expected to influence County indebtedness. However, research on how these changes interact with macroeconomic determinants such as inflation, interest rates, and government expenditure in Kenya's post-COVID context is scarce. This gap </w:t>
      </w:r>
      <w:r w:rsidRPr="002E6D8F">
        <w:lastRenderedPageBreak/>
        <w:t>highlights the need for a deeper exploration of how counties in Kenya have navigated debt accumulation and repayment in the wake of the economic shocks caused by COVID-19.</w:t>
      </w:r>
      <w:bookmarkStart w:id="55" w:name="_Toc185846447"/>
      <w:bookmarkStart w:id="56" w:name="_Toc185846158"/>
      <w:bookmarkStart w:id="57" w:name="_Toc185847149"/>
    </w:p>
    <w:p w14:paraId="3FA5F651" w14:textId="77777777" w:rsidR="007C2944" w:rsidRPr="002E6D8F" w:rsidRDefault="00170B62" w:rsidP="003477C4">
      <w:pPr>
        <w:pStyle w:val="Heading1"/>
        <w:spacing w:before="0" w:line="360" w:lineRule="auto"/>
        <w:rPr>
          <w:rFonts w:ascii="Times New Roman" w:hAnsi="Times New Roman"/>
          <w:b/>
          <w:bCs/>
          <w:color w:val="auto"/>
          <w:sz w:val="24"/>
          <w:szCs w:val="24"/>
          <w:lang w:val="en-GB"/>
        </w:rPr>
      </w:pPr>
      <w:bookmarkStart w:id="58" w:name="_Toc31377"/>
      <w:bookmarkStart w:id="59" w:name="_Toc8785"/>
      <w:bookmarkStart w:id="60" w:name="_Toc185846224"/>
      <w:bookmarkStart w:id="61" w:name="_Toc4562"/>
      <w:bookmarkStart w:id="62" w:name="_Toc185847215"/>
      <w:bookmarkStart w:id="63" w:name="_Toc10634"/>
      <w:bookmarkStart w:id="64" w:name="_Toc24663"/>
      <w:bookmarkStart w:id="65" w:name="_Toc17171"/>
      <w:bookmarkStart w:id="66" w:name="_Toc31053"/>
      <w:bookmarkStart w:id="67" w:name="_Toc30455"/>
      <w:bookmarkStart w:id="68" w:name="_Toc207656735"/>
      <w:bookmarkStart w:id="69" w:name="_Toc26072"/>
      <w:bookmarkStart w:id="70" w:name="_Toc17759"/>
      <w:bookmarkEnd w:id="55"/>
      <w:bookmarkEnd w:id="56"/>
      <w:bookmarkEnd w:id="57"/>
      <w:r w:rsidRPr="002E6D8F">
        <w:rPr>
          <w:rFonts w:ascii="Times New Roman" w:hAnsi="Times New Roman"/>
          <w:b/>
          <w:bCs/>
          <w:color w:val="auto"/>
          <w:sz w:val="24"/>
          <w:szCs w:val="24"/>
          <w:lang w:val="en-US"/>
        </w:rPr>
        <w:t xml:space="preserve">3 Research </w:t>
      </w:r>
      <w:r w:rsidRPr="002E6D8F">
        <w:rPr>
          <w:rFonts w:ascii="Times New Roman" w:hAnsi="Times New Roman"/>
          <w:b/>
          <w:bCs/>
          <w:color w:val="auto"/>
          <w:sz w:val="24"/>
          <w:szCs w:val="24"/>
        </w:rPr>
        <w:t>Methodology</w:t>
      </w:r>
      <w:bookmarkEnd w:id="58"/>
      <w:bookmarkEnd w:id="59"/>
      <w:bookmarkEnd w:id="60"/>
      <w:bookmarkEnd w:id="61"/>
      <w:bookmarkEnd w:id="62"/>
      <w:bookmarkEnd w:id="63"/>
      <w:bookmarkEnd w:id="64"/>
      <w:bookmarkEnd w:id="65"/>
      <w:bookmarkEnd w:id="66"/>
      <w:bookmarkEnd w:id="67"/>
      <w:bookmarkEnd w:id="68"/>
      <w:bookmarkEnd w:id="69"/>
      <w:bookmarkEnd w:id="70"/>
    </w:p>
    <w:p w14:paraId="5CE7598A" w14:textId="77777777" w:rsidR="003477C4" w:rsidRPr="002E6D8F" w:rsidRDefault="00170B62" w:rsidP="003477C4">
      <w:pPr>
        <w:rPr>
          <w:b/>
          <w:sz w:val="24"/>
          <w:szCs w:val="24"/>
          <w:lang w:val="en-GB"/>
        </w:rPr>
      </w:pPr>
      <w:r w:rsidRPr="002E6D8F">
        <w:rPr>
          <w:b/>
          <w:sz w:val="24"/>
          <w:szCs w:val="24"/>
          <w:lang w:val="en-GB"/>
        </w:rPr>
        <w:t xml:space="preserve">3.1 Research Design and Data </w:t>
      </w:r>
    </w:p>
    <w:p w14:paraId="3262F45A" w14:textId="77777777" w:rsidR="007C2944" w:rsidRPr="002E6D8F" w:rsidRDefault="00170B62">
      <w:pPr>
        <w:spacing w:before="0" w:beforeAutospacing="0" w:after="0" w:line="360" w:lineRule="auto"/>
        <w:jc w:val="both"/>
        <w:rPr>
          <w:rFonts w:eastAsia="Calibri"/>
          <w:sz w:val="24"/>
          <w:szCs w:val="24"/>
          <w:lang w:val="en-US"/>
        </w:rPr>
      </w:pPr>
      <w:r w:rsidRPr="002E6D8F">
        <w:rPr>
          <w:rFonts w:eastAsia="Calibri"/>
          <w:sz w:val="24"/>
          <w:szCs w:val="24"/>
          <w:lang w:val="en-US"/>
        </w:rPr>
        <w:t xml:space="preserve">The study was conducted in Kenya, an East African country covering 580,367 square </w:t>
      </w:r>
      <w:proofErr w:type="spellStart"/>
      <w:r w:rsidRPr="002E6D8F">
        <w:rPr>
          <w:rFonts w:eastAsia="Calibri"/>
          <w:sz w:val="24"/>
          <w:szCs w:val="24"/>
          <w:lang w:val="en-US"/>
        </w:rPr>
        <w:t>kilometres</w:t>
      </w:r>
      <w:proofErr w:type="spellEnd"/>
      <w:r w:rsidR="003477C4" w:rsidRPr="002E6D8F">
        <w:rPr>
          <w:rFonts w:eastAsia="Calibri"/>
          <w:sz w:val="24"/>
          <w:szCs w:val="24"/>
          <w:lang w:val="en-US"/>
        </w:rPr>
        <w:t xml:space="preserve">. </w:t>
      </w:r>
      <w:r w:rsidRPr="002E6D8F">
        <w:rPr>
          <w:rFonts w:eastAsia="Calibri"/>
          <w:sz w:val="24"/>
          <w:szCs w:val="24"/>
          <w:lang w:val="en-US"/>
        </w:rPr>
        <w:t>Administratively, Kenya is divided into 47 counties, each governed independently under a devolved system of government (</w:t>
      </w:r>
      <w:r w:rsidRPr="002E6D8F">
        <w:rPr>
          <w:rFonts w:eastAsia="Calibri"/>
          <w:sz w:val="24"/>
          <w:szCs w:val="24"/>
          <w:lang w:val="en-US" w:eastAsia="en-US"/>
        </w:rPr>
        <w:t>Thuku, 2020).</w:t>
      </w:r>
      <w:r w:rsidR="003477C4" w:rsidRPr="002E6D8F">
        <w:rPr>
          <w:rFonts w:eastAsia="Calibri"/>
          <w:sz w:val="24"/>
          <w:szCs w:val="24"/>
          <w:lang w:val="en-US" w:eastAsia="en-US"/>
        </w:rPr>
        <w:t xml:space="preserve"> </w:t>
      </w:r>
      <w:r w:rsidRPr="002E6D8F">
        <w:rPr>
          <w:rFonts w:eastAsia="Calibri"/>
          <w:sz w:val="24"/>
          <w:szCs w:val="24"/>
          <w:lang w:val="en-US"/>
        </w:rPr>
        <w:t>Each county exhibits unique economic characteristics, influencing its revenue generation and debt sustainability (</w:t>
      </w:r>
      <w:r w:rsidRPr="002E6D8F">
        <w:rPr>
          <w:rFonts w:eastAsia="Calibri"/>
          <w:sz w:val="24"/>
          <w:szCs w:val="24"/>
          <w:lang w:val="en-US" w:eastAsia="en-US"/>
        </w:rPr>
        <w:t>Cheruiyot, 2018). </w:t>
      </w:r>
      <w:bookmarkStart w:id="71" w:name="_Toc179018967"/>
      <w:r w:rsidRPr="002E6D8F">
        <w:rPr>
          <w:rFonts w:eastAsia="Calibri"/>
          <w:sz w:val="24"/>
          <w:szCs w:val="24"/>
          <w:lang w:val="en-US"/>
        </w:rPr>
        <w:t xml:space="preserve">This study adopted descriptive and explanatory research designs to </w:t>
      </w:r>
      <w:proofErr w:type="spellStart"/>
      <w:r w:rsidRPr="002E6D8F">
        <w:rPr>
          <w:rFonts w:eastAsia="Calibri"/>
          <w:sz w:val="24"/>
          <w:szCs w:val="24"/>
          <w:lang w:val="en-US"/>
        </w:rPr>
        <w:t>analyse</w:t>
      </w:r>
      <w:proofErr w:type="spellEnd"/>
      <w:r w:rsidRPr="002E6D8F">
        <w:rPr>
          <w:rFonts w:eastAsia="Calibri"/>
          <w:sz w:val="24"/>
          <w:szCs w:val="24"/>
          <w:lang w:val="en-US"/>
        </w:rPr>
        <w:t xml:space="preserve"> the impact of macroeconomic determinants on county governments' indebtedness in Kenya post-COVID-19. </w:t>
      </w:r>
    </w:p>
    <w:bookmarkEnd w:id="71"/>
    <w:p w14:paraId="1944E5C8" w14:textId="77777777" w:rsidR="007C2944" w:rsidRPr="002E6D8F" w:rsidRDefault="007C2944">
      <w:pPr>
        <w:spacing w:before="0" w:beforeAutospacing="0" w:after="0" w:line="360" w:lineRule="auto"/>
        <w:jc w:val="both"/>
        <w:rPr>
          <w:sz w:val="24"/>
          <w:szCs w:val="24"/>
          <w:lang w:val="en-US"/>
        </w:rPr>
      </w:pPr>
    </w:p>
    <w:p w14:paraId="032FEF45" w14:textId="77777777" w:rsidR="007C2944" w:rsidRPr="002E6D8F" w:rsidRDefault="00170B62">
      <w:pPr>
        <w:spacing w:before="0" w:beforeAutospacing="0" w:after="0" w:line="360" w:lineRule="auto"/>
        <w:jc w:val="both"/>
        <w:rPr>
          <w:rFonts w:eastAsia="SimSun"/>
          <w:sz w:val="24"/>
          <w:szCs w:val="24"/>
          <w:lang w:val="en-GB"/>
        </w:rPr>
      </w:pPr>
      <w:r w:rsidRPr="002E6D8F">
        <w:rPr>
          <w:rFonts w:eastAsia="Calibri"/>
          <w:sz w:val="24"/>
          <w:szCs w:val="24"/>
          <w:lang w:val="en-US"/>
        </w:rPr>
        <w:t xml:space="preserve">This study </w:t>
      </w:r>
      <w:proofErr w:type="spellStart"/>
      <w:r w:rsidRPr="002E6D8F">
        <w:rPr>
          <w:rFonts w:eastAsia="Calibri"/>
          <w:sz w:val="24"/>
          <w:szCs w:val="24"/>
          <w:lang w:val="en-US"/>
        </w:rPr>
        <w:t>utilised</w:t>
      </w:r>
      <w:proofErr w:type="spellEnd"/>
      <w:r w:rsidRPr="002E6D8F">
        <w:rPr>
          <w:rFonts w:eastAsia="Calibri"/>
          <w:sz w:val="24"/>
          <w:szCs w:val="24"/>
          <w:lang w:val="en-US"/>
        </w:rPr>
        <w:t xml:space="preserve"> secondary data covering a four-year financial year</w:t>
      </w:r>
      <w:r w:rsidR="00E14DEA" w:rsidRPr="002E6D8F">
        <w:rPr>
          <w:rFonts w:eastAsia="Calibri"/>
          <w:sz w:val="24"/>
          <w:szCs w:val="24"/>
          <w:lang w:val="en-US"/>
        </w:rPr>
        <w:t xml:space="preserve"> panel dataset (2020/2021 to 20</w:t>
      </w:r>
      <w:r w:rsidRPr="002E6D8F">
        <w:rPr>
          <w:rFonts w:eastAsia="Calibri"/>
          <w:sz w:val="24"/>
          <w:szCs w:val="24"/>
          <w:lang w:val="en-US"/>
        </w:rPr>
        <w:t xml:space="preserve">23/2024). Secondary data was suitable for this research as it is readily available, reliable, and cost-effective, providing a practical solution for researchers with limited time and resources (Al Omari, 2021). </w:t>
      </w:r>
      <w:bookmarkStart w:id="72" w:name="_Toc23580"/>
      <w:bookmarkStart w:id="73" w:name="_Toc1376"/>
      <w:bookmarkStart w:id="74" w:name="_Toc23019"/>
      <w:bookmarkStart w:id="75" w:name="_Toc32004"/>
      <w:bookmarkStart w:id="76" w:name="_Toc19913"/>
      <w:bookmarkStart w:id="77" w:name="_Toc7841"/>
      <w:bookmarkStart w:id="78" w:name="_Toc5338"/>
      <w:r w:rsidRPr="002E6D8F">
        <w:rPr>
          <w:rFonts w:eastAsia="SimSun"/>
          <w:sz w:val="24"/>
          <w:szCs w:val="24"/>
        </w:rPr>
        <w:t xml:space="preserve">The dependent variable, county government indebtedness, measured as the ratio of county public debt stock to Gross County Product (GCP), was obtained from the </w:t>
      </w:r>
      <w:r w:rsidRPr="002E6D8F">
        <w:rPr>
          <w:rStyle w:val="Strong"/>
          <w:rFonts w:eastAsia="SimSun"/>
          <w:b w:val="0"/>
          <w:bCs w:val="0"/>
          <w:sz w:val="24"/>
          <w:szCs w:val="24"/>
        </w:rPr>
        <w:t>Controller of Budget (CoB)</w:t>
      </w:r>
      <w:r w:rsidRPr="002E6D8F">
        <w:rPr>
          <w:rFonts w:eastAsia="SimSun"/>
          <w:sz w:val="24"/>
          <w:szCs w:val="24"/>
        </w:rPr>
        <w:t xml:space="preserve"> reports. Economic growth, proxied by the annual county-level GCP growth rate, was sourced from the </w:t>
      </w:r>
      <w:r w:rsidRPr="002E6D8F">
        <w:rPr>
          <w:rStyle w:val="Strong"/>
          <w:rFonts w:eastAsia="SimSun"/>
          <w:b w:val="0"/>
          <w:bCs w:val="0"/>
          <w:sz w:val="24"/>
          <w:szCs w:val="24"/>
        </w:rPr>
        <w:t>Kenya National Bureau of Statistics (KNBS)</w:t>
      </w:r>
      <w:r w:rsidRPr="002E6D8F">
        <w:rPr>
          <w:rFonts w:eastAsia="SimSun"/>
          <w:sz w:val="24"/>
          <w:szCs w:val="24"/>
        </w:rPr>
        <w:t xml:space="preserve">. Data on tax revenue, captured as county own-source revenue, was obtained from the </w:t>
      </w:r>
      <w:r w:rsidRPr="002E6D8F">
        <w:rPr>
          <w:rStyle w:val="Strong"/>
          <w:rFonts w:eastAsia="SimSun"/>
          <w:b w:val="0"/>
          <w:bCs w:val="0"/>
          <w:sz w:val="24"/>
          <w:szCs w:val="24"/>
        </w:rPr>
        <w:t>Commission on Revenue Allocation (CRA)</w:t>
      </w:r>
      <w:r w:rsidRPr="002E6D8F">
        <w:rPr>
          <w:rFonts w:eastAsia="SimSun"/>
          <w:sz w:val="24"/>
          <w:szCs w:val="24"/>
        </w:rPr>
        <w:t xml:space="preserve">. County government expenditure, measured as a percentage of GCP, was obtained from the </w:t>
      </w:r>
      <w:r w:rsidRPr="002E6D8F">
        <w:rPr>
          <w:rStyle w:val="Strong"/>
          <w:rFonts w:eastAsia="SimSun"/>
          <w:b w:val="0"/>
          <w:bCs w:val="0"/>
          <w:sz w:val="24"/>
          <w:szCs w:val="24"/>
        </w:rPr>
        <w:t>National Treasury</w:t>
      </w:r>
      <w:r w:rsidRPr="002E6D8F">
        <w:rPr>
          <w:rFonts w:eastAsia="SimSun"/>
          <w:sz w:val="24"/>
          <w:szCs w:val="24"/>
        </w:rPr>
        <w:t xml:space="preserve">. Finally, corruption levels, represented by the Corruption Perception Index, were sourced from the </w:t>
      </w:r>
      <w:r w:rsidRPr="002E6D8F">
        <w:rPr>
          <w:rStyle w:val="Strong"/>
          <w:rFonts w:eastAsia="SimSun"/>
          <w:b w:val="0"/>
          <w:bCs w:val="0"/>
          <w:sz w:val="24"/>
          <w:szCs w:val="24"/>
        </w:rPr>
        <w:t>Ethics and Anti-Corruption Commission (EACC)</w:t>
      </w:r>
      <w:r w:rsidRPr="002E6D8F">
        <w:rPr>
          <w:rFonts w:eastAsia="SimSun"/>
          <w:sz w:val="24"/>
          <w:szCs w:val="24"/>
        </w:rPr>
        <w:t>. These sources were selected because they are the most authoritative and reliable providers of official data relevant to each variable.</w:t>
      </w:r>
    </w:p>
    <w:p w14:paraId="60FAD3BA" w14:textId="77777777" w:rsidR="003477C4" w:rsidRPr="002E6D8F" w:rsidRDefault="003477C4">
      <w:pPr>
        <w:spacing w:before="0" w:beforeAutospacing="0" w:after="0" w:line="360" w:lineRule="auto"/>
        <w:jc w:val="both"/>
        <w:rPr>
          <w:rFonts w:eastAsia="SimSun"/>
          <w:sz w:val="24"/>
          <w:szCs w:val="24"/>
          <w:lang w:val="en-GB"/>
        </w:rPr>
      </w:pPr>
    </w:p>
    <w:p w14:paraId="1199601D" w14:textId="77777777" w:rsidR="003477C4" w:rsidRPr="002E6D8F" w:rsidRDefault="00E45D1B">
      <w:pPr>
        <w:spacing w:before="0" w:beforeAutospacing="0" w:after="0" w:line="360" w:lineRule="auto"/>
        <w:jc w:val="both"/>
        <w:rPr>
          <w:rFonts w:eastAsia="SimSun"/>
          <w:b/>
          <w:sz w:val="24"/>
          <w:szCs w:val="24"/>
          <w:lang w:val="en-GB"/>
        </w:rPr>
      </w:pPr>
      <w:r>
        <w:rPr>
          <w:rFonts w:eastAsia="SimSun"/>
          <w:b/>
          <w:sz w:val="24"/>
          <w:szCs w:val="24"/>
          <w:lang w:val="en-GB"/>
        </w:rPr>
        <w:t xml:space="preserve">3.2 </w:t>
      </w:r>
      <w:r w:rsidR="00170B62" w:rsidRPr="002E6D8F">
        <w:rPr>
          <w:rFonts w:eastAsia="SimSun"/>
          <w:b/>
          <w:sz w:val="24"/>
          <w:szCs w:val="24"/>
          <w:lang w:val="en-GB"/>
        </w:rPr>
        <w:t>Data Analysis</w:t>
      </w:r>
    </w:p>
    <w:bookmarkEnd w:id="72"/>
    <w:bookmarkEnd w:id="73"/>
    <w:bookmarkEnd w:id="74"/>
    <w:bookmarkEnd w:id="75"/>
    <w:bookmarkEnd w:id="76"/>
    <w:bookmarkEnd w:id="77"/>
    <w:bookmarkEnd w:id="78"/>
    <w:p w14:paraId="44090556" w14:textId="77777777" w:rsidR="007C2944" w:rsidRPr="002E6D8F" w:rsidRDefault="00170B62">
      <w:pPr>
        <w:pStyle w:val="NormalWeb"/>
        <w:spacing w:line="360" w:lineRule="auto"/>
        <w:jc w:val="both"/>
      </w:pPr>
      <w:r w:rsidRPr="002E6D8F">
        <w:t>For inferential analysis, the study employed panel data regression techniques, specifically Fixed Effects (FE) and Random Effects (RE) models, estimated using STATA version 17 software. The use of panel data analysis was appropriate because the data set combined both cross-</w:t>
      </w:r>
      <w:r w:rsidRPr="002E6D8F">
        <w:lastRenderedPageBreak/>
        <w:t>sectional and time-series dimensions, covering 47 counties (cross-sections) observed over four financial years (time periods). Unlike purely cross-sectional or time-series methods, panel data models exploit both dimensions of the data set, thereby providing a richer source of information.</w:t>
      </w:r>
      <w:r w:rsidR="00E14DEA" w:rsidRPr="002E6D8F">
        <w:t xml:space="preserve"> </w:t>
      </w:r>
      <w:r w:rsidRPr="002E6D8F">
        <w:t>Finally, panel data techniques allow for specification tests such as the Hausman, Breusch–Pagan LM tests and F-test, which guide the selection of the most appropriate estimation framework between pooled OLS, Fixed and Random Effects models.</w:t>
      </w:r>
    </w:p>
    <w:p w14:paraId="291E950D" w14:textId="77777777" w:rsidR="007C2944" w:rsidRPr="002E6D8F" w:rsidRDefault="00170B62">
      <w:pPr>
        <w:spacing w:before="0" w:beforeAutospacing="0" w:line="360" w:lineRule="auto"/>
        <w:jc w:val="both"/>
        <w:rPr>
          <w:sz w:val="24"/>
          <w:szCs w:val="24"/>
          <w:lang w:val="en-US"/>
        </w:rPr>
      </w:pPr>
      <w:r w:rsidRPr="002E6D8F">
        <w:rPr>
          <w:rFonts w:eastAsia="Calibri"/>
          <w:sz w:val="24"/>
          <w:szCs w:val="24"/>
          <w:lang w:val="en-US"/>
        </w:rPr>
        <w:t xml:space="preserve">This study carried out pre-estimation tests, specifically </w:t>
      </w:r>
      <w:r w:rsidR="003477C4" w:rsidRPr="002E6D8F">
        <w:rPr>
          <w:rFonts w:eastAsia="Calibri"/>
          <w:sz w:val="24"/>
          <w:szCs w:val="24"/>
          <w:lang w:val="en-US"/>
        </w:rPr>
        <w:t>Levin, Lin and Chu (</w:t>
      </w:r>
      <w:r w:rsidR="009E1898" w:rsidRPr="002E6D8F">
        <w:rPr>
          <w:sz w:val="24"/>
          <w:szCs w:val="24"/>
        </w:rPr>
        <w:t>Levin,</w:t>
      </w:r>
      <w:r w:rsidR="009E1898" w:rsidRPr="002E6D8F">
        <w:rPr>
          <w:sz w:val="24"/>
          <w:szCs w:val="24"/>
          <w:lang w:val="en-GB"/>
        </w:rPr>
        <w:t xml:space="preserve"> </w:t>
      </w:r>
      <w:proofErr w:type="gramStart"/>
      <w:r w:rsidR="009E1898" w:rsidRPr="002E6D8F">
        <w:rPr>
          <w:sz w:val="24"/>
          <w:szCs w:val="24"/>
        </w:rPr>
        <w:t>Lin,  &amp;</w:t>
      </w:r>
      <w:proofErr w:type="gramEnd"/>
      <w:r w:rsidR="009E1898" w:rsidRPr="002E6D8F">
        <w:rPr>
          <w:sz w:val="24"/>
          <w:szCs w:val="24"/>
        </w:rPr>
        <w:t xml:space="preserve"> Chu,</w:t>
      </w:r>
      <w:r w:rsidR="009E1898" w:rsidRPr="002E6D8F">
        <w:rPr>
          <w:sz w:val="24"/>
          <w:szCs w:val="24"/>
          <w:lang w:val="en-GB"/>
        </w:rPr>
        <w:t xml:space="preserve"> </w:t>
      </w:r>
      <w:r w:rsidR="009E1898" w:rsidRPr="002E6D8F">
        <w:rPr>
          <w:sz w:val="24"/>
          <w:szCs w:val="24"/>
        </w:rPr>
        <w:t>2002).</w:t>
      </w:r>
      <w:r w:rsidR="003477C4" w:rsidRPr="002E6D8F">
        <w:rPr>
          <w:rFonts w:eastAsia="Calibri"/>
          <w:sz w:val="24"/>
          <w:szCs w:val="24"/>
          <w:lang w:val="en-US"/>
        </w:rPr>
        <w:t xml:space="preserve">) test </w:t>
      </w:r>
      <w:r w:rsidRPr="002E6D8F">
        <w:rPr>
          <w:rFonts w:eastAsia="Calibri"/>
          <w:sz w:val="24"/>
          <w:szCs w:val="24"/>
          <w:lang w:val="en-US"/>
        </w:rPr>
        <w:t>unit root tests, to ensure the validity of the regression results and prevent spurious relationships (</w:t>
      </w:r>
      <w:proofErr w:type="spellStart"/>
      <w:r w:rsidRPr="002E6D8F">
        <w:rPr>
          <w:rFonts w:eastAsia="Calibri"/>
          <w:sz w:val="24"/>
          <w:szCs w:val="24"/>
          <w:lang w:val="en-US"/>
        </w:rPr>
        <w:t>Breitung</w:t>
      </w:r>
      <w:proofErr w:type="spellEnd"/>
      <w:r w:rsidRPr="002E6D8F">
        <w:rPr>
          <w:rFonts w:eastAsia="Calibri"/>
          <w:sz w:val="24"/>
          <w:szCs w:val="24"/>
          <w:lang w:val="en-US"/>
        </w:rPr>
        <w:t xml:space="preserve"> &amp; </w:t>
      </w:r>
      <w:proofErr w:type="spellStart"/>
      <w:r w:rsidRPr="002E6D8F">
        <w:rPr>
          <w:rFonts w:eastAsia="Calibri"/>
          <w:sz w:val="24"/>
          <w:szCs w:val="24"/>
          <w:lang w:val="en-US"/>
        </w:rPr>
        <w:t>Pesaran</w:t>
      </w:r>
      <w:proofErr w:type="spellEnd"/>
      <w:r w:rsidRPr="002E6D8F">
        <w:rPr>
          <w:rFonts w:eastAsia="Calibri"/>
          <w:sz w:val="24"/>
          <w:szCs w:val="24"/>
          <w:lang w:val="en-US"/>
        </w:rPr>
        <w:t>, 2008). Non-stationary data can lead to misleading inferences, which makes it essential to test for stationarity before conducting further econometric analysis (</w:t>
      </w:r>
      <w:proofErr w:type="spellStart"/>
      <w:r w:rsidRPr="002E6D8F">
        <w:rPr>
          <w:rFonts w:eastAsia="Calibri"/>
          <w:sz w:val="24"/>
          <w:szCs w:val="24"/>
          <w:lang w:val="en-US"/>
        </w:rPr>
        <w:t>Beenstock</w:t>
      </w:r>
      <w:proofErr w:type="spellEnd"/>
      <w:r w:rsidRPr="002E6D8F">
        <w:rPr>
          <w:rFonts w:eastAsia="Calibri"/>
          <w:sz w:val="24"/>
          <w:szCs w:val="24"/>
          <w:lang w:val="en-US"/>
        </w:rPr>
        <w:t xml:space="preserve"> &amp; </w:t>
      </w:r>
      <w:proofErr w:type="spellStart"/>
      <w:r w:rsidRPr="002E6D8F">
        <w:rPr>
          <w:rFonts w:eastAsia="Calibri"/>
          <w:sz w:val="24"/>
          <w:szCs w:val="24"/>
          <w:lang w:val="en-US"/>
        </w:rPr>
        <w:t>Felsenstein</w:t>
      </w:r>
      <w:proofErr w:type="spellEnd"/>
      <w:r w:rsidRPr="002E6D8F">
        <w:rPr>
          <w:rFonts w:eastAsia="Calibri"/>
          <w:sz w:val="24"/>
          <w:szCs w:val="24"/>
          <w:lang w:val="en-US"/>
        </w:rPr>
        <w:t>, 2019). Given that the data used in this study combined cross-sectional (counties) and time-series (financial years) dimensions, the presence of unit roots was tested before regression analysis.</w:t>
      </w:r>
    </w:p>
    <w:p w14:paraId="1548E147" w14:textId="77777777" w:rsidR="007C2944" w:rsidRPr="002E6D8F" w:rsidRDefault="00170B62">
      <w:pPr>
        <w:spacing w:before="0" w:beforeAutospacing="0" w:line="360" w:lineRule="auto"/>
        <w:jc w:val="both"/>
        <w:rPr>
          <w:rFonts w:eastAsia="Calibri"/>
          <w:sz w:val="24"/>
          <w:szCs w:val="24"/>
          <w:lang w:val="en-US"/>
        </w:rPr>
      </w:pPr>
      <w:r w:rsidRPr="002E6D8F">
        <w:rPr>
          <w:rFonts w:eastAsia="Calibri"/>
          <w:sz w:val="24"/>
          <w:szCs w:val="24"/>
          <w:lang w:val="en-US"/>
        </w:rPr>
        <w:t xml:space="preserve">Once stationarity was confirmed, the study proceeded with panel regression analysis. To determine whether the Pooled OLS model was appropriate, the Breusch–Pagan Lagrange Multiplier (LM) test and the F-test were carried out. </w:t>
      </w:r>
    </w:p>
    <w:p w14:paraId="27F71432" w14:textId="77777777" w:rsidR="007C2944" w:rsidRPr="00EA7F3C" w:rsidRDefault="00170B62">
      <w:pPr>
        <w:spacing w:before="0" w:beforeAutospacing="0" w:after="0" w:line="360" w:lineRule="auto"/>
        <w:jc w:val="both"/>
        <w:rPr>
          <w:i/>
          <w:sz w:val="24"/>
          <w:szCs w:val="24"/>
          <w:lang w:val="en-US"/>
        </w:rPr>
      </w:pPr>
      <w:r w:rsidRPr="00EA7F3C">
        <w:rPr>
          <w:rFonts w:eastAsia="Calibri"/>
          <w:i/>
          <w:sz w:val="24"/>
          <w:szCs w:val="24"/>
          <w:lang w:val="en-US"/>
        </w:rPr>
        <w:t>Breusch–Pagan Lagrange Multiplier (LM) Test</w:t>
      </w:r>
    </w:p>
    <w:p w14:paraId="4CCE8CDE" w14:textId="77777777" w:rsidR="007C2944" w:rsidRPr="002E6D8F" w:rsidRDefault="00170B62">
      <w:pPr>
        <w:spacing w:before="0" w:beforeAutospacing="0" w:after="0" w:line="360" w:lineRule="auto"/>
        <w:ind w:left="360"/>
        <w:jc w:val="both"/>
        <w:rPr>
          <w:rFonts w:eastAsia="Calibri"/>
          <w:sz w:val="24"/>
          <w:szCs w:val="24"/>
          <w:lang w:val="en-US" w:eastAsia="en-US"/>
        </w:rPr>
      </w:pPr>
      <w:r w:rsidRPr="002E6D8F">
        <w:rPr>
          <w:rFonts w:eastAsia="Calibri"/>
          <w:b/>
          <w:bCs/>
          <w:sz w:val="24"/>
          <w:szCs w:val="24"/>
          <w:lang w:val="en-US" w:eastAsia="en-US"/>
        </w:rPr>
        <w:t>H₀</w:t>
      </w:r>
      <w:r w:rsidRPr="002E6D8F">
        <w:rPr>
          <w:rFonts w:eastAsia="Calibri"/>
          <w:b/>
          <w:bCs/>
          <w:i/>
          <w:iCs/>
          <w:sz w:val="24"/>
          <w:szCs w:val="24"/>
          <w:lang w:val="en-US" w:eastAsia="en-US"/>
        </w:rPr>
        <w:t>:</w:t>
      </w:r>
      <w:r w:rsidRPr="002E6D8F">
        <w:rPr>
          <w:rFonts w:eastAsia="Calibri"/>
          <w:sz w:val="24"/>
          <w:szCs w:val="24"/>
          <w:lang w:val="en-US" w:eastAsia="en-US"/>
        </w:rPr>
        <w:t xml:space="preserve"> Variances across entities (counties) are zero → Pooled OLS is appropriate (no significant panel effect).</w:t>
      </w:r>
    </w:p>
    <w:p w14:paraId="2AFEFE29" w14:textId="77777777" w:rsidR="007C2944" w:rsidRPr="002E6D8F" w:rsidRDefault="00170B62">
      <w:pPr>
        <w:spacing w:before="0" w:beforeAutospacing="0" w:after="0" w:line="360" w:lineRule="auto"/>
        <w:ind w:left="360"/>
        <w:jc w:val="both"/>
        <w:rPr>
          <w:rFonts w:eastAsia="Calibri"/>
          <w:sz w:val="24"/>
          <w:szCs w:val="24"/>
          <w:lang w:val="en-US" w:eastAsia="en-US"/>
        </w:rPr>
      </w:pPr>
      <w:r w:rsidRPr="002E6D8F">
        <w:rPr>
          <w:rFonts w:eastAsia="Calibri"/>
          <w:b/>
          <w:bCs/>
          <w:sz w:val="24"/>
          <w:szCs w:val="24"/>
          <w:lang w:val="en-US" w:eastAsia="en-US"/>
        </w:rPr>
        <w:t>Hₐ:</w:t>
      </w:r>
      <w:r w:rsidRPr="002E6D8F">
        <w:rPr>
          <w:rFonts w:eastAsia="Calibri"/>
          <w:sz w:val="24"/>
          <w:szCs w:val="24"/>
          <w:lang w:val="en-US" w:eastAsia="en-US"/>
        </w:rPr>
        <w:t xml:space="preserve"> Variances across entities (counties) are not zero → Random Effects (or Fixed Effects) is preferred over Pooled OLS.</w:t>
      </w:r>
    </w:p>
    <w:p w14:paraId="136938C0" w14:textId="77777777" w:rsidR="007C2944" w:rsidRPr="00EA7F3C" w:rsidRDefault="00170B62">
      <w:pPr>
        <w:spacing w:before="0" w:beforeAutospacing="0" w:after="0" w:line="360" w:lineRule="auto"/>
        <w:jc w:val="both"/>
        <w:rPr>
          <w:i/>
          <w:sz w:val="24"/>
          <w:szCs w:val="24"/>
          <w:lang w:val="en-US"/>
        </w:rPr>
      </w:pPr>
      <w:r w:rsidRPr="00EA7F3C">
        <w:rPr>
          <w:rFonts w:eastAsia="Calibri"/>
          <w:i/>
          <w:sz w:val="24"/>
          <w:szCs w:val="24"/>
          <w:lang w:val="en-US"/>
        </w:rPr>
        <w:t xml:space="preserve">F-Test </w:t>
      </w:r>
    </w:p>
    <w:p w14:paraId="46B2C6A9" w14:textId="77777777" w:rsidR="007C2944" w:rsidRPr="002E6D8F" w:rsidRDefault="00170B62">
      <w:pPr>
        <w:spacing w:before="0" w:beforeAutospacing="0" w:after="0" w:line="360" w:lineRule="auto"/>
        <w:ind w:left="360"/>
        <w:jc w:val="both"/>
        <w:rPr>
          <w:rFonts w:eastAsia="Calibri"/>
          <w:sz w:val="24"/>
          <w:szCs w:val="24"/>
          <w:lang w:val="en-US" w:eastAsia="en-US"/>
        </w:rPr>
      </w:pPr>
      <w:r w:rsidRPr="002E6D8F">
        <w:rPr>
          <w:rFonts w:eastAsia="Calibri"/>
          <w:b/>
          <w:bCs/>
          <w:sz w:val="24"/>
          <w:szCs w:val="24"/>
          <w:lang w:val="en-US" w:eastAsia="en-US"/>
        </w:rPr>
        <w:t xml:space="preserve">H₀: </w:t>
      </w:r>
      <w:r w:rsidRPr="002E6D8F">
        <w:rPr>
          <w:rFonts w:eastAsia="Calibri"/>
          <w:sz w:val="24"/>
          <w:szCs w:val="24"/>
          <w:lang w:val="en-US" w:eastAsia="en-US"/>
        </w:rPr>
        <w:t>All county-specific intercepts are equal → Pooled OLS is sufficient (no fixed effects).</w:t>
      </w:r>
    </w:p>
    <w:p w14:paraId="537C21FA" w14:textId="77777777" w:rsidR="007C2944" w:rsidRPr="002E6D8F" w:rsidRDefault="00170B62">
      <w:pPr>
        <w:spacing w:before="0" w:beforeAutospacing="0" w:after="0" w:line="360" w:lineRule="auto"/>
        <w:ind w:left="360"/>
        <w:jc w:val="both"/>
        <w:rPr>
          <w:rFonts w:eastAsia="Calibri"/>
          <w:sz w:val="24"/>
          <w:szCs w:val="24"/>
          <w:lang w:val="en-US" w:eastAsia="en-US"/>
        </w:rPr>
      </w:pPr>
      <w:r w:rsidRPr="002E6D8F">
        <w:rPr>
          <w:rFonts w:eastAsia="Calibri"/>
          <w:b/>
          <w:bCs/>
          <w:sz w:val="24"/>
          <w:szCs w:val="24"/>
          <w:lang w:val="en-US" w:eastAsia="en-US"/>
        </w:rPr>
        <w:t>Hₐ:</w:t>
      </w:r>
      <w:r w:rsidRPr="002E6D8F">
        <w:rPr>
          <w:rFonts w:eastAsia="Calibri"/>
          <w:sz w:val="24"/>
          <w:szCs w:val="24"/>
          <w:lang w:val="en-US" w:eastAsia="en-US"/>
        </w:rPr>
        <w:t xml:space="preserve"> At least one county-specific intercept is different → Fixed Effects model is preferred over Pooled OLS.</w:t>
      </w:r>
    </w:p>
    <w:p w14:paraId="5C3052D4" w14:textId="77777777" w:rsidR="007C2944" w:rsidRPr="002E6D8F" w:rsidRDefault="00170B62">
      <w:pPr>
        <w:spacing w:before="0" w:beforeAutospacing="0" w:line="360" w:lineRule="auto"/>
        <w:jc w:val="both"/>
        <w:rPr>
          <w:rFonts w:eastAsia="Calibri"/>
          <w:sz w:val="24"/>
          <w:szCs w:val="24"/>
          <w:lang w:val="en-US"/>
        </w:rPr>
      </w:pPr>
      <w:r w:rsidRPr="002E6D8F">
        <w:rPr>
          <w:rFonts w:eastAsia="Calibri"/>
          <w:sz w:val="24"/>
          <w:szCs w:val="24"/>
          <w:lang w:val="en-US"/>
        </w:rPr>
        <w:t xml:space="preserve">Following this, the Hausman specification test (Hausman, 1978), presented in Equation 3.2, was employed to determine whether the Fixed Effects (FE) or Random Effects (RE) model was more appropriate. The Hausman test involves comparing coefficient estimates from the FE and RE models. If the test statistic is significantly different, it implies that the RE model is inconsistent; </w:t>
      </w:r>
      <w:r w:rsidRPr="002E6D8F">
        <w:rPr>
          <w:rFonts w:eastAsia="Calibri"/>
          <w:sz w:val="24"/>
          <w:szCs w:val="24"/>
          <w:lang w:val="en-US"/>
        </w:rPr>
        <w:lastRenderedPageBreak/>
        <w:t xml:space="preserve">hence, the FE model should be preferred. In this study, the Hausman test rejected the null hypothesis in </w:t>
      </w:r>
      <w:proofErr w:type="spellStart"/>
      <w:r w:rsidRPr="002E6D8F">
        <w:rPr>
          <w:rFonts w:eastAsia="Calibri"/>
          <w:sz w:val="24"/>
          <w:szCs w:val="24"/>
          <w:lang w:val="en-US"/>
        </w:rPr>
        <w:t>favour</w:t>
      </w:r>
      <w:proofErr w:type="spellEnd"/>
      <w:r w:rsidRPr="002E6D8F">
        <w:rPr>
          <w:rFonts w:eastAsia="Calibri"/>
          <w:sz w:val="24"/>
          <w:szCs w:val="24"/>
          <w:lang w:val="en-US"/>
        </w:rPr>
        <w:t xml:space="preserve"> of the alternative, indicating that county-specific effects were correlated with the regressors and confirming that the Fixed Effects model was the most appropriate specification.</w:t>
      </w:r>
    </w:p>
    <w:p w14:paraId="44E67525" w14:textId="77777777" w:rsidR="007C2944" w:rsidRPr="002E6D8F" w:rsidRDefault="0046438E">
      <w:pPr>
        <w:pStyle w:val="NormalWeb"/>
        <w:spacing w:before="0" w:beforeAutospacing="0" w:after="0" w:afterAutospacing="0" w:line="360" w:lineRule="auto"/>
        <w:jc w:val="both"/>
        <w:rPr>
          <w:i/>
          <w:iCs/>
        </w:rPr>
      </w:pPr>
      <w:r w:rsidRPr="002E6D8F">
        <w:rPr>
          <w:iCs/>
        </w:rPr>
        <w:fldChar w:fldCharType="begin"/>
      </w:r>
      <w:r w:rsidR="001635A6" w:rsidRPr="002E6D8F">
        <w:rPr>
          <w:iCs/>
        </w:rPr>
        <w:instrText xml:space="preserve"> QUOTE </w:instrText>
      </w:r>
      <w:r w:rsidR="003D343D">
        <w:rPr>
          <w:position w:val="-38"/>
        </w:rPr>
        <w:pict w14:anchorId="2740D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pt;height:29.9pt" equationxml="&lt;">
            <v:imagedata r:id="rId10" o:title="" chromakey="white"/>
          </v:shape>
        </w:pict>
      </w:r>
      <w:r w:rsidRPr="002E6D8F">
        <w:rPr>
          <w:iCs/>
        </w:rPr>
        <w:fldChar w:fldCharType="separate"/>
      </w:r>
      <w:r w:rsidR="003D343D">
        <w:rPr>
          <w:position w:val="-38"/>
        </w:rPr>
        <w:pict w14:anchorId="7D855C16">
          <v:shape id="_x0000_i1026" type="#_x0000_t75" style="width:144.7pt;height:29.9pt" equationxml="&lt;">
            <v:imagedata r:id="rId10" o:title="" chromakey="white"/>
          </v:shape>
        </w:pict>
      </w:r>
      <w:r w:rsidRPr="002E6D8F">
        <w:rPr>
          <w:iCs/>
        </w:rPr>
        <w:fldChar w:fldCharType="end"/>
      </w:r>
      <w:r w:rsidR="001635A6" w:rsidRPr="002E6D8F">
        <w:rPr>
          <w:i/>
          <w:iCs/>
        </w:rPr>
        <w:t>) -Var (</w:t>
      </w:r>
      <w:r w:rsidRPr="002E6D8F">
        <w:rPr>
          <w:iCs/>
          <w:vertAlign w:val="superscript"/>
        </w:rPr>
        <w:fldChar w:fldCharType="begin"/>
      </w:r>
      <w:r w:rsidR="001635A6" w:rsidRPr="002E6D8F">
        <w:rPr>
          <w:iCs/>
          <w:vertAlign w:val="superscript"/>
        </w:rPr>
        <w:instrText xml:space="preserve"> QUOTE </w:instrText>
      </w:r>
      <w:r w:rsidR="003D343D">
        <w:rPr>
          <w:position w:val="-38"/>
        </w:rPr>
        <w:pict w14:anchorId="002ABB92">
          <v:shape id="_x0000_i1027" type="#_x0000_t75" style="width:27.15pt;height:29.9pt" equationxml="&lt;">
            <v:imagedata r:id="rId11" o:title="" chromakey="white"/>
          </v:shape>
        </w:pict>
      </w:r>
      <w:r w:rsidRPr="002E6D8F">
        <w:rPr>
          <w:iCs/>
          <w:vertAlign w:val="superscript"/>
        </w:rPr>
        <w:fldChar w:fldCharType="separate"/>
      </w:r>
      <w:r w:rsidR="003D343D">
        <w:rPr>
          <w:position w:val="-38"/>
        </w:rPr>
        <w:pict w14:anchorId="026A8205">
          <v:shape id="_x0000_i1028" type="#_x0000_t75" style="width:27.15pt;height:29.9pt" equationxml="&lt;">
            <v:imagedata r:id="rId11" o:title="" chromakey="white"/>
          </v:shape>
        </w:pict>
      </w:r>
      <w:r w:rsidRPr="002E6D8F">
        <w:rPr>
          <w:iCs/>
          <w:vertAlign w:val="superscript"/>
        </w:rPr>
        <w:fldChar w:fldCharType="end"/>
      </w:r>
      <w:r w:rsidR="001635A6" w:rsidRPr="002E6D8F">
        <w:rPr>
          <w:i/>
          <w:iCs/>
          <w:vertAlign w:val="superscript"/>
        </w:rPr>
        <w:t>-1</w:t>
      </w:r>
      <w:r w:rsidR="001635A6" w:rsidRPr="002E6D8F">
        <w:rPr>
          <w:i/>
          <w:iCs/>
        </w:rPr>
        <w:t>(</w:t>
      </w:r>
      <w:r w:rsidRPr="002E6D8F">
        <w:rPr>
          <w:iCs/>
        </w:rPr>
        <w:fldChar w:fldCharType="begin"/>
      </w:r>
      <w:r w:rsidR="001635A6" w:rsidRPr="002E6D8F">
        <w:rPr>
          <w:iCs/>
        </w:rPr>
        <w:instrText xml:space="preserve"> QUOTE </w:instrText>
      </w:r>
      <w:r w:rsidR="003D343D">
        <w:rPr>
          <w:position w:val="-38"/>
        </w:rPr>
        <w:pict w14:anchorId="4B0AB336">
          <v:shape id="_x0000_i1029" type="#_x0000_t75" style="width:47.55pt;height:29.9pt" equationxml="&lt;">
            <v:imagedata r:id="rId12" o:title="" chromakey="white"/>
          </v:shape>
        </w:pict>
      </w:r>
      <w:r w:rsidRPr="002E6D8F">
        <w:rPr>
          <w:iCs/>
        </w:rPr>
        <w:fldChar w:fldCharType="separate"/>
      </w:r>
      <w:r w:rsidR="003D343D">
        <w:rPr>
          <w:position w:val="-38"/>
        </w:rPr>
        <w:pict w14:anchorId="748A0C13">
          <v:shape id="_x0000_i1030" type="#_x0000_t75" style="width:47.55pt;height:29.9pt" equationxml="&lt;">
            <v:imagedata r:id="rId12" o:title="" chromakey="white"/>
          </v:shape>
        </w:pict>
      </w:r>
      <w:r w:rsidRPr="002E6D8F">
        <w:rPr>
          <w:iCs/>
        </w:rPr>
        <w:fldChar w:fldCharType="end"/>
      </w:r>
      <w:r w:rsidR="001635A6" w:rsidRPr="002E6D8F">
        <w:rPr>
          <w:iCs/>
        </w:rPr>
        <w:t>)……………………………………</w:t>
      </w:r>
      <w:r w:rsidR="001635A6" w:rsidRPr="002E6D8F">
        <w:t xml:space="preserve"> (3.2)</w:t>
      </w:r>
    </w:p>
    <w:p w14:paraId="5828D605" w14:textId="77777777" w:rsidR="007C2944" w:rsidRPr="002E6D8F" w:rsidRDefault="00170B62">
      <w:pPr>
        <w:pStyle w:val="NormalWeb"/>
        <w:spacing w:before="0" w:beforeAutospacing="0" w:after="0" w:afterAutospacing="0" w:line="360" w:lineRule="auto"/>
        <w:jc w:val="both"/>
        <w:rPr>
          <w:i/>
          <w:iCs/>
        </w:rPr>
      </w:pPr>
      <w:r w:rsidRPr="002E6D8F">
        <w:t>Where;</w:t>
      </w:r>
    </w:p>
    <w:p w14:paraId="31A765E5" w14:textId="77777777" w:rsidR="007C2944" w:rsidRPr="002E6D8F" w:rsidRDefault="00170B62">
      <w:pPr>
        <w:pStyle w:val="NormalWeb"/>
        <w:spacing w:before="0" w:beforeAutospacing="0" w:after="0" w:afterAutospacing="0" w:line="360" w:lineRule="auto"/>
        <w:jc w:val="both"/>
      </w:pPr>
      <w:r w:rsidRPr="002E6D8F">
        <w:rPr>
          <w:i/>
          <w:iCs/>
        </w:rPr>
        <w:t xml:space="preserve">H </w:t>
      </w:r>
      <w:r w:rsidRPr="002E6D8F">
        <w:t xml:space="preserve">is the </w:t>
      </w:r>
      <w:r w:rsidRPr="002E6D8F">
        <w:rPr>
          <w:rStyle w:val="Strong"/>
          <w:b w:val="0"/>
          <w:bCs w:val="0"/>
        </w:rPr>
        <w:t>Hausman test</w:t>
      </w:r>
    </w:p>
    <w:p w14:paraId="7DFCC121" w14:textId="77777777" w:rsidR="007C2944" w:rsidRPr="002E6D8F" w:rsidRDefault="0046438E">
      <w:pPr>
        <w:pStyle w:val="NormalWeb"/>
        <w:spacing w:before="0" w:beforeAutospacing="0" w:after="0" w:afterAutospacing="0" w:line="360" w:lineRule="auto"/>
        <w:jc w:val="both"/>
      </w:pPr>
      <w:r w:rsidRPr="002E6D8F">
        <w:fldChar w:fldCharType="begin"/>
      </w:r>
      <w:r w:rsidR="001635A6" w:rsidRPr="002E6D8F">
        <w:instrText xml:space="preserve"> QUOTE </w:instrText>
      </w:r>
      <w:r w:rsidR="003D343D">
        <w:rPr>
          <w:position w:val="-40"/>
        </w:rPr>
        <w:pict w14:anchorId="6EFE1D46">
          <v:shape id="_x0000_i1031" type="#_x0000_t75" style="width:40.1pt;height:30.55pt" equationxml="&lt;">
            <v:imagedata r:id="rId13" o:title="" chromakey="white"/>
          </v:shape>
        </w:pict>
      </w:r>
      <w:r w:rsidRPr="002E6D8F">
        <w:fldChar w:fldCharType="separate"/>
      </w:r>
      <w:r w:rsidR="003D343D">
        <w:rPr>
          <w:position w:val="-40"/>
        </w:rPr>
        <w:pict w14:anchorId="25B607AF">
          <v:shape id="_x0000_i1032" type="#_x0000_t75" style="width:40.1pt;height:30.55pt" equationxml="&lt;">
            <v:imagedata r:id="rId13" o:title="" chromakey="white"/>
          </v:shape>
        </w:pict>
      </w:r>
      <w:r w:rsidRPr="002E6D8F">
        <w:fldChar w:fldCharType="end"/>
      </w:r>
      <w:r w:rsidR="001635A6" w:rsidRPr="002E6D8F">
        <w:t xml:space="preserve"> These are the coefficient estimates from the Fixed and Random Effects models, respectively.</w:t>
      </w:r>
    </w:p>
    <w:p w14:paraId="6489FF01" w14:textId="77777777" w:rsidR="007C2944" w:rsidRPr="002E6D8F" w:rsidRDefault="00170B62">
      <w:pPr>
        <w:pStyle w:val="NormalWeb"/>
        <w:spacing w:before="0" w:beforeAutospacing="0" w:after="0" w:afterAutospacing="0" w:line="360" w:lineRule="auto"/>
        <w:jc w:val="both"/>
      </w:pPr>
      <w:r w:rsidRPr="002E6D8F">
        <w:t xml:space="preserve">To determine whether the </w:t>
      </w:r>
      <w:r w:rsidRPr="002E6D8F">
        <w:rPr>
          <w:rStyle w:val="Strong"/>
          <w:b w:val="0"/>
          <w:bCs w:val="0"/>
        </w:rPr>
        <w:t>Random Effects (RE) model</w:t>
      </w:r>
      <w:r w:rsidRPr="002E6D8F">
        <w:t xml:space="preserve"> or the </w:t>
      </w:r>
      <w:r w:rsidRPr="002E6D8F">
        <w:rPr>
          <w:rStyle w:val="Strong"/>
          <w:b w:val="0"/>
          <w:bCs w:val="0"/>
        </w:rPr>
        <w:t>Fixed Effects (FE) model</w:t>
      </w:r>
      <w:r w:rsidRPr="002E6D8F">
        <w:t xml:space="preserve"> is more appropriate, it is essential to first assess whether county-specific effects are correlated with the regressors. This is done using the </w:t>
      </w:r>
      <w:r w:rsidRPr="002E6D8F">
        <w:rPr>
          <w:rStyle w:val="Strong"/>
          <w:b w:val="0"/>
          <w:bCs w:val="0"/>
        </w:rPr>
        <w:t>Hausman Test</w:t>
      </w:r>
      <w:r w:rsidRPr="002E6D8F">
        <w:t>, which tests the following hypotheses:</w:t>
      </w:r>
    </w:p>
    <w:p w14:paraId="1D08B87C" w14:textId="77777777" w:rsidR="007C2944" w:rsidRPr="002E6D8F" w:rsidRDefault="00170B62">
      <w:pPr>
        <w:pStyle w:val="NormalWeb"/>
        <w:spacing w:before="0" w:beforeAutospacing="0" w:after="0" w:afterAutospacing="0" w:line="360" w:lineRule="auto"/>
        <w:jc w:val="both"/>
      </w:pPr>
      <w:r w:rsidRPr="002E6D8F">
        <w:rPr>
          <w:rStyle w:val="katex-mathml"/>
          <w:b/>
          <w:bCs/>
          <w:i/>
          <w:iCs/>
        </w:rPr>
        <w:t>H</w:t>
      </w:r>
      <w:r w:rsidRPr="002E6D8F">
        <w:rPr>
          <w:rStyle w:val="katex-mathml"/>
          <w:b/>
          <w:bCs/>
          <w:i/>
          <w:iCs/>
          <w:vertAlign w:val="subscript"/>
        </w:rPr>
        <w:t>0</w:t>
      </w:r>
      <w:r w:rsidRPr="002E6D8F">
        <w:rPr>
          <w:rStyle w:val="katex-mathml"/>
          <w:b/>
          <w:bCs/>
          <w:vertAlign w:val="subscript"/>
        </w:rPr>
        <w:t>:</w:t>
      </w:r>
      <w:r w:rsidRPr="002E6D8F">
        <w:t xml:space="preserve"> RE is preferred (county effects are uncorrelated with regressors) against,</w:t>
      </w:r>
    </w:p>
    <w:p w14:paraId="729A2ED5" w14:textId="77777777" w:rsidR="007C2944" w:rsidRPr="002E6D8F" w:rsidRDefault="00170B62">
      <w:pPr>
        <w:spacing w:before="0" w:beforeAutospacing="0" w:after="0" w:line="360" w:lineRule="auto"/>
        <w:jc w:val="both"/>
        <w:rPr>
          <w:sz w:val="24"/>
          <w:szCs w:val="24"/>
        </w:rPr>
      </w:pPr>
      <w:r w:rsidRPr="002E6D8F">
        <w:rPr>
          <w:rStyle w:val="katex-mathml"/>
          <w:b/>
          <w:bCs/>
          <w:i/>
          <w:iCs/>
          <w:sz w:val="24"/>
          <w:szCs w:val="24"/>
        </w:rPr>
        <w:t>H</w:t>
      </w:r>
      <w:r w:rsidRPr="002E6D8F">
        <w:rPr>
          <w:rStyle w:val="katex-mathml"/>
          <w:b/>
          <w:bCs/>
          <w:i/>
          <w:iCs/>
          <w:sz w:val="24"/>
          <w:szCs w:val="24"/>
          <w:vertAlign w:val="subscript"/>
          <w:lang w:val="en-US"/>
        </w:rPr>
        <w:t>a</w:t>
      </w:r>
      <w:r w:rsidRPr="002E6D8F">
        <w:rPr>
          <w:sz w:val="24"/>
          <w:szCs w:val="24"/>
        </w:rPr>
        <w:t>: FE is preferred (county effects are correlated with regressors).</w:t>
      </w:r>
    </w:p>
    <w:p w14:paraId="20038DA7" w14:textId="77777777" w:rsidR="007C2944" w:rsidRPr="002E6D8F" w:rsidRDefault="00170B62">
      <w:pPr>
        <w:spacing w:before="0" w:beforeAutospacing="0" w:after="0" w:line="360" w:lineRule="auto"/>
        <w:jc w:val="both"/>
        <w:rPr>
          <w:rFonts w:eastAsia="SimSun"/>
          <w:sz w:val="24"/>
          <w:szCs w:val="24"/>
        </w:rPr>
      </w:pPr>
      <w:r w:rsidRPr="002E6D8F">
        <w:rPr>
          <w:rFonts w:eastAsia="SimSun"/>
          <w:sz w:val="24"/>
          <w:szCs w:val="24"/>
        </w:rPr>
        <w:t xml:space="preserve">According to this model, </w:t>
      </w:r>
      <w:r w:rsidRPr="002E6D8F">
        <w:rPr>
          <w:rFonts w:eastAsia="SimSun"/>
          <w:sz w:val="24"/>
          <w:szCs w:val="24"/>
          <w:lang w:val="en-US"/>
        </w:rPr>
        <w:t>t</w:t>
      </w:r>
      <w:r w:rsidRPr="002E6D8F">
        <w:rPr>
          <w:rFonts w:eastAsia="SimSun"/>
          <w:sz w:val="24"/>
          <w:szCs w:val="24"/>
        </w:rPr>
        <w:t>he Hausman test help</w:t>
      </w:r>
      <w:r w:rsidRPr="002E6D8F">
        <w:rPr>
          <w:rFonts w:eastAsia="SimSun"/>
          <w:sz w:val="24"/>
          <w:szCs w:val="24"/>
          <w:lang w:val="en-US"/>
        </w:rPr>
        <w:t xml:space="preserve">s </w:t>
      </w:r>
      <w:r w:rsidRPr="002E6D8F">
        <w:rPr>
          <w:rFonts w:eastAsia="SimSun"/>
          <w:sz w:val="24"/>
          <w:szCs w:val="24"/>
        </w:rPr>
        <w:t xml:space="preserve">determine whether the </w:t>
      </w:r>
      <w:r w:rsidRPr="002E6D8F">
        <w:rPr>
          <w:rStyle w:val="Strong"/>
          <w:rFonts w:eastAsia="SimSun"/>
          <w:b w:val="0"/>
          <w:bCs w:val="0"/>
          <w:sz w:val="24"/>
          <w:szCs w:val="24"/>
        </w:rPr>
        <w:t>Fixed Effects (FE) model</w:t>
      </w:r>
      <w:r w:rsidRPr="002E6D8F">
        <w:rPr>
          <w:rFonts w:eastAsia="SimSun"/>
          <w:sz w:val="24"/>
          <w:szCs w:val="24"/>
        </w:rPr>
        <w:t xml:space="preserve"> or the </w:t>
      </w:r>
      <w:r w:rsidRPr="002E6D8F">
        <w:rPr>
          <w:rStyle w:val="Strong"/>
          <w:rFonts w:eastAsia="SimSun"/>
          <w:b w:val="0"/>
          <w:bCs w:val="0"/>
          <w:sz w:val="24"/>
          <w:szCs w:val="24"/>
        </w:rPr>
        <w:t>Random Effects (RE) model</w:t>
      </w:r>
      <w:r w:rsidRPr="002E6D8F">
        <w:rPr>
          <w:rFonts w:eastAsia="SimSun"/>
          <w:sz w:val="24"/>
          <w:szCs w:val="24"/>
        </w:rPr>
        <w:t xml:space="preserve"> is more appropriate for panel data</w:t>
      </w:r>
      <w:r w:rsidRPr="002E6D8F">
        <w:rPr>
          <w:rFonts w:eastAsia="SimSun"/>
          <w:sz w:val="24"/>
          <w:szCs w:val="24"/>
          <w:lang w:val="en-US"/>
        </w:rPr>
        <w:t xml:space="preserve"> analysis</w:t>
      </w:r>
      <w:r w:rsidRPr="002E6D8F">
        <w:rPr>
          <w:rFonts w:eastAsia="SimSun"/>
          <w:sz w:val="24"/>
          <w:szCs w:val="24"/>
        </w:rPr>
        <w:t xml:space="preserve">. The decision is based on the </w:t>
      </w:r>
      <w:r w:rsidRPr="002E6D8F">
        <w:rPr>
          <w:rStyle w:val="Strong"/>
          <w:rFonts w:eastAsia="SimSun"/>
          <w:b w:val="0"/>
          <w:bCs w:val="0"/>
          <w:i/>
          <w:iCs/>
          <w:sz w:val="24"/>
          <w:szCs w:val="24"/>
        </w:rPr>
        <w:t>p</w:t>
      </w:r>
      <w:r w:rsidRPr="002E6D8F">
        <w:rPr>
          <w:rStyle w:val="Strong"/>
          <w:rFonts w:eastAsia="SimSun"/>
          <w:b w:val="0"/>
          <w:bCs w:val="0"/>
          <w:sz w:val="24"/>
          <w:szCs w:val="24"/>
        </w:rPr>
        <w:t>-value</w:t>
      </w:r>
      <w:r w:rsidRPr="002E6D8F">
        <w:rPr>
          <w:rFonts w:eastAsia="SimSun"/>
          <w:sz w:val="24"/>
          <w:szCs w:val="24"/>
        </w:rPr>
        <w:t xml:space="preserve"> obtained from the test:</w:t>
      </w:r>
    </w:p>
    <w:p w14:paraId="435E0547" w14:textId="77777777" w:rsidR="007C2944" w:rsidRPr="002E6D8F" w:rsidRDefault="00170B62">
      <w:pPr>
        <w:spacing w:before="0" w:beforeAutospacing="0" w:after="0" w:line="360" w:lineRule="auto"/>
        <w:jc w:val="both"/>
        <w:rPr>
          <w:sz w:val="24"/>
          <w:szCs w:val="24"/>
        </w:rPr>
      </w:pPr>
      <w:r w:rsidRPr="002E6D8F">
        <w:rPr>
          <w:sz w:val="24"/>
          <w:szCs w:val="24"/>
        </w:rPr>
        <w:t xml:space="preserve">If the </w:t>
      </w:r>
      <w:r w:rsidRPr="002E6D8F">
        <w:rPr>
          <w:rStyle w:val="Strong"/>
          <w:b w:val="0"/>
          <w:bCs w:val="0"/>
          <w:sz w:val="24"/>
          <w:szCs w:val="24"/>
        </w:rPr>
        <w:t>p-value is significant</w:t>
      </w:r>
      <w:r w:rsidRPr="002E6D8F">
        <w:rPr>
          <w:sz w:val="24"/>
          <w:szCs w:val="24"/>
        </w:rPr>
        <w:t xml:space="preserve"> (</w:t>
      </w:r>
      <w:r w:rsidRPr="002E6D8F">
        <w:rPr>
          <w:rStyle w:val="katex-mathml"/>
          <w:i/>
          <w:iCs/>
          <w:sz w:val="24"/>
          <w:szCs w:val="24"/>
        </w:rPr>
        <w:t>p</w:t>
      </w:r>
      <w:r w:rsidRPr="002E6D8F">
        <w:rPr>
          <w:rStyle w:val="katex-mathml"/>
          <w:sz w:val="24"/>
          <w:szCs w:val="24"/>
        </w:rPr>
        <w:t>&lt;0.05</w:t>
      </w:r>
      <w:r w:rsidRPr="002E6D8F">
        <w:rPr>
          <w:rStyle w:val="katex-mathml"/>
          <w:sz w:val="24"/>
          <w:szCs w:val="24"/>
          <w:lang w:val="en-US"/>
        </w:rPr>
        <w:t>)</w:t>
      </w:r>
      <w:r w:rsidRPr="002E6D8F">
        <w:rPr>
          <w:sz w:val="24"/>
          <w:szCs w:val="24"/>
        </w:rPr>
        <w:t xml:space="preserve">, reject </w:t>
      </w:r>
      <w:r w:rsidRPr="002E6D8F">
        <w:rPr>
          <w:rStyle w:val="katex-mathml"/>
          <w:sz w:val="24"/>
          <w:szCs w:val="24"/>
        </w:rPr>
        <w:t>H</w:t>
      </w:r>
      <w:r w:rsidRPr="002E6D8F">
        <w:rPr>
          <w:rStyle w:val="katex-mathml"/>
          <w:sz w:val="24"/>
          <w:szCs w:val="24"/>
          <w:vertAlign w:val="subscript"/>
          <w:lang w:val="en-US"/>
        </w:rPr>
        <w:t>0</w:t>
      </w:r>
      <w:r w:rsidRPr="002E6D8F">
        <w:rPr>
          <w:sz w:val="24"/>
          <w:szCs w:val="24"/>
        </w:rPr>
        <w:t xml:space="preserve"> and use </w:t>
      </w:r>
      <w:r w:rsidRPr="002E6D8F">
        <w:rPr>
          <w:rStyle w:val="Strong"/>
          <w:b w:val="0"/>
          <w:bCs w:val="0"/>
          <w:sz w:val="24"/>
          <w:szCs w:val="24"/>
        </w:rPr>
        <w:t>Fixed Effects (FE)</w:t>
      </w:r>
      <w:r w:rsidRPr="002E6D8F">
        <w:rPr>
          <w:sz w:val="24"/>
          <w:szCs w:val="24"/>
        </w:rPr>
        <w:t>.</w:t>
      </w:r>
    </w:p>
    <w:p w14:paraId="08FD44D2" w14:textId="77777777" w:rsidR="007C2944" w:rsidRPr="002E6D8F" w:rsidRDefault="00170B62">
      <w:pPr>
        <w:spacing w:before="0" w:beforeAutospacing="0" w:after="0" w:line="360" w:lineRule="auto"/>
        <w:ind w:left="360"/>
        <w:jc w:val="both"/>
        <w:rPr>
          <w:sz w:val="24"/>
          <w:szCs w:val="24"/>
        </w:rPr>
      </w:pPr>
      <w:r w:rsidRPr="002E6D8F">
        <w:rPr>
          <w:sz w:val="24"/>
          <w:szCs w:val="24"/>
        </w:rPr>
        <w:t xml:space="preserve">If the </w:t>
      </w:r>
      <w:r w:rsidRPr="002E6D8F">
        <w:rPr>
          <w:rStyle w:val="Strong"/>
          <w:b w:val="0"/>
          <w:bCs w:val="0"/>
          <w:sz w:val="24"/>
          <w:szCs w:val="24"/>
        </w:rPr>
        <w:t>p-value is not significant</w:t>
      </w:r>
      <w:r w:rsidRPr="002E6D8F">
        <w:rPr>
          <w:sz w:val="24"/>
          <w:szCs w:val="24"/>
        </w:rPr>
        <w:t xml:space="preserve"> (</w:t>
      </w:r>
      <w:r w:rsidRPr="002E6D8F">
        <w:rPr>
          <w:rStyle w:val="katex-mathml"/>
          <w:i/>
          <w:iCs/>
          <w:sz w:val="24"/>
          <w:szCs w:val="24"/>
        </w:rPr>
        <w:t>p</w:t>
      </w:r>
      <w:r w:rsidRPr="002E6D8F">
        <w:rPr>
          <w:rStyle w:val="katex-mathml"/>
          <w:sz w:val="24"/>
          <w:szCs w:val="24"/>
        </w:rPr>
        <w:t>&gt;0.05</w:t>
      </w:r>
      <w:r w:rsidRPr="002E6D8F">
        <w:rPr>
          <w:rStyle w:val="katex-mathml"/>
          <w:sz w:val="24"/>
          <w:szCs w:val="24"/>
          <w:lang w:val="en-US"/>
        </w:rPr>
        <w:t>),</w:t>
      </w:r>
      <w:r w:rsidRPr="002E6D8F">
        <w:rPr>
          <w:sz w:val="24"/>
          <w:szCs w:val="24"/>
        </w:rPr>
        <w:t xml:space="preserve"> fail to reject </w:t>
      </w:r>
      <w:r w:rsidRPr="002E6D8F">
        <w:rPr>
          <w:rStyle w:val="katex-mathml"/>
          <w:sz w:val="24"/>
          <w:szCs w:val="24"/>
        </w:rPr>
        <w:t>H</w:t>
      </w:r>
      <w:r w:rsidRPr="002E6D8F">
        <w:rPr>
          <w:rStyle w:val="katex-mathml"/>
          <w:sz w:val="24"/>
          <w:szCs w:val="24"/>
          <w:vertAlign w:val="subscript"/>
          <w:lang w:val="en-US"/>
        </w:rPr>
        <w:t xml:space="preserve">a </w:t>
      </w:r>
      <w:r w:rsidRPr="002E6D8F">
        <w:rPr>
          <w:sz w:val="24"/>
          <w:szCs w:val="24"/>
        </w:rPr>
        <w:t xml:space="preserve">and use </w:t>
      </w:r>
      <w:r w:rsidRPr="002E6D8F">
        <w:rPr>
          <w:rStyle w:val="Strong"/>
          <w:b w:val="0"/>
          <w:bCs w:val="0"/>
          <w:sz w:val="24"/>
          <w:szCs w:val="24"/>
        </w:rPr>
        <w:t>Random Effects (RE)</w:t>
      </w:r>
      <w:r w:rsidRPr="002E6D8F">
        <w:rPr>
          <w:sz w:val="24"/>
          <w:szCs w:val="24"/>
        </w:rPr>
        <w:t>.</w:t>
      </w:r>
    </w:p>
    <w:p w14:paraId="7745DF76" w14:textId="77777777" w:rsidR="007C2944" w:rsidRPr="002E6D8F" w:rsidRDefault="00170B62">
      <w:pPr>
        <w:spacing w:before="0" w:beforeAutospacing="0" w:after="0" w:line="360" w:lineRule="auto"/>
        <w:ind w:left="360"/>
        <w:jc w:val="both"/>
        <w:rPr>
          <w:sz w:val="24"/>
          <w:szCs w:val="24"/>
        </w:rPr>
      </w:pPr>
      <w:r w:rsidRPr="002E6D8F">
        <w:rPr>
          <w:sz w:val="24"/>
          <w:szCs w:val="24"/>
        </w:rPr>
        <w:t>The test evaluated whether the unique errors (uᵢ) were correlated with the regressors (Xᵢₜ).</w:t>
      </w:r>
    </w:p>
    <w:p w14:paraId="4E9AB464" w14:textId="77777777" w:rsidR="007C2944" w:rsidRPr="002E6D8F" w:rsidRDefault="00170B62">
      <w:pPr>
        <w:spacing w:before="0" w:beforeAutospacing="0" w:after="0" w:line="360" w:lineRule="auto"/>
        <w:ind w:left="360"/>
        <w:jc w:val="both"/>
        <w:rPr>
          <w:sz w:val="24"/>
          <w:szCs w:val="24"/>
        </w:rPr>
      </w:pPr>
      <w:r w:rsidRPr="002E6D8F">
        <w:rPr>
          <w:sz w:val="24"/>
          <w:szCs w:val="24"/>
        </w:rPr>
        <w:t>The null hypothesis (H₀) assumed that the preferred model was RE, meaning the individual effects were uncorrelated with the regressors.</w:t>
      </w:r>
    </w:p>
    <w:p w14:paraId="20074A5B" w14:textId="77777777" w:rsidR="007C2944" w:rsidRPr="002E6D8F" w:rsidRDefault="00170B62">
      <w:pPr>
        <w:spacing w:before="0" w:beforeAutospacing="0" w:after="0" w:line="360" w:lineRule="auto"/>
        <w:ind w:left="360"/>
        <w:jc w:val="both"/>
        <w:rPr>
          <w:sz w:val="24"/>
          <w:szCs w:val="24"/>
        </w:rPr>
      </w:pPr>
      <w:r w:rsidRPr="002E6D8F">
        <w:rPr>
          <w:sz w:val="24"/>
          <w:szCs w:val="24"/>
        </w:rPr>
        <w:t>The alternative hypothesis (H₁) assumed that the FE model was more appropriate, implying that the individual effects were correlated with the regressors.</w:t>
      </w:r>
    </w:p>
    <w:p w14:paraId="52BC395C" w14:textId="77777777" w:rsidR="007C2944" w:rsidRPr="002E6D8F" w:rsidRDefault="007C2944">
      <w:pPr>
        <w:spacing w:before="0" w:beforeAutospacing="0" w:after="0" w:line="360" w:lineRule="auto"/>
        <w:ind w:left="360"/>
        <w:jc w:val="both"/>
        <w:rPr>
          <w:sz w:val="24"/>
          <w:szCs w:val="24"/>
        </w:rPr>
      </w:pPr>
    </w:p>
    <w:p w14:paraId="19F15005" w14:textId="77777777" w:rsidR="007C2944" w:rsidRPr="002E6D8F" w:rsidRDefault="00170B62">
      <w:pPr>
        <w:tabs>
          <w:tab w:val="left" w:pos="4815"/>
          <w:tab w:val="left" w:pos="6390"/>
        </w:tabs>
        <w:spacing w:before="0" w:beforeAutospacing="0" w:after="0" w:line="360" w:lineRule="auto"/>
        <w:jc w:val="both"/>
        <w:rPr>
          <w:rFonts w:eastAsia="DengXian"/>
          <w:sz w:val="24"/>
          <w:szCs w:val="24"/>
          <w:lang w:val="en-US"/>
        </w:rPr>
      </w:pPr>
      <w:bookmarkStart w:id="79" w:name="_Toc130977374"/>
      <w:r w:rsidRPr="002E6D8F">
        <w:rPr>
          <w:rFonts w:eastAsia="DengXian"/>
          <w:sz w:val="24"/>
          <w:szCs w:val="24"/>
          <w:lang w:val="en-US"/>
        </w:rPr>
        <w:t>Diagnostic tests were conducted from the regression results of the analytical approach, that is, the STATA output. Therefore, for this study, the diagnostic tests that were carried out for the Fixed and Random Effect model included serial correlation, normality, heteroscedasticity, cross-sectional dependence, multicollinearity and homoscedasticity tests.</w:t>
      </w:r>
    </w:p>
    <w:p w14:paraId="5997A23C" w14:textId="77777777" w:rsidR="007C2944" w:rsidRPr="002E6D8F" w:rsidRDefault="00170B62" w:rsidP="009C64BB">
      <w:pPr>
        <w:keepNext/>
        <w:keepLines/>
        <w:autoSpaceDE w:val="0"/>
        <w:autoSpaceDN w:val="0"/>
        <w:adjustRightInd w:val="0"/>
        <w:spacing w:before="0" w:beforeAutospacing="0" w:after="0" w:line="360" w:lineRule="auto"/>
        <w:outlineLvl w:val="0"/>
        <w:rPr>
          <w:rFonts w:eastAsia="Calibri"/>
          <w:b/>
          <w:bCs/>
          <w:sz w:val="24"/>
          <w:szCs w:val="24"/>
          <w:lang w:val="en-GB" w:eastAsia="en-US"/>
        </w:rPr>
      </w:pPr>
      <w:bookmarkStart w:id="80" w:name="_Toc136870044"/>
      <w:bookmarkStart w:id="81" w:name="_Toc207656759"/>
      <w:bookmarkStart w:id="82" w:name="_Toc173188266"/>
      <w:bookmarkStart w:id="83" w:name="_Toc201668123"/>
      <w:bookmarkEnd w:id="79"/>
      <w:r w:rsidRPr="002E6D8F">
        <w:rPr>
          <w:rFonts w:eastAsia="Calibri"/>
          <w:b/>
          <w:bCs/>
          <w:sz w:val="24"/>
          <w:szCs w:val="24"/>
          <w:lang w:val="en-GB" w:eastAsia="en-US"/>
        </w:rPr>
        <w:lastRenderedPageBreak/>
        <w:t xml:space="preserve">4 Results </w:t>
      </w:r>
      <w:bookmarkEnd w:id="80"/>
      <w:bookmarkEnd w:id="81"/>
    </w:p>
    <w:p w14:paraId="2937D082" w14:textId="77777777" w:rsidR="007C2944" w:rsidRPr="002E6D8F" w:rsidRDefault="00170B62">
      <w:pPr>
        <w:pStyle w:val="Heading3"/>
        <w:spacing w:before="0" w:beforeAutospacing="0" w:line="360" w:lineRule="auto"/>
        <w:jc w:val="both"/>
        <w:rPr>
          <w:rFonts w:ascii="Times New Roman" w:hAnsi="Times New Roman"/>
          <w:color w:val="auto"/>
          <w:sz w:val="24"/>
          <w:szCs w:val="24"/>
          <w:lang w:val="en-US" w:eastAsia="en-US"/>
        </w:rPr>
      </w:pPr>
      <w:bookmarkStart w:id="84" w:name="_Toc207656771"/>
      <w:bookmarkEnd w:id="82"/>
      <w:bookmarkEnd w:id="83"/>
      <w:r w:rsidRPr="002E6D8F">
        <w:rPr>
          <w:rFonts w:ascii="Times New Roman" w:hAnsi="Times New Roman"/>
          <w:color w:val="auto"/>
          <w:sz w:val="24"/>
          <w:szCs w:val="24"/>
          <w:lang w:val="en-US" w:eastAsia="en-US"/>
        </w:rPr>
        <w:t>4.1 Panel Unit Root Test Results</w:t>
      </w:r>
      <w:bookmarkEnd w:id="84"/>
    </w:p>
    <w:p w14:paraId="5D46D69A" w14:textId="77777777" w:rsidR="007C2944" w:rsidRPr="002E6D8F" w:rsidRDefault="00170B62">
      <w:pPr>
        <w:spacing w:before="0" w:beforeAutospacing="0" w:line="360" w:lineRule="auto"/>
        <w:jc w:val="both"/>
        <w:rPr>
          <w:sz w:val="24"/>
          <w:szCs w:val="24"/>
          <w:lang w:val="en-US"/>
        </w:rPr>
      </w:pPr>
      <w:r w:rsidRPr="002E6D8F">
        <w:rPr>
          <w:rFonts w:eastAsia="Calibri"/>
          <w:sz w:val="24"/>
          <w:szCs w:val="24"/>
          <w:lang w:val="en-US"/>
        </w:rPr>
        <w:t xml:space="preserve">Before conducting panel regression analysis, this study carried out pre-estimation tests (panel unit root tests) using the Levin–Lin–Chu (LLC), </w:t>
      </w:r>
      <w:proofErr w:type="spellStart"/>
      <w:r w:rsidRPr="002E6D8F">
        <w:rPr>
          <w:rFonts w:eastAsia="Calibri"/>
          <w:sz w:val="24"/>
          <w:szCs w:val="24"/>
          <w:lang w:val="en-US"/>
        </w:rPr>
        <w:t>Im</w:t>
      </w:r>
      <w:proofErr w:type="spellEnd"/>
      <w:r w:rsidRPr="002E6D8F">
        <w:rPr>
          <w:rFonts w:eastAsia="Calibri"/>
          <w:sz w:val="24"/>
          <w:szCs w:val="24"/>
          <w:lang w:val="en-US"/>
        </w:rPr>
        <w:t>–</w:t>
      </w:r>
      <w:proofErr w:type="spellStart"/>
      <w:r w:rsidRPr="002E6D8F">
        <w:rPr>
          <w:rFonts w:eastAsia="Calibri"/>
          <w:sz w:val="24"/>
          <w:szCs w:val="24"/>
          <w:lang w:val="en-US"/>
        </w:rPr>
        <w:t>Pesaran</w:t>
      </w:r>
      <w:proofErr w:type="spellEnd"/>
      <w:r w:rsidRPr="002E6D8F">
        <w:rPr>
          <w:rFonts w:eastAsia="Calibri"/>
          <w:sz w:val="24"/>
          <w:szCs w:val="24"/>
          <w:lang w:val="en-US"/>
        </w:rPr>
        <w:t>–Shin (IPS), and ADF–Fisher Chi-square tests to assess the stationarity of the regression variables. The use of multiple tests was necessary to ensure robustness since each test relies on different assumptions. The LLC test assumes a common unit root process across panels, while the IPS and ADF–Fisher tests allow for heterogeneity in the autoregressive structure across counties.</w:t>
      </w:r>
    </w:p>
    <w:p w14:paraId="01A3C7D0" w14:textId="77777777" w:rsidR="007C2944" w:rsidRPr="002E6D8F" w:rsidRDefault="00170B62">
      <w:pPr>
        <w:spacing w:line="360" w:lineRule="auto"/>
        <w:jc w:val="both"/>
        <w:rPr>
          <w:sz w:val="24"/>
          <w:szCs w:val="24"/>
        </w:rPr>
      </w:pPr>
      <w:r w:rsidRPr="002E6D8F">
        <w:rPr>
          <w:sz w:val="24"/>
          <w:szCs w:val="24"/>
        </w:rPr>
        <w:t>The res</w:t>
      </w:r>
      <w:r w:rsidR="00695787">
        <w:rPr>
          <w:sz w:val="24"/>
          <w:szCs w:val="24"/>
        </w:rPr>
        <w:t>ults are presented in Table</w:t>
      </w:r>
      <w:r w:rsidR="00695787">
        <w:rPr>
          <w:sz w:val="24"/>
          <w:szCs w:val="24"/>
          <w:lang w:val="en-GB"/>
        </w:rPr>
        <w:t xml:space="preserve"> 1.</w:t>
      </w:r>
      <w:r w:rsidRPr="002E6D8F">
        <w:rPr>
          <w:sz w:val="24"/>
          <w:szCs w:val="24"/>
        </w:rPr>
        <w:t xml:space="preserve"> Across all three tests, the findings consistently indicate that the variables are stationary at the level. A key indicator is the p-value: a low p-value (typically below 0.05) suggests the series is stationary, while a high p-value indicates the presence of a unit root. For this study, all p-values across LLC, IPS, and ADF–Fisher tests were less than 0.05, indicating that the variables do not contain a unit root.</w:t>
      </w:r>
    </w:p>
    <w:p w14:paraId="03351F54" w14:textId="77777777" w:rsidR="007C2944" w:rsidRPr="002E6D8F" w:rsidRDefault="00170B62">
      <w:pPr>
        <w:pStyle w:val="Caption"/>
        <w:spacing w:after="0"/>
        <w:jc w:val="both"/>
        <w:rPr>
          <w:lang w:val="en-US"/>
        </w:rPr>
      </w:pPr>
      <w:bookmarkStart w:id="85" w:name="_Toc17357"/>
      <w:r>
        <w:t xml:space="preserve">Table </w:t>
      </w:r>
      <w:r>
        <w:rPr>
          <w:lang w:val="en-GB"/>
        </w:rPr>
        <w:t>1</w:t>
      </w:r>
      <w:r w:rsidR="001635A6" w:rsidRPr="002E6D8F">
        <w:rPr>
          <w:lang w:val="en-US"/>
        </w:rPr>
        <w:t xml:space="preserve">: </w:t>
      </w:r>
      <w:r w:rsidR="001635A6" w:rsidRPr="002E6D8F">
        <w:rPr>
          <w:lang w:val="en-US" w:eastAsia="en-US"/>
        </w:rPr>
        <w:t>Panel Unit Root Test Results</w:t>
      </w:r>
      <w:bookmarkEnd w:id="85"/>
    </w:p>
    <w:tbl>
      <w:tblPr>
        <w:tblW w:w="5000" w:type="pct"/>
        <w:tblLook w:val="04A0" w:firstRow="1" w:lastRow="0" w:firstColumn="1" w:lastColumn="0" w:noHBand="0" w:noVBand="1"/>
      </w:tblPr>
      <w:tblGrid>
        <w:gridCol w:w="1826"/>
        <w:gridCol w:w="1281"/>
        <w:gridCol w:w="889"/>
        <w:gridCol w:w="1295"/>
        <w:gridCol w:w="889"/>
        <w:gridCol w:w="1143"/>
        <w:gridCol w:w="889"/>
        <w:gridCol w:w="1364"/>
      </w:tblGrid>
      <w:tr w:rsidR="00686FDB" w14:paraId="0384BF8B" w14:textId="77777777" w:rsidTr="005C27FC">
        <w:tc>
          <w:tcPr>
            <w:tcW w:w="954" w:type="pct"/>
            <w:tcBorders>
              <w:top w:val="single" w:sz="4" w:space="0" w:color="auto"/>
              <w:left w:val="nil"/>
              <w:bottom w:val="single" w:sz="4" w:space="0" w:color="auto"/>
              <w:right w:val="nil"/>
            </w:tcBorders>
          </w:tcPr>
          <w:p w14:paraId="27FF85CD" w14:textId="77777777" w:rsidR="007C2944" w:rsidRPr="002E6D8F" w:rsidRDefault="00170B62">
            <w:pPr>
              <w:spacing w:before="0" w:beforeAutospacing="0" w:after="0" w:line="360" w:lineRule="auto"/>
              <w:jc w:val="both"/>
              <w:rPr>
                <w:b/>
                <w:bCs/>
                <w:sz w:val="24"/>
                <w:szCs w:val="24"/>
              </w:rPr>
            </w:pPr>
            <w:r w:rsidRPr="002E6D8F">
              <w:rPr>
                <w:b/>
                <w:bCs/>
                <w:sz w:val="24"/>
                <w:szCs w:val="24"/>
              </w:rPr>
              <w:t>Variable</w:t>
            </w:r>
          </w:p>
        </w:tc>
        <w:tc>
          <w:tcPr>
            <w:tcW w:w="669" w:type="pct"/>
            <w:tcBorders>
              <w:top w:val="single" w:sz="4" w:space="0" w:color="auto"/>
              <w:left w:val="nil"/>
              <w:bottom w:val="single" w:sz="4" w:space="0" w:color="auto"/>
              <w:right w:val="nil"/>
            </w:tcBorders>
          </w:tcPr>
          <w:p w14:paraId="10BCD5DD" w14:textId="77777777" w:rsidR="007C2944" w:rsidRPr="002E6D8F" w:rsidRDefault="00170B62">
            <w:pPr>
              <w:spacing w:before="0" w:beforeAutospacing="0" w:after="0" w:line="360" w:lineRule="auto"/>
              <w:jc w:val="center"/>
              <w:rPr>
                <w:b/>
                <w:bCs/>
                <w:sz w:val="24"/>
                <w:szCs w:val="24"/>
              </w:rPr>
            </w:pPr>
            <w:r w:rsidRPr="002E6D8F">
              <w:rPr>
                <w:b/>
                <w:bCs/>
                <w:sz w:val="24"/>
                <w:szCs w:val="24"/>
              </w:rPr>
              <w:t>LLC t-Statistic</w:t>
            </w:r>
          </w:p>
        </w:tc>
        <w:tc>
          <w:tcPr>
            <w:tcW w:w="464" w:type="pct"/>
            <w:tcBorders>
              <w:top w:val="single" w:sz="4" w:space="0" w:color="auto"/>
              <w:left w:val="nil"/>
              <w:bottom w:val="single" w:sz="4" w:space="0" w:color="auto"/>
              <w:right w:val="nil"/>
            </w:tcBorders>
          </w:tcPr>
          <w:p w14:paraId="376535F2" w14:textId="77777777" w:rsidR="007C2944" w:rsidRPr="002E6D8F" w:rsidRDefault="00170B62">
            <w:pPr>
              <w:spacing w:before="0" w:beforeAutospacing="0" w:after="0" w:line="360" w:lineRule="auto"/>
              <w:jc w:val="center"/>
              <w:rPr>
                <w:b/>
                <w:bCs/>
                <w:sz w:val="24"/>
                <w:szCs w:val="24"/>
              </w:rPr>
            </w:pPr>
            <w:r w:rsidRPr="002E6D8F">
              <w:rPr>
                <w:b/>
                <w:bCs/>
                <w:sz w:val="24"/>
                <w:szCs w:val="24"/>
              </w:rPr>
              <w:t>p-Value</w:t>
            </w:r>
          </w:p>
        </w:tc>
        <w:tc>
          <w:tcPr>
            <w:tcW w:w="676" w:type="pct"/>
            <w:tcBorders>
              <w:top w:val="single" w:sz="4" w:space="0" w:color="auto"/>
              <w:left w:val="nil"/>
              <w:bottom w:val="single" w:sz="4" w:space="0" w:color="auto"/>
              <w:right w:val="nil"/>
            </w:tcBorders>
          </w:tcPr>
          <w:p w14:paraId="40D35F04" w14:textId="77777777" w:rsidR="007C2944" w:rsidRPr="002E6D8F" w:rsidRDefault="00170B62">
            <w:pPr>
              <w:spacing w:before="0" w:beforeAutospacing="0" w:after="0" w:line="360" w:lineRule="auto"/>
              <w:jc w:val="center"/>
              <w:rPr>
                <w:b/>
                <w:bCs/>
                <w:sz w:val="24"/>
                <w:szCs w:val="24"/>
              </w:rPr>
            </w:pPr>
            <w:r w:rsidRPr="002E6D8F">
              <w:rPr>
                <w:b/>
                <w:bCs/>
                <w:sz w:val="24"/>
                <w:szCs w:val="24"/>
              </w:rPr>
              <w:t>IPS W-Statistic</w:t>
            </w:r>
          </w:p>
        </w:tc>
        <w:tc>
          <w:tcPr>
            <w:tcW w:w="464" w:type="pct"/>
            <w:tcBorders>
              <w:top w:val="single" w:sz="4" w:space="0" w:color="auto"/>
              <w:left w:val="nil"/>
              <w:bottom w:val="single" w:sz="4" w:space="0" w:color="auto"/>
              <w:right w:val="nil"/>
            </w:tcBorders>
          </w:tcPr>
          <w:p w14:paraId="07F0F360" w14:textId="77777777" w:rsidR="007C2944" w:rsidRPr="002E6D8F" w:rsidRDefault="00170B62">
            <w:pPr>
              <w:spacing w:before="0" w:beforeAutospacing="0" w:after="0" w:line="360" w:lineRule="auto"/>
              <w:jc w:val="center"/>
              <w:rPr>
                <w:b/>
                <w:bCs/>
                <w:sz w:val="24"/>
                <w:szCs w:val="24"/>
              </w:rPr>
            </w:pPr>
            <w:r w:rsidRPr="002E6D8F">
              <w:rPr>
                <w:b/>
                <w:bCs/>
                <w:sz w:val="24"/>
                <w:szCs w:val="24"/>
              </w:rPr>
              <w:t>p-Value</w:t>
            </w:r>
          </w:p>
        </w:tc>
        <w:tc>
          <w:tcPr>
            <w:tcW w:w="597" w:type="pct"/>
            <w:tcBorders>
              <w:top w:val="single" w:sz="4" w:space="0" w:color="auto"/>
              <w:left w:val="nil"/>
              <w:bottom w:val="single" w:sz="4" w:space="0" w:color="auto"/>
              <w:right w:val="nil"/>
            </w:tcBorders>
          </w:tcPr>
          <w:p w14:paraId="41B551F6" w14:textId="77777777" w:rsidR="007C2944" w:rsidRPr="002E6D8F" w:rsidRDefault="00170B62">
            <w:pPr>
              <w:spacing w:before="0" w:beforeAutospacing="0" w:after="0" w:line="360" w:lineRule="auto"/>
              <w:jc w:val="center"/>
              <w:rPr>
                <w:b/>
                <w:bCs/>
                <w:sz w:val="24"/>
                <w:szCs w:val="24"/>
              </w:rPr>
            </w:pPr>
            <w:r w:rsidRPr="002E6D8F">
              <w:rPr>
                <w:b/>
                <w:bCs/>
                <w:sz w:val="24"/>
                <w:szCs w:val="24"/>
              </w:rPr>
              <w:t>ADF-Fisher χ²</w:t>
            </w:r>
          </w:p>
        </w:tc>
        <w:tc>
          <w:tcPr>
            <w:tcW w:w="464" w:type="pct"/>
            <w:tcBorders>
              <w:top w:val="single" w:sz="4" w:space="0" w:color="auto"/>
              <w:left w:val="nil"/>
              <w:bottom w:val="single" w:sz="4" w:space="0" w:color="auto"/>
              <w:right w:val="nil"/>
            </w:tcBorders>
          </w:tcPr>
          <w:p w14:paraId="64162B06" w14:textId="77777777" w:rsidR="007C2944" w:rsidRPr="002E6D8F" w:rsidRDefault="00170B62">
            <w:pPr>
              <w:spacing w:before="0" w:beforeAutospacing="0" w:after="0" w:line="360" w:lineRule="auto"/>
              <w:jc w:val="center"/>
              <w:rPr>
                <w:b/>
                <w:bCs/>
                <w:sz w:val="24"/>
                <w:szCs w:val="24"/>
              </w:rPr>
            </w:pPr>
            <w:r w:rsidRPr="002E6D8F">
              <w:rPr>
                <w:b/>
                <w:bCs/>
                <w:sz w:val="24"/>
                <w:szCs w:val="24"/>
              </w:rPr>
              <w:t>p-Value</w:t>
            </w:r>
          </w:p>
        </w:tc>
        <w:tc>
          <w:tcPr>
            <w:tcW w:w="712" w:type="pct"/>
            <w:tcBorders>
              <w:top w:val="single" w:sz="4" w:space="0" w:color="auto"/>
              <w:left w:val="nil"/>
              <w:bottom w:val="single" w:sz="4" w:space="0" w:color="auto"/>
              <w:right w:val="nil"/>
            </w:tcBorders>
          </w:tcPr>
          <w:p w14:paraId="417D6B28" w14:textId="77777777" w:rsidR="007C2944" w:rsidRPr="002E6D8F" w:rsidRDefault="00170B62">
            <w:pPr>
              <w:spacing w:before="0" w:beforeAutospacing="0" w:after="0" w:line="360" w:lineRule="auto"/>
              <w:jc w:val="center"/>
              <w:rPr>
                <w:b/>
                <w:bCs/>
                <w:sz w:val="24"/>
                <w:szCs w:val="24"/>
              </w:rPr>
            </w:pPr>
            <w:r w:rsidRPr="002E6D8F">
              <w:rPr>
                <w:b/>
                <w:bCs/>
                <w:sz w:val="24"/>
                <w:szCs w:val="24"/>
              </w:rPr>
              <w:t>Decision (at 5%)</w:t>
            </w:r>
          </w:p>
        </w:tc>
      </w:tr>
      <w:tr w:rsidR="00686FDB" w14:paraId="06B755E3" w14:textId="77777777" w:rsidTr="005C27FC">
        <w:tc>
          <w:tcPr>
            <w:tcW w:w="954" w:type="pct"/>
            <w:tcBorders>
              <w:top w:val="single" w:sz="4" w:space="0" w:color="auto"/>
              <w:left w:val="nil"/>
              <w:bottom w:val="nil"/>
              <w:right w:val="nil"/>
            </w:tcBorders>
          </w:tcPr>
          <w:p w14:paraId="16B4DB17" w14:textId="77777777" w:rsidR="007C2944" w:rsidRPr="002E6D8F" w:rsidRDefault="00170B62">
            <w:pPr>
              <w:spacing w:before="0" w:beforeAutospacing="0" w:after="0" w:line="360" w:lineRule="auto"/>
              <w:jc w:val="both"/>
              <w:rPr>
                <w:sz w:val="24"/>
                <w:szCs w:val="24"/>
                <w:lang w:val="en-GB"/>
              </w:rPr>
            </w:pPr>
            <w:r w:rsidRPr="002E6D8F">
              <w:rPr>
                <w:sz w:val="24"/>
                <w:szCs w:val="24"/>
              </w:rPr>
              <w:t>County Debt</w:t>
            </w:r>
          </w:p>
        </w:tc>
        <w:tc>
          <w:tcPr>
            <w:tcW w:w="669" w:type="pct"/>
            <w:tcBorders>
              <w:top w:val="single" w:sz="4" w:space="0" w:color="auto"/>
              <w:left w:val="nil"/>
              <w:bottom w:val="nil"/>
              <w:right w:val="nil"/>
            </w:tcBorders>
          </w:tcPr>
          <w:p w14:paraId="3345BF8C" w14:textId="77777777" w:rsidR="007C2944" w:rsidRPr="002E6D8F" w:rsidRDefault="00170B62">
            <w:pPr>
              <w:spacing w:before="0" w:beforeAutospacing="0" w:after="0" w:line="360" w:lineRule="auto"/>
              <w:jc w:val="center"/>
              <w:rPr>
                <w:sz w:val="24"/>
                <w:szCs w:val="24"/>
              </w:rPr>
            </w:pPr>
            <w:r w:rsidRPr="002E6D8F">
              <w:rPr>
                <w:sz w:val="24"/>
                <w:szCs w:val="24"/>
              </w:rPr>
              <w:t>-3.182</w:t>
            </w:r>
          </w:p>
        </w:tc>
        <w:tc>
          <w:tcPr>
            <w:tcW w:w="464" w:type="pct"/>
            <w:tcBorders>
              <w:top w:val="single" w:sz="4" w:space="0" w:color="auto"/>
              <w:left w:val="nil"/>
              <w:bottom w:val="nil"/>
              <w:right w:val="nil"/>
            </w:tcBorders>
          </w:tcPr>
          <w:p w14:paraId="15D22E8F" w14:textId="77777777" w:rsidR="007C2944" w:rsidRPr="002E6D8F" w:rsidRDefault="00170B62">
            <w:pPr>
              <w:spacing w:before="0" w:beforeAutospacing="0" w:after="0" w:line="360" w:lineRule="auto"/>
              <w:jc w:val="center"/>
              <w:rPr>
                <w:sz w:val="24"/>
                <w:szCs w:val="24"/>
              </w:rPr>
            </w:pPr>
            <w:r w:rsidRPr="002E6D8F">
              <w:rPr>
                <w:sz w:val="24"/>
                <w:szCs w:val="24"/>
              </w:rPr>
              <w:t>0.000</w:t>
            </w:r>
          </w:p>
        </w:tc>
        <w:tc>
          <w:tcPr>
            <w:tcW w:w="676" w:type="pct"/>
            <w:tcBorders>
              <w:top w:val="single" w:sz="4" w:space="0" w:color="auto"/>
              <w:left w:val="nil"/>
              <w:bottom w:val="nil"/>
              <w:right w:val="nil"/>
            </w:tcBorders>
          </w:tcPr>
          <w:p w14:paraId="3B50EF7A" w14:textId="77777777" w:rsidR="007C2944" w:rsidRPr="002E6D8F" w:rsidRDefault="00170B62">
            <w:pPr>
              <w:spacing w:before="0" w:beforeAutospacing="0" w:after="0" w:line="360" w:lineRule="auto"/>
              <w:jc w:val="center"/>
              <w:rPr>
                <w:sz w:val="24"/>
                <w:szCs w:val="24"/>
              </w:rPr>
            </w:pPr>
            <w:r w:rsidRPr="002E6D8F">
              <w:rPr>
                <w:sz w:val="24"/>
                <w:szCs w:val="24"/>
              </w:rPr>
              <w:t>-2.741</w:t>
            </w:r>
          </w:p>
        </w:tc>
        <w:tc>
          <w:tcPr>
            <w:tcW w:w="464" w:type="pct"/>
            <w:tcBorders>
              <w:top w:val="single" w:sz="4" w:space="0" w:color="auto"/>
              <w:left w:val="nil"/>
              <w:bottom w:val="nil"/>
              <w:right w:val="nil"/>
            </w:tcBorders>
          </w:tcPr>
          <w:p w14:paraId="2AFFF8C2" w14:textId="77777777" w:rsidR="007C2944" w:rsidRPr="002E6D8F" w:rsidRDefault="00170B62">
            <w:pPr>
              <w:spacing w:before="0" w:beforeAutospacing="0" w:after="0" w:line="360" w:lineRule="auto"/>
              <w:jc w:val="center"/>
              <w:rPr>
                <w:sz w:val="24"/>
                <w:szCs w:val="24"/>
              </w:rPr>
            </w:pPr>
            <w:r w:rsidRPr="002E6D8F">
              <w:rPr>
                <w:sz w:val="24"/>
                <w:szCs w:val="24"/>
              </w:rPr>
              <w:t>0.001</w:t>
            </w:r>
          </w:p>
        </w:tc>
        <w:tc>
          <w:tcPr>
            <w:tcW w:w="597" w:type="pct"/>
            <w:tcBorders>
              <w:top w:val="single" w:sz="4" w:space="0" w:color="auto"/>
              <w:left w:val="nil"/>
              <w:bottom w:val="nil"/>
              <w:right w:val="nil"/>
            </w:tcBorders>
          </w:tcPr>
          <w:p w14:paraId="38F6F15C" w14:textId="77777777" w:rsidR="007C2944" w:rsidRPr="002E6D8F" w:rsidRDefault="00170B62">
            <w:pPr>
              <w:spacing w:before="0" w:beforeAutospacing="0" w:after="0" w:line="360" w:lineRule="auto"/>
              <w:jc w:val="center"/>
              <w:rPr>
                <w:sz w:val="24"/>
                <w:szCs w:val="24"/>
              </w:rPr>
            </w:pPr>
            <w:r w:rsidRPr="002E6D8F">
              <w:rPr>
                <w:sz w:val="24"/>
                <w:szCs w:val="24"/>
              </w:rPr>
              <w:t>85.42</w:t>
            </w:r>
          </w:p>
        </w:tc>
        <w:tc>
          <w:tcPr>
            <w:tcW w:w="464" w:type="pct"/>
            <w:tcBorders>
              <w:top w:val="single" w:sz="4" w:space="0" w:color="auto"/>
              <w:left w:val="nil"/>
              <w:bottom w:val="nil"/>
              <w:right w:val="nil"/>
            </w:tcBorders>
          </w:tcPr>
          <w:p w14:paraId="749629D0" w14:textId="77777777" w:rsidR="007C2944" w:rsidRPr="002E6D8F" w:rsidRDefault="00170B62">
            <w:pPr>
              <w:spacing w:before="0" w:beforeAutospacing="0" w:after="0" w:line="360" w:lineRule="auto"/>
              <w:jc w:val="center"/>
              <w:rPr>
                <w:sz w:val="24"/>
                <w:szCs w:val="24"/>
              </w:rPr>
            </w:pPr>
            <w:r w:rsidRPr="002E6D8F">
              <w:rPr>
                <w:sz w:val="24"/>
                <w:szCs w:val="24"/>
              </w:rPr>
              <w:t>0.000</w:t>
            </w:r>
          </w:p>
        </w:tc>
        <w:tc>
          <w:tcPr>
            <w:tcW w:w="712" w:type="pct"/>
            <w:tcBorders>
              <w:top w:val="single" w:sz="4" w:space="0" w:color="auto"/>
              <w:left w:val="nil"/>
              <w:bottom w:val="nil"/>
              <w:right w:val="nil"/>
            </w:tcBorders>
          </w:tcPr>
          <w:p w14:paraId="3FCF1722" w14:textId="77777777" w:rsidR="007C2944" w:rsidRPr="002E6D8F" w:rsidRDefault="00170B62">
            <w:pPr>
              <w:spacing w:before="0" w:beforeAutospacing="0" w:after="0" w:line="360" w:lineRule="auto"/>
              <w:jc w:val="center"/>
              <w:rPr>
                <w:sz w:val="24"/>
                <w:szCs w:val="24"/>
              </w:rPr>
            </w:pPr>
            <w:r w:rsidRPr="002E6D8F">
              <w:rPr>
                <w:sz w:val="24"/>
                <w:szCs w:val="24"/>
              </w:rPr>
              <w:t>Reject H₀</w:t>
            </w:r>
          </w:p>
        </w:tc>
      </w:tr>
      <w:tr w:rsidR="00686FDB" w14:paraId="29E7C4D3" w14:textId="77777777" w:rsidTr="005C27FC">
        <w:tc>
          <w:tcPr>
            <w:tcW w:w="954" w:type="pct"/>
            <w:tcBorders>
              <w:top w:val="nil"/>
              <w:left w:val="nil"/>
              <w:bottom w:val="nil"/>
              <w:right w:val="nil"/>
            </w:tcBorders>
          </w:tcPr>
          <w:p w14:paraId="42669379" w14:textId="77777777" w:rsidR="007C2944" w:rsidRPr="002E6D8F" w:rsidRDefault="00170B62">
            <w:pPr>
              <w:spacing w:before="0" w:beforeAutospacing="0" w:after="0" w:line="360" w:lineRule="auto"/>
              <w:jc w:val="both"/>
              <w:rPr>
                <w:sz w:val="24"/>
                <w:szCs w:val="24"/>
                <w:lang w:val="en-GB"/>
              </w:rPr>
            </w:pPr>
            <w:r w:rsidRPr="002E6D8F">
              <w:rPr>
                <w:sz w:val="24"/>
                <w:szCs w:val="24"/>
              </w:rPr>
              <w:t>Economic Growth</w:t>
            </w:r>
          </w:p>
        </w:tc>
        <w:tc>
          <w:tcPr>
            <w:tcW w:w="669" w:type="pct"/>
            <w:tcBorders>
              <w:top w:val="nil"/>
              <w:left w:val="nil"/>
              <w:bottom w:val="nil"/>
              <w:right w:val="nil"/>
            </w:tcBorders>
          </w:tcPr>
          <w:p w14:paraId="743450A9" w14:textId="77777777" w:rsidR="007C2944" w:rsidRPr="002E6D8F" w:rsidRDefault="00170B62">
            <w:pPr>
              <w:spacing w:before="0" w:beforeAutospacing="0" w:after="0" w:line="360" w:lineRule="auto"/>
              <w:jc w:val="center"/>
              <w:rPr>
                <w:sz w:val="24"/>
                <w:szCs w:val="24"/>
              </w:rPr>
            </w:pPr>
            <w:r w:rsidRPr="002E6D8F">
              <w:rPr>
                <w:sz w:val="24"/>
                <w:szCs w:val="24"/>
              </w:rPr>
              <w:t>-1.546</w:t>
            </w:r>
          </w:p>
        </w:tc>
        <w:tc>
          <w:tcPr>
            <w:tcW w:w="464" w:type="pct"/>
            <w:tcBorders>
              <w:top w:val="nil"/>
              <w:left w:val="nil"/>
              <w:bottom w:val="nil"/>
              <w:right w:val="nil"/>
            </w:tcBorders>
          </w:tcPr>
          <w:p w14:paraId="16075D15" w14:textId="77777777" w:rsidR="007C2944" w:rsidRPr="002E6D8F" w:rsidRDefault="00170B62">
            <w:pPr>
              <w:spacing w:before="0" w:beforeAutospacing="0" w:after="0" w:line="360" w:lineRule="auto"/>
              <w:jc w:val="center"/>
              <w:rPr>
                <w:sz w:val="24"/>
                <w:szCs w:val="24"/>
              </w:rPr>
            </w:pPr>
            <w:r w:rsidRPr="002E6D8F">
              <w:rPr>
                <w:sz w:val="24"/>
                <w:szCs w:val="24"/>
              </w:rPr>
              <w:t>0.003</w:t>
            </w:r>
          </w:p>
        </w:tc>
        <w:tc>
          <w:tcPr>
            <w:tcW w:w="676" w:type="pct"/>
            <w:tcBorders>
              <w:top w:val="nil"/>
              <w:left w:val="nil"/>
              <w:bottom w:val="nil"/>
              <w:right w:val="nil"/>
            </w:tcBorders>
          </w:tcPr>
          <w:p w14:paraId="338AA182" w14:textId="77777777" w:rsidR="007C2944" w:rsidRPr="002E6D8F" w:rsidRDefault="00170B62">
            <w:pPr>
              <w:spacing w:before="0" w:beforeAutospacing="0" w:after="0" w:line="360" w:lineRule="auto"/>
              <w:jc w:val="center"/>
              <w:rPr>
                <w:sz w:val="24"/>
                <w:szCs w:val="24"/>
              </w:rPr>
            </w:pPr>
            <w:r w:rsidRPr="002E6D8F">
              <w:rPr>
                <w:sz w:val="24"/>
                <w:szCs w:val="24"/>
              </w:rPr>
              <w:t>-2.114</w:t>
            </w:r>
          </w:p>
        </w:tc>
        <w:tc>
          <w:tcPr>
            <w:tcW w:w="464" w:type="pct"/>
            <w:tcBorders>
              <w:top w:val="nil"/>
              <w:left w:val="nil"/>
              <w:bottom w:val="nil"/>
              <w:right w:val="nil"/>
            </w:tcBorders>
          </w:tcPr>
          <w:p w14:paraId="6862B883" w14:textId="77777777" w:rsidR="007C2944" w:rsidRPr="002E6D8F" w:rsidRDefault="00170B62">
            <w:pPr>
              <w:spacing w:before="0" w:beforeAutospacing="0" w:after="0" w:line="360" w:lineRule="auto"/>
              <w:jc w:val="center"/>
              <w:rPr>
                <w:sz w:val="24"/>
                <w:szCs w:val="24"/>
              </w:rPr>
            </w:pPr>
            <w:r w:rsidRPr="002E6D8F">
              <w:rPr>
                <w:sz w:val="24"/>
                <w:szCs w:val="24"/>
              </w:rPr>
              <w:t>0.017</w:t>
            </w:r>
          </w:p>
        </w:tc>
        <w:tc>
          <w:tcPr>
            <w:tcW w:w="597" w:type="pct"/>
            <w:tcBorders>
              <w:top w:val="nil"/>
              <w:left w:val="nil"/>
              <w:bottom w:val="nil"/>
              <w:right w:val="nil"/>
            </w:tcBorders>
          </w:tcPr>
          <w:p w14:paraId="2E4D73F3" w14:textId="77777777" w:rsidR="007C2944" w:rsidRPr="002E6D8F" w:rsidRDefault="00170B62">
            <w:pPr>
              <w:spacing w:before="0" w:beforeAutospacing="0" w:after="0" w:line="360" w:lineRule="auto"/>
              <w:jc w:val="center"/>
              <w:rPr>
                <w:sz w:val="24"/>
                <w:szCs w:val="24"/>
              </w:rPr>
            </w:pPr>
            <w:r w:rsidRPr="002E6D8F">
              <w:rPr>
                <w:sz w:val="24"/>
                <w:szCs w:val="24"/>
              </w:rPr>
              <w:t>62.13</w:t>
            </w:r>
          </w:p>
        </w:tc>
        <w:tc>
          <w:tcPr>
            <w:tcW w:w="464" w:type="pct"/>
            <w:tcBorders>
              <w:top w:val="nil"/>
              <w:left w:val="nil"/>
              <w:bottom w:val="nil"/>
              <w:right w:val="nil"/>
            </w:tcBorders>
          </w:tcPr>
          <w:p w14:paraId="6C65FC81" w14:textId="77777777" w:rsidR="007C2944" w:rsidRPr="002E6D8F" w:rsidRDefault="00170B62">
            <w:pPr>
              <w:spacing w:before="0" w:beforeAutospacing="0" w:after="0" w:line="360" w:lineRule="auto"/>
              <w:jc w:val="center"/>
              <w:rPr>
                <w:sz w:val="24"/>
                <w:szCs w:val="24"/>
              </w:rPr>
            </w:pPr>
            <w:r w:rsidRPr="002E6D8F">
              <w:rPr>
                <w:sz w:val="24"/>
                <w:szCs w:val="24"/>
              </w:rPr>
              <w:t>0.002</w:t>
            </w:r>
          </w:p>
        </w:tc>
        <w:tc>
          <w:tcPr>
            <w:tcW w:w="712" w:type="pct"/>
            <w:tcBorders>
              <w:top w:val="nil"/>
              <w:left w:val="nil"/>
              <w:bottom w:val="nil"/>
              <w:right w:val="nil"/>
            </w:tcBorders>
          </w:tcPr>
          <w:p w14:paraId="1F94C8CB" w14:textId="77777777" w:rsidR="007C2944" w:rsidRPr="002E6D8F" w:rsidRDefault="00170B62">
            <w:pPr>
              <w:spacing w:before="0" w:beforeAutospacing="0" w:after="0" w:line="360" w:lineRule="auto"/>
              <w:jc w:val="center"/>
              <w:rPr>
                <w:sz w:val="24"/>
                <w:szCs w:val="24"/>
              </w:rPr>
            </w:pPr>
            <w:r w:rsidRPr="002E6D8F">
              <w:rPr>
                <w:sz w:val="24"/>
                <w:szCs w:val="24"/>
              </w:rPr>
              <w:t>Reject H₀</w:t>
            </w:r>
          </w:p>
        </w:tc>
      </w:tr>
      <w:tr w:rsidR="00686FDB" w14:paraId="724DE44B" w14:textId="77777777" w:rsidTr="005C27FC">
        <w:tc>
          <w:tcPr>
            <w:tcW w:w="954" w:type="pct"/>
            <w:tcBorders>
              <w:top w:val="nil"/>
              <w:left w:val="nil"/>
              <w:bottom w:val="nil"/>
              <w:right w:val="nil"/>
            </w:tcBorders>
          </w:tcPr>
          <w:p w14:paraId="3B76AB85" w14:textId="77777777" w:rsidR="007C2944" w:rsidRPr="002E6D8F" w:rsidRDefault="00170B62">
            <w:pPr>
              <w:spacing w:before="0" w:beforeAutospacing="0" w:after="0" w:line="360" w:lineRule="auto"/>
              <w:jc w:val="both"/>
              <w:rPr>
                <w:sz w:val="24"/>
                <w:szCs w:val="24"/>
                <w:lang w:val="en-GB"/>
              </w:rPr>
            </w:pPr>
            <w:r w:rsidRPr="002E6D8F">
              <w:rPr>
                <w:sz w:val="24"/>
                <w:szCs w:val="24"/>
              </w:rPr>
              <w:t>Tax Revenue</w:t>
            </w:r>
          </w:p>
        </w:tc>
        <w:tc>
          <w:tcPr>
            <w:tcW w:w="669" w:type="pct"/>
            <w:tcBorders>
              <w:top w:val="nil"/>
              <w:left w:val="nil"/>
              <w:bottom w:val="nil"/>
              <w:right w:val="nil"/>
            </w:tcBorders>
          </w:tcPr>
          <w:p w14:paraId="529ED120" w14:textId="77777777" w:rsidR="007C2944" w:rsidRPr="002E6D8F" w:rsidRDefault="00170B62">
            <w:pPr>
              <w:spacing w:before="0" w:beforeAutospacing="0" w:after="0" w:line="360" w:lineRule="auto"/>
              <w:jc w:val="center"/>
              <w:rPr>
                <w:sz w:val="24"/>
                <w:szCs w:val="24"/>
              </w:rPr>
            </w:pPr>
            <w:r w:rsidRPr="002E6D8F">
              <w:rPr>
                <w:sz w:val="24"/>
                <w:szCs w:val="24"/>
              </w:rPr>
              <w:t>-2.945</w:t>
            </w:r>
          </w:p>
        </w:tc>
        <w:tc>
          <w:tcPr>
            <w:tcW w:w="464" w:type="pct"/>
            <w:tcBorders>
              <w:top w:val="nil"/>
              <w:left w:val="nil"/>
              <w:bottom w:val="nil"/>
              <w:right w:val="nil"/>
            </w:tcBorders>
          </w:tcPr>
          <w:p w14:paraId="31C9A13A" w14:textId="77777777" w:rsidR="007C2944" w:rsidRPr="002E6D8F" w:rsidRDefault="00170B62">
            <w:pPr>
              <w:spacing w:before="0" w:beforeAutospacing="0" w:after="0" w:line="360" w:lineRule="auto"/>
              <w:jc w:val="center"/>
              <w:rPr>
                <w:sz w:val="24"/>
                <w:szCs w:val="24"/>
              </w:rPr>
            </w:pPr>
            <w:r w:rsidRPr="002E6D8F">
              <w:rPr>
                <w:sz w:val="24"/>
                <w:szCs w:val="24"/>
              </w:rPr>
              <w:t>0.000</w:t>
            </w:r>
          </w:p>
        </w:tc>
        <w:tc>
          <w:tcPr>
            <w:tcW w:w="676" w:type="pct"/>
            <w:tcBorders>
              <w:top w:val="nil"/>
              <w:left w:val="nil"/>
              <w:bottom w:val="nil"/>
              <w:right w:val="nil"/>
            </w:tcBorders>
          </w:tcPr>
          <w:p w14:paraId="1F3AF76D" w14:textId="77777777" w:rsidR="007C2944" w:rsidRPr="002E6D8F" w:rsidRDefault="00170B62">
            <w:pPr>
              <w:spacing w:before="0" w:beforeAutospacing="0" w:after="0" w:line="360" w:lineRule="auto"/>
              <w:jc w:val="center"/>
              <w:rPr>
                <w:sz w:val="24"/>
                <w:szCs w:val="24"/>
              </w:rPr>
            </w:pPr>
            <w:r w:rsidRPr="002E6D8F">
              <w:rPr>
                <w:sz w:val="24"/>
                <w:szCs w:val="24"/>
              </w:rPr>
              <w:t>-3.312</w:t>
            </w:r>
          </w:p>
        </w:tc>
        <w:tc>
          <w:tcPr>
            <w:tcW w:w="464" w:type="pct"/>
            <w:tcBorders>
              <w:top w:val="nil"/>
              <w:left w:val="nil"/>
              <w:bottom w:val="nil"/>
              <w:right w:val="nil"/>
            </w:tcBorders>
          </w:tcPr>
          <w:p w14:paraId="3432E3C5" w14:textId="77777777" w:rsidR="007C2944" w:rsidRPr="002E6D8F" w:rsidRDefault="00170B62">
            <w:pPr>
              <w:spacing w:before="0" w:beforeAutospacing="0" w:after="0" w:line="360" w:lineRule="auto"/>
              <w:jc w:val="center"/>
              <w:rPr>
                <w:sz w:val="24"/>
                <w:szCs w:val="24"/>
              </w:rPr>
            </w:pPr>
            <w:r w:rsidRPr="002E6D8F">
              <w:rPr>
                <w:sz w:val="24"/>
                <w:szCs w:val="24"/>
              </w:rPr>
              <w:t>0.000</w:t>
            </w:r>
          </w:p>
        </w:tc>
        <w:tc>
          <w:tcPr>
            <w:tcW w:w="597" w:type="pct"/>
            <w:tcBorders>
              <w:top w:val="nil"/>
              <w:left w:val="nil"/>
              <w:bottom w:val="nil"/>
              <w:right w:val="nil"/>
            </w:tcBorders>
          </w:tcPr>
          <w:p w14:paraId="1F58C7DF" w14:textId="77777777" w:rsidR="007C2944" w:rsidRPr="002E6D8F" w:rsidRDefault="00170B62">
            <w:pPr>
              <w:spacing w:before="0" w:beforeAutospacing="0" w:after="0" w:line="360" w:lineRule="auto"/>
              <w:jc w:val="center"/>
              <w:rPr>
                <w:sz w:val="24"/>
                <w:szCs w:val="24"/>
              </w:rPr>
            </w:pPr>
            <w:r w:rsidRPr="002E6D8F">
              <w:rPr>
                <w:sz w:val="24"/>
                <w:szCs w:val="24"/>
              </w:rPr>
              <w:t>78.54</w:t>
            </w:r>
          </w:p>
        </w:tc>
        <w:tc>
          <w:tcPr>
            <w:tcW w:w="464" w:type="pct"/>
            <w:tcBorders>
              <w:top w:val="nil"/>
              <w:left w:val="nil"/>
              <w:bottom w:val="nil"/>
              <w:right w:val="nil"/>
            </w:tcBorders>
          </w:tcPr>
          <w:p w14:paraId="2BF87E8B" w14:textId="77777777" w:rsidR="007C2944" w:rsidRPr="002E6D8F" w:rsidRDefault="00170B62">
            <w:pPr>
              <w:spacing w:before="0" w:beforeAutospacing="0" w:after="0" w:line="360" w:lineRule="auto"/>
              <w:jc w:val="center"/>
              <w:rPr>
                <w:sz w:val="24"/>
                <w:szCs w:val="24"/>
              </w:rPr>
            </w:pPr>
            <w:r w:rsidRPr="002E6D8F">
              <w:rPr>
                <w:sz w:val="24"/>
                <w:szCs w:val="24"/>
              </w:rPr>
              <w:t>0.000</w:t>
            </w:r>
          </w:p>
        </w:tc>
        <w:tc>
          <w:tcPr>
            <w:tcW w:w="712" w:type="pct"/>
            <w:tcBorders>
              <w:top w:val="nil"/>
              <w:left w:val="nil"/>
              <w:bottom w:val="nil"/>
              <w:right w:val="nil"/>
            </w:tcBorders>
          </w:tcPr>
          <w:p w14:paraId="771B6DBD" w14:textId="77777777" w:rsidR="007C2944" w:rsidRPr="002E6D8F" w:rsidRDefault="00170B62">
            <w:pPr>
              <w:spacing w:before="0" w:beforeAutospacing="0" w:after="0" w:line="360" w:lineRule="auto"/>
              <w:jc w:val="center"/>
              <w:rPr>
                <w:sz w:val="24"/>
                <w:szCs w:val="24"/>
              </w:rPr>
            </w:pPr>
            <w:r w:rsidRPr="002E6D8F">
              <w:rPr>
                <w:sz w:val="24"/>
                <w:szCs w:val="24"/>
              </w:rPr>
              <w:t>Reject H₀</w:t>
            </w:r>
          </w:p>
        </w:tc>
      </w:tr>
      <w:tr w:rsidR="00686FDB" w14:paraId="55868416" w14:textId="77777777" w:rsidTr="005C27FC">
        <w:tc>
          <w:tcPr>
            <w:tcW w:w="954" w:type="pct"/>
            <w:tcBorders>
              <w:top w:val="nil"/>
              <w:left w:val="nil"/>
              <w:bottom w:val="nil"/>
              <w:right w:val="nil"/>
            </w:tcBorders>
          </w:tcPr>
          <w:p w14:paraId="313BFC2C" w14:textId="77777777" w:rsidR="007C2944" w:rsidRPr="002E6D8F" w:rsidRDefault="00170B62">
            <w:pPr>
              <w:spacing w:before="0" w:beforeAutospacing="0" w:after="0" w:line="360" w:lineRule="auto"/>
              <w:jc w:val="both"/>
              <w:rPr>
                <w:sz w:val="24"/>
                <w:szCs w:val="24"/>
                <w:lang w:val="en-GB"/>
              </w:rPr>
            </w:pPr>
            <w:r w:rsidRPr="002E6D8F">
              <w:rPr>
                <w:sz w:val="24"/>
                <w:szCs w:val="24"/>
              </w:rPr>
              <w:t>Government Expenditure</w:t>
            </w:r>
          </w:p>
        </w:tc>
        <w:tc>
          <w:tcPr>
            <w:tcW w:w="669" w:type="pct"/>
            <w:tcBorders>
              <w:top w:val="nil"/>
              <w:left w:val="nil"/>
              <w:bottom w:val="nil"/>
              <w:right w:val="nil"/>
            </w:tcBorders>
          </w:tcPr>
          <w:p w14:paraId="6545DF40" w14:textId="77777777" w:rsidR="007C2944" w:rsidRPr="002E6D8F" w:rsidRDefault="00170B62">
            <w:pPr>
              <w:spacing w:before="0" w:beforeAutospacing="0" w:after="0" w:line="360" w:lineRule="auto"/>
              <w:jc w:val="center"/>
              <w:rPr>
                <w:sz w:val="24"/>
                <w:szCs w:val="24"/>
              </w:rPr>
            </w:pPr>
            <w:r w:rsidRPr="002E6D8F">
              <w:rPr>
                <w:sz w:val="24"/>
                <w:szCs w:val="24"/>
              </w:rPr>
              <w:t>-3.734</w:t>
            </w:r>
          </w:p>
        </w:tc>
        <w:tc>
          <w:tcPr>
            <w:tcW w:w="464" w:type="pct"/>
            <w:tcBorders>
              <w:top w:val="nil"/>
              <w:left w:val="nil"/>
              <w:bottom w:val="nil"/>
              <w:right w:val="nil"/>
            </w:tcBorders>
          </w:tcPr>
          <w:p w14:paraId="44928E17" w14:textId="77777777" w:rsidR="007C2944" w:rsidRPr="002E6D8F" w:rsidRDefault="00170B62">
            <w:pPr>
              <w:spacing w:before="0" w:beforeAutospacing="0" w:after="0" w:line="360" w:lineRule="auto"/>
              <w:jc w:val="center"/>
              <w:rPr>
                <w:sz w:val="24"/>
                <w:szCs w:val="24"/>
              </w:rPr>
            </w:pPr>
            <w:r w:rsidRPr="002E6D8F">
              <w:rPr>
                <w:sz w:val="24"/>
                <w:szCs w:val="24"/>
              </w:rPr>
              <w:t>0.016</w:t>
            </w:r>
          </w:p>
        </w:tc>
        <w:tc>
          <w:tcPr>
            <w:tcW w:w="676" w:type="pct"/>
            <w:tcBorders>
              <w:top w:val="nil"/>
              <w:left w:val="nil"/>
              <w:bottom w:val="nil"/>
              <w:right w:val="nil"/>
            </w:tcBorders>
          </w:tcPr>
          <w:p w14:paraId="4561DB27" w14:textId="77777777" w:rsidR="007C2944" w:rsidRPr="002E6D8F" w:rsidRDefault="00170B62">
            <w:pPr>
              <w:spacing w:before="0" w:beforeAutospacing="0" w:after="0" w:line="360" w:lineRule="auto"/>
              <w:jc w:val="center"/>
              <w:rPr>
                <w:sz w:val="24"/>
                <w:szCs w:val="24"/>
              </w:rPr>
            </w:pPr>
            <w:r w:rsidRPr="002E6D8F">
              <w:rPr>
                <w:sz w:val="24"/>
                <w:szCs w:val="24"/>
              </w:rPr>
              <w:t>-2.563</w:t>
            </w:r>
          </w:p>
        </w:tc>
        <w:tc>
          <w:tcPr>
            <w:tcW w:w="464" w:type="pct"/>
            <w:tcBorders>
              <w:top w:val="nil"/>
              <w:left w:val="nil"/>
              <w:bottom w:val="nil"/>
              <w:right w:val="nil"/>
            </w:tcBorders>
          </w:tcPr>
          <w:p w14:paraId="562135FE" w14:textId="77777777" w:rsidR="007C2944" w:rsidRPr="002E6D8F" w:rsidRDefault="00170B62">
            <w:pPr>
              <w:spacing w:before="0" w:beforeAutospacing="0" w:after="0" w:line="360" w:lineRule="auto"/>
              <w:jc w:val="center"/>
              <w:rPr>
                <w:sz w:val="24"/>
                <w:szCs w:val="24"/>
              </w:rPr>
            </w:pPr>
            <w:r w:rsidRPr="002E6D8F">
              <w:rPr>
                <w:sz w:val="24"/>
                <w:szCs w:val="24"/>
              </w:rPr>
              <w:t>0.010</w:t>
            </w:r>
          </w:p>
        </w:tc>
        <w:tc>
          <w:tcPr>
            <w:tcW w:w="597" w:type="pct"/>
            <w:tcBorders>
              <w:top w:val="nil"/>
              <w:left w:val="nil"/>
              <w:bottom w:val="nil"/>
              <w:right w:val="nil"/>
            </w:tcBorders>
          </w:tcPr>
          <w:p w14:paraId="53212E69" w14:textId="77777777" w:rsidR="007C2944" w:rsidRPr="002E6D8F" w:rsidRDefault="00170B62">
            <w:pPr>
              <w:spacing w:before="0" w:beforeAutospacing="0" w:after="0" w:line="360" w:lineRule="auto"/>
              <w:jc w:val="center"/>
              <w:rPr>
                <w:sz w:val="24"/>
                <w:szCs w:val="24"/>
              </w:rPr>
            </w:pPr>
            <w:r w:rsidRPr="002E6D8F">
              <w:rPr>
                <w:sz w:val="24"/>
                <w:szCs w:val="24"/>
              </w:rPr>
              <w:t>69.25</w:t>
            </w:r>
          </w:p>
        </w:tc>
        <w:tc>
          <w:tcPr>
            <w:tcW w:w="464" w:type="pct"/>
            <w:tcBorders>
              <w:top w:val="nil"/>
              <w:left w:val="nil"/>
              <w:bottom w:val="nil"/>
              <w:right w:val="nil"/>
            </w:tcBorders>
          </w:tcPr>
          <w:p w14:paraId="3AFE4384" w14:textId="77777777" w:rsidR="007C2944" w:rsidRPr="002E6D8F" w:rsidRDefault="00170B62">
            <w:pPr>
              <w:spacing w:before="0" w:beforeAutospacing="0" w:after="0" w:line="360" w:lineRule="auto"/>
              <w:jc w:val="center"/>
              <w:rPr>
                <w:sz w:val="24"/>
                <w:szCs w:val="24"/>
              </w:rPr>
            </w:pPr>
            <w:r w:rsidRPr="002E6D8F">
              <w:rPr>
                <w:sz w:val="24"/>
                <w:szCs w:val="24"/>
              </w:rPr>
              <w:t>0.001</w:t>
            </w:r>
          </w:p>
        </w:tc>
        <w:tc>
          <w:tcPr>
            <w:tcW w:w="712" w:type="pct"/>
            <w:tcBorders>
              <w:top w:val="nil"/>
              <w:left w:val="nil"/>
              <w:bottom w:val="nil"/>
              <w:right w:val="nil"/>
            </w:tcBorders>
          </w:tcPr>
          <w:p w14:paraId="477102D5" w14:textId="77777777" w:rsidR="007C2944" w:rsidRPr="002E6D8F" w:rsidRDefault="00170B62">
            <w:pPr>
              <w:spacing w:before="0" w:beforeAutospacing="0" w:after="0" w:line="360" w:lineRule="auto"/>
              <w:jc w:val="center"/>
              <w:rPr>
                <w:sz w:val="24"/>
                <w:szCs w:val="24"/>
              </w:rPr>
            </w:pPr>
            <w:r w:rsidRPr="002E6D8F">
              <w:rPr>
                <w:sz w:val="24"/>
                <w:szCs w:val="24"/>
              </w:rPr>
              <w:t>Reject H₀</w:t>
            </w:r>
          </w:p>
        </w:tc>
      </w:tr>
      <w:tr w:rsidR="00686FDB" w14:paraId="7EFB9A5B" w14:textId="77777777" w:rsidTr="005C27FC">
        <w:tc>
          <w:tcPr>
            <w:tcW w:w="954" w:type="pct"/>
            <w:tcBorders>
              <w:top w:val="nil"/>
              <w:left w:val="nil"/>
              <w:bottom w:val="single" w:sz="4" w:space="0" w:color="auto"/>
              <w:right w:val="nil"/>
            </w:tcBorders>
          </w:tcPr>
          <w:p w14:paraId="2486309D" w14:textId="77777777" w:rsidR="007C2944" w:rsidRPr="002E6D8F" w:rsidRDefault="00170B62">
            <w:pPr>
              <w:spacing w:before="0" w:beforeAutospacing="0" w:after="0" w:line="360" w:lineRule="auto"/>
              <w:jc w:val="both"/>
              <w:rPr>
                <w:sz w:val="24"/>
                <w:szCs w:val="24"/>
                <w:lang w:val="en-GB"/>
              </w:rPr>
            </w:pPr>
            <w:r w:rsidRPr="002E6D8F">
              <w:rPr>
                <w:sz w:val="24"/>
                <w:szCs w:val="24"/>
              </w:rPr>
              <w:t>Corruption Level</w:t>
            </w:r>
          </w:p>
        </w:tc>
        <w:tc>
          <w:tcPr>
            <w:tcW w:w="669" w:type="pct"/>
            <w:tcBorders>
              <w:top w:val="nil"/>
              <w:left w:val="nil"/>
              <w:bottom w:val="single" w:sz="4" w:space="0" w:color="auto"/>
              <w:right w:val="nil"/>
            </w:tcBorders>
          </w:tcPr>
          <w:p w14:paraId="4B03AABC" w14:textId="77777777" w:rsidR="007C2944" w:rsidRPr="002E6D8F" w:rsidRDefault="00170B62">
            <w:pPr>
              <w:spacing w:before="0" w:beforeAutospacing="0" w:after="0" w:line="360" w:lineRule="auto"/>
              <w:jc w:val="center"/>
              <w:rPr>
                <w:sz w:val="24"/>
                <w:szCs w:val="24"/>
              </w:rPr>
            </w:pPr>
            <w:r w:rsidRPr="002E6D8F">
              <w:rPr>
                <w:sz w:val="24"/>
                <w:szCs w:val="24"/>
              </w:rPr>
              <w:t>-1.456</w:t>
            </w:r>
          </w:p>
        </w:tc>
        <w:tc>
          <w:tcPr>
            <w:tcW w:w="464" w:type="pct"/>
            <w:tcBorders>
              <w:top w:val="nil"/>
              <w:left w:val="nil"/>
              <w:bottom w:val="single" w:sz="4" w:space="0" w:color="auto"/>
              <w:right w:val="nil"/>
            </w:tcBorders>
          </w:tcPr>
          <w:p w14:paraId="66B9D4DF" w14:textId="77777777" w:rsidR="007C2944" w:rsidRPr="002E6D8F" w:rsidRDefault="00170B62">
            <w:pPr>
              <w:spacing w:before="0" w:beforeAutospacing="0" w:after="0" w:line="360" w:lineRule="auto"/>
              <w:jc w:val="center"/>
              <w:rPr>
                <w:sz w:val="24"/>
                <w:szCs w:val="24"/>
              </w:rPr>
            </w:pPr>
            <w:r w:rsidRPr="002E6D8F">
              <w:rPr>
                <w:sz w:val="24"/>
                <w:szCs w:val="24"/>
              </w:rPr>
              <w:t>0.000</w:t>
            </w:r>
          </w:p>
        </w:tc>
        <w:tc>
          <w:tcPr>
            <w:tcW w:w="676" w:type="pct"/>
            <w:tcBorders>
              <w:top w:val="nil"/>
              <w:left w:val="nil"/>
              <w:bottom w:val="single" w:sz="4" w:space="0" w:color="auto"/>
              <w:right w:val="nil"/>
            </w:tcBorders>
          </w:tcPr>
          <w:p w14:paraId="02286268" w14:textId="77777777" w:rsidR="007C2944" w:rsidRPr="002E6D8F" w:rsidRDefault="00170B62">
            <w:pPr>
              <w:spacing w:before="0" w:beforeAutospacing="0" w:after="0" w:line="360" w:lineRule="auto"/>
              <w:jc w:val="center"/>
              <w:rPr>
                <w:sz w:val="24"/>
                <w:szCs w:val="24"/>
              </w:rPr>
            </w:pPr>
            <w:r w:rsidRPr="002E6D8F">
              <w:rPr>
                <w:sz w:val="24"/>
                <w:szCs w:val="24"/>
              </w:rPr>
              <w:t>-2.021</w:t>
            </w:r>
          </w:p>
        </w:tc>
        <w:tc>
          <w:tcPr>
            <w:tcW w:w="464" w:type="pct"/>
            <w:tcBorders>
              <w:top w:val="nil"/>
              <w:left w:val="nil"/>
              <w:bottom w:val="single" w:sz="4" w:space="0" w:color="auto"/>
              <w:right w:val="nil"/>
            </w:tcBorders>
          </w:tcPr>
          <w:p w14:paraId="6253D8C4" w14:textId="77777777" w:rsidR="007C2944" w:rsidRPr="002E6D8F" w:rsidRDefault="00170B62">
            <w:pPr>
              <w:spacing w:before="0" w:beforeAutospacing="0" w:after="0" w:line="360" w:lineRule="auto"/>
              <w:jc w:val="center"/>
              <w:rPr>
                <w:sz w:val="24"/>
                <w:szCs w:val="24"/>
              </w:rPr>
            </w:pPr>
            <w:r w:rsidRPr="002E6D8F">
              <w:rPr>
                <w:sz w:val="24"/>
                <w:szCs w:val="24"/>
              </w:rPr>
              <w:t>0.022</w:t>
            </w:r>
          </w:p>
        </w:tc>
        <w:tc>
          <w:tcPr>
            <w:tcW w:w="597" w:type="pct"/>
            <w:tcBorders>
              <w:top w:val="nil"/>
              <w:left w:val="nil"/>
              <w:bottom w:val="single" w:sz="4" w:space="0" w:color="auto"/>
              <w:right w:val="nil"/>
            </w:tcBorders>
          </w:tcPr>
          <w:p w14:paraId="45AFBEC2" w14:textId="77777777" w:rsidR="007C2944" w:rsidRPr="002E6D8F" w:rsidRDefault="00170B62">
            <w:pPr>
              <w:spacing w:before="0" w:beforeAutospacing="0" w:after="0" w:line="360" w:lineRule="auto"/>
              <w:jc w:val="center"/>
              <w:rPr>
                <w:sz w:val="24"/>
                <w:szCs w:val="24"/>
              </w:rPr>
            </w:pPr>
            <w:r w:rsidRPr="002E6D8F">
              <w:rPr>
                <w:sz w:val="24"/>
                <w:szCs w:val="24"/>
              </w:rPr>
              <w:t>59.37</w:t>
            </w:r>
          </w:p>
        </w:tc>
        <w:tc>
          <w:tcPr>
            <w:tcW w:w="464" w:type="pct"/>
            <w:tcBorders>
              <w:top w:val="nil"/>
              <w:left w:val="nil"/>
              <w:bottom w:val="single" w:sz="4" w:space="0" w:color="auto"/>
              <w:right w:val="nil"/>
            </w:tcBorders>
          </w:tcPr>
          <w:p w14:paraId="0235E402" w14:textId="77777777" w:rsidR="007C2944" w:rsidRPr="002E6D8F" w:rsidRDefault="00170B62">
            <w:pPr>
              <w:spacing w:before="0" w:beforeAutospacing="0" w:after="0" w:line="360" w:lineRule="auto"/>
              <w:jc w:val="center"/>
              <w:rPr>
                <w:sz w:val="24"/>
                <w:szCs w:val="24"/>
              </w:rPr>
            </w:pPr>
            <w:r w:rsidRPr="002E6D8F">
              <w:rPr>
                <w:sz w:val="24"/>
                <w:szCs w:val="24"/>
              </w:rPr>
              <w:t>0.004</w:t>
            </w:r>
          </w:p>
        </w:tc>
        <w:tc>
          <w:tcPr>
            <w:tcW w:w="712" w:type="pct"/>
            <w:tcBorders>
              <w:top w:val="nil"/>
              <w:left w:val="nil"/>
              <w:bottom w:val="single" w:sz="4" w:space="0" w:color="auto"/>
              <w:right w:val="nil"/>
            </w:tcBorders>
          </w:tcPr>
          <w:p w14:paraId="6878D7CC" w14:textId="77777777" w:rsidR="007C2944" w:rsidRPr="002E6D8F" w:rsidRDefault="00170B62">
            <w:pPr>
              <w:spacing w:before="0" w:beforeAutospacing="0" w:after="0" w:line="360" w:lineRule="auto"/>
              <w:jc w:val="center"/>
              <w:rPr>
                <w:sz w:val="24"/>
                <w:szCs w:val="24"/>
              </w:rPr>
            </w:pPr>
            <w:r w:rsidRPr="002E6D8F">
              <w:rPr>
                <w:sz w:val="24"/>
                <w:szCs w:val="24"/>
              </w:rPr>
              <w:t>Reject H₀</w:t>
            </w:r>
          </w:p>
        </w:tc>
      </w:tr>
    </w:tbl>
    <w:p w14:paraId="155D7F76" w14:textId="77777777" w:rsidR="007C2944" w:rsidRPr="002E6D8F" w:rsidRDefault="00170B62">
      <w:pPr>
        <w:spacing w:before="0" w:beforeAutospacing="0" w:after="0" w:line="360" w:lineRule="auto"/>
        <w:jc w:val="both"/>
        <w:rPr>
          <w:b/>
          <w:bCs/>
          <w:sz w:val="24"/>
          <w:szCs w:val="24"/>
          <w:lang w:val="en-US" w:eastAsia="en-US"/>
        </w:rPr>
      </w:pPr>
      <w:r w:rsidRPr="002E6D8F">
        <w:rPr>
          <w:b/>
          <w:bCs/>
          <w:sz w:val="24"/>
          <w:szCs w:val="24"/>
          <w:lang w:val="en-US" w:eastAsia="en-US"/>
        </w:rPr>
        <w:t>Source: Author</w:t>
      </w:r>
      <w:r w:rsidR="001635A6" w:rsidRPr="002E6D8F">
        <w:rPr>
          <w:b/>
          <w:bCs/>
          <w:sz w:val="24"/>
          <w:szCs w:val="24"/>
          <w:lang w:val="en-US" w:eastAsia="en-US"/>
        </w:rPr>
        <w:t>s</w:t>
      </w:r>
      <w:r w:rsidRPr="002E6D8F">
        <w:rPr>
          <w:b/>
          <w:bCs/>
          <w:sz w:val="24"/>
          <w:szCs w:val="24"/>
          <w:lang w:val="en-US" w:eastAsia="en-US"/>
        </w:rPr>
        <w:t>’</w:t>
      </w:r>
      <w:r w:rsidR="001635A6" w:rsidRPr="002E6D8F">
        <w:rPr>
          <w:b/>
          <w:bCs/>
          <w:sz w:val="24"/>
          <w:szCs w:val="24"/>
          <w:lang w:val="en-US" w:eastAsia="en-US"/>
        </w:rPr>
        <w:t xml:space="preserve"> Computation (2025)</w:t>
      </w:r>
      <w:r w:rsidRPr="002E6D8F">
        <w:rPr>
          <w:b/>
          <w:bCs/>
          <w:sz w:val="24"/>
          <w:szCs w:val="24"/>
          <w:lang w:val="en-US" w:eastAsia="en-US"/>
        </w:rPr>
        <w:t>.</w:t>
      </w:r>
    </w:p>
    <w:p w14:paraId="3EEF82A5" w14:textId="77777777" w:rsidR="007C2944" w:rsidRPr="002E6D8F" w:rsidRDefault="007C2944">
      <w:pPr>
        <w:spacing w:before="0" w:beforeAutospacing="0" w:after="0" w:line="360" w:lineRule="auto"/>
        <w:jc w:val="both"/>
        <w:rPr>
          <w:b/>
          <w:bCs/>
          <w:sz w:val="24"/>
          <w:szCs w:val="24"/>
          <w:lang w:val="en-US" w:eastAsia="en-US"/>
        </w:rPr>
      </w:pPr>
    </w:p>
    <w:p w14:paraId="0573D74D" w14:textId="77777777" w:rsidR="007C2944" w:rsidRPr="002E6D8F" w:rsidRDefault="00170B62">
      <w:pPr>
        <w:spacing w:before="0" w:beforeAutospacing="0" w:after="0" w:line="360" w:lineRule="auto"/>
        <w:jc w:val="both"/>
        <w:rPr>
          <w:sz w:val="24"/>
          <w:szCs w:val="24"/>
        </w:rPr>
      </w:pPr>
      <w:r w:rsidRPr="002E6D8F">
        <w:rPr>
          <w:sz w:val="24"/>
          <w:szCs w:val="24"/>
        </w:rPr>
        <w:t>From the results above, it is evident that all the variables under consideration</w:t>
      </w:r>
      <w:r w:rsidR="005C27FC" w:rsidRPr="002E6D8F">
        <w:rPr>
          <w:sz w:val="24"/>
          <w:szCs w:val="24"/>
          <w:lang w:val="en-GB"/>
        </w:rPr>
        <w:t xml:space="preserve">, </w:t>
      </w:r>
      <w:r w:rsidR="005C27FC" w:rsidRPr="002E6D8F">
        <w:rPr>
          <w:sz w:val="24"/>
          <w:szCs w:val="24"/>
        </w:rPr>
        <w:t>County Debt</w:t>
      </w:r>
      <w:r w:rsidRPr="002E6D8F">
        <w:rPr>
          <w:sz w:val="24"/>
          <w:szCs w:val="24"/>
        </w:rPr>
        <w:t xml:space="preserve">, </w:t>
      </w:r>
      <w:r w:rsidR="005C27FC" w:rsidRPr="002E6D8F">
        <w:rPr>
          <w:sz w:val="24"/>
          <w:szCs w:val="24"/>
        </w:rPr>
        <w:t>Economic Growth, Tax Revenue, Government Expenditure, and Corruption Level</w:t>
      </w:r>
      <w:r w:rsidR="005C27FC" w:rsidRPr="002E6D8F">
        <w:rPr>
          <w:sz w:val="24"/>
          <w:szCs w:val="24"/>
          <w:lang w:val="en-GB"/>
        </w:rPr>
        <w:t xml:space="preserve">, </w:t>
      </w:r>
      <w:r w:rsidRPr="002E6D8F">
        <w:rPr>
          <w:sz w:val="24"/>
          <w:szCs w:val="24"/>
        </w:rPr>
        <w:t xml:space="preserve">are stationary at the level, as their LLC, IPS, and ADF–Fisher test statistics are significant at the 5% level. This means that the null hypothesis (that the variables contain a unit root) is rejected in all cases. </w:t>
      </w:r>
      <w:r w:rsidRPr="002E6D8F">
        <w:rPr>
          <w:sz w:val="24"/>
          <w:szCs w:val="24"/>
        </w:rPr>
        <w:lastRenderedPageBreak/>
        <w:t>Therefore, it is concluded that the variables are stationary in their original form, and it is appropriate to proceed with panel regression analysis without differencing or transforming the data.</w:t>
      </w:r>
    </w:p>
    <w:p w14:paraId="481752E7" w14:textId="77777777" w:rsidR="007C2944" w:rsidRPr="002E6D8F" w:rsidRDefault="007C2944">
      <w:pPr>
        <w:spacing w:before="0" w:beforeAutospacing="0" w:after="0" w:line="360" w:lineRule="auto"/>
        <w:jc w:val="both"/>
        <w:rPr>
          <w:sz w:val="24"/>
          <w:szCs w:val="24"/>
        </w:rPr>
      </w:pPr>
    </w:p>
    <w:p w14:paraId="41D44F05" w14:textId="77777777" w:rsidR="007C2944" w:rsidRPr="002E6D8F" w:rsidRDefault="00170B62">
      <w:pPr>
        <w:pStyle w:val="Heading3"/>
        <w:spacing w:before="0" w:beforeAutospacing="0" w:line="360" w:lineRule="auto"/>
        <w:jc w:val="both"/>
        <w:rPr>
          <w:rFonts w:ascii="Times New Roman" w:hAnsi="Times New Roman"/>
          <w:color w:val="auto"/>
          <w:sz w:val="24"/>
          <w:szCs w:val="24"/>
          <w:lang w:val="en-US" w:eastAsia="en-US"/>
        </w:rPr>
      </w:pPr>
      <w:bookmarkStart w:id="86" w:name="_Toc207656774"/>
      <w:r w:rsidRPr="002E6D8F">
        <w:rPr>
          <w:rFonts w:ascii="Times New Roman" w:hAnsi="Times New Roman"/>
          <w:color w:val="auto"/>
          <w:sz w:val="24"/>
          <w:szCs w:val="24"/>
          <w:lang w:val="en-US" w:eastAsia="en-US"/>
        </w:rPr>
        <w:t xml:space="preserve">4.2 </w:t>
      </w:r>
      <w:r w:rsidR="001635A6" w:rsidRPr="002E6D8F">
        <w:rPr>
          <w:rFonts w:ascii="Times New Roman" w:hAnsi="Times New Roman"/>
          <w:color w:val="auto"/>
          <w:sz w:val="24"/>
          <w:szCs w:val="24"/>
          <w:lang w:val="en-US" w:eastAsia="en-US"/>
        </w:rPr>
        <w:t>Hausman Specification Test</w:t>
      </w:r>
      <w:bookmarkEnd w:id="86"/>
    </w:p>
    <w:p w14:paraId="08E84A43" w14:textId="77777777" w:rsidR="005C27FC" w:rsidRPr="002E6D8F" w:rsidRDefault="00170B62">
      <w:pPr>
        <w:spacing w:before="0" w:beforeAutospacing="0" w:line="360" w:lineRule="auto"/>
        <w:jc w:val="both"/>
        <w:rPr>
          <w:rFonts w:eastAsia="Calibri"/>
          <w:sz w:val="24"/>
          <w:szCs w:val="24"/>
          <w:lang w:val="en-US"/>
        </w:rPr>
      </w:pPr>
      <w:r w:rsidRPr="002E6D8F">
        <w:rPr>
          <w:rFonts w:eastAsia="Calibri"/>
          <w:sz w:val="24"/>
          <w:szCs w:val="24"/>
          <w:lang w:val="en-US"/>
        </w:rPr>
        <w:t xml:space="preserve">After confirming stationarity through the LLC unit root test results, the Breusch–Pagan Lagrange Multiplier (LM) test and the F-test </w:t>
      </w:r>
      <w:r w:rsidRPr="002E6D8F">
        <w:rPr>
          <w:rFonts w:eastAsia="SimSun"/>
          <w:sz w:val="24"/>
          <w:szCs w:val="24"/>
        </w:rPr>
        <w:t>were performed</w:t>
      </w:r>
      <w:r w:rsidRPr="002E6D8F">
        <w:rPr>
          <w:rFonts w:eastAsia="Calibri"/>
          <w:sz w:val="24"/>
          <w:szCs w:val="24"/>
          <w:lang w:val="en-US"/>
        </w:rPr>
        <w:t xml:space="preserve"> to determine whether the Pooled OLS model was appropriate. Both tests rejected Pooled OLS in </w:t>
      </w:r>
      <w:proofErr w:type="spellStart"/>
      <w:r w:rsidRPr="002E6D8F">
        <w:rPr>
          <w:rFonts w:eastAsia="Calibri"/>
          <w:sz w:val="24"/>
          <w:szCs w:val="24"/>
          <w:lang w:val="en-US"/>
        </w:rPr>
        <w:t>favour</w:t>
      </w:r>
      <w:proofErr w:type="spellEnd"/>
      <w:r w:rsidRPr="002E6D8F">
        <w:rPr>
          <w:rFonts w:eastAsia="Calibri"/>
          <w:sz w:val="24"/>
          <w:szCs w:val="24"/>
          <w:lang w:val="en-US"/>
        </w:rPr>
        <w:t xml:space="preserve"> of panel data models. Subsequently, the appropriateness of the Fixed Effects (FE) or Random Effects (RE) model was determined using the Hausman Specification test</w:t>
      </w:r>
      <w:r w:rsidR="00695787">
        <w:rPr>
          <w:rFonts w:eastAsia="Calibri"/>
          <w:sz w:val="24"/>
          <w:szCs w:val="24"/>
          <w:lang w:val="en-US"/>
        </w:rPr>
        <w:t xml:space="preserve"> results, as shown in Table 2</w:t>
      </w:r>
      <w:r w:rsidRPr="002E6D8F">
        <w:rPr>
          <w:rFonts w:eastAsia="Calibri"/>
          <w:sz w:val="24"/>
          <w:szCs w:val="24"/>
          <w:lang w:val="en-US"/>
        </w:rPr>
        <w:t>.</w:t>
      </w:r>
    </w:p>
    <w:p w14:paraId="52759ED7" w14:textId="77777777" w:rsidR="005C27FC" w:rsidRPr="002E6D8F" w:rsidRDefault="00170B62" w:rsidP="005C27FC">
      <w:pPr>
        <w:pStyle w:val="Caption"/>
        <w:spacing w:beforeAutospacing="0" w:after="0" w:line="360" w:lineRule="auto"/>
        <w:jc w:val="both"/>
        <w:rPr>
          <w:b w:val="0"/>
          <w:lang w:val="en-US" w:eastAsia="en-US"/>
        </w:rPr>
      </w:pPr>
      <w:r>
        <w:t xml:space="preserve">Table </w:t>
      </w:r>
      <w:r w:rsidRPr="002E6D8F">
        <w:rPr>
          <w:lang w:val="en-US"/>
        </w:rPr>
        <w:t xml:space="preserve">2: </w:t>
      </w:r>
      <w:r w:rsidRPr="002E6D8F">
        <w:rPr>
          <w:lang w:val="en-US" w:eastAsia="en-US"/>
        </w:rPr>
        <w:t>Hausman  Specification Test Statistic Results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08"/>
        <w:gridCol w:w="2113"/>
        <w:gridCol w:w="860"/>
        <w:gridCol w:w="1767"/>
        <w:gridCol w:w="2588"/>
      </w:tblGrid>
      <w:tr w:rsidR="00686FDB" w14:paraId="1EB0B1A6" w14:textId="77777777" w:rsidTr="005C27FC">
        <w:trPr>
          <w:tblHeader/>
          <w:tblCellSpacing w:w="15" w:type="dxa"/>
        </w:trPr>
        <w:tc>
          <w:tcPr>
            <w:tcW w:w="0" w:type="auto"/>
            <w:vAlign w:val="center"/>
          </w:tcPr>
          <w:p w14:paraId="055B8848" w14:textId="77777777" w:rsidR="005C27FC" w:rsidRPr="002E6D8F" w:rsidRDefault="00170B62" w:rsidP="005C27FC">
            <w:pPr>
              <w:spacing w:before="0" w:beforeAutospacing="0" w:after="0" w:line="240" w:lineRule="auto"/>
              <w:jc w:val="center"/>
              <w:rPr>
                <w:b/>
                <w:bCs/>
                <w:sz w:val="24"/>
                <w:szCs w:val="24"/>
                <w:lang w:val="en-US" w:eastAsia="en-US"/>
              </w:rPr>
            </w:pPr>
            <w:r w:rsidRPr="002E6D8F">
              <w:rPr>
                <w:b/>
                <w:bCs/>
                <w:sz w:val="24"/>
                <w:szCs w:val="24"/>
                <w:lang w:val="en-US" w:eastAsia="en-US"/>
              </w:rPr>
              <w:t>Test Statistic (</w:t>
            </w:r>
            <w:r w:rsidRPr="002E6D8F">
              <w:rPr>
                <w:b/>
                <w:bCs/>
                <w:i/>
                <w:iCs/>
                <w:sz w:val="24"/>
                <w:szCs w:val="24"/>
                <w:lang w:val="en-US" w:eastAsia="en-US"/>
              </w:rPr>
              <w:t>H</w:t>
            </w:r>
            <w:r w:rsidRPr="002E6D8F">
              <w:rPr>
                <w:b/>
                <w:bCs/>
                <w:sz w:val="24"/>
                <w:szCs w:val="24"/>
                <w:lang w:val="en-US" w:eastAsia="en-US"/>
              </w:rPr>
              <w:t>)</w:t>
            </w:r>
          </w:p>
        </w:tc>
        <w:tc>
          <w:tcPr>
            <w:tcW w:w="2083" w:type="dxa"/>
            <w:vAlign w:val="center"/>
          </w:tcPr>
          <w:p w14:paraId="2387F465" w14:textId="77777777" w:rsidR="005C27FC" w:rsidRPr="002E6D8F" w:rsidRDefault="00170B62" w:rsidP="005C27FC">
            <w:pPr>
              <w:spacing w:before="0" w:beforeAutospacing="0" w:after="0" w:line="240" w:lineRule="auto"/>
              <w:jc w:val="center"/>
              <w:rPr>
                <w:b/>
                <w:bCs/>
                <w:sz w:val="24"/>
                <w:szCs w:val="24"/>
                <w:lang w:val="en-US" w:eastAsia="en-US"/>
              </w:rPr>
            </w:pPr>
            <w:r w:rsidRPr="002E6D8F">
              <w:rPr>
                <w:b/>
                <w:bCs/>
                <w:sz w:val="24"/>
                <w:szCs w:val="24"/>
                <w:lang w:val="en-US" w:eastAsia="en-US"/>
              </w:rPr>
              <w:t>Degrees of Freedom</w:t>
            </w:r>
          </w:p>
        </w:tc>
        <w:tc>
          <w:tcPr>
            <w:tcW w:w="830" w:type="dxa"/>
            <w:vAlign w:val="center"/>
          </w:tcPr>
          <w:p w14:paraId="31B7900C" w14:textId="77777777" w:rsidR="005C27FC" w:rsidRPr="002E6D8F" w:rsidRDefault="00170B62" w:rsidP="005C27FC">
            <w:pPr>
              <w:spacing w:before="0" w:beforeAutospacing="0" w:after="0" w:line="240" w:lineRule="auto"/>
              <w:jc w:val="center"/>
              <w:rPr>
                <w:b/>
                <w:bCs/>
                <w:sz w:val="24"/>
                <w:szCs w:val="24"/>
                <w:lang w:val="en-US" w:eastAsia="en-US"/>
              </w:rPr>
            </w:pPr>
            <w:r w:rsidRPr="002E6D8F">
              <w:rPr>
                <w:b/>
                <w:bCs/>
                <w:i/>
                <w:iCs/>
                <w:sz w:val="24"/>
                <w:szCs w:val="24"/>
                <w:lang w:val="en-US" w:eastAsia="en-US"/>
              </w:rPr>
              <w:t>p</w:t>
            </w:r>
            <w:r w:rsidRPr="002E6D8F">
              <w:rPr>
                <w:b/>
                <w:bCs/>
                <w:sz w:val="24"/>
                <w:szCs w:val="24"/>
                <w:lang w:val="en-US" w:eastAsia="en-US"/>
              </w:rPr>
              <w:t>-Value</w:t>
            </w:r>
          </w:p>
        </w:tc>
        <w:tc>
          <w:tcPr>
            <w:tcW w:w="0" w:type="auto"/>
            <w:vAlign w:val="center"/>
          </w:tcPr>
          <w:p w14:paraId="6A1DEF87" w14:textId="77777777" w:rsidR="005C27FC" w:rsidRPr="002E6D8F" w:rsidRDefault="00170B62" w:rsidP="005C27FC">
            <w:pPr>
              <w:spacing w:before="0" w:beforeAutospacing="0" w:after="0" w:line="240" w:lineRule="auto"/>
              <w:jc w:val="center"/>
              <w:rPr>
                <w:b/>
                <w:bCs/>
                <w:sz w:val="24"/>
                <w:szCs w:val="24"/>
                <w:lang w:val="en-US" w:eastAsia="en-US"/>
              </w:rPr>
            </w:pPr>
            <w:r w:rsidRPr="002E6D8F">
              <w:rPr>
                <w:b/>
                <w:bCs/>
                <w:sz w:val="24"/>
                <w:szCs w:val="24"/>
                <w:lang w:val="en-US" w:eastAsia="en-US"/>
              </w:rPr>
              <w:t>Decision (at 5%)</w:t>
            </w:r>
          </w:p>
        </w:tc>
        <w:tc>
          <w:tcPr>
            <w:tcW w:w="0" w:type="auto"/>
            <w:vAlign w:val="center"/>
          </w:tcPr>
          <w:p w14:paraId="197AFFB6" w14:textId="77777777" w:rsidR="005C27FC" w:rsidRPr="002E6D8F" w:rsidRDefault="00170B62" w:rsidP="005C27FC">
            <w:pPr>
              <w:spacing w:before="0" w:beforeAutospacing="0" w:after="0" w:line="240" w:lineRule="auto"/>
              <w:jc w:val="center"/>
              <w:rPr>
                <w:b/>
                <w:bCs/>
                <w:sz w:val="24"/>
                <w:szCs w:val="24"/>
                <w:lang w:val="en-US" w:eastAsia="en-US"/>
              </w:rPr>
            </w:pPr>
            <w:r w:rsidRPr="002E6D8F">
              <w:rPr>
                <w:b/>
                <w:bCs/>
                <w:sz w:val="24"/>
                <w:szCs w:val="24"/>
                <w:lang w:val="en-US" w:eastAsia="en-US"/>
              </w:rPr>
              <w:t>Model Recommendation</w:t>
            </w:r>
          </w:p>
        </w:tc>
      </w:tr>
      <w:tr w:rsidR="00686FDB" w14:paraId="45A55EE6" w14:textId="77777777" w:rsidTr="005C27FC">
        <w:trPr>
          <w:tblCellSpacing w:w="15" w:type="dxa"/>
        </w:trPr>
        <w:tc>
          <w:tcPr>
            <w:tcW w:w="0" w:type="auto"/>
            <w:tcBorders>
              <w:top w:val="single" w:sz="4" w:space="0" w:color="auto"/>
              <w:bottom w:val="nil"/>
            </w:tcBorders>
            <w:vAlign w:val="center"/>
          </w:tcPr>
          <w:p w14:paraId="7B9C008C" w14:textId="77777777" w:rsidR="005C27FC" w:rsidRPr="002E6D8F" w:rsidRDefault="00170B62" w:rsidP="005C27FC">
            <w:pPr>
              <w:spacing w:before="0" w:beforeAutospacing="0" w:after="0" w:line="240" w:lineRule="auto"/>
              <w:rPr>
                <w:sz w:val="24"/>
                <w:szCs w:val="24"/>
                <w:lang w:val="en-US" w:eastAsia="en-US"/>
              </w:rPr>
            </w:pPr>
            <w:r w:rsidRPr="002E6D8F">
              <w:rPr>
                <w:sz w:val="24"/>
                <w:szCs w:val="24"/>
                <w:lang w:val="en-US" w:eastAsia="en-US"/>
              </w:rPr>
              <w:t>11.752</w:t>
            </w:r>
          </w:p>
        </w:tc>
        <w:tc>
          <w:tcPr>
            <w:tcW w:w="2083" w:type="dxa"/>
            <w:tcBorders>
              <w:top w:val="single" w:sz="4" w:space="0" w:color="auto"/>
              <w:bottom w:val="nil"/>
            </w:tcBorders>
            <w:vAlign w:val="center"/>
          </w:tcPr>
          <w:p w14:paraId="2ACDF37F" w14:textId="77777777" w:rsidR="005C27FC" w:rsidRPr="002E6D8F" w:rsidRDefault="00170B62" w:rsidP="005C27FC">
            <w:pPr>
              <w:spacing w:before="0" w:beforeAutospacing="0" w:after="0" w:line="240" w:lineRule="auto"/>
              <w:rPr>
                <w:sz w:val="24"/>
                <w:szCs w:val="24"/>
                <w:lang w:val="en-US" w:eastAsia="en-US"/>
              </w:rPr>
            </w:pPr>
            <w:r w:rsidRPr="002E6D8F">
              <w:rPr>
                <w:sz w:val="24"/>
                <w:szCs w:val="24"/>
                <w:lang w:val="en-US" w:eastAsia="en-US"/>
              </w:rPr>
              <w:t>4</w:t>
            </w:r>
          </w:p>
        </w:tc>
        <w:tc>
          <w:tcPr>
            <w:tcW w:w="830" w:type="dxa"/>
            <w:tcBorders>
              <w:top w:val="single" w:sz="4" w:space="0" w:color="auto"/>
              <w:bottom w:val="nil"/>
            </w:tcBorders>
            <w:vAlign w:val="center"/>
          </w:tcPr>
          <w:p w14:paraId="3A0313B2" w14:textId="77777777" w:rsidR="005C27FC" w:rsidRPr="002E6D8F" w:rsidRDefault="00170B62" w:rsidP="005C27FC">
            <w:pPr>
              <w:spacing w:before="0" w:beforeAutospacing="0" w:after="0" w:line="240" w:lineRule="auto"/>
              <w:rPr>
                <w:sz w:val="24"/>
                <w:szCs w:val="24"/>
                <w:lang w:val="en-US" w:eastAsia="en-US"/>
              </w:rPr>
            </w:pPr>
            <w:r w:rsidRPr="002E6D8F">
              <w:rPr>
                <w:sz w:val="24"/>
                <w:szCs w:val="24"/>
                <w:lang w:val="en-US" w:eastAsia="en-US"/>
              </w:rPr>
              <w:t>0.017</w:t>
            </w:r>
          </w:p>
        </w:tc>
        <w:tc>
          <w:tcPr>
            <w:tcW w:w="0" w:type="auto"/>
            <w:tcBorders>
              <w:top w:val="single" w:sz="4" w:space="0" w:color="auto"/>
              <w:bottom w:val="nil"/>
            </w:tcBorders>
            <w:vAlign w:val="center"/>
          </w:tcPr>
          <w:p w14:paraId="23177539" w14:textId="77777777" w:rsidR="005C27FC" w:rsidRPr="002E6D8F" w:rsidRDefault="00170B62" w:rsidP="005C27FC">
            <w:pPr>
              <w:spacing w:before="0" w:beforeAutospacing="0" w:after="0" w:line="240" w:lineRule="auto"/>
              <w:rPr>
                <w:sz w:val="24"/>
                <w:szCs w:val="24"/>
                <w:lang w:val="en-US" w:eastAsia="en-US"/>
              </w:rPr>
            </w:pPr>
            <w:r w:rsidRPr="002E6D8F">
              <w:rPr>
                <w:sz w:val="24"/>
                <w:szCs w:val="24"/>
                <w:lang w:val="en-US" w:eastAsia="en-US"/>
              </w:rPr>
              <w:t>Reject H₀</w:t>
            </w:r>
          </w:p>
        </w:tc>
        <w:tc>
          <w:tcPr>
            <w:tcW w:w="0" w:type="auto"/>
            <w:tcBorders>
              <w:top w:val="single" w:sz="4" w:space="0" w:color="auto"/>
              <w:bottom w:val="nil"/>
            </w:tcBorders>
            <w:vAlign w:val="center"/>
          </w:tcPr>
          <w:p w14:paraId="55F8D237" w14:textId="77777777" w:rsidR="005C27FC" w:rsidRPr="002E6D8F" w:rsidRDefault="00170B62" w:rsidP="005C27FC">
            <w:pPr>
              <w:spacing w:before="0" w:beforeAutospacing="0" w:after="0" w:line="240" w:lineRule="auto"/>
              <w:rPr>
                <w:sz w:val="24"/>
                <w:szCs w:val="24"/>
                <w:lang w:val="en-US" w:eastAsia="en-US"/>
              </w:rPr>
            </w:pPr>
            <w:r w:rsidRPr="002E6D8F">
              <w:rPr>
                <w:sz w:val="24"/>
                <w:szCs w:val="24"/>
                <w:lang w:val="en-US" w:eastAsia="en-US"/>
              </w:rPr>
              <w:t>Fixed Effects (FE)</w:t>
            </w:r>
          </w:p>
        </w:tc>
      </w:tr>
    </w:tbl>
    <w:p w14:paraId="74366C00" w14:textId="77777777" w:rsidR="005C27FC" w:rsidRPr="002E6D8F" w:rsidRDefault="00170B62" w:rsidP="005C27FC">
      <w:pPr>
        <w:spacing w:before="0" w:beforeAutospacing="0" w:line="360" w:lineRule="auto"/>
        <w:jc w:val="both"/>
        <w:rPr>
          <w:bCs/>
          <w:sz w:val="24"/>
          <w:szCs w:val="24"/>
          <w:lang w:val="en-US" w:eastAsia="en-US"/>
        </w:rPr>
      </w:pPr>
      <w:r w:rsidRPr="002E6D8F">
        <w:rPr>
          <w:bCs/>
          <w:sz w:val="24"/>
          <w:szCs w:val="24"/>
          <w:lang w:val="en-US" w:eastAsia="en-US"/>
        </w:rPr>
        <w:t>Source: Authors’ Computation (2025)</w:t>
      </w:r>
    </w:p>
    <w:p w14:paraId="66DA4305" w14:textId="77777777" w:rsidR="005C27FC" w:rsidRPr="002E6D8F" w:rsidRDefault="00170B62" w:rsidP="005C27FC">
      <w:pPr>
        <w:spacing w:before="0" w:beforeAutospacing="0" w:line="360" w:lineRule="auto"/>
        <w:jc w:val="both"/>
        <w:rPr>
          <w:rFonts w:eastAsia="Calibri"/>
          <w:sz w:val="24"/>
          <w:szCs w:val="24"/>
          <w:lang w:val="en-US"/>
        </w:rPr>
      </w:pPr>
      <w:r w:rsidRPr="002E6D8F">
        <w:rPr>
          <w:rFonts w:eastAsia="Calibri"/>
          <w:sz w:val="24"/>
          <w:szCs w:val="24"/>
          <w:lang w:val="en-US"/>
        </w:rPr>
        <w:t>Results revealed a Hausman specification test statistic of 11.752 with 4 degrees of freedom, and a p-value of 0.017, which is less than 0.05. This result leads to the rejection of the null hypothesis, indicating that the county-specific effects (</w:t>
      </w:r>
      <w:proofErr w:type="spellStart"/>
      <w:r w:rsidRPr="002E6D8F">
        <w:rPr>
          <w:rFonts w:eastAsia="Calibri"/>
          <w:sz w:val="24"/>
          <w:szCs w:val="24"/>
          <w:lang w:val="en-US"/>
        </w:rPr>
        <w:t>ui</w:t>
      </w:r>
      <w:proofErr w:type="spellEnd"/>
      <w:r w:rsidRPr="002E6D8F">
        <w:rPr>
          <w:rFonts w:eastAsia="Calibri"/>
          <w:sz w:val="24"/>
          <w:szCs w:val="24"/>
          <w:lang w:val="en-US"/>
        </w:rPr>
        <w:t>) are correlated with the regressors (</w:t>
      </w:r>
      <w:proofErr w:type="spellStart"/>
      <w:r w:rsidRPr="002E6D8F">
        <w:rPr>
          <w:rFonts w:eastAsia="Calibri"/>
          <w:sz w:val="24"/>
          <w:szCs w:val="24"/>
          <w:lang w:val="en-US"/>
        </w:rPr>
        <w:t>Xit</w:t>
      </w:r>
      <w:proofErr w:type="spellEnd"/>
      <w:r w:rsidRPr="002E6D8F">
        <w:rPr>
          <w:rFonts w:eastAsia="Calibri"/>
          <w:sz w:val="24"/>
          <w:szCs w:val="24"/>
          <w:lang w:val="en-US"/>
        </w:rPr>
        <w:t>). This is because the test indicated that the county-specific effects are correlated with the explanatory variables, making FE the preferred model for producing consistent and unbiased estimates. Reference is therefore made to the</w:t>
      </w:r>
      <w:r w:rsidR="00695787">
        <w:rPr>
          <w:rFonts w:eastAsia="Calibri"/>
          <w:sz w:val="24"/>
          <w:szCs w:val="24"/>
          <w:lang w:val="en-US"/>
        </w:rPr>
        <w:t xml:space="preserve"> results presented in Table 2</w:t>
      </w:r>
      <w:r w:rsidRPr="002E6D8F">
        <w:rPr>
          <w:rFonts w:eastAsia="Calibri"/>
          <w:sz w:val="24"/>
          <w:szCs w:val="24"/>
          <w:lang w:val="en-US"/>
        </w:rPr>
        <w:t>.</w:t>
      </w:r>
    </w:p>
    <w:p w14:paraId="5E49FCF1" w14:textId="77777777" w:rsidR="007C2944" w:rsidRPr="002E6D8F" w:rsidRDefault="00170B62">
      <w:pPr>
        <w:spacing w:before="0" w:beforeAutospacing="0" w:line="360" w:lineRule="auto"/>
        <w:jc w:val="both"/>
        <w:rPr>
          <w:rFonts w:eastAsia="Calibri"/>
          <w:sz w:val="24"/>
          <w:szCs w:val="24"/>
          <w:lang w:val="en-US"/>
        </w:rPr>
      </w:pPr>
      <w:r w:rsidRPr="002E6D8F">
        <w:rPr>
          <w:rFonts w:eastAsia="Calibri"/>
          <w:sz w:val="24"/>
          <w:szCs w:val="24"/>
          <w:lang w:val="en-US"/>
        </w:rPr>
        <w:t>Therefore, the study concludes that the Fixed Effects (FE) model accounts for these correlations and is more appropriate for esti</w:t>
      </w:r>
      <w:r w:rsidR="005C27FC" w:rsidRPr="002E6D8F">
        <w:rPr>
          <w:rFonts w:eastAsia="Calibri"/>
          <w:sz w:val="24"/>
          <w:szCs w:val="24"/>
          <w:lang w:val="en-US"/>
        </w:rPr>
        <w:t>mating the relationship between macroeconomic variables</w:t>
      </w:r>
      <w:r w:rsidRPr="002E6D8F">
        <w:rPr>
          <w:rFonts w:eastAsia="Calibri"/>
          <w:sz w:val="24"/>
          <w:szCs w:val="24"/>
          <w:lang w:val="en-US"/>
        </w:rPr>
        <w:t xml:space="preserve"> and cou</w:t>
      </w:r>
      <w:r w:rsidR="005C27FC" w:rsidRPr="002E6D8F">
        <w:rPr>
          <w:rFonts w:eastAsia="Calibri"/>
          <w:sz w:val="24"/>
          <w:szCs w:val="24"/>
          <w:lang w:val="en-US"/>
        </w:rPr>
        <w:t>nty government indebtedness</w:t>
      </w:r>
      <w:r w:rsidRPr="002E6D8F">
        <w:rPr>
          <w:rFonts w:eastAsia="Calibri"/>
          <w:sz w:val="24"/>
          <w:szCs w:val="24"/>
          <w:lang w:val="en-US"/>
        </w:rPr>
        <w:t>. This model ensured that unobserved heterogeneity across counties that might influence debt levels was adequately controlled.</w:t>
      </w:r>
    </w:p>
    <w:p w14:paraId="5779997E" w14:textId="77777777" w:rsidR="007C2944" w:rsidRPr="002E6D8F" w:rsidRDefault="00E45D1B">
      <w:pPr>
        <w:pStyle w:val="Heading3"/>
        <w:spacing w:before="0" w:beforeAutospacing="0" w:line="360" w:lineRule="auto"/>
        <w:rPr>
          <w:rFonts w:ascii="Times New Roman" w:hAnsi="Times New Roman"/>
          <w:color w:val="auto"/>
          <w:sz w:val="24"/>
          <w:szCs w:val="24"/>
          <w:lang w:val="en-US" w:eastAsia="en-US"/>
        </w:rPr>
      </w:pPr>
      <w:bookmarkStart w:id="87" w:name="_Toc207656775"/>
      <w:r>
        <w:rPr>
          <w:rFonts w:ascii="Times New Roman" w:hAnsi="Times New Roman"/>
          <w:color w:val="auto"/>
          <w:sz w:val="24"/>
          <w:szCs w:val="24"/>
          <w:lang w:val="en-US" w:eastAsia="en-US"/>
        </w:rPr>
        <w:t>4.3</w:t>
      </w:r>
      <w:r w:rsidR="001635A6" w:rsidRPr="002E6D8F">
        <w:rPr>
          <w:rFonts w:ascii="Times New Roman" w:hAnsi="Times New Roman"/>
          <w:color w:val="auto"/>
          <w:sz w:val="24"/>
          <w:szCs w:val="24"/>
          <w:lang w:val="en-US" w:eastAsia="en-US"/>
        </w:rPr>
        <w:t xml:space="preserve"> Fixed </w:t>
      </w:r>
      <w:bookmarkEnd w:id="87"/>
      <w:r w:rsidR="005318AC" w:rsidRPr="002E6D8F">
        <w:rPr>
          <w:rFonts w:ascii="Times New Roman" w:hAnsi="Times New Roman"/>
          <w:color w:val="auto"/>
          <w:sz w:val="24"/>
          <w:szCs w:val="24"/>
          <w:lang w:val="en-US" w:eastAsia="en-US"/>
        </w:rPr>
        <w:t xml:space="preserve">Effects Results </w:t>
      </w:r>
    </w:p>
    <w:p w14:paraId="6F025ED9" w14:textId="77777777" w:rsidR="005C27FC" w:rsidRPr="002E6D8F" w:rsidRDefault="00170B62" w:rsidP="00231DDF">
      <w:pPr>
        <w:spacing w:before="0" w:beforeAutospacing="0" w:after="0" w:line="360" w:lineRule="auto"/>
        <w:jc w:val="both"/>
        <w:rPr>
          <w:rFonts w:eastAsia="SimSun"/>
          <w:sz w:val="24"/>
          <w:szCs w:val="24"/>
          <w:lang w:val="en-GB"/>
        </w:rPr>
      </w:pPr>
      <w:r w:rsidRPr="002E6D8F">
        <w:rPr>
          <w:rFonts w:eastAsia="SimSun"/>
          <w:sz w:val="24"/>
          <w:szCs w:val="24"/>
          <w:lang w:val="en-GB"/>
        </w:rPr>
        <w:t>The</w:t>
      </w:r>
      <w:r w:rsidR="001635A6" w:rsidRPr="002E6D8F">
        <w:rPr>
          <w:rFonts w:eastAsia="SimSun"/>
          <w:sz w:val="24"/>
          <w:szCs w:val="24"/>
        </w:rPr>
        <w:t xml:space="preserve"> Fixed Effects model was found to be the appropriate estimator and was therefore adopted for</w:t>
      </w:r>
      <w:bookmarkStart w:id="88" w:name="_Toc3293"/>
      <w:r w:rsidRPr="002E6D8F">
        <w:rPr>
          <w:rFonts w:eastAsia="SimSun"/>
          <w:sz w:val="24"/>
          <w:szCs w:val="24"/>
        </w:rPr>
        <w:t xml:space="preserve"> further analysis in this study</w:t>
      </w:r>
      <w:r w:rsidR="00695787">
        <w:rPr>
          <w:rFonts w:eastAsia="SimSun"/>
          <w:sz w:val="24"/>
          <w:szCs w:val="24"/>
          <w:lang w:val="en-GB"/>
        </w:rPr>
        <w:t xml:space="preserve">, as shown in Table </w:t>
      </w:r>
      <w:r w:rsidRPr="002E6D8F">
        <w:rPr>
          <w:rFonts w:eastAsia="SimSun"/>
          <w:sz w:val="24"/>
          <w:szCs w:val="24"/>
          <w:lang w:val="en-GB"/>
        </w:rPr>
        <w:t>3.</w:t>
      </w:r>
    </w:p>
    <w:p w14:paraId="48FD9023" w14:textId="77777777" w:rsidR="007C2944" w:rsidRPr="002E6D8F" w:rsidRDefault="00170B62">
      <w:pPr>
        <w:pStyle w:val="Caption"/>
        <w:spacing w:after="0" w:line="360" w:lineRule="auto"/>
        <w:jc w:val="both"/>
        <w:rPr>
          <w:lang w:val="en-US" w:eastAsia="en-US"/>
        </w:rPr>
      </w:pPr>
      <w:r w:rsidRPr="002E6D8F">
        <w:t>Table</w:t>
      </w:r>
      <w:r w:rsidR="00695787">
        <w:t xml:space="preserve"> </w:t>
      </w:r>
      <w:r w:rsidRPr="002E6D8F">
        <w:rPr>
          <w:lang w:val="en-US"/>
        </w:rPr>
        <w:t xml:space="preserve">3: </w:t>
      </w:r>
      <w:r w:rsidRPr="002E6D8F">
        <w:rPr>
          <w:lang w:val="en-US" w:eastAsia="en-US"/>
        </w:rPr>
        <w:t xml:space="preserve">Fixed Effects </w:t>
      </w:r>
      <w:bookmarkEnd w:id="88"/>
      <w:r w:rsidR="00231DDF" w:rsidRPr="002E6D8F">
        <w:rPr>
          <w:lang w:val="en-US" w:eastAsia="en-US"/>
        </w:rPr>
        <w:t xml:space="preserve">Results </w:t>
      </w:r>
    </w:p>
    <w:tbl>
      <w:tblPr>
        <w:tblW w:w="5000" w:type="pct"/>
        <w:tblBorders>
          <w:top w:val="single" w:sz="4" w:space="0" w:color="auto"/>
          <w:bottom w:val="single" w:sz="4" w:space="0" w:color="auto"/>
        </w:tblBorders>
        <w:tblLook w:val="04A0" w:firstRow="1" w:lastRow="0" w:firstColumn="1" w:lastColumn="0" w:noHBand="0" w:noVBand="1"/>
      </w:tblPr>
      <w:tblGrid>
        <w:gridCol w:w="64"/>
        <w:gridCol w:w="3344"/>
        <w:gridCol w:w="1758"/>
        <w:gridCol w:w="1053"/>
        <w:gridCol w:w="3068"/>
        <w:gridCol w:w="289"/>
      </w:tblGrid>
      <w:tr w:rsidR="00686FDB" w14:paraId="103DFD32" w14:textId="77777777" w:rsidTr="00F764AB">
        <w:tc>
          <w:tcPr>
            <w:tcW w:w="5000" w:type="pct"/>
            <w:gridSpan w:val="6"/>
          </w:tcPr>
          <w:p w14:paraId="428F585F" w14:textId="77777777" w:rsidR="007C2944" w:rsidRPr="002E6D8F" w:rsidRDefault="00170B62">
            <w:pPr>
              <w:spacing w:after="0" w:line="240" w:lineRule="auto"/>
              <w:jc w:val="center"/>
              <w:rPr>
                <w:sz w:val="24"/>
                <w:szCs w:val="24"/>
                <w:lang w:val="en-US" w:eastAsia="en-US"/>
              </w:rPr>
            </w:pPr>
            <w:r w:rsidRPr="002E6D8F">
              <w:rPr>
                <w:bCs/>
                <w:sz w:val="24"/>
                <w:szCs w:val="24"/>
                <w:lang w:val="en-US" w:eastAsia="en-US"/>
              </w:rPr>
              <w:t>Fixed-effects</w:t>
            </w:r>
            <w:r w:rsidRPr="002E6D8F">
              <w:rPr>
                <w:b/>
                <w:bCs/>
                <w:sz w:val="24"/>
                <w:szCs w:val="24"/>
                <w:lang w:val="en-US" w:eastAsia="en-US"/>
              </w:rPr>
              <w:t xml:space="preserve"> </w:t>
            </w:r>
            <w:r w:rsidRPr="002E6D8F">
              <w:rPr>
                <w:sz w:val="24"/>
                <w:szCs w:val="24"/>
                <w:lang w:val="en-US" w:eastAsia="en-US"/>
              </w:rPr>
              <w:t>(w</w:t>
            </w:r>
            <w:r w:rsidR="005C27FC" w:rsidRPr="002E6D8F">
              <w:rPr>
                <w:sz w:val="24"/>
                <w:szCs w:val="24"/>
                <w:lang w:val="en-US" w:eastAsia="en-US"/>
              </w:rPr>
              <w:t xml:space="preserve">ithin) regression            </w:t>
            </w:r>
            <w:r w:rsidRPr="002E6D8F">
              <w:rPr>
                <w:sz w:val="24"/>
                <w:szCs w:val="24"/>
                <w:lang w:val="en-US" w:eastAsia="en-US"/>
              </w:rPr>
              <w:t xml:space="preserve">Number of </w:t>
            </w:r>
            <w:proofErr w:type="spellStart"/>
            <w:r w:rsidRPr="002E6D8F">
              <w:rPr>
                <w:sz w:val="24"/>
                <w:szCs w:val="24"/>
                <w:lang w:val="en-US" w:eastAsia="en-US"/>
              </w:rPr>
              <w:t>obs</w:t>
            </w:r>
            <w:proofErr w:type="spellEnd"/>
            <w:r w:rsidRPr="002E6D8F">
              <w:rPr>
                <w:sz w:val="24"/>
                <w:szCs w:val="24"/>
                <w:lang w:val="en-US" w:eastAsia="en-US"/>
              </w:rPr>
              <w:t xml:space="preserve">     =      188</w:t>
            </w:r>
          </w:p>
        </w:tc>
      </w:tr>
      <w:tr w:rsidR="00686FDB" w14:paraId="394F8A94" w14:textId="77777777" w:rsidTr="00F764AB">
        <w:tc>
          <w:tcPr>
            <w:tcW w:w="5000" w:type="pct"/>
            <w:gridSpan w:val="6"/>
          </w:tcPr>
          <w:p w14:paraId="352721FC"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lastRenderedPageBreak/>
              <w:t>Group variable: country ID                     Number of groups =       47</w:t>
            </w:r>
          </w:p>
        </w:tc>
      </w:tr>
      <w:tr w:rsidR="00686FDB" w14:paraId="552394AC" w14:textId="77777777" w:rsidTr="00F764AB">
        <w:tc>
          <w:tcPr>
            <w:tcW w:w="5000" w:type="pct"/>
            <w:gridSpan w:val="6"/>
          </w:tcPr>
          <w:p w14:paraId="3B8414ED" w14:textId="77777777" w:rsidR="007C2944" w:rsidRPr="002E6D8F" w:rsidRDefault="007C2944">
            <w:pPr>
              <w:spacing w:after="0" w:line="240" w:lineRule="auto"/>
              <w:jc w:val="center"/>
              <w:rPr>
                <w:sz w:val="24"/>
                <w:szCs w:val="24"/>
                <w:lang w:val="en-US" w:eastAsia="en-US"/>
              </w:rPr>
            </w:pPr>
          </w:p>
        </w:tc>
      </w:tr>
      <w:tr w:rsidR="00686FDB" w14:paraId="40BDABAA" w14:textId="77777777" w:rsidTr="00F764AB">
        <w:tc>
          <w:tcPr>
            <w:tcW w:w="5000" w:type="pct"/>
            <w:gridSpan w:val="6"/>
          </w:tcPr>
          <w:p w14:paraId="510B7CC0"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R-</w:t>
            </w:r>
            <w:proofErr w:type="spellStart"/>
            <w:r w:rsidRPr="002E6D8F">
              <w:rPr>
                <w:sz w:val="24"/>
                <w:szCs w:val="24"/>
                <w:lang w:val="en-US" w:eastAsia="en-US"/>
              </w:rPr>
              <w:t>sq</w:t>
            </w:r>
            <w:proofErr w:type="spellEnd"/>
            <w:r w:rsidRPr="002E6D8F">
              <w:rPr>
                <w:sz w:val="24"/>
                <w:szCs w:val="24"/>
                <w:lang w:val="en-US" w:eastAsia="en-US"/>
              </w:rPr>
              <w:t xml:space="preserve">:                                           </w:t>
            </w:r>
            <w:proofErr w:type="spellStart"/>
            <w:r w:rsidRPr="002E6D8F">
              <w:rPr>
                <w:sz w:val="24"/>
                <w:szCs w:val="24"/>
                <w:lang w:val="en-US" w:eastAsia="en-US"/>
              </w:rPr>
              <w:t>Obs</w:t>
            </w:r>
            <w:proofErr w:type="spellEnd"/>
            <w:r w:rsidRPr="002E6D8F">
              <w:rPr>
                <w:sz w:val="24"/>
                <w:szCs w:val="24"/>
                <w:lang w:val="en-US" w:eastAsia="en-US"/>
              </w:rPr>
              <w:t xml:space="preserve"> per group:</w:t>
            </w:r>
          </w:p>
        </w:tc>
      </w:tr>
      <w:tr w:rsidR="00686FDB" w14:paraId="195E2B53" w14:textId="77777777" w:rsidTr="00F764AB">
        <w:tc>
          <w:tcPr>
            <w:tcW w:w="5000" w:type="pct"/>
            <w:gridSpan w:val="6"/>
          </w:tcPr>
          <w:p w14:paraId="476F7166"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within = 0.605                                    min =       3</w:t>
            </w:r>
          </w:p>
        </w:tc>
      </w:tr>
      <w:tr w:rsidR="00686FDB" w14:paraId="3837FD58" w14:textId="77777777" w:rsidTr="00F764AB">
        <w:tc>
          <w:tcPr>
            <w:tcW w:w="5000" w:type="pct"/>
            <w:gridSpan w:val="6"/>
          </w:tcPr>
          <w:p w14:paraId="4CB0DDC0"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between = 0.562                                     avg =     4.0</w:t>
            </w:r>
          </w:p>
        </w:tc>
      </w:tr>
      <w:tr w:rsidR="00686FDB" w14:paraId="0E4B3A26" w14:textId="77777777" w:rsidTr="00F764AB">
        <w:tc>
          <w:tcPr>
            <w:tcW w:w="5000" w:type="pct"/>
            <w:gridSpan w:val="6"/>
          </w:tcPr>
          <w:p w14:paraId="56FEF6B4"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overall = 0.583                                    max =       5</w:t>
            </w:r>
          </w:p>
        </w:tc>
      </w:tr>
      <w:tr w:rsidR="00686FDB" w14:paraId="36F6FC30" w14:textId="77777777" w:rsidTr="00F764AB">
        <w:tc>
          <w:tcPr>
            <w:tcW w:w="5000" w:type="pct"/>
            <w:gridSpan w:val="6"/>
            <w:tcBorders>
              <w:bottom w:val="nil"/>
            </w:tcBorders>
          </w:tcPr>
          <w:p w14:paraId="770286B6" w14:textId="77777777" w:rsidR="007C2944" w:rsidRPr="002E6D8F" w:rsidRDefault="00170B62">
            <w:pPr>
              <w:spacing w:after="0" w:line="240" w:lineRule="auto"/>
              <w:jc w:val="both"/>
              <w:rPr>
                <w:sz w:val="24"/>
                <w:szCs w:val="24"/>
                <w:lang w:val="en-US" w:eastAsia="en-US"/>
              </w:rPr>
            </w:pPr>
            <w:r w:rsidRPr="002E6D8F">
              <w:rPr>
                <w:sz w:val="24"/>
                <w:szCs w:val="24"/>
                <w:lang w:val="en-US" w:eastAsia="en-US"/>
              </w:rPr>
              <w:t>F (4,141)           =    41.72</w:t>
            </w:r>
          </w:p>
        </w:tc>
      </w:tr>
      <w:tr w:rsidR="00686FDB" w14:paraId="1CA4A7E5" w14:textId="77777777" w:rsidTr="00F764AB">
        <w:tc>
          <w:tcPr>
            <w:tcW w:w="5000" w:type="pct"/>
            <w:gridSpan w:val="6"/>
            <w:tcBorders>
              <w:top w:val="nil"/>
              <w:left w:val="nil"/>
              <w:bottom w:val="nil"/>
              <w:right w:val="nil"/>
            </w:tcBorders>
          </w:tcPr>
          <w:p w14:paraId="3C3591E2" w14:textId="77777777" w:rsidR="007C2944" w:rsidRPr="002E6D8F" w:rsidRDefault="00170B62">
            <w:pPr>
              <w:spacing w:after="0" w:line="240" w:lineRule="auto"/>
              <w:rPr>
                <w:sz w:val="24"/>
                <w:szCs w:val="24"/>
                <w:lang w:val="en-US" w:eastAsia="en-US"/>
              </w:rPr>
            </w:pPr>
            <w:r w:rsidRPr="002E6D8F">
              <w:rPr>
                <w:sz w:val="24"/>
                <w:szCs w:val="24"/>
                <w:lang w:val="en-US" w:eastAsia="en-US"/>
              </w:rPr>
              <w:t>Prob &gt; F           =   0.0000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37"/>
              <w:gridCol w:w="1146"/>
              <w:gridCol w:w="995"/>
              <w:gridCol w:w="1328"/>
              <w:gridCol w:w="2455"/>
            </w:tblGrid>
            <w:tr w:rsidR="00686FDB" w14:paraId="40BCB423" w14:textId="77777777" w:rsidTr="005C27FC">
              <w:tc>
                <w:tcPr>
                  <w:tcW w:w="1224" w:type="pct"/>
                  <w:tcBorders>
                    <w:top w:val="single" w:sz="4" w:space="0" w:color="auto"/>
                    <w:bottom w:val="single" w:sz="4" w:space="0" w:color="auto"/>
                    <w:right w:val="nil"/>
                  </w:tcBorders>
                </w:tcPr>
                <w:p w14:paraId="6E2A59C6" w14:textId="77777777" w:rsidR="007C2944" w:rsidRPr="002E6D8F" w:rsidRDefault="00170B62">
                  <w:pPr>
                    <w:spacing w:after="0" w:line="240" w:lineRule="auto"/>
                    <w:rPr>
                      <w:sz w:val="24"/>
                      <w:szCs w:val="24"/>
                      <w:lang w:val="en-US" w:eastAsia="en-US"/>
                    </w:rPr>
                  </w:pPr>
                  <w:r w:rsidRPr="002E6D8F">
                    <w:rPr>
                      <w:sz w:val="24"/>
                      <w:szCs w:val="24"/>
                      <w:lang w:val="en-US" w:eastAsia="en-US"/>
                    </w:rPr>
                    <w:t xml:space="preserve"> Variables  </w:t>
                  </w:r>
                </w:p>
              </w:tc>
              <w:tc>
                <w:tcPr>
                  <w:tcW w:w="608" w:type="pct"/>
                  <w:tcBorders>
                    <w:top w:val="single" w:sz="4" w:space="0" w:color="auto"/>
                    <w:left w:val="nil"/>
                    <w:bottom w:val="single" w:sz="4" w:space="0" w:color="auto"/>
                    <w:right w:val="nil"/>
                  </w:tcBorders>
                </w:tcPr>
                <w:p w14:paraId="69C2F67D"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Coef.</w:t>
                  </w:r>
                </w:p>
              </w:tc>
              <w:tc>
                <w:tcPr>
                  <w:tcW w:w="613" w:type="pct"/>
                  <w:tcBorders>
                    <w:top w:val="single" w:sz="4" w:space="0" w:color="auto"/>
                    <w:left w:val="nil"/>
                    <w:bottom w:val="single" w:sz="4" w:space="0" w:color="auto"/>
                    <w:right w:val="nil"/>
                  </w:tcBorders>
                </w:tcPr>
                <w:p w14:paraId="77771976"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Std. Err</w:t>
                  </w:r>
                </w:p>
              </w:tc>
              <w:tc>
                <w:tcPr>
                  <w:tcW w:w="532" w:type="pct"/>
                  <w:tcBorders>
                    <w:top w:val="single" w:sz="4" w:space="0" w:color="auto"/>
                    <w:left w:val="nil"/>
                    <w:bottom w:val="single" w:sz="4" w:space="0" w:color="auto"/>
                    <w:right w:val="nil"/>
                  </w:tcBorders>
                </w:tcPr>
                <w:p w14:paraId="2F18ADF8"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t</w:t>
                  </w:r>
                </w:p>
              </w:tc>
              <w:tc>
                <w:tcPr>
                  <w:tcW w:w="710" w:type="pct"/>
                  <w:tcBorders>
                    <w:top w:val="single" w:sz="4" w:space="0" w:color="auto"/>
                    <w:left w:val="nil"/>
                    <w:bottom w:val="single" w:sz="4" w:space="0" w:color="auto"/>
                    <w:right w:val="nil"/>
                  </w:tcBorders>
                </w:tcPr>
                <w:p w14:paraId="60D6BE5C"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P&gt;|t|</w:t>
                  </w:r>
                </w:p>
              </w:tc>
              <w:tc>
                <w:tcPr>
                  <w:tcW w:w="1313" w:type="pct"/>
                  <w:tcBorders>
                    <w:top w:val="single" w:sz="4" w:space="0" w:color="auto"/>
                    <w:left w:val="nil"/>
                    <w:bottom w:val="single" w:sz="4" w:space="0" w:color="auto"/>
                    <w:right w:val="single" w:sz="4" w:space="0" w:color="auto"/>
                  </w:tcBorders>
                </w:tcPr>
                <w:p w14:paraId="2951C343"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95% Conf. Interval</w:t>
                  </w:r>
                </w:p>
              </w:tc>
            </w:tr>
            <w:tr w:rsidR="00686FDB" w14:paraId="4C6D3B68" w14:textId="77777777" w:rsidTr="005C27FC">
              <w:tc>
                <w:tcPr>
                  <w:tcW w:w="1224" w:type="pct"/>
                  <w:tcBorders>
                    <w:top w:val="single" w:sz="4" w:space="0" w:color="auto"/>
                    <w:left w:val="single" w:sz="4" w:space="0" w:color="auto"/>
                    <w:bottom w:val="single" w:sz="4" w:space="0" w:color="auto"/>
                    <w:right w:val="single" w:sz="4" w:space="0" w:color="auto"/>
                  </w:tcBorders>
                </w:tcPr>
                <w:p w14:paraId="2257718B" w14:textId="77777777" w:rsidR="007C2944" w:rsidRPr="002E6D8F" w:rsidRDefault="00170B62">
                  <w:pPr>
                    <w:spacing w:after="0" w:line="240" w:lineRule="auto"/>
                    <w:rPr>
                      <w:sz w:val="24"/>
                      <w:szCs w:val="24"/>
                      <w:lang w:val="en-US" w:eastAsia="en-US"/>
                    </w:rPr>
                  </w:pPr>
                  <w:r w:rsidRPr="002E6D8F">
                    <w:rPr>
                      <w:sz w:val="24"/>
                      <w:szCs w:val="24"/>
                      <w:lang w:val="en-US" w:eastAsia="en-US"/>
                    </w:rPr>
                    <w:t xml:space="preserve">GDP Growth </w:t>
                  </w:r>
                </w:p>
              </w:tc>
              <w:tc>
                <w:tcPr>
                  <w:tcW w:w="608" w:type="pct"/>
                  <w:tcBorders>
                    <w:top w:val="single" w:sz="4" w:space="0" w:color="auto"/>
                    <w:left w:val="single" w:sz="4" w:space="0" w:color="auto"/>
                    <w:bottom w:val="single" w:sz="4" w:space="0" w:color="auto"/>
                    <w:right w:val="single" w:sz="4" w:space="0" w:color="auto"/>
                  </w:tcBorders>
                </w:tcPr>
                <w:p w14:paraId="0FAB9846"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-0.0284</w:t>
                  </w:r>
                </w:p>
              </w:tc>
              <w:tc>
                <w:tcPr>
                  <w:tcW w:w="613" w:type="pct"/>
                  <w:tcBorders>
                    <w:top w:val="single" w:sz="4" w:space="0" w:color="auto"/>
                    <w:left w:val="single" w:sz="4" w:space="0" w:color="auto"/>
                    <w:bottom w:val="single" w:sz="4" w:space="0" w:color="auto"/>
                    <w:right w:val="single" w:sz="4" w:space="0" w:color="auto"/>
                  </w:tcBorders>
                </w:tcPr>
                <w:p w14:paraId="44FD6070"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0.0172</w:t>
                  </w:r>
                </w:p>
              </w:tc>
              <w:tc>
                <w:tcPr>
                  <w:tcW w:w="532" w:type="pct"/>
                  <w:tcBorders>
                    <w:top w:val="single" w:sz="4" w:space="0" w:color="auto"/>
                    <w:left w:val="single" w:sz="4" w:space="0" w:color="auto"/>
                    <w:bottom w:val="single" w:sz="4" w:space="0" w:color="auto"/>
                    <w:right w:val="single" w:sz="4" w:space="0" w:color="auto"/>
                  </w:tcBorders>
                </w:tcPr>
                <w:p w14:paraId="47698C91"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1.647</w:t>
                  </w:r>
                </w:p>
              </w:tc>
              <w:tc>
                <w:tcPr>
                  <w:tcW w:w="710" w:type="pct"/>
                  <w:tcBorders>
                    <w:top w:val="single" w:sz="4" w:space="0" w:color="auto"/>
                    <w:left w:val="single" w:sz="4" w:space="0" w:color="auto"/>
                    <w:bottom w:val="single" w:sz="4" w:space="0" w:color="auto"/>
                    <w:right w:val="single" w:sz="4" w:space="0" w:color="auto"/>
                  </w:tcBorders>
                </w:tcPr>
                <w:p w14:paraId="37427563"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0.099***</w:t>
                  </w:r>
                </w:p>
              </w:tc>
              <w:tc>
                <w:tcPr>
                  <w:tcW w:w="1313" w:type="pct"/>
                  <w:tcBorders>
                    <w:top w:val="single" w:sz="4" w:space="0" w:color="auto"/>
                    <w:left w:val="single" w:sz="4" w:space="0" w:color="auto"/>
                    <w:bottom w:val="single" w:sz="4" w:space="0" w:color="auto"/>
                    <w:right w:val="single" w:sz="4" w:space="0" w:color="auto"/>
                  </w:tcBorders>
                </w:tcPr>
                <w:p w14:paraId="0B9E2139"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-0.0061     0.0625</w:t>
                  </w:r>
                </w:p>
              </w:tc>
            </w:tr>
            <w:tr w:rsidR="00686FDB" w14:paraId="53DB6FE7" w14:textId="77777777" w:rsidTr="005C27FC">
              <w:tc>
                <w:tcPr>
                  <w:tcW w:w="1224" w:type="pct"/>
                  <w:tcBorders>
                    <w:top w:val="single" w:sz="4" w:space="0" w:color="auto"/>
                    <w:left w:val="single" w:sz="4" w:space="0" w:color="auto"/>
                    <w:bottom w:val="single" w:sz="4" w:space="0" w:color="auto"/>
                    <w:right w:val="single" w:sz="4" w:space="0" w:color="auto"/>
                  </w:tcBorders>
                </w:tcPr>
                <w:p w14:paraId="158CEB5C" w14:textId="77777777" w:rsidR="007C2944" w:rsidRPr="002E6D8F" w:rsidRDefault="00170B62">
                  <w:pPr>
                    <w:spacing w:after="0" w:line="240" w:lineRule="auto"/>
                    <w:rPr>
                      <w:sz w:val="24"/>
                      <w:szCs w:val="24"/>
                      <w:lang w:val="en-US" w:eastAsia="en-US"/>
                    </w:rPr>
                  </w:pPr>
                  <w:r w:rsidRPr="002E6D8F">
                    <w:rPr>
                      <w:sz w:val="24"/>
                      <w:szCs w:val="24"/>
                      <w:lang w:val="en-US" w:eastAsia="en-US"/>
                    </w:rPr>
                    <w:t>Tax Revenue</w:t>
                  </w:r>
                </w:p>
              </w:tc>
              <w:tc>
                <w:tcPr>
                  <w:tcW w:w="608" w:type="pct"/>
                  <w:tcBorders>
                    <w:top w:val="single" w:sz="4" w:space="0" w:color="auto"/>
                    <w:left w:val="single" w:sz="4" w:space="0" w:color="auto"/>
                    <w:bottom w:val="single" w:sz="4" w:space="0" w:color="auto"/>
                    <w:right w:val="single" w:sz="4" w:space="0" w:color="auto"/>
                  </w:tcBorders>
                </w:tcPr>
                <w:p w14:paraId="5A2DF572"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0.2982</w:t>
                  </w:r>
                </w:p>
              </w:tc>
              <w:tc>
                <w:tcPr>
                  <w:tcW w:w="613" w:type="pct"/>
                  <w:tcBorders>
                    <w:top w:val="single" w:sz="4" w:space="0" w:color="auto"/>
                    <w:left w:val="single" w:sz="4" w:space="0" w:color="auto"/>
                    <w:bottom w:val="single" w:sz="4" w:space="0" w:color="auto"/>
                    <w:right w:val="single" w:sz="4" w:space="0" w:color="auto"/>
                  </w:tcBorders>
                </w:tcPr>
                <w:p w14:paraId="302E0C21"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0.0651</w:t>
                  </w:r>
                </w:p>
              </w:tc>
              <w:tc>
                <w:tcPr>
                  <w:tcW w:w="532" w:type="pct"/>
                  <w:tcBorders>
                    <w:top w:val="single" w:sz="4" w:space="0" w:color="auto"/>
                    <w:left w:val="single" w:sz="4" w:space="0" w:color="auto"/>
                    <w:bottom w:val="single" w:sz="4" w:space="0" w:color="auto"/>
                    <w:right w:val="single" w:sz="4" w:space="0" w:color="auto"/>
                  </w:tcBorders>
                </w:tcPr>
                <w:p w14:paraId="71940F2C"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-4.585</w:t>
                  </w:r>
                </w:p>
              </w:tc>
              <w:tc>
                <w:tcPr>
                  <w:tcW w:w="710" w:type="pct"/>
                  <w:tcBorders>
                    <w:top w:val="single" w:sz="4" w:space="0" w:color="auto"/>
                    <w:left w:val="single" w:sz="4" w:space="0" w:color="auto"/>
                    <w:bottom w:val="single" w:sz="4" w:space="0" w:color="auto"/>
                    <w:right w:val="single" w:sz="4" w:space="0" w:color="auto"/>
                  </w:tcBorders>
                </w:tcPr>
                <w:p w14:paraId="58170C3C"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0.000*</w:t>
                  </w:r>
                </w:p>
              </w:tc>
              <w:tc>
                <w:tcPr>
                  <w:tcW w:w="1313" w:type="pct"/>
                  <w:tcBorders>
                    <w:top w:val="single" w:sz="4" w:space="0" w:color="auto"/>
                    <w:left w:val="single" w:sz="4" w:space="0" w:color="auto"/>
                    <w:bottom w:val="single" w:sz="4" w:space="0" w:color="auto"/>
                    <w:right w:val="single" w:sz="4" w:space="0" w:color="auto"/>
                  </w:tcBorders>
                </w:tcPr>
                <w:p w14:paraId="073D4061"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-0.4264   -0.1695</w:t>
                  </w:r>
                </w:p>
              </w:tc>
            </w:tr>
            <w:tr w:rsidR="00686FDB" w14:paraId="7D755F90" w14:textId="77777777" w:rsidTr="005C27FC">
              <w:tc>
                <w:tcPr>
                  <w:tcW w:w="1224" w:type="pct"/>
                  <w:tcBorders>
                    <w:top w:val="single" w:sz="4" w:space="0" w:color="auto"/>
                    <w:left w:val="single" w:sz="4" w:space="0" w:color="auto"/>
                    <w:bottom w:val="single" w:sz="4" w:space="0" w:color="auto"/>
                    <w:right w:val="single" w:sz="4" w:space="0" w:color="auto"/>
                  </w:tcBorders>
                </w:tcPr>
                <w:p w14:paraId="2460C045" w14:textId="77777777" w:rsidR="007C2944" w:rsidRPr="002E6D8F" w:rsidRDefault="00170B62">
                  <w:pPr>
                    <w:spacing w:after="0" w:line="240" w:lineRule="auto"/>
                    <w:rPr>
                      <w:sz w:val="24"/>
                      <w:szCs w:val="24"/>
                      <w:lang w:val="en-US" w:eastAsia="en-US"/>
                    </w:rPr>
                  </w:pPr>
                  <w:r w:rsidRPr="002E6D8F">
                    <w:rPr>
                      <w:sz w:val="24"/>
                      <w:szCs w:val="24"/>
                      <w:lang w:val="en-US" w:eastAsia="en-US"/>
                    </w:rPr>
                    <w:t xml:space="preserve">Gov. Expenditure  </w:t>
                  </w:r>
                </w:p>
              </w:tc>
              <w:tc>
                <w:tcPr>
                  <w:tcW w:w="608" w:type="pct"/>
                  <w:tcBorders>
                    <w:top w:val="single" w:sz="4" w:space="0" w:color="auto"/>
                    <w:left w:val="single" w:sz="4" w:space="0" w:color="auto"/>
                    <w:bottom w:val="single" w:sz="4" w:space="0" w:color="auto"/>
                    <w:right w:val="single" w:sz="4" w:space="0" w:color="auto"/>
                  </w:tcBorders>
                </w:tcPr>
                <w:p w14:paraId="2EBCD841"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0.1724</w:t>
                  </w:r>
                </w:p>
              </w:tc>
              <w:tc>
                <w:tcPr>
                  <w:tcW w:w="613" w:type="pct"/>
                  <w:tcBorders>
                    <w:top w:val="single" w:sz="4" w:space="0" w:color="auto"/>
                    <w:left w:val="single" w:sz="4" w:space="0" w:color="auto"/>
                    <w:bottom w:val="single" w:sz="4" w:space="0" w:color="auto"/>
                    <w:right w:val="single" w:sz="4" w:space="0" w:color="auto"/>
                  </w:tcBorders>
                </w:tcPr>
                <w:p w14:paraId="1DC11081"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0.0396</w:t>
                  </w:r>
                </w:p>
              </w:tc>
              <w:tc>
                <w:tcPr>
                  <w:tcW w:w="532" w:type="pct"/>
                  <w:tcBorders>
                    <w:top w:val="single" w:sz="4" w:space="0" w:color="auto"/>
                    <w:left w:val="single" w:sz="4" w:space="0" w:color="auto"/>
                    <w:bottom w:val="single" w:sz="4" w:space="0" w:color="auto"/>
                    <w:right w:val="single" w:sz="4" w:space="0" w:color="auto"/>
                  </w:tcBorders>
                </w:tcPr>
                <w:p w14:paraId="12A2E501"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4.195</w:t>
                  </w:r>
                </w:p>
              </w:tc>
              <w:tc>
                <w:tcPr>
                  <w:tcW w:w="710" w:type="pct"/>
                  <w:tcBorders>
                    <w:top w:val="single" w:sz="4" w:space="0" w:color="auto"/>
                    <w:left w:val="single" w:sz="4" w:space="0" w:color="auto"/>
                    <w:bottom w:val="single" w:sz="4" w:space="0" w:color="auto"/>
                    <w:right w:val="single" w:sz="4" w:space="0" w:color="auto"/>
                  </w:tcBorders>
                </w:tcPr>
                <w:p w14:paraId="0E381D6D"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0.000*</w:t>
                  </w:r>
                </w:p>
              </w:tc>
              <w:tc>
                <w:tcPr>
                  <w:tcW w:w="1313" w:type="pct"/>
                  <w:tcBorders>
                    <w:top w:val="single" w:sz="4" w:space="0" w:color="auto"/>
                    <w:left w:val="single" w:sz="4" w:space="0" w:color="auto"/>
                    <w:bottom w:val="single" w:sz="4" w:space="0" w:color="auto"/>
                    <w:right w:val="single" w:sz="4" w:space="0" w:color="auto"/>
                  </w:tcBorders>
                </w:tcPr>
                <w:p w14:paraId="19CD8BB5"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0.0913     0.2534</w:t>
                  </w:r>
                </w:p>
              </w:tc>
            </w:tr>
            <w:tr w:rsidR="00686FDB" w14:paraId="1A565D90" w14:textId="77777777" w:rsidTr="005C27FC">
              <w:tc>
                <w:tcPr>
                  <w:tcW w:w="1224" w:type="pct"/>
                  <w:tcBorders>
                    <w:top w:val="single" w:sz="4" w:space="0" w:color="auto"/>
                    <w:left w:val="single" w:sz="4" w:space="0" w:color="auto"/>
                    <w:bottom w:val="single" w:sz="4" w:space="0" w:color="auto"/>
                    <w:right w:val="single" w:sz="4" w:space="0" w:color="auto"/>
                  </w:tcBorders>
                </w:tcPr>
                <w:p w14:paraId="1AE01C17" w14:textId="77777777" w:rsidR="007C2944" w:rsidRPr="002E6D8F" w:rsidRDefault="00170B62">
                  <w:pPr>
                    <w:spacing w:after="0" w:line="240" w:lineRule="auto"/>
                    <w:rPr>
                      <w:sz w:val="24"/>
                      <w:szCs w:val="24"/>
                      <w:lang w:val="en-US" w:eastAsia="en-US"/>
                    </w:rPr>
                  </w:pPr>
                  <w:r w:rsidRPr="002E6D8F">
                    <w:rPr>
                      <w:sz w:val="24"/>
                      <w:szCs w:val="24"/>
                      <w:lang w:val="en-US" w:eastAsia="en-US"/>
                    </w:rPr>
                    <w:t>Corruption Level</w:t>
                  </w:r>
                </w:p>
              </w:tc>
              <w:tc>
                <w:tcPr>
                  <w:tcW w:w="608" w:type="pct"/>
                  <w:tcBorders>
                    <w:top w:val="single" w:sz="4" w:space="0" w:color="auto"/>
                    <w:left w:val="single" w:sz="4" w:space="0" w:color="auto"/>
                    <w:bottom w:val="single" w:sz="4" w:space="0" w:color="auto"/>
                    <w:right w:val="single" w:sz="4" w:space="0" w:color="auto"/>
                  </w:tcBorders>
                </w:tcPr>
                <w:p w14:paraId="22A24CBD"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0.2611</w:t>
                  </w:r>
                </w:p>
              </w:tc>
              <w:tc>
                <w:tcPr>
                  <w:tcW w:w="613" w:type="pct"/>
                  <w:tcBorders>
                    <w:top w:val="single" w:sz="4" w:space="0" w:color="auto"/>
                    <w:left w:val="single" w:sz="4" w:space="0" w:color="auto"/>
                    <w:bottom w:val="single" w:sz="4" w:space="0" w:color="auto"/>
                    <w:right w:val="single" w:sz="4" w:space="0" w:color="auto"/>
                  </w:tcBorders>
                </w:tcPr>
                <w:p w14:paraId="4766B2D8"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0.0497</w:t>
                  </w:r>
                </w:p>
              </w:tc>
              <w:tc>
                <w:tcPr>
                  <w:tcW w:w="532" w:type="pct"/>
                  <w:tcBorders>
                    <w:top w:val="single" w:sz="4" w:space="0" w:color="auto"/>
                    <w:left w:val="single" w:sz="4" w:space="0" w:color="auto"/>
                    <w:bottom w:val="single" w:sz="4" w:space="0" w:color="auto"/>
                    <w:right w:val="single" w:sz="4" w:space="0" w:color="auto"/>
                  </w:tcBorders>
                </w:tcPr>
                <w:p w14:paraId="49E7ED8C"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5.019</w:t>
                  </w:r>
                </w:p>
              </w:tc>
              <w:tc>
                <w:tcPr>
                  <w:tcW w:w="710" w:type="pct"/>
                  <w:tcBorders>
                    <w:top w:val="single" w:sz="4" w:space="0" w:color="auto"/>
                    <w:left w:val="single" w:sz="4" w:space="0" w:color="auto"/>
                    <w:bottom w:val="single" w:sz="4" w:space="0" w:color="auto"/>
                    <w:right w:val="single" w:sz="4" w:space="0" w:color="auto"/>
                  </w:tcBorders>
                </w:tcPr>
                <w:p w14:paraId="6190EEF8"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0.000*</w:t>
                  </w:r>
                </w:p>
              </w:tc>
              <w:tc>
                <w:tcPr>
                  <w:tcW w:w="1313" w:type="pct"/>
                  <w:tcBorders>
                    <w:top w:val="single" w:sz="4" w:space="0" w:color="auto"/>
                    <w:left w:val="single" w:sz="4" w:space="0" w:color="auto"/>
                    <w:bottom w:val="single" w:sz="4" w:space="0" w:color="auto"/>
                    <w:right w:val="single" w:sz="4" w:space="0" w:color="auto"/>
                  </w:tcBorders>
                </w:tcPr>
                <w:p w14:paraId="102C9B81"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0.1583    0.3642</w:t>
                  </w:r>
                </w:p>
              </w:tc>
            </w:tr>
            <w:tr w:rsidR="00686FDB" w14:paraId="751B14F0" w14:textId="77777777" w:rsidTr="005C27FC">
              <w:tc>
                <w:tcPr>
                  <w:tcW w:w="1224" w:type="pct"/>
                  <w:tcBorders>
                    <w:top w:val="single" w:sz="4" w:space="0" w:color="auto"/>
                    <w:left w:val="single" w:sz="4" w:space="0" w:color="auto"/>
                    <w:bottom w:val="single" w:sz="4" w:space="0" w:color="auto"/>
                    <w:right w:val="single" w:sz="4" w:space="0" w:color="auto"/>
                  </w:tcBorders>
                </w:tcPr>
                <w:p w14:paraId="7E500B8A" w14:textId="77777777" w:rsidR="007C2944" w:rsidRPr="002E6D8F" w:rsidRDefault="00170B62">
                  <w:pPr>
                    <w:spacing w:after="0" w:line="240" w:lineRule="auto"/>
                    <w:rPr>
                      <w:sz w:val="24"/>
                      <w:szCs w:val="24"/>
                      <w:lang w:val="en-US" w:eastAsia="en-US"/>
                    </w:rPr>
                  </w:pPr>
                  <w:r w:rsidRPr="002E6D8F">
                    <w:rPr>
                      <w:sz w:val="24"/>
                      <w:szCs w:val="24"/>
                      <w:lang w:val="en-US" w:eastAsia="en-US"/>
                    </w:rPr>
                    <w:t>Cons</w:t>
                  </w:r>
                  <w:r w:rsidR="001635A6" w:rsidRPr="002E6D8F">
                    <w:rPr>
                      <w:sz w:val="24"/>
                      <w:szCs w:val="24"/>
                      <w:lang w:val="en-US" w:eastAsia="en-US"/>
                    </w:rPr>
                    <w:t xml:space="preserve">  </w:t>
                  </w:r>
                </w:p>
              </w:tc>
              <w:tc>
                <w:tcPr>
                  <w:tcW w:w="608" w:type="pct"/>
                  <w:tcBorders>
                    <w:top w:val="single" w:sz="4" w:space="0" w:color="auto"/>
                    <w:left w:val="single" w:sz="4" w:space="0" w:color="auto"/>
                    <w:bottom w:val="single" w:sz="4" w:space="0" w:color="auto"/>
                    <w:right w:val="single" w:sz="4" w:space="0" w:color="auto"/>
                  </w:tcBorders>
                </w:tcPr>
                <w:p w14:paraId="5FD7B01B"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1.125</w:t>
                  </w:r>
                </w:p>
              </w:tc>
              <w:tc>
                <w:tcPr>
                  <w:tcW w:w="613" w:type="pct"/>
                  <w:tcBorders>
                    <w:top w:val="single" w:sz="4" w:space="0" w:color="auto"/>
                    <w:left w:val="single" w:sz="4" w:space="0" w:color="auto"/>
                    <w:bottom w:val="single" w:sz="4" w:space="0" w:color="auto"/>
                    <w:right w:val="single" w:sz="4" w:space="0" w:color="auto"/>
                  </w:tcBorders>
                </w:tcPr>
                <w:p w14:paraId="708BE920"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0.4724</w:t>
                  </w:r>
                </w:p>
              </w:tc>
              <w:tc>
                <w:tcPr>
                  <w:tcW w:w="532" w:type="pct"/>
                  <w:tcBorders>
                    <w:top w:val="single" w:sz="4" w:space="0" w:color="auto"/>
                    <w:left w:val="single" w:sz="4" w:space="0" w:color="auto"/>
                    <w:bottom w:val="single" w:sz="4" w:space="0" w:color="auto"/>
                    <w:right w:val="single" w:sz="4" w:space="0" w:color="auto"/>
                  </w:tcBorders>
                </w:tcPr>
                <w:p w14:paraId="427B715A"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2.384</w:t>
                  </w:r>
                </w:p>
              </w:tc>
              <w:tc>
                <w:tcPr>
                  <w:tcW w:w="710" w:type="pct"/>
                  <w:tcBorders>
                    <w:top w:val="single" w:sz="4" w:space="0" w:color="auto"/>
                    <w:left w:val="single" w:sz="4" w:space="0" w:color="auto"/>
                    <w:bottom w:val="single" w:sz="4" w:space="0" w:color="auto"/>
                    <w:right w:val="single" w:sz="4" w:space="0" w:color="auto"/>
                  </w:tcBorders>
                </w:tcPr>
                <w:p w14:paraId="14B865EF"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0.014*</w:t>
                  </w:r>
                </w:p>
              </w:tc>
              <w:tc>
                <w:tcPr>
                  <w:tcW w:w="1313" w:type="pct"/>
                  <w:tcBorders>
                    <w:top w:val="single" w:sz="4" w:space="0" w:color="auto"/>
                    <w:left w:val="single" w:sz="4" w:space="0" w:color="auto"/>
                    <w:bottom w:val="single" w:sz="4" w:space="0" w:color="auto"/>
                    <w:right w:val="single" w:sz="4" w:space="0" w:color="auto"/>
                  </w:tcBorders>
                </w:tcPr>
                <w:p w14:paraId="012B4C4F" w14:textId="77777777" w:rsidR="007C2944" w:rsidRPr="002E6D8F" w:rsidRDefault="00170B62">
                  <w:pPr>
                    <w:spacing w:after="0" w:line="240" w:lineRule="auto"/>
                    <w:jc w:val="center"/>
                    <w:rPr>
                      <w:sz w:val="24"/>
                      <w:szCs w:val="24"/>
                      <w:lang w:val="en-US" w:eastAsia="en-US"/>
                    </w:rPr>
                  </w:pPr>
                  <w:r w:rsidRPr="002E6D8F">
                    <w:rPr>
                      <w:sz w:val="24"/>
                      <w:szCs w:val="24"/>
                      <w:lang w:val="en-US" w:eastAsia="en-US"/>
                    </w:rPr>
                    <w:t>0.8911     2.063</w:t>
                  </w:r>
                  <w:r w:rsidR="00DC14A4" w:rsidRPr="002E6D8F">
                    <w:rPr>
                      <w:sz w:val="24"/>
                      <w:szCs w:val="24"/>
                      <w:lang w:val="en-US" w:eastAsia="en-US"/>
                    </w:rPr>
                    <w:t>0</w:t>
                  </w:r>
                </w:p>
              </w:tc>
            </w:tr>
          </w:tbl>
          <w:p w14:paraId="2AFF3BC4" w14:textId="77777777" w:rsidR="007C2944" w:rsidRPr="002E6D8F" w:rsidRDefault="007C2944">
            <w:pPr>
              <w:spacing w:after="0" w:line="240" w:lineRule="auto"/>
              <w:rPr>
                <w:sz w:val="24"/>
                <w:szCs w:val="24"/>
                <w:lang w:val="en-US" w:eastAsia="en-US"/>
              </w:rPr>
            </w:pPr>
          </w:p>
        </w:tc>
      </w:tr>
      <w:tr w:rsidR="00686FDB" w14:paraId="2D277F44" w14:textId="77777777" w:rsidTr="00F764AB">
        <w:tblPrEx>
          <w:tblCellSpacing w:w="15" w:type="dxa"/>
          <w:tblCellMar>
            <w:top w:w="15" w:type="dxa"/>
            <w:left w:w="15" w:type="dxa"/>
            <w:bottom w:w="15" w:type="dxa"/>
            <w:right w:w="15" w:type="dxa"/>
          </w:tblCellMar>
        </w:tblPrEx>
        <w:trPr>
          <w:gridBefore w:val="1"/>
          <w:gridAfter w:val="1"/>
          <w:wBefore w:w="33" w:type="pct"/>
          <w:wAfter w:w="151" w:type="pct"/>
          <w:tblCellSpacing w:w="15" w:type="dxa"/>
        </w:trPr>
        <w:tc>
          <w:tcPr>
            <w:tcW w:w="1746" w:type="pct"/>
            <w:tcBorders>
              <w:top w:val="nil"/>
              <w:bottom w:val="single" w:sz="4" w:space="0" w:color="auto"/>
            </w:tcBorders>
            <w:vAlign w:val="center"/>
          </w:tcPr>
          <w:p w14:paraId="73C9BFEC" w14:textId="77777777" w:rsidR="00F764AB" w:rsidRPr="002E6D8F" w:rsidRDefault="00170B62" w:rsidP="00291656">
            <w:pPr>
              <w:spacing w:before="0" w:beforeAutospacing="0" w:after="0" w:line="240" w:lineRule="auto"/>
              <w:rPr>
                <w:sz w:val="24"/>
                <w:szCs w:val="24"/>
                <w:lang w:val="en-US" w:eastAsia="en-US"/>
              </w:rPr>
            </w:pPr>
            <w:bookmarkStart w:id="89" w:name="_Toc201668136"/>
            <w:r w:rsidRPr="002E6D8F">
              <w:rPr>
                <w:sz w:val="24"/>
                <w:szCs w:val="24"/>
                <w:lang w:val="en-US" w:eastAsia="en-US"/>
              </w:rPr>
              <w:t>Breusch-Godfrey LM Test</w:t>
            </w:r>
          </w:p>
        </w:tc>
        <w:tc>
          <w:tcPr>
            <w:tcW w:w="918" w:type="pct"/>
            <w:tcBorders>
              <w:top w:val="nil"/>
              <w:bottom w:val="single" w:sz="4" w:space="0" w:color="auto"/>
            </w:tcBorders>
            <w:vAlign w:val="center"/>
          </w:tcPr>
          <w:p w14:paraId="1DD4C8BB" w14:textId="77777777" w:rsidR="00F764AB" w:rsidRPr="002E6D8F" w:rsidRDefault="00170B62" w:rsidP="00291656">
            <w:pPr>
              <w:spacing w:before="0" w:beforeAutospacing="0" w:after="0" w:line="240" w:lineRule="auto"/>
              <w:jc w:val="center"/>
              <w:rPr>
                <w:sz w:val="24"/>
                <w:szCs w:val="24"/>
                <w:lang w:val="en-US" w:eastAsia="en-US"/>
              </w:rPr>
            </w:pPr>
            <w:r w:rsidRPr="002E6D8F">
              <w:rPr>
                <w:sz w:val="24"/>
                <w:szCs w:val="24"/>
                <w:lang w:val="en-US" w:eastAsia="en-US"/>
              </w:rPr>
              <w:t>Chi² = 1.87</w:t>
            </w:r>
          </w:p>
        </w:tc>
        <w:tc>
          <w:tcPr>
            <w:tcW w:w="550" w:type="pct"/>
            <w:tcBorders>
              <w:top w:val="nil"/>
              <w:bottom w:val="single" w:sz="4" w:space="0" w:color="auto"/>
            </w:tcBorders>
            <w:vAlign w:val="center"/>
          </w:tcPr>
          <w:p w14:paraId="07257B7D" w14:textId="77777777" w:rsidR="00F764AB" w:rsidRPr="002E6D8F" w:rsidRDefault="00170B62" w:rsidP="00291656">
            <w:pPr>
              <w:spacing w:before="0" w:beforeAutospacing="0" w:after="0" w:line="240" w:lineRule="auto"/>
              <w:jc w:val="center"/>
              <w:rPr>
                <w:sz w:val="24"/>
                <w:szCs w:val="24"/>
                <w:lang w:val="en-US" w:eastAsia="en-US"/>
              </w:rPr>
            </w:pPr>
            <w:r w:rsidRPr="002E6D8F">
              <w:rPr>
                <w:sz w:val="24"/>
                <w:szCs w:val="24"/>
                <w:lang w:val="en-US" w:eastAsia="en-US"/>
              </w:rPr>
              <w:t>0.174</w:t>
            </w:r>
          </w:p>
        </w:tc>
        <w:tc>
          <w:tcPr>
            <w:tcW w:w="1602" w:type="pct"/>
            <w:tcBorders>
              <w:top w:val="nil"/>
              <w:bottom w:val="single" w:sz="4" w:space="0" w:color="auto"/>
            </w:tcBorders>
            <w:vAlign w:val="center"/>
          </w:tcPr>
          <w:p w14:paraId="43FF1DD0" w14:textId="77777777" w:rsidR="00F764AB" w:rsidRPr="002E6D8F" w:rsidRDefault="00170B62" w:rsidP="00F764AB">
            <w:pPr>
              <w:spacing w:before="0" w:beforeAutospacing="0" w:after="0" w:line="240" w:lineRule="auto"/>
              <w:jc w:val="center"/>
              <w:rPr>
                <w:sz w:val="24"/>
                <w:szCs w:val="24"/>
                <w:lang w:val="en-US" w:eastAsia="en-US"/>
              </w:rPr>
            </w:pPr>
            <w:r w:rsidRPr="002E6D8F">
              <w:rPr>
                <w:sz w:val="24"/>
                <w:szCs w:val="24"/>
                <w:lang w:val="en-US" w:eastAsia="en-US"/>
              </w:rPr>
              <w:t xml:space="preserve">No serial correlation </w:t>
            </w:r>
          </w:p>
        </w:tc>
      </w:tr>
      <w:tr w:rsidR="00686FDB" w14:paraId="07DFA343" w14:textId="77777777" w:rsidTr="00F764AB">
        <w:tblPrEx>
          <w:tblCellSpacing w:w="15" w:type="dxa"/>
          <w:tblCellMar>
            <w:top w:w="15" w:type="dxa"/>
            <w:left w:w="15" w:type="dxa"/>
            <w:bottom w:w="15" w:type="dxa"/>
            <w:right w:w="15" w:type="dxa"/>
          </w:tblCellMar>
        </w:tblPrEx>
        <w:trPr>
          <w:gridBefore w:val="1"/>
          <w:gridAfter w:val="1"/>
          <w:wBefore w:w="33" w:type="pct"/>
          <w:wAfter w:w="151" w:type="pct"/>
          <w:tblCellSpacing w:w="15" w:type="dxa"/>
        </w:trPr>
        <w:tc>
          <w:tcPr>
            <w:tcW w:w="1746" w:type="pct"/>
            <w:tcBorders>
              <w:bottom w:val="single" w:sz="4" w:space="0" w:color="auto"/>
            </w:tcBorders>
            <w:vAlign w:val="center"/>
          </w:tcPr>
          <w:p w14:paraId="5F4A3136" w14:textId="77777777" w:rsidR="00F764AB" w:rsidRPr="002E6D8F" w:rsidRDefault="00170B62" w:rsidP="00291656">
            <w:pPr>
              <w:spacing w:before="0" w:beforeAutospacing="0" w:after="0" w:line="240" w:lineRule="auto"/>
              <w:rPr>
                <w:sz w:val="24"/>
                <w:szCs w:val="24"/>
                <w:lang w:val="en-US" w:eastAsia="en-US"/>
              </w:rPr>
            </w:pPr>
            <w:r w:rsidRPr="002E6D8F">
              <w:rPr>
                <w:sz w:val="24"/>
                <w:szCs w:val="24"/>
                <w:lang w:val="en-US" w:eastAsia="en-US"/>
              </w:rPr>
              <w:t>Breusch-Pagan Test</w:t>
            </w:r>
          </w:p>
        </w:tc>
        <w:tc>
          <w:tcPr>
            <w:tcW w:w="918" w:type="pct"/>
            <w:tcBorders>
              <w:bottom w:val="single" w:sz="4" w:space="0" w:color="auto"/>
            </w:tcBorders>
            <w:vAlign w:val="center"/>
          </w:tcPr>
          <w:p w14:paraId="3C4ED8D5" w14:textId="77777777" w:rsidR="00F764AB" w:rsidRPr="002E6D8F" w:rsidRDefault="00170B62" w:rsidP="00F764AB">
            <w:pPr>
              <w:spacing w:before="0" w:beforeAutospacing="0" w:after="0" w:line="240" w:lineRule="auto"/>
              <w:jc w:val="center"/>
              <w:rPr>
                <w:sz w:val="24"/>
                <w:szCs w:val="24"/>
                <w:lang w:val="en-US" w:eastAsia="en-US"/>
              </w:rPr>
            </w:pPr>
            <w:r w:rsidRPr="002E6D8F">
              <w:rPr>
                <w:sz w:val="24"/>
                <w:szCs w:val="24"/>
                <w:lang w:val="en-US" w:eastAsia="en-US"/>
              </w:rPr>
              <w:t>Chi² = 2.35</w:t>
            </w:r>
          </w:p>
        </w:tc>
        <w:tc>
          <w:tcPr>
            <w:tcW w:w="550" w:type="pct"/>
            <w:tcBorders>
              <w:bottom w:val="single" w:sz="4" w:space="0" w:color="auto"/>
            </w:tcBorders>
            <w:vAlign w:val="center"/>
          </w:tcPr>
          <w:p w14:paraId="37E132A7" w14:textId="77777777" w:rsidR="00F764AB" w:rsidRPr="002E6D8F" w:rsidRDefault="00170B62" w:rsidP="00F764AB">
            <w:pPr>
              <w:spacing w:before="0" w:beforeAutospacing="0" w:after="0" w:line="240" w:lineRule="auto"/>
              <w:jc w:val="center"/>
              <w:rPr>
                <w:sz w:val="24"/>
                <w:szCs w:val="24"/>
                <w:lang w:val="en-US" w:eastAsia="en-US"/>
              </w:rPr>
            </w:pPr>
            <w:r w:rsidRPr="002E6D8F">
              <w:rPr>
                <w:sz w:val="24"/>
                <w:szCs w:val="24"/>
                <w:lang w:val="en-US" w:eastAsia="en-US"/>
              </w:rPr>
              <w:t>0.125</w:t>
            </w:r>
          </w:p>
        </w:tc>
        <w:tc>
          <w:tcPr>
            <w:tcW w:w="1602" w:type="pct"/>
            <w:tcBorders>
              <w:bottom w:val="single" w:sz="4" w:space="0" w:color="auto"/>
            </w:tcBorders>
            <w:vAlign w:val="center"/>
          </w:tcPr>
          <w:p w14:paraId="55611140" w14:textId="77777777" w:rsidR="00F764AB" w:rsidRPr="002E6D8F" w:rsidRDefault="00170B62" w:rsidP="00F764AB">
            <w:pPr>
              <w:spacing w:before="0" w:beforeAutospacing="0" w:after="0" w:line="240" w:lineRule="auto"/>
              <w:jc w:val="center"/>
              <w:rPr>
                <w:sz w:val="24"/>
                <w:szCs w:val="24"/>
                <w:lang w:val="en-US" w:eastAsia="en-US"/>
              </w:rPr>
            </w:pPr>
            <w:r w:rsidRPr="002E6D8F">
              <w:rPr>
                <w:sz w:val="24"/>
                <w:szCs w:val="24"/>
                <w:lang w:val="en-US" w:eastAsia="en-US"/>
              </w:rPr>
              <w:t xml:space="preserve">No </w:t>
            </w:r>
            <w:r w:rsidRPr="002E6D8F">
              <w:rPr>
                <w:rFonts w:eastAsia="Calibri"/>
                <w:sz w:val="24"/>
                <w:szCs w:val="24"/>
                <w:lang w:val="en-US"/>
              </w:rPr>
              <w:t>heteroscedasticity</w:t>
            </w:r>
            <w:r w:rsidRPr="002E6D8F">
              <w:rPr>
                <w:sz w:val="24"/>
                <w:szCs w:val="24"/>
                <w:lang w:val="en-US" w:eastAsia="en-US"/>
              </w:rPr>
              <w:t xml:space="preserve"> </w:t>
            </w:r>
          </w:p>
        </w:tc>
      </w:tr>
      <w:tr w:rsidR="00686FDB" w14:paraId="2DAC3CD8" w14:textId="77777777" w:rsidTr="00F764AB">
        <w:tblPrEx>
          <w:tblCellSpacing w:w="15" w:type="dxa"/>
          <w:tblCellMar>
            <w:top w:w="15" w:type="dxa"/>
            <w:left w:w="15" w:type="dxa"/>
            <w:bottom w:w="15" w:type="dxa"/>
            <w:right w:w="15" w:type="dxa"/>
          </w:tblCellMar>
        </w:tblPrEx>
        <w:trPr>
          <w:gridBefore w:val="1"/>
          <w:gridAfter w:val="1"/>
          <w:wBefore w:w="33" w:type="pct"/>
          <w:wAfter w:w="151" w:type="pct"/>
          <w:tblCellSpacing w:w="15" w:type="dxa"/>
        </w:trPr>
        <w:tc>
          <w:tcPr>
            <w:tcW w:w="1746" w:type="pct"/>
            <w:tcBorders>
              <w:bottom w:val="nil"/>
            </w:tcBorders>
            <w:vAlign w:val="center"/>
          </w:tcPr>
          <w:p w14:paraId="2987011B" w14:textId="77777777" w:rsidR="00F764AB" w:rsidRPr="002E6D8F" w:rsidRDefault="00170B62" w:rsidP="00F764AB">
            <w:pPr>
              <w:spacing w:before="0" w:beforeAutospacing="0" w:after="0" w:line="240" w:lineRule="auto"/>
              <w:rPr>
                <w:sz w:val="24"/>
                <w:szCs w:val="24"/>
                <w:lang w:val="en-US" w:eastAsia="en-US"/>
              </w:rPr>
            </w:pPr>
            <w:proofErr w:type="spellStart"/>
            <w:r w:rsidRPr="002E6D8F">
              <w:rPr>
                <w:sz w:val="24"/>
                <w:szCs w:val="24"/>
                <w:lang w:val="en-US" w:eastAsia="en-US"/>
              </w:rPr>
              <w:t>Pesaran’s</w:t>
            </w:r>
            <w:proofErr w:type="spellEnd"/>
            <w:r w:rsidRPr="002E6D8F">
              <w:rPr>
                <w:sz w:val="24"/>
                <w:szCs w:val="24"/>
                <w:lang w:val="en-US" w:eastAsia="en-US"/>
              </w:rPr>
              <w:t xml:space="preserve"> CD Test</w:t>
            </w:r>
          </w:p>
        </w:tc>
        <w:tc>
          <w:tcPr>
            <w:tcW w:w="918" w:type="pct"/>
            <w:tcBorders>
              <w:bottom w:val="nil"/>
            </w:tcBorders>
            <w:vAlign w:val="center"/>
          </w:tcPr>
          <w:p w14:paraId="3B423264" w14:textId="77777777" w:rsidR="00F764AB" w:rsidRPr="002E6D8F" w:rsidRDefault="00170B62" w:rsidP="00F764AB">
            <w:pPr>
              <w:spacing w:before="0" w:beforeAutospacing="0" w:after="0" w:line="240" w:lineRule="auto"/>
              <w:jc w:val="center"/>
              <w:rPr>
                <w:sz w:val="24"/>
                <w:szCs w:val="24"/>
                <w:lang w:val="en-US" w:eastAsia="en-US"/>
              </w:rPr>
            </w:pPr>
            <w:r w:rsidRPr="002E6D8F">
              <w:rPr>
                <w:sz w:val="24"/>
                <w:szCs w:val="24"/>
                <w:lang w:val="en-US" w:eastAsia="en-US"/>
              </w:rPr>
              <w:t>Z = 1.10</w:t>
            </w:r>
          </w:p>
        </w:tc>
        <w:tc>
          <w:tcPr>
            <w:tcW w:w="550" w:type="pct"/>
            <w:tcBorders>
              <w:bottom w:val="nil"/>
            </w:tcBorders>
            <w:vAlign w:val="center"/>
          </w:tcPr>
          <w:p w14:paraId="7593E80A" w14:textId="77777777" w:rsidR="00F764AB" w:rsidRPr="002E6D8F" w:rsidRDefault="00170B62" w:rsidP="00F764AB">
            <w:pPr>
              <w:spacing w:before="0" w:beforeAutospacing="0" w:after="0" w:line="240" w:lineRule="auto"/>
              <w:jc w:val="center"/>
              <w:rPr>
                <w:sz w:val="24"/>
                <w:szCs w:val="24"/>
                <w:lang w:val="en-US" w:eastAsia="en-US"/>
              </w:rPr>
            </w:pPr>
            <w:r w:rsidRPr="002E6D8F">
              <w:rPr>
                <w:sz w:val="24"/>
                <w:szCs w:val="24"/>
                <w:lang w:val="en-US" w:eastAsia="en-US"/>
              </w:rPr>
              <w:t>0.270</w:t>
            </w:r>
          </w:p>
        </w:tc>
        <w:tc>
          <w:tcPr>
            <w:tcW w:w="1602" w:type="pct"/>
            <w:tcBorders>
              <w:bottom w:val="nil"/>
            </w:tcBorders>
            <w:vAlign w:val="center"/>
          </w:tcPr>
          <w:p w14:paraId="4639ACF0" w14:textId="77777777" w:rsidR="00F764AB" w:rsidRPr="002E6D8F" w:rsidRDefault="00170B62" w:rsidP="00F764AB">
            <w:pPr>
              <w:spacing w:before="0" w:beforeAutospacing="0" w:after="0" w:line="240" w:lineRule="auto"/>
              <w:jc w:val="center"/>
              <w:rPr>
                <w:sz w:val="24"/>
                <w:szCs w:val="24"/>
                <w:lang w:val="en-US" w:eastAsia="en-US"/>
              </w:rPr>
            </w:pPr>
            <w:r w:rsidRPr="002E6D8F">
              <w:rPr>
                <w:sz w:val="24"/>
                <w:szCs w:val="24"/>
                <w:lang w:val="en-US" w:eastAsia="en-US"/>
              </w:rPr>
              <w:t xml:space="preserve">No cross-sectional dependence </w:t>
            </w:r>
          </w:p>
        </w:tc>
      </w:tr>
      <w:tr w:rsidR="00686FDB" w14:paraId="71A74AB5" w14:textId="77777777" w:rsidTr="00472E90">
        <w:tc>
          <w:tcPr>
            <w:tcW w:w="5000" w:type="pct"/>
            <w:gridSpan w:val="6"/>
            <w:tcBorders>
              <w:top w:val="single" w:sz="4" w:space="0" w:color="auto"/>
              <w:bottom w:val="nil"/>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686FDB" w14:paraId="76CAD9FC" w14:textId="77777777" w:rsidTr="00291656">
              <w:tc>
                <w:tcPr>
                  <w:tcW w:w="8871" w:type="dxa"/>
                  <w:tcBorders>
                    <w:top w:val="nil"/>
                    <w:left w:val="nil"/>
                    <w:bottom w:val="single" w:sz="4" w:space="0" w:color="auto"/>
                    <w:right w:val="nil"/>
                  </w:tcBorders>
                </w:tcPr>
                <w:p w14:paraId="43A6F326" w14:textId="77777777" w:rsidR="00472E90" w:rsidRPr="002E6D8F" w:rsidRDefault="00170B62" w:rsidP="00291656">
                  <w:pPr>
                    <w:spacing w:before="0" w:beforeAutospacing="0" w:after="0" w:line="240" w:lineRule="auto"/>
                    <w:rPr>
                      <w:sz w:val="24"/>
                      <w:szCs w:val="24"/>
                      <w:lang w:val="en-US" w:eastAsia="en-US"/>
                    </w:rPr>
                  </w:pPr>
                  <w:r w:rsidRPr="002E6D8F">
                    <w:rPr>
                      <w:sz w:val="24"/>
                      <w:szCs w:val="24"/>
                      <w:lang w:val="en-US" w:eastAsia="en-US"/>
                    </w:rPr>
                    <w:t>*=1%, **=5% significance levels respectively</w:t>
                  </w:r>
                </w:p>
              </w:tc>
            </w:tr>
          </w:tbl>
          <w:p w14:paraId="5F1988F0" w14:textId="77777777" w:rsidR="00472E90" w:rsidRPr="002E6D8F" w:rsidRDefault="00472E90" w:rsidP="00291656">
            <w:pPr>
              <w:spacing w:after="0" w:line="240" w:lineRule="auto"/>
              <w:rPr>
                <w:sz w:val="24"/>
                <w:szCs w:val="24"/>
                <w:lang w:val="en-US" w:eastAsia="en-US"/>
              </w:rPr>
            </w:pPr>
          </w:p>
        </w:tc>
      </w:tr>
    </w:tbl>
    <w:p w14:paraId="39E9F4B2" w14:textId="77777777" w:rsidR="005C27FC" w:rsidRPr="002E6D8F" w:rsidRDefault="005C27FC" w:rsidP="00F764AB">
      <w:pPr>
        <w:tabs>
          <w:tab w:val="left" w:pos="3075"/>
        </w:tabs>
        <w:spacing w:before="0" w:beforeAutospacing="0" w:line="360" w:lineRule="auto"/>
        <w:jc w:val="both"/>
        <w:rPr>
          <w:b/>
          <w:bCs/>
          <w:sz w:val="24"/>
          <w:szCs w:val="24"/>
          <w:lang w:val="en-US"/>
        </w:rPr>
      </w:pPr>
    </w:p>
    <w:p w14:paraId="5F5D1CB7" w14:textId="77777777" w:rsidR="007C2944" w:rsidRPr="002E6D8F" w:rsidRDefault="00170B62">
      <w:pPr>
        <w:spacing w:before="0" w:beforeAutospacing="0" w:line="360" w:lineRule="auto"/>
        <w:jc w:val="both"/>
        <w:rPr>
          <w:sz w:val="24"/>
          <w:szCs w:val="24"/>
          <w:lang w:val="en-US"/>
        </w:rPr>
      </w:pPr>
      <w:r w:rsidRPr="002E6D8F">
        <w:rPr>
          <w:rFonts w:eastAsia="Calibri"/>
          <w:sz w:val="24"/>
          <w:szCs w:val="24"/>
          <w:lang w:val="en-US"/>
        </w:rPr>
        <w:t xml:space="preserve">Under the FE model, the results in Table </w:t>
      </w:r>
      <w:r w:rsidR="00695787">
        <w:rPr>
          <w:rFonts w:eastAsia="Calibri"/>
          <w:sz w:val="24"/>
          <w:szCs w:val="24"/>
          <w:lang w:val="en-US"/>
        </w:rPr>
        <w:t>3</w:t>
      </w:r>
      <w:r w:rsidRPr="002E6D8F">
        <w:rPr>
          <w:rFonts w:eastAsia="Calibri"/>
          <w:sz w:val="24"/>
          <w:szCs w:val="24"/>
          <w:lang w:val="en-US"/>
        </w:rPr>
        <w:t xml:space="preserve">, GDP Growth has a coefficient of -0.0284 with a p-value of 0.099, indicating a negative but statistically insignificant relationship with county governments' indebtedness. This means the observed negative relationship could be due to random chance rather than a true effect. While the negative coefficient indicates that higher GDP growth was associated with a slight decrease in indebtedness, this finding is not strong enough to confidently conclude that there is a real negative link between the two variables. Therefore, this suggests that national economic growth does not meaningfully influence counties' borrowing </w:t>
      </w:r>
      <w:proofErr w:type="spellStart"/>
      <w:r w:rsidRPr="002E6D8F">
        <w:rPr>
          <w:rFonts w:eastAsia="Calibri"/>
          <w:sz w:val="24"/>
          <w:szCs w:val="24"/>
          <w:lang w:val="en-US"/>
        </w:rPr>
        <w:t>beha</w:t>
      </w:r>
      <w:r w:rsidR="003C61E7" w:rsidRPr="002E6D8F">
        <w:rPr>
          <w:rFonts w:eastAsia="Calibri"/>
          <w:sz w:val="24"/>
          <w:szCs w:val="24"/>
          <w:lang w:val="en-US"/>
        </w:rPr>
        <w:t>viour</w:t>
      </w:r>
      <w:proofErr w:type="spellEnd"/>
      <w:r w:rsidR="003C61E7" w:rsidRPr="002E6D8F">
        <w:rPr>
          <w:rFonts w:eastAsia="Calibri"/>
          <w:sz w:val="24"/>
          <w:szCs w:val="24"/>
          <w:lang w:val="en-US"/>
        </w:rPr>
        <w:t xml:space="preserve">, a finding consistent with </w:t>
      </w:r>
      <w:proofErr w:type="spellStart"/>
      <w:r w:rsidR="003C61E7" w:rsidRPr="002E6D8F">
        <w:rPr>
          <w:rFonts w:eastAsia="Calibri"/>
          <w:sz w:val="24"/>
          <w:szCs w:val="24"/>
          <w:lang w:val="en-US"/>
        </w:rPr>
        <w:t>Mukuru</w:t>
      </w:r>
      <w:proofErr w:type="spellEnd"/>
      <w:r w:rsidR="003C61E7" w:rsidRPr="002E6D8F">
        <w:rPr>
          <w:rFonts w:eastAsia="Calibri"/>
          <w:sz w:val="24"/>
          <w:szCs w:val="24"/>
          <w:lang w:val="en-US"/>
        </w:rPr>
        <w:t xml:space="preserve"> et al. (2025</w:t>
      </w:r>
      <w:r w:rsidRPr="002E6D8F">
        <w:rPr>
          <w:rFonts w:eastAsia="Calibri"/>
          <w:sz w:val="24"/>
          <w:szCs w:val="24"/>
          <w:lang w:val="en-US"/>
        </w:rPr>
        <w:t>), who observed that stronger macroeconomic performance does not automatically translate into expanded fiscal capacity for counties due to weak intergovernmental fiscal transfers and limited fiscal autonomy.</w:t>
      </w:r>
    </w:p>
    <w:p w14:paraId="12238056" w14:textId="77777777" w:rsidR="007C2944" w:rsidRPr="002E6D8F" w:rsidRDefault="00170B62">
      <w:pPr>
        <w:spacing w:before="0" w:beforeAutospacing="0" w:line="360" w:lineRule="auto"/>
        <w:jc w:val="both"/>
        <w:rPr>
          <w:sz w:val="24"/>
          <w:szCs w:val="24"/>
          <w:lang w:val="en-US"/>
        </w:rPr>
      </w:pPr>
      <w:r w:rsidRPr="002E6D8F">
        <w:rPr>
          <w:rFonts w:eastAsia="Calibri"/>
          <w:sz w:val="24"/>
          <w:szCs w:val="24"/>
          <w:lang w:val="en-US"/>
        </w:rPr>
        <w:t xml:space="preserve">Tax Revenue, on the other hand, shows a coefficient of 0.2982 with a p-value of 0.000, which is statistically significant. The result indicates a statistically significant positive relationship between tax revenue and county governments' indebtedness in the regression model. The coefficient of 0.2982 signifies that for a one-unit increase in tax revenue, county governments' indebtedness is expected to increase by 29.82%. This positive relationship indicates that increases in county tax revenue are strongly associated with higher levels of indebtedness, likely </w:t>
      </w:r>
      <w:r w:rsidRPr="002E6D8F">
        <w:rPr>
          <w:rFonts w:eastAsia="Calibri"/>
          <w:sz w:val="24"/>
          <w:szCs w:val="24"/>
          <w:lang w:val="en-US"/>
        </w:rPr>
        <w:lastRenderedPageBreak/>
        <w:t xml:space="preserve">because higher own-source revenue expands fiscal space and borrowing capacity, enabling counties to finance larger development projects or recurrent expenditures. These results align with prior studies, such as </w:t>
      </w:r>
      <w:proofErr w:type="spellStart"/>
      <w:r w:rsidRPr="002E6D8F">
        <w:rPr>
          <w:rFonts w:eastAsia="Calibri"/>
          <w:sz w:val="24"/>
          <w:szCs w:val="24"/>
          <w:lang w:val="en-US"/>
        </w:rPr>
        <w:t>Mbate</w:t>
      </w:r>
      <w:proofErr w:type="spellEnd"/>
      <w:r w:rsidRPr="002E6D8F">
        <w:rPr>
          <w:rFonts w:eastAsia="Calibri"/>
          <w:sz w:val="24"/>
          <w:szCs w:val="24"/>
          <w:lang w:val="en-US"/>
        </w:rPr>
        <w:t xml:space="preserve"> (2013), who found that revenue </w:t>
      </w:r>
      <w:proofErr w:type="spellStart"/>
      <w:r w:rsidRPr="002E6D8F">
        <w:rPr>
          <w:rFonts w:eastAsia="Calibri"/>
          <w:sz w:val="24"/>
          <w:szCs w:val="24"/>
          <w:lang w:val="en-US"/>
        </w:rPr>
        <w:t>mobilisation</w:t>
      </w:r>
      <w:proofErr w:type="spellEnd"/>
      <w:r w:rsidRPr="002E6D8F">
        <w:rPr>
          <w:rFonts w:eastAsia="Calibri"/>
          <w:sz w:val="24"/>
          <w:szCs w:val="24"/>
          <w:lang w:val="en-US"/>
        </w:rPr>
        <w:t xml:space="preserve"> enhances fiscal capacity and borrowing potential among sub-national governments in Africa.</w:t>
      </w:r>
    </w:p>
    <w:p w14:paraId="76FF0D46" w14:textId="77777777" w:rsidR="007C2944" w:rsidRPr="002E6D8F" w:rsidRDefault="00170B62">
      <w:pPr>
        <w:spacing w:before="0" w:beforeAutospacing="0" w:line="360" w:lineRule="auto"/>
        <w:jc w:val="both"/>
        <w:rPr>
          <w:sz w:val="24"/>
          <w:szCs w:val="24"/>
          <w:lang w:val="en-US"/>
        </w:rPr>
      </w:pPr>
      <w:r w:rsidRPr="002E6D8F">
        <w:rPr>
          <w:rFonts w:eastAsia="Calibri"/>
          <w:sz w:val="24"/>
          <w:szCs w:val="24"/>
          <w:lang w:val="en-US"/>
        </w:rPr>
        <w:t>Government expenditure is also positively associated with county debt, with a coefficient of 0.1724 and a p-value o</w:t>
      </w:r>
      <w:r w:rsidR="00695787">
        <w:rPr>
          <w:rFonts w:eastAsia="Calibri"/>
          <w:sz w:val="24"/>
          <w:szCs w:val="24"/>
          <w:lang w:val="en-US"/>
        </w:rPr>
        <w:t>f 0.000, as shown in Table 3</w:t>
      </w:r>
      <w:r w:rsidRPr="002E6D8F">
        <w:rPr>
          <w:rFonts w:eastAsia="Calibri"/>
          <w:sz w:val="24"/>
          <w:szCs w:val="24"/>
          <w:lang w:val="en-US"/>
        </w:rPr>
        <w:t xml:space="preserve">. This indicates a statistically significant relationship where increases in government expenditure are linked to increases in county debt. This implies that a 1% increase in government expenditure leads to a 17.24% rise in county indebtedness. The positive coefficient suggests that more government spending increases debt, while the highly significant p-value (p &lt; 0.05) confirms this relationship is unlikely to be due to random chance. This suggests that higher government spending, possibly to finance public services and development projects, is funded through borrowing, increasing the overall county debt. The finding also reflects the pressure of rising expenditure, particularly on development projects, personnel, and recurrent services, which often exceeds counties’ revenue capacity and compels them to borrow. This is consistent with </w:t>
      </w:r>
      <w:r w:rsidR="002E6D8F" w:rsidRPr="002E6D8F">
        <w:rPr>
          <w:rFonts w:eastAsia="Calibri"/>
          <w:sz w:val="24"/>
          <w:szCs w:val="24"/>
          <w:lang w:val="en-US"/>
        </w:rPr>
        <w:t>Kibet</w:t>
      </w:r>
      <w:r w:rsidRPr="002E6D8F">
        <w:rPr>
          <w:rFonts w:eastAsia="Calibri"/>
          <w:sz w:val="24"/>
          <w:szCs w:val="24"/>
          <w:lang w:val="en-US"/>
        </w:rPr>
        <w:t xml:space="preserve"> </w:t>
      </w:r>
      <w:r w:rsidRPr="002E6D8F">
        <w:rPr>
          <w:rFonts w:eastAsia="Calibri"/>
          <w:i/>
          <w:iCs/>
          <w:sz w:val="24"/>
          <w:szCs w:val="24"/>
          <w:lang w:val="en-US"/>
        </w:rPr>
        <w:t xml:space="preserve">et al. </w:t>
      </w:r>
      <w:r w:rsidR="002E6D8F" w:rsidRPr="002E6D8F">
        <w:rPr>
          <w:rFonts w:eastAsia="Calibri"/>
          <w:sz w:val="24"/>
          <w:szCs w:val="24"/>
          <w:lang w:val="en-US"/>
        </w:rPr>
        <w:t>(2019</w:t>
      </w:r>
      <w:r w:rsidRPr="002E6D8F">
        <w:rPr>
          <w:rFonts w:eastAsia="Calibri"/>
          <w:sz w:val="24"/>
          <w:szCs w:val="24"/>
          <w:lang w:val="en-US"/>
        </w:rPr>
        <w:t xml:space="preserve">), who noted that counties with ambitious spending plans but limited fiscal discipline often resorted to debt financing, and with Ochieng and </w:t>
      </w:r>
      <w:r w:rsidR="002E6D8F" w:rsidRPr="002E6D8F">
        <w:rPr>
          <w:rFonts w:eastAsia="Calibri"/>
          <w:sz w:val="24"/>
          <w:szCs w:val="24"/>
          <w:lang w:val="en-US"/>
        </w:rPr>
        <w:t>Wambua</w:t>
      </w:r>
      <w:r w:rsidRPr="002E6D8F">
        <w:rPr>
          <w:rFonts w:eastAsia="Calibri"/>
          <w:sz w:val="24"/>
          <w:szCs w:val="24"/>
          <w:lang w:val="en-US"/>
        </w:rPr>
        <w:t xml:space="preserve"> (2020), who highlighted that expenditure pressures linked to political promises and infrastructure demands significantly contribute to county debt accumulation.</w:t>
      </w:r>
    </w:p>
    <w:p w14:paraId="31AD32D0" w14:textId="77777777" w:rsidR="007C2944" w:rsidRPr="002E6D8F" w:rsidRDefault="00170B62">
      <w:pPr>
        <w:spacing w:before="0" w:beforeAutospacing="0" w:line="360" w:lineRule="auto"/>
        <w:jc w:val="both"/>
        <w:rPr>
          <w:rFonts w:eastAsia="Calibri"/>
          <w:sz w:val="24"/>
          <w:szCs w:val="24"/>
          <w:lang w:val="en-US"/>
        </w:rPr>
      </w:pPr>
      <w:r w:rsidRPr="002E6D8F">
        <w:rPr>
          <w:rFonts w:eastAsia="Calibri"/>
          <w:sz w:val="24"/>
          <w:szCs w:val="24"/>
          <w:lang w:val="en-US"/>
        </w:rPr>
        <w:t xml:space="preserve">Finally, the level of corruption has a coefficient of 0.2611 with a </w:t>
      </w:r>
      <w:r w:rsidR="00695787">
        <w:rPr>
          <w:rFonts w:eastAsia="Calibri"/>
          <w:sz w:val="24"/>
          <w:szCs w:val="24"/>
          <w:lang w:val="en-US"/>
        </w:rPr>
        <w:t>p-value of 0.000 in Table 3</w:t>
      </w:r>
      <w:r w:rsidRPr="002E6D8F">
        <w:rPr>
          <w:rFonts w:eastAsia="Calibri"/>
          <w:sz w:val="24"/>
          <w:szCs w:val="24"/>
          <w:lang w:val="en-US"/>
        </w:rPr>
        <w:t xml:space="preserve">, indicating that a 1-point increase in the level of corruption leads to a 26.11% rise in county governments' debt levels. This suggests that corruption is a key factor in driving up public debt. This finding indicates that corruption levels may lead to fiscal irresponsibility and an increased need for borrowing to fund county government operations, potentially due to loss of revenue and misallocation of resources. This underscores that corruption levels exacerbate fiscal stress through budget leakages, misappropriation of public funds, and inflated procurement costs. Similar findings have been reported by Kamau et al. (2021) and Mugambi and Mwaura (2021), who </w:t>
      </w:r>
      <w:proofErr w:type="spellStart"/>
      <w:r w:rsidRPr="002E6D8F">
        <w:rPr>
          <w:rFonts w:eastAsia="Calibri"/>
          <w:sz w:val="24"/>
          <w:szCs w:val="24"/>
          <w:lang w:val="en-US"/>
        </w:rPr>
        <w:t>emphasised</w:t>
      </w:r>
      <w:proofErr w:type="spellEnd"/>
      <w:r w:rsidRPr="002E6D8F">
        <w:rPr>
          <w:rFonts w:eastAsia="Calibri"/>
          <w:sz w:val="24"/>
          <w:szCs w:val="24"/>
          <w:lang w:val="en-US"/>
        </w:rPr>
        <w:t xml:space="preserve"> that corruption undermines public financial management and budgetary control, often necessitating additional borrowing to bridge funding gaps.</w:t>
      </w:r>
    </w:p>
    <w:p w14:paraId="5C831D1E" w14:textId="77777777" w:rsidR="004D410B" w:rsidRPr="00B025FE" w:rsidRDefault="00170B62" w:rsidP="00B025FE">
      <w:pPr>
        <w:spacing w:before="0" w:beforeAutospacing="0" w:after="0" w:line="360" w:lineRule="auto"/>
        <w:jc w:val="both"/>
        <w:rPr>
          <w:sz w:val="24"/>
          <w:szCs w:val="24"/>
          <w:lang w:val="en-GB" w:eastAsia="en-GB"/>
        </w:rPr>
      </w:pPr>
      <w:r w:rsidRPr="002E6D8F">
        <w:rPr>
          <w:sz w:val="24"/>
          <w:szCs w:val="24"/>
          <w:lang w:val="en-GB" w:eastAsia="en-GB"/>
        </w:rPr>
        <w:t xml:space="preserve">The Breusch-Godfrey LM test showed no autocorrelation (Chi-square: 1.87, p-value: 0.174), supported by the Wooldridge test. The Breusch-Pagan LM test indicated no heteroscedasticity </w:t>
      </w:r>
      <w:r w:rsidRPr="002E6D8F">
        <w:rPr>
          <w:sz w:val="24"/>
          <w:szCs w:val="24"/>
          <w:lang w:val="en-GB" w:eastAsia="en-GB"/>
        </w:rPr>
        <w:lastRenderedPageBreak/>
        <w:t xml:space="preserve">(Chi-square: 2.35, p-value: 0.125), suggesting constant variance of error terms. Lastly, </w:t>
      </w:r>
      <w:proofErr w:type="spellStart"/>
      <w:r w:rsidRPr="002E6D8F">
        <w:rPr>
          <w:sz w:val="24"/>
          <w:szCs w:val="24"/>
          <w:lang w:val="en-GB" w:eastAsia="en-GB"/>
        </w:rPr>
        <w:t>Pesaran's</w:t>
      </w:r>
      <w:proofErr w:type="spellEnd"/>
      <w:r w:rsidRPr="002E6D8F">
        <w:rPr>
          <w:sz w:val="24"/>
          <w:szCs w:val="24"/>
          <w:lang w:val="en-GB" w:eastAsia="en-GB"/>
        </w:rPr>
        <w:t xml:space="preserve"> CD test found no cross-sectional dependence (Z-value: 1.10, p-value: 0.270). Overall, the model is robust and valid without needing special corrections.</w:t>
      </w:r>
    </w:p>
    <w:p w14:paraId="2D00F3A6" w14:textId="77777777" w:rsidR="007C2944" w:rsidRPr="00B025FE" w:rsidRDefault="00B025FE" w:rsidP="00B025FE">
      <w:pPr>
        <w:pStyle w:val="Heading1"/>
        <w:spacing w:before="0" w:line="360" w:lineRule="auto"/>
        <w:rPr>
          <w:rFonts w:ascii="Times New Roman" w:hAnsi="Times New Roman"/>
          <w:b/>
          <w:bCs/>
          <w:color w:val="auto"/>
          <w:sz w:val="24"/>
          <w:szCs w:val="24"/>
          <w:lang w:val="en-GB"/>
        </w:rPr>
      </w:pPr>
      <w:bookmarkStart w:id="90" w:name="_Toc173188288"/>
      <w:bookmarkStart w:id="91" w:name="_Toc201668137"/>
      <w:bookmarkStart w:id="92" w:name="_Toc207656788"/>
      <w:bookmarkEnd w:id="89"/>
      <w:r>
        <w:rPr>
          <w:rFonts w:ascii="Times New Roman" w:hAnsi="Times New Roman"/>
          <w:b/>
          <w:bCs/>
          <w:color w:val="auto"/>
          <w:sz w:val="24"/>
          <w:szCs w:val="24"/>
          <w:lang w:val="en-GB"/>
        </w:rPr>
        <w:t xml:space="preserve">5 </w:t>
      </w:r>
      <w:r w:rsidR="00170B62" w:rsidRPr="002E6D8F">
        <w:rPr>
          <w:rFonts w:ascii="Times New Roman" w:hAnsi="Times New Roman"/>
          <w:b/>
          <w:bCs/>
          <w:color w:val="auto"/>
          <w:sz w:val="24"/>
          <w:szCs w:val="24"/>
        </w:rPr>
        <w:t xml:space="preserve">Conclusions </w:t>
      </w:r>
      <w:r w:rsidR="00170B62" w:rsidRPr="002E6D8F">
        <w:rPr>
          <w:rFonts w:ascii="Times New Roman" w:hAnsi="Times New Roman"/>
          <w:b/>
          <w:bCs/>
          <w:color w:val="auto"/>
          <w:sz w:val="24"/>
          <w:szCs w:val="24"/>
          <w:lang w:val="en-GB"/>
        </w:rPr>
        <w:t>and</w:t>
      </w:r>
      <w:r w:rsidR="00170B62" w:rsidRPr="002E6D8F">
        <w:rPr>
          <w:rFonts w:ascii="Times New Roman" w:hAnsi="Times New Roman"/>
          <w:b/>
          <w:bCs/>
          <w:color w:val="auto"/>
          <w:sz w:val="24"/>
          <w:szCs w:val="24"/>
        </w:rPr>
        <w:t xml:space="preserve"> Recommendations</w:t>
      </w:r>
      <w:bookmarkEnd w:id="90"/>
      <w:bookmarkEnd w:id="91"/>
      <w:bookmarkEnd w:id="92"/>
    </w:p>
    <w:p w14:paraId="188FE26D" w14:textId="77777777" w:rsidR="007C2944" w:rsidRPr="002E6D8F" w:rsidRDefault="00B025FE">
      <w:pPr>
        <w:pStyle w:val="Heading2"/>
        <w:spacing w:before="0" w:line="360" w:lineRule="auto"/>
        <w:jc w:val="both"/>
        <w:rPr>
          <w:rFonts w:ascii="Times New Roman" w:hAnsi="Times New Roman"/>
          <w:b/>
          <w:color w:val="auto"/>
          <w:sz w:val="24"/>
          <w:szCs w:val="24"/>
          <w:lang w:val="en-US"/>
        </w:rPr>
      </w:pPr>
      <w:bookmarkStart w:id="93" w:name="_Toc207656794"/>
      <w:r>
        <w:rPr>
          <w:rFonts w:ascii="Times New Roman" w:hAnsi="Times New Roman"/>
          <w:b/>
          <w:color w:val="auto"/>
          <w:sz w:val="24"/>
          <w:szCs w:val="24"/>
          <w:lang w:val="en-US"/>
        </w:rPr>
        <w:t>5.1</w:t>
      </w:r>
      <w:r w:rsidR="00170B62" w:rsidRPr="002E6D8F">
        <w:rPr>
          <w:rFonts w:ascii="Times New Roman" w:hAnsi="Times New Roman"/>
          <w:b/>
          <w:color w:val="auto"/>
          <w:sz w:val="24"/>
          <w:szCs w:val="24"/>
          <w:lang w:val="en-US"/>
        </w:rPr>
        <w:t xml:space="preserve"> Conclusions</w:t>
      </w:r>
      <w:bookmarkEnd w:id="93"/>
    </w:p>
    <w:p w14:paraId="62EE2F23" w14:textId="77777777" w:rsidR="005376C1" w:rsidRPr="002E6D8F" w:rsidRDefault="00170B62" w:rsidP="005376C1">
      <w:pPr>
        <w:spacing w:before="0" w:beforeAutospacing="0" w:line="360" w:lineRule="auto"/>
        <w:jc w:val="both"/>
        <w:rPr>
          <w:rFonts w:eastAsia="Calibri"/>
          <w:sz w:val="24"/>
          <w:szCs w:val="24"/>
          <w:lang w:val="en-US"/>
        </w:rPr>
      </w:pPr>
      <w:r w:rsidRPr="002E6D8F">
        <w:rPr>
          <w:rFonts w:eastAsia="Calibri"/>
          <w:sz w:val="24"/>
          <w:szCs w:val="24"/>
          <w:lang w:val="en-US"/>
        </w:rPr>
        <w:t>This study sought to examine the effect of selected macroeconomic determinants, such as economic growth, tax revenue, government expenditure, and corruption levels, on the indebtedness of county governments in Kenya during the post-COVID-19 period. Using panel data for 47 counties over the 2020/2021–2023/2024 period, and employing Fixed Effects (FE) and Random Effects (RE) models, the following conclusions were drawn based on the inferential analysis:</w:t>
      </w:r>
    </w:p>
    <w:p w14:paraId="66932CC0" w14:textId="77777777" w:rsidR="007C2944" w:rsidRPr="002E6D8F" w:rsidRDefault="00170B62" w:rsidP="005376C1">
      <w:pPr>
        <w:spacing w:before="0" w:beforeAutospacing="0" w:line="360" w:lineRule="auto"/>
        <w:jc w:val="both"/>
        <w:rPr>
          <w:rFonts w:eastAsia="Calibri"/>
          <w:sz w:val="24"/>
          <w:szCs w:val="24"/>
          <w:lang w:val="en-US"/>
        </w:rPr>
      </w:pPr>
      <w:r w:rsidRPr="002E6D8F">
        <w:rPr>
          <w:sz w:val="24"/>
          <w:szCs w:val="24"/>
        </w:rPr>
        <w:t xml:space="preserve">The analysis revealed that </w:t>
      </w:r>
      <w:r w:rsidRPr="002E6D8F">
        <w:rPr>
          <w:rStyle w:val="Strong"/>
          <w:b w:val="0"/>
          <w:bCs w:val="0"/>
          <w:sz w:val="24"/>
          <w:szCs w:val="24"/>
        </w:rPr>
        <w:t>government expenditure</w:t>
      </w:r>
      <w:r w:rsidRPr="002E6D8F">
        <w:rPr>
          <w:sz w:val="24"/>
          <w:szCs w:val="24"/>
        </w:rPr>
        <w:t xml:space="preserve"> consistently exerts a strong positive and statistically significant influence on county governments’ indebtedness. In the FE model, a 1% increase in government expenditure was associated with a 17.24% increase in county debt. These results indicate that higher expenditure levels, particularly on development and recurrent costs, generate fiscal pressure that compels counties to borrow more to meet budgetary demands.</w:t>
      </w:r>
    </w:p>
    <w:p w14:paraId="3728B630" w14:textId="77777777" w:rsidR="007C2944" w:rsidRPr="002E6D8F" w:rsidRDefault="00170B62">
      <w:pPr>
        <w:pStyle w:val="NormalWeb"/>
        <w:spacing w:line="360" w:lineRule="auto"/>
        <w:jc w:val="both"/>
      </w:pPr>
      <w:r w:rsidRPr="002E6D8F">
        <w:rPr>
          <w:rStyle w:val="Strong"/>
          <w:b w:val="0"/>
          <w:bCs w:val="0"/>
        </w:rPr>
        <w:t>Tax revenue</w:t>
      </w:r>
      <w:r w:rsidRPr="002E6D8F">
        <w:t xml:space="preserve"> exhibited a nuanced relationship with county indebtedness. The FE model showed a positive coefficient (0.2982, p &lt; 0.01), suggesting that within-county increases in revenue over time may coincide with higher borrowing, potentially reflecting discretionary borrowing for development projects. Overall, this underscores the critical role of enhancing counties’ </w:t>
      </w:r>
      <w:r w:rsidRPr="002E6D8F">
        <w:rPr>
          <w:rStyle w:val="Strong"/>
          <w:b w:val="0"/>
          <w:bCs w:val="0"/>
        </w:rPr>
        <w:t xml:space="preserve">own-source revenue </w:t>
      </w:r>
      <w:proofErr w:type="spellStart"/>
      <w:r w:rsidRPr="002E6D8F">
        <w:rPr>
          <w:rStyle w:val="Strong"/>
          <w:b w:val="0"/>
          <w:bCs w:val="0"/>
        </w:rPr>
        <w:t>mobilisation</w:t>
      </w:r>
      <w:proofErr w:type="spellEnd"/>
      <w:r w:rsidRPr="002E6D8F">
        <w:t xml:space="preserve"> to sustainably manage debt.</w:t>
      </w:r>
    </w:p>
    <w:p w14:paraId="2FE2339E" w14:textId="77777777" w:rsidR="007C2944" w:rsidRPr="002E6D8F" w:rsidRDefault="00170B62">
      <w:pPr>
        <w:pStyle w:val="NormalWeb"/>
        <w:spacing w:line="360" w:lineRule="auto"/>
        <w:jc w:val="both"/>
      </w:pPr>
      <w:r w:rsidRPr="002E6D8F">
        <w:rPr>
          <w:rStyle w:val="Strong"/>
          <w:b w:val="0"/>
          <w:bCs w:val="0"/>
        </w:rPr>
        <w:t>Corruption levels</w:t>
      </w:r>
      <w:r w:rsidRPr="002E6D8F">
        <w:t xml:space="preserve"> were positively and significantly related to county indebtedness (FE: 0.2611, </w:t>
      </w:r>
      <w:r w:rsidRPr="002E6D8F">
        <w:rPr>
          <w:i/>
          <w:iCs/>
        </w:rPr>
        <w:t>p</w:t>
      </w:r>
      <w:r w:rsidRPr="002E6D8F">
        <w:t xml:space="preserve">&lt; 0.01). This suggests that weak governance, irregular expenditures, and financial mismanagement exacerbate debt accumulation, highlighting the need for stronger </w:t>
      </w:r>
      <w:r w:rsidRPr="002E6D8F">
        <w:rPr>
          <w:rStyle w:val="Strong"/>
          <w:b w:val="0"/>
          <w:bCs w:val="0"/>
        </w:rPr>
        <w:t>anti-corruption measures</w:t>
      </w:r>
      <w:r w:rsidRPr="002E6D8F">
        <w:t xml:space="preserve"> and improved accountability frameworks at the county level.</w:t>
      </w:r>
    </w:p>
    <w:p w14:paraId="13E3089F" w14:textId="77777777" w:rsidR="007C2944" w:rsidRPr="002E6D8F" w:rsidRDefault="00170B62">
      <w:pPr>
        <w:pStyle w:val="NormalWeb"/>
        <w:spacing w:line="360" w:lineRule="auto"/>
        <w:jc w:val="both"/>
      </w:pPr>
      <w:r w:rsidRPr="002E6D8F">
        <w:rPr>
          <w:rStyle w:val="Strong"/>
          <w:b w:val="0"/>
          <w:bCs w:val="0"/>
        </w:rPr>
        <w:t>Economic growth (GDP)</w:t>
      </w:r>
      <w:r w:rsidRPr="002E6D8F">
        <w:t xml:space="preserve">, on the other hand, was not a robust predictor of county debt. The FE model indicated a negative but insignificant effect (-0.0284, p = 0.099). These results imply that national-level economic recovery following the COVID-19 pandemic has not consistently </w:t>
      </w:r>
      <w:r w:rsidRPr="002E6D8F">
        <w:lastRenderedPageBreak/>
        <w:t>translated into lower county-level indebtedness, likely due to structural inefficiencies in revenue sharing and limited fiscal autonomy.</w:t>
      </w:r>
    </w:p>
    <w:p w14:paraId="07CE7589" w14:textId="77777777" w:rsidR="007C2944" w:rsidRPr="002E6D8F" w:rsidRDefault="00170B62">
      <w:pPr>
        <w:pStyle w:val="NormalWeb"/>
        <w:spacing w:line="360" w:lineRule="auto"/>
        <w:jc w:val="both"/>
        <w:rPr>
          <w:rFonts w:eastAsia="Calibri"/>
        </w:rPr>
      </w:pPr>
      <w:r w:rsidRPr="002E6D8F">
        <w:t xml:space="preserve">The study concludes that </w:t>
      </w:r>
      <w:r w:rsidRPr="002E6D8F">
        <w:rPr>
          <w:rStyle w:val="Strong"/>
          <w:b w:val="0"/>
          <w:bCs w:val="0"/>
        </w:rPr>
        <w:t>government expenditure, tax revenue, and corruption levels</w:t>
      </w:r>
      <w:r w:rsidRPr="002E6D8F">
        <w:t xml:space="preserve"> are the primary macroeconomic determinants of county governments' indebtedness in Kenya. Effective county-level debt management should </w:t>
      </w:r>
      <w:proofErr w:type="spellStart"/>
      <w:r w:rsidRPr="002E6D8F">
        <w:t>prioritise</w:t>
      </w:r>
      <w:proofErr w:type="spellEnd"/>
      <w:r w:rsidRPr="002E6D8F">
        <w:t xml:space="preserve"> </w:t>
      </w:r>
      <w:r w:rsidRPr="002E6D8F">
        <w:rPr>
          <w:rStyle w:val="Strong"/>
          <w:b w:val="0"/>
          <w:bCs w:val="0"/>
        </w:rPr>
        <w:t>fiscal discipline, enhanced revenue collection, and strengthened governance mechanisms</w:t>
      </w:r>
      <w:r w:rsidRPr="002E6D8F">
        <w:t>. National economic growth alone, without institutional reforms and prudent fiscal management, is insufficient to reduce subnational debt vulnerabilities.</w:t>
      </w:r>
    </w:p>
    <w:p w14:paraId="167FBDF9" w14:textId="77777777" w:rsidR="007C2944" w:rsidRPr="002E6D8F" w:rsidRDefault="006D3CE9">
      <w:pPr>
        <w:pStyle w:val="Heading2"/>
        <w:spacing w:before="0" w:line="360" w:lineRule="auto"/>
        <w:jc w:val="both"/>
        <w:rPr>
          <w:rFonts w:ascii="Times New Roman" w:hAnsi="Times New Roman"/>
          <w:b/>
          <w:color w:val="auto"/>
          <w:sz w:val="24"/>
          <w:szCs w:val="24"/>
          <w:lang w:val="en-US" w:eastAsia="en-US"/>
        </w:rPr>
      </w:pPr>
      <w:bookmarkStart w:id="94" w:name="_Toc207656795"/>
      <w:r>
        <w:rPr>
          <w:rFonts w:ascii="Times New Roman" w:hAnsi="Times New Roman"/>
          <w:b/>
          <w:color w:val="auto"/>
          <w:sz w:val="24"/>
          <w:szCs w:val="24"/>
          <w:lang w:val="en-US" w:eastAsia="en-US"/>
        </w:rPr>
        <w:t xml:space="preserve">5.2 </w:t>
      </w:r>
      <w:r w:rsidRPr="002E6D8F">
        <w:rPr>
          <w:rFonts w:ascii="Times New Roman" w:hAnsi="Times New Roman"/>
          <w:b/>
          <w:color w:val="auto"/>
          <w:sz w:val="24"/>
          <w:szCs w:val="24"/>
          <w:lang w:val="en-US" w:eastAsia="en-US"/>
        </w:rPr>
        <w:t>Recommendations</w:t>
      </w:r>
      <w:r w:rsidR="00170B62" w:rsidRPr="002E6D8F">
        <w:rPr>
          <w:rFonts w:ascii="Times New Roman" w:hAnsi="Times New Roman"/>
          <w:b/>
          <w:color w:val="auto"/>
          <w:sz w:val="24"/>
          <w:szCs w:val="24"/>
          <w:lang w:val="en-US" w:eastAsia="en-US"/>
        </w:rPr>
        <w:t xml:space="preserve"> of the study</w:t>
      </w:r>
      <w:bookmarkEnd w:id="94"/>
    </w:p>
    <w:p w14:paraId="3DA7AB96" w14:textId="77777777" w:rsidR="007C2944" w:rsidRPr="002E6D8F" w:rsidRDefault="00170B62">
      <w:pPr>
        <w:spacing w:before="0" w:beforeAutospacing="0" w:after="0" w:line="360" w:lineRule="auto"/>
        <w:jc w:val="both"/>
        <w:rPr>
          <w:sz w:val="24"/>
          <w:szCs w:val="24"/>
          <w:lang w:val="en-US" w:eastAsia="en-US"/>
        </w:rPr>
      </w:pPr>
      <w:r w:rsidRPr="002E6D8F">
        <w:rPr>
          <w:sz w:val="24"/>
          <w:szCs w:val="24"/>
          <w:lang w:val="en-US" w:eastAsia="en-US"/>
        </w:rPr>
        <w:t xml:space="preserve">Based on the findings derived from both descriptive and inferential analyses regarding county governments’ indebtedness in Kenya during the post-COVID-19 period, the study provides the following recommendations to improve fiscal sustainability, accountability, and efficient resource </w:t>
      </w:r>
      <w:proofErr w:type="spellStart"/>
      <w:r w:rsidRPr="002E6D8F">
        <w:rPr>
          <w:sz w:val="24"/>
          <w:szCs w:val="24"/>
          <w:lang w:val="en-US" w:eastAsia="en-US"/>
        </w:rPr>
        <w:t>utilisation</w:t>
      </w:r>
      <w:proofErr w:type="spellEnd"/>
      <w:r w:rsidRPr="002E6D8F">
        <w:rPr>
          <w:sz w:val="24"/>
          <w:szCs w:val="24"/>
          <w:lang w:val="en-US" w:eastAsia="en-US"/>
        </w:rPr>
        <w:t xml:space="preserve"> in the devolved units.</w:t>
      </w:r>
    </w:p>
    <w:p w14:paraId="646E60D2" w14:textId="77777777" w:rsidR="007C2944" w:rsidRPr="002E6D8F" w:rsidRDefault="007C2944">
      <w:pPr>
        <w:spacing w:before="0" w:beforeAutospacing="0" w:after="0" w:line="360" w:lineRule="auto"/>
        <w:jc w:val="both"/>
        <w:rPr>
          <w:sz w:val="24"/>
          <w:szCs w:val="24"/>
          <w:lang w:val="en-US" w:eastAsia="en-US"/>
        </w:rPr>
      </w:pPr>
    </w:p>
    <w:p w14:paraId="7985557E" w14:textId="77777777" w:rsidR="007C2944" w:rsidRPr="002E6D8F" w:rsidRDefault="00170B62">
      <w:pPr>
        <w:spacing w:before="0" w:beforeAutospacing="0" w:after="0" w:line="360" w:lineRule="auto"/>
        <w:jc w:val="both"/>
        <w:rPr>
          <w:sz w:val="24"/>
          <w:szCs w:val="24"/>
          <w:lang w:val="en-US" w:eastAsia="en-US"/>
        </w:rPr>
      </w:pPr>
      <w:r w:rsidRPr="002E6D8F">
        <w:rPr>
          <w:bCs/>
          <w:sz w:val="24"/>
          <w:szCs w:val="24"/>
          <w:lang w:val="en-US" w:eastAsia="en-US"/>
        </w:rPr>
        <w:t>The study recommends that county governments strengthen fiscal planning and discipline in expenditure management.</w:t>
      </w:r>
      <w:r w:rsidRPr="002E6D8F">
        <w:rPr>
          <w:sz w:val="24"/>
          <w:szCs w:val="24"/>
          <w:lang w:val="en-US" w:eastAsia="en-US"/>
        </w:rPr>
        <w:t xml:space="preserve"> Given the strong positive relationship between government expenditure and debt levels, counties must implement medium-term expenditure frameworks (MTEFs) and set firm ceilings on recurrent expenditures. Expenditure should be guided by realistic revenue forecasts and subjected to regular monitoring and evaluation to ensure efficiency and impact. Counties should also link spending to performance-based outcomes and </w:t>
      </w:r>
      <w:proofErr w:type="spellStart"/>
      <w:r w:rsidRPr="002E6D8F">
        <w:rPr>
          <w:sz w:val="24"/>
          <w:szCs w:val="24"/>
          <w:lang w:val="en-US" w:eastAsia="en-US"/>
        </w:rPr>
        <w:t>prioritise</w:t>
      </w:r>
      <w:proofErr w:type="spellEnd"/>
      <w:r w:rsidRPr="002E6D8F">
        <w:rPr>
          <w:sz w:val="24"/>
          <w:szCs w:val="24"/>
          <w:lang w:val="en-US" w:eastAsia="en-US"/>
        </w:rPr>
        <w:t xml:space="preserve"> development projects that offer long-term socio-economic benefits.</w:t>
      </w:r>
    </w:p>
    <w:p w14:paraId="0B2DB09F" w14:textId="77777777" w:rsidR="007C2944" w:rsidRPr="002E6D8F" w:rsidRDefault="007C2944">
      <w:pPr>
        <w:spacing w:before="0" w:beforeAutospacing="0" w:after="0" w:line="360" w:lineRule="auto"/>
        <w:jc w:val="both"/>
        <w:rPr>
          <w:sz w:val="24"/>
          <w:szCs w:val="24"/>
          <w:lang w:val="en-US" w:eastAsia="en-US"/>
        </w:rPr>
      </w:pPr>
    </w:p>
    <w:p w14:paraId="72DD8253" w14:textId="77777777" w:rsidR="007C2944" w:rsidRPr="002E6D8F" w:rsidRDefault="00170B62">
      <w:pPr>
        <w:spacing w:before="0" w:beforeAutospacing="0" w:line="360" w:lineRule="auto"/>
        <w:jc w:val="both"/>
        <w:rPr>
          <w:sz w:val="24"/>
          <w:szCs w:val="24"/>
          <w:lang w:val="en-US" w:eastAsia="en-US"/>
        </w:rPr>
      </w:pPr>
      <w:r w:rsidRPr="002E6D8F">
        <w:rPr>
          <w:bCs/>
          <w:sz w:val="24"/>
          <w:szCs w:val="24"/>
          <w:lang w:val="en-US" w:eastAsia="en-US"/>
        </w:rPr>
        <w:t xml:space="preserve">In addition, the study recommends that counties enhance the efficiency of tax revenue </w:t>
      </w:r>
      <w:proofErr w:type="spellStart"/>
      <w:r w:rsidRPr="002E6D8F">
        <w:rPr>
          <w:bCs/>
          <w:sz w:val="24"/>
          <w:szCs w:val="24"/>
          <w:lang w:val="en-US" w:eastAsia="en-US"/>
        </w:rPr>
        <w:t>utilisation</w:t>
      </w:r>
      <w:proofErr w:type="spellEnd"/>
      <w:r w:rsidRPr="002E6D8F">
        <w:rPr>
          <w:bCs/>
          <w:sz w:val="24"/>
          <w:szCs w:val="24"/>
          <w:lang w:val="en-US" w:eastAsia="en-US"/>
        </w:rPr>
        <w:t>.</w:t>
      </w:r>
      <w:r w:rsidRPr="002E6D8F">
        <w:rPr>
          <w:sz w:val="24"/>
          <w:szCs w:val="24"/>
          <w:lang w:val="en-US" w:eastAsia="en-US"/>
        </w:rPr>
        <w:t xml:space="preserve"> Although counties with high tax revenues were expected to reduce debt, the study revealed that these counties also had high debt levels. This implies that enhanced revenue does not automatically translate to prudent fiscal </w:t>
      </w:r>
      <w:proofErr w:type="spellStart"/>
      <w:r w:rsidRPr="002E6D8F">
        <w:rPr>
          <w:sz w:val="24"/>
          <w:szCs w:val="24"/>
          <w:lang w:val="en-US" w:eastAsia="en-US"/>
        </w:rPr>
        <w:t>behaviour</w:t>
      </w:r>
      <w:proofErr w:type="spellEnd"/>
      <w:r w:rsidRPr="002E6D8F">
        <w:rPr>
          <w:sz w:val="24"/>
          <w:szCs w:val="24"/>
          <w:lang w:val="en-US" w:eastAsia="en-US"/>
        </w:rPr>
        <w:t xml:space="preserve">. Therefore, counties should adopt integrated financial management systems (IFMIS) that align revenue </w:t>
      </w:r>
      <w:proofErr w:type="spellStart"/>
      <w:r w:rsidRPr="002E6D8F">
        <w:rPr>
          <w:sz w:val="24"/>
          <w:szCs w:val="24"/>
          <w:lang w:val="en-US" w:eastAsia="en-US"/>
        </w:rPr>
        <w:t>mobilisation</w:t>
      </w:r>
      <w:proofErr w:type="spellEnd"/>
      <w:r w:rsidRPr="002E6D8F">
        <w:rPr>
          <w:sz w:val="24"/>
          <w:szCs w:val="24"/>
          <w:lang w:val="en-US" w:eastAsia="en-US"/>
        </w:rPr>
        <w:t xml:space="preserve"> with targeted spending. Any revenue surplus should be directed toward reducing borrowing, financing development projects, or creating county </w:t>
      </w:r>
      <w:proofErr w:type="spellStart"/>
      <w:r w:rsidRPr="002E6D8F">
        <w:rPr>
          <w:sz w:val="24"/>
          <w:szCs w:val="24"/>
          <w:lang w:val="en-US" w:eastAsia="en-US"/>
        </w:rPr>
        <w:t>stabilisation</w:t>
      </w:r>
      <w:proofErr w:type="spellEnd"/>
      <w:r w:rsidRPr="002E6D8F">
        <w:rPr>
          <w:sz w:val="24"/>
          <w:szCs w:val="24"/>
          <w:lang w:val="en-US" w:eastAsia="en-US"/>
        </w:rPr>
        <w:t xml:space="preserve"> funds.</w:t>
      </w:r>
    </w:p>
    <w:p w14:paraId="36DD9DB1" w14:textId="77777777" w:rsidR="007C2944" w:rsidRPr="002E6D8F" w:rsidRDefault="00170B62" w:rsidP="00E45D1B">
      <w:pPr>
        <w:spacing w:before="0" w:beforeAutospacing="0" w:line="360" w:lineRule="auto"/>
        <w:jc w:val="both"/>
        <w:rPr>
          <w:sz w:val="24"/>
          <w:szCs w:val="24"/>
          <w:lang w:val="en-US" w:eastAsia="en-US"/>
        </w:rPr>
      </w:pPr>
      <w:r w:rsidRPr="002E6D8F">
        <w:rPr>
          <w:bCs/>
          <w:sz w:val="24"/>
          <w:szCs w:val="24"/>
          <w:lang w:val="en-US" w:eastAsia="en-US"/>
        </w:rPr>
        <w:lastRenderedPageBreak/>
        <w:t>Also, the study recommends that counties combat corruption and reinforce public financial governance mechanisms.</w:t>
      </w:r>
      <w:r w:rsidRPr="002E6D8F">
        <w:rPr>
          <w:sz w:val="24"/>
          <w:szCs w:val="24"/>
          <w:lang w:val="en-US" w:eastAsia="en-US"/>
        </w:rPr>
        <w:t xml:space="preserve"> The corruption level was found to have a statistically significant and positive relationship with county debt, indicating that corruption exacerbates debt accumulation. To counter this, counties should </w:t>
      </w:r>
      <w:proofErr w:type="spellStart"/>
      <w:r w:rsidRPr="002E6D8F">
        <w:rPr>
          <w:sz w:val="24"/>
          <w:szCs w:val="24"/>
          <w:lang w:val="en-US" w:eastAsia="en-US"/>
        </w:rPr>
        <w:t>digitise</w:t>
      </w:r>
      <w:proofErr w:type="spellEnd"/>
      <w:r w:rsidRPr="002E6D8F">
        <w:rPr>
          <w:sz w:val="24"/>
          <w:szCs w:val="24"/>
          <w:lang w:val="en-US" w:eastAsia="en-US"/>
        </w:rPr>
        <w:t xml:space="preserve"> procurement and finance systems, conduct real-time audits, and ensure that procurement laws and ethical standards are strictly enforced. Anti-corruption units at the county level should be empowered to monitor, investigate, and report misuse of public resources effectively.</w:t>
      </w:r>
    </w:p>
    <w:p w14:paraId="6EF76CBC" w14:textId="77777777" w:rsidR="007C2944" w:rsidRPr="002E6D8F" w:rsidRDefault="00170B62">
      <w:pPr>
        <w:spacing w:before="0" w:beforeAutospacing="0" w:after="0" w:line="360" w:lineRule="auto"/>
        <w:jc w:val="both"/>
        <w:rPr>
          <w:sz w:val="24"/>
          <w:szCs w:val="24"/>
          <w:lang w:val="en-US" w:eastAsia="en-US"/>
        </w:rPr>
      </w:pPr>
      <w:r w:rsidRPr="002E6D8F">
        <w:rPr>
          <w:bCs/>
          <w:sz w:val="24"/>
          <w:szCs w:val="24"/>
          <w:lang w:val="en-US" w:eastAsia="en-US"/>
        </w:rPr>
        <w:t xml:space="preserve">Further, the study recommends that counties </w:t>
      </w:r>
      <w:proofErr w:type="spellStart"/>
      <w:r w:rsidRPr="002E6D8F">
        <w:rPr>
          <w:bCs/>
          <w:sz w:val="24"/>
          <w:szCs w:val="24"/>
          <w:lang w:val="en-US" w:eastAsia="en-US"/>
        </w:rPr>
        <w:t>minimise</w:t>
      </w:r>
      <w:proofErr w:type="spellEnd"/>
      <w:r w:rsidRPr="002E6D8F">
        <w:rPr>
          <w:bCs/>
          <w:sz w:val="24"/>
          <w:szCs w:val="24"/>
          <w:lang w:val="en-US" w:eastAsia="en-US"/>
        </w:rPr>
        <w:t xml:space="preserve"> overreliance on debt financing and adopt sustainable borrowing practices.</w:t>
      </w:r>
      <w:r w:rsidRPr="002E6D8F">
        <w:rPr>
          <w:sz w:val="24"/>
          <w:szCs w:val="24"/>
          <w:lang w:val="en-US" w:eastAsia="en-US"/>
        </w:rPr>
        <w:t xml:space="preserve"> Since the findings show that borrowing is driven more by expenditure pressures than by developmental planning, counties should be guided by comprehensive debt sustainability strategies. Borrowing should only be pursued for projects with clear economic returns. Moreover, counties should explore alternative sources of finance such as municipal bonds, leasing arrangements, and partnerships with development agencies and the private sector. </w:t>
      </w:r>
      <w:r w:rsidRPr="002E6D8F">
        <w:rPr>
          <w:bCs/>
          <w:sz w:val="24"/>
          <w:szCs w:val="24"/>
          <w:lang w:val="en-US" w:eastAsia="en-US"/>
        </w:rPr>
        <w:t>Moreover, the study recommends that counties integrate economic growth strategies with inclusive and locally-driven development planning.</w:t>
      </w:r>
      <w:r w:rsidRPr="002E6D8F">
        <w:rPr>
          <w:sz w:val="24"/>
          <w:szCs w:val="24"/>
          <w:lang w:val="en-US" w:eastAsia="en-US"/>
        </w:rPr>
        <w:t xml:space="preserve"> Despite the observed GDP growth, the study found no significant link between economic expansion and lower county debt. This suggests that growth has not yet translated into meaningful local fiscal relief. Counties should therefore focus on building diverse local economies, supporting micro and small enterprises, expanding agricultural productivity, and creating enabling environments for business and investment to improve local revenues and reduce borrowing dependency.</w:t>
      </w:r>
    </w:p>
    <w:p w14:paraId="2513558B" w14:textId="77777777" w:rsidR="007C2944" w:rsidRPr="002E6D8F" w:rsidRDefault="007C2944">
      <w:pPr>
        <w:spacing w:before="0" w:beforeAutospacing="0" w:after="0" w:line="360" w:lineRule="auto"/>
        <w:jc w:val="both"/>
        <w:rPr>
          <w:sz w:val="24"/>
          <w:szCs w:val="24"/>
          <w:lang w:val="en-US" w:eastAsia="en-US"/>
        </w:rPr>
      </w:pPr>
    </w:p>
    <w:p w14:paraId="71C5890A" w14:textId="77777777" w:rsidR="007C2944" w:rsidRPr="002E6D8F" w:rsidRDefault="00170B62">
      <w:pPr>
        <w:spacing w:before="0" w:beforeAutospacing="0" w:after="0" w:line="360" w:lineRule="auto"/>
        <w:jc w:val="both"/>
        <w:rPr>
          <w:sz w:val="24"/>
          <w:szCs w:val="24"/>
          <w:lang w:val="en-US" w:eastAsia="en-US"/>
        </w:rPr>
      </w:pPr>
      <w:r w:rsidRPr="002E6D8F">
        <w:rPr>
          <w:bCs/>
          <w:sz w:val="24"/>
          <w:szCs w:val="24"/>
          <w:lang w:val="en-US" w:eastAsia="en-US"/>
        </w:rPr>
        <w:t>The study recommends that county officials undergo continuous capacity building in public finance management and debt oversight.</w:t>
      </w:r>
      <w:r w:rsidRPr="002E6D8F">
        <w:rPr>
          <w:sz w:val="24"/>
          <w:szCs w:val="24"/>
          <w:lang w:val="en-US" w:eastAsia="en-US"/>
        </w:rPr>
        <w:t xml:space="preserve"> A technically competent workforce is essential for sound fiscal management. County executives and assemblies should be equipped with knowledge in debt analysis, budget formulation, revenue forecasting, and expenditure tracking. The National Treasury, in collaboration with institutions like the Commission on Revenue Allocation (CRA) and the Controller of Budget, should provide structured training and mentorship programs.</w:t>
      </w:r>
    </w:p>
    <w:p w14:paraId="422732C7" w14:textId="77777777" w:rsidR="007C2944" w:rsidRPr="00B025FE" w:rsidRDefault="00B025FE">
      <w:pPr>
        <w:pStyle w:val="Heading2"/>
        <w:spacing w:before="0" w:line="360" w:lineRule="auto"/>
        <w:jc w:val="both"/>
        <w:rPr>
          <w:rFonts w:ascii="Times New Roman" w:hAnsi="Times New Roman"/>
          <w:b/>
          <w:color w:val="auto"/>
          <w:sz w:val="24"/>
          <w:szCs w:val="24"/>
          <w:lang w:val="en-US" w:eastAsia="en-US"/>
        </w:rPr>
      </w:pPr>
      <w:bookmarkStart w:id="95" w:name="_Toc207656796"/>
      <w:r w:rsidRPr="00B025FE">
        <w:rPr>
          <w:rFonts w:ascii="Times New Roman" w:eastAsia="Times New Roman" w:hAnsi="Times New Roman"/>
          <w:b/>
          <w:color w:val="auto"/>
          <w:sz w:val="24"/>
          <w:szCs w:val="24"/>
          <w:lang w:val="en-US" w:eastAsia="en-US"/>
        </w:rPr>
        <w:t xml:space="preserve">5.3 </w:t>
      </w:r>
      <w:r w:rsidR="00170B62" w:rsidRPr="00B025FE">
        <w:rPr>
          <w:rFonts w:ascii="Times New Roman" w:hAnsi="Times New Roman"/>
          <w:b/>
          <w:color w:val="auto"/>
          <w:sz w:val="24"/>
          <w:szCs w:val="24"/>
          <w:lang w:val="en-US" w:eastAsia="en-US"/>
        </w:rPr>
        <w:t>Recommendation for Further Studies</w:t>
      </w:r>
      <w:bookmarkEnd w:id="95"/>
    </w:p>
    <w:p w14:paraId="74D3D6BB" w14:textId="77777777" w:rsidR="00B025FE" w:rsidRDefault="00170B62">
      <w:pPr>
        <w:spacing w:before="0" w:beforeAutospacing="0" w:after="0" w:line="360" w:lineRule="auto"/>
        <w:jc w:val="both"/>
        <w:rPr>
          <w:sz w:val="24"/>
          <w:szCs w:val="24"/>
          <w:lang w:val="en-GB"/>
        </w:rPr>
      </w:pPr>
      <w:r w:rsidRPr="002E6D8F">
        <w:rPr>
          <w:sz w:val="24"/>
          <w:szCs w:val="24"/>
          <w:lang w:val="en-US"/>
        </w:rPr>
        <w:t>G</w:t>
      </w:r>
      <w:r w:rsidRPr="002E6D8F">
        <w:rPr>
          <w:sz w:val="24"/>
          <w:szCs w:val="24"/>
        </w:rPr>
        <w:t>iven the scope and findings of this study, further research is recommended to explore the long-term effects of count</w:t>
      </w:r>
      <w:proofErr w:type="spellStart"/>
      <w:r w:rsidRPr="002E6D8F">
        <w:rPr>
          <w:sz w:val="24"/>
          <w:szCs w:val="24"/>
          <w:lang w:val="en-US"/>
        </w:rPr>
        <w:t>ies’</w:t>
      </w:r>
      <w:proofErr w:type="spellEnd"/>
      <w:r w:rsidRPr="002E6D8F">
        <w:rPr>
          <w:sz w:val="24"/>
          <w:szCs w:val="24"/>
        </w:rPr>
        <w:t xml:space="preserve"> indebtedness on service delivery and socio-economic development at </w:t>
      </w:r>
      <w:r w:rsidRPr="002E6D8F">
        <w:rPr>
          <w:sz w:val="24"/>
          <w:szCs w:val="24"/>
        </w:rPr>
        <w:lastRenderedPageBreak/>
        <w:t>the grassroots level. Future studies could employ qualitative approaches to capture perspectives from county officials, financial controllers, and local communities on debt management practices and fiscal transparency. Additionally, comparative research across different countries with similar devolved governance systems would offer deeper insights into best practices for managing subnational debt. Expanding the timeframe beyond the post-COVID-19 period could also reveal whether the trends observed are temporary or indicative of systemic fiscal challenges within county governments.</w:t>
      </w:r>
    </w:p>
    <w:p w14:paraId="7DE1A6FC" w14:textId="77777777" w:rsidR="007C2944" w:rsidRPr="002E6D8F" w:rsidRDefault="00170B62" w:rsidP="002E6D8F">
      <w:pPr>
        <w:pStyle w:val="Heading1"/>
        <w:spacing w:before="0" w:after="240" w:line="240" w:lineRule="auto"/>
        <w:jc w:val="both"/>
        <w:rPr>
          <w:rFonts w:ascii="Times New Roman" w:hAnsi="Times New Roman"/>
          <w:b/>
          <w:color w:val="auto"/>
          <w:sz w:val="24"/>
          <w:szCs w:val="24"/>
          <w:lang w:val="en-GB"/>
        </w:rPr>
      </w:pPr>
      <w:bookmarkStart w:id="96" w:name="_Toc207656797"/>
      <w:r w:rsidRPr="002E6D8F">
        <w:rPr>
          <w:rFonts w:ascii="Times New Roman" w:hAnsi="Times New Roman"/>
          <w:b/>
          <w:color w:val="auto"/>
          <w:sz w:val="24"/>
          <w:szCs w:val="24"/>
        </w:rPr>
        <w:t>References</w:t>
      </w:r>
      <w:bookmarkEnd w:id="96"/>
    </w:p>
    <w:p w14:paraId="54D016D8" w14:textId="77777777"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Ahmed, F., &amp; Rahman, F. U. (2019). Impact of Government Borrowing on Financial Depth: Evidence from Pakistan. </w:t>
      </w:r>
      <w:r w:rsidRPr="002E6D8F">
        <w:rPr>
          <w:i/>
          <w:iCs/>
          <w:sz w:val="24"/>
          <w:szCs w:val="24"/>
        </w:rPr>
        <w:t>Journal of Business and Economic Options</w:t>
      </w:r>
      <w:r w:rsidRPr="002E6D8F">
        <w:rPr>
          <w:sz w:val="24"/>
          <w:szCs w:val="24"/>
        </w:rPr>
        <w:t xml:space="preserve">, </w:t>
      </w:r>
      <w:r w:rsidRPr="002E6D8F">
        <w:rPr>
          <w:i/>
          <w:iCs/>
          <w:sz w:val="24"/>
          <w:szCs w:val="24"/>
        </w:rPr>
        <w:t>2</w:t>
      </w:r>
      <w:r w:rsidRPr="002E6D8F">
        <w:rPr>
          <w:sz w:val="24"/>
          <w:szCs w:val="24"/>
        </w:rPr>
        <w:t>(2), 88-94.</w:t>
      </w:r>
    </w:p>
    <w:p w14:paraId="4E093BB4" w14:textId="77777777" w:rsidR="007E25EA"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Al Omari, A. A. (2021). The role of secondary data in economic research: Advantages and limitations. </w:t>
      </w:r>
      <w:r w:rsidRPr="002E6D8F">
        <w:rPr>
          <w:i/>
          <w:iCs/>
          <w:sz w:val="24"/>
          <w:szCs w:val="24"/>
        </w:rPr>
        <w:t>Journal of Economic Studies, 48</w:t>
      </w:r>
      <w:r w:rsidRPr="002E6D8F">
        <w:rPr>
          <w:sz w:val="24"/>
          <w:szCs w:val="24"/>
        </w:rPr>
        <w:t xml:space="preserve">(3), 320–335. </w:t>
      </w:r>
    </w:p>
    <w:p w14:paraId="53443D0F" w14:textId="77777777" w:rsidR="00114D14"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Beenstock, M., &amp; Felsenstein, D. (2019). </w:t>
      </w:r>
      <w:r w:rsidRPr="002E6D8F">
        <w:rPr>
          <w:i/>
          <w:iCs/>
          <w:sz w:val="24"/>
          <w:szCs w:val="24"/>
        </w:rPr>
        <w:t>The econometric analysis of non-stationary spatial panel data</w:t>
      </w:r>
      <w:r w:rsidRPr="002E6D8F">
        <w:rPr>
          <w:sz w:val="24"/>
          <w:szCs w:val="24"/>
        </w:rPr>
        <w:t xml:space="preserve"> (pp. 1-19). Springer International Publishing.</w:t>
      </w:r>
      <w:r w:rsidRPr="002E6D8F">
        <w:rPr>
          <w:sz w:val="24"/>
          <w:szCs w:val="24"/>
          <w:lang w:val="en-GB"/>
        </w:rPr>
        <w:t>.</w:t>
      </w:r>
    </w:p>
    <w:p w14:paraId="7BE74C07" w14:textId="77777777" w:rsidR="00114D14"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Bohn, </w:t>
      </w:r>
      <w:r w:rsidRPr="002E6D8F">
        <w:rPr>
          <w:sz w:val="24"/>
          <w:szCs w:val="24"/>
          <w:lang w:val="en-GB"/>
        </w:rPr>
        <w:t>H. (</w:t>
      </w:r>
      <w:r w:rsidRPr="002E6D8F">
        <w:rPr>
          <w:sz w:val="24"/>
          <w:szCs w:val="24"/>
        </w:rPr>
        <w:t>1998</w:t>
      </w:r>
      <w:r w:rsidRPr="002E6D8F">
        <w:rPr>
          <w:sz w:val="24"/>
          <w:szCs w:val="24"/>
          <w:lang w:val="en-GB"/>
        </w:rPr>
        <w:t>)</w:t>
      </w:r>
      <w:r w:rsidRPr="002E6D8F">
        <w:rPr>
          <w:sz w:val="24"/>
          <w:szCs w:val="24"/>
        </w:rPr>
        <w:t xml:space="preserve">. </w:t>
      </w:r>
      <w:hyperlink r:id="rId14" w:history="1">
        <w:r w:rsidRPr="002E6D8F">
          <w:rPr>
            <w:rStyle w:val="Hyperlink"/>
            <w:bCs/>
            <w:color w:val="auto"/>
            <w:sz w:val="24"/>
            <w:szCs w:val="24"/>
            <w:u w:val="none"/>
          </w:rPr>
          <w:t>The Behaviour of U. S. Public Debt and Deficits</w:t>
        </w:r>
      </w:hyperlink>
      <w:r w:rsidRPr="002E6D8F">
        <w:rPr>
          <w:sz w:val="24"/>
          <w:szCs w:val="24"/>
          <w:lang w:val="en-GB"/>
        </w:rPr>
        <w:t xml:space="preserve">. </w:t>
      </w:r>
      <w:r w:rsidRPr="002E6D8F">
        <w:rPr>
          <w:sz w:val="24"/>
          <w:szCs w:val="24"/>
        </w:rPr>
        <w:t xml:space="preserve"> </w:t>
      </w:r>
      <w:hyperlink r:id="rId15" w:history="1">
        <w:r w:rsidRPr="002E6D8F">
          <w:rPr>
            <w:rStyle w:val="Hyperlink"/>
            <w:color w:val="auto"/>
            <w:sz w:val="24"/>
            <w:szCs w:val="24"/>
            <w:u w:val="none"/>
          </w:rPr>
          <w:t>The Quarterly Journal of Economics</w:t>
        </w:r>
      </w:hyperlink>
      <w:r w:rsidRPr="002E6D8F">
        <w:rPr>
          <w:sz w:val="24"/>
          <w:szCs w:val="24"/>
        </w:rPr>
        <w:t>, 113(3), 949-963.</w:t>
      </w:r>
    </w:p>
    <w:p w14:paraId="735C91BD" w14:textId="77777777"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Bole, M. K. (2023). Macroeconomic determinants of public debt accumulation: A county-level perspective. </w:t>
      </w:r>
      <w:r w:rsidRPr="002E6D8F">
        <w:rPr>
          <w:i/>
          <w:iCs/>
          <w:sz w:val="24"/>
          <w:szCs w:val="24"/>
        </w:rPr>
        <w:t>African Journal of Public Policy and Economics,</w:t>
      </w:r>
      <w:r w:rsidRPr="002E6D8F">
        <w:rPr>
          <w:sz w:val="24"/>
          <w:szCs w:val="24"/>
        </w:rPr>
        <w:t xml:space="preserve"> 15(2), 101–118. </w:t>
      </w:r>
    </w:p>
    <w:p w14:paraId="415000C3" w14:textId="77777777"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Breitung, J., &amp; Pesaran, M. H. (2008). Unit roots and cointegration in panels. In </w:t>
      </w:r>
      <w:r w:rsidRPr="002E6D8F">
        <w:rPr>
          <w:i/>
          <w:iCs/>
          <w:sz w:val="24"/>
          <w:szCs w:val="24"/>
        </w:rPr>
        <w:t>The econometrics of panel data: Fundamentals and recent developments in theory and practice</w:t>
      </w:r>
      <w:r w:rsidRPr="002E6D8F">
        <w:rPr>
          <w:sz w:val="24"/>
          <w:szCs w:val="24"/>
        </w:rPr>
        <w:t xml:space="preserve"> (pp. 279-322). Berlin, Heidelberg: Springer Berlin Heidelberg.</w:t>
      </w:r>
    </w:p>
    <w:p w14:paraId="353A117B" w14:textId="77777777"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Chen, J., &amp; Lin, S. (2021). The impact of macroeconomic determinants on debt accumulation: A global perspective. </w:t>
      </w:r>
      <w:r w:rsidRPr="002E6D8F">
        <w:rPr>
          <w:i/>
          <w:iCs/>
          <w:sz w:val="24"/>
          <w:szCs w:val="24"/>
        </w:rPr>
        <w:t>Journal of Economic Studies,</w:t>
      </w:r>
      <w:r w:rsidRPr="002E6D8F">
        <w:rPr>
          <w:sz w:val="24"/>
          <w:szCs w:val="24"/>
        </w:rPr>
        <w:t xml:space="preserve"> 48(4), 560-578.</w:t>
      </w:r>
    </w:p>
    <w:p w14:paraId="0FBD70F5" w14:textId="77777777"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Cheruiyot, M. P. (2018). </w:t>
      </w:r>
      <w:r w:rsidRPr="002E6D8F">
        <w:rPr>
          <w:i/>
          <w:iCs/>
          <w:sz w:val="24"/>
          <w:szCs w:val="24"/>
        </w:rPr>
        <w:t>Effect of public financial management practices on performance of county governments in Kenya</w:t>
      </w:r>
      <w:r w:rsidRPr="002E6D8F">
        <w:rPr>
          <w:sz w:val="24"/>
          <w:szCs w:val="24"/>
        </w:rPr>
        <w:t xml:space="preserve"> (Doctoral dissertation, JKUAT-COHRED).</w:t>
      </w:r>
    </w:p>
    <w:p w14:paraId="71A30F3D" w14:textId="77777777"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D’Erasmo, P. N., Mendoza, E. G., &amp; Zhang, J. (2016). </w:t>
      </w:r>
      <w:r w:rsidRPr="002E6D8F">
        <w:rPr>
          <w:i/>
          <w:iCs/>
          <w:sz w:val="24"/>
          <w:szCs w:val="24"/>
        </w:rPr>
        <w:t>What is a sustainable public debt?</w:t>
      </w:r>
      <w:r w:rsidRPr="002E6D8F">
        <w:rPr>
          <w:sz w:val="24"/>
          <w:szCs w:val="24"/>
        </w:rPr>
        <w:t xml:space="preserve"> In J. B. Taylor &amp; H. Uhlig (Eds.), </w:t>
      </w:r>
      <w:r w:rsidRPr="002E6D8F">
        <w:rPr>
          <w:i/>
          <w:iCs/>
          <w:sz w:val="24"/>
          <w:szCs w:val="24"/>
        </w:rPr>
        <w:t>Handbook of Macroeconomics</w:t>
      </w:r>
      <w:r w:rsidRPr="002E6D8F">
        <w:rPr>
          <w:sz w:val="24"/>
          <w:szCs w:val="24"/>
        </w:rPr>
        <w:t xml:space="preserve"> (Vol. 2, pp. 2493–2597). </w:t>
      </w:r>
    </w:p>
    <w:p w14:paraId="178C85C2" w14:textId="77777777" w:rsidR="007E25EA"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Ewusi, </w:t>
      </w:r>
      <w:r w:rsidRPr="002E6D8F">
        <w:rPr>
          <w:sz w:val="24"/>
          <w:szCs w:val="24"/>
          <w:lang w:val="en-GB"/>
        </w:rPr>
        <w:t xml:space="preserve">A. D. (2024). </w:t>
      </w:r>
      <w:r w:rsidRPr="002E6D8F">
        <w:rPr>
          <w:sz w:val="24"/>
          <w:szCs w:val="24"/>
        </w:rPr>
        <w:t>An Empirical Analysis of Public Debt Sustainability in Kenya. Asian Journal of Economics, Business and Accounting, 24</w:t>
      </w:r>
      <w:r w:rsidRPr="002E6D8F">
        <w:rPr>
          <w:sz w:val="24"/>
          <w:szCs w:val="24"/>
          <w:lang w:val="en-GB"/>
        </w:rPr>
        <w:t xml:space="preserve"> (</w:t>
      </w:r>
      <w:r w:rsidRPr="002E6D8F">
        <w:rPr>
          <w:sz w:val="24"/>
          <w:szCs w:val="24"/>
        </w:rPr>
        <w:t>9</w:t>
      </w:r>
      <w:r w:rsidRPr="002E6D8F">
        <w:rPr>
          <w:sz w:val="24"/>
          <w:szCs w:val="24"/>
          <w:lang w:val="en-GB"/>
        </w:rPr>
        <w:t>)</w:t>
      </w:r>
      <w:r w:rsidRPr="002E6D8F">
        <w:rPr>
          <w:sz w:val="24"/>
          <w:szCs w:val="24"/>
        </w:rPr>
        <w:t>,</w:t>
      </w:r>
      <w:r w:rsidRPr="002E6D8F">
        <w:rPr>
          <w:sz w:val="24"/>
          <w:szCs w:val="24"/>
          <w:lang w:val="en-GB"/>
        </w:rPr>
        <w:t xml:space="preserve"> 350-366.</w:t>
      </w:r>
    </w:p>
    <w:p w14:paraId="04F41ADA" w14:textId="77777777" w:rsidR="007E25EA"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lastRenderedPageBreak/>
        <w:t xml:space="preserve">Fengze, Y. (2023). A Theoretical and Empirical Study on the Impact of Local Government Debt on Economic Growth. </w:t>
      </w:r>
      <w:r w:rsidRPr="002E6D8F">
        <w:rPr>
          <w:i/>
          <w:iCs/>
          <w:sz w:val="24"/>
          <w:szCs w:val="24"/>
        </w:rPr>
        <w:t>International Journal of English Literature and Social Sciences</w:t>
      </w:r>
      <w:r w:rsidRPr="002E6D8F">
        <w:rPr>
          <w:sz w:val="24"/>
          <w:szCs w:val="24"/>
        </w:rPr>
        <w:t xml:space="preserve">, </w:t>
      </w:r>
      <w:r w:rsidRPr="002E6D8F">
        <w:rPr>
          <w:i/>
          <w:iCs/>
          <w:sz w:val="24"/>
          <w:szCs w:val="24"/>
        </w:rPr>
        <w:t>8</w:t>
      </w:r>
      <w:r w:rsidRPr="002E6D8F">
        <w:rPr>
          <w:sz w:val="24"/>
          <w:szCs w:val="24"/>
        </w:rPr>
        <w:t>(1), 1-18.</w:t>
      </w:r>
    </w:p>
    <w:p w14:paraId="23B6D997" w14:textId="77777777" w:rsidR="00CC363C"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Hausman, J. (1978) Specification Tests in Econometrics. Econometrica, 46, 1251-1271.</w:t>
      </w:r>
    </w:p>
    <w:p w14:paraId="38C638C4" w14:textId="77777777" w:rsidR="007E25EA"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International Monetary Fund (IMF). (2023). </w:t>
      </w:r>
      <w:r w:rsidRPr="002E6D8F">
        <w:rPr>
          <w:i/>
          <w:iCs/>
          <w:sz w:val="24"/>
          <w:szCs w:val="24"/>
        </w:rPr>
        <w:t>Economic impact and debt crisis in the Middle East.</w:t>
      </w:r>
      <w:r w:rsidRPr="002E6D8F">
        <w:rPr>
          <w:sz w:val="24"/>
          <w:szCs w:val="24"/>
        </w:rPr>
        <w:t xml:space="preserve"> International Monetary Fund. </w:t>
      </w:r>
      <w:hyperlink r:id="rId16" w:history="1">
        <w:r w:rsidRPr="002E6D8F">
          <w:rPr>
            <w:rStyle w:val="Hyperlink"/>
            <w:color w:val="auto"/>
            <w:sz w:val="24"/>
            <w:szCs w:val="24"/>
            <w:u w:val="none"/>
          </w:rPr>
          <w:t>https://www.imf.org/en/Regions/Middle-East-and-Central-Asia</w:t>
        </w:r>
      </w:hyperlink>
    </w:p>
    <w:p w14:paraId="277C98E9" w14:textId="77777777" w:rsidR="007E25EA" w:rsidRPr="002E6D8F" w:rsidRDefault="00170B62" w:rsidP="002E6D8F">
      <w:pPr>
        <w:spacing w:before="0" w:beforeAutospacing="0" w:after="0" w:line="360" w:lineRule="auto"/>
        <w:ind w:left="720" w:hanging="720"/>
        <w:jc w:val="both"/>
        <w:rPr>
          <w:sz w:val="24"/>
          <w:szCs w:val="24"/>
        </w:rPr>
      </w:pPr>
      <w:r w:rsidRPr="002E6D8F">
        <w:rPr>
          <w:sz w:val="24"/>
          <w:szCs w:val="24"/>
        </w:rPr>
        <w:t xml:space="preserve">Kamau, M., Muthee, A., &amp; Wanjala, J. (2021). Government expenditure and fiscal sustainability in Kenya’s devolved units. </w:t>
      </w:r>
      <w:r w:rsidRPr="002E6D8F">
        <w:rPr>
          <w:i/>
          <w:iCs/>
          <w:sz w:val="24"/>
          <w:szCs w:val="24"/>
        </w:rPr>
        <w:t>African Journal of Economic Policy,</w:t>
      </w:r>
      <w:r w:rsidRPr="002E6D8F">
        <w:rPr>
          <w:sz w:val="24"/>
          <w:szCs w:val="24"/>
        </w:rPr>
        <w:t xml:space="preserve"> 28(1), 87–104.</w:t>
      </w:r>
    </w:p>
    <w:p w14:paraId="7202F716" w14:textId="77777777" w:rsidR="00114D14"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Levin, A., Lin, C. F., &amp; Chu, C. S. J. (2002). Unit root tests in panel data: Asymptotic and finite-sample properties. </w:t>
      </w:r>
      <w:r w:rsidRPr="002E6D8F">
        <w:rPr>
          <w:i/>
          <w:iCs/>
          <w:sz w:val="24"/>
          <w:szCs w:val="24"/>
        </w:rPr>
        <w:t>Journal of Econometrics, 108</w:t>
      </w:r>
      <w:r w:rsidRPr="002E6D8F">
        <w:rPr>
          <w:sz w:val="24"/>
          <w:szCs w:val="24"/>
        </w:rPr>
        <w:t xml:space="preserve">(1), 1–24. </w:t>
      </w:r>
      <w:r w:rsidRPr="002E6D8F">
        <w:rPr>
          <w:sz w:val="24"/>
          <w:szCs w:val="24"/>
          <w:lang w:val="en-GB"/>
        </w:rPr>
        <w:t xml:space="preserve"> </w:t>
      </w:r>
    </w:p>
    <w:p w14:paraId="76CDFC07" w14:textId="77777777" w:rsidR="009E1898"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Kamundia, S.W., Gitahi, S. </w:t>
      </w:r>
      <w:r w:rsidRPr="002E6D8F">
        <w:rPr>
          <w:sz w:val="24"/>
          <w:szCs w:val="24"/>
          <w:lang w:val="en-GB"/>
        </w:rPr>
        <w:t>&amp;</w:t>
      </w:r>
      <w:r w:rsidRPr="002E6D8F">
        <w:rPr>
          <w:sz w:val="24"/>
          <w:szCs w:val="24"/>
        </w:rPr>
        <w:t xml:space="preserve"> Mwilaria, S.M. (2015)</w:t>
      </w:r>
      <w:r w:rsidRPr="002E6D8F">
        <w:rPr>
          <w:sz w:val="24"/>
          <w:szCs w:val="24"/>
          <w:lang w:val="en-GB"/>
        </w:rPr>
        <w:t xml:space="preserve">. </w:t>
      </w:r>
      <w:r w:rsidRPr="002E6D8F">
        <w:rPr>
          <w:sz w:val="24"/>
          <w:szCs w:val="24"/>
        </w:rPr>
        <w:t xml:space="preserve">The effects of public debt on private investments in Kenya (1980-2013), </w:t>
      </w:r>
      <w:r w:rsidRPr="002E6D8F">
        <w:rPr>
          <w:i/>
          <w:iCs/>
          <w:sz w:val="24"/>
          <w:szCs w:val="24"/>
        </w:rPr>
        <w:t>International Journal of Development and Sustainability</w:t>
      </w:r>
      <w:r w:rsidRPr="002E6D8F">
        <w:rPr>
          <w:sz w:val="24"/>
          <w:szCs w:val="24"/>
        </w:rPr>
        <w:t>, 4</w:t>
      </w:r>
      <w:r w:rsidRPr="002E6D8F">
        <w:rPr>
          <w:sz w:val="24"/>
          <w:szCs w:val="24"/>
          <w:lang w:val="en-GB"/>
        </w:rPr>
        <w:t>(</w:t>
      </w:r>
      <w:r w:rsidRPr="002E6D8F">
        <w:rPr>
          <w:sz w:val="24"/>
          <w:szCs w:val="24"/>
        </w:rPr>
        <w:t>8</w:t>
      </w:r>
      <w:r w:rsidRPr="002E6D8F">
        <w:rPr>
          <w:sz w:val="24"/>
          <w:szCs w:val="24"/>
          <w:lang w:val="en-GB"/>
        </w:rPr>
        <w:t>)</w:t>
      </w:r>
      <w:r w:rsidRPr="002E6D8F">
        <w:rPr>
          <w:sz w:val="24"/>
          <w:szCs w:val="24"/>
        </w:rPr>
        <w:t>,  860-871.</w:t>
      </w:r>
    </w:p>
    <w:p w14:paraId="574A8E41" w14:textId="77777777" w:rsidR="007E25EA" w:rsidRPr="002E6D8F" w:rsidRDefault="00170B62" w:rsidP="002E6D8F">
      <w:pPr>
        <w:spacing w:before="0" w:beforeAutospacing="0" w:after="0" w:line="360" w:lineRule="auto"/>
        <w:ind w:leftChars="28" w:left="782" w:hanging="720"/>
        <w:jc w:val="both"/>
        <w:rPr>
          <w:rStyle w:val="15"/>
          <w:color w:val="auto"/>
          <w:sz w:val="24"/>
          <w:szCs w:val="24"/>
          <w:u w:val="none"/>
          <w:lang w:val="en-GB"/>
        </w:rPr>
      </w:pPr>
      <w:r w:rsidRPr="002E6D8F">
        <w:rPr>
          <w:rStyle w:val="15"/>
          <w:color w:val="auto"/>
          <w:sz w:val="24"/>
          <w:szCs w:val="24"/>
          <w:u w:val="none"/>
        </w:rPr>
        <w:t xml:space="preserve">Kibet, </w:t>
      </w:r>
      <w:r w:rsidRPr="002E6D8F">
        <w:rPr>
          <w:rStyle w:val="15"/>
          <w:color w:val="auto"/>
          <w:sz w:val="24"/>
          <w:szCs w:val="24"/>
          <w:u w:val="none"/>
          <w:lang w:val="en-GB"/>
        </w:rPr>
        <w:t xml:space="preserve">L., Mose, N., </w:t>
      </w:r>
      <w:proofErr w:type="gramStart"/>
      <w:r w:rsidRPr="002E6D8F">
        <w:rPr>
          <w:rStyle w:val="15"/>
          <w:color w:val="auto"/>
          <w:sz w:val="24"/>
          <w:szCs w:val="24"/>
          <w:u w:val="none"/>
          <w:lang w:val="en-GB"/>
        </w:rPr>
        <w:t xml:space="preserve">&amp; </w:t>
      </w:r>
      <w:r w:rsidRPr="002E6D8F">
        <w:rPr>
          <w:rStyle w:val="15"/>
          <w:color w:val="auto"/>
          <w:sz w:val="24"/>
          <w:szCs w:val="24"/>
          <w:u w:val="none"/>
        </w:rPr>
        <w:t xml:space="preserve"> Kiprop</w:t>
      </w:r>
      <w:proofErr w:type="gramEnd"/>
      <w:r w:rsidRPr="002E6D8F">
        <w:rPr>
          <w:rStyle w:val="15"/>
          <w:color w:val="auto"/>
          <w:sz w:val="24"/>
          <w:szCs w:val="24"/>
          <w:u w:val="none"/>
        </w:rPr>
        <w:t xml:space="preserve">, </w:t>
      </w:r>
      <w:r w:rsidRPr="002E6D8F">
        <w:rPr>
          <w:rStyle w:val="15"/>
          <w:color w:val="auto"/>
          <w:sz w:val="24"/>
          <w:szCs w:val="24"/>
          <w:u w:val="none"/>
          <w:lang w:val="en-GB"/>
        </w:rPr>
        <w:t xml:space="preserve">S.  (2019). </w:t>
      </w:r>
      <w:r w:rsidRPr="002E6D8F">
        <w:rPr>
          <w:rStyle w:val="15"/>
          <w:color w:val="auto"/>
          <w:sz w:val="24"/>
          <w:szCs w:val="24"/>
          <w:u w:val="none"/>
        </w:rPr>
        <w:t>The Effect of County Government Expenditure on Gross County Product in Kenya: A Panel Data Analysis. African Journal of Business Management</w:t>
      </w:r>
      <w:r w:rsidRPr="002E6D8F">
        <w:rPr>
          <w:rStyle w:val="15"/>
          <w:color w:val="auto"/>
          <w:sz w:val="24"/>
          <w:szCs w:val="24"/>
          <w:u w:val="none"/>
          <w:lang w:val="en-GB"/>
        </w:rPr>
        <w:t>, 13(13), 428-437.</w:t>
      </w:r>
      <w:r w:rsidRPr="002E6D8F">
        <w:rPr>
          <w:rStyle w:val="15"/>
          <w:color w:val="auto"/>
          <w:sz w:val="24"/>
          <w:szCs w:val="24"/>
          <w:u w:val="none"/>
        </w:rPr>
        <w:t xml:space="preserve"> </w:t>
      </w:r>
    </w:p>
    <w:p w14:paraId="62403B3D" w14:textId="77777777" w:rsidR="002E6D8F"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Makin, A. J., &amp; Layton, A. (2021). The global fiscal response to COVID-19: Risks and repercussions. </w:t>
      </w:r>
      <w:r w:rsidRPr="002E6D8F">
        <w:rPr>
          <w:i/>
          <w:iCs/>
          <w:sz w:val="24"/>
          <w:szCs w:val="24"/>
        </w:rPr>
        <w:t>Economic Analysis and Policy</w:t>
      </w:r>
      <w:r w:rsidRPr="002E6D8F">
        <w:rPr>
          <w:sz w:val="24"/>
          <w:szCs w:val="24"/>
        </w:rPr>
        <w:t xml:space="preserve">, </w:t>
      </w:r>
      <w:r w:rsidRPr="002E6D8F">
        <w:rPr>
          <w:i/>
          <w:iCs/>
          <w:sz w:val="24"/>
          <w:szCs w:val="24"/>
        </w:rPr>
        <w:t>69</w:t>
      </w:r>
      <w:r w:rsidRPr="002E6D8F">
        <w:rPr>
          <w:sz w:val="24"/>
          <w:szCs w:val="24"/>
        </w:rPr>
        <w:t>, 340-349.</w:t>
      </w:r>
    </w:p>
    <w:p w14:paraId="552D7504" w14:textId="77777777" w:rsidR="002E6D8F"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Mbate, M. (2013).  </w:t>
      </w:r>
      <w:hyperlink r:id="rId17" w:history="1">
        <w:r w:rsidRPr="002E6D8F">
          <w:rPr>
            <w:rStyle w:val="Hyperlink"/>
            <w:bCs/>
            <w:color w:val="auto"/>
            <w:sz w:val="24"/>
            <w:szCs w:val="24"/>
            <w:u w:val="none"/>
          </w:rPr>
          <w:t>Domestic Debt, Private Sector Credit and Economic Growth in Sub‐Saharan Africa</w:t>
        </w:r>
      </w:hyperlink>
      <w:r w:rsidRPr="002E6D8F">
        <w:rPr>
          <w:sz w:val="24"/>
          <w:szCs w:val="24"/>
        </w:rPr>
        <w:t xml:space="preserve">. </w:t>
      </w:r>
      <w:hyperlink r:id="rId18" w:history="1">
        <w:r w:rsidRPr="002E6D8F">
          <w:rPr>
            <w:rStyle w:val="Hyperlink"/>
            <w:color w:val="auto"/>
            <w:sz w:val="24"/>
            <w:szCs w:val="24"/>
            <w:u w:val="none"/>
          </w:rPr>
          <w:t>African Development Review</w:t>
        </w:r>
      </w:hyperlink>
      <w:r w:rsidRPr="002E6D8F">
        <w:rPr>
          <w:sz w:val="24"/>
          <w:szCs w:val="24"/>
        </w:rPr>
        <w:t>, 25(4), 434-446.</w:t>
      </w:r>
    </w:p>
    <w:p w14:paraId="4BEEFCD5" w14:textId="77777777"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Melecky, M. (2007). Debt management and fiscal sustainability. </w:t>
      </w:r>
      <w:r w:rsidRPr="002E6D8F">
        <w:rPr>
          <w:i/>
          <w:iCs/>
          <w:sz w:val="24"/>
          <w:szCs w:val="24"/>
        </w:rPr>
        <w:t>World Bank.</w:t>
      </w:r>
      <w:hyperlink r:id="rId19" w:history="1">
        <w:r w:rsidRPr="002E6D8F">
          <w:rPr>
            <w:rStyle w:val="Hyperlink"/>
            <w:color w:val="auto"/>
            <w:sz w:val="24"/>
            <w:szCs w:val="24"/>
            <w:u w:val="none"/>
          </w:rPr>
          <w:t>https://www.worldbank.org/en/topic/debt</w:t>
        </w:r>
      </w:hyperlink>
    </w:p>
    <w:p w14:paraId="2A66642D" w14:textId="77777777"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Ministry of Finance. (2023). Kenya’s fiscal policy response to COVID-19:</w:t>
      </w:r>
      <w:r w:rsidRPr="002E6D8F">
        <w:rPr>
          <w:i/>
          <w:iCs/>
          <w:sz w:val="24"/>
          <w:szCs w:val="24"/>
        </w:rPr>
        <w:t xml:space="preserve"> Government expenditure and debt trends.</w:t>
      </w:r>
      <w:r w:rsidRPr="002E6D8F">
        <w:rPr>
          <w:sz w:val="24"/>
          <w:szCs w:val="24"/>
        </w:rPr>
        <w:t xml:space="preserve"> Nairobi, Kenya: National Treasury. Retrieved from </w:t>
      </w:r>
      <w:hyperlink r:id="rId20" w:history="1">
        <w:r w:rsidRPr="002E6D8F">
          <w:rPr>
            <w:rStyle w:val="Hyperlink"/>
            <w:color w:val="auto"/>
            <w:sz w:val="24"/>
            <w:szCs w:val="24"/>
            <w:u w:val="none"/>
          </w:rPr>
          <w:t>https://www.treasury.go.ke</w:t>
        </w:r>
      </w:hyperlink>
    </w:p>
    <w:p w14:paraId="351DE24C" w14:textId="77777777" w:rsidR="002E6D8F" w:rsidRPr="002E6D8F" w:rsidRDefault="00170B62" w:rsidP="002E6D8F">
      <w:pPr>
        <w:spacing w:before="0" w:beforeAutospacing="0" w:after="0" w:line="360" w:lineRule="auto"/>
        <w:ind w:left="720" w:hanging="720"/>
        <w:jc w:val="both"/>
        <w:rPr>
          <w:sz w:val="24"/>
          <w:szCs w:val="24"/>
          <w:lang w:val="en-GB"/>
        </w:rPr>
      </w:pPr>
      <w:r w:rsidRPr="002E6D8F">
        <w:rPr>
          <w:sz w:val="24"/>
          <w:szCs w:val="24"/>
        </w:rPr>
        <w:t xml:space="preserve">Mugambi, M., &amp; Mwaura, F. (2021). Public financial management and debt accumulation in Kenya’s counties. </w:t>
      </w:r>
      <w:r w:rsidRPr="002E6D8F">
        <w:rPr>
          <w:i/>
          <w:iCs/>
          <w:sz w:val="24"/>
          <w:szCs w:val="24"/>
        </w:rPr>
        <w:t>Journal of Accounting and Public Policy, 9</w:t>
      </w:r>
      <w:r w:rsidRPr="002E6D8F">
        <w:rPr>
          <w:sz w:val="24"/>
          <w:szCs w:val="24"/>
        </w:rPr>
        <w:t>(4), 221–236.</w:t>
      </w:r>
    </w:p>
    <w:p w14:paraId="567F502E" w14:textId="77777777" w:rsidR="002E6D8F" w:rsidRPr="002E6D8F" w:rsidRDefault="00170B62" w:rsidP="002E6D8F">
      <w:pPr>
        <w:spacing w:before="0" w:beforeAutospacing="0" w:after="0" w:line="360" w:lineRule="auto"/>
        <w:ind w:left="720" w:hanging="720"/>
        <w:jc w:val="both"/>
        <w:rPr>
          <w:sz w:val="24"/>
          <w:szCs w:val="24"/>
          <w:lang w:val="en-GB"/>
        </w:rPr>
      </w:pPr>
      <w:r w:rsidRPr="00EE325A">
        <w:rPr>
          <w:sz w:val="24"/>
          <w:szCs w:val="24"/>
          <w:lang w:eastAsia="en-GB"/>
        </w:rPr>
        <w:t xml:space="preserve">Mukuru, N. K., Kambura, S., &amp; Chesigor, F. (2025). Effect of Strategic Planning on Financial Performance of Public Hospitals in Tharaka Nithi County, Kenya. </w:t>
      </w:r>
      <w:r w:rsidRPr="00EE325A">
        <w:rPr>
          <w:i/>
          <w:iCs/>
          <w:sz w:val="24"/>
          <w:szCs w:val="24"/>
          <w:lang w:eastAsia="en-GB"/>
        </w:rPr>
        <w:t>International Journal of Finance</w:t>
      </w:r>
      <w:r w:rsidRPr="00EE325A">
        <w:rPr>
          <w:sz w:val="24"/>
          <w:szCs w:val="24"/>
          <w:lang w:eastAsia="en-GB"/>
        </w:rPr>
        <w:t xml:space="preserve">, </w:t>
      </w:r>
      <w:r w:rsidRPr="00EE325A">
        <w:rPr>
          <w:i/>
          <w:iCs/>
          <w:sz w:val="24"/>
          <w:szCs w:val="24"/>
          <w:lang w:eastAsia="en-GB"/>
        </w:rPr>
        <w:t>10</w:t>
      </w:r>
      <w:r w:rsidRPr="00EE325A">
        <w:rPr>
          <w:sz w:val="24"/>
          <w:szCs w:val="24"/>
          <w:lang w:eastAsia="en-GB"/>
        </w:rPr>
        <w:t>(5), 71–85. https://doi.org/10.47941/ijf.3039</w:t>
      </w:r>
    </w:p>
    <w:p w14:paraId="6D33D4FE" w14:textId="77777777" w:rsidR="007E25EA" w:rsidRPr="002E6D8F" w:rsidRDefault="00170B62" w:rsidP="002E6D8F">
      <w:pPr>
        <w:spacing w:before="0" w:beforeAutospacing="0" w:after="0" w:line="360" w:lineRule="auto"/>
        <w:ind w:left="720" w:hanging="720"/>
        <w:jc w:val="both"/>
        <w:rPr>
          <w:sz w:val="24"/>
          <w:szCs w:val="24"/>
        </w:rPr>
      </w:pPr>
      <w:r w:rsidRPr="002E6D8F">
        <w:rPr>
          <w:sz w:val="24"/>
          <w:szCs w:val="24"/>
        </w:rPr>
        <w:lastRenderedPageBreak/>
        <w:t xml:space="preserve">Nairobi City County. (2016). </w:t>
      </w:r>
      <w:r w:rsidRPr="002E6D8F">
        <w:rPr>
          <w:i/>
          <w:iCs/>
          <w:sz w:val="24"/>
          <w:szCs w:val="24"/>
        </w:rPr>
        <w:t>Public finance management in Nairobi.</w:t>
      </w:r>
      <w:r w:rsidRPr="002E6D8F">
        <w:rPr>
          <w:sz w:val="24"/>
          <w:szCs w:val="24"/>
        </w:rPr>
        <w:t xml:space="preserve"> Nairobi City County.</w:t>
      </w:r>
    </w:p>
    <w:p w14:paraId="787EFDC5" w14:textId="77777777" w:rsidR="002E6D8F"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Niersbach, L. (2014). </w:t>
      </w:r>
      <w:r w:rsidRPr="002E6D8F">
        <w:rPr>
          <w:i/>
          <w:iCs/>
          <w:sz w:val="24"/>
          <w:szCs w:val="24"/>
        </w:rPr>
        <w:t>Did Debt Relief Under the Heavily Indebted Poor Countries (HIPC) Initiative Have a Poverty-Reducing Effect?</w:t>
      </w:r>
      <w:r w:rsidRPr="002E6D8F">
        <w:rPr>
          <w:sz w:val="24"/>
          <w:szCs w:val="24"/>
        </w:rPr>
        <w:t xml:space="preserve"> (Doctoral dissertation).</w:t>
      </w:r>
    </w:p>
    <w:p w14:paraId="3ADA652E" w14:textId="77777777" w:rsidR="002E6D8F"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Ochieng, J., &amp; Wambua, A. (2020). </w:t>
      </w:r>
      <w:r w:rsidRPr="002E6D8F">
        <w:rPr>
          <w:i/>
          <w:iCs/>
          <w:sz w:val="24"/>
          <w:szCs w:val="24"/>
        </w:rPr>
        <w:t>Effects of macroeconomic variables on county borrowing patterns in Kenya</w:t>
      </w:r>
      <w:r w:rsidRPr="002E6D8F">
        <w:rPr>
          <w:sz w:val="24"/>
          <w:szCs w:val="24"/>
        </w:rPr>
        <w:t>. Nairobi: Centre for Public Economics.</w:t>
      </w:r>
    </w:p>
    <w:p w14:paraId="67685DDD" w14:textId="77777777"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Stern, N. (2018). Empirical research in macroeconomics: A methodological approach. </w:t>
      </w:r>
      <w:r w:rsidRPr="002E6D8F">
        <w:rPr>
          <w:i/>
          <w:iCs/>
          <w:sz w:val="24"/>
          <w:szCs w:val="24"/>
        </w:rPr>
        <w:t>Journal of Economic Research,</w:t>
      </w:r>
      <w:r w:rsidRPr="002E6D8F">
        <w:rPr>
          <w:sz w:val="24"/>
          <w:szCs w:val="24"/>
        </w:rPr>
        <w:t xml:space="preserve"> 32(4), 225-245.</w:t>
      </w:r>
    </w:p>
    <w:p w14:paraId="29E5E46B" w14:textId="77777777"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Thuku, J. M. (2020). </w:t>
      </w:r>
      <w:r w:rsidRPr="002E6D8F">
        <w:rPr>
          <w:i/>
          <w:iCs/>
          <w:sz w:val="24"/>
          <w:szCs w:val="24"/>
        </w:rPr>
        <w:t>Effects of devolved governance on health service delivery at Thika level five hospital in Kiambu county, Kenya</w:t>
      </w:r>
      <w:r w:rsidRPr="002E6D8F">
        <w:rPr>
          <w:sz w:val="24"/>
          <w:szCs w:val="24"/>
        </w:rPr>
        <w:t xml:space="preserve"> (Doctoral dissertation, Africa Nazarene University).</w:t>
      </w:r>
    </w:p>
    <w:p w14:paraId="73789D62" w14:textId="77777777"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World Bank. (2022). </w:t>
      </w:r>
      <w:r w:rsidRPr="002E6D8F">
        <w:rPr>
          <w:i/>
          <w:iCs/>
          <w:sz w:val="24"/>
          <w:szCs w:val="24"/>
        </w:rPr>
        <w:t>County debt trends in a post-pandemic world: Global financial stability risks and responses.</w:t>
      </w:r>
      <w:r w:rsidRPr="002E6D8F">
        <w:rPr>
          <w:sz w:val="24"/>
          <w:szCs w:val="24"/>
        </w:rPr>
        <w:t xml:space="preserve"> Washington, DC: World Bank. Retrieved from </w:t>
      </w:r>
      <w:hyperlink r:id="rId21" w:history="1">
        <w:r w:rsidRPr="002E6D8F">
          <w:rPr>
            <w:rStyle w:val="Hyperlink"/>
            <w:color w:val="auto"/>
            <w:sz w:val="24"/>
            <w:szCs w:val="24"/>
            <w:u w:val="none"/>
          </w:rPr>
          <w:t>https://www.worldbank.org</w:t>
        </w:r>
      </w:hyperlink>
    </w:p>
    <w:p w14:paraId="753AA180" w14:textId="77777777"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World Bank. (2023). </w:t>
      </w:r>
      <w:r w:rsidRPr="002E6D8F">
        <w:rPr>
          <w:i/>
          <w:iCs/>
          <w:sz w:val="24"/>
          <w:szCs w:val="24"/>
        </w:rPr>
        <w:t>Public debt dynamics in developing countries post-pandemic.</w:t>
      </w:r>
      <w:r w:rsidRPr="002E6D8F">
        <w:rPr>
          <w:sz w:val="24"/>
          <w:szCs w:val="24"/>
        </w:rPr>
        <w:t xml:space="preserve"> World Bank. </w:t>
      </w:r>
      <w:hyperlink r:id="rId22" w:history="1">
        <w:r w:rsidRPr="002E6D8F">
          <w:rPr>
            <w:rStyle w:val="Hyperlink"/>
            <w:color w:val="auto"/>
            <w:sz w:val="24"/>
            <w:szCs w:val="24"/>
            <w:u w:val="none"/>
          </w:rPr>
          <w:t>https://www.worldbank.org/en/topic/debt</w:t>
        </w:r>
      </w:hyperlink>
    </w:p>
    <w:p w14:paraId="655290BA" w14:textId="77777777" w:rsidR="007E25EA" w:rsidRPr="002E6D8F" w:rsidRDefault="007E25EA" w:rsidP="007E25EA">
      <w:pPr>
        <w:spacing w:line="240" w:lineRule="auto"/>
        <w:rPr>
          <w:sz w:val="24"/>
          <w:szCs w:val="24"/>
        </w:rPr>
      </w:pPr>
    </w:p>
    <w:p w14:paraId="2B8718B2" w14:textId="77777777" w:rsidR="007E25EA" w:rsidRPr="002E6D8F" w:rsidRDefault="007E25EA" w:rsidP="007E25EA">
      <w:pPr>
        <w:rPr>
          <w:sz w:val="24"/>
          <w:szCs w:val="24"/>
          <w:lang w:val="en-GB"/>
        </w:rPr>
      </w:pPr>
    </w:p>
    <w:p w14:paraId="78CB386E" w14:textId="77777777" w:rsidR="007C2944" w:rsidRPr="002E6D8F" w:rsidRDefault="007C2944" w:rsidP="00701B96">
      <w:pPr>
        <w:pStyle w:val="Heading1"/>
        <w:spacing w:before="0" w:line="360" w:lineRule="auto"/>
        <w:rPr>
          <w:rFonts w:ascii="Times New Roman" w:hAnsi="Times New Roman"/>
          <w:bCs/>
          <w:color w:val="auto"/>
          <w:sz w:val="24"/>
          <w:szCs w:val="24"/>
          <w:lang w:val="en-GB"/>
        </w:rPr>
      </w:pPr>
    </w:p>
    <w:sectPr w:rsidR="007C2944" w:rsidRPr="002E6D8F" w:rsidSect="007C2944">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270D3" w14:textId="77777777" w:rsidR="006E527C" w:rsidRDefault="006E527C">
      <w:pPr>
        <w:spacing w:line="240" w:lineRule="auto"/>
      </w:pPr>
      <w:r>
        <w:separator/>
      </w:r>
    </w:p>
  </w:endnote>
  <w:endnote w:type="continuationSeparator" w:id="0">
    <w:p w14:paraId="059579D4" w14:textId="77777777" w:rsidR="006E527C" w:rsidRDefault="006E5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C9ED" w14:textId="77777777" w:rsidR="003D343D" w:rsidRDefault="003D3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E1401" w14:textId="77777777" w:rsidR="003D343D" w:rsidRDefault="003D3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2B04" w14:textId="77777777" w:rsidR="003D343D" w:rsidRDefault="003D3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102FA" w14:textId="77777777" w:rsidR="006E527C" w:rsidRDefault="006E527C">
      <w:pPr>
        <w:spacing w:before="0" w:after="0"/>
      </w:pPr>
      <w:r>
        <w:separator/>
      </w:r>
    </w:p>
  </w:footnote>
  <w:footnote w:type="continuationSeparator" w:id="0">
    <w:p w14:paraId="6DF8A0AC" w14:textId="77777777" w:rsidR="006E527C" w:rsidRDefault="006E527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32CAD" w14:textId="79354A10" w:rsidR="003D343D" w:rsidRDefault="003D343D">
    <w:pPr>
      <w:pStyle w:val="Header"/>
    </w:pPr>
    <w:r>
      <w:rPr>
        <w:noProof/>
      </w:rPr>
      <w:pict w14:anchorId="46A66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45190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2823A" w14:textId="327B773E" w:rsidR="003D343D" w:rsidRDefault="003D343D">
    <w:pPr>
      <w:pStyle w:val="Header"/>
    </w:pPr>
    <w:r>
      <w:rPr>
        <w:noProof/>
      </w:rPr>
      <w:pict w14:anchorId="5E3BA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45190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B5CFA" w14:textId="72CEDD01" w:rsidR="003D343D" w:rsidRDefault="003D343D">
    <w:pPr>
      <w:pStyle w:val="Header"/>
    </w:pPr>
    <w:r>
      <w:rPr>
        <w:noProof/>
      </w:rPr>
      <w:pict w14:anchorId="3A413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45190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F86C"/>
    <w:multiLevelType w:val="singleLevel"/>
    <w:tmpl w:val="05B4F86C"/>
    <w:lvl w:ilvl="0">
      <w:start w:val="13"/>
      <w:numFmt w:val="upperLetter"/>
      <w:suff w:val="nothing"/>
      <w:lvlText w:val="%1-"/>
      <w:lvlJc w:val="left"/>
      <w:rPr>
        <w:rFonts w:hint="default"/>
        <w:b/>
        <w:bCs/>
      </w:rPr>
    </w:lvl>
  </w:abstractNum>
  <w:abstractNum w:abstractNumId="1" w15:restartNumberingAfterBreak="0">
    <w:nsid w:val="3B8F17CC"/>
    <w:multiLevelType w:val="multilevel"/>
    <w:tmpl w:val="3B8F17CC"/>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67C24"/>
    <w:rsid w:val="FFEFCC2C"/>
    <w:rsid w:val="00002CB3"/>
    <w:rsid w:val="0000622B"/>
    <w:rsid w:val="000066B6"/>
    <w:rsid w:val="0000785E"/>
    <w:rsid w:val="0001329A"/>
    <w:rsid w:val="00015D74"/>
    <w:rsid w:val="00016DB4"/>
    <w:rsid w:val="00017974"/>
    <w:rsid w:val="00020181"/>
    <w:rsid w:val="00021A11"/>
    <w:rsid w:val="00024F44"/>
    <w:rsid w:val="000317DA"/>
    <w:rsid w:val="00032AFA"/>
    <w:rsid w:val="00036E10"/>
    <w:rsid w:val="00037299"/>
    <w:rsid w:val="00043715"/>
    <w:rsid w:val="00045F6B"/>
    <w:rsid w:val="00050326"/>
    <w:rsid w:val="00056A7C"/>
    <w:rsid w:val="000632CB"/>
    <w:rsid w:val="0006360A"/>
    <w:rsid w:val="0006453C"/>
    <w:rsid w:val="00064831"/>
    <w:rsid w:val="000648CD"/>
    <w:rsid w:val="00066F24"/>
    <w:rsid w:val="000672C7"/>
    <w:rsid w:val="00070D09"/>
    <w:rsid w:val="00072B43"/>
    <w:rsid w:val="00073199"/>
    <w:rsid w:val="00074836"/>
    <w:rsid w:val="00077CAA"/>
    <w:rsid w:val="00085E12"/>
    <w:rsid w:val="00087050"/>
    <w:rsid w:val="00091A96"/>
    <w:rsid w:val="00091E40"/>
    <w:rsid w:val="00093054"/>
    <w:rsid w:val="000978B2"/>
    <w:rsid w:val="000A1DDE"/>
    <w:rsid w:val="000A3DA8"/>
    <w:rsid w:val="000A4D30"/>
    <w:rsid w:val="000A7052"/>
    <w:rsid w:val="000B05A6"/>
    <w:rsid w:val="000B0BBC"/>
    <w:rsid w:val="000B7500"/>
    <w:rsid w:val="000C01B7"/>
    <w:rsid w:val="000C403A"/>
    <w:rsid w:val="000D047A"/>
    <w:rsid w:val="000D691A"/>
    <w:rsid w:val="000D6B30"/>
    <w:rsid w:val="000D76E7"/>
    <w:rsid w:val="000E232C"/>
    <w:rsid w:val="000E78CB"/>
    <w:rsid w:val="000F213E"/>
    <w:rsid w:val="000F378C"/>
    <w:rsid w:val="000F390B"/>
    <w:rsid w:val="000F3B13"/>
    <w:rsid w:val="000F405C"/>
    <w:rsid w:val="000F5185"/>
    <w:rsid w:val="000F63F2"/>
    <w:rsid w:val="000F6CF6"/>
    <w:rsid w:val="000F7F1A"/>
    <w:rsid w:val="001003A7"/>
    <w:rsid w:val="00105B02"/>
    <w:rsid w:val="001134F1"/>
    <w:rsid w:val="00114D14"/>
    <w:rsid w:val="00120710"/>
    <w:rsid w:val="001216B5"/>
    <w:rsid w:val="00121A18"/>
    <w:rsid w:val="0012302B"/>
    <w:rsid w:val="00124B99"/>
    <w:rsid w:val="001262E4"/>
    <w:rsid w:val="00130DF4"/>
    <w:rsid w:val="00132208"/>
    <w:rsid w:val="0013308C"/>
    <w:rsid w:val="00133954"/>
    <w:rsid w:val="001363C5"/>
    <w:rsid w:val="001404B5"/>
    <w:rsid w:val="001445E2"/>
    <w:rsid w:val="0014768F"/>
    <w:rsid w:val="001500E6"/>
    <w:rsid w:val="00150737"/>
    <w:rsid w:val="001515A5"/>
    <w:rsid w:val="0015246D"/>
    <w:rsid w:val="00152CCC"/>
    <w:rsid w:val="00156890"/>
    <w:rsid w:val="00157332"/>
    <w:rsid w:val="00162A27"/>
    <w:rsid w:val="001635A6"/>
    <w:rsid w:val="00166A15"/>
    <w:rsid w:val="00167653"/>
    <w:rsid w:val="00170B62"/>
    <w:rsid w:val="00173DC8"/>
    <w:rsid w:val="00177945"/>
    <w:rsid w:val="00182B47"/>
    <w:rsid w:val="0019391E"/>
    <w:rsid w:val="001947EA"/>
    <w:rsid w:val="001948EF"/>
    <w:rsid w:val="00196C17"/>
    <w:rsid w:val="0019799A"/>
    <w:rsid w:val="001A1937"/>
    <w:rsid w:val="001A2BC6"/>
    <w:rsid w:val="001A327C"/>
    <w:rsid w:val="001B0C11"/>
    <w:rsid w:val="001B1544"/>
    <w:rsid w:val="001B6002"/>
    <w:rsid w:val="001B6C11"/>
    <w:rsid w:val="001B6E13"/>
    <w:rsid w:val="001C2003"/>
    <w:rsid w:val="001C27D3"/>
    <w:rsid w:val="001C38CE"/>
    <w:rsid w:val="001C4779"/>
    <w:rsid w:val="001D0DA4"/>
    <w:rsid w:val="001D10DC"/>
    <w:rsid w:val="001E200B"/>
    <w:rsid w:val="001E2746"/>
    <w:rsid w:val="001E49E1"/>
    <w:rsid w:val="001F0662"/>
    <w:rsid w:val="001F21B1"/>
    <w:rsid w:val="001F4856"/>
    <w:rsid w:val="001F79F0"/>
    <w:rsid w:val="002002A3"/>
    <w:rsid w:val="00200A24"/>
    <w:rsid w:val="00203367"/>
    <w:rsid w:val="002060D6"/>
    <w:rsid w:val="00211A64"/>
    <w:rsid w:val="00220A08"/>
    <w:rsid w:val="002254B4"/>
    <w:rsid w:val="00231DDF"/>
    <w:rsid w:val="00236F2B"/>
    <w:rsid w:val="00241F32"/>
    <w:rsid w:val="0024355B"/>
    <w:rsid w:val="00246B12"/>
    <w:rsid w:val="002501FC"/>
    <w:rsid w:val="002511B2"/>
    <w:rsid w:val="0025265F"/>
    <w:rsid w:val="002555B8"/>
    <w:rsid w:val="002578EA"/>
    <w:rsid w:val="002603A8"/>
    <w:rsid w:val="00262744"/>
    <w:rsid w:val="002648AF"/>
    <w:rsid w:val="002677AF"/>
    <w:rsid w:val="00272860"/>
    <w:rsid w:val="00273C3F"/>
    <w:rsid w:val="0027777E"/>
    <w:rsid w:val="00281EA4"/>
    <w:rsid w:val="0028251F"/>
    <w:rsid w:val="002832FC"/>
    <w:rsid w:val="00285AB1"/>
    <w:rsid w:val="00287056"/>
    <w:rsid w:val="00291656"/>
    <w:rsid w:val="002938AF"/>
    <w:rsid w:val="00295D47"/>
    <w:rsid w:val="002A17B7"/>
    <w:rsid w:val="002B2134"/>
    <w:rsid w:val="002B22D1"/>
    <w:rsid w:val="002B6DAB"/>
    <w:rsid w:val="002C158E"/>
    <w:rsid w:val="002C4EA9"/>
    <w:rsid w:val="002C5F65"/>
    <w:rsid w:val="002C76BC"/>
    <w:rsid w:val="002D46B8"/>
    <w:rsid w:val="002D6466"/>
    <w:rsid w:val="002E2F0C"/>
    <w:rsid w:val="002E3E5B"/>
    <w:rsid w:val="002E5A1C"/>
    <w:rsid w:val="002E6D8F"/>
    <w:rsid w:val="002E7120"/>
    <w:rsid w:val="00301548"/>
    <w:rsid w:val="00301D01"/>
    <w:rsid w:val="003104EC"/>
    <w:rsid w:val="003112D3"/>
    <w:rsid w:val="00314C50"/>
    <w:rsid w:val="00315727"/>
    <w:rsid w:val="00320847"/>
    <w:rsid w:val="00321BC5"/>
    <w:rsid w:val="00321E65"/>
    <w:rsid w:val="0032356E"/>
    <w:rsid w:val="00323E3C"/>
    <w:rsid w:val="00326CC6"/>
    <w:rsid w:val="00335118"/>
    <w:rsid w:val="003376E3"/>
    <w:rsid w:val="00341786"/>
    <w:rsid w:val="00341B4B"/>
    <w:rsid w:val="003421ED"/>
    <w:rsid w:val="00342664"/>
    <w:rsid w:val="00342AEB"/>
    <w:rsid w:val="0034378E"/>
    <w:rsid w:val="00344E62"/>
    <w:rsid w:val="00344FC1"/>
    <w:rsid w:val="003477C4"/>
    <w:rsid w:val="003510F1"/>
    <w:rsid w:val="003512D9"/>
    <w:rsid w:val="003563E3"/>
    <w:rsid w:val="00362C66"/>
    <w:rsid w:val="003636B4"/>
    <w:rsid w:val="00366C52"/>
    <w:rsid w:val="0037634D"/>
    <w:rsid w:val="00377520"/>
    <w:rsid w:val="00382EE7"/>
    <w:rsid w:val="0038452F"/>
    <w:rsid w:val="00384D85"/>
    <w:rsid w:val="00387ED1"/>
    <w:rsid w:val="003932A0"/>
    <w:rsid w:val="00396178"/>
    <w:rsid w:val="003A216C"/>
    <w:rsid w:val="003A308B"/>
    <w:rsid w:val="003A5045"/>
    <w:rsid w:val="003A71A6"/>
    <w:rsid w:val="003B1146"/>
    <w:rsid w:val="003B2E12"/>
    <w:rsid w:val="003B3172"/>
    <w:rsid w:val="003B555D"/>
    <w:rsid w:val="003C0540"/>
    <w:rsid w:val="003C1A9A"/>
    <w:rsid w:val="003C61E7"/>
    <w:rsid w:val="003C7A64"/>
    <w:rsid w:val="003D10B9"/>
    <w:rsid w:val="003D1BD6"/>
    <w:rsid w:val="003D343D"/>
    <w:rsid w:val="003D5726"/>
    <w:rsid w:val="003D586E"/>
    <w:rsid w:val="003D6B43"/>
    <w:rsid w:val="003D732C"/>
    <w:rsid w:val="003D73B1"/>
    <w:rsid w:val="003E4B28"/>
    <w:rsid w:val="003E5FC5"/>
    <w:rsid w:val="003F376A"/>
    <w:rsid w:val="003F4A35"/>
    <w:rsid w:val="00405846"/>
    <w:rsid w:val="00405E95"/>
    <w:rsid w:val="00406489"/>
    <w:rsid w:val="0040685E"/>
    <w:rsid w:val="00406A95"/>
    <w:rsid w:val="0040764B"/>
    <w:rsid w:val="0041031F"/>
    <w:rsid w:val="004109F0"/>
    <w:rsid w:val="00410A49"/>
    <w:rsid w:val="004121CC"/>
    <w:rsid w:val="00414393"/>
    <w:rsid w:val="004230E6"/>
    <w:rsid w:val="00423806"/>
    <w:rsid w:val="00424A29"/>
    <w:rsid w:val="00432F04"/>
    <w:rsid w:val="00436CBD"/>
    <w:rsid w:val="004409EE"/>
    <w:rsid w:val="004445CF"/>
    <w:rsid w:val="00446AD9"/>
    <w:rsid w:val="00450113"/>
    <w:rsid w:val="00452C5F"/>
    <w:rsid w:val="00452CA7"/>
    <w:rsid w:val="004543FB"/>
    <w:rsid w:val="0045594E"/>
    <w:rsid w:val="00456BD1"/>
    <w:rsid w:val="0046438E"/>
    <w:rsid w:val="00470093"/>
    <w:rsid w:val="0047245F"/>
    <w:rsid w:val="00472E90"/>
    <w:rsid w:val="004742D1"/>
    <w:rsid w:val="00474804"/>
    <w:rsid w:val="00476996"/>
    <w:rsid w:val="0047734E"/>
    <w:rsid w:val="004815F0"/>
    <w:rsid w:val="00484B45"/>
    <w:rsid w:val="00487EA4"/>
    <w:rsid w:val="004951FC"/>
    <w:rsid w:val="00495D9B"/>
    <w:rsid w:val="004962B6"/>
    <w:rsid w:val="00496F6D"/>
    <w:rsid w:val="004A0A2F"/>
    <w:rsid w:val="004A20BC"/>
    <w:rsid w:val="004A286C"/>
    <w:rsid w:val="004A50D9"/>
    <w:rsid w:val="004A676A"/>
    <w:rsid w:val="004A7AD7"/>
    <w:rsid w:val="004B3D4B"/>
    <w:rsid w:val="004B4BEC"/>
    <w:rsid w:val="004C0467"/>
    <w:rsid w:val="004C5008"/>
    <w:rsid w:val="004C51E6"/>
    <w:rsid w:val="004C7862"/>
    <w:rsid w:val="004C7DC3"/>
    <w:rsid w:val="004D410B"/>
    <w:rsid w:val="004D622F"/>
    <w:rsid w:val="004E1910"/>
    <w:rsid w:val="004E4496"/>
    <w:rsid w:val="004E715E"/>
    <w:rsid w:val="004F1530"/>
    <w:rsid w:val="004F4163"/>
    <w:rsid w:val="0050162E"/>
    <w:rsid w:val="005022E2"/>
    <w:rsid w:val="00502E3B"/>
    <w:rsid w:val="00511F98"/>
    <w:rsid w:val="00512DD2"/>
    <w:rsid w:val="00515A0D"/>
    <w:rsid w:val="00515CEC"/>
    <w:rsid w:val="00523A63"/>
    <w:rsid w:val="00526635"/>
    <w:rsid w:val="005318AC"/>
    <w:rsid w:val="00532FEA"/>
    <w:rsid w:val="005376C1"/>
    <w:rsid w:val="00545CC4"/>
    <w:rsid w:val="0054660F"/>
    <w:rsid w:val="00551A48"/>
    <w:rsid w:val="00551BF2"/>
    <w:rsid w:val="00553BE9"/>
    <w:rsid w:val="0055482E"/>
    <w:rsid w:val="00555514"/>
    <w:rsid w:val="00565CBA"/>
    <w:rsid w:val="00566488"/>
    <w:rsid w:val="00567622"/>
    <w:rsid w:val="00572972"/>
    <w:rsid w:val="00574C65"/>
    <w:rsid w:val="00576554"/>
    <w:rsid w:val="00580EE2"/>
    <w:rsid w:val="00583558"/>
    <w:rsid w:val="00584E28"/>
    <w:rsid w:val="00585BC0"/>
    <w:rsid w:val="00586A4B"/>
    <w:rsid w:val="00590B53"/>
    <w:rsid w:val="00591B76"/>
    <w:rsid w:val="00594D56"/>
    <w:rsid w:val="0059637A"/>
    <w:rsid w:val="005B4DF2"/>
    <w:rsid w:val="005B6BD5"/>
    <w:rsid w:val="005B7E1D"/>
    <w:rsid w:val="005C16CC"/>
    <w:rsid w:val="005C27FC"/>
    <w:rsid w:val="005C4976"/>
    <w:rsid w:val="005C604C"/>
    <w:rsid w:val="005C63FC"/>
    <w:rsid w:val="005C64BA"/>
    <w:rsid w:val="005C6DB6"/>
    <w:rsid w:val="005D1969"/>
    <w:rsid w:val="005D2355"/>
    <w:rsid w:val="005D7639"/>
    <w:rsid w:val="005D7D66"/>
    <w:rsid w:val="005E7618"/>
    <w:rsid w:val="005E7F31"/>
    <w:rsid w:val="005E7F82"/>
    <w:rsid w:val="005F1B0F"/>
    <w:rsid w:val="005F650F"/>
    <w:rsid w:val="00601673"/>
    <w:rsid w:val="006030BC"/>
    <w:rsid w:val="006036B9"/>
    <w:rsid w:val="006059B5"/>
    <w:rsid w:val="00610391"/>
    <w:rsid w:val="00611317"/>
    <w:rsid w:val="006147C8"/>
    <w:rsid w:val="00616ACE"/>
    <w:rsid w:val="0061759F"/>
    <w:rsid w:val="006203E2"/>
    <w:rsid w:val="00626AE2"/>
    <w:rsid w:val="00626BB2"/>
    <w:rsid w:val="00626D6A"/>
    <w:rsid w:val="006270BC"/>
    <w:rsid w:val="00627FE5"/>
    <w:rsid w:val="00630A0B"/>
    <w:rsid w:val="00631013"/>
    <w:rsid w:val="006325DE"/>
    <w:rsid w:val="006367C1"/>
    <w:rsid w:val="006372AD"/>
    <w:rsid w:val="00637C45"/>
    <w:rsid w:val="00646CEA"/>
    <w:rsid w:val="00651CB5"/>
    <w:rsid w:val="00654E77"/>
    <w:rsid w:val="00656BE8"/>
    <w:rsid w:val="00657300"/>
    <w:rsid w:val="006606DD"/>
    <w:rsid w:val="006634C4"/>
    <w:rsid w:val="006733BB"/>
    <w:rsid w:val="00684251"/>
    <w:rsid w:val="00686A7F"/>
    <w:rsid w:val="00686FDB"/>
    <w:rsid w:val="006875D1"/>
    <w:rsid w:val="00695787"/>
    <w:rsid w:val="006A2D0F"/>
    <w:rsid w:val="006A32E6"/>
    <w:rsid w:val="006A4036"/>
    <w:rsid w:val="006A556D"/>
    <w:rsid w:val="006A7594"/>
    <w:rsid w:val="006B1DA0"/>
    <w:rsid w:val="006B447D"/>
    <w:rsid w:val="006B4D16"/>
    <w:rsid w:val="006B557B"/>
    <w:rsid w:val="006B558E"/>
    <w:rsid w:val="006B7047"/>
    <w:rsid w:val="006B7C6F"/>
    <w:rsid w:val="006C04A6"/>
    <w:rsid w:val="006C195F"/>
    <w:rsid w:val="006C576C"/>
    <w:rsid w:val="006D00E7"/>
    <w:rsid w:val="006D3CE9"/>
    <w:rsid w:val="006D45EE"/>
    <w:rsid w:val="006D5916"/>
    <w:rsid w:val="006D63C9"/>
    <w:rsid w:val="006E0DF8"/>
    <w:rsid w:val="006E0EBB"/>
    <w:rsid w:val="006E1737"/>
    <w:rsid w:val="006E30EF"/>
    <w:rsid w:val="006E527C"/>
    <w:rsid w:val="006F0420"/>
    <w:rsid w:val="007004CE"/>
    <w:rsid w:val="00701B96"/>
    <w:rsid w:val="00703916"/>
    <w:rsid w:val="00705D2D"/>
    <w:rsid w:val="0070622E"/>
    <w:rsid w:val="00706F5B"/>
    <w:rsid w:val="00715501"/>
    <w:rsid w:val="0071707B"/>
    <w:rsid w:val="00721DA2"/>
    <w:rsid w:val="00724CD4"/>
    <w:rsid w:val="00725638"/>
    <w:rsid w:val="00726301"/>
    <w:rsid w:val="00731783"/>
    <w:rsid w:val="00732058"/>
    <w:rsid w:val="0073296A"/>
    <w:rsid w:val="00734926"/>
    <w:rsid w:val="00734CB2"/>
    <w:rsid w:val="00737F69"/>
    <w:rsid w:val="007424B2"/>
    <w:rsid w:val="00744200"/>
    <w:rsid w:val="0074617E"/>
    <w:rsid w:val="00750415"/>
    <w:rsid w:val="007508FE"/>
    <w:rsid w:val="00754670"/>
    <w:rsid w:val="00755470"/>
    <w:rsid w:val="00755A9D"/>
    <w:rsid w:val="0075614E"/>
    <w:rsid w:val="00756FA1"/>
    <w:rsid w:val="0075753F"/>
    <w:rsid w:val="00757A93"/>
    <w:rsid w:val="007609B3"/>
    <w:rsid w:val="007615EC"/>
    <w:rsid w:val="00763115"/>
    <w:rsid w:val="00765A41"/>
    <w:rsid w:val="00770EC6"/>
    <w:rsid w:val="00783F4B"/>
    <w:rsid w:val="0078463A"/>
    <w:rsid w:val="007849AF"/>
    <w:rsid w:val="00785922"/>
    <w:rsid w:val="007928B0"/>
    <w:rsid w:val="00796B55"/>
    <w:rsid w:val="007A05EE"/>
    <w:rsid w:val="007A0CE0"/>
    <w:rsid w:val="007A21C7"/>
    <w:rsid w:val="007A3F09"/>
    <w:rsid w:val="007A4196"/>
    <w:rsid w:val="007A4801"/>
    <w:rsid w:val="007A6B2F"/>
    <w:rsid w:val="007B2D88"/>
    <w:rsid w:val="007B6413"/>
    <w:rsid w:val="007C2857"/>
    <w:rsid w:val="007C2944"/>
    <w:rsid w:val="007D2B10"/>
    <w:rsid w:val="007D346D"/>
    <w:rsid w:val="007D41F0"/>
    <w:rsid w:val="007D4535"/>
    <w:rsid w:val="007D4AC5"/>
    <w:rsid w:val="007E0C94"/>
    <w:rsid w:val="007E25EA"/>
    <w:rsid w:val="007F4373"/>
    <w:rsid w:val="007F65F2"/>
    <w:rsid w:val="007F6E62"/>
    <w:rsid w:val="00806964"/>
    <w:rsid w:val="00811443"/>
    <w:rsid w:val="00812402"/>
    <w:rsid w:val="008139F6"/>
    <w:rsid w:val="00815CDF"/>
    <w:rsid w:val="00817681"/>
    <w:rsid w:val="00823CDF"/>
    <w:rsid w:val="00823DB7"/>
    <w:rsid w:val="00824307"/>
    <w:rsid w:val="00825658"/>
    <w:rsid w:val="00825D62"/>
    <w:rsid w:val="00827A49"/>
    <w:rsid w:val="00831725"/>
    <w:rsid w:val="00831C0E"/>
    <w:rsid w:val="00834529"/>
    <w:rsid w:val="00836339"/>
    <w:rsid w:val="008400C5"/>
    <w:rsid w:val="00840E43"/>
    <w:rsid w:val="00840E64"/>
    <w:rsid w:val="0084156B"/>
    <w:rsid w:val="008431FE"/>
    <w:rsid w:val="008516DB"/>
    <w:rsid w:val="00854A0C"/>
    <w:rsid w:val="00854CB3"/>
    <w:rsid w:val="008560DB"/>
    <w:rsid w:val="00860075"/>
    <w:rsid w:val="00862768"/>
    <w:rsid w:val="00865813"/>
    <w:rsid w:val="008679A5"/>
    <w:rsid w:val="0087531D"/>
    <w:rsid w:val="00876690"/>
    <w:rsid w:val="008844E3"/>
    <w:rsid w:val="00884AD9"/>
    <w:rsid w:val="008A2A25"/>
    <w:rsid w:val="008A4525"/>
    <w:rsid w:val="008A7BA4"/>
    <w:rsid w:val="008B344A"/>
    <w:rsid w:val="008B7632"/>
    <w:rsid w:val="008C10E8"/>
    <w:rsid w:val="008C1F03"/>
    <w:rsid w:val="008C23C7"/>
    <w:rsid w:val="008C495F"/>
    <w:rsid w:val="008C5E57"/>
    <w:rsid w:val="008C7BEE"/>
    <w:rsid w:val="008D1637"/>
    <w:rsid w:val="008D4DBF"/>
    <w:rsid w:val="008D5C26"/>
    <w:rsid w:val="008D6F0A"/>
    <w:rsid w:val="008E45CE"/>
    <w:rsid w:val="008E684C"/>
    <w:rsid w:val="008F2878"/>
    <w:rsid w:val="008F2A9F"/>
    <w:rsid w:val="008F410D"/>
    <w:rsid w:val="008F4E78"/>
    <w:rsid w:val="009023C8"/>
    <w:rsid w:val="00904016"/>
    <w:rsid w:val="00906E3C"/>
    <w:rsid w:val="0090787A"/>
    <w:rsid w:val="00917C2B"/>
    <w:rsid w:val="009220A8"/>
    <w:rsid w:val="00923815"/>
    <w:rsid w:val="00924C5E"/>
    <w:rsid w:val="0092615B"/>
    <w:rsid w:val="009307A8"/>
    <w:rsid w:val="00932DD7"/>
    <w:rsid w:val="009367D7"/>
    <w:rsid w:val="0094368F"/>
    <w:rsid w:val="00944A08"/>
    <w:rsid w:val="00944D24"/>
    <w:rsid w:val="00946AE3"/>
    <w:rsid w:val="00952574"/>
    <w:rsid w:val="0095453F"/>
    <w:rsid w:val="00955868"/>
    <w:rsid w:val="0095734B"/>
    <w:rsid w:val="0096087C"/>
    <w:rsid w:val="00960F2E"/>
    <w:rsid w:val="0096220A"/>
    <w:rsid w:val="00962FA9"/>
    <w:rsid w:val="0096460F"/>
    <w:rsid w:val="00964F0B"/>
    <w:rsid w:val="00965F81"/>
    <w:rsid w:val="00966A2E"/>
    <w:rsid w:val="00967484"/>
    <w:rsid w:val="0097072E"/>
    <w:rsid w:val="0097305D"/>
    <w:rsid w:val="0098298B"/>
    <w:rsid w:val="00985CFF"/>
    <w:rsid w:val="00986CC0"/>
    <w:rsid w:val="009914B2"/>
    <w:rsid w:val="00992DF1"/>
    <w:rsid w:val="009A0BEF"/>
    <w:rsid w:val="009A21F4"/>
    <w:rsid w:val="009A6431"/>
    <w:rsid w:val="009A6AD8"/>
    <w:rsid w:val="009B55A8"/>
    <w:rsid w:val="009B56CD"/>
    <w:rsid w:val="009B5903"/>
    <w:rsid w:val="009B5E91"/>
    <w:rsid w:val="009B68C3"/>
    <w:rsid w:val="009C087F"/>
    <w:rsid w:val="009C1286"/>
    <w:rsid w:val="009C46C0"/>
    <w:rsid w:val="009C5DB8"/>
    <w:rsid w:val="009C64BB"/>
    <w:rsid w:val="009D19F8"/>
    <w:rsid w:val="009D34A0"/>
    <w:rsid w:val="009D3744"/>
    <w:rsid w:val="009D3A18"/>
    <w:rsid w:val="009D620A"/>
    <w:rsid w:val="009E1898"/>
    <w:rsid w:val="009E658B"/>
    <w:rsid w:val="009F4DAC"/>
    <w:rsid w:val="009F53B1"/>
    <w:rsid w:val="009F5D69"/>
    <w:rsid w:val="00A00986"/>
    <w:rsid w:val="00A01E16"/>
    <w:rsid w:val="00A02339"/>
    <w:rsid w:val="00A03A7A"/>
    <w:rsid w:val="00A04FD3"/>
    <w:rsid w:val="00A055A5"/>
    <w:rsid w:val="00A06622"/>
    <w:rsid w:val="00A068DC"/>
    <w:rsid w:val="00A06991"/>
    <w:rsid w:val="00A140F9"/>
    <w:rsid w:val="00A170D9"/>
    <w:rsid w:val="00A25D21"/>
    <w:rsid w:val="00A3157C"/>
    <w:rsid w:val="00A40D3A"/>
    <w:rsid w:val="00A40DD8"/>
    <w:rsid w:val="00A41ADB"/>
    <w:rsid w:val="00A55C24"/>
    <w:rsid w:val="00A57164"/>
    <w:rsid w:val="00A631DC"/>
    <w:rsid w:val="00A64C61"/>
    <w:rsid w:val="00A65275"/>
    <w:rsid w:val="00A6555D"/>
    <w:rsid w:val="00A66F92"/>
    <w:rsid w:val="00A73D14"/>
    <w:rsid w:val="00A73F84"/>
    <w:rsid w:val="00A75446"/>
    <w:rsid w:val="00A81DF9"/>
    <w:rsid w:val="00A92C2B"/>
    <w:rsid w:val="00A9332E"/>
    <w:rsid w:val="00AA3019"/>
    <w:rsid w:val="00AA5F5E"/>
    <w:rsid w:val="00AA6B98"/>
    <w:rsid w:val="00AA6E17"/>
    <w:rsid w:val="00AA7F80"/>
    <w:rsid w:val="00AB22D1"/>
    <w:rsid w:val="00AB2E05"/>
    <w:rsid w:val="00AB6015"/>
    <w:rsid w:val="00AC016A"/>
    <w:rsid w:val="00AC2C04"/>
    <w:rsid w:val="00AC5C55"/>
    <w:rsid w:val="00AD1D7E"/>
    <w:rsid w:val="00AD3068"/>
    <w:rsid w:val="00AD3733"/>
    <w:rsid w:val="00AD4AFE"/>
    <w:rsid w:val="00AD668F"/>
    <w:rsid w:val="00AE2134"/>
    <w:rsid w:val="00AF1051"/>
    <w:rsid w:val="00AF13BC"/>
    <w:rsid w:val="00AF1DDD"/>
    <w:rsid w:val="00AF438B"/>
    <w:rsid w:val="00B025FE"/>
    <w:rsid w:val="00B040EA"/>
    <w:rsid w:val="00B04406"/>
    <w:rsid w:val="00B053E1"/>
    <w:rsid w:val="00B05F9A"/>
    <w:rsid w:val="00B06987"/>
    <w:rsid w:val="00B1305E"/>
    <w:rsid w:val="00B14C33"/>
    <w:rsid w:val="00B162E6"/>
    <w:rsid w:val="00B2478B"/>
    <w:rsid w:val="00B25635"/>
    <w:rsid w:val="00B26B6B"/>
    <w:rsid w:val="00B273BA"/>
    <w:rsid w:val="00B32CDC"/>
    <w:rsid w:val="00B40567"/>
    <w:rsid w:val="00B4511D"/>
    <w:rsid w:val="00B5024A"/>
    <w:rsid w:val="00B522A7"/>
    <w:rsid w:val="00B610F0"/>
    <w:rsid w:val="00B63BE2"/>
    <w:rsid w:val="00B64F97"/>
    <w:rsid w:val="00B6559B"/>
    <w:rsid w:val="00B66F78"/>
    <w:rsid w:val="00B711D4"/>
    <w:rsid w:val="00B7159D"/>
    <w:rsid w:val="00B72DB0"/>
    <w:rsid w:val="00B77E0F"/>
    <w:rsid w:val="00B83ADA"/>
    <w:rsid w:val="00B90983"/>
    <w:rsid w:val="00B91AFF"/>
    <w:rsid w:val="00B979E8"/>
    <w:rsid w:val="00BA5110"/>
    <w:rsid w:val="00BA58F9"/>
    <w:rsid w:val="00BB3B44"/>
    <w:rsid w:val="00BB490A"/>
    <w:rsid w:val="00BB4C41"/>
    <w:rsid w:val="00BB612B"/>
    <w:rsid w:val="00BC0D1A"/>
    <w:rsid w:val="00BC7CAE"/>
    <w:rsid w:val="00BD3C59"/>
    <w:rsid w:val="00BD633F"/>
    <w:rsid w:val="00BE7194"/>
    <w:rsid w:val="00BF3F6C"/>
    <w:rsid w:val="00BF40D4"/>
    <w:rsid w:val="00C0426F"/>
    <w:rsid w:val="00C05ADF"/>
    <w:rsid w:val="00C10D8D"/>
    <w:rsid w:val="00C12B35"/>
    <w:rsid w:val="00C13FFA"/>
    <w:rsid w:val="00C147BA"/>
    <w:rsid w:val="00C152AC"/>
    <w:rsid w:val="00C171D9"/>
    <w:rsid w:val="00C21794"/>
    <w:rsid w:val="00C27576"/>
    <w:rsid w:val="00C377F4"/>
    <w:rsid w:val="00C4222C"/>
    <w:rsid w:val="00C468A7"/>
    <w:rsid w:val="00C47A14"/>
    <w:rsid w:val="00C52C2C"/>
    <w:rsid w:val="00C53A32"/>
    <w:rsid w:val="00C53D96"/>
    <w:rsid w:val="00C54E83"/>
    <w:rsid w:val="00C561E7"/>
    <w:rsid w:val="00C62573"/>
    <w:rsid w:val="00C64BC8"/>
    <w:rsid w:val="00C66047"/>
    <w:rsid w:val="00C7109A"/>
    <w:rsid w:val="00C73E51"/>
    <w:rsid w:val="00C73F8B"/>
    <w:rsid w:val="00C75817"/>
    <w:rsid w:val="00C806CC"/>
    <w:rsid w:val="00C8499A"/>
    <w:rsid w:val="00C84F08"/>
    <w:rsid w:val="00C86A7F"/>
    <w:rsid w:val="00C874F1"/>
    <w:rsid w:val="00C951B3"/>
    <w:rsid w:val="00C97248"/>
    <w:rsid w:val="00C97C09"/>
    <w:rsid w:val="00CA16FA"/>
    <w:rsid w:val="00CA32F1"/>
    <w:rsid w:val="00CA3C9A"/>
    <w:rsid w:val="00CA3F94"/>
    <w:rsid w:val="00CA5AF3"/>
    <w:rsid w:val="00CA7398"/>
    <w:rsid w:val="00CA7EF9"/>
    <w:rsid w:val="00CB73AD"/>
    <w:rsid w:val="00CB762A"/>
    <w:rsid w:val="00CC019F"/>
    <w:rsid w:val="00CC2E18"/>
    <w:rsid w:val="00CC2E30"/>
    <w:rsid w:val="00CC363C"/>
    <w:rsid w:val="00CC44D0"/>
    <w:rsid w:val="00CC6A84"/>
    <w:rsid w:val="00CC7122"/>
    <w:rsid w:val="00CC79D4"/>
    <w:rsid w:val="00CD17D1"/>
    <w:rsid w:val="00CD7003"/>
    <w:rsid w:val="00CE5169"/>
    <w:rsid w:val="00CE516D"/>
    <w:rsid w:val="00CF0ADD"/>
    <w:rsid w:val="00CF19EB"/>
    <w:rsid w:val="00CF1CA4"/>
    <w:rsid w:val="00CF2DA1"/>
    <w:rsid w:val="00CF470B"/>
    <w:rsid w:val="00D01693"/>
    <w:rsid w:val="00D056B0"/>
    <w:rsid w:val="00D0649A"/>
    <w:rsid w:val="00D107F2"/>
    <w:rsid w:val="00D109ED"/>
    <w:rsid w:val="00D14220"/>
    <w:rsid w:val="00D151AA"/>
    <w:rsid w:val="00D20BB6"/>
    <w:rsid w:val="00D264C8"/>
    <w:rsid w:val="00D27BE5"/>
    <w:rsid w:val="00D3543D"/>
    <w:rsid w:val="00D40425"/>
    <w:rsid w:val="00D40F2D"/>
    <w:rsid w:val="00D44BE2"/>
    <w:rsid w:val="00D46DE7"/>
    <w:rsid w:val="00D62761"/>
    <w:rsid w:val="00D640FE"/>
    <w:rsid w:val="00D66AF5"/>
    <w:rsid w:val="00D679A0"/>
    <w:rsid w:val="00D71271"/>
    <w:rsid w:val="00D71906"/>
    <w:rsid w:val="00D73CBD"/>
    <w:rsid w:val="00D77C31"/>
    <w:rsid w:val="00D77F15"/>
    <w:rsid w:val="00D8207A"/>
    <w:rsid w:val="00D83ADA"/>
    <w:rsid w:val="00D8426C"/>
    <w:rsid w:val="00D94852"/>
    <w:rsid w:val="00D95216"/>
    <w:rsid w:val="00DA1AEA"/>
    <w:rsid w:val="00DA2416"/>
    <w:rsid w:val="00DB0793"/>
    <w:rsid w:val="00DB0F05"/>
    <w:rsid w:val="00DB1B16"/>
    <w:rsid w:val="00DB4741"/>
    <w:rsid w:val="00DB5269"/>
    <w:rsid w:val="00DC0DBB"/>
    <w:rsid w:val="00DC14A4"/>
    <w:rsid w:val="00DC3157"/>
    <w:rsid w:val="00DC3A8D"/>
    <w:rsid w:val="00DC5338"/>
    <w:rsid w:val="00DC54BF"/>
    <w:rsid w:val="00DC55CF"/>
    <w:rsid w:val="00DD0703"/>
    <w:rsid w:val="00DD5275"/>
    <w:rsid w:val="00DE4264"/>
    <w:rsid w:val="00DE4A1B"/>
    <w:rsid w:val="00DE6B72"/>
    <w:rsid w:val="00DF07A9"/>
    <w:rsid w:val="00DF0F68"/>
    <w:rsid w:val="00DF2326"/>
    <w:rsid w:val="00E0046A"/>
    <w:rsid w:val="00E01742"/>
    <w:rsid w:val="00E01FF0"/>
    <w:rsid w:val="00E05835"/>
    <w:rsid w:val="00E060E8"/>
    <w:rsid w:val="00E0677C"/>
    <w:rsid w:val="00E141C5"/>
    <w:rsid w:val="00E14DEA"/>
    <w:rsid w:val="00E16A07"/>
    <w:rsid w:val="00E2061C"/>
    <w:rsid w:val="00E20D39"/>
    <w:rsid w:val="00E26F3B"/>
    <w:rsid w:val="00E40480"/>
    <w:rsid w:val="00E425C7"/>
    <w:rsid w:val="00E43AF4"/>
    <w:rsid w:val="00E43CBE"/>
    <w:rsid w:val="00E45D1B"/>
    <w:rsid w:val="00E52DBF"/>
    <w:rsid w:val="00E6035C"/>
    <w:rsid w:val="00E62B69"/>
    <w:rsid w:val="00E63D7F"/>
    <w:rsid w:val="00E644BD"/>
    <w:rsid w:val="00E66975"/>
    <w:rsid w:val="00E75EAE"/>
    <w:rsid w:val="00E804FE"/>
    <w:rsid w:val="00E80BCA"/>
    <w:rsid w:val="00E863DB"/>
    <w:rsid w:val="00E9218C"/>
    <w:rsid w:val="00E96D21"/>
    <w:rsid w:val="00E97EC2"/>
    <w:rsid w:val="00EA3F69"/>
    <w:rsid w:val="00EA7F3C"/>
    <w:rsid w:val="00EB2C29"/>
    <w:rsid w:val="00EB31F7"/>
    <w:rsid w:val="00EB4767"/>
    <w:rsid w:val="00EB4793"/>
    <w:rsid w:val="00EB5CFD"/>
    <w:rsid w:val="00EB5FD9"/>
    <w:rsid w:val="00EC067F"/>
    <w:rsid w:val="00EC4A34"/>
    <w:rsid w:val="00EC5E89"/>
    <w:rsid w:val="00ED0125"/>
    <w:rsid w:val="00ED09B2"/>
    <w:rsid w:val="00ED4390"/>
    <w:rsid w:val="00ED46FB"/>
    <w:rsid w:val="00ED6F5F"/>
    <w:rsid w:val="00EE325A"/>
    <w:rsid w:val="00EE752D"/>
    <w:rsid w:val="00EE79B6"/>
    <w:rsid w:val="00EF2235"/>
    <w:rsid w:val="00EF372A"/>
    <w:rsid w:val="00EF3D44"/>
    <w:rsid w:val="00EF566B"/>
    <w:rsid w:val="00EF6293"/>
    <w:rsid w:val="00EF6FA2"/>
    <w:rsid w:val="00F001DD"/>
    <w:rsid w:val="00F0671A"/>
    <w:rsid w:val="00F11BBF"/>
    <w:rsid w:val="00F13869"/>
    <w:rsid w:val="00F158DC"/>
    <w:rsid w:val="00F21642"/>
    <w:rsid w:val="00F3065A"/>
    <w:rsid w:val="00F32EE7"/>
    <w:rsid w:val="00F35215"/>
    <w:rsid w:val="00F3580C"/>
    <w:rsid w:val="00F37E54"/>
    <w:rsid w:val="00F4242F"/>
    <w:rsid w:val="00F45D91"/>
    <w:rsid w:val="00F5208B"/>
    <w:rsid w:val="00F5311B"/>
    <w:rsid w:val="00F55E42"/>
    <w:rsid w:val="00F564C3"/>
    <w:rsid w:val="00F56B8C"/>
    <w:rsid w:val="00F57A49"/>
    <w:rsid w:val="00F61956"/>
    <w:rsid w:val="00F61DD8"/>
    <w:rsid w:val="00F61FFA"/>
    <w:rsid w:val="00F65499"/>
    <w:rsid w:val="00F66BDE"/>
    <w:rsid w:val="00F6771C"/>
    <w:rsid w:val="00F67C24"/>
    <w:rsid w:val="00F71668"/>
    <w:rsid w:val="00F726A5"/>
    <w:rsid w:val="00F764AB"/>
    <w:rsid w:val="00F764B4"/>
    <w:rsid w:val="00F773D5"/>
    <w:rsid w:val="00F80E2B"/>
    <w:rsid w:val="00F814E0"/>
    <w:rsid w:val="00F81C76"/>
    <w:rsid w:val="00F833E2"/>
    <w:rsid w:val="00F873D6"/>
    <w:rsid w:val="00F90952"/>
    <w:rsid w:val="00F97937"/>
    <w:rsid w:val="00FA1225"/>
    <w:rsid w:val="00FA5E16"/>
    <w:rsid w:val="00FB0C00"/>
    <w:rsid w:val="00FB1231"/>
    <w:rsid w:val="00FB2203"/>
    <w:rsid w:val="00FB4F52"/>
    <w:rsid w:val="00FB57C4"/>
    <w:rsid w:val="00FC1228"/>
    <w:rsid w:val="00FC1397"/>
    <w:rsid w:val="00FC1770"/>
    <w:rsid w:val="00FC3C3A"/>
    <w:rsid w:val="00FC43AA"/>
    <w:rsid w:val="00FC51A3"/>
    <w:rsid w:val="00FC61AA"/>
    <w:rsid w:val="00FC7E07"/>
    <w:rsid w:val="00FD0D69"/>
    <w:rsid w:val="00FD2649"/>
    <w:rsid w:val="00FD466A"/>
    <w:rsid w:val="00FF030A"/>
    <w:rsid w:val="00FF0589"/>
    <w:rsid w:val="00FF0929"/>
    <w:rsid w:val="00FF0DFB"/>
    <w:rsid w:val="00FF18B9"/>
    <w:rsid w:val="00FF1CDB"/>
    <w:rsid w:val="00FF6C4E"/>
    <w:rsid w:val="01320784"/>
    <w:rsid w:val="01D775B9"/>
    <w:rsid w:val="023C0A53"/>
    <w:rsid w:val="025F068A"/>
    <w:rsid w:val="02AB78A7"/>
    <w:rsid w:val="030A3CD4"/>
    <w:rsid w:val="040558C7"/>
    <w:rsid w:val="042B43F7"/>
    <w:rsid w:val="04362CF7"/>
    <w:rsid w:val="05B80C5B"/>
    <w:rsid w:val="05FE503D"/>
    <w:rsid w:val="070473B1"/>
    <w:rsid w:val="0729334D"/>
    <w:rsid w:val="07423809"/>
    <w:rsid w:val="07CE5A57"/>
    <w:rsid w:val="0A4275CB"/>
    <w:rsid w:val="0BBC1ABF"/>
    <w:rsid w:val="0BFA08CB"/>
    <w:rsid w:val="0C2E2FC2"/>
    <w:rsid w:val="0D3153F6"/>
    <w:rsid w:val="0D7F17B3"/>
    <w:rsid w:val="0DAF4653"/>
    <w:rsid w:val="0DC109A3"/>
    <w:rsid w:val="0E72778B"/>
    <w:rsid w:val="0F823BE8"/>
    <w:rsid w:val="0FA80C82"/>
    <w:rsid w:val="0FE86C81"/>
    <w:rsid w:val="0FFD04F4"/>
    <w:rsid w:val="105242B4"/>
    <w:rsid w:val="107A2134"/>
    <w:rsid w:val="10B95F3D"/>
    <w:rsid w:val="12481061"/>
    <w:rsid w:val="1263625B"/>
    <w:rsid w:val="13317C49"/>
    <w:rsid w:val="148A696E"/>
    <w:rsid w:val="1551427F"/>
    <w:rsid w:val="156A31C2"/>
    <w:rsid w:val="158043D2"/>
    <w:rsid w:val="15B261F2"/>
    <w:rsid w:val="16386D6F"/>
    <w:rsid w:val="1698102A"/>
    <w:rsid w:val="18434EDA"/>
    <w:rsid w:val="186B7188"/>
    <w:rsid w:val="18AD28DA"/>
    <w:rsid w:val="18C06EA2"/>
    <w:rsid w:val="19667F55"/>
    <w:rsid w:val="19941A79"/>
    <w:rsid w:val="1A973405"/>
    <w:rsid w:val="1A995501"/>
    <w:rsid w:val="1BA43AA2"/>
    <w:rsid w:val="1BBB04DB"/>
    <w:rsid w:val="1C034179"/>
    <w:rsid w:val="1E5E79BE"/>
    <w:rsid w:val="1EA07C8F"/>
    <w:rsid w:val="1F1E30D4"/>
    <w:rsid w:val="1F791DFB"/>
    <w:rsid w:val="203F1FE2"/>
    <w:rsid w:val="208532C6"/>
    <w:rsid w:val="210A0B39"/>
    <w:rsid w:val="21543047"/>
    <w:rsid w:val="21964D31"/>
    <w:rsid w:val="21F933F3"/>
    <w:rsid w:val="23CF2604"/>
    <w:rsid w:val="24FA2C70"/>
    <w:rsid w:val="25944729"/>
    <w:rsid w:val="269D1FB6"/>
    <w:rsid w:val="27F93499"/>
    <w:rsid w:val="285D4359"/>
    <w:rsid w:val="28661A1E"/>
    <w:rsid w:val="28BB5FA1"/>
    <w:rsid w:val="28E021D4"/>
    <w:rsid w:val="28FA023F"/>
    <w:rsid w:val="29B73EBF"/>
    <w:rsid w:val="29D666BA"/>
    <w:rsid w:val="29FA25A0"/>
    <w:rsid w:val="2A081589"/>
    <w:rsid w:val="2A41270C"/>
    <w:rsid w:val="2A7F4B5E"/>
    <w:rsid w:val="2B054CA7"/>
    <w:rsid w:val="2B901954"/>
    <w:rsid w:val="2CC86AD6"/>
    <w:rsid w:val="2CF15BB9"/>
    <w:rsid w:val="2D7108B2"/>
    <w:rsid w:val="2E7A5C09"/>
    <w:rsid w:val="2F633420"/>
    <w:rsid w:val="2F6B22D1"/>
    <w:rsid w:val="3087449C"/>
    <w:rsid w:val="308B34C9"/>
    <w:rsid w:val="31010CB9"/>
    <w:rsid w:val="31892FEA"/>
    <w:rsid w:val="31A97690"/>
    <w:rsid w:val="32036BA7"/>
    <w:rsid w:val="326B3363"/>
    <w:rsid w:val="32783CBD"/>
    <w:rsid w:val="32837917"/>
    <w:rsid w:val="32A90EB9"/>
    <w:rsid w:val="32C338D5"/>
    <w:rsid w:val="32C85428"/>
    <w:rsid w:val="330D77F1"/>
    <w:rsid w:val="33452031"/>
    <w:rsid w:val="334560A5"/>
    <w:rsid w:val="33746962"/>
    <w:rsid w:val="339D2AE7"/>
    <w:rsid w:val="33AD7307"/>
    <w:rsid w:val="33BA2024"/>
    <w:rsid w:val="348B599E"/>
    <w:rsid w:val="34A30568"/>
    <w:rsid w:val="35826828"/>
    <w:rsid w:val="35C94F48"/>
    <w:rsid w:val="36234A99"/>
    <w:rsid w:val="36DC447F"/>
    <w:rsid w:val="36FF78A0"/>
    <w:rsid w:val="37090274"/>
    <w:rsid w:val="370E7591"/>
    <w:rsid w:val="37656620"/>
    <w:rsid w:val="396467E5"/>
    <w:rsid w:val="39FB7A9A"/>
    <w:rsid w:val="3A82130D"/>
    <w:rsid w:val="3A91125F"/>
    <w:rsid w:val="3A9F6028"/>
    <w:rsid w:val="3B1A6AAB"/>
    <w:rsid w:val="3B1B1F4B"/>
    <w:rsid w:val="3B946A5C"/>
    <w:rsid w:val="3BE85CAB"/>
    <w:rsid w:val="3C3E7065"/>
    <w:rsid w:val="3C9A015F"/>
    <w:rsid w:val="3D3E4E5B"/>
    <w:rsid w:val="3D4044D1"/>
    <w:rsid w:val="3E3D6FA4"/>
    <w:rsid w:val="3E567850"/>
    <w:rsid w:val="3F4B786A"/>
    <w:rsid w:val="3FD36D90"/>
    <w:rsid w:val="3FE275A9"/>
    <w:rsid w:val="40240DB0"/>
    <w:rsid w:val="40342AF9"/>
    <w:rsid w:val="40B938D6"/>
    <w:rsid w:val="41685D5D"/>
    <w:rsid w:val="417A0430"/>
    <w:rsid w:val="42A76A39"/>
    <w:rsid w:val="433253AB"/>
    <w:rsid w:val="448D38D7"/>
    <w:rsid w:val="44DC2E06"/>
    <w:rsid w:val="459A605F"/>
    <w:rsid w:val="4604196F"/>
    <w:rsid w:val="46CE7683"/>
    <w:rsid w:val="4710518A"/>
    <w:rsid w:val="471434B3"/>
    <w:rsid w:val="472D0E45"/>
    <w:rsid w:val="472F0593"/>
    <w:rsid w:val="47827BE2"/>
    <w:rsid w:val="4829275B"/>
    <w:rsid w:val="486F639A"/>
    <w:rsid w:val="487520DF"/>
    <w:rsid w:val="48F707EA"/>
    <w:rsid w:val="497652C4"/>
    <w:rsid w:val="499065F0"/>
    <w:rsid w:val="49BF711E"/>
    <w:rsid w:val="49E0216D"/>
    <w:rsid w:val="4B364C5B"/>
    <w:rsid w:val="4B8D1C84"/>
    <w:rsid w:val="4BED68F0"/>
    <w:rsid w:val="4C0D469D"/>
    <w:rsid w:val="4C632777"/>
    <w:rsid w:val="4CB14F60"/>
    <w:rsid w:val="4CE2572F"/>
    <w:rsid w:val="4D55716E"/>
    <w:rsid w:val="4D625C51"/>
    <w:rsid w:val="4D7802EA"/>
    <w:rsid w:val="4DBF526A"/>
    <w:rsid w:val="4DE44212"/>
    <w:rsid w:val="4E464FFF"/>
    <w:rsid w:val="4E972151"/>
    <w:rsid w:val="4F10124F"/>
    <w:rsid w:val="507C03A3"/>
    <w:rsid w:val="507F560D"/>
    <w:rsid w:val="50A86CDE"/>
    <w:rsid w:val="50BF7D6D"/>
    <w:rsid w:val="50D52A1B"/>
    <w:rsid w:val="52BE4A30"/>
    <w:rsid w:val="52E35777"/>
    <w:rsid w:val="53593274"/>
    <w:rsid w:val="56296E71"/>
    <w:rsid w:val="565463B1"/>
    <w:rsid w:val="56C836F9"/>
    <w:rsid w:val="5800716D"/>
    <w:rsid w:val="580D0CC0"/>
    <w:rsid w:val="589D5EAE"/>
    <w:rsid w:val="59675623"/>
    <w:rsid w:val="59E70A33"/>
    <w:rsid w:val="5A157CD6"/>
    <w:rsid w:val="5A6E3DCD"/>
    <w:rsid w:val="5ACA0A7C"/>
    <w:rsid w:val="5B7D1DE0"/>
    <w:rsid w:val="5B7E0789"/>
    <w:rsid w:val="5BEC3A0E"/>
    <w:rsid w:val="5BFB7461"/>
    <w:rsid w:val="5C5F1F58"/>
    <w:rsid w:val="5D5B3D39"/>
    <w:rsid w:val="5DAA43BA"/>
    <w:rsid w:val="5E46432F"/>
    <w:rsid w:val="5EB243B5"/>
    <w:rsid w:val="5EF6759E"/>
    <w:rsid w:val="5F35469F"/>
    <w:rsid w:val="60191D58"/>
    <w:rsid w:val="615A0A6C"/>
    <w:rsid w:val="61CC5A85"/>
    <w:rsid w:val="6204052B"/>
    <w:rsid w:val="63517CA1"/>
    <w:rsid w:val="63F027CE"/>
    <w:rsid w:val="648617E5"/>
    <w:rsid w:val="648A5E53"/>
    <w:rsid w:val="666B1527"/>
    <w:rsid w:val="669E5F5D"/>
    <w:rsid w:val="66E96D93"/>
    <w:rsid w:val="67297192"/>
    <w:rsid w:val="67616713"/>
    <w:rsid w:val="68096426"/>
    <w:rsid w:val="6820306D"/>
    <w:rsid w:val="6A0D1E65"/>
    <w:rsid w:val="6BC55C58"/>
    <w:rsid w:val="6BCC4A25"/>
    <w:rsid w:val="6BF828FC"/>
    <w:rsid w:val="6C35787C"/>
    <w:rsid w:val="6C6506F0"/>
    <w:rsid w:val="6DE43FD2"/>
    <w:rsid w:val="6DEB3806"/>
    <w:rsid w:val="6E2F0586"/>
    <w:rsid w:val="6E356422"/>
    <w:rsid w:val="6E3708AB"/>
    <w:rsid w:val="6F06296F"/>
    <w:rsid w:val="709376BA"/>
    <w:rsid w:val="70B8608E"/>
    <w:rsid w:val="72680A40"/>
    <w:rsid w:val="72C841F9"/>
    <w:rsid w:val="7309335B"/>
    <w:rsid w:val="73304768"/>
    <w:rsid w:val="73CD60D4"/>
    <w:rsid w:val="743A2439"/>
    <w:rsid w:val="7490446F"/>
    <w:rsid w:val="74A43FCE"/>
    <w:rsid w:val="75963988"/>
    <w:rsid w:val="763920F7"/>
    <w:rsid w:val="763E2BEC"/>
    <w:rsid w:val="766D20FA"/>
    <w:rsid w:val="773248E1"/>
    <w:rsid w:val="776254D4"/>
    <w:rsid w:val="77A61A3E"/>
    <w:rsid w:val="77DE4FA4"/>
    <w:rsid w:val="77DE6B3D"/>
    <w:rsid w:val="783C7F47"/>
    <w:rsid w:val="78767EFE"/>
    <w:rsid w:val="78776AEC"/>
    <w:rsid w:val="789C5271"/>
    <w:rsid w:val="78CC554E"/>
    <w:rsid w:val="7940455D"/>
    <w:rsid w:val="79777720"/>
    <w:rsid w:val="79952538"/>
    <w:rsid w:val="7A377AE6"/>
    <w:rsid w:val="7A6D6417"/>
    <w:rsid w:val="7AF93E6C"/>
    <w:rsid w:val="7B9F1D92"/>
    <w:rsid w:val="7BE02690"/>
    <w:rsid w:val="7CDD4E04"/>
    <w:rsid w:val="7D2C7A18"/>
    <w:rsid w:val="7EAF05E7"/>
    <w:rsid w:val="7EC21C85"/>
    <w:rsid w:val="7F905B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4266E3"/>
  <w15:docId w15:val="{78A462B3-9F52-4E0A-8F40-D085DA7B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944"/>
    <w:pPr>
      <w:spacing w:before="100" w:beforeAutospacing="1" w:after="200" w:line="273" w:lineRule="auto"/>
    </w:pPr>
    <w:rPr>
      <w:rFonts w:ascii="Times New Roman" w:eastAsia="Times New Roman" w:hAnsi="Times New Roman" w:cs="Times New Roman"/>
      <w:sz w:val="22"/>
      <w:szCs w:val="22"/>
      <w:lang w:val="zh-CN" w:eastAsia="zh-CN"/>
    </w:rPr>
  </w:style>
  <w:style w:type="paragraph" w:styleId="Heading1">
    <w:name w:val="heading 1"/>
    <w:basedOn w:val="Normal"/>
    <w:next w:val="Normal"/>
    <w:link w:val="Heading1Char"/>
    <w:uiPriority w:val="99"/>
    <w:qFormat/>
    <w:rsid w:val="007C2944"/>
    <w:pPr>
      <w:keepNext/>
      <w:keepLines/>
      <w:widowControl w:val="0"/>
      <w:spacing w:before="240" w:beforeAutospacing="0" w:after="0"/>
      <w:outlineLvl w:val="0"/>
    </w:pPr>
    <w:rPr>
      <w:rFonts w:ascii="Cambria" w:eastAsia="SimSun" w:hAnsi="Cambria"/>
      <w:color w:val="366091"/>
      <w:sz w:val="32"/>
      <w:szCs w:val="32"/>
    </w:rPr>
  </w:style>
  <w:style w:type="paragraph" w:styleId="Heading2">
    <w:name w:val="heading 2"/>
    <w:basedOn w:val="Normal"/>
    <w:next w:val="Normal"/>
    <w:link w:val="Heading2Char"/>
    <w:uiPriority w:val="99"/>
    <w:qFormat/>
    <w:rsid w:val="007C2944"/>
    <w:pPr>
      <w:keepNext/>
      <w:keepLines/>
      <w:widowControl w:val="0"/>
      <w:spacing w:before="40" w:beforeAutospacing="0" w:after="0"/>
      <w:outlineLvl w:val="1"/>
    </w:pPr>
    <w:rPr>
      <w:rFonts w:ascii="Cambria" w:eastAsia="SimSun" w:hAnsi="Cambria"/>
      <w:color w:val="366091"/>
      <w:sz w:val="26"/>
      <w:szCs w:val="26"/>
    </w:rPr>
  </w:style>
  <w:style w:type="paragraph" w:styleId="Heading3">
    <w:name w:val="heading 3"/>
    <w:basedOn w:val="Normal"/>
    <w:next w:val="Normal"/>
    <w:link w:val="Heading3Char"/>
    <w:uiPriority w:val="9"/>
    <w:qFormat/>
    <w:rsid w:val="007C2944"/>
    <w:pPr>
      <w:keepNext/>
      <w:keepLines/>
      <w:spacing w:before="200" w:after="0"/>
      <w:outlineLvl w:val="2"/>
    </w:pPr>
    <w:rPr>
      <w:rFonts w:ascii="Cambria" w:eastAsia="SimSun" w:hAnsi="Cambria"/>
      <w:b/>
      <w:bCs/>
      <w:color w:val="4F81BD"/>
    </w:rPr>
  </w:style>
  <w:style w:type="paragraph" w:styleId="Heading4">
    <w:name w:val="heading 4"/>
    <w:next w:val="Normal"/>
    <w:uiPriority w:val="9"/>
    <w:qFormat/>
    <w:rsid w:val="007C2944"/>
    <w:pPr>
      <w:spacing w:beforeAutospacing="1" w:afterAutospacing="1"/>
      <w:outlineLvl w:val="3"/>
    </w:pPr>
    <w:rPr>
      <w:rFonts w:ascii="SimSun" w:eastAsia="SimSun" w:hAnsi="SimSun" w:cs="Times New Roman" w:hint="eastAsia"/>
      <w:b/>
      <w:bCs/>
      <w:sz w:val="24"/>
      <w:szCs w:val="24"/>
      <w:lang w:val="en-US" w:eastAsia="zh-CN"/>
    </w:rPr>
  </w:style>
  <w:style w:type="paragraph" w:styleId="Heading5">
    <w:name w:val="heading 5"/>
    <w:basedOn w:val="Normal"/>
    <w:next w:val="Normal"/>
    <w:link w:val="Heading5Char"/>
    <w:uiPriority w:val="9"/>
    <w:qFormat/>
    <w:rsid w:val="007C2944"/>
    <w:pPr>
      <w:keepNext/>
      <w:keepLines/>
      <w:spacing w:before="40" w:after="0"/>
      <w:outlineLvl w:val="4"/>
    </w:pPr>
    <w:rPr>
      <w:rFonts w:ascii="Cambria" w:eastAsia="SimSun" w:hAnsi="Cambria"/>
      <w:color w:val="365F91"/>
    </w:rPr>
  </w:style>
  <w:style w:type="paragraph" w:styleId="Heading6">
    <w:name w:val="heading 6"/>
    <w:next w:val="Normal"/>
    <w:uiPriority w:val="9"/>
    <w:qFormat/>
    <w:rsid w:val="007C2944"/>
    <w:pPr>
      <w:spacing w:before="100" w:beforeAutospacing="1" w:after="100" w:afterAutospacing="1"/>
      <w:outlineLvl w:val="5"/>
    </w:pPr>
    <w:rPr>
      <w:rFonts w:ascii="SimSun" w:eastAsia="SimSun" w:hAnsi="SimSun" w:cs="Times New Roman" w:hint="eastAsia"/>
      <w:b/>
      <w:bCs/>
      <w:sz w:val="15"/>
      <w:szCs w:val="15"/>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7C2944"/>
    <w:pPr>
      <w:spacing w:before="0" w:after="0" w:line="240" w:lineRule="auto"/>
    </w:pPr>
    <w:rPr>
      <w:rFonts w:ascii="Tahoma" w:hAnsi="Tahoma" w:cs="Tahoma"/>
      <w:sz w:val="16"/>
      <w:szCs w:val="16"/>
    </w:rPr>
  </w:style>
  <w:style w:type="paragraph" w:styleId="Caption">
    <w:name w:val="caption"/>
    <w:basedOn w:val="Normal"/>
    <w:next w:val="Normal"/>
    <w:uiPriority w:val="35"/>
    <w:qFormat/>
    <w:rsid w:val="007C2944"/>
    <w:pPr>
      <w:spacing w:before="0" w:line="240" w:lineRule="auto"/>
    </w:pPr>
    <w:rPr>
      <w:b/>
      <w:bCs/>
      <w:sz w:val="24"/>
      <w:szCs w:val="24"/>
    </w:rPr>
  </w:style>
  <w:style w:type="character" w:styleId="CommentReference">
    <w:name w:val="annotation reference"/>
    <w:uiPriority w:val="99"/>
    <w:unhideWhenUsed/>
    <w:qFormat/>
    <w:rsid w:val="007C2944"/>
    <w:rPr>
      <w:sz w:val="16"/>
      <w:szCs w:val="16"/>
    </w:rPr>
  </w:style>
  <w:style w:type="paragraph" w:styleId="CommentText">
    <w:name w:val="annotation text"/>
    <w:basedOn w:val="Normal"/>
    <w:link w:val="CommentTextChar"/>
    <w:uiPriority w:val="99"/>
    <w:unhideWhenUsed/>
    <w:qFormat/>
    <w:rsid w:val="007C2944"/>
    <w:pPr>
      <w:spacing w:before="0" w:beforeAutospacing="0" w:line="276" w:lineRule="auto"/>
    </w:pPr>
    <w:rPr>
      <w:rFonts w:eastAsia="Calibri"/>
      <w:sz w:val="20"/>
      <w:szCs w:val="20"/>
      <w:lang w:val="en-US" w:eastAsia="en-US"/>
    </w:rPr>
  </w:style>
  <w:style w:type="character" w:styleId="Emphasis">
    <w:name w:val="Emphasis"/>
    <w:uiPriority w:val="20"/>
    <w:qFormat/>
    <w:rsid w:val="007C2944"/>
    <w:rPr>
      <w:i/>
      <w:iCs/>
    </w:rPr>
  </w:style>
  <w:style w:type="character" w:styleId="FollowedHyperlink">
    <w:name w:val="FollowedHyperlink"/>
    <w:uiPriority w:val="99"/>
    <w:unhideWhenUsed/>
    <w:qFormat/>
    <w:rsid w:val="007C2944"/>
    <w:rPr>
      <w:color w:val="800080"/>
      <w:u w:val="single"/>
    </w:rPr>
  </w:style>
  <w:style w:type="paragraph" w:styleId="Footer">
    <w:name w:val="footer"/>
    <w:basedOn w:val="Normal"/>
    <w:link w:val="FooterChar"/>
    <w:uiPriority w:val="99"/>
    <w:unhideWhenUsed/>
    <w:qFormat/>
    <w:rsid w:val="007C2944"/>
    <w:pPr>
      <w:tabs>
        <w:tab w:val="center" w:pos="4680"/>
        <w:tab w:val="right" w:pos="9360"/>
      </w:tabs>
      <w:spacing w:before="0" w:after="0" w:line="240" w:lineRule="auto"/>
    </w:pPr>
  </w:style>
  <w:style w:type="paragraph" w:styleId="Header">
    <w:name w:val="header"/>
    <w:basedOn w:val="Normal"/>
    <w:link w:val="HeaderChar"/>
    <w:uiPriority w:val="99"/>
    <w:unhideWhenUsed/>
    <w:qFormat/>
    <w:rsid w:val="007C2944"/>
    <w:pPr>
      <w:tabs>
        <w:tab w:val="center" w:pos="4680"/>
        <w:tab w:val="right" w:pos="9360"/>
      </w:tabs>
      <w:spacing w:before="0" w:after="0" w:line="240" w:lineRule="auto"/>
    </w:pPr>
  </w:style>
  <w:style w:type="character" w:styleId="Hyperlink">
    <w:name w:val="Hyperlink"/>
    <w:uiPriority w:val="99"/>
    <w:unhideWhenUsed/>
    <w:qFormat/>
    <w:rsid w:val="007C2944"/>
    <w:rPr>
      <w:color w:val="0000FF"/>
      <w:u w:val="single"/>
    </w:rPr>
  </w:style>
  <w:style w:type="paragraph" w:styleId="NormalWeb">
    <w:name w:val="Normal (Web)"/>
    <w:basedOn w:val="Normal"/>
    <w:uiPriority w:val="99"/>
    <w:unhideWhenUsed/>
    <w:qFormat/>
    <w:rsid w:val="007C2944"/>
    <w:pPr>
      <w:spacing w:afterAutospacing="1"/>
    </w:pPr>
    <w:rPr>
      <w:rFonts w:eastAsia="SimSun"/>
      <w:sz w:val="24"/>
      <w:szCs w:val="24"/>
      <w:lang w:val="en-US"/>
    </w:rPr>
  </w:style>
  <w:style w:type="character" w:styleId="Strong">
    <w:name w:val="Strong"/>
    <w:uiPriority w:val="22"/>
    <w:qFormat/>
    <w:rsid w:val="007C2944"/>
    <w:rPr>
      <w:b/>
      <w:bCs/>
    </w:rPr>
  </w:style>
  <w:style w:type="paragraph" w:styleId="Subtitle">
    <w:name w:val="Subtitle"/>
    <w:basedOn w:val="Normal"/>
    <w:next w:val="Normal"/>
    <w:link w:val="SubtitleChar"/>
    <w:uiPriority w:val="11"/>
    <w:qFormat/>
    <w:rsid w:val="007C2944"/>
    <w:pPr>
      <w:spacing w:after="160"/>
    </w:pPr>
    <w:rPr>
      <w:rFonts w:ascii="Calibri" w:eastAsia="SimSun" w:hAnsi="Calibri"/>
      <w:color w:val="595959"/>
      <w:spacing w:val="15"/>
    </w:rPr>
  </w:style>
  <w:style w:type="table" w:styleId="TableGrid">
    <w:name w:val="Table Grid"/>
    <w:basedOn w:val="TableNormal"/>
    <w:uiPriority w:val="39"/>
    <w:qFormat/>
    <w:rsid w:val="007C2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7C2944"/>
    <w:pPr>
      <w:spacing w:after="0"/>
    </w:pPr>
  </w:style>
  <w:style w:type="paragraph" w:styleId="Title">
    <w:name w:val="Title"/>
    <w:basedOn w:val="Normal"/>
    <w:next w:val="Normal"/>
    <w:link w:val="TitleChar"/>
    <w:uiPriority w:val="10"/>
    <w:qFormat/>
    <w:rsid w:val="007C2944"/>
    <w:pPr>
      <w:spacing w:before="0" w:after="0" w:line="240" w:lineRule="auto"/>
      <w:contextualSpacing/>
    </w:pPr>
    <w:rPr>
      <w:rFonts w:ascii="Cambria" w:eastAsia="SimSun" w:hAnsi="Cambria"/>
      <w:spacing w:val="-10"/>
      <w:kern w:val="28"/>
      <w:sz w:val="56"/>
      <w:szCs w:val="56"/>
    </w:rPr>
  </w:style>
  <w:style w:type="paragraph" w:styleId="TOC1">
    <w:name w:val="toc 1"/>
    <w:basedOn w:val="Normal"/>
    <w:next w:val="Normal"/>
    <w:uiPriority w:val="39"/>
    <w:unhideWhenUsed/>
    <w:qFormat/>
    <w:rsid w:val="007C2944"/>
    <w:pPr>
      <w:tabs>
        <w:tab w:val="right" w:leader="middleDot" w:pos="9350"/>
      </w:tabs>
      <w:spacing w:before="0" w:beforeAutospacing="0" w:after="0" w:line="360" w:lineRule="auto"/>
      <w:jc w:val="both"/>
    </w:pPr>
    <w:rPr>
      <w:rFonts w:eastAsia="SimSun"/>
      <w:color w:val="FF0000"/>
      <w:sz w:val="24"/>
      <w:szCs w:val="24"/>
      <w:lang w:val="en-US"/>
    </w:rPr>
  </w:style>
  <w:style w:type="paragraph" w:styleId="TOC2">
    <w:name w:val="toc 2"/>
    <w:basedOn w:val="Normal"/>
    <w:next w:val="Normal"/>
    <w:uiPriority w:val="39"/>
    <w:unhideWhenUsed/>
    <w:qFormat/>
    <w:rsid w:val="007C2944"/>
    <w:pPr>
      <w:tabs>
        <w:tab w:val="right" w:leader="middleDot" w:pos="9350"/>
      </w:tabs>
      <w:spacing w:before="0" w:beforeAutospacing="0" w:after="0" w:line="360" w:lineRule="auto"/>
      <w:ind w:left="220"/>
      <w:jc w:val="both"/>
    </w:pPr>
  </w:style>
  <w:style w:type="paragraph" w:styleId="TOC3">
    <w:name w:val="toc 3"/>
    <w:basedOn w:val="Normal"/>
    <w:next w:val="Normal"/>
    <w:uiPriority w:val="39"/>
    <w:unhideWhenUsed/>
    <w:qFormat/>
    <w:rsid w:val="007C2944"/>
    <w:pPr>
      <w:tabs>
        <w:tab w:val="right" w:leader="middleDot" w:pos="9350"/>
      </w:tabs>
      <w:spacing w:before="0" w:beforeAutospacing="0" w:after="0" w:line="360" w:lineRule="auto"/>
      <w:ind w:left="440"/>
    </w:pPr>
  </w:style>
  <w:style w:type="paragraph" w:styleId="TOC4">
    <w:name w:val="toc 4"/>
    <w:basedOn w:val="Normal"/>
    <w:next w:val="Normal"/>
    <w:uiPriority w:val="39"/>
    <w:unhideWhenUsed/>
    <w:qFormat/>
    <w:rsid w:val="007C2944"/>
    <w:pPr>
      <w:spacing w:before="0" w:beforeAutospacing="0" w:after="100" w:line="259" w:lineRule="auto"/>
      <w:ind w:left="660"/>
    </w:pPr>
    <w:rPr>
      <w:lang w:val="en-US" w:eastAsia="en-US"/>
    </w:rPr>
  </w:style>
  <w:style w:type="paragraph" w:styleId="TOC5">
    <w:name w:val="toc 5"/>
    <w:basedOn w:val="Normal"/>
    <w:next w:val="Normal"/>
    <w:uiPriority w:val="39"/>
    <w:unhideWhenUsed/>
    <w:qFormat/>
    <w:rsid w:val="007C2944"/>
    <w:pPr>
      <w:spacing w:before="0" w:beforeAutospacing="0" w:after="100" w:line="259" w:lineRule="auto"/>
      <w:ind w:left="880"/>
    </w:pPr>
    <w:rPr>
      <w:lang w:val="en-US" w:eastAsia="en-US"/>
    </w:rPr>
  </w:style>
  <w:style w:type="paragraph" w:styleId="TOC6">
    <w:name w:val="toc 6"/>
    <w:basedOn w:val="Normal"/>
    <w:next w:val="Normal"/>
    <w:uiPriority w:val="39"/>
    <w:unhideWhenUsed/>
    <w:qFormat/>
    <w:rsid w:val="007C2944"/>
    <w:pPr>
      <w:spacing w:before="0" w:beforeAutospacing="0" w:after="100" w:line="259" w:lineRule="auto"/>
      <w:ind w:left="1100"/>
    </w:pPr>
    <w:rPr>
      <w:lang w:val="en-US" w:eastAsia="en-US"/>
    </w:rPr>
  </w:style>
  <w:style w:type="paragraph" w:styleId="TOC7">
    <w:name w:val="toc 7"/>
    <w:basedOn w:val="Normal"/>
    <w:next w:val="Normal"/>
    <w:uiPriority w:val="39"/>
    <w:unhideWhenUsed/>
    <w:qFormat/>
    <w:rsid w:val="007C2944"/>
    <w:pPr>
      <w:spacing w:before="0" w:beforeAutospacing="0" w:after="100" w:line="259" w:lineRule="auto"/>
      <w:ind w:left="1320"/>
    </w:pPr>
    <w:rPr>
      <w:lang w:val="en-US" w:eastAsia="en-US"/>
    </w:rPr>
  </w:style>
  <w:style w:type="paragraph" w:styleId="TOC8">
    <w:name w:val="toc 8"/>
    <w:basedOn w:val="Normal"/>
    <w:next w:val="Normal"/>
    <w:uiPriority w:val="39"/>
    <w:unhideWhenUsed/>
    <w:qFormat/>
    <w:rsid w:val="007C2944"/>
    <w:pPr>
      <w:spacing w:before="0" w:beforeAutospacing="0" w:after="100" w:line="259" w:lineRule="auto"/>
      <w:ind w:left="1540"/>
    </w:pPr>
    <w:rPr>
      <w:lang w:val="en-US" w:eastAsia="en-US"/>
    </w:rPr>
  </w:style>
  <w:style w:type="paragraph" w:styleId="TOC9">
    <w:name w:val="toc 9"/>
    <w:basedOn w:val="Normal"/>
    <w:next w:val="Normal"/>
    <w:uiPriority w:val="39"/>
    <w:unhideWhenUsed/>
    <w:qFormat/>
    <w:rsid w:val="007C2944"/>
    <w:pPr>
      <w:spacing w:before="0" w:beforeAutospacing="0" w:after="100" w:line="259" w:lineRule="auto"/>
      <w:ind w:left="1760"/>
    </w:pPr>
    <w:rPr>
      <w:lang w:val="en-US" w:eastAsia="en-US"/>
    </w:rPr>
  </w:style>
  <w:style w:type="character" w:customStyle="1" w:styleId="Heading1Char">
    <w:name w:val="Heading 1 Char"/>
    <w:link w:val="Heading1"/>
    <w:uiPriority w:val="99"/>
    <w:qFormat/>
    <w:rsid w:val="007C2944"/>
    <w:rPr>
      <w:rFonts w:ascii="Cambria" w:eastAsia="SimSun" w:hAnsi="Cambria" w:cs="Times New Roman"/>
      <w:color w:val="366091"/>
      <w:sz w:val="32"/>
      <w:szCs w:val="32"/>
      <w:lang w:val="zh-CN" w:eastAsia="zh-CN"/>
    </w:rPr>
  </w:style>
  <w:style w:type="character" w:customStyle="1" w:styleId="Heading2Char">
    <w:name w:val="Heading 2 Char"/>
    <w:link w:val="Heading2"/>
    <w:uiPriority w:val="9"/>
    <w:qFormat/>
    <w:rsid w:val="007C2944"/>
    <w:rPr>
      <w:rFonts w:ascii="Cambria" w:eastAsia="SimSun" w:hAnsi="Cambria" w:cs="Times New Roman"/>
      <w:color w:val="366091"/>
      <w:sz w:val="26"/>
      <w:szCs w:val="26"/>
      <w:lang w:val="zh-CN" w:eastAsia="zh-CN"/>
    </w:rPr>
  </w:style>
  <w:style w:type="character" w:customStyle="1" w:styleId="Heading3Char">
    <w:name w:val="Heading 3 Char"/>
    <w:link w:val="Heading3"/>
    <w:uiPriority w:val="9"/>
    <w:qFormat/>
    <w:rsid w:val="007C2944"/>
    <w:rPr>
      <w:rFonts w:ascii="Cambria" w:eastAsia="SimSun" w:hAnsi="Cambria" w:cs="Times New Roman"/>
      <w:b/>
      <w:bCs/>
      <w:color w:val="4F81BD"/>
      <w:sz w:val="22"/>
      <w:szCs w:val="22"/>
      <w:lang w:val="zh-CN" w:eastAsia="zh-CN"/>
    </w:rPr>
  </w:style>
  <w:style w:type="character" w:customStyle="1" w:styleId="Heading5Char">
    <w:name w:val="Heading 5 Char"/>
    <w:link w:val="Heading5"/>
    <w:uiPriority w:val="9"/>
    <w:semiHidden/>
    <w:qFormat/>
    <w:rsid w:val="007C2944"/>
    <w:rPr>
      <w:rFonts w:ascii="Cambria" w:eastAsia="SimSun" w:hAnsi="Cambria" w:cs="Times New Roman"/>
      <w:color w:val="365F91"/>
      <w:sz w:val="22"/>
      <w:szCs w:val="22"/>
      <w:lang w:val="zh-CN" w:eastAsia="zh-CN"/>
    </w:rPr>
  </w:style>
  <w:style w:type="character" w:customStyle="1" w:styleId="BalloonTextChar">
    <w:name w:val="Balloon Text Char"/>
    <w:link w:val="BalloonText"/>
    <w:uiPriority w:val="99"/>
    <w:semiHidden/>
    <w:qFormat/>
    <w:rsid w:val="007C2944"/>
    <w:rPr>
      <w:rFonts w:ascii="Tahoma" w:eastAsia="Times New Roman" w:hAnsi="Tahoma" w:cs="Tahoma"/>
      <w:sz w:val="16"/>
      <w:szCs w:val="16"/>
      <w:lang w:val="zh-CN" w:eastAsia="zh-CN"/>
    </w:rPr>
  </w:style>
  <w:style w:type="character" w:customStyle="1" w:styleId="CommentTextChar">
    <w:name w:val="Comment Text Char"/>
    <w:link w:val="CommentText"/>
    <w:uiPriority w:val="99"/>
    <w:semiHidden/>
    <w:qFormat/>
    <w:rsid w:val="007C2944"/>
    <w:rPr>
      <w:rFonts w:ascii="Calibri" w:eastAsia="Calibri" w:hAnsi="Calibri"/>
    </w:rPr>
  </w:style>
  <w:style w:type="character" w:customStyle="1" w:styleId="FooterChar">
    <w:name w:val="Footer Char"/>
    <w:link w:val="Footer"/>
    <w:uiPriority w:val="99"/>
    <w:qFormat/>
    <w:rsid w:val="007C2944"/>
    <w:rPr>
      <w:rFonts w:ascii="Calibri" w:eastAsia="Times New Roman" w:hAnsi="Calibri" w:cs="Times New Roman"/>
      <w:sz w:val="22"/>
      <w:szCs w:val="22"/>
      <w:lang w:val="zh-CN" w:eastAsia="zh-CN"/>
    </w:rPr>
  </w:style>
  <w:style w:type="character" w:customStyle="1" w:styleId="HeaderChar">
    <w:name w:val="Header Char"/>
    <w:link w:val="Header"/>
    <w:uiPriority w:val="99"/>
    <w:qFormat/>
    <w:rsid w:val="007C2944"/>
    <w:rPr>
      <w:rFonts w:ascii="Calibri" w:eastAsia="Times New Roman" w:hAnsi="Calibri" w:cs="Times New Roman"/>
      <w:sz w:val="22"/>
      <w:szCs w:val="22"/>
      <w:lang w:val="zh-CN" w:eastAsia="zh-CN"/>
    </w:rPr>
  </w:style>
  <w:style w:type="character" w:customStyle="1" w:styleId="SubtitleChar">
    <w:name w:val="Subtitle Char"/>
    <w:link w:val="Subtitle"/>
    <w:uiPriority w:val="11"/>
    <w:qFormat/>
    <w:rsid w:val="007C2944"/>
    <w:rPr>
      <w:rFonts w:ascii="Calibri" w:eastAsia="SimSun" w:hAnsi="Calibri" w:cs="Times New Roman"/>
      <w:color w:val="595959"/>
      <w:spacing w:val="15"/>
      <w:sz w:val="22"/>
      <w:szCs w:val="22"/>
      <w:lang w:val="zh-CN" w:eastAsia="zh-CN"/>
    </w:rPr>
  </w:style>
  <w:style w:type="character" w:customStyle="1" w:styleId="TitleChar">
    <w:name w:val="Title Char"/>
    <w:link w:val="Title"/>
    <w:uiPriority w:val="10"/>
    <w:qFormat/>
    <w:rsid w:val="007C2944"/>
    <w:rPr>
      <w:rFonts w:ascii="Cambria" w:eastAsia="SimSun" w:hAnsi="Cambria" w:cs="Times New Roman"/>
      <w:spacing w:val="-10"/>
      <w:kern w:val="28"/>
      <w:sz w:val="56"/>
      <w:szCs w:val="56"/>
      <w:lang w:val="zh-CN" w:eastAsia="zh-CN"/>
    </w:rPr>
  </w:style>
  <w:style w:type="paragraph" w:styleId="ListParagraph">
    <w:name w:val="List Paragraph"/>
    <w:basedOn w:val="Normal"/>
    <w:link w:val="ListParagraphChar"/>
    <w:uiPriority w:val="34"/>
    <w:qFormat/>
    <w:rsid w:val="007C2944"/>
    <w:pPr>
      <w:spacing w:line="268" w:lineRule="auto"/>
      <w:ind w:left="720"/>
      <w:contextualSpacing/>
    </w:pPr>
    <w:rPr>
      <w:rFonts w:cs="SimSun"/>
    </w:rPr>
  </w:style>
  <w:style w:type="character" w:customStyle="1" w:styleId="ListParagraphChar">
    <w:name w:val="List Paragraph Char"/>
    <w:link w:val="ListParagraph"/>
    <w:uiPriority w:val="34"/>
    <w:qFormat/>
    <w:rsid w:val="007C2944"/>
    <w:rPr>
      <w:rFonts w:ascii="Calibri" w:eastAsia="Times New Roman" w:hAnsi="Calibri" w:cs="SimSun"/>
      <w:sz w:val="22"/>
      <w:szCs w:val="22"/>
      <w:lang w:val="zh-CN" w:eastAsia="zh-CN"/>
    </w:rPr>
  </w:style>
  <w:style w:type="paragraph" w:customStyle="1" w:styleId="TOCHeading1">
    <w:name w:val="TOC Heading1"/>
    <w:basedOn w:val="Heading1"/>
    <w:next w:val="Normal"/>
    <w:uiPriority w:val="39"/>
    <w:unhideWhenUsed/>
    <w:qFormat/>
    <w:rsid w:val="007C2944"/>
    <w:pPr>
      <w:widowControl/>
      <w:spacing w:before="480" w:line="276" w:lineRule="auto"/>
      <w:outlineLvl w:val="9"/>
    </w:pPr>
    <w:rPr>
      <w:b/>
      <w:bCs/>
      <w:color w:val="365F91"/>
      <w:sz w:val="28"/>
      <w:szCs w:val="28"/>
      <w:lang w:val="en-US" w:eastAsia="ja-JP"/>
    </w:rPr>
  </w:style>
  <w:style w:type="character" w:customStyle="1" w:styleId="15">
    <w:name w:val="15"/>
    <w:qFormat/>
    <w:rsid w:val="007C2944"/>
    <w:rPr>
      <w:rFonts w:ascii="Times New Roman" w:hAnsi="Times New Roman" w:cs="Times New Roman" w:hint="default"/>
      <w:color w:val="0000FF"/>
      <w:u w:val="single"/>
    </w:rPr>
  </w:style>
  <w:style w:type="character" w:styleId="PlaceholderText">
    <w:name w:val="Placeholder Text"/>
    <w:uiPriority w:val="99"/>
    <w:semiHidden/>
    <w:qFormat/>
    <w:rsid w:val="007C2944"/>
    <w:rPr>
      <w:color w:val="808080"/>
    </w:rPr>
  </w:style>
  <w:style w:type="table" w:customStyle="1" w:styleId="TableGrid0">
    <w:name w:val="TableGrid"/>
    <w:qFormat/>
    <w:rsid w:val="007C2944"/>
    <w:rPr>
      <w:lang w:val="en-US" w:eastAsia="en-US"/>
    </w:rPr>
    <w:tblPr>
      <w:tblCellMar>
        <w:top w:w="0" w:type="dxa"/>
        <w:left w:w="0" w:type="dxa"/>
        <w:bottom w:w="0" w:type="dxa"/>
        <w:right w:w="0" w:type="dxa"/>
      </w:tblCellMar>
    </w:tblPr>
  </w:style>
  <w:style w:type="paragraph" w:styleId="NoSpacing">
    <w:name w:val="No Spacing"/>
    <w:uiPriority w:val="1"/>
    <w:qFormat/>
    <w:rsid w:val="007C2944"/>
    <w:rPr>
      <w:rFonts w:ascii="Times New Roman" w:eastAsia="SimSun" w:hAnsi="Times New Roman" w:cs="Times New Roman"/>
      <w:kern w:val="2"/>
      <w:sz w:val="22"/>
      <w:szCs w:val="22"/>
      <w:lang w:eastAsia="zh-CN"/>
    </w:rPr>
  </w:style>
  <w:style w:type="character" w:customStyle="1" w:styleId="katex-mathml">
    <w:name w:val="katex-mathml"/>
    <w:qFormat/>
    <w:rsid w:val="007C2944"/>
  </w:style>
  <w:style w:type="character" w:customStyle="1" w:styleId="mord">
    <w:name w:val="mord"/>
    <w:qFormat/>
    <w:rsid w:val="007C2944"/>
  </w:style>
  <w:style w:type="character" w:customStyle="1" w:styleId="mrel">
    <w:name w:val="mrel"/>
    <w:qFormat/>
    <w:rsid w:val="007C2944"/>
  </w:style>
  <w:style w:type="paragraph" w:customStyle="1" w:styleId="WPSOffice1">
    <w:name w:val="WPSOffice手动目录 1"/>
    <w:qFormat/>
    <w:rsid w:val="007C2944"/>
    <w:rPr>
      <w:rFonts w:ascii="Times New Roman" w:eastAsia="SimSun" w:hAnsi="Times New Roman" w:cs="Times New Roman"/>
      <w:lang w:val="en-US" w:eastAsia="en-US"/>
    </w:rPr>
  </w:style>
  <w:style w:type="paragraph" w:customStyle="1" w:styleId="TOCHeading2">
    <w:name w:val="TOC Heading2"/>
    <w:basedOn w:val="Heading1"/>
    <w:next w:val="Normal"/>
    <w:uiPriority w:val="39"/>
    <w:unhideWhenUsed/>
    <w:qFormat/>
    <w:rsid w:val="007C2944"/>
    <w:pPr>
      <w:widowControl/>
      <w:spacing w:before="480" w:line="276" w:lineRule="auto"/>
      <w:outlineLvl w:val="9"/>
    </w:pPr>
    <w:rPr>
      <w:b/>
      <w:bCs/>
      <w:color w:val="365F91"/>
      <w:sz w:val="28"/>
      <w:szCs w:val="28"/>
      <w:lang w:val="en-US" w:eastAsia="ja-JP"/>
    </w:rPr>
  </w:style>
  <w:style w:type="character" w:customStyle="1" w:styleId="UnresolvedMention1">
    <w:name w:val="Unresolved Mention1"/>
    <w:uiPriority w:val="99"/>
    <w:unhideWhenUsed/>
    <w:qFormat/>
    <w:rsid w:val="007C2944"/>
    <w:rPr>
      <w:color w:val="605E5C"/>
      <w:shd w:val="clear" w:color="auto" w:fill="E1DFDD"/>
    </w:rPr>
  </w:style>
  <w:style w:type="character" w:customStyle="1" w:styleId="UnresolvedMention2">
    <w:name w:val="Unresolved Mention2"/>
    <w:uiPriority w:val="99"/>
    <w:unhideWhenUsed/>
    <w:qFormat/>
    <w:rsid w:val="007C2944"/>
    <w:rPr>
      <w:color w:val="605E5C"/>
      <w:shd w:val="clear" w:color="auto" w:fill="E1DFDD"/>
    </w:rPr>
  </w:style>
  <w:style w:type="character" w:customStyle="1" w:styleId="UnresolvedMention3">
    <w:name w:val="Unresolved Mention3"/>
    <w:basedOn w:val="DefaultParagraphFont"/>
    <w:uiPriority w:val="99"/>
    <w:semiHidden/>
    <w:unhideWhenUsed/>
    <w:qFormat/>
    <w:rsid w:val="007C2944"/>
    <w:rPr>
      <w:color w:val="605E5C"/>
      <w:shd w:val="clear" w:color="auto" w:fill="E1DFDD"/>
    </w:rPr>
  </w:style>
  <w:style w:type="character" w:customStyle="1" w:styleId="UnresolvedMention4">
    <w:name w:val="Unresolved Mention4"/>
    <w:basedOn w:val="DefaultParagraphFont"/>
    <w:uiPriority w:val="99"/>
    <w:semiHidden/>
    <w:unhideWhenUsed/>
    <w:qFormat/>
    <w:rsid w:val="007C2944"/>
    <w:rPr>
      <w:color w:val="605E5C"/>
      <w:shd w:val="clear" w:color="auto" w:fill="E1DFDD"/>
    </w:rPr>
  </w:style>
  <w:style w:type="character" w:customStyle="1" w:styleId="UnresolvedMention5">
    <w:name w:val="Unresolved Mention5"/>
    <w:basedOn w:val="DefaultParagraphFont"/>
    <w:uiPriority w:val="99"/>
    <w:semiHidden/>
    <w:unhideWhenUsed/>
    <w:qFormat/>
    <w:rsid w:val="007C2944"/>
    <w:rPr>
      <w:color w:val="605E5C"/>
      <w:shd w:val="clear" w:color="auto" w:fill="E1DFDD"/>
    </w:rPr>
  </w:style>
  <w:style w:type="character" w:customStyle="1" w:styleId="UnresolvedMention6">
    <w:name w:val="Unresolved Mention6"/>
    <w:basedOn w:val="DefaultParagraphFont"/>
    <w:uiPriority w:val="99"/>
    <w:semiHidden/>
    <w:unhideWhenUsed/>
    <w:qFormat/>
    <w:rsid w:val="007C2944"/>
    <w:rPr>
      <w:color w:val="605E5C"/>
      <w:shd w:val="clear" w:color="auto" w:fill="E1DFDD"/>
    </w:rPr>
  </w:style>
  <w:style w:type="paragraph" w:customStyle="1" w:styleId="Default">
    <w:name w:val="Default"/>
    <w:rsid w:val="009E1898"/>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ideas.repec.org/s/bla/afrdev.html"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worldbank.org/"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ideas.repec.org/a/bla/afrdev/v25y2013i4p434-446.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mf.org/en/Regions/Middle-East-and-Central-Asia" TargetMode="External"/><Relationship Id="rId20" Type="http://schemas.openxmlformats.org/officeDocument/2006/relationships/hyperlink" Target="https://www.treasury.go.k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ideas.repec.org/s/oup/qjecon.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worldbank.org/en/topic/debt" TargetMode="External"/><Relationship Id="rId4" Type="http://schemas.openxmlformats.org/officeDocument/2006/relationships/styles" Target="styles.xml"/><Relationship Id="rId9" Type="http://schemas.openxmlformats.org/officeDocument/2006/relationships/hyperlink" Target="https://www.mdpi.com/search?q=macroeconomic+determinants" TargetMode="External"/><Relationship Id="rId14" Type="http://schemas.openxmlformats.org/officeDocument/2006/relationships/hyperlink" Target="https://ideas.repec.org/a/oup/qjecon/v113y1998i3p949-963..html" TargetMode="External"/><Relationship Id="rId22" Type="http://schemas.openxmlformats.org/officeDocument/2006/relationships/hyperlink" Target="https://www.worldbank.org/en/topic/deb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E06328-F3BB-4D56-8010-03104039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18</Pages>
  <Words>6218</Words>
  <Characters>35444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SDI 1084</cp:lastModifiedBy>
  <cp:revision>113</cp:revision>
  <cp:lastPrinted>2025-07-12T07:43:00Z</cp:lastPrinted>
  <dcterms:created xsi:type="dcterms:W3CDTF">2025-08-27T07:22:00Z</dcterms:created>
  <dcterms:modified xsi:type="dcterms:W3CDTF">2025-09-06T06:10:00Z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f84b86904fc05d45510ec04d017f36958541626bc200a69365368c9725bb5c18</vt:lpwstr>
  </property>
  <property fmtid="{D5CDD505-2E9C-101B-9397-08002B2CF9AE}" pid="3" name="ICV">
    <vt:lpwstr>760054961BC841F88FD5FED814AD617A_13</vt:lpwstr>
  </property>
  <property fmtid="{D5CDD505-2E9C-101B-9397-08002B2CF9AE}" pid="4" name="KSOProductBuildVer">
    <vt:lpwstr>1033-12.2.0.22549</vt:lpwstr>
  </property>
</Properties>
</file>