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A305EE" w14:textId="5EBD49C6" w:rsidR="00754C9A" w:rsidRDefault="00515FB4" w:rsidP="00441B6F">
      <w:pPr>
        <w:pStyle w:val="Title"/>
        <w:spacing w:after="0"/>
        <w:jc w:val="both"/>
        <w:rPr>
          <w:rFonts w:ascii="Arial" w:hAnsi="Arial" w:cs="Arial"/>
        </w:rPr>
      </w:pPr>
      <w:r w:rsidRPr="00515FB4">
        <w:rPr>
          <w:rFonts w:ascii="Arial" w:hAnsi="Arial" w:cs="Arial"/>
        </w:rPr>
        <w:t>Original Research Article</w:t>
      </w:r>
    </w:p>
    <w:p w14:paraId="23F394E7" w14:textId="77777777" w:rsidR="00515FB4" w:rsidRDefault="00515FB4" w:rsidP="00441B6F">
      <w:pPr>
        <w:pStyle w:val="Title"/>
        <w:spacing w:after="0"/>
        <w:jc w:val="both"/>
        <w:rPr>
          <w:rFonts w:ascii="Arial" w:hAnsi="Arial" w:cs="Arial"/>
        </w:rPr>
      </w:pPr>
    </w:p>
    <w:p w14:paraId="54E1ACA2" w14:textId="2B782A8E" w:rsidR="00F01948" w:rsidRPr="00F01948" w:rsidRDefault="00F01948" w:rsidP="00F01948">
      <w:pPr>
        <w:pStyle w:val="Author"/>
        <w:spacing w:line="240" w:lineRule="auto"/>
        <w:jc w:val="both"/>
        <w:rPr>
          <w:rFonts w:ascii="Arial" w:hAnsi="Arial" w:cs="Arial"/>
          <w:bCs/>
          <w:iCs/>
          <w:kern w:val="28"/>
          <w:sz w:val="36"/>
          <w:lang w:val="en-IN"/>
        </w:rPr>
      </w:pPr>
      <w:r w:rsidRPr="00F01948">
        <w:rPr>
          <w:rFonts w:ascii="Arial" w:hAnsi="Arial" w:cs="Arial"/>
          <w:bCs/>
          <w:iCs/>
          <w:kern w:val="28"/>
          <w:sz w:val="36"/>
          <w:lang w:val="en-IN"/>
        </w:rPr>
        <w:t>IMPACT OF MERGER ON PROFIT</w:t>
      </w:r>
      <w:r w:rsidR="00A16FC3">
        <w:rPr>
          <w:rFonts w:ascii="Arial" w:hAnsi="Arial" w:cs="Arial"/>
          <w:bCs/>
          <w:iCs/>
          <w:kern w:val="28"/>
          <w:sz w:val="36"/>
          <w:lang w:val="en-IN"/>
        </w:rPr>
        <w:t>A</w:t>
      </w:r>
      <w:r w:rsidRPr="00F01948">
        <w:rPr>
          <w:rFonts w:ascii="Arial" w:hAnsi="Arial" w:cs="Arial"/>
          <w:bCs/>
          <w:iCs/>
          <w:kern w:val="28"/>
          <w:sz w:val="36"/>
          <w:lang w:val="en-IN"/>
        </w:rPr>
        <w:t>BILITY OF BANKS: A STUDY WITH REFERENCE</w:t>
      </w:r>
      <w:r w:rsidR="00E448EE">
        <w:rPr>
          <w:rFonts w:ascii="Arial" w:hAnsi="Arial" w:cs="Arial"/>
          <w:bCs/>
          <w:iCs/>
          <w:kern w:val="28"/>
          <w:sz w:val="36"/>
          <w:lang w:val="en-IN"/>
        </w:rPr>
        <w:t xml:space="preserve"> </w:t>
      </w:r>
      <w:r w:rsidRPr="00F01948">
        <w:rPr>
          <w:rFonts w:ascii="Arial" w:hAnsi="Arial" w:cs="Arial"/>
          <w:bCs/>
          <w:iCs/>
          <w:kern w:val="28"/>
          <w:sz w:val="36"/>
          <w:lang w:val="en-IN"/>
        </w:rPr>
        <w:t>TO PUBLIC SECTOR BANKS IN INDIA</w:t>
      </w:r>
    </w:p>
    <w:p w14:paraId="70E40077" w14:textId="77777777" w:rsidR="00A258C3" w:rsidRPr="00F01948" w:rsidRDefault="00A258C3" w:rsidP="00441B6F">
      <w:pPr>
        <w:pStyle w:val="Author"/>
        <w:spacing w:line="240" w:lineRule="auto"/>
        <w:jc w:val="both"/>
        <w:rPr>
          <w:rFonts w:ascii="Arial" w:hAnsi="Arial" w:cs="Arial"/>
          <w:sz w:val="36"/>
          <w:lang w:val="en-IN"/>
        </w:rPr>
      </w:pPr>
    </w:p>
    <w:p w14:paraId="6FE51AEC" w14:textId="77777777" w:rsidR="006C68BD" w:rsidRDefault="006C68BD" w:rsidP="00F77ED2">
      <w:pPr>
        <w:pStyle w:val="Author"/>
        <w:spacing w:line="240" w:lineRule="auto"/>
        <w:rPr>
          <w:rFonts w:ascii="Arial" w:hAnsi="Arial" w:cs="Arial"/>
        </w:rPr>
      </w:pPr>
    </w:p>
    <w:p w14:paraId="62EDE37F" w14:textId="77777777" w:rsidR="002C57D2" w:rsidRPr="00FB3A86" w:rsidRDefault="002C57D2" w:rsidP="00441B6F">
      <w:pPr>
        <w:pStyle w:val="Affiliation"/>
        <w:spacing w:after="0" w:line="240" w:lineRule="auto"/>
        <w:jc w:val="both"/>
        <w:rPr>
          <w:rFonts w:ascii="Arial" w:hAnsi="Arial" w:cs="Arial"/>
        </w:rPr>
      </w:pPr>
    </w:p>
    <w:p w14:paraId="5B3D6DBB" w14:textId="77777777" w:rsidR="00B01FCD" w:rsidRPr="00FB3A86" w:rsidRDefault="00BD1FFA" w:rsidP="00441B6F">
      <w:pPr>
        <w:pStyle w:val="Copyright"/>
        <w:spacing w:after="0" w:line="240" w:lineRule="auto"/>
        <w:jc w:val="both"/>
        <w:rPr>
          <w:rFonts w:ascii="Arial" w:hAnsi="Arial" w:cs="Arial"/>
        </w:rPr>
        <w:sectPr w:rsidR="00B01FCD" w:rsidRPr="00FB3A86" w:rsidSect="00CC698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8C473F9">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5EA77CAB" w14:textId="023DAF04" w:rsidR="00B01FCD" w:rsidRDefault="00B01FCD" w:rsidP="00573AE1">
      <w:pPr>
        <w:pStyle w:val="AbstHead"/>
        <w:spacing w:after="0"/>
        <w:jc w:val="both"/>
        <w:rPr>
          <w:rFonts w:ascii="Arial" w:hAnsi="Arial" w:cs="Arial"/>
        </w:rPr>
      </w:pPr>
      <w:r w:rsidRPr="00FB3A86">
        <w:rPr>
          <w:rFonts w:ascii="Arial" w:hAnsi="Arial" w:cs="Arial"/>
        </w:rPr>
        <w:t>ABSTRACT</w:t>
      </w:r>
    </w:p>
    <w:p w14:paraId="5A668EE0"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A6F2438" w14:textId="77777777" w:rsidTr="001E44FE">
        <w:tc>
          <w:tcPr>
            <w:tcW w:w="9576" w:type="dxa"/>
            <w:shd w:val="clear" w:color="auto" w:fill="F2F2F2"/>
          </w:tcPr>
          <w:p w14:paraId="24214FA7" w14:textId="4F2FB1DD" w:rsidR="00BA1B01" w:rsidRPr="00573AE1" w:rsidRDefault="00BA1B01" w:rsidP="00573AE1">
            <w:pPr>
              <w:pStyle w:val="Body"/>
              <w:spacing w:after="0"/>
              <w:rPr>
                <w:rFonts w:ascii="Arial" w:eastAsia="Calibri" w:hAnsi="Arial" w:cs="Arial"/>
                <w:szCs w:val="22"/>
                <w:lang w:val="en-IN"/>
              </w:rPr>
            </w:pPr>
            <w:r w:rsidRPr="00BA1B01">
              <w:rPr>
                <w:rFonts w:ascii="Arial" w:eastAsia="Calibri" w:hAnsi="Arial" w:cs="Arial"/>
                <w:b/>
                <w:szCs w:val="22"/>
              </w:rPr>
              <w:t xml:space="preserve">Aims: </w:t>
            </w:r>
            <w:r w:rsidR="00573AE1" w:rsidRPr="00573AE1">
              <w:rPr>
                <w:rFonts w:ascii="Arial" w:eastAsia="Calibri" w:hAnsi="Arial" w:cs="Arial"/>
                <w:szCs w:val="22"/>
                <w:lang w:val="en-IN"/>
              </w:rPr>
              <w:t xml:space="preserve">To investigate the impact of bank mergers on </w:t>
            </w:r>
            <w:r w:rsidR="00A16FC3">
              <w:rPr>
                <w:rFonts w:ascii="Arial" w:eastAsia="Calibri" w:hAnsi="Arial" w:cs="Arial"/>
                <w:szCs w:val="22"/>
                <w:lang w:val="en-IN"/>
              </w:rPr>
              <w:t xml:space="preserve">the </w:t>
            </w:r>
            <w:r w:rsidR="00573AE1" w:rsidRPr="00573AE1">
              <w:rPr>
                <w:rFonts w:ascii="Arial" w:eastAsia="Calibri" w:hAnsi="Arial" w:cs="Arial"/>
                <w:szCs w:val="22"/>
                <w:lang w:val="en-IN"/>
              </w:rPr>
              <w:t>financial performance of public sector</w:t>
            </w:r>
            <w:r w:rsidR="00573AE1">
              <w:rPr>
                <w:rFonts w:ascii="Arial" w:eastAsia="Calibri" w:hAnsi="Arial" w:cs="Arial"/>
                <w:szCs w:val="22"/>
                <w:lang w:val="en-IN"/>
              </w:rPr>
              <w:t xml:space="preserve"> </w:t>
            </w:r>
            <w:r w:rsidR="00573AE1" w:rsidRPr="00573AE1">
              <w:rPr>
                <w:rFonts w:ascii="Arial" w:eastAsia="Calibri" w:hAnsi="Arial" w:cs="Arial"/>
                <w:szCs w:val="22"/>
                <w:lang w:val="en-IN"/>
              </w:rPr>
              <w:t>banks in India, specifically examining the effects on Net Interest Margin (NIM), Return on Assets</w:t>
            </w:r>
            <w:r w:rsidR="00573AE1">
              <w:rPr>
                <w:rFonts w:ascii="Arial" w:eastAsia="Calibri" w:hAnsi="Arial" w:cs="Arial"/>
                <w:szCs w:val="22"/>
                <w:lang w:val="en-IN"/>
              </w:rPr>
              <w:t xml:space="preserve"> </w:t>
            </w:r>
            <w:r w:rsidR="00573AE1" w:rsidRPr="00573AE1">
              <w:rPr>
                <w:rFonts w:ascii="Arial" w:eastAsia="Calibri" w:hAnsi="Arial" w:cs="Arial"/>
                <w:szCs w:val="22"/>
                <w:lang w:val="en-IN"/>
              </w:rPr>
              <w:t>(ROA), and Return on Equity (ROE), and to assess the role of bank-specific factors in influencing</w:t>
            </w:r>
            <w:r w:rsidR="00573AE1">
              <w:rPr>
                <w:rFonts w:ascii="Arial" w:eastAsia="Calibri" w:hAnsi="Arial" w:cs="Arial"/>
                <w:szCs w:val="22"/>
                <w:lang w:val="en-IN"/>
              </w:rPr>
              <w:t xml:space="preserve"> </w:t>
            </w:r>
            <w:r w:rsidR="00573AE1" w:rsidRPr="00573AE1">
              <w:rPr>
                <w:rFonts w:ascii="Arial" w:eastAsia="Calibri" w:hAnsi="Arial" w:cs="Arial"/>
                <w:szCs w:val="22"/>
                <w:lang w:val="en-IN"/>
              </w:rPr>
              <w:t>these outcomes.</w:t>
            </w:r>
          </w:p>
          <w:p w14:paraId="2CF97670" w14:textId="2B986605" w:rsidR="00BA1B01" w:rsidRPr="00E14CAB" w:rsidRDefault="00BA1B01" w:rsidP="00441B6F">
            <w:pPr>
              <w:pStyle w:val="Body"/>
              <w:spacing w:after="0"/>
              <w:rPr>
                <w:rFonts w:ascii="Arial" w:eastAsia="Calibri" w:hAnsi="Arial" w:cs="Arial"/>
                <w:szCs w:val="22"/>
                <w:lang w:val="en-IN"/>
              </w:rPr>
            </w:pPr>
            <w:r w:rsidRPr="00BA1B01">
              <w:rPr>
                <w:rFonts w:ascii="Arial" w:eastAsia="Calibri" w:hAnsi="Arial" w:cs="Arial"/>
                <w:b/>
                <w:szCs w:val="22"/>
              </w:rPr>
              <w:t>Study design:</w:t>
            </w:r>
            <w:r w:rsidRPr="00BA1B01">
              <w:rPr>
                <w:rFonts w:ascii="Arial" w:eastAsia="Calibri" w:hAnsi="Arial" w:cs="Arial"/>
                <w:szCs w:val="22"/>
              </w:rPr>
              <w:t xml:space="preserve">  </w:t>
            </w:r>
            <w:r w:rsidR="00E14CAB" w:rsidRPr="00E14CAB">
              <w:rPr>
                <w:rFonts w:ascii="Arial" w:eastAsia="Calibri" w:hAnsi="Arial" w:cs="Arial"/>
                <w:szCs w:val="22"/>
              </w:rPr>
              <w:t>Analytical study using panel regression analysis with fixed-effects (FE) and random-effects (RE) models, supported by descriptive statistics and correlation matrix, to evaluate the impact of mergers and bank-specific factors on profitability.</w:t>
            </w:r>
          </w:p>
          <w:p w14:paraId="79416613" w14:textId="3F0020AF" w:rsidR="00BA1B01" w:rsidRPr="00BA1B01" w:rsidRDefault="00B769FB" w:rsidP="00573AE1">
            <w:pPr>
              <w:pStyle w:val="Body"/>
              <w:spacing w:after="0"/>
              <w:rPr>
                <w:rFonts w:ascii="Arial" w:eastAsia="Calibri" w:hAnsi="Arial" w:cs="Arial"/>
                <w:szCs w:val="22"/>
              </w:rPr>
            </w:pPr>
            <w:r>
              <w:rPr>
                <w:rFonts w:ascii="Arial" w:eastAsia="Calibri" w:hAnsi="Arial" w:cs="Arial"/>
                <w:b/>
                <w:szCs w:val="22"/>
              </w:rPr>
              <w:t>Sample</w:t>
            </w:r>
            <w:r w:rsidR="00BA1B01" w:rsidRPr="00BA1B01">
              <w:rPr>
                <w:rFonts w:ascii="Arial" w:eastAsia="Calibri" w:hAnsi="Arial" w:cs="Arial"/>
                <w:b/>
                <w:szCs w:val="22"/>
              </w:rPr>
              <w:t xml:space="preserve"> and Duration of Study:</w:t>
            </w:r>
            <w:r w:rsidR="00BA1B01" w:rsidRPr="00BA1B01">
              <w:rPr>
                <w:rFonts w:ascii="Arial" w:eastAsia="Calibri" w:hAnsi="Arial" w:cs="Arial"/>
                <w:szCs w:val="22"/>
              </w:rPr>
              <w:t xml:space="preserve"> </w:t>
            </w:r>
            <w:r w:rsidR="00573AE1" w:rsidRPr="00573AE1">
              <w:rPr>
                <w:rFonts w:ascii="Arial" w:eastAsia="Calibri" w:hAnsi="Arial" w:cs="Arial"/>
                <w:szCs w:val="22"/>
              </w:rPr>
              <w:t>The study focuses on five public sector banks in India (Bank of</w:t>
            </w:r>
            <w:r w:rsidR="00573AE1">
              <w:rPr>
                <w:rFonts w:ascii="Arial" w:eastAsia="Calibri" w:hAnsi="Arial" w:cs="Arial"/>
                <w:szCs w:val="22"/>
              </w:rPr>
              <w:t xml:space="preserve"> </w:t>
            </w:r>
            <w:r w:rsidR="00573AE1" w:rsidRPr="00573AE1">
              <w:rPr>
                <w:rFonts w:ascii="Arial" w:eastAsia="Calibri" w:hAnsi="Arial" w:cs="Arial"/>
                <w:szCs w:val="22"/>
              </w:rPr>
              <w:t>Baroda, Canara Bank, Indian Bank, Punjab National Bank, Union Bank of India), using quarterly</w:t>
            </w:r>
            <w:r w:rsidR="00573AE1">
              <w:rPr>
                <w:rFonts w:ascii="Arial" w:eastAsia="Calibri" w:hAnsi="Arial" w:cs="Arial"/>
                <w:szCs w:val="22"/>
              </w:rPr>
              <w:t xml:space="preserve"> </w:t>
            </w:r>
            <w:r w:rsidR="00573AE1" w:rsidRPr="00573AE1">
              <w:rPr>
                <w:rFonts w:ascii="Arial" w:eastAsia="Calibri" w:hAnsi="Arial" w:cs="Arial"/>
                <w:szCs w:val="22"/>
              </w:rPr>
              <w:t>data from March 31, 2015, to March 31, 2024, covering pre- and post-merger periods (mergers</w:t>
            </w:r>
            <w:r w:rsidR="00573AE1">
              <w:rPr>
                <w:rFonts w:ascii="Arial" w:eastAsia="Calibri" w:hAnsi="Arial" w:cs="Arial"/>
                <w:szCs w:val="22"/>
              </w:rPr>
              <w:t xml:space="preserve"> </w:t>
            </w:r>
            <w:r w:rsidR="00573AE1" w:rsidRPr="00573AE1">
              <w:rPr>
                <w:rFonts w:ascii="Arial" w:eastAsia="Calibri" w:hAnsi="Arial" w:cs="Arial"/>
                <w:szCs w:val="22"/>
              </w:rPr>
              <w:t>effective from April 1, 2019, for Bank of Baroda, and April 1, 2020, for others).</w:t>
            </w:r>
          </w:p>
          <w:p w14:paraId="5CF5DA5E" w14:textId="5CB7D50E" w:rsidR="00BA1B01" w:rsidRPr="00BA1B01" w:rsidRDefault="00BA1B01" w:rsidP="00573AE1">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573AE1" w:rsidRPr="00573AE1">
              <w:rPr>
                <w:rFonts w:ascii="Arial" w:eastAsia="Calibri" w:hAnsi="Arial" w:cs="Arial"/>
                <w:szCs w:val="22"/>
              </w:rPr>
              <w:t xml:space="preserve">The study included five public sector banks, </w:t>
            </w:r>
            <w:proofErr w:type="spellStart"/>
            <w:r w:rsidR="00A16FC3">
              <w:rPr>
                <w:rFonts w:ascii="Arial" w:eastAsia="Calibri" w:hAnsi="Arial" w:cs="Arial"/>
                <w:szCs w:val="22"/>
              </w:rPr>
              <w:t>analysing</w:t>
            </w:r>
            <w:proofErr w:type="spellEnd"/>
            <w:r w:rsidR="00573AE1" w:rsidRPr="00573AE1">
              <w:rPr>
                <w:rFonts w:ascii="Arial" w:eastAsia="Calibri" w:hAnsi="Arial" w:cs="Arial"/>
                <w:szCs w:val="22"/>
              </w:rPr>
              <w:t xml:space="preserve"> quarterly financial data</w:t>
            </w:r>
            <w:r w:rsidR="00573AE1">
              <w:rPr>
                <w:rFonts w:ascii="Arial" w:eastAsia="Calibri" w:hAnsi="Arial" w:cs="Arial"/>
                <w:szCs w:val="22"/>
              </w:rPr>
              <w:t xml:space="preserve"> </w:t>
            </w:r>
            <w:r w:rsidR="00573AE1" w:rsidRPr="00573AE1">
              <w:rPr>
                <w:rFonts w:ascii="Arial" w:eastAsia="Calibri" w:hAnsi="Arial" w:cs="Arial"/>
                <w:szCs w:val="22"/>
              </w:rPr>
              <w:t xml:space="preserve">over </w:t>
            </w:r>
            <w:r w:rsidR="00A16FC3">
              <w:rPr>
                <w:rFonts w:ascii="Arial" w:eastAsia="Calibri" w:hAnsi="Arial" w:cs="Arial"/>
                <w:szCs w:val="22"/>
              </w:rPr>
              <w:t>six years</w:t>
            </w:r>
            <w:r w:rsidR="00573AE1" w:rsidRPr="00573AE1">
              <w:rPr>
                <w:rFonts w:ascii="Arial" w:eastAsia="Calibri" w:hAnsi="Arial" w:cs="Arial"/>
                <w:szCs w:val="22"/>
              </w:rPr>
              <w:t>. Panel regression models (FE and RE) were employed, with NIM, ROA, and</w:t>
            </w:r>
            <w:r w:rsidR="00573AE1">
              <w:rPr>
                <w:rFonts w:ascii="Arial" w:eastAsia="Calibri" w:hAnsi="Arial" w:cs="Arial"/>
                <w:szCs w:val="22"/>
              </w:rPr>
              <w:t xml:space="preserve"> </w:t>
            </w:r>
            <w:r w:rsidR="00573AE1" w:rsidRPr="00573AE1">
              <w:rPr>
                <w:rFonts w:ascii="Arial" w:eastAsia="Calibri" w:hAnsi="Arial" w:cs="Arial"/>
                <w:szCs w:val="22"/>
              </w:rPr>
              <w:t>ROE as dependent variables, and a merger dummy variable (0 for pre-merger, 1 for post-merger)</w:t>
            </w:r>
            <w:r w:rsidR="00573AE1">
              <w:rPr>
                <w:rFonts w:ascii="Arial" w:eastAsia="Calibri" w:hAnsi="Arial" w:cs="Arial"/>
                <w:szCs w:val="22"/>
              </w:rPr>
              <w:t xml:space="preserve"> </w:t>
            </w:r>
            <w:r w:rsidR="00573AE1" w:rsidRPr="00573AE1">
              <w:rPr>
                <w:rFonts w:ascii="Arial" w:eastAsia="Calibri" w:hAnsi="Arial" w:cs="Arial"/>
                <w:szCs w:val="22"/>
              </w:rPr>
              <w:t>as the primary independent variable. Bank-specific control variables included Capital Adequacy</w:t>
            </w:r>
            <w:r w:rsidR="00573AE1">
              <w:rPr>
                <w:rFonts w:ascii="Arial" w:eastAsia="Calibri" w:hAnsi="Arial" w:cs="Arial"/>
                <w:szCs w:val="22"/>
              </w:rPr>
              <w:t xml:space="preserve"> </w:t>
            </w:r>
            <w:r w:rsidR="00573AE1" w:rsidRPr="00573AE1">
              <w:rPr>
                <w:rFonts w:ascii="Arial" w:eastAsia="Calibri" w:hAnsi="Arial" w:cs="Arial"/>
                <w:szCs w:val="22"/>
              </w:rPr>
              <w:t>Ratio (CAR), Debt-to-Equity Ratio (DE), Cost-to-Income Ratio (CI), Gross Non-Performing Assets</w:t>
            </w:r>
            <w:r w:rsidR="00573AE1">
              <w:rPr>
                <w:rFonts w:ascii="Arial" w:eastAsia="Calibri" w:hAnsi="Arial" w:cs="Arial"/>
                <w:szCs w:val="22"/>
              </w:rPr>
              <w:t xml:space="preserve"> </w:t>
            </w:r>
            <w:r w:rsidR="00573AE1" w:rsidRPr="00573AE1">
              <w:rPr>
                <w:rFonts w:ascii="Arial" w:eastAsia="Calibri" w:hAnsi="Arial" w:cs="Arial"/>
                <w:szCs w:val="22"/>
              </w:rPr>
              <w:t>(GNPA), and Cash-to-Total Assets (CTA). Hausman tests were used to determine model preference.</w:t>
            </w:r>
          </w:p>
          <w:p w14:paraId="5EC71E8A" w14:textId="167879C4" w:rsidR="00BA1B01" w:rsidRPr="00573AE1" w:rsidRDefault="00BA1B01" w:rsidP="00573AE1">
            <w:pPr>
              <w:pStyle w:val="Body"/>
              <w:spacing w:after="0"/>
              <w:rPr>
                <w:rFonts w:ascii="Arial" w:eastAsia="Calibri" w:hAnsi="Arial" w:cs="Arial"/>
                <w:szCs w:val="22"/>
                <w:lang w:val="en-IN"/>
              </w:rPr>
            </w:pPr>
            <w:r w:rsidRPr="00BA1B01">
              <w:rPr>
                <w:rFonts w:ascii="Arial" w:eastAsia="Calibri" w:hAnsi="Arial" w:cs="Arial"/>
                <w:b/>
                <w:bCs/>
                <w:szCs w:val="22"/>
              </w:rPr>
              <w:t>Results:</w:t>
            </w:r>
            <w:r w:rsidRPr="00BA1B01">
              <w:rPr>
                <w:rFonts w:ascii="Arial" w:eastAsia="Calibri" w:hAnsi="Arial" w:cs="Arial"/>
                <w:szCs w:val="22"/>
              </w:rPr>
              <w:t xml:space="preserve"> </w:t>
            </w:r>
            <w:r w:rsidR="00E14CAB">
              <w:rPr>
                <w:rFonts w:ascii="Arial" w:eastAsia="Calibri" w:hAnsi="Arial" w:cs="Arial"/>
                <w:szCs w:val="22"/>
              </w:rPr>
              <w:t>The</w:t>
            </w:r>
            <w:r w:rsidR="00573AE1" w:rsidRPr="00573AE1">
              <w:rPr>
                <w:rFonts w:ascii="Arial" w:eastAsia="Calibri" w:hAnsi="Arial" w:cs="Arial"/>
                <w:szCs w:val="22"/>
                <w:lang w:val="en-IN"/>
              </w:rPr>
              <w:t xml:space="preserve"> mergers significantly</w:t>
            </w:r>
            <w:r w:rsidR="00573AE1">
              <w:rPr>
                <w:rFonts w:ascii="Arial" w:eastAsia="Calibri" w:hAnsi="Arial" w:cs="Arial"/>
                <w:szCs w:val="22"/>
                <w:lang w:val="en-IN"/>
              </w:rPr>
              <w:t xml:space="preserve"> </w:t>
            </w:r>
            <w:r w:rsidR="00573AE1" w:rsidRPr="00573AE1">
              <w:rPr>
                <w:rFonts w:ascii="Arial" w:eastAsia="Calibri" w:hAnsi="Arial" w:cs="Arial"/>
                <w:szCs w:val="22"/>
                <w:lang w:val="en-IN"/>
              </w:rPr>
              <w:t>increased NIM, ROA, and ROE, with stronger effects under FE models for NIM and</w:t>
            </w:r>
            <w:r w:rsidR="00573AE1">
              <w:rPr>
                <w:rFonts w:ascii="Arial" w:eastAsia="Calibri" w:hAnsi="Arial" w:cs="Arial"/>
                <w:szCs w:val="22"/>
                <w:lang w:val="en-IN"/>
              </w:rPr>
              <w:t xml:space="preserve"> </w:t>
            </w:r>
            <w:r w:rsidR="00573AE1" w:rsidRPr="00573AE1">
              <w:rPr>
                <w:rFonts w:ascii="Arial" w:eastAsia="Calibri" w:hAnsi="Arial" w:cs="Arial"/>
                <w:szCs w:val="22"/>
                <w:lang w:val="en-IN"/>
              </w:rPr>
              <w:t>ROA, and RE models for ROE. GNPA and CI were consistently negative and significant,</w:t>
            </w:r>
            <w:r w:rsidR="00573AE1">
              <w:rPr>
                <w:rFonts w:ascii="Arial" w:eastAsia="Calibri" w:hAnsi="Arial" w:cs="Arial"/>
                <w:szCs w:val="22"/>
                <w:lang w:val="en-IN"/>
              </w:rPr>
              <w:t xml:space="preserve"> </w:t>
            </w:r>
            <w:r w:rsidR="00573AE1" w:rsidRPr="00573AE1">
              <w:rPr>
                <w:rFonts w:ascii="Arial" w:eastAsia="Calibri" w:hAnsi="Arial" w:cs="Arial"/>
                <w:szCs w:val="22"/>
                <w:lang w:val="en-IN"/>
              </w:rPr>
              <w:t>indicating adverse effects of poor asset quality and operational inefficiency. CAR positively influenced</w:t>
            </w:r>
            <w:r w:rsidR="00573AE1">
              <w:rPr>
                <w:rFonts w:ascii="Arial" w:eastAsia="Calibri" w:hAnsi="Arial" w:cs="Arial"/>
                <w:szCs w:val="22"/>
                <w:lang w:val="en-IN"/>
              </w:rPr>
              <w:t xml:space="preserve"> </w:t>
            </w:r>
            <w:r w:rsidR="00573AE1" w:rsidRPr="00573AE1">
              <w:rPr>
                <w:rFonts w:ascii="Arial" w:eastAsia="Calibri" w:hAnsi="Arial" w:cs="Arial"/>
                <w:szCs w:val="22"/>
                <w:lang w:val="en-IN"/>
              </w:rPr>
              <w:t xml:space="preserve">ROA and ROE, but its </w:t>
            </w:r>
            <w:r w:rsidR="00A16FC3">
              <w:rPr>
                <w:rFonts w:ascii="Arial" w:eastAsia="Calibri" w:hAnsi="Arial" w:cs="Arial"/>
                <w:szCs w:val="22"/>
                <w:lang w:val="en-IN"/>
              </w:rPr>
              <w:t>impact</w:t>
            </w:r>
            <w:r w:rsidR="00573AE1" w:rsidRPr="00573AE1">
              <w:rPr>
                <w:rFonts w:ascii="Arial" w:eastAsia="Calibri" w:hAnsi="Arial" w:cs="Arial"/>
                <w:szCs w:val="22"/>
                <w:lang w:val="en-IN"/>
              </w:rPr>
              <w:t xml:space="preserve"> on NIM was insignificant. DE showed mixed, often</w:t>
            </w:r>
            <w:r w:rsidR="00573AE1">
              <w:rPr>
                <w:rFonts w:ascii="Arial" w:eastAsia="Calibri" w:hAnsi="Arial" w:cs="Arial"/>
                <w:szCs w:val="22"/>
                <w:lang w:val="en-IN"/>
              </w:rPr>
              <w:t xml:space="preserve"> </w:t>
            </w:r>
            <w:r w:rsidR="00573AE1" w:rsidRPr="00573AE1">
              <w:rPr>
                <w:rFonts w:ascii="Arial" w:eastAsia="Calibri" w:hAnsi="Arial" w:cs="Arial"/>
                <w:szCs w:val="22"/>
                <w:lang w:val="en-IN"/>
              </w:rPr>
              <w:t>negative effects under FE models. CTA remained insignificant across all specifications.</w:t>
            </w:r>
            <w:r w:rsidR="00573AE1">
              <w:rPr>
                <w:rFonts w:ascii="Arial" w:eastAsia="Calibri" w:hAnsi="Arial" w:cs="Arial"/>
                <w:szCs w:val="22"/>
                <w:lang w:val="en-IN"/>
              </w:rPr>
              <w:t xml:space="preserve"> </w:t>
            </w:r>
            <w:r w:rsidR="00573AE1" w:rsidRPr="00573AE1">
              <w:rPr>
                <w:rFonts w:ascii="Arial" w:eastAsia="Calibri" w:hAnsi="Arial" w:cs="Arial"/>
                <w:szCs w:val="22"/>
                <w:lang w:val="en-IN"/>
              </w:rPr>
              <w:t>The findings highlight mergers and internal efficiency as critical drivers of bank profitability</w:t>
            </w:r>
            <w:r w:rsidR="00573AE1">
              <w:rPr>
                <w:rFonts w:ascii="Arial" w:eastAsia="Calibri" w:hAnsi="Arial" w:cs="Arial"/>
                <w:szCs w:val="22"/>
                <w:lang w:val="en-IN"/>
              </w:rPr>
              <w:t xml:space="preserve"> </w:t>
            </w:r>
            <w:r w:rsidR="00573AE1" w:rsidRPr="00573AE1">
              <w:rPr>
                <w:rFonts w:ascii="Arial" w:eastAsia="Calibri" w:hAnsi="Arial" w:cs="Arial"/>
                <w:szCs w:val="22"/>
                <w:lang w:val="en-IN"/>
              </w:rPr>
              <w:t>and resilience.</w:t>
            </w:r>
          </w:p>
          <w:p w14:paraId="4061FE8C" w14:textId="2D901245" w:rsidR="00505F06" w:rsidRPr="00BA1B01" w:rsidRDefault="00BA1B01" w:rsidP="00EA0F84">
            <w:pPr>
              <w:pStyle w:val="Body"/>
              <w:spacing w:after="0"/>
              <w:rPr>
                <w:rFonts w:ascii="Arial" w:eastAsia="Calibri" w:hAnsi="Arial" w:cs="Arial"/>
                <w:szCs w:val="22"/>
              </w:rPr>
            </w:pPr>
            <w:r w:rsidRPr="00BA1B01">
              <w:rPr>
                <w:rFonts w:ascii="Arial" w:eastAsia="Calibri" w:hAnsi="Arial" w:cs="Arial"/>
                <w:b/>
                <w:bCs/>
                <w:szCs w:val="22"/>
              </w:rPr>
              <w:t>Conclusion:</w:t>
            </w:r>
            <w:r w:rsidR="00E14CAB">
              <w:rPr>
                <w:rFonts w:ascii="Arial" w:eastAsia="Calibri" w:hAnsi="Arial" w:cs="Arial"/>
                <w:b/>
                <w:bCs/>
                <w:szCs w:val="22"/>
              </w:rPr>
              <w:t xml:space="preserve"> </w:t>
            </w:r>
            <w:r w:rsidR="00E14CAB" w:rsidRPr="00E14CAB">
              <w:rPr>
                <w:rFonts w:ascii="Arial" w:eastAsia="Calibri" w:hAnsi="Arial" w:cs="Arial"/>
                <w:szCs w:val="22"/>
              </w:rPr>
              <w:t>The study demonstrates that bank mergers significantly enhance the financial performance of public sector banks in India, as evidenced by increased NIM, ROA, and ROE. Effective management of asset quality and operational efficiency further strengthens profitability and resilience post-merger.</w:t>
            </w:r>
          </w:p>
        </w:tc>
      </w:tr>
    </w:tbl>
    <w:p w14:paraId="64CD2646" w14:textId="77777777" w:rsidR="00636EB2" w:rsidRDefault="00636EB2" w:rsidP="00441B6F">
      <w:pPr>
        <w:pStyle w:val="Body"/>
        <w:spacing w:after="0"/>
        <w:rPr>
          <w:rFonts w:ascii="Arial" w:hAnsi="Arial" w:cs="Arial"/>
          <w:i/>
        </w:rPr>
      </w:pPr>
    </w:p>
    <w:p w14:paraId="2D423288" w14:textId="773C3549" w:rsidR="00A24E7E" w:rsidRDefault="00A24E7E" w:rsidP="00441B6F">
      <w:pPr>
        <w:pStyle w:val="Body"/>
        <w:spacing w:after="0"/>
        <w:rPr>
          <w:rFonts w:ascii="Arial" w:hAnsi="Arial" w:cs="Arial"/>
          <w:i/>
        </w:rPr>
      </w:pPr>
      <w:r>
        <w:rPr>
          <w:rFonts w:ascii="Arial" w:hAnsi="Arial" w:cs="Arial"/>
          <w:i/>
        </w:rPr>
        <w:t xml:space="preserve">Keywords: </w:t>
      </w:r>
      <w:r w:rsidR="00F01948" w:rsidRPr="00F01948">
        <w:rPr>
          <w:rFonts w:ascii="Arial" w:hAnsi="Arial" w:cs="Arial"/>
          <w:i/>
        </w:rPr>
        <w:t>Bank Merger, Public sector banks, Financial Performance</w:t>
      </w:r>
    </w:p>
    <w:p w14:paraId="68C16029" w14:textId="77777777" w:rsidR="00B769FB" w:rsidRDefault="00B769FB" w:rsidP="00441B6F">
      <w:pPr>
        <w:pStyle w:val="Body"/>
        <w:spacing w:after="0"/>
        <w:rPr>
          <w:rFonts w:ascii="Arial" w:hAnsi="Arial" w:cs="Arial"/>
          <w:i/>
        </w:rPr>
      </w:pPr>
    </w:p>
    <w:p w14:paraId="0F341675" w14:textId="4079157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C4E4F08" w14:textId="77777777" w:rsidR="00790ADA" w:rsidRPr="00FB3A86" w:rsidRDefault="00790ADA" w:rsidP="00441B6F">
      <w:pPr>
        <w:pStyle w:val="AbstHead"/>
        <w:spacing w:after="0"/>
        <w:jc w:val="both"/>
        <w:rPr>
          <w:rFonts w:ascii="Arial" w:hAnsi="Arial" w:cs="Arial"/>
        </w:rPr>
      </w:pPr>
    </w:p>
    <w:p w14:paraId="5C5A1725" w14:textId="0CE73989" w:rsidR="00E14CAB" w:rsidRDefault="00E81C0B" w:rsidP="00077C6E">
      <w:pPr>
        <w:pStyle w:val="Body"/>
        <w:spacing w:after="0"/>
        <w:rPr>
          <w:rFonts w:ascii="Arial" w:hAnsi="Arial" w:cs="Arial"/>
          <w:lang w:val="en-IN"/>
        </w:rPr>
      </w:pPr>
      <w:r>
        <w:rPr>
          <w:rFonts w:ascii="Arial" w:hAnsi="Arial" w:cs="Arial"/>
          <w:lang w:val="en-IN"/>
        </w:rPr>
        <w:t xml:space="preserve">The Indian banking sector has experienced substantial transformation in recent years, primarily driven by the government's initiative to consolidate public sector banks (PSBs) with </w:t>
      </w:r>
      <w:r>
        <w:rPr>
          <w:rFonts w:ascii="Arial" w:hAnsi="Arial" w:cs="Arial"/>
          <w:lang w:val="en-IN"/>
        </w:rPr>
        <w:lastRenderedPageBreak/>
        <w:t xml:space="preserve">the aim of enhancing their financial resilience, operational efficiency, and global competitiveness. </w:t>
      </w:r>
      <w:sdt>
        <w:sdtPr>
          <w:rPr>
            <w:rFonts w:ascii="Arial" w:hAnsi="Arial" w:cs="Arial"/>
            <w:lang w:val="en-IN"/>
          </w:rPr>
          <w:tag w:val="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"/>
          <w:id w:val="208694768"/>
          <w:placeholder>
            <w:docPart w:val="E191F27DBBA444E6BCC2A76124867947"/>
          </w:placeholder>
        </w:sdtPr>
        <w:sdtEndPr/>
        <w:sdtContent>
          <w:r w:rsidR="00E14CAB" w:rsidRPr="00E14CAB">
            <w:rPr>
              <w:rFonts w:ascii="Arial" w:hAnsi="Arial" w:cs="Arial"/>
              <w:lang w:val="en-IN"/>
            </w:rPr>
            <w:t xml:space="preserve">(Jha &amp; </w:t>
          </w:r>
          <w:proofErr w:type="spellStart"/>
          <w:r w:rsidR="00E14CAB" w:rsidRPr="00E14CAB">
            <w:rPr>
              <w:rFonts w:ascii="Arial" w:hAnsi="Arial" w:cs="Arial"/>
              <w:lang w:val="en-IN"/>
            </w:rPr>
            <w:t>Premanand</w:t>
          </w:r>
          <w:proofErr w:type="spellEnd"/>
          <w:r w:rsidR="00E14CAB" w:rsidRPr="00E14CAB">
            <w:rPr>
              <w:rFonts w:ascii="Arial" w:hAnsi="Arial" w:cs="Arial"/>
              <w:lang w:val="en-IN"/>
            </w:rPr>
            <w:t xml:space="preserve">, 2023; Kaur &amp; </w:t>
          </w:r>
          <w:proofErr w:type="spellStart"/>
          <w:r w:rsidR="00E14CAB" w:rsidRPr="00E14CAB">
            <w:rPr>
              <w:rFonts w:ascii="Arial" w:hAnsi="Arial" w:cs="Arial"/>
              <w:lang w:val="en-IN"/>
            </w:rPr>
            <w:t>Bala</w:t>
          </w:r>
          <w:proofErr w:type="spellEnd"/>
          <w:r w:rsidR="00E14CAB" w:rsidRPr="00E14CAB">
            <w:rPr>
              <w:rFonts w:ascii="Arial" w:hAnsi="Arial" w:cs="Arial"/>
              <w:lang w:val="en-IN"/>
            </w:rPr>
            <w:t>, 2024;</w:t>
          </w:r>
          <w:r w:rsidR="00044DD8">
            <w:rPr>
              <w:rFonts w:ascii="Arial" w:hAnsi="Arial" w:cs="Arial"/>
              <w:lang w:val="en-IN"/>
            </w:rPr>
            <w:t xml:space="preserve"> </w:t>
          </w:r>
          <w:r w:rsidR="00E14CAB" w:rsidRPr="00E14CAB">
            <w:rPr>
              <w:rFonts w:ascii="Arial" w:hAnsi="Arial" w:cs="Arial"/>
              <w:lang w:val="en-IN"/>
            </w:rPr>
            <w:t>Chandan L et al., 2024; Patel, 2018)</w:t>
          </w:r>
        </w:sdtContent>
      </w:sdt>
      <w:r w:rsidR="00E14CAB" w:rsidRPr="00E14CAB">
        <w:rPr>
          <w:rFonts w:ascii="Arial" w:hAnsi="Arial" w:cs="Arial"/>
          <w:lang w:val="en-IN"/>
        </w:rPr>
        <w:t xml:space="preserve"> The merger of public sector banks, particularly the </w:t>
      </w:r>
      <w:r w:rsidR="00BE2B97">
        <w:rPr>
          <w:rFonts w:ascii="Arial" w:hAnsi="Arial" w:cs="Arial"/>
          <w:lang w:val="en-IN"/>
        </w:rPr>
        <w:t>merger</w:t>
      </w:r>
      <w:r w:rsidR="00E14CAB" w:rsidRPr="00E14CAB">
        <w:rPr>
          <w:rFonts w:ascii="Arial" w:hAnsi="Arial" w:cs="Arial"/>
          <w:lang w:val="en-IN"/>
        </w:rPr>
        <w:t xml:space="preserve"> of Bank of Baroda (BOB), Vijaya Bank, and Dena Bank in March 2018, followed by the mega-merger of </w:t>
      </w:r>
      <w:r w:rsidR="00BE2B97" w:rsidRPr="00E14CAB">
        <w:rPr>
          <w:rFonts w:ascii="Arial" w:hAnsi="Arial" w:cs="Arial"/>
          <w:lang w:val="en-IN"/>
        </w:rPr>
        <w:t>Canara Bank (CB)</w:t>
      </w:r>
      <w:r w:rsidR="00BE2B97">
        <w:rPr>
          <w:rFonts w:ascii="Arial" w:hAnsi="Arial" w:cs="Arial"/>
          <w:lang w:val="en-IN"/>
        </w:rPr>
        <w:t>,</w:t>
      </w:r>
      <w:r w:rsidR="00BE2B97" w:rsidRPr="00E14CAB">
        <w:rPr>
          <w:rFonts w:ascii="Arial" w:hAnsi="Arial" w:cs="Arial"/>
          <w:lang w:val="en-IN"/>
        </w:rPr>
        <w:t xml:space="preserve"> Indian Bank (IB), </w:t>
      </w:r>
      <w:r w:rsidR="00E14CAB" w:rsidRPr="00E14CAB">
        <w:rPr>
          <w:rFonts w:ascii="Arial" w:hAnsi="Arial" w:cs="Arial"/>
          <w:lang w:val="en-IN"/>
        </w:rPr>
        <w:t xml:space="preserve">Punjab National Bank (PNB), and </w:t>
      </w:r>
      <w:r w:rsidR="00BE2B97" w:rsidRPr="00E14CAB">
        <w:rPr>
          <w:rFonts w:ascii="Arial" w:hAnsi="Arial" w:cs="Arial"/>
          <w:lang w:val="en-IN"/>
        </w:rPr>
        <w:t>Un</w:t>
      </w:r>
      <w:r w:rsidR="00BE2B97">
        <w:rPr>
          <w:rFonts w:ascii="Arial" w:hAnsi="Arial" w:cs="Arial"/>
          <w:lang w:val="en-IN"/>
        </w:rPr>
        <w:t>ion</w:t>
      </w:r>
      <w:r w:rsidR="00BE2B97" w:rsidRPr="00E14CAB">
        <w:rPr>
          <w:rFonts w:ascii="Arial" w:hAnsi="Arial" w:cs="Arial"/>
          <w:lang w:val="en-IN"/>
        </w:rPr>
        <w:t xml:space="preserve"> Bank of India (UBI) </w:t>
      </w:r>
      <w:r w:rsidR="00E14CAB" w:rsidRPr="00E14CAB">
        <w:rPr>
          <w:rFonts w:ascii="Arial" w:hAnsi="Arial" w:cs="Arial"/>
          <w:lang w:val="en-IN"/>
        </w:rPr>
        <w:t>with other smaller PSBs in August 2019, marked</w:t>
      </w:r>
      <w:r w:rsidR="00B832D8">
        <w:rPr>
          <w:rFonts w:ascii="Arial" w:hAnsi="Arial" w:cs="Arial"/>
          <w:lang w:val="en-IN"/>
        </w:rPr>
        <w:t xml:space="preserve"> a</w:t>
      </w:r>
      <w:r w:rsidR="00E14CAB" w:rsidRPr="00E14CAB">
        <w:rPr>
          <w:rFonts w:ascii="Arial" w:hAnsi="Arial" w:cs="Arial"/>
          <w:lang w:val="en-IN"/>
        </w:rPr>
        <w:t xml:space="preserve"> pivotal milestone in banking reform</w:t>
      </w:r>
      <w:r w:rsidR="00B832D8">
        <w:rPr>
          <w:rFonts w:ascii="Arial" w:hAnsi="Arial" w:cs="Arial"/>
          <w:lang w:val="en-IN"/>
        </w:rPr>
        <w:t>s</w:t>
      </w:r>
      <w:r w:rsidR="00E14CAB" w:rsidRPr="00E14CAB">
        <w:rPr>
          <w:rFonts w:ascii="Arial" w:hAnsi="Arial" w:cs="Arial"/>
          <w:lang w:val="en-IN"/>
        </w:rPr>
        <w:t xml:space="preserve">. </w:t>
      </w:r>
      <w:sdt>
        <w:sdtPr>
          <w:rPr>
            <w:rFonts w:ascii="Arial" w:hAnsi="Arial" w:cs="Arial"/>
            <w:lang w:val="en-IN"/>
          </w:rPr>
          <w:tag w:val="MENDELEY_CITATION_v3_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"/>
          <w:id w:val="1787853801"/>
          <w:placeholder>
            <w:docPart w:val="E191F27DBBA444E6BCC2A76124867947"/>
          </w:placeholder>
        </w:sdtPr>
        <w:sdtEndPr/>
        <w:sdtContent>
          <w:r w:rsidR="00E14CAB" w:rsidRPr="00E14CAB">
            <w:rPr>
              <w:rFonts w:ascii="Arial" w:hAnsi="Arial" w:cs="Arial"/>
              <w:lang w:val="en-IN"/>
            </w:rPr>
            <w:t>(</w:t>
          </w:r>
          <w:proofErr w:type="spellStart"/>
          <w:r w:rsidR="00E14CAB" w:rsidRPr="00E14CAB">
            <w:rPr>
              <w:rFonts w:ascii="Arial" w:hAnsi="Arial" w:cs="Arial"/>
              <w:lang w:val="en-IN"/>
            </w:rPr>
            <w:t>Deolalkar</w:t>
          </w:r>
          <w:proofErr w:type="spellEnd"/>
          <w:r w:rsidR="00E14CAB" w:rsidRPr="00E14CAB">
            <w:rPr>
              <w:rFonts w:ascii="Arial" w:hAnsi="Arial" w:cs="Arial"/>
              <w:lang w:val="en-IN"/>
            </w:rPr>
            <w:t xml:space="preserve">, n.d.; </w:t>
          </w:r>
          <w:proofErr w:type="spellStart"/>
          <w:r w:rsidR="00E14CAB" w:rsidRPr="00E14CAB">
            <w:rPr>
              <w:rFonts w:ascii="Arial" w:hAnsi="Arial" w:cs="Arial"/>
              <w:lang w:val="en-IN"/>
            </w:rPr>
            <w:t>Hosapeti</w:t>
          </w:r>
          <w:proofErr w:type="spellEnd"/>
          <w:r w:rsidR="00E14CAB" w:rsidRPr="00E14CAB">
            <w:rPr>
              <w:rFonts w:ascii="Arial" w:hAnsi="Arial" w:cs="Arial"/>
              <w:lang w:val="en-IN"/>
            </w:rPr>
            <w:t xml:space="preserve"> &amp; </w:t>
          </w:r>
          <w:proofErr w:type="spellStart"/>
          <w:r w:rsidR="00E14CAB" w:rsidRPr="00E14CAB">
            <w:rPr>
              <w:rFonts w:ascii="Arial" w:hAnsi="Arial" w:cs="Arial"/>
              <w:lang w:val="en-IN"/>
            </w:rPr>
            <w:t>Rathi</w:t>
          </w:r>
          <w:proofErr w:type="spellEnd"/>
          <w:r w:rsidR="00E14CAB" w:rsidRPr="00E14CAB">
            <w:rPr>
              <w:rFonts w:ascii="Arial" w:hAnsi="Arial" w:cs="Arial"/>
              <w:lang w:val="en-IN"/>
            </w:rPr>
            <w:t xml:space="preserve">, n.d.; </w:t>
          </w:r>
          <w:proofErr w:type="spellStart"/>
          <w:r w:rsidR="00E14CAB" w:rsidRPr="00E14CAB">
            <w:rPr>
              <w:rFonts w:ascii="Arial" w:hAnsi="Arial" w:cs="Arial"/>
              <w:lang w:val="en-IN"/>
            </w:rPr>
            <w:t>Krishnudu</w:t>
          </w:r>
          <w:proofErr w:type="spellEnd"/>
          <w:r w:rsidR="00E14CAB" w:rsidRPr="00E14CAB">
            <w:rPr>
              <w:rFonts w:ascii="Arial" w:hAnsi="Arial" w:cs="Arial"/>
              <w:lang w:val="en-IN"/>
            </w:rPr>
            <w:t xml:space="preserve"> G. Chinni, 2022; Nag J &amp; B N, 2024)</w:t>
          </w:r>
        </w:sdtContent>
      </w:sdt>
      <w:r w:rsidR="00E14CAB" w:rsidRPr="00E14CAB">
        <w:rPr>
          <w:rFonts w:ascii="Arial" w:hAnsi="Arial" w:cs="Arial"/>
          <w:lang w:val="en-IN"/>
        </w:rPr>
        <w:t xml:space="preserve"> These mergers aimed to create larger, more robust banking entities capable of addressing challenges such as rising non-performing assets (NPAs), capital inadequacy, and inefficiencies in operations, while also strengthening their ability to support India's growing economy.</w:t>
      </w:r>
    </w:p>
    <w:p w14:paraId="21D24776" w14:textId="77777777" w:rsidR="00077C6E" w:rsidRPr="00E14CAB" w:rsidRDefault="00077C6E" w:rsidP="00077C6E">
      <w:pPr>
        <w:pStyle w:val="Body"/>
        <w:spacing w:after="0"/>
        <w:rPr>
          <w:rFonts w:ascii="Arial" w:hAnsi="Arial" w:cs="Arial"/>
          <w:b/>
          <w:bCs/>
          <w:lang w:val="en-IN"/>
        </w:rPr>
      </w:pPr>
    </w:p>
    <w:p w14:paraId="0736BC50" w14:textId="42108A4D" w:rsidR="00E14CAB" w:rsidRPr="00E14CAB" w:rsidRDefault="00044DD8" w:rsidP="00E14CAB">
      <w:pPr>
        <w:pStyle w:val="Body"/>
        <w:spacing w:after="0"/>
        <w:rPr>
          <w:rFonts w:ascii="Arial" w:hAnsi="Arial" w:cs="Arial"/>
          <w:lang w:val="en-IN"/>
        </w:rPr>
      </w:pPr>
      <w:r w:rsidRPr="00E14CAB">
        <w:rPr>
          <w:rFonts w:ascii="Arial" w:hAnsi="Arial" w:cs="Arial"/>
          <w:lang w:val="en-IN"/>
        </w:rPr>
        <w:t>This study examines the impact of these mergers on the financial performance of the resultant PSBs, focusing on key metrics such as profitability, asset quality, capital adequacy, operational efficiency, and liquidity.</w:t>
      </w:r>
      <w:r w:rsidR="00E14CAB" w:rsidRPr="00E14CAB">
        <w:rPr>
          <w:rFonts w:ascii="Arial" w:hAnsi="Arial" w:cs="Arial"/>
          <w:lang w:val="en-IN"/>
        </w:rPr>
        <w:t xml:space="preserve"> </w:t>
      </w:r>
      <w:sdt>
        <w:sdtPr>
          <w:rPr>
            <w:rFonts w:ascii="Arial" w:hAnsi="Arial" w:cs="Arial"/>
            <w:lang w:val="en-IN"/>
          </w:rPr>
          <w:tag w:val="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"/>
          <w:id w:val="1617867349"/>
          <w:placeholder>
            <w:docPart w:val="E191F27DBBA444E6BCC2A76124867947"/>
          </w:placeholder>
        </w:sdtPr>
        <w:sdtEndPr/>
        <w:sdtContent>
          <w:r w:rsidR="00E14CAB" w:rsidRPr="00E14CAB">
            <w:rPr>
              <w:rFonts w:ascii="Arial" w:hAnsi="Arial" w:cs="Arial"/>
              <w:lang w:val="en-IN"/>
            </w:rPr>
            <w:t xml:space="preserve">(Ashton, 2012; Carey, 1975; </w:t>
          </w:r>
          <w:proofErr w:type="spellStart"/>
          <w:r w:rsidR="00E14CAB" w:rsidRPr="00E14CAB">
            <w:rPr>
              <w:rFonts w:ascii="Arial" w:hAnsi="Arial" w:cs="Arial"/>
              <w:lang w:val="en-IN"/>
            </w:rPr>
            <w:t>Carletti</w:t>
          </w:r>
          <w:proofErr w:type="spellEnd"/>
          <w:r w:rsidR="00E14CAB" w:rsidRPr="00E14CAB">
            <w:rPr>
              <w:rFonts w:ascii="Arial" w:hAnsi="Arial" w:cs="Arial"/>
              <w:lang w:val="en-IN"/>
            </w:rPr>
            <w:t xml:space="preserve"> et al., 2007; Das &amp; Kumbhakar, 2022; </w:t>
          </w:r>
          <w:proofErr w:type="spellStart"/>
          <w:r w:rsidR="00E14CAB" w:rsidRPr="00E14CAB">
            <w:rPr>
              <w:rFonts w:ascii="Arial" w:hAnsi="Arial" w:cs="Arial"/>
              <w:lang w:val="en-IN"/>
            </w:rPr>
            <w:t>Utami</w:t>
          </w:r>
          <w:proofErr w:type="spellEnd"/>
          <w:r w:rsidR="00E14CAB" w:rsidRPr="00E14CAB">
            <w:rPr>
              <w:rFonts w:ascii="Arial" w:hAnsi="Arial" w:cs="Arial"/>
              <w:lang w:val="en-IN"/>
            </w:rPr>
            <w:t xml:space="preserve"> et al., 2022)</w:t>
          </w:r>
        </w:sdtContent>
      </w:sdt>
      <w:r w:rsidR="00E14CAB" w:rsidRPr="00E14CAB">
        <w:rPr>
          <w:rFonts w:ascii="Arial" w:hAnsi="Arial" w:cs="Arial"/>
          <w:lang w:val="en-IN"/>
        </w:rPr>
        <w:t xml:space="preserve"> The consolidation wave was driven by the rationale that larger banks could leverage economies of scale, streamline operations, and improve risk management, thereby enhancing financial stability. </w:t>
      </w:r>
      <w:sdt>
        <w:sdtPr>
          <w:rPr>
            <w:rFonts w:ascii="Arial" w:hAnsi="Arial" w:cs="Arial"/>
            <w:lang w:val="en-IN"/>
          </w:rPr>
          <w:tag w:val="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"/>
          <w:id w:val="408663614"/>
          <w:placeholder>
            <w:docPart w:val="E191F27DBBA444E6BCC2A76124867947"/>
          </w:placeholder>
        </w:sdtPr>
        <w:sdtEndPr/>
        <w:sdtContent>
          <w:r w:rsidR="00E14CAB" w:rsidRPr="00E14CAB">
            <w:rPr>
              <w:rFonts w:ascii="Arial" w:hAnsi="Arial" w:cs="Arial"/>
              <w:lang w:val="en-IN"/>
            </w:rPr>
            <w:t>(</w:t>
          </w:r>
          <w:proofErr w:type="spellStart"/>
          <w:r w:rsidR="00E14CAB" w:rsidRPr="00E14CAB">
            <w:rPr>
              <w:rFonts w:ascii="Arial" w:hAnsi="Arial" w:cs="Arial"/>
              <w:lang w:val="en-IN"/>
            </w:rPr>
            <w:t>Budhedeo</w:t>
          </w:r>
          <w:proofErr w:type="spellEnd"/>
          <w:r w:rsidR="00E14CAB" w:rsidRPr="00E14CAB">
            <w:rPr>
              <w:rFonts w:ascii="Arial" w:hAnsi="Arial" w:cs="Arial"/>
              <w:lang w:val="en-IN"/>
            </w:rPr>
            <w:t xml:space="preserve"> &amp; Pandya, 2018; </w:t>
          </w:r>
          <w:proofErr w:type="spellStart"/>
          <w:r w:rsidR="00E14CAB" w:rsidRPr="00E14CAB">
            <w:rPr>
              <w:rFonts w:ascii="Arial" w:hAnsi="Arial" w:cs="Arial"/>
              <w:lang w:val="en-IN"/>
            </w:rPr>
            <w:t>Deolkar</w:t>
          </w:r>
          <w:proofErr w:type="spellEnd"/>
          <w:r w:rsidR="00E14CAB" w:rsidRPr="00E14CAB">
            <w:rPr>
              <w:rFonts w:ascii="Arial" w:hAnsi="Arial" w:cs="Arial"/>
              <w:lang w:val="en-IN"/>
            </w:rPr>
            <w:t>, n.d.; Kumar, 2023)</w:t>
          </w:r>
        </w:sdtContent>
      </w:sdt>
      <w:r w:rsidR="00E14CAB" w:rsidRPr="00E14CAB">
        <w:rPr>
          <w:rFonts w:ascii="Arial" w:hAnsi="Arial" w:cs="Arial"/>
          <w:lang w:val="en-IN"/>
        </w:rPr>
        <w:t xml:space="preserve"> However, the mergers also posed challenges, including integration complexities, cultural disparities, and short-term financial strain due to </w:t>
      </w:r>
      <w:r w:rsidR="00A16FC3">
        <w:rPr>
          <w:rFonts w:ascii="Arial" w:hAnsi="Arial" w:cs="Arial"/>
          <w:lang w:val="en-IN"/>
        </w:rPr>
        <w:t>harmonisation</w:t>
      </w:r>
      <w:r w:rsidR="00E14CAB" w:rsidRPr="00E14CAB">
        <w:rPr>
          <w:rFonts w:ascii="Arial" w:hAnsi="Arial" w:cs="Arial"/>
          <w:lang w:val="en-IN"/>
        </w:rPr>
        <w:t xml:space="preserve"> costs. By analysing pre- and post-merger financial data, this </w:t>
      </w:r>
      <w:r>
        <w:rPr>
          <w:rFonts w:ascii="Arial" w:hAnsi="Arial" w:cs="Arial"/>
          <w:lang w:val="en-IN"/>
        </w:rPr>
        <w:t>study</w:t>
      </w:r>
      <w:r w:rsidR="00E14CAB" w:rsidRPr="00E14CAB">
        <w:rPr>
          <w:rFonts w:ascii="Arial" w:hAnsi="Arial" w:cs="Arial"/>
          <w:lang w:val="en-IN"/>
        </w:rPr>
        <w:t xml:space="preserve"> seeks to evaluate whether these consolidations have achieved their intended objectives and to provide insights into the broader implications for India's banking sector reforms.</w:t>
      </w:r>
    </w:p>
    <w:p w14:paraId="00F2084F" w14:textId="77777777" w:rsidR="00790ADA" w:rsidRPr="00E14CAB" w:rsidRDefault="00790ADA" w:rsidP="00441B6F">
      <w:pPr>
        <w:pStyle w:val="Body"/>
        <w:spacing w:after="0"/>
        <w:rPr>
          <w:rFonts w:ascii="Arial" w:hAnsi="Arial" w:cs="Arial"/>
          <w:lang w:val="en-IN"/>
        </w:rPr>
      </w:pPr>
    </w:p>
    <w:p w14:paraId="60356715" w14:textId="30E83AE3" w:rsidR="007F7B32" w:rsidRDefault="00902823" w:rsidP="00E14CAB">
      <w:pPr>
        <w:pStyle w:val="AbstHead"/>
        <w:spacing w:after="0"/>
        <w:jc w:val="both"/>
        <w:rPr>
          <w:rFonts w:ascii="Arial" w:hAnsi="Arial" w:cs="Arial"/>
        </w:rPr>
      </w:pPr>
      <w:r>
        <w:rPr>
          <w:rFonts w:ascii="Arial" w:hAnsi="Arial" w:cs="Arial"/>
        </w:rPr>
        <w:t xml:space="preserve">2. </w:t>
      </w:r>
      <w:r w:rsidR="00E14CAB" w:rsidRPr="00E14CAB">
        <w:rPr>
          <w:rFonts w:ascii="Arial" w:hAnsi="Arial" w:cs="Arial"/>
          <w:bCs/>
          <w:lang w:val="en-IN"/>
        </w:rPr>
        <w:t>LITERATURE REVIEW AND HYPOTHESIS DEVELOPMENT</w:t>
      </w:r>
    </w:p>
    <w:p w14:paraId="7BC08D28" w14:textId="77777777" w:rsidR="00790ADA" w:rsidRPr="00FB3A86" w:rsidRDefault="00790ADA" w:rsidP="00441B6F">
      <w:pPr>
        <w:pStyle w:val="AbstHead"/>
        <w:spacing w:after="0"/>
        <w:jc w:val="both"/>
        <w:rPr>
          <w:rFonts w:ascii="Arial" w:hAnsi="Arial" w:cs="Arial"/>
        </w:rPr>
      </w:pPr>
    </w:p>
    <w:p w14:paraId="7867B618" w14:textId="61ADC7DE" w:rsidR="00E14CAB" w:rsidRDefault="00B832D8" w:rsidP="00077C6E">
      <w:pPr>
        <w:pStyle w:val="Body"/>
        <w:spacing w:after="0"/>
        <w:rPr>
          <w:rFonts w:ascii="Arial" w:hAnsi="Arial" w:cs="Arial"/>
          <w:lang w:val="en-IN"/>
        </w:rPr>
      </w:pPr>
      <w:r w:rsidRPr="00E14CAB">
        <w:rPr>
          <w:rFonts w:ascii="Arial" w:hAnsi="Arial" w:cs="Arial"/>
          <w:lang w:val="en-IN"/>
        </w:rPr>
        <w:t>Recent studies have examined the impact of mergers on the financial performance of Indian public sector banks.</w:t>
      </w:r>
      <w:r w:rsidR="00E14CAB" w:rsidRPr="00E14CAB">
        <w:rPr>
          <w:rFonts w:ascii="Arial" w:hAnsi="Arial" w:cs="Arial"/>
          <w:lang w:val="en-IN"/>
        </w:rPr>
        <w:t xml:space="preserve"> </w:t>
      </w:r>
      <w:sdt>
        <w:sdtPr>
          <w:rPr>
            <w:rFonts w:ascii="Arial" w:hAnsi="Arial" w:cs="Arial"/>
            <w:lang w:val="en-IN"/>
          </w:rPr>
          <w:tag w:val="MENDELEY_CITATION_v3_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"/>
          <w:id w:val="-1700618549"/>
          <w:placeholder>
            <w:docPart w:val="D75013F6C140463B888803474AA60427"/>
          </w:placeholder>
        </w:sdtPr>
        <w:sdtEndPr/>
        <w:sdtContent>
          <w:r w:rsidR="00E14CAB" w:rsidRPr="00E14CAB">
            <w:rPr>
              <w:rFonts w:ascii="Arial" w:hAnsi="Arial" w:cs="Arial"/>
              <w:lang w:val="en-IN"/>
            </w:rPr>
            <w:t>(</w:t>
          </w:r>
          <w:proofErr w:type="spellStart"/>
          <w:r w:rsidR="00E14CAB" w:rsidRPr="00E14CAB">
            <w:rPr>
              <w:rFonts w:ascii="Arial" w:hAnsi="Arial" w:cs="Arial"/>
              <w:lang w:val="en-IN"/>
            </w:rPr>
            <w:t>Kausingh</w:t>
          </w:r>
          <w:proofErr w:type="spellEnd"/>
          <w:r w:rsidR="00E14CAB" w:rsidRPr="00E14CAB">
            <w:rPr>
              <w:rFonts w:ascii="Arial" w:hAnsi="Arial" w:cs="Arial"/>
              <w:lang w:val="en-IN"/>
            </w:rPr>
            <w:t xml:space="preserve"> &amp; Sridharan, 2019; Sandeep et al., 2018)</w:t>
          </w:r>
          <w:r w:rsidR="00D0737A" w:rsidRPr="00D0737A">
            <w:rPr>
              <w:rFonts w:ascii="Arial" w:hAnsi="Arial" w:cs="Arial"/>
              <w:lang w:val="en-IN"/>
            </w:rPr>
            <w:t xml:space="preserve"> </w:t>
          </w:r>
          <w:r w:rsidR="00D0737A" w:rsidRPr="00E14CAB">
            <w:rPr>
              <w:rFonts w:ascii="Arial" w:hAnsi="Arial" w:cs="Arial"/>
              <w:lang w:val="en-IN"/>
            </w:rPr>
            <w:t>While so</w:t>
          </w:r>
          <w:r w:rsidR="00D0737A">
            <w:rPr>
              <w:rFonts w:ascii="Arial" w:hAnsi="Arial" w:cs="Arial"/>
              <w:lang w:val="en-IN"/>
            </w:rPr>
            <w:t>me studies</w:t>
          </w:r>
          <w:r w:rsidR="00D0737A" w:rsidRPr="00E14CAB">
            <w:rPr>
              <w:rFonts w:ascii="Arial" w:hAnsi="Arial" w:cs="Arial"/>
              <w:lang w:val="en-IN"/>
            </w:rPr>
            <w:t xml:space="preserve"> indicate positive outcomes, such as improved performance, cost reduction, and increased sales</w:t>
          </w:r>
        </w:sdtContent>
      </w:sdt>
      <w:r>
        <w:rPr>
          <w:rFonts w:ascii="Arial" w:hAnsi="Arial" w:cs="Arial"/>
          <w:lang w:val="en-IN"/>
        </w:rPr>
        <w:t>,</w:t>
      </w:r>
      <w:r w:rsidR="00E14CAB" w:rsidRPr="00E14CAB">
        <w:rPr>
          <w:rFonts w:ascii="Arial" w:hAnsi="Arial" w:cs="Arial"/>
          <w:lang w:val="en-IN"/>
        </w:rPr>
        <w:t xml:space="preserve"> others suggest mixed results. </w:t>
      </w:r>
      <w:sdt>
        <w:sdtPr>
          <w:rPr>
            <w:rFonts w:ascii="Arial" w:hAnsi="Arial" w:cs="Arial"/>
            <w:lang w:val="en-IN"/>
          </w:rPr>
          <w:tag w:val="MENDELEY_CITATION_v3_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"/>
          <w:id w:val="-939369648"/>
          <w:placeholder>
            <w:docPart w:val="D75013F6C140463B888803474AA60427"/>
          </w:placeholder>
        </w:sdtPr>
        <w:sdtEndPr/>
        <w:sdtContent>
          <w:r w:rsidR="00E14CAB" w:rsidRPr="00E14CAB">
            <w:rPr>
              <w:rFonts w:ascii="Arial" w:hAnsi="Arial" w:cs="Arial"/>
              <w:lang w:val="en-IN"/>
            </w:rPr>
            <w:t>(</w:t>
          </w:r>
          <w:proofErr w:type="spellStart"/>
          <w:r w:rsidR="00E14CAB" w:rsidRPr="00E14CAB">
            <w:rPr>
              <w:rFonts w:ascii="Arial" w:hAnsi="Arial" w:cs="Arial"/>
              <w:lang w:val="en-IN"/>
            </w:rPr>
            <w:t>Bhaskaran</w:t>
          </w:r>
          <w:proofErr w:type="spellEnd"/>
          <w:r w:rsidR="00E14CAB" w:rsidRPr="00E14CAB">
            <w:rPr>
              <w:rFonts w:ascii="Arial" w:hAnsi="Arial" w:cs="Arial"/>
              <w:lang w:val="en-IN"/>
            </w:rPr>
            <w:t xml:space="preserve"> et al., 2016; Pandian K</w:t>
          </w:r>
          <w:r w:rsidR="001D3FEE">
            <w:rPr>
              <w:rFonts w:ascii="Arial" w:hAnsi="Arial" w:cs="Arial"/>
              <w:lang w:val="en-IN"/>
            </w:rPr>
            <w:t>.</w:t>
          </w:r>
          <w:r w:rsidR="00E14CAB" w:rsidRPr="00E14CAB">
            <w:rPr>
              <w:rFonts w:ascii="Arial" w:hAnsi="Arial" w:cs="Arial"/>
              <w:lang w:val="en-IN"/>
            </w:rPr>
            <w:t xml:space="preserve"> S</w:t>
          </w:r>
          <w:r w:rsidR="001D3FEE">
            <w:rPr>
              <w:rFonts w:ascii="Arial" w:hAnsi="Arial" w:cs="Arial"/>
              <w:lang w:val="en-IN"/>
            </w:rPr>
            <w:t>.</w:t>
          </w:r>
          <w:r w:rsidR="00E14CAB" w:rsidRPr="00E14CAB">
            <w:rPr>
              <w:rFonts w:ascii="Arial" w:hAnsi="Arial" w:cs="Arial"/>
              <w:lang w:val="en-IN"/>
            </w:rPr>
            <w:t xml:space="preserve">, 2020; </w:t>
          </w:r>
          <w:proofErr w:type="spellStart"/>
          <w:r w:rsidR="00E14CAB" w:rsidRPr="00E14CAB">
            <w:rPr>
              <w:rFonts w:ascii="Arial" w:hAnsi="Arial" w:cs="Arial"/>
              <w:lang w:val="en-IN"/>
            </w:rPr>
            <w:t>Rathee</w:t>
          </w:r>
          <w:proofErr w:type="spellEnd"/>
          <w:r w:rsidR="00E14CAB" w:rsidRPr="00E14CAB">
            <w:rPr>
              <w:rFonts w:ascii="Arial" w:hAnsi="Arial" w:cs="Arial"/>
              <w:lang w:val="en-IN"/>
            </w:rPr>
            <w:t xml:space="preserve"> et al., 2015)</w:t>
          </w:r>
        </w:sdtContent>
      </w:sdt>
      <w:r w:rsidR="00D0737A">
        <w:rPr>
          <w:rFonts w:ascii="Arial" w:hAnsi="Arial" w:cs="Arial"/>
          <w:lang w:val="en-IN"/>
        </w:rPr>
        <w:t xml:space="preserve"> </w:t>
      </w:r>
      <w:r w:rsidR="00D0737A" w:rsidRPr="00E14CAB">
        <w:rPr>
          <w:rFonts w:ascii="Arial" w:hAnsi="Arial" w:cs="Arial"/>
          <w:lang w:val="en-IN"/>
        </w:rPr>
        <w:t>Mergers have been found to enhance capital adequacy, loan-to-deposit, and debt-to-equity ratios for some banks</w:t>
      </w:r>
      <w:r w:rsidR="00E14CAB" w:rsidRPr="00E14CAB">
        <w:rPr>
          <w:rFonts w:ascii="Arial" w:hAnsi="Arial" w:cs="Arial"/>
          <w:lang w:val="en-IN"/>
        </w:rPr>
        <w:t xml:space="preserve">. </w:t>
      </w:r>
      <w:r w:rsidRPr="00E14CAB">
        <w:rPr>
          <w:rFonts w:ascii="Arial" w:hAnsi="Arial" w:cs="Arial"/>
          <w:lang w:val="en-IN"/>
        </w:rPr>
        <w:t>(Patel &amp; Patel, 2015)</w:t>
      </w:r>
      <w:r w:rsidR="00D0737A">
        <w:rPr>
          <w:rFonts w:ascii="Arial" w:hAnsi="Arial" w:cs="Arial"/>
          <w:lang w:val="en-IN"/>
        </w:rPr>
        <w:t xml:space="preserve"> </w:t>
      </w:r>
      <w:r w:rsidR="00D0737A" w:rsidRPr="00E14CAB">
        <w:rPr>
          <w:rFonts w:ascii="Arial" w:hAnsi="Arial" w:cs="Arial"/>
          <w:lang w:val="en-IN"/>
        </w:rPr>
        <w:t>However, not all mergers result in significant improvements in financial performance</w:t>
      </w:r>
      <w:r w:rsidRPr="00E14CAB">
        <w:rPr>
          <w:rFonts w:ascii="Arial" w:hAnsi="Arial" w:cs="Arial"/>
          <w:lang w:val="en-IN"/>
        </w:rPr>
        <w:t>.</w:t>
      </w:r>
      <w:r w:rsidR="00E14CAB" w:rsidRPr="00E14CAB">
        <w:rPr>
          <w:rFonts w:ascii="Arial" w:hAnsi="Arial" w:cs="Arial"/>
          <w:lang w:val="en-IN"/>
        </w:rPr>
        <w:t xml:space="preserve"> </w:t>
      </w:r>
      <w:sdt>
        <w:sdtPr>
          <w:rPr>
            <w:rFonts w:ascii="Arial" w:hAnsi="Arial" w:cs="Arial"/>
            <w:lang w:val="en-IN"/>
          </w:rPr>
          <w:tag w:val="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"/>
          <w:id w:val="1696116495"/>
          <w:placeholder>
            <w:docPart w:val="D75013F6C140463B888803474AA60427"/>
          </w:placeholder>
        </w:sdtPr>
        <w:sdtEndPr/>
        <w:sdtContent>
          <w:r w:rsidR="00E14CAB" w:rsidRPr="00E14CAB">
            <w:rPr>
              <w:rFonts w:ascii="Arial" w:hAnsi="Arial" w:cs="Arial"/>
              <w:lang w:val="en-IN"/>
            </w:rPr>
            <w:t xml:space="preserve">(Khan &amp; Faisal, 2023; M </w:t>
          </w:r>
          <w:proofErr w:type="spellStart"/>
          <w:r w:rsidR="00E14CAB" w:rsidRPr="00E14CAB">
            <w:rPr>
              <w:rFonts w:ascii="Arial" w:hAnsi="Arial" w:cs="Arial"/>
              <w:lang w:val="en-IN"/>
            </w:rPr>
            <w:t>Miyan</w:t>
          </w:r>
          <w:proofErr w:type="spellEnd"/>
          <w:r w:rsidR="00E14CAB" w:rsidRPr="00E14CAB">
            <w:rPr>
              <w:rFonts w:ascii="Arial" w:hAnsi="Arial" w:cs="Arial"/>
              <w:lang w:val="en-IN"/>
            </w:rPr>
            <w:t xml:space="preserve"> &amp; Mohammad, 2017; Mitra et al., 2021)</w:t>
          </w:r>
        </w:sdtContent>
      </w:sdt>
      <w:r w:rsidR="00D0737A">
        <w:rPr>
          <w:rFonts w:ascii="Arial" w:hAnsi="Arial" w:cs="Arial"/>
          <w:lang w:val="en-IN"/>
        </w:rPr>
        <w:t xml:space="preserve"> </w:t>
      </w:r>
      <w:r w:rsidR="00D0737A" w:rsidRPr="00E14CAB">
        <w:rPr>
          <w:rFonts w:ascii="Arial" w:hAnsi="Arial" w:cs="Arial"/>
          <w:lang w:val="en-IN"/>
        </w:rPr>
        <w:t>A comprehensive analysis of merged public sector banks revealed notable improvements in financial ratios post-merger, including liquidity, profitability, return, and solvency</w:t>
      </w:r>
      <w:r w:rsidR="00E14CAB" w:rsidRPr="00E14CAB">
        <w:rPr>
          <w:rFonts w:ascii="Arial" w:hAnsi="Arial" w:cs="Arial"/>
          <w:lang w:val="en-IN"/>
        </w:rPr>
        <w:t xml:space="preserve">. </w:t>
      </w:r>
      <w:sdt>
        <w:sdtPr>
          <w:rPr>
            <w:rFonts w:ascii="Arial" w:hAnsi="Arial" w:cs="Arial"/>
            <w:lang w:val="en-IN"/>
          </w:rPr>
          <w:tag w:val="MENDELEY_CITATION_v3_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"/>
          <w:id w:val="-440075868"/>
          <w:placeholder>
            <w:docPart w:val="D75013F6C140463B888803474AA60427"/>
          </w:placeholder>
        </w:sdtPr>
        <w:sdtEndPr/>
        <w:sdtContent>
          <w:r w:rsidR="00E14CAB" w:rsidRPr="00E14CAB">
            <w:rPr>
              <w:rFonts w:ascii="Arial" w:hAnsi="Arial" w:cs="Arial"/>
              <w:lang w:val="en-IN"/>
            </w:rPr>
            <w:t>(K. A. Goyal &amp; Joshi, n.d.; Jain &amp; Jain, 2020)</w:t>
          </w:r>
        </w:sdtContent>
      </w:sdt>
      <w:r w:rsidR="00D0737A">
        <w:rPr>
          <w:rFonts w:ascii="Arial" w:hAnsi="Arial" w:cs="Arial"/>
          <w:lang w:val="en-IN"/>
        </w:rPr>
        <w:t xml:space="preserve"> </w:t>
      </w:r>
      <w:r w:rsidR="00D0737A" w:rsidRPr="00E14CAB">
        <w:rPr>
          <w:rFonts w:ascii="Arial" w:hAnsi="Arial" w:cs="Arial"/>
          <w:lang w:val="en-IN"/>
        </w:rPr>
        <w:t>Despite potential benefits, mergers may also lead to challenges such as cultural differences, employee discontent, and unmanageable branch networks</w:t>
      </w:r>
      <w:r w:rsidR="00E14CAB" w:rsidRPr="00E14CAB">
        <w:rPr>
          <w:rFonts w:ascii="Arial" w:hAnsi="Arial" w:cs="Arial"/>
          <w:lang w:val="en-IN"/>
        </w:rPr>
        <w:t xml:space="preserve">. </w:t>
      </w:r>
      <w:r w:rsidRPr="00E14CAB">
        <w:rPr>
          <w:rFonts w:ascii="Arial" w:hAnsi="Arial" w:cs="Arial"/>
          <w:lang w:val="en-IN"/>
        </w:rPr>
        <w:t>Overall, the impact of mergers on public sector banks in India appears to vary, with some institutions experiencing more positive outcomes.</w:t>
      </w:r>
    </w:p>
    <w:p w14:paraId="59E8EDFB" w14:textId="77777777" w:rsidR="00077C6E" w:rsidRPr="00E14CAB" w:rsidRDefault="00077C6E" w:rsidP="00077C6E">
      <w:pPr>
        <w:pStyle w:val="Body"/>
        <w:spacing w:after="0"/>
        <w:rPr>
          <w:rFonts w:ascii="Arial" w:hAnsi="Arial" w:cs="Arial"/>
          <w:lang w:val="en-IN"/>
        </w:rPr>
      </w:pPr>
    </w:p>
    <w:p w14:paraId="3DC1BD84" w14:textId="77777777" w:rsidR="00E14CAB" w:rsidRDefault="00E14CAB" w:rsidP="00077C6E">
      <w:pPr>
        <w:pStyle w:val="Body"/>
        <w:spacing w:after="0"/>
        <w:rPr>
          <w:rFonts w:ascii="Arial" w:hAnsi="Arial" w:cs="Arial"/>
          <w:b/>
          <w:bCs/>
          <w:sz w:val="22"/>
          <w:szCs w:val="22"/>
          <w:lang w:val="en-IN"/>
        </w:rPr>
      </w:pPr>
      <w:r w:rsidRPr="003C0E0B">
        <w:rPr>
          <w:rFonts w:ascii="Arial" w:hAnsi="Arial" w:cs="Arial"/>
          <w:b/>
          <w:bCs/>
          <w:sz w:val="22"/>
          <w:szCs w:val="22"/>
          <w:lang w:val="en-IN"/>
        </w:rPr>
        <w:t>2.1. Merger and Return on Shareholder’s Fund</w:t>
      </w:r>
    </w:p>
    <w:p w14:paraId="2DDFA3F4" w14:textId="77777777" w:rsidR="00077C6E" w:rsidRPr="003C0E0B" w:rsidRDefault="00077C6E" w:rsidP="00077C6E">
      <w:pPr>
        <w:pStyle w:val="Body"/>
        <w:spacing w:after="0"/>
        <w:rPr>
          <w:rFonts w:ascii="Arial" w:hAnsi="Arial" w:cs="Arial"/>
          <w:b/>
          <w:bCs/>
          <w:sz w:val="22"/>
          <w:szCs w:val="22"/>
          <w:lang w:val="en-IN"/>
        </w:rPr>
      </w:pPr>
    </w:p>
    <w:p w14:paraId="4C90421A" w14:textId="5924054B" w:rsidR="00E14CAB" w:rsidRDefault="00B832D8" w:rsidP="00077C6E">
      <w:pPr>
        <w:pStyle w:val="Body"/>
        <w:spacing w:after="0"/>
        <w:rPr>
          <w:rFonts w:ascii="Arial" w:hAnsi="Arial" w:cs="Arial"/>
          <w:lang w:val="en-IN"/>
        </w:rPr>
      </w:pPr>
      <w:r w:rsidRPr="00E14CAB">
        <w:rPr>
          <w:rFonts w:ascii="Arial" w:hAnsi="Arial" w:cs="Arial"/>
          <w:lang w:val="en-IN"/>
        </w:rPr>
        <w:t>Mergers in the banking sector have mixed effects on financial performance.</w:t>
      </w:r>
      <w:r w:rsidR="00E14CAB" w:rsidRPr="00E14CAB">
        <w:rPr>
          <w:rFonts w:ascii="Arial" w:hAnsi="Arial" w:cs="Arial"/>
          <w:lang w:val="en-IN"/>
        </w:rPr>
        <w:t xml:space="preserve"> </w:t>
      </w:r>
      <w:sdt>
        <w:sdtPr>
          <w:rPr>
            <w:rFonts w:ascii="Arial" w:hAnsi="Arial" w:cs="Arial"/>
            <w:lang w:val="en-IN"/>
          </w:rPr>
          <w:tag w:val="MENDELEY_CITATION_v3_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"/>
          <w:id w:val="1692103518"/>
          <w:placeholder>
            <w:docPart w:val="05DE907070E141DE8EF4EC9485503493"/>
          </w:placeholder>
        </w:sdtPr>
        <w:sdtEndPr/>
        <w:sdtContent>
          <w:r w:rsidR="00E14CAB" w:rsidRPr="00E14CAB">
            <w:rPr>
              <w:rFonts w:ascii="Arial" w:hAnsi="Arial" w:cs="Arial"/>
              <w:lang w:val="en-IN"/>
            </w:rPr>
            <w:t>(Rani &amp; Sangeeta, 2023)</w:t>
          </w:r>
        </w:sdtContent>
      </w:sdt>
      <w:r w:rsidR="00D0737A">
        <w:rPr>
          <w:rFonts w:ascii="Arial" w:hAnsi="Arial" w:cs="Arial"/>
          <w:lang w:val="en-IN"/>
        </w:rPr>
        <w:t xml:space="preserve"> </w:t>
      </w:r>
      <w:r w:rsidR="00D0737A" w:rsidRPr="00E14CAB">
        <w:rPr>
          <w:rFonts w:ascii="Arial" w:hAnsi="Arial" w:cs="Arial"/>
          <w:lang w:val="en-IN"/>
        </w:rPr>
        <w:t>Some studies report positive impacts, with BOB experiencing increased operating and net profits post-merger</w:t>
      </w:r>
      <w:r w:rsidR="00E14CAB" w:rsidRPr="00E14CAB">
        <w:rPr>
          <w:rFonts w:ascii="Arial" w:hAnsi="Arial" w:cs="Arial"/>
          <w:lang w:val="en-IN"/>
        </w:rPr>
        <w:t xml:space="preserve">. </w:t>
      </w:r>
      <w:sdt>
        <w:sdtPr>
          <w:rPr>
            <w:rFonts w:ascii="Arial" w:hAnsi="Arial" w:cs="Arial"/>
            <w:lang w:val="en-IN"/>
          </w:rPr>
          <w:tag w:val="MENDELEY_CITATION_v3_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"/>
          <w:id w:val="-1741245533"/>
          <w:placeholder>
            <w:docPart w:val="05DE907070E141DE8EF4EC9485503493"/>
          </w:placeholder>
        </w:sdtPr>
        <w:sdtEndPr/>
        <w:sdtContent>
          <w:r w:rsidR="00E14CAB" w:rsidRPr="00E14CAB">
            <w:rPr>
              <w:rFonts w:ascii="Arial" w:hAnsi="Arial" w:cs="Arial"/>
              <w:lang w:val="en-IN"/>
            </w:rPr>
            <w:t>(Adhikari, 2023)</w:t>
          </w:r>
        </w:sdtContent>
      </w:sdt>
      <w:r w:rsidR="00D0737A">
        <w:rPr>
          <w:rFonts w:ascii="Arial" w:hAnsi="Arial" w:cs="Arial"/>
          <w:lang w:val="en-IN"/>
        </w:rPr>
        <w:t xml:space="preserve"> </w:t>
      </w:r>
      <w:r w:rsidR="00D0737A" w:rsidRPr="00E14CAB">
        <w:rPr>
          <w:rFonts w:ascii="Arial" w:hAnsi="Arial" w:cs="Arial"/>
          <w:lang w:val="en-IN"/>
        </w:rPr>
        <w:t>Similarly, Nepalese commercial banks demonstrated improved profitability in terms of EPS, ROA, and NPM after mergers</w:t>
      </w:r>
      <w:r w:rsidR="00E14CAB" w:rsidRPr="00E14CAB">
        <w:rPr>
          <w:rFonts w:ascii="Arial" w:hAnsi="Arial" w:cs="Arial"/>
          <w:lang w:val="en-IN"/>
        </w:rPr>
        <w:t xml:space="preserve">. </w:t>
      </w:r>
      <w:r w:rsidRPr="00E14CAB">
        <w:rPr>
          <w:rFonts w:ascii="Arial" w:hAnsi="Arial" w:cs="Arial"/>
          <w:lang w:val="en-IN"/>
        </w:rPr>
        <w:t>However, other studies have indicated negative effects on key financial ratios.</w:t>
      </w:r>
      <w:r w:rsidR="00E14CAB" w:rsidRPr="00E14CAB">
        <w:rPr>
          <w:rFonts w:ascii="Arial" w:hAnsi="Arial" w:cs="Arial"/>
          <w:lang w:val="en-IN"/>
        </w:rPr>
        <w:t xml:space="preserve"> </w:t>
      </w:r>
      <w:sdt>
        <w:sdtPr>
          <w:rPr>
            <w:rFonts w:ascii="Arial" w:hAnsi="Arial" w:cs="Arial"/>
            <w:lang w:val="en-IN"/>
          </w:rPr>
          <w:tag w:val="MENDELEY_CITATION_v3_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"/>
          <w:id w:val="641475856"/>
          <w:placeholder>
            <w:docPart w:val="05DE907070E141DE8EF4EC9485503493"/>
          </w:placeholder>
        </w:sdtPr>
        <w:sdtEndPr/>
        <w:sdtContent>
          <w:r w:rsidR="00E14CAB" w:rsidRPr="00E14CAB">
            <w:rPr>
              <w:rFonts w:ascii="Arial" w:hAnsi="Arial" w:cs="Arial"/>
              <w:lang w:val="en-IN"/>
            </w:rPr>
            <w:t>(Patel, 2018)</w:t>
          </w:r>
        </w:sdtContent>
      </w:sdt>
      <w:r w:rsidR="00D0737A">
        <w:rPr>
          <w:rFonts w:ascii="Arial" w:hAnsi="Arial" w:cs="Arial"/>
          <w:lang w:val="en-IN"/>
        </w:rPr>
        <w:t xml:space="preserve"> </w:t>
      </w:r>
      <w:r w:rsidR="00D0737A" w:rsidRPr="00E14CAB">
        <w:rPr>
          <w:rFonts w:ascii="Arial" w:hAnsi="Arial" w:cs="Arial"/>
          <w:lang w:val="en-IN"/>
        </w:rPr>
        <w:t>A study of Indian banks found decreased ROE, ROA, and net profit ratios following mergers, although EPS and employee productivity improved</w:t>
      </w:r>
      <w:r w:rsidR="00E14CAB" w:rsidRPr="00E14CAB">
        <w:rPr>
          <w:rFonts w:ascii="Arial" w:hAnsi="Arial" w:cs="Arial"/>
          <w:lang w:val="en-IN"/>
        </w:rPr>
        <w:t xml:space="preserve">. </w:t>
      </w:r>
      <w:sdt>
        <w:sdtPr>
          <w:rPr>
            <w:rFonts w:ascii="Arial" w:hAnsi="Arial" w:cs="Arial"/>
            <w:lang w:val="en-IN"/>
          </w:rPr>
          <w:tag w:val="MENDELEY_CITATION_v3_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"/>
          <w:id w:val="2027672629"/>
          <w:placeholder>
            <w:docPart w:val="05DE907070E141DE8EF4EC9485503493"/>
          </w:placeholder>
        </w:sdtPr>
        <w:sdtEndPr/>
        <w:sdtContent>
          <w:r w:rsidR="00E14CAB" w:rsidRPr="00E14CAB">
            <w:rPr>
              <w:rFonts w:ascii="Arial" w:hAnsi="Arial" w:cs="Arial"/>
              <w:lang w:val="en-IN"/>
            </w:rPr>
            <w:t>(</w:t>
          </w:r>
          <w:proofErr w:type="spellStart"/>
          <w:r w:rsidR="00E14CAB" w:rsidRPr="00E14CAB">
            <w:rPr>
              <w:rFonts w:ascii="Arial" w:hAnsi="Arial" w:cs="Arial"/>
              <w:lang w:val="en-IN"/>
            </w:rPr>
            <w:t>Handyanto</w:t>
          </w:r>
          <w:proofErr w:type="spellEnd"/>
          <w:r w:rsidR="00E14CAB" w:rsidRPr="00E14CAB">
            <w:rPr>
              <w:rFonts w:ascii="Arial" w:hAnsi="Arial" w:cs="Arial"/>
              <w:lang w:val="en-IN"/>
            </w:rPr>
            <w:t xml:space="preserve"> et al., 2021)</w:t>
          </w:r>
        </w:sdtContent>
      </w:sdt>
      <w:r w:rsidR="00D0737A">
        <w:rPr>
          <w:rFonts w:ascii="Arial" w:hAnsi="Arial" w:cs="Arial"/>
          <w:lang w:val="en-IN"/>
        </w:rPr>
        <w:t xml:space="preserve"> </w:t>
      </w:r>
      <w:r w:rsidR="00D0737A" w:rsidRPr="00E14CAB">
        <w:rPr>
          <w:rFonts w:ascii="Arial" w:hAnsi="Arial" w:cs="Arial"/>
          <w:lang w:val="en-IN"/>
        </w:rPr>
        <w:t>Research on companies listed in the Sharia Securities List revealed no significant changes in DER, NPM, ROE, and ROA post-merger, suggesting that expected synergies were not achieved</w:t>
      </w:r>
      <w:r w:rsidR="00E14CAB" w:rsidRPr="00E14CAB">
        <w:rPr>
          <w:rFonts w:ascii="Arial" w:hAnsi="Arial" w:cs="Arial"/>
          <w:lang w:val="en-IN"/>
        </w:rPr>
        <w:t xml:space="preserve">. These </w:t>
      </w:r>
      <w:r w:rsidR="00E14CAB" w:rsidRPr="00E14CAB">
        <w:rPr>
          <w:rFonts w:ascii="Arial" w:hAnsi="Arial" w:cs="Arial"/>
          <w:lang w:val="en-IN"/>
        </w:rPr>
        <w:lastRenderedPageBreak/>
        <w:t>varied outcomes highlight the complexity of merger impacts and the need for careful consideration in merger decisions.</w:t>
      </w:r>
    </w:p>
    <w:p w14:paraId="015884FE" w14:textId="77777777" w:rsidR="00077C6E" w:rsidRPr="00E14CAB" w:rsidRDefault="00077C6E" w:rsidP="00077C6E">
      <w:pPr>
        <w:pStyle w:val="Body"/>
        <w:spacing w:after="0"/>
        <w:rPr>
          <w:rFonts w:ascii="Arial" w:hAnsi="Arial" w:cs="Arial"/>
          <w:lang w:val="en-IN"/>
        </w:rPr>
      </w:pPr>
    </w:p>
    <w:p w14:paraId="5544AE6B" w14:textId="36D76EEF" w:rsidR="00E14CAB" w:rsidRDefault="00BD1FFA" w:rsidP="00077C6E">
      <w:pPr>
        <w:pStyle w:val="Body"/>
        <w:spacing w:after="0"/>
        <w:rPr>
          <w:rFonts w:ascii="Arial" w:hAnsi="Arial" w:cs="Arial"/>
          <w:i/>
          <w:lang w:val="en-IN"/>
        </w:rPr>
      </w:pPr>
      <m:oMath>
        <m:sSub>
          <m:sSubPr>
            <m:ctrlPr>
              <w:rPr>
                <w:rFonts w:ascii="Cambria Math" w:hAnsi="Cambria Math" w:cs="Arial"/>
                <w:i/>
                <w:lang w:val="en-IN"/>
              </w:rPr>
            </m:ctrlPr>
          </m:sSubPr>
          <m:e>
            <m:r>
              <w:rPr>
                <w:rFonts w:ascii="Cambria Math" w:hAnsi="Cambria Math" w:cs="Arial"/>
                <w:lang w:val="en-IN"/>
              </w:rPr>
              <m:t>Hθ</m:t>
            </m:r>
          </m:e>
          <m:sub>
            <m:r>
              <w:rPr>
                <w:rFonts w:ascii="Cambria Math" w:hAnsi="Cambria Math" w:cs="Arial"/>
                <w:lang w:val="en-IN"/>
              </w:rPr>
              <m:t>1</m:t>
            </m:r>
          </m:sub>
        </m:sSub>
      </m:oMath>
      <w:r w:rsidR="00E14CAB" w:rsidRPr="00E14CAB">
        <w:rPr>
          <w:rFonts w:ascii="Arial" w:hAnsi="Arial" w:cs="Arial"/>
          <w:i/>
          <w:lang w:val="en-IN"/>
        </w:rPr>
        <w:t xml:space="preserve">=There is no significant impact of </w:t>
      </w:r>
      <w:r w:rsidR="00A16FC3">
        <w:rPr>
          <w:rFonts w:ascii="Arial" w:hAnsi="Arial" w:cs="Arial"/>
          <w:i/>
          <w:lang w:val="en-IN"/>
        </w:rPr>
        <w:t xml:space="preserve">the </w:t>
      </w:r>
      <w:r w:rsidR="00E14CAB" w:rsidRPr="00E14CAB">
        <w:rPr>
          <w:rFonts w:ascii="Arial" w:hAnsi="Arial" w:cs="Arial"/>
          <w:i/>
          <w:lang w:val="en-IN"/>
        </w:rPr>
        <w:t xml:space="preserve">merger on return on shareholder’s </w:t>
      </w:r>
      <w:r w:rsidR="00044DD8">
        <w:rPr>
          <w:rFonts w:ascii="Arial" w:hAnsi="Arial" w:cs="Arial"/>
          <w:i/>
          <w:lang w:val="en-IN"/>
        </w:rPr>
        <w:t>funds</w:t>
      </w:r>
      <w:r w:rsidR="00E14CAB" w:rsidRPr="00E14CAB">
        <w:rPr>
          <w:rFonts w:ascii="Arial" w:hAnsi="Arial" w:cs="Arial"/>
          <w:i/>
          <w:lang w:val="en-IN"/>
        </w:rPr>
        <w:t xml:space="preserve"> of public sector banks.</w:t>
      </w:r>
    </w:p>
    <w:p w14:paraId="51BDA261" w14:textId="77777777" w:rsidR="00077C6E" w:rsidRPr="00E14CAB" w:rsidRDefault="00077C6E" w:rsidP="00077C6E">
      <w:pPr>
        <w:pStyle w:val="Body"/>
        <w:spacing w:after="0"/>
        <w:rPr>
          <w:rFonts w:ascii="Arial" w:hAnsi="Arial" w:cs="Arial"/>
          <w:i/>
          <w:lang w:val="en-IN"/>
        </w:rPr>
      </w:pPr>
    </w:p>
    <w:p w14:paraId="46E429F2" w14:textId="77777777" w:rsidR="00E14CAB" w:rsidRDefault="00E14CAB" w:rsidP="00077C6E">
      <w:pPr>
        <w:pStyle w:val="Body"/>
        <w:spacing w:after="0"/>
        <w:rPr>
          <w:rFonts w:ascii="Arial" w:hAnsi="Arial" w:cs="Arial"/>
          <w:b/>
          <w:bCs/>
          <w:sz w:val="22"/>
          <w:szCs w:val="22"/>
          <w:lang w:val="en-IN"/>
        </w:rPr>
      </w:pPr>
      <w:r w:rsidRPr="003C0E0B">
        <w:rPr>
          <w:rFonts w:ascii="Arial" w:hAnsi="Arial" w:cs="Arial"/>
          <w:b/>
          <w:bCs/>
          <w:sz w:val="22"/>
          <w:szCs w:val="22"/>
          <w:lang w:val="en-IN"/>
        </w:rPr>
        <w:t>2.2. Merger and Return on Assets</w:t>
      </w:r>
    </w:p>
    <w:p w14:paraId="07428B22" w14:textId="77777777" w:rsidR="00077C6E" w:rsidRPr="003C0E0B" w:rsidRDefault="00077C6E" w:rsidP="00077C6E">
      <w:pPr>
        <w:pStyle w:val="Body"/>
        <w:spacing w:after="0"/>
        <w:rPr>
          <w:rFonts w:ascii="Arial" w:hAnsi="Arial" w:cs="Arial"/>
          <w:b/>
          <w:bCs/>
          <w:sz w:val="22"/>
          <w:szCs w:val="22"/>
          <w:lang w:val="en-IN"/>
        </w:rPr>
      </w:pPr>
    </w:p>
    <w:p w14:paraId="3A29F20B" w14:textId="37C814EC" w:rsidR="00E14CAB" w:rsidRDefault="00B832D8" w:rsidP="00077C6E">
      <w:pPr>
        <w:pStyle w:val="Body"/>
        <w:spacing w:after="0"/>
        <w:rPr>
          <w:rFonts w:ascii="Arial" w:hAnsi="Arial" w:cs="Arial"/>
          <w:lang w:val="en-IN"/>
        </w:rPr>
      </w:pPr>
      <w:r w:rsidRPr="00E14CAB">
        <w:rPr>
          <w:rFonts w:ascii="Arial" w:hAnsi="Arial" w:cs="Arial"/>
          <w:lang w:val="en-IN"/>
        </w:rPr>
        <w:t>The impact of mergers on ROA and the overall financial performance of banks has been examined in several studies.</w:t>
      </w:r>
      <w:r w:rsidR="00E14CAB" w:rsidRPr="00E14CAB">
        <w:rPr>
          <w:rFonts w:ascii="Arial" w:hAnsi="Arial" w:cs="Arial"/>
          <w:lang w:val="en-IN"/>
        </w:rPr>
        <w:t xml:space="preserve"> </w:t>
      </w:r>
      <w:sdt>
        <w:sdtPr>
          <w:rPr>
            <w:rFonts w:ascii="Arial" w:hAnsi="Arial" w:cs="Arial"/>
            <w:lang w:val="en-IN"/>
          </w:rPr>
          <w:tag w:val="MENDELEY_CITATION_v3_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"/>
          <w:id w:val="583263514"/>
          <w:placeholder>
            <w:docPart w:val="05DE907070E141DE8EF4EC9485503493"/>
          </w:placeholder>
        </w:sdtPr>
        <w:sdtEndPr/>
        <w:sdtContent>
          <w:r w:rsidR="00E14CAB" w:rsidRPr="00E14CAB">
            <w:rPr>
              <w:rFonts w:ascii="Arial" w:hAnsi="Arial" w:cs="Arial"/>
              <w:lang w:val="en-IN"/>
            </w:rPr>
            <w:t>(</w:t>
          </w:r>
          <w:proofErr w:type="spellStart"/>
          <w:r w:rsidR="00E14CAB" w:rsidRPr="00E14CAB">
            <w:rPr>
              <w:rFonts w:ascii="Arial" w:hAnsi="Arial" w:cs="Arial"/>
              <w:lang w:val="en-IN"/>
            </w:rPr>
            <w:t>Nissa</w:t>
          </w:r>
          <w:proofErr w:type="spellEnd"/>
          <w:r w:rsidR="00E14CAB" w:rsidRPr="00E14CAB">
            <w:rPr>
              <w:rFonts w:ascii="Arial" w:hAnsi="Arial" w:cs="Arial"/>
              <w:lang w:val="en-IN"/>
            </w:rPr>
            <w:t>, 2022)</w:t>
          </w:r>
        </w:sdtContent>
      </w:sdt>
      <w:r w:rsidR="00D0737A">
        <w:rPr>
          <w:rFonts w:ascii="Arial" w:hAnsi="Arial" w:cs="Arial"/>
          <w:lang w:val="en-IN"/>
        </w:rPr>
        <w:t xml:space="preserve"> </w:t>
      </w:r>
      <w:r w:rsidR="00D0737A" w:rsidRPr="00E14CAB">
        <w:rPr>
          <w:rFonts w:ascii="Arial" w:hAnsi="Arial" w:cs="Arial"/>
          <w:lang w:val="en-IN"/>
        </w:rPr>
        <w:t>Research on Indonesian Islamic banks found that ROA positive</w:t>
      </w:r>
      <w:r w:rsidR="00D0737A">
        <w:rPr>
          <w:rFonts w:ascii="Arial" w:hAnsi="Arial" w:cs="Arial"/>
          <w:lang w:val="en-IN"/>
        </w:rPr>
        <w:t>ly</w:t>
      </w:r>
      <w:r w:rsidR="00D0737A" w:rsidRPr="00E14CAB">
        <w:rPr>
          <w:rFonts w:ascii="Arial" w:hAnsi="Arial" w:cs="Arial"/>
          <w:lang w:val="en-IN"/>
        </w:rPr>
        <w:t xml:space="preserve"> </w:t>
      </w:r>
      <w:r w:rsidR="00D0737A">
        <w:rPr>
          <w:rFonts w:ascii="Arial" w:hAnsi="Arial" w:cs="Arial"/>
          <w:lang w:val="en-IN"/>
        </w:rPr>
        <w:t>a</w:t>
      </w:r>
      <w:r w:rsidR="00D0737A" w:rsidRPr="00E14CAB">
        <w:rPr>
          <w:rFonts w:ascii="Arial" w:hAnsi="Arial" w:cs="Arial"/>
          <w:lang w:val="en-IN"/>
        </w:rPr>
        <w:t>ffect</w:t>
      </w:r>
      <w:r w:rsidR="00D0737A">
        <w:rPr>
          <w:rFonts w:ascii="Arial" w:hAnsi="Arial" w:cs="Arial"/>
          <w:lang w:val="en-IN"/>
        </w:rPr>
        <w:t>s</w:t>
      </w:r>
      <w:r w:rsidR="00D0737A" w:rsidRPr="00E14CAB">
        <w:rPr>
          <w:rFonts w:ascii="Arial" w:hAnsi="Arial" w:cs="Arial"/>
          <w:lang w:val="en-IN"/>
        </w:rPr>
        <w:t xml:space="preserve"> net income after </w:t>
      </w:r>
      <w:r w:rsidR="00D0737A">
        <w:rPr>
          <w:rFonts w:ascii="Arial" w:hAnsi="Arial" w:cs="Arial"/>
          <w:lang w:val="en-IN"/>
        </w:rPr>
        <w:t xml:space="preserve">the </w:t>
      </w:r>
      <w:r w:rsidR="00D0737A" w:rsidRPr="00E14CAB">
        <w:rPr>
          <w:rFonts w:ascii="Arial" w:hAnsi="Arial" w:cs="Arial"/>
          <w:lang w:val="en-IN"/>
        </w:rPr>
        <w:t>merger</w:t>
      </w:r>
      <w:r w:rsidR="00E14CAB" w:rsidRPr="00E14CAB">
        <w:rPr>
          <w:rFonts w:ascii="Arial" w:hAnsi="Arial" w:cs="Arial"/>
          <w:lang w:val="en-IN"/>
        </w:rPr>
        <w:t xml:space="preserve">. </w:t>
      </w:r>
      <w:sdt>
        <w:sdtPr>
          <w:rPr>
            <w:rFonts w:ascii="Arial" w:hAnsi="Arial" w:cs="Arial"/>
            <w:lang w:val="en-IN"/>
          </w:rPr>
          <w:tag w:val="MENDELEY_CITATION_v3_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"/>
          <w:id w:val="-752196490"/>
          <w:placeholder>
            <w:docPart w:val="05DE907070E141DE8EF4EC9485503493"/>
          </w:placeholder>
        </w:sdtPr>
        <w:sdtEndPr/>
        <w:sdtContent>
          <w:r w:rsidR="00E14CAB" w:rsidRPr="00E14CAB">
            <w:rPr>
              <w:rFonts w:ascii="Arial" w:hAnsi="Arial" w:cs="Arial"/>
              <w:lang w:val="en-IN"/>
            </w:rPr>
            <w:t>(</w:t>
          </w:r>
          <w:proofErr w:type="spellStart"/>
          <w:r w:rsidR="00E14CAB" w:rsidRPr="00E14CAB">
            <w:rPr>
              <w:rFonts w:ascii="Arial" w:hAnsi="Arial" w:cs="Arial"/>
              <w:lang w:val="en-IN"/>
            </w:rPr>
            <w:t>Fitriyani</w:t>
          </w:r>
          <w:proofErr w:type="spellEnd"/>
          <w:r w:rsidR="00E14CAB" w:rsidRPr="00E14CAB">
            <w:rPr>
              <w:rFonts w:ascii="Arial" w:hAnsi="Arial" w:cs="Arial"/>
              <w:lang w:val="en-IN"/>
            </w:rPr>
            <w:t xml:space="preserve"> et al., 2023)</w:t>
          </w:r>
        </w:sdtContent>
      </w:sdt>
      <w:r w:rsidR="00D0737A">
        <w:rPr>
          <w:rFonts w:ascii="Arial" w:hAnsi="Arial" w:cs="Arial"/>
          <w:lang w:val="en-IN"/>
        </w:rPr>
        <w:t xml:space="preserve"> </w:t>
      </w:r>
      <w:r w:rsidR="00D0737A" w:rsidRPr="00E14CAB">
        <w:rPr>
          <w:rFonts w:ascii="Arial" w:hAnsi="Arial" w:cs="Arial"/>
          <w:lang w:val="en-IN"/>
        </w:rPr>
        <w:t>However, another study on Bank Syariah Indonesia reported mixed results, with some banks showing improved ROA post-merger while others experienced a decline</w:t>
      </w:r>
      <w:r w:rsidR="00E14CAB" w:rsidRPr="00E14CAB">
        <w:rPr>
          <w:rFonts w:ascii="Arial" w:hAnsi="Arial" w:cs="Arial"/>
          <w:lang w:val="en-IN"/>
        </w:rPr>
        <w:t xml:space="preserve">. </w:t>
      </w:r>
      <w:sdt>
        <w:sdtPr>
          <w:rPr>
            <w:rFonts w:ascii="Arial" w:hAnsi="Arial" w:cs="Arial"/>
            <w:lang w:val="en-IN"/>
          </w:rPr>
          <w:tag w:val="MENDELEY_CITATION_v3_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"/>
          <w:id w:val="424844346"/>
          <w:placeholder>
            <w:docPart w:val="05DE907070E141DE8EF4EC9485503493"/>
          </w:placeholder>
        </w:sdtPr>
        <w:sdtEndPr/>
        <w:sdtContent>
          <w:r w:rsidR="00E14CAB" w:rsidRPr="00E14CAB">
            <w:rPr>
              <w:rFonts w:ascii="Arial" w:hAnsi="Arial" w:cs="Arial"/>
              <w:lang w:val="en-IN"/>
            </w:rPr>
            <w:t>(Adhikari, 2023)</w:t>
          </w:r>
        </w:sdtContent>
      </w:sdt>
      <w:r w:rsidR="00D0737A">
        <w:rPr>
          <w:rFonts w:ascii="Arial" w:hAnsi="Arial" w:cs="Arial"/>
          <w:lang w:val="en-IN"/>
        </w:rPr>
        <w:t xml:space="preserve"> </w:t>
      </w:r>
      <w:r w:rsidR="00D0737A" w:rsidRPr="00E14CAB">
        <w:rPr>
          <w:rFonts w:ascii="Arial" w:hAnsi="Arial" w:cs="Arial"/>
          <w:lang w:val="en-IN"/>
        </w:rPr>
        <w:t xml:space="preserve">In Nepal, a study of commercial bank mergers revealed statistically significant improvements in ROA and other profitability measures like Earnings Per Share (EPS) and Net Profit Margin (NPM) after </w:t>
      </w:r>
      <w:r w:rsidR="00D0737A">
        <w:rPr>
          <w:rFonts w:ascii="Arial" w:hAnsi="Arial" w:cs="Arial"/>
          <w:lang w:val="en-IN"/>
        </w:rPr>
        <w:t xml:space="preserve">the </w:t>
      </w:r>
      <w:r w:rsidR="00D0737A" w:rsidRPr="00E14CAB">
        <w:rPr>
          <w:rFonts w:ascii="Arial" w:hAnsi="Arial" w:cs="Arial"/>
          <w:lang w:val="en-IN"/>
        </w:rPr>
        <w:t>merger</w:t>
      </w:r>
      <w:r w:rsidR="00E14CAB" w:rsidRPr="00E14CAB">
        <w:rPr>
          <w:rFonts w:ascii="Arial" w:hAnsi="Arial" w:cs="Arial"/>
          <w:lang w:val="en-IN"/>
        </w:rPr>
        <w:t xml:space="preserve">. </w:t>
      </w:r>
      <w:sdt>
        <w:sdtPr>
          <w:rPr>
            <w:rFonts w:ascii="Arial" w:hAnsi="Arial" w:cs="Arial"/>
            <w:lang w:val="en-IN"/>
          </w:rPr>
          <w:tag w:val="MENDELEY_CITATION_v3_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"/>
          <w:id w:val="-297063264"/>
          <w:placeholder>
            <w:docPart w:val="05DE907070E141DE8EF4EC9485503493"/>
          </w:placeholder>
        </w:sdtPr>
        <w:sdtEndPr/>
        <w:sdtContent>
          <w:r w:rsidR="00E14CAB" w:rsidRPr="00E14CAB">
            <w:rPr>
              <w:rFonts w:ascii="Arial" w:hAnsi="Arial" w:cs="Arial"/>
              <w:lang w:val="en-IN"/>
            </w:rPr>
            <w:t>(</w:t>
          </w:r>
          <w:proofErr w:type="spellStart"/>
          <w:r w:rsidR="00E14CAB" w:rsidRPr="00E14CAB">
            <w:rPr>
              <w:rFonts w:ascii="Arial" w:hAnsi="Arial" w:cs="Arial"/>
              <w:lang w:val="en-IN"/>
            </w:rPr>
            <w:t>Hadi</w:t>
          </w:r>
          <w:proofErr w:type="spellEnd"/>
          <w:r w:rsidR="00E14CAB" w:rsidRPr="00E14CAB">
            <w:rPr>
              <w:rFonts w:ascii="Arial" w:hAnsi="Arial" w:cs="Arial"/>
              <w:lang w:val="en-IN"/>
            </w:rPr>
            <w:t>, 2024)</w:t>
          </w:r>
        </w:sdtContent>
      </w:sdt>
      <w:r w:rsidR="00D0737A">
        <w:rPr>
          <w:rFonts w:ascii="Arial" w:hAnsi="Arial" w:cs="Arial"/>
          <w:lang w:val="en-IN"/>
        </w:rPr>
        <w:t xml:space="preserve"> </w:t>
      </w:r>
      <w:r w:rsidR="00D0737A" w:rsidRPr="00E14CAB">
        <w:rPr>
          <w:rFonts w:ascii="Arial" w:hAnsi="Arial" w:cs="Arial"/>
          <w:lang w:val="en-IN"/>
        </w:rPr>
        <w:t>Additionally, research on Indonesian companies listed on the stock exchange found that ROA had a significant positive impact on firm value both before and after mergers and acquisitions</w:t>
      </w:r>
      <w:r w:rsidR="00E14CAB" w:rsidRPr="00E14CAB">
        <w:rPr>
          <w:rFonts w:ascii="Arial" w:hAnsi="Arial" w:cs="Arial"/>
          <w:lang w:val="en-IN"/>
        </w:rPr>
        <w:t xml:space="preserve">. </w:t>
      </w:r>
      <w:r w:rsidRPr="00E14CAB">
        <w:rPr>
          <w:rFonts w:ascii="Arial" w:hAnsi="Arial" w:cs="Arial"/>
          <w:lang w:val="en-IN"/>
        </w:rPr>
        <w:t>These studies suggest that while mergers can potentially improve ROA and financial performance, the outcomes may vary depending on the specific circumstances and institutions involved.</w:t>
      </w:r>
    </w:p>
    <w:p w14:paraId="344ECD90" w14:textId="77777777" w:rsidR="00077C6E" w:rsidRPr="00E14CAB" w:rsidRDefault="00077C6E" w:rsidP="00077C6E">
      <w:pPr>
        <w:pStyle w:val="Body"/>
        <w:spacing w:after="0"/>
        <w:rPr>
          <w:rFonts w:ascii="Arial" w:hAnsi="Arial" w:cs="Arial"/>
          <w:lang w:val="en-IN"/>
        </w:rPr>
      </w:pPr>
    </w:p>
    <w:p w14:paraId="7637749F" w14:textId="15927C55" w:rsidR="00E14CAB" w:rsidRDefault="00BD1FFA" w:rsidP="00077C6E">
      <w:pPr>
        <w:pStyle w:val="Body"/>
        <w:spacing w:after="0"/>
        <w:rPr>
          <w:rFonts w:ascii="Arial" w:hAnsi="Arial" w:cs="Arial"/>
          <w:i/>
          <w:lang w:val="en-IN"/>
        </w:rPr>
      </w:pPr>
      <m:oMath>
        <m:sSub>
          <m:sSubPr>
            <m:ctrlPr>
              <w:rPr>
                <w:rFonts w:ascii="Cambria Math" w:hAnsi="Cambria Math" w:cs="Arial"/>
                <w:i/>
                <w:lang w:val="en-IN"/>
              </w:rPr>
            </m:ctrlPr>
          </m:sSubPr>
          <m:e>
            <m:r>
              <w:rPr>
                <w:rFonts w:ascii="Cambria Math" w:hAnsi="Cambria Math" w:cs="Arial"/>
                <w:lang w:val="en-IN"/>
              </w:rPr>
              <m:t>Hθ</m:t>
            </m:r>
          </m:e>
          <m:sub>
            <m:r>
              <w:rPr>
                <w:rFonts w:ascii="Cambria Math" w:hAnsi="Cambria Math" w:cs="Arial"/>
                <w:lang w:val="en-IN"/>
              </w:rPr>
              <m:t>2</m:t>
            </m:r>
          </m:sub>
        </m:sSub>
      </m:oMath>
      <w:r w:rsidR="00E14CAB" w:rsidRPr="00E14CAB">
        <w:rPr>
          <w:rFonts w:ascii="Arial" w:hAnsi="Arial" w:cs="Arial"/>
          <w:i/>
          <w:lang w:val="en-IN"/>
        </w:rPr>
        <w:t xml:space="preserve">=There is no significant impact of </w:t>
      </w:r>
      <w:r w:rsidR="00044DD8">
        <w:rPr>
          <w:rFonts w:ascii="Arial" w:hAnsi="Arial" w:cs="Arial"/>
          <w:i/>
          <w:lang w:val="en-IN"/>
        </w:rPr>
        <w:t xml:space="preserve">the </w:t>
      </w:r>
      <w:r w:rsidR="00E14CAB" w:rsidRPr="00E14CAB">
        <w:rPr>
          <w:rFonts w:ascii="Arial" w:hAnsi="Arial" w:cs="Arial"/>
          <w:i/>
          <w:lang w:val="en-IN"/>
        </w:rPr>
        <w:t xml:space="preserve">merger on </w:t>
      </w:r>
      <w:r w:rsidR="00044DD8">
        <w:rPr>
          <w:rFonts w:ascii="Arial" w:hAnsi="Arial" w:cs="Arial"/>
          <w:i/>
          <w:lang w:val="en-IN"/>
        </w:rPr>
        <w:t xml:space="preserve">the </w:t>
      </w:r>
      <w:r w:rsidR="00E14CAB" w:rsidRPr="00E14CAB">
        <w:rPr>
          <w:rFonts w:ascii="Arial" w:hAnsi="Arial" w:cs="Arial"/>
          <w:i/>
          <w:lang w:val="en-IN"/>
        </w:rPr>
        <w:t>return on assets of public sector banks.</w:t>
      </w:r>
    </w:p>
    <w:p w14:paraId="64382802" w14:textId="77777777" w:rsidR="00077C6E" w:rsidRPr="00E14CAB" w:rsidRDefault="00077C6E" w:rsidP="00077C6E">
      <w:pPr>
        <w:pStyle w:val="Body"/>
        <w:spacing w:after="0"/>
        <w:rPr>
          <w:rFonts w:ascii="Arial" w:hAnsi="Arial" w:cs="Arial"/>
          <w:i/>
          <w:lang w:val="en-IN"/>
        </w:rPr>
      </w:pPr>
    </w:p>
    <w:p w14:paraId="4881F5CA" w14:textId="77777777" w:rsidR="00E14CAB" w:rsidRDefault="00E14CAB" w:rsidP="00077C6E">
      <w:pPr>
        <w:pStyle w:val="Body"/>
        <w:spacing w:after="0"/>
        <w:rPr>
          <w:rFonts w:ascii="Arial" w:hAnsi="Arial" w:cs="Arial"/>
          <w:b/>
          <w:bCs/>
          <w:sz w:val="22"/>
          <w:szCs w:val="22"/>
          <w:lang w:val="en-IN"/>
        </w:rPr>
      </w:pPr>
      <w:r w:rsidRPr="003C0E0B">
        <w:rPr>
          <w:rFonts w:ascii="Arial" w:hAnsi="Arial" w:cs="Arial"/>
          <w:b/>
          <w:bCs/>
          <w:sz w:val="22"/>
          <w:szCs w:val="22"/>
          <w:lang w:val="en-IN"/>
        </w:rPr>
        <w:t>2.3. Merger and Net Interest Margin</w:t>
      </w:r>
    </w:p>
    <w:p w14:paraId="42F9BBF5" w14:textId="77777777" w:rsidR="00077C6E" w:rsidRPr="003C0E0B" w:rsidRDefault="00077C6E" w:rsidP="00077C6E">
      <w:pPr>
        <w:pStyle w:val="Body"/>
        <w:spacing w:after="0"/>
        <w:rPr>
          <w:rFonts w:ascii="Arial" w:hAnsi="Arial" w:cs="Arial"/>
          <w:b/>
          <w:bCs/>
          <w:sz w:val="22"/>
          <w:szCs w:val="22"/>
          <w:lang w:val="en-IN"/>
        </w:rPr>
      </w:pPr>
    </w:p>
    <w:p w14:paraId="3CBF344E" w14:textId="0C3BD645" w:rsidR="00E14CAB" w:rsidRDefault="00E14CAB" w:rsidP="00E14CAB">
      <w:pPr>
        <w:pStyle w:val="Body"/>
        <w:spacing w:after="0"/>
        <w:rPr>
          <w:rFonts w:ascii="Arial" w:hAnsi="Arial" w:cs="Arial"/>
          <w:lang w:val="en-IN"/>
        </w:rPr>
      </w:pPr>
      <w:r w:rsidRPr="00E14CAB">
        <w:rPr>
          <w:rFonts w:ascii="Arial" w:hAnsi="Arial" w:cs="Arial"/>
          <w:lang w:val="en-IN"/>
        </w:rPr>
        <w:t xml:space="preserve">Mergers and acquisitions (M&amp;A) in the banking sector have mixed impacts on financial performance. </w:t>
      </w:r>
      <w:sdt>
        <w:sdtPr>
          <w:rPr>
            <w:rFonts w:ascii="Arial" w:hAnsi="Arial" w:cs="Arial"/>
            <w:lang w:val="en-IN"/>
          </w:rPr>
          <w:tag w:val="MENDELEY_CITATION_v3_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"/>
          <w:id w:val="1596283765"/>
          <w:placeholder>
            <w:docPart w:val="05DE907070E141DE8EF4EC9485503493"/>
          </w:placeholder>
        </w:sdtPr>
        <w:sdtEndPr/>
        <w:sdtContent>
          <w:r w:rsidRPr="00E14CAB">
            <w:rPr>
              <w:rFonts w:ascii="Arial" w:hAnsi="Arial" w:cs="Arial"/>
              <w:lang w:val="en-IN"/>
            </w:rPr>
            <w:t>(</w:t>
          </w:r>
          <w:proofErr w:type="spellStart"/>
          <w:r w:rsidRPr="00E14CAB">
            <w:rPr>
              <w:rFonts w:ascii="Arial" w:hAnsi="Arial" w:cs="Arial"/>
              <w:lang w:val="en-IN"/>
            </w:rPr>
            <w:t>Huian</w:t>
          </w:r>
          <w:proofErr w:type="spellEnd"/>
          <w:r w:rsidRPr="00E14CAB">
            <w:rPr>
              <w:rFonts w:ascii="Arial" w:hAnsi="Arial" w:cs="Arial"/>
              <w:lang w:val="en-IN"/>
            </w:rPr>
            <w:t>, 2011)</w:t>
          </w:r>
        </w:sdtContent>
      </w:sdt>
      <w:r w:rsidR="00D0737A">
        <w:rPr>
          <w:rFonts w:ascii="Arial" w:hAnsi="Arial" w:cs="Arial"/>
          <w:lang w:val="en-IN"/>
        </w:rPr>
        <w:t xml:space="preserve"> </w:t>
      </w:r>
      <w:r w:rsidR="00D0737A" w:rsidRPr="00E14CAB">
        <w:rPr>
          <w:rFonts w:ascii="Arial" w:hAnsi="Arial" w:cs="Arial"/>
          <w:lang w:val="en-IN"/>
        </w:rPr>
        <w:t>While some studies found improved NIM post-merger</w:t>
      </w:r>
      <w:r w:rsidRPr="00E14CAB">
        <w:rPr>
          <w:rFonts w:ascii="Arial" w:hAnsi="Arial" w:cs="Arial"/>
          <w:lang w:val="en-IN"/>
        </w:rPr>
        <w:t>,</w:t>
      </w:r>
      <w:r w:rsidR="00D0737A">
        <w:rPr>
          <w:rFonts w:ascii="Arial" w:hAnsi="Arial" w:cs="Arial"/>
          <w:lang w:val="en-IN"/>
        </w:rPr>
        <w:t xml:space="preserve"> </w:t>
      </w:r>
      <w:sdt>
        <w:sdtPr>
          <w:rPr>
            <w:rFonts w:ascii="Arial" w:hAnsi="Arial" w:cs="Arial"/>
            <w:lang w:val="en-IN"/>
          </w:rPr>
          <w:tag w:val="MENDELEY_CITATION_v3_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"/>
          <w:id w:val="1910270162"/>
          <w:placeholder>
            <w:docPart w:val="05DE907070E141DE8EF4EC9485503493"/>
          </w:placeholder>
        </w:sdtPr>
        <w:sdtEndPr/>
        <w:sdtContent>
          <w:r w:rsidRPr="00E14CAB">
            <w:rPr>
              <w:rFonts w:ascii="Arial" w:hAnsi="Arial" w:cs="Arial"/>
              <w:lang w:val="en-IN"/>
            </w:rPr>
            <w:t>(</w:t>
          </w:r>
          <w:proofErr w:type="spellStart"/>
          <w:r w:rsidRPr="00E14CAB">
            <w:rPr>
              <w:rFonts w:ascii="Arial" w:hAnsi="Arial" w:cs="Arial"/>
              <w:lang w:val="en-IN"/>
            </w:rPr>
            <w:t>Dwi</w:t>
          </w:r>
          <w:proofErr w:type="spellEnd"/>
          <w:r w:rsidRPr="00E14CAB">
            <w:rPr>
              <w:rFonts w:ascii="Arial" w:hAnsi="Arial" w:cs="Arial"/>
              <w:lang w:val="en-IN"/>
            </w:rPr>
            <w:t xml:space="preserve"> Agustin &amp; </w:t>
          </w:r>
          <w:proofErr w:type="spellStart"/>
          <w:r w:rsidRPr="00E14CAB">
            <w:rPr>
              <w:rFonts w:ascii="Arial" w:hAnsi="Arial" w:cs="Arial"/>
              <w:lang w:val="en-IN"/>
            </w:rPr>
            <w:t>Nansih</w:t>
          </w:r>
          <w:proofErr w:type="spellEnd"/>
          <w:r w:rsidRPr="00E14CAB">
            <w:rPr>
              <w:rFonts w:ascii="Arial" w:hAnsi="Arial" w:cs="Arial"/>
              <w:lang w:val="en-IN"/>
            </w:rPr>
            <w:t xml:space="preserve"> </w:t>
          </w:r>
          <w:proofErr w:type="spellStart"/>
          <w:r w:rsidRPr="00E14CAB">
            <w:rPr>
              <w:rFonts w:ascii="Arial" w:hAnsi="Arial" w:cs="Arial"/>
              <w:lang w:val="en-IN"/>
            </w:rPr>
            <w:t>Widhiastuti</w:t>
          </w:r>
          <w:proofErr w:type="spellEnd"/>
          <w:r w:rsidRPr="00E14CAB">
            <w:rPr>
              <w:rFonts w:ascii="Arial" w:hAnsi="Arial" w:cs="Arial"/>
              <w:lang w:val="en-IN"/>
            </w:rPr>
            <w:t>, 2021)</w:t>
          </w:r>
        </w:sdtContent>
      </w:sdt>
      <w:r w:rsidR="00D0737A">
        <w:rPr>
          <w:rFonts w:ascii="Arial" w:hAnsi="Arial" w:cs="Arial"/>
          <w:lang w:val="en-IN"/>
        </w:rPr>
        <w:t xml:space="preserve"> </w:t>
      </w:r>
      <w:r w:rsidR="00D0737A" w:rsidRPr="00E14CAB">
        <w:rPr>
          <w:rFonts w:ascii="Arial" w:hAnsi="Arial" w:cs="Arial"/>
          <w:lang w:val="en-IN"/>
        </w:rPr>
        <w:t>others reported significant differences in NIM before and after M&amp;A</w:t>
      </w:r>
      <w:r w:rsidRPr="00E14CAB">
        <w:rPr>
          <w:rFonts w:ascii="Arial" w:hAnsi="Arial" w:cs="Arial"/>
          <w:lang w:val="en-IN"/>
        </w:rPr>
        <w:t xml:space="preserve">. </w:t>
      </w:r>
      <w:sdt>
        <w:sdtPr>
          <w:rPr>
            <w:rFonts w:ascii="Arial" w:hAnsi="Arial" w:cs="Arial"/>
            <w:lang w:val="en-IN"/>
          </w:rPr>
          <w:tag w:val="MENDELEY_CITATION_v3_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"/>
          <w:id w:val="-363516878"/>
          <w:placeholder>
            <w:docPart w:val="05DE907070E141DE8EF4EC9485503493"/>
          </w:placeholder>
        </w:sdtPr>
        <w:sdtEndPr/>
        <w:sdtContent>
          <w:r w:rsidRPr="00E14CAB">
            <w:rPr>
              <w:rFonts w:ascii="Arial" w:hAnsi="Arial" w:cs="Arial"/>
              <w:lang w:val="en-IN"/>
            </w:rPr>
            <w:t>(Bhandari &amp; Pradhan, 2024)</w:t>
          </w:r>
        </w:sdtContent>
      </w:sdt>
      <w:r w:rsidR="00D0737A">
        <w:rPr>
          <w:rFonts w:ascii="Arial" w:hAnsi="Arial" w:cs="Arial"/>
          <w:lang w:val="en-IN"/>
        </w:rPr>
        <w:t xml:space="preserve"> </w:t>
      </w:r>
      <w:r w:rsidR="00D0737A" w:rsidRPr="00E14CAB">
        <w:rPr>
          <w:rFonts w:ascii="Arial" w:hAnsi="Arial" w:cs="Arial"/>
          <w:lang w:val="en-IN"/>
        </w:rPr>
        <w:t>M&amp;A can positively affect return on assets (ROA) and return on equity (ROE) in Nepalese banks</w:t>
      </w:r>
      <w:r w:rsidRPr="00E14CAB">
        <w:rPr>
          <w:rFonts w:ascii="Arial" w:hAnsi="Arial" w:cs="Arial"/>
          <w:lang w:val="en-IN"/>
        </w:rPr>
        <w:t>,</w:t>
      </w:r>
      <w:r w:rsidR="00D0737A">
        <w:rPr>
          <w:rFonts w:ascii="Arial" w:hAnsi="Arial" w:cs="Arial"/>
          <w:lang w:val="en-IN"/>
        </w:rPr>
        <w:t xml:space="preserve"> </w:t>
      </w:r>
      <w:sdt>
        <w:sdtPr>
          <w:rPr>
            <w:rFonts w:ascii="Arial" w:hAnsi="Arial" w:cs="Arial"/>
            <w:lang w:val="en-IN"/>
          </w:rPr>
          <w:tag w:val="MENDELEY_CITATION_v3_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"/>
          <w:id w:val="-1366136070"/>
          <w:placeholder>
            <w:docPart w:val="05DE907070E141DE8EF4EC9485503493"/>
          </w:placeholder>
        </w:sdtPr>
        <w:sdtEndPr/>
        <w:sdtContent>
          <w:r w:rsidRPr="00E14CAB">
            <w:rPr>
              <w:rFonts w:ascii="Arial" w:hAnsi="Arial" w:cs="Arial"/>
              <w:lang w:val="en-IN"/>
            </w:rPr>
            <w:t>(</w:t>
          </w:r>
          <w:proofErr w:type="spellStart"/>
          <w:r w:rsidRPr="00E14CAB">
            <w:rPr>
              <w:rFonts w:ascii="Arial" w:hAnsi="Arial" w:cs="Arial"/>
              <w:lang w:val="en-IN"/>
            </w:rPr>
            <w:t>Huian</w:t>
          </w:r>
          <w:proofErr w:type="spellEnd"/>
          <w:r w:rsidRPr="00E14CAB">
            <w:rPr>
              <w:rFonts w:ascii="Arial" w:hAnsi="Arial" w:cs="Arial"/>
              <w:lang w:val="en-IN"/>
            </w:rPr>
            <w:t>, 2011)</w:t>
          </w:r>
        </w:sdtContent>
      </w:sdt>
      <w:r w:rsidR="00D0737A">
        <w:rPr>
          <w:rFonts w:ascii="Arial" w:hAnsi="Arial" w:cs="Arial"/>
          <w:lang w:val="en-IN"/>
        </w:rPr>
        <w:t xml:space="preserve"> </w:t>
      </w:r>
      <w:r w:rsidR="00D0737A" w:rsidRPr="00E14CAB">
        <w:rPr>
          <w:rFonts w:ascii="Arial" w:hAnsi="Arial" w:cs="Arial"/>
          <w:lang w:val="en-IN"/>
        </w:rPr>
        <w:t>but may not improve ROA or ROE in Romanian banks</w:t>
      </w:r>
      <w:r w:rsidRPr="00E14CAB">
        <w:rPr>
          <w:rFonts w:ascii="Arial" w:hAnsi="Arial" w:cs="Arial"/>
          <w:lang w:val="en-IN"/>
        </w:rPr>
        <w:t>.</w:t>
      </w:r>
      <w:r w:rsidR="00D0737A">
        <w:rPr>
          <w:rFonts w:ascii="Arial" w:hAnsi="Arial" w:cs="Arial"/>
          <w:lang w:val="en-IN"/>
        </w:rPr>
        <w:t xml:space="preserve"> </w:t>
      </w:r>
      <w:sdt>
        <w:sdtPr>
          <w:rPr>
            <w:rFonts w:ascii="Arial" w:hAnsi="Arial" w:cs="Arial"/>
            <w:lang w:val="en-IN"/>
          </w:rPr>
          <w:tag w:val="MENDELEY_CITATION_v3_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"/>
          <w:id w:val="1390848379"/>
          <w:placeholder>
            <w:docPart w:val="05DE907070E141DE8EF4EC9485503493"/>
          </w:placeholder>
        </w:sdtPr>
        <w:sdtEndPr/>
        <w:sdtContent>
          <w:r w:rsidRPr="00E14CAB">
            <w:rPr>
              <w:rFonts w:ascii="Arial" w:hAnsi="Arial" w:cs="Arial"/>
              <w:lang w:val="en-IN"/>
            </w:rPr>
            <w:t>(Bhandari &amp; Pradhan, 2024)</w:t>
          </w:r>
        </w:sdtContent>
      </w:sdt>
      <w:r w:rsidR="00D0737A">
        <w:rPr>
          <w:rFonts w:ascii="Arial" w:hAnsi="Arial" w:cs="Arial"/>
          <w:lang w:val="en-IN"/>
        </w:rPr>
        <w:t xml:space="preserve"> </w:t>
      </w:r>
      <w:r w:rsidR="00D0737A" w:rsidRPr="00E14CAB">
        <w:rPr>
          <w:rFonts w:ascii="Arial" w:hAnsi="Arial" w:cs="Arial"/>
          <w:lang w:val="en-IN"/>
        </w:rPr>
        <w:t>Non-performing loans tend to decrease after mergers, positively impacting profitability</w:t>
      </w:r>
      <w:r w:rsidRPr="00E14CAB">
        <w:rPr>
          <w:rFonts w:ascii="Arial" w:hAnsi="Arial" w:cs="Arial"/>
          <w:lang w:val="en-IN"/>
        </w:rPr>
        <w:t xml:space="preserve">. </w:t>
      </w:r>
      <w:sdt>
        <w:sdtPr>
          <w:rPr>
            <w:rFonts w:ascii="Arial" w:hAnsi="Arial" w:cs="Arial"/>
            <w:lang w:val="en-IN"/>
          </w:rPr>
          <w:tag w:val="MENDELEY_CITATION_v3_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"/>
          <w:id w:val="1319534707"/>
          <w:placeholder>
            <w:docPart w:val="05DE907070E141DE8EF4EC9485503493"/>
          </w:placeholder>
        </w:sdtPr>
        <w:sdtEndPr/>
        <w:sdtContent>
          <w:r w:rsidRPr="00E14CAB">
            <w:rPr>
              <w:rFonts w:ascii="Arial" w:hAnsi="Arial" w:cs="Arial"/>
              <w:lang w:val="en-IN"/>
            </w:rPr>
            <w:t>(</w:t>
          </w:r>
          <w:proofErr w:type="spellStart"/>
          <w:r w:rsidRPr="00E14CAB">
            <w:rPr>
              <w:rFonts w:ascii="Arial" w:hAnsi="Arial" w:cs="Arial"/>
              <w:lang w:val="en-IN"/>
            </w:rPr>
            <w:t>Fulop</w:t>
          </w:r>
          <w:proofErr w:type="spellEnd"/>
          <w:r w:rsidRPr="00E14CAB">
            <w:rPr>
              <w:rFonts w:ascii="Arial" w:hAnsi="Arial" w:cs="Arial"/>
              <w:lang w:val="en-IN"/>
            </w:rPr>
            <w:t xml:space="preserve"> et al., 2002)</w:t>
          </w:r>
        </w:sdtContent>
      </w:sdt>
      <w:r w:rsidR="00D0737A">
        <w:rPr>
          <w:rFonts w:ascii="Arial" w:hAnsi="Arial" w:cs="Arial"/>
          <w:lang w:val="en-IN"/>
        </w:rPr>
        <w:t xml:space="preserve"> </w:t>
      </w:r>
      <w:r w:rsidR="00D0737A" w:rsidRPr="00E14CAB">
        <w:rPr>
          <w:rFonts w:ascii="Arial" w:hAnsi="Arial" w:cs="Arial"/>
          <w:lang w:val="en-IN"/>
        </w:rPr>
        <w:t xml:space="preserve">However, mergers can also have negative consequences, including disruptions to service delivery, delayed service development, and challenges in integrating </w:t>
      </w:r>
      <w:r w:rsidR="00D0737A">
        <w:rPr>
          <w:rFonts w:ascii="Arial" w:hAnsi="Arial" w:cs="Arial"/>
          <w:lang w:val="en-IN"/>
        </w:rPr>
        <w:t>organisational</w:t>
      </w:r>
      <w:r w:rsidR="00D0737A" w:rsidRPr="00E14CAB">
        <w:rPr>
          <w:rFonts w:ascii="Arial" w:hAnsi="Arial" w:cs="Arial"/>
          <w:lang w:val="en-IN"/>
        </w:rPr>
        <w:t xml:space="preserve"> cultures</w:t>
      </w:r>
      <w:r w:rsidRPr="00E14CAB">
        <w:rPr>
          <w:rFonts w:ascii="Arial" w:hAnsi="Arial" w:cs="Arial"/>
          <w:lang w:val="en-IN"/>
        </w:rPr>
        <w:t xml:space="preserve">. Additionally, expected management cost savings may not </w:t>
      </w:r>
      <w:r w:rsidR="00044DD8">
        <w:rPr>
          <w:rFonts w:ascii="Arial" w:hAnsi="Arial" w:cs="Arial"/>
          <w:lang w:val="en-IN"/>
        </w:rPr>
        <w:t>materialise</w:t>
      </w:r>
      <w:r w:rsidRPr="00E14CAB">
        <w:rPr>
          <w:rFonts w:ascii="Arial" w:hAnsi="Arial" w:cs="Arial"/>
          <w:lang w:val="en-IN"/>
        </w:rPr>
        <w:t xml:space="preserve"> within the first two years post-merger. </w:t>
      </w:r>
      <w:r w:rsidR="003A47BA" w:rsidRPr="00E14CAB">
        <w:rPr>
          <w:rFonts w:ascii="Arial" w:hAnsi="Arial" w:cs="Arial"/>
          <w:lang w:val="en-IN"/>
        </w:rPr>
        <w:t>Overall, the impact of M&amp;A on bank performance varies across financial metrics and contexts.</w:t>
      </w:r>
    </w:p>
    <w:p w14:paraId="6C40557F" w14:textId="77777777" w:rsidR="00E14CAB" w:rsidRPr="00E14CAB" w:rsidRDefault="00E14CAB" w:rsidP="00E14CAB">
      <w:pPr>
        <w:pStyle w:val="Body"/>
        <w:spacing w:after="0"/>
        <w:rPr>
          <w:rFonts w:ascii="Arial" w:hAnsi="Arial" w:cs="Arial"/>
          <w:lang w:val="en-IN"/>
        </w:rPr>
      </w:pPr>
    </w:p>
    <w:p w14:paraId="0E4659B9" w14:textId="3160A145" w:rsidR="00E14CAB" w:rsidRDefault="00BD1FFA" w:rsidP="00E14CAB">
      <w:pPr>
        <w:pStyle w:val="Body"/>
        <w:spacing w:after="0"/>
        <w:rPr>
          <w:rFonts w:ascii="Arial" w:hAnsi="Arial" w:cs="Arial"/>
          <w:i/>
          <w:lang w:val="en-IN"/>
        </w:rPr>
      </w:pPr>
      <m:oMath>
        <m:sSub>
          <m:sSubPr>
            <m:ctrlPr>
              <w:rPr>
                <w:rFonts w:ascii="Cambria Math" w:hAnsi="Cambria Math" w:cs="Arial"/>
                <w:i/>
                <w:lang w:val="en-IN"/>
              </w:rPr>
            </m:ctrlPr>
          </m:sSubPr>
          <m:e>
            <m:r>
              <w:rPr>
                <w:rFonts w:ascii="Cambria Math" w:hAnsi="Cambria Math" w:cs="Arial"/>
                <w:lang w:val="en-IN"/>
              </w:rPr>
              <m:t>Hθ</m:t>
            </m:r>
          </m:e>
          <m:sub>
            <m:r>
              <w:rPr>
                <w:rFonts w:ascii="Cambria Math" w:hAnsi="Cambria Math" w:cs="Arial"/>
                <w:lang w:val="en-IN"/>
              </w:rPr>
              <m:t>3</m:t>
            </m:r>
          </m:sub>
        </m:sSub>
      </m:oMath>
      <w:r w:rsidR="00E14CAB" w:rsidRPr="00E14CAB">
        <w:rPr>
          <w:rFonts w:ascii="Arial" w:hAnsi="Arial" w:cs="Arial"/>
          <w:i/>
          <w:lang w:val="en-IN"/>
        </w:rPr>
        <w:t xml:space="preserve">=There is no significant impact of </w:t>
      </w:r>
      <w:r w:rsidR="00044DD8">
        <w:rPr>
          <w:rFonts w:ascii="Arial" w:hAnsi="Arial" w:cs="Arial"/>
          <w:i/>
          <w:lang w:val="en-IN"/>
        </w:rPr>
        <w:t xml:space="preserve">the </w:t>
      </w:r>
      <w:r w:rsidR="00E14CAB" w:rsidRPr="00E14CAB">
        <w:rPr>
          <w:rFonts w:ascii="Arial" w:hAnsi="Arial" w:cs="Arial"/>
          <w:i/>
          <w:lang w:val="en-IN"/>
        </w:rPr>
        <w:t xml:space="preserve">merger on </w:t>
      </w:r>
      <w:bookmarkStart w:id="1" w:name="_Hlk206503024"/>
      <w:r w:rsidR="00044DD8">
        <w:rPr>
          <w:rFonts w:ascii="Arial" w:hAnsi="Arial" w:cs="Arial"/>
          <w:i/>
          <w:lang w:val="en-IN"/>
        </w:rPr>
        <w:t xml:space="preserve">the </w:t>
      </w:r>
      <w:r w:rsidR="00E14CAB" w:rsidRPr="00E14CAB">
        <w:rPr>
          <w:rFonts w:ascii="Arial" w:hAnsi="Arial" w:cs="Arial"/>
          <w:i/>
          <w:lang w:val="en-IN"/>
        </w:rPr>
        <w:t>net interest margin of public sector banks</w:t>
      </w:r>
      <w:bookmarkEnd w:id="1"/>
      <w:r w:rsidR="00E14CAB" w:rsidRPr="00E14CAB">
        <w:rPr>
          <w:rFonts w:ascii="Arial" w:hAnsi="Arial" w:cs="Arial"/>
          <w:i/>
          <w:lang w:val="en-IN"/>
        </w:rPr>
        <w:t>.</w:t>
      </w:r>
    </w:p>
    <w:p w14:paraId="1CE06B96" w14:textId="77777777" w:rsidR="00E14CAB" w:rsidRPr="00E14CAB" w:rsidRDefault="00E14CAB" w:rsidP="00E14CAB">
      <w:pPr>
        <w:pStyle w:val="Body"/>
        <w:spacing w:after="0"/>
        <w:rPr>
          <w:rFonts w:ascii="Arial" w:hAnsi="Arial" w:cs="Arial"/>
          <w:i/>
          <w:lang w:val="en-IN"/>
        </w:rPr>
      </w:pPr>
    </w:p>
    <w:p w14:paraId="3BECC953" w14:textId="77777777" w:rsidR="00E14CAB" w:rsidRDefault="00E14CAB" w:rsidP="00077C6E">
      <w:pPr>
        <w:pStyle w:val="Body"/>
        <w:spacing w:after="0"/>
        <w:rPr>
          <w:rFonts w:ascii="Arial" w:hAnsi="Arial" w:cs="Arial"/>
          <w:b/>
          <w:bCs/>
          <w:sz w:val="22"/>
          <w:szCs w:val="22"/>
          <w:lang w:val="en-IN"/>
        </w:rPr>
      </w:pPr>
      <w:r w:rsidRPr="00E14CAB">
        <w:rPr>
          <w:rFonts w:ascii="Arial" w:hAnsi="Arial" w:cs="Arial"/>
          <w:b/>
          <w:bCs/>
          <w:sz w:val="22"/>
          <w:szCs w:val="22"/>
          <w:lang w:val="en-IN"/>
        </w:rPr>
        <w:t>3. METHODOLOGY</w:t>
      </w:r>
    </w:p>
    <w:p w14:paraId="428C787A" w14:textId="77777777" w:rsidR="00077C6E" w:rsidRPr="00E14CAB" w:rsidRDefault="00077C6E" w:rsidP="00077C6E">
      <w:pPr>
        <w:pStyle w:val="Body"/>
        <w:spacing w:after="0"/>
        <w:rPr>
          <w:rFonts w:ascii="Arial" w:hAnsi="Arial" w:cs="Arial"/>
          <w:b/>
          <w:bCs/>
          <w:sz w:val="22"/>
          <w:szCs w:val="22"/>
          <w:lang w:val="en-IN"/>
        </w:rPr>
      </w:pPr>
    </w:p>
    <w:p w14:paraId="295B744C" w14:textId="3211E670" w:rsidR="00790ADA" w:rsidRDefault="003A47BA" w:rsidP="00E14CAB">
      <w:pPr>
        <w:pStyle w:val="Body"/>
        <w:spacing w:after="0"/>
        <w:rPr>
          <w:rFonts w:ascii="Arial" w:hAnsi="Arial" w:cs="Arial"/>
          <w:lang w:val="en-IN"/>
        </w:rPr>
      </w:pPr>
      <w:r w:rsidRPr="00E14CAB">
        <w:rPr>
          <w:rFonts w:ascii="Arial" w:hAnsi="Arial" w:cs="Arial"/>
          <w:lang w:val="en-IN"/>
        </w:rPr>
        <w:t>This study investigates the impact of mergers on the financial performance of selected Indian public sector banks.</w:t>
      </w:r>
      <w:r w:rsidR="00E14CAB" w:rsidRPr="00E14CAB">
        <w:rPr>
          <w:rFonts w:ascii="Arial" w:hAnsi="Arial" w:cs="Arial"/>
          <w:lang w:val="en-IN"/>
        </w:rPr>
        <w:t xml:space="preserve"> </w:t>
      </w:r>
      <w:r w:rsidRPr="00E14CAB">
        <w:rPr>
          <w:rFonts w:ascii="Arial" w:hAnsi="Arial" w:cs="Arial"/>
          <w:lang w:val="en-IN"/>
        </w:rPr>
        <w:t>This study uses descriptive statistics, a correlation matrix, and panel regression analysis to study whether mergers enhance profitability and how bank-specific factors influence the outcomes.</w:t>
      </w:r>
    </w:p>
    <w:p w14:paraId="63E7DB19" w14:textId="77777777" w:rsidR="00E14CAB" w:rsidRPr="00FB3A86" w:rsidRDefault="00E14CAB" w:rsidP="00E14CAB">
      <w:pPr>
        <w:pStyle w:val="Body"/>
        <w:spacing w:after="0"/>
        <w:rPr>
          <w:rFonts w:ascii="Arial" w:hAnsi="Arial" w:cs="Arial"/>
        </w:rPr>
      </w:pPr>
    </w:p>
    <w:p w14:paraId="7C497BCE" w14:textId="23643D3B" w:rsidR="008E6324" w:rsidRDefault="008E6324" w:rsidP="00EA0F84">
      <w:pPr>
        <w:pStyle w:val="Body"/>
        <w:spacing w:after="0"/>
        <w:rPr>
          <w:rFonts w:ascii="Arial" w:hAnsi="Arial" w:cs="Arial"/>
          <w:b/>
          <w:bCs/>
          <w:sz w:val="22"/>
          <w:lang w:val="en-IN"/>
        </w:rPr>
      </w:pPr>
      <w:r w:rsidRPr="008E6324">
        <w:rPr>
          <w:rFonts w:ascii="Arial" w:hAnsi="Arial" w:cs="Arial"/>
          <w:b/>
          <w:bCs/>
          <w:sz w:val="22"/>
          <w:lang w:val="en-IN"/>
        </w:rPr>
        <w:t>3.1. Objective</w:t>
      </w:r>
    </w:p>
    <w:p w14:paraId="31387CC9" w14:textId="77777777" w:rsidR="00077C6E" w:rsidRPr="008E6324" w:rsidRDefault="00077C6E" w:rsidP="00077C6E">
      <w:pPr>
        <w:pStyle w:val="Body"/>
        <w:spacing w:after="0"/>
        <w:rPr>
          <w:rFonts w:ascii="Arial" w:hAnsi="Arial" w:cs="Arial"/>
          <w:b/>
          <w:bCs/>
          <w:sz w:val="22"/>
          <w:lang w:val="en-IN"/>
        </w:rPr>
      </w:pPr>
    </w:p>
    <w:p w14:paraId="5D3E3A07" w14:textId="460B350C" w:rsidR="008E6324" w:rsidRPr="008E6324" w:rsidRDefault="00044DD8" w:rsidP="00801AF8">
      <w:pPr>
        <w:jc w:val="both"/>
        <w:rPr>
          <w:rFonts w:asciiTheme="minorBidi" w:hAnsiTheme="minorBidi" w:cstheme="minorBidi"/>
        </w:rPr>
      </w:pPr>
      <w:r w:rsidRPr="008E6324">
        <w:rPr>
          <w:rFonts w:asciiTheme="minorBidi" w:hAnsiTheme="minorBidi" w:cstheme="minorBidi"/>
        </w:rPr>
        <w:lastRenderedPageBreak/>
        <w:t xml:space="preserve">The overall objective of this study is to examine the impact of </w:t>
      </w:r>
      <w:r>
        <w:rPr>
          <w:rFonts w:asciiTheme="minorBidi" w:hAnsiTheme="minorBidi" w:cstheme="minorBidi"/>
        </w:rPr>
        <w:t>mergers</w:t>
      </w:r>
      <w:r w:rsidRPr="008E6324">
        <w:rPr>
          <w:rFonts w:asciiTheme="minorBidi" w:hAnsiTheme="minorBidi" w:cstheme="minorBidi"/>
        </w:rPr>
        <w:t xml:space="preserve"> on </w:t>
      </w:r>
      <w:r>
        <w:rPr>
          <w:rFonts w:asciiTheme="minorBidi" w:hAnsiTheme="minorBidi" w:cstheme="minorBidi"/>
        </w:rPr>
        <w:t xml:space="preserve">the </w:t>
      </w:r>
      <w:r w:rsidRPr="008E6324">
        <w:rPr>
          <w:rFonts w:asciiTheme="minorBidi" w:hAnsiTheme="minorBidi" w:cstheme="minorBidi"/>
        </w:rPr>
        <w:t>financial performance of public sector banks</w:t>
      </w:r>
      <w:r>
        <w:rPr>
          <w:rFonts w:asciiTheme="minorBidi" w:hAnsiTheme="minorBidi" w:cstheme="minorBidi"/>
        </w:rPr>
        <w:t>.</w:t>
      </w:r>
    </w:p>
    <w:p w14:paraId="3744FFCD" w14:textId="4AC37019" w:rsidR="008E6324" w:rsidRPr="008E6324" w:rsidRDefault="008E6324" w:rsidP="00801AF8">
      <w:pPr>
        <w:pStyle w:val="ListParagraph"/>
        <w:numPr>
          <w:ilvl w:val="0"/>
          <w:numId w:val="31"/>
        </w:numPr>
        <w:spacing w:after="240"/>
        <w:rPr>
          <w:rFonts w:asciiTheme="minorBidi" w:hAnsiTheme="minorBidi" w:cstheme="minorBidi"/>
          <w:sz w:val="20"/>
          <w:szCs w:val="20"/>
        </w:rPr>
      </w:pPr>
      <w:r w:rsidRPr="008E6324">
        <w:rPr>
          <w:rFonts w:asciiTheme="minorBidi" w:hAnsiTheme="minorBidi" w:cstheme="minorBidi"/>
          <w:sz w:val="20"/>
          <w:szCs w:val="20"/>
        </w:rPr>
        <w:t xml:space="preserve">To study the impact of </w:t>
      </w:r>
      <w:r w:rsidR="00A16FC3">
        <w:rPr>
          <w:rFonts w:asciiTheme="minorBidi" w:hAnsiTheme="minorBidi" w:cstheme="minorBidi"/>
          <w:sz w:val="20"/>
          <w:szCs w:val="20"/>
        </w:rPr>
        <w:t xml:space="preserve">the </w:t>
      </w:r>
      <w:r w:rsidRPr="008E6324">
        <w:rPr>
          <w:rFonts w:asciiTheme="minorBidi" w:hAnsiTheme="minorBidi" w:cstheme="minorBidi"/>
          <w:sz w:val="20"/>
          <w:szCs w:val="20"/>
        </w:rPr>
        <w:t xml:space="preserve">merger on </w:t>
      </w:r>
      <w:r w:rsidR="00A16FC3">
        <w:rPr>
          <w:rFonts w:asciiTheme="minorBidi" w:hAnsiTheme="minorBidi" w:cstheme="minorBidi"/>
          <w:sz w:val="20"/>
          <w:szCs w:val="20"/>
        </w:rPr>
        <w:t xml:space="preserve">the </w:t>
      </w:r>
      <w:r w:rsidRPr="008E6324">
        <w:rPr>
          <w:rFonts w:asciiTheme="minorBidi" w:hAnsiTheme="minorBidi" w:cstheme="minorBidi"/>
          <w:sz w:val="20"/>
          <w:szCs w:val="20"/>
        </w:rPr>
        <w:t>return on shareholder</w:t>
      </w:r>
      <w:r w:rsidR="00A16FC3">
        <w:rPr>
          <w:rFonts w:asciiTheme="minorBidi" w:hAnsiTheme="minorBidi" w:cstheme="minorBidi"/>
          <w:sz w:val="20"/>
          <w:szCs w:val="20"/>
        </w:rPr>
        <w:t>’s</w:t>
      </w:r>
      <w:r w:rsidRPr="008E6324">
        <w:rPr>
          <w:rFonts w:asciiTheme="minorBidi" w:hAnsiTheme="minorBidi" w:cstheme="minorBidi"/>
          <w:sz w:val="20"/>
          <w:szCs w:val="20"/>
        </w:rPr>
        <w:t xml:space="preserve"> </w:t>
      </w:r>
      <w:r w:rsidR="00A16FC3">
        <w:rPr>
          <w:rFonts w:asciiTheme="minorBidi" w:hAnsiTheme="minorBidi" w:cstheme="minorBidi"/>
          <w:sz w:val="20"/>
          <w:szCs w:val="20"/>
        </w:rPr>
        <w:t>funds</w:t>
      </w:r>
      <w:r w:rsidR="00722E0F">
        <w:rPr>
          <w:rFonts w:asciiTheme="minorBidi" w:hAnsiTheme="minorBidi" w:cstheme="minorBidi"/>
          <w:sz w:val="20"/>
          <w:szCs w:val="20"/>
        </w:rPr>
        <w:t>.</w:t>
      </w:r>
    </w:p>
    <w:p w14:paraId="6D162C78" w14:textId="3776278B" w:rsidR="008E6324" w:rsidRPr="008E6324" w:rsidRDefault="008E6324" w:rsidP="00801AF8">
      <w:pPr>
        <w:pStyle w:val="ListParagraph"/>
        <w:numPr>
          <w:ilvl w:val="0"/>
          <w:numId w:val="31"/>
        </w:numPr>
        <w:spacing w:after="240"/>
        <w:rPr>
          <w:rFonts w:asciiTheme="minorBidi" w:hAnsiTheme="minorBidi" w:cstheme="minorBidi"/>
          <w:sz w:val="20"/>
          <w:szCs w:val="20"/>
        </w:rPr>
      </w:pPr>
      <w:r w:rsidRPr="008E6324">
        <w:rPr>
          <w:rFonts w:asciiTheme="minorBidi" w:hAnsiTheme="minorBidi" w:cstheme="minorBidi"/>
          <w:sz w:val="20"/>
          <w:szCs w:val="20"/>
        </w:rPr>
        <w:t xml:space="preserve">To study the impact of </w:t>
      </w:r>
      <w:r w:rsidR="00A16FC3">
        <w:rPr>
          <w:rFonts w:asciiTheme="minorBidi" w:hAnsiTheme="minorBidi" w:cstheme="minorBidi"/>
          <w:sz w:val="20"/>
          <w:szCs w:val="20"/>
        </w:rPr>
        <w:t xml:space="preserve">the </w:t>
      </w:r>
      <w:r w:rsidRPr="008E6324">
        <w:rPr>
          <w:rFonts w:asciiTheme="minorBidi" w:hAnsiTheme="minorBidi" w:cstheme="minorBidi"/>
          <w:sz w:val="20"/>
          <w:szCs w:val="20"/>
        </w:rPr>
        <w:t xml:space="preserve">merger on </w:t>
      </w:r>
      <w:r w:rsidR="00A16FC3">
        <w:rPr>
          <w:rFonts w:asciiTheme="minorBidi" w:hAnsiTheme="minorBidi" w:cstheme="minorBidi"/>
          <w:sz w:val="20"/>
          <w:szCs w:val="20"/>
        </w:rPr>
        <w:t xml:space="preserve">the </w:t>
      </w:r>
      <w:r w:rsidRPr="008E6324">
        <w:rPr>
          <w:rFonts w:asciiTheme="minorBidi" w:hAnsiTheme="minorBidi" w:cstheme="minorBidi"/>
          <w:sz w:val="20"/>
          <w:szCs w:val="20"/>
        </w:rPr>
        <w:t>return on assets</w:t>
      </w:r>
      <w:r w:rsidR="00722E0F">
        <w:rPr>
          <w:rFonts w:asciiTheme="minorBidi" w:hAnsiTheme="minorBidi" w:cstheme="minorBidi"/>
          <w:sz w:val="20"/>
          <w:szCs w:val="20"/>
        </w:rPr>
        <w:t>.</w:t>
      </w:r>
    </w:p>
    <w:p w14:paraId="06B4DF00" w14:textId="26601EDB" w:rsidR="008E6324" w:rsidRDefault="008E6324" w:rsidP="00801AF8">
      <w:pPr>
        <w:pStyle w:val="ListParagraph"/>
        <w:numPr>
          <w:ilvl w:val="0"/>
          <w:numId w:val="31"/>
        </w:numPr>
        <w:rPr>
          <w:rFonts w:asciiTheme="minorBidi" w:hAnsiTheme="minorBidi" w:cstheme="minorBidi"/>
          <w:sz w:val="20"/>
          <w:szCs w:val="20"/>
        </w:rPr>
      </w:pPr>
      <w:r w:rsidRPr="008E6324">
        <w:rPr>
          <w:rFonts w:asciiTheme="minorBidi" w:hAnsiTheme="minorBidi" w:cstheme="minorBidi"/>
          <w:sz w:val="20"/>
          <w:szCs w:val="20"/>
        </w:rPr>
        <w:t xml:space="preserve">To study the impact of </w:t>
      </w:r>
      <w:r w:rsidR="00A16FC3">
        <w:rPr>
          <w:rFonts w:asciiTheme="minorBidi" w:hAnsiTheme="minorBidi" w:cstheme="minorBidi"/>
          <w:sz w:val="20"/>
          <w:szCs w:val="20"/>
        </w:rPr>
        <w:t xml:space="preserve">the </w:t>
      </w:r>
      <w:r w:rsidRPr="008E6324">
        <w:rPr>
          <w:rFonts w:asciiTheme="minorBidi" w:hAnsiTheme="minorBidi" w:cstheme="minorBidi"/>
          <w:sz w:val="20"/>
          <w:szCs w:val="20"/>
        </w:rPr>
        <w:t xml:space="preserve">merger on </w:t>
      </w:r>
      <w:r w:rsidR="00A16FC3">
        <w:rPr>
          <w:rFonts w:asciiTheme="minorBidi" w:hAnsiTheme="minorBidi" w:cstheme="minorBidi"/>
          <w:sz w:val="20"/>
          <w:szCs w:val="20"/>
        </w:rPr>
        <w:t xml:space="preserve">the </w:t>
      </w:r>
      <w:r w:rsidRPr="008E6324">
        <w:rPr>
          <w:rFonts w:asciiTheme="minorBidi" w:hAnsiTheme="minorBidi" w:cstheme="minorBidi"/>
          <w:sz w:val="20"/>
          <w:szCs w:val="20"/>
        </w:rPr>
        <w:t>net interest margin.</w:t>
      </w:r>
    </w:p>
    <w:p w14:paraId="1B6ECAA7" w14:textId="77777777" w:rsidR="00077C6E" w:rsidRPr="008E6324" w:rsidRDefault="00077C6E" w:rsidP="00077C6E">
      <w:pPr>
        <w:pStyle w:val="ListParagraph"/>
        <w:rPr>
          <w:rFonts w:asciiTheme="minorBidi" w:hAnsiTheme="minorBidi" w:cstheme="minorBidi"/>
          <w:sz w:val="20"/>
          <w:szCs w:val="20"/>
        </w:rPr>
      </w:pPr>
    </w:p>
    <w:p w14:paraId="0D09EFEC" w14:textId="77777777" w:rsidR="008E6324" w:rsidRDefault="008E6324" w:rsidP="00077C6E">
      <w:pPr>
        <w:rPr>
          <w:b/>
          <w:bCs/>
          <w:sz w:val="22"/>
          <w:szCs w:val="22"/>
        </w:rPr>
      </w:pPr>
      <w:r w:rsidRPr="003C0E0B">
        <w:rPr>
          <w:b/>
          <w:bCs/>
          <w:sz w:val="22"/>
          <w:szCs w:val="22"/>
        </w:rPr>
        <w:t>3.2. Sample, data and period of the study</w:t>
      </w:r>
    </w:p>
    <w:p w14:paraId="47D039A6" w14:textId="77777777" w:rsidR="00077C6E" w:rsidRPr="003C0E0B" w:rsidRDefault="00077C6E" w:rsidP="00077C6E">
      <w:pPr>
        <w:rPr>
          <w:b/>
          <w:bCs/>
          <w:sz w:val="22"/>
          <w:szCs w:val="22"/>
        </w:rPr>
      </w:pPr>
    </w:p>
    <w:p w14:paraId="5145D825" w14:textId="677C6D93" w:rsidR="008E6324" w:rsidRDefault="00E81C0B" w:rsidP="00077C6E">
      <w:pPr>
        <w:jc w:val="both"/>
        <w:rPr>
          <w:rFonts w:asciiTheme="minorBidi" w:hAnsiTheme="minorBidi" w:cstheme="minorBidi"/>
        </w:rPr>
      </w:pPr>
      <w:r>
        <w:rPr>
          <w:rFonts w:asciiTheme="minorBidi" w:hAnsiTheme="minorBidi" w:cstheme="minorBidi"/>
        </w:rPr>
        <w:t xml:space="preserve">This study investigates a sample of five public sector banks: Bank of Baroda, Canara Bank, Indian Bank, Punjab National Bank, and Union Bank of India. </w:t>
      </w:r>
      <w:r w:rsidR="003A47BA" w:rsidRPr="008E6324">
        <w:rPr>
          <w:rFonts w:asciiTheme="minorBidi" w:hAnsiTheme="minorBidi" w:cstheme="minorBidi"/>
        </w:rPr>
        <w:t>The study covers a total period of six years, quarterly data from March 31, 2015, to March 31, 2024</w:t>
      </w:r>
      <w:r w:rsidR="003A47BA">
        <w:rPr>
          <w:rFonts w:asciiTheme="minorBidi" w:hAnsiTheme="minorBidi" w:cstheme="minorBidi"/>
        </w:rPr>
        <w:t>,</w:t>
      </w:r>
      <w:r w:rsidR="003A47BA" w:rsidRPr="008E6324">
        <w:rPr>
          <w:rFonts w:asciiTheme="minorBidi" w:hAnsiTheme="minorBidi" w:cstheme="minorBidi"/>
        </w:rPr>
        <w:t xml:space="preserve"> to study the impact of mergers w.e.f. April 1, 2020, for the selected banks and 1</w:t>
      </w:r>
      <w:r w:rsidR="003A47BA" w:rsidRPr="008E6324">
        <w:rPr>
          <w:rFonts w:asciiTheme="minorBidi" w:hAnsiTheme="minorBidi" w:cstheme="minorBidi"/>
          <w:vertAlign w:val="superscript"/>
        </w:rPr>
        <w:t>st</w:t>
      </w:r>
      <w:r w:rsidR="003A47BA" w:rsidRPr="008E6324">
        <w:rPr>
          <w:rFonts w:asciiTheme="minorBidi" w:hAnsiTheme="minorBidi" w:cstheme="minorBidi"/>
        </w:rPr>
        <w:t xml:space="preserve"> April 2019 (in the case of Bank of Baroda) </w:t>
      </w:r>
      <w:r w:rsidR="003A47BA">
        <w:rPr>
          <w:rFonts w:asciiTheme="minorBidi" w:hAnsiTheme="minorBidi" w:cstheme="minorBidi"/>
        </w:rPr>
        <w:t>for</w:t>
      </w:r>
      <w:r w:rsidR="003A47BA" w:rsidRPr="008E6324">
        <w:rPr>
          <w:rFonts w:asciiTheme="minorBidi" w:hAnsiTheme="minorBidi" w:cstheme="minorBidi"/>
        </w:rPr>
        <w:t xml:space="preserve"> public sector banks.</w:t>
      </w:r>
    </w:p>
    <w:p w14:paraId="44C22314" w14:textId="77777777" w:rsidR="00077C6E" w:rsidRPr="008E6324" w:rsidRDefault="00077C6E" w:rsidP="00077C6E">
      <w:pPr>
        <w:jc w:val="both"/>
        <w:rPr>
          <w:rFonts w:asciiTheme="minorBidi" w:hAnsiTheme="minorBidi" w:cstheme="minorBidi"/>
          <w:b/>
          <w:bCs/>
        </w:rPr>
      </w:pPr>
    </w:p>
    <w:p w14:paraId="5A450D69" w14:textId="77B52442" w:rsidR="008E6324" w:rsidRDefault="008E6324" w:rsidP="00077C6E">
      <w:pPr>
        <w:jc w:val="both"/>
        <w:rPr>
          <w:rFonts w:asciiTheme="minorBidi" w:hAnsiTheme="minorBidi" w:cstheme="minorBidi"/>
          <w:b/>
          <w:bCs/>
          <w:sz w:val="22"/>
          <w:szCs w:val="22"/>
        </w:rPr>
      </w:pPr>
      <w:r w:rsidRPr="003C0E0B">
        <w:rPr>
          <w:rFonts w:asciiTheme="minorBidi" w:hAnsiTheme="minorBidi" w:cstheme="minorBidi"/>
          <w:b/>
          <w:bCs/>
          <w:sz w:val="22"/>
          <w:szCs w:val="22"/>
        </w:rPr>
        <w:t>3.3. Variables</w:t>
      </w:r>
    </w:p>
    <w:p w14:paraId="3FB73930" w14:textId="77777777" w:rsidR="00077C6E" w:rsidRPr="003C0E0B" w:rsidRDefault="00077C6E" w:rsidP="00077C6E">
      <w:pPr>
        <w:jc w:val="both"/>
        <w:rPr>
          <w:rFonts w:asciiTheme="minorBidi" w:hAnsiTheme="minorBidi" w:cstheme="minorBidi"/>
          <w:b/>
          <w:bCs/>
          <w:sz w:val="22"/>
          <w:szCs w:val="22"/>
        </w:rPr>
      </w:pPr>
    </w:p>
    <w:p w14:paraId="373200E0" w14:textId="08ABC4A7" w:rsidR="008E6324" w:rsidRDefault="003A47BA" w:rsidP="00077C6E">
      <w:pPr>
        <w:jc w:val="both"/>
        <w:rPr>
          <w:rFonts w:asciiTheme="minorBidi" w:hAnsiTheme="minorBidi" w:cstheme="minorBidi"/>
        </w:rPr>
      </w:pPr>
      <w:r w:rsidRPr="008E6324">
        <w:rPr>
          <w:rFonts w:asciiTheme="minorBidi" w:hAnsiTheme="minorBidi" w:cstheme="minorBidi"/>
        </w:rPr>
        <w:t xml:space="preserve">In the regression equations, ROE, ROA, and NIM are the dependent </w:t>
      </w:r>
      <w:r>
        <w:rPr>
          <w:rFonts w:asciiTheme="minorBidi" w:hAnsiTheme="minorBidi" w:cstheme="minorBidi"/>
        </w:rPr>
        <w:t>variables</w:t>
      </w:r>
      <w:r w:rsidRPr="008E6324">
        <w:rPr>
          <w:rFonts w:asciiTheme="minorBidi" w:hAnsiTheme="minorBidi" w:cstheme="minorBidi"/>
        </w:rPr>
        <w:t>, taken as proxies for profitability.</w:t>
      </w:r>
      <w:r w:rsidR="008E6324" w:rsidRPr="008E6324">
        <w:rPr>
          <w:rFonts w:asciiTheme="minorBidi" w:hAnsiTheme="minorBidi" w:cstheme="minorBidi"/>
        </w:rPr>
        <w:t xml:space="preserve"> </w:t>
      </w:r>
      <w:r w:rsidRPr="008E6324">
        <w:rPr>
          <w:rFonts w:asciiTheme="minorBidi" w:hAnsiTheme="minorBidi" w:cstheme="minorBidi"/>
        </w:rPr>
        <w:t xml:space="preserve">Merger is </w:t>
      </w:r>
      <w:r>
        <w:rPr>
          <w:rFonts w:asciiTheme="minorBidi" w:hAnsiTheme="minorBidi" w:cstheme="minorBidi"/>
        </w:rPr>
        <w:t xml:space="preserve">an </w:t>
      </w:r>
      <w:r w:rsidRPr="008E6324">
        <w:rPr>
          <w:rFonts w:asciiTheme="minorBidi" w:hAnsiTheme="minorBidi" w:cstheme="minorBidi"/>
        </w:rPr>
        <w:t xml:space="preserve">independent dummy variable, in which 0 represents </w:t>
      </w:r>
      <w:r>
        <w:rPr>
          <w:rFonts w:asciiTheme="minorBidi" w:hAnsiTheme="minorBidi" w:cstheme="minorBidi"/>
        </w:rPr>
        <w:t xml:space="preserve">the </w:t>
      </w:r>
      <w:r w:rsidRPr="008E6324">
        <w:rPr>
          <w:rFonts w:asciiTheme="minorBidi" w:hAnsiTheme="minorBidi" w:cstheme="minorBidi"/>
        </w:rPr>
        <w:t xml:space="preserve">pre-merger period and 1 represents </w:t>
      </w:r>
      <w:r>
        <w:rPr>
          <w:rFonts w:asciiTheme="minorBidi" w:hAnsiTheme="minorBidi" w:cstheme="minorBidi"/>
        </w:rPr>
        <w:t xml:space="preserve">the </w:t>
      </w:r>
      <w:r w:rsidRPr="008E6324">
        <w:rPr>
          <w:rFonts w:asciiTheme="minorBidi" w:hAnsiTheme="minorBidi" w:cstheme="minorBidi"/>
        </w:rPr>
        <w:t>post-merger period.</w:t>
      </w:r>
      <w:r w:rsidR="008E6324" w:rsidRPr="008E6324">
        <w:rPr>
          <w:rFonts w:asciiTheme="minorBidi" w:hAnsiTheme="minorBidi" w:cstheme="minorBidi"/>
        </w:rPr>
        <w:t xml:space="preserve"> </w:t>
      </w:r>
      <w:r w:rsidRPr="008E6324">
        <w:rPr>
          <w:rFonts w:asciiTheme="minorBidi" w:hAnsiTheme="minorBidi" w:cstheme="minorBidi"/>
        </w:rPr>
        <w:t>As for the bank-specific control variables, CAR stands for capital adequacy, DE for leverage, Cost to Income for operating efficiency, GNPA for asset quality, and cash to total assets for liquidity.</w:t>
      </w:r>
    </w:p>
    <w:p w14:paraId="5E5F634B" w14:textId="77777777" w:rsidR="00077C6E" w:rsidRPr="008E6324" w:rsidRDefault="00077C6E" w:rsidP="00077C6E">
      <w:pPr>
        <w:jc w:val="both"/>
        <w:rPr>
          <w:rFonts w:asciiTheme="minorBidi" w:hAnsiTheme="minorBidi" w:cstheme="minorBidi"/>
        </w:rPr>
      </w:pPr>
    </w:p>
    <w:p w14:paraId="14587003" w14:textId="4C8D1344" w:rsidR="008E6324" w:rsidRDefault="00A16FC3" w:rsidP="008E6324">
      <w:pPr>
        <w:jc w:val="center"/>
        <w:rPr>
          <w:rFonts w:ascii="Arial" w:hAnsi="Arial" w:cs="Arial"/>
          <w:b/>
          <w:bCs/>
        </w:rPr>
      </w:pPr>
      <w:r>
        <w:rPr>
          <w:rFonts w:ascii="Arial" w:hAnsi="Arial" w:cs="Arial"/>
          <w:b/>
          <w:bCs/>
        </w:rPr>
        <w:t>Table 1</w:t>
      </w:r>
      <w:r w:rsidR="008E6324" w:rsidRPr="008E6324">
        <w:rPr>
          <w:rFonts w:ascii="Arial" w:hAnsi="Arial" w:cs="Arial"/>
          <w:b/>
          <w:bCs/>
        </w:rPr>
        <w:t>: Variables of the study</w:t>
      </w:r>
    </w:p>
    <w:p w14:paraId="78E9A07E" w14:textId="77777777" w:rsidR="00C73D82" w:rsidRPr="008E6324" w:rsidRDefault="00C73D82" w:rsidP="008E6324">
      <w:pPr>
        <w:jc w:val="center"/>
        <w:rPr>
          <w:rFonts w:ascii="Arial" w:hAnsi="Arial" w:cs="Arial"/>
        </w:rPr>
      </w:pPr>
    </w:p>
    <w:tbl>
      <w:tblPr>
        <w:tblStyle w:val="PlainTable2"/>
        <w:tblW w:w="5131" w:type="pct"/>
        <w:tblLayout w:type="fixed"/>
        <w:tblLook w:val="04A0" w:firstRow="1" w:lastRow="0" w:firstColumn="1" w:lastColumn="0" w:noHBand="0" w:noVBand="1"/>
      </w:tblPr>
      <w:tblGrid>
        <w:gridCol w:w="1543"/>
        <w:gridCol w:w="1764"/>
        <w:gridCol w:w="1985"/>
        <w:gridCol w:w="3353"/>
      </w:tblGrid>
      <w:tr w:rsidR="008E6324" w:rsidRPr="008E6324" w14:paraId="11E654F0" w14:textId="77777777" w:rsidTr="00556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tcBorders>
              <w:top w:val="single" w:sz="12" w:space="0" w:color="auto"/>
            </w:tcBorders>
          </w:tcPr>
          <w:p w14:paraId="1FCDE661" w14:textId="77777777" w:rsidR="008E6324" w:rsidRPr="008E6324" w:rsidRDefault="008E6324" w:rsidP="008E6324">
            <w:pPr>
              <w:jc w:val="center"/>
              <w:rPr>
                <w:rFonts w:asciiTheme="minorBidi" w:hAnsiTheme="minorBidi" w:cstheme="minorBidi"/>
                <w:sz w:val="20"/>
                <w:szCs w:val="20"/>
              </w:rPr>
            </w:pPr>
            <w:bookmarkStart w:id="2" w:name="_Hlk187594461"/>
            <w:r w:rsidRPr="008E6324">
              <w:rPr>
                <w:rFonts w:asciiTheme="minorBidi" w:hAnsiTheme="minorBidi" w:cstheme="minorBidi"/>
                <w:sz w:val="20"/>
                <w:szCs w:val="20"/>
              </w:rPr>
              <w:t>Variable</w:t>
            </w:r>
          </w:p>
        </w:tc>
        <w:tc>
          <w:tcPr>
            <w:tcW w:w="1020" w:type="pct"/>
            <w:tcBorders>
              <w:top w:val="single" w:sz="12" w:space="0" w:color="auto"/>
            </w:tcBorders>
          </w:tcPr>
          <w:p w14:paraId="390BCF10" w14:textId="77777777" w:rsidR="008E6324" w:rsidRPr="008E6324" w:rsidRDefault="008E6324" w:rsidP="008E6324">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8E6324">
              <w:rPr>
                <w:rFonts w:asciiTheme="minorBidi" w:hAnsiTheme="minorBidi" w:cstheme="minorBidi"/>
                <w:sz w:val="20"/>
                <w:szCs w:val="20"/>
              </w:rPr>
              <w:t>Notation</w:t>
            </w:r>
          </w:p>
        </w:tc>
        <w:tc>
          <w:tcPr>
            <w:tcW w:w="1148" w:type="pct"/>
            <w:tcBorders>
              <w:top w:val="single" w:sz="12" w:space="0" w:color="auto"/>
            </w:tcBorders>
          </w:tcPr>
          <w:p w14:paraId="151358A8" w14:textId="77777777" w:rsidR="008E6324" w:rsidRPr="008E6324" w:rsidRDefault="008E6324" w:rsidP="008E6324">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8E6324">
              <w:rPr>
                <w:rFonts w:asciiTheme="minorBidi" w:hAnsiTheme="minorBidi" w:cstheme="minorBidi"/>
                <w:sz w:val="20"/>
                <w:szCs w:val="20"/>
              </w:rPr>
              <w:t>Measures</w:t>
            </w:r>
          </w:p>
        </w:tc>
        <w:tc>
          <w:tcPr>
            <w:tcW w:w="1939" w:type="pct"/>
            <w:tcBorders>
              <w:top w:val="single" w:sz="12" w:space="0" w:color="auto"/>
            </w:tcBorders>
          </w:tcPr>
          <w:p w14:paraId="223CCF38" w14:textId="77777777" w:rsidR="008E6324" w:rsidRPr="008E6324" w:rsidRDefault="008E6324" w:rsidP="008E6324">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8E6324">
              <w:rPr>
                <w:rFonts w:asciiTheme="minorBidi" w:hAnsiTheme="minorBidi" w:cstheme="minorBidi"/>
                <w:sz w:val="20"/>
                <w:szCs w:val="20"/>
              </w:rPr>
              <w:t>Previous Studies</w:t>
            </w:r>
          </w:p>
        </w:tc>
      </w:tr>
      <w:tr w:rsidR="008E6324" w:rsidRPr="008E6324" w14:paraId="7CB22CFE" w14:textId="77777777" w:rsidTr="00556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bottom w:val="nil"/>
            </w:tcBorders>
          </w:tcPr>
          <w:p w14:paraId="4C553A80" w14:textId="77777777" w:rsidR="008E6324" w:rsidRPr="008E6324" w:rsidRDefault="008E6324" w:rsidP="008E6324">
            <w:pPr>
              <w:jc w:val="center"/>
              <w:rPr>
                <w:rFonts w:asciiTheme="minorBidi" w:hAnsiTheme="minorBidi" w:cstheme="minorBidi"/>
                <w:sz w:val="20"/>
                <w:szCs w:val="20"/>
              </w:rPr>
            </w:pPr>
            <w:r w:rsidRPr="008E6324">
              <w:rPr>
                <w:rFonts w:asciiTheme="minorBidi" w:hAnsiTheme="minorBidi" w:cstheme="minorBidi"/>
                <w:sz w:val="20"/>
                <w:szCs w:val="20"/>
              </w:rPr>
              <w:t>Dependent Variables</w:t>
            </w:r>
          </w:p>
        </w:tc>
      </w:tr>
      <w:tr w:rsidR="008E6324" w:rsidRPr="008E6324" w14:paraId="067B9F75" w14:textId="77777777" w:rsidTr="0055633C">
        <w:tc>
          <w:tcPr>
            <w:cnfStyle w:val="001000000000" w:firstRow="0" w:lastRow="0" w:firstColumn="1" w:lastColumn="0" w:oddVBand="0" w:evenVBand="0" w:oddHBand="0" w:evenHBand="0" w:firstRowFirstColumn="0" w:firstRowLastColumn="0" w:lastRowFirstColumn="0" w:lastRowLastColumn="0"/>
            <w:tcW w:w="893" w:type="pct"/>
            <w:vMerge w:val="restart"/>
            <w:tcBorders>
              <w:top w:val="nil"/>
              <w:bottom w:val="single" w:sz="4" w:space="0" w:color="7F7F7F" w:themeColor="text1" w:themeTint="80"/>
            </w:tcBorders>
            <w:vAlign w:val="center"/>
          </w:tcPr>
          <w:p w14:paraId="5A750D13" w14:textId="77777777" w:rsidR="008E6324" w:rsidRPr="008E6324" w:rsidRDefault="008E6324" w:rsidP="008E6324">
            <w:pPr>
              <w:jc w:val="left"/>
              <w:rPr>
                <w:rFonts w:ascii="Arial" w:hAnsi="Arial" w:cs="Arial"/>
                <w:b w:val="0"/>
                <w:bCs w:val="0"/>
                <w:sz w:val="20"/>
                <w:szCs w:val="20"/>
              </w:rPr>
            </w:pPr>
            <w:r w:rsidRPr="008E6324">
              <w:rPr>
                <w:rFonts w:ascii="Arial" w:hAnsi="Arial" w:cs="Arial"/>
                <w:b w:val="0"/>
                <w:bCs w:val="0"/>
                <w:sz w:val="20"/>
                <w:szCs w:val="20"/>
              </w:rPr>
              <w:t>Profitability</w:t>
            </w:r>
          </w:p>
        </w:tc>
        <w:tc>
          <w:tcPr>
            <w:tcW w:w="1020" w:type="pct"/>
            <w:tcBorders>
              <w:top w:val="nil"/>
              <w:bottom w:val="single" w:sz="4" w:space="0" w:color="7F7F7F" w:themeColor="text1" w:themeTint="80"/>
            </w:tcBorders>
            <w:vAlign w:val="center"/>
          </w:tcPr>
          <w:p w14:paraId="57837508" w14:textId="52822EAB" w:rsidR="008E6324" w:rsidRPr="008E6324" w:rsidRDefault="008E6324" w:rsidP="008E63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E6324">
              <w:rPr>
                <w:rFonts w:ascii="Arial" w:hAnsi="Arial" w:cs="Arial"/>
                <w:sz w:val="20"/>
                <w:szCs w:val="20"/>
              </w:rPr>
              <w:t xml:space="preserve">Return on </w:t>
            </w:r>
            <w:r w:rsidR="00A16FC3">
              <w:rPr>
                <w:rFonts w:ascii="Arial" w:hAnsi="Arial" w:cs="Arial"/>
                <w:sz w:val="20"/>
                <w:szCs w:val="20"/>
              </w:rPr>
              <w:t>assets</w:t>
            </w:r>
            <w:r w:rsidRPr="008E6324">
              <w:rPr>
                <w:rFonts w:ascii="Arial" w:hAnsi="Arial" w:cs="Arial"/>
                <w:sz w:val="20"/>
                <w:szCs w:val="20"/>
              </w:rPr>
              <w:t xml:space="preserve"> (ROA)</w:t>
            </w:r>
          </w:p>
        </w:tc>
        <w:tc>
          <w:tcPr>
            <w:tcW w:w="1148" w:type="pct"/>
            <w:tcBorders>
              <w:top w:val="nil"/>
              <w:bottom w:val="single" w:sz="4" w:space="0" w:color="7F7F7F" w:themeColor="text1" w:themeTint="80"/>
            </w:tcBorders>
            <w:vAlign w:val="center"/>
          </w:tcPr>
          <w:p w14:paraId="692D99A8" w14:textId="50F16444" w:rsidR="008E6324" w:rsidRPr="00722E0F" w:rsidRDefault="00BD1FFA" w:rsidP="008E632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iCs/>
                <w:sz w:val="20"/>
                <w:szCs w:val="20"/>
              </w:rPr>
            </w:pPr>
            <m:oMathPara>
              <m:oMath>
                <m:f>
                  <m:fPr>
                    <m:ctrlPr>
                      <w:rPr>
                        <w:rFonts w:ascii="Cambria Math" w:hAnsi="Cambria Math" w:cstheme="minorBidi"/>
                        <w:iCs/>
                        <w:sz w:val="20"/>
                        <w:szCs w:val="20"/>
                      </w:rPr>
                    </m:ctrlPr>
                  </m:fPr>
                  <m:num>
                    <m:r>
                      <m:rPr>
                        <m:sty m:val="p"/>
                      </m:rPr>
                      <w:rPr>
                        <w:rFonts w:ascii="Cambria Math" w:hAnsi="Cambria Math" w:cstheme="minorBidi"/>
                        <w:sz w:val="20"/>
                        <w:szCs w:val="20"/>
                      </w:rPr>
                      <m:t xml:space="preserve">Net profit </m:t>
                    </m:r>
                  </m:num>
                  <m:den>
                    <m:r>
                      <m:rPr>
                        <m:sty m:val="p"/>
                      </m:rPr>
                      <w:rPr>
                        <w:rFonts w:ascii="Cambria Math" w:hAnsi="Cambria Math" w:cstheme="minorBidi"/>
                        <w:sz w:val="20"/>
                        <w:szCs w:val="20"/>
                      </w:rPr>
                      <m:t xml:space="preserve"> Total assets</m:t>
                    </m:r>
                  </m:den>
                </m:f>
              </m:oMath>
            </m:oMathPara>
          </w:p>
        </w:tc>
        <w:sdt>
          <w:sdtPr>
            <w:rPr>
              <w:rFonts w:asciiTheme="minorBidi" w:hAnsiTheme="minorBidi" w:cstheme="minorBidi"/>
              <w:color w:val="000000"/>
            </w:rPr>
            <w:tag w:val="MENDELEY_CITATION_v3_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"/>
            <w:id w:val="-2147045243"/>
            <w:placeholder>
              <w:docPart w:val="7E5A777ACD074DB2989304086C426CC9"/>
            </w:placeholder>
          </w:sdtPr>
          <w:sdtEndPr/>
          <w:sdtContent>
            <w:tc>
              <w:tcPr>
                <w:tcW w:w="1939" w:type="pct"/>
                <w:tcBorders>
                  <w:top w:val="nil"/>
                  <w:bottom w:val="single" w:sz="4" w:space="0" w:color="7F7F7F" w:themeColor="text1" w:themeTint="80"/>
                </w:tcBorders>
                <w:vAlign w:val="center"/>
              </w:tcPr>
              <w:p w14:paraId="156CB580" w14:textId="77777777" w:rsidR="008E6324" w:rsidRPr="008E6324" w:rsidRDefault="008E6324" w:rsidP="008E6324">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8E6324">
                  <w:rPr>
                    <w:rFonts w:asciiTheme="minorBidi" w:eastAsia="Times New Roman" w:hAnsiTheme="minorBidi" w:cstheme="minorBidi"/>
                    <w:color w:val="000000"/>
                    <w:sz w:val="20"/>
                    <w:szCs w:val="20"/>
                  </w:rPr>
                  <w:t>(</w:t>
                </w:r>
                <w:proofErr w:type="spellStart"/>
                <w:r w:rsidRPr="008E6324">
                  <w:rPr>
                    <w:rFonts w:asciiTheme="minorBidi" w:eastAsia="Times New Roman" w:hAnsiTheme="minorBidi" w:cstheme="minorBidi"/>
                    <w:color w:val="000000"/>
                    <w:sz w:val="20"/>
                    <w:szCs w:val="20"/>
                  </w:rPr>
                  <w:t>Batwo</w:t>
                </w:r>
                <w:proofErr w:type="spellEnd"/>
                <w:r w:rsidRPr="008E6324">
                  <w:rPr>
                    <w:rFonts w:asciiTheme="minorBidi" w:eastAsia="Times New Roman" w:hAnsiTheme="minorBidi" w:cstheme="minorBidi"/>
                    <w:color w:val="000000"/>
                    <w:sz w:val="20"/>
                    <w:szCs w:val="20"/>
                  </w:rPr>
                  <w:t xml:space="preserve"> Michael &amp; </w:t>
                </w:r>
                <w:proofErr w:type="spellStart"/>
                <w:r w:rsidRPr="008E6324">
                  <w:rPr>
                    <w:rFonts w:asciiTheme="minorBidi" w:eastAsia="Times New Roman" w:hAnsiTheme="minorBidi" w:cstheme="minorBidi"/>
                    <w:color w:val="000000"/>
                    <w:sz w:val="20"/>
                    <w:szCs w:val="20"/>
                  </w:rPr>
                  <w:t>Guidi</w:t>
                </w:r>
                <w:proofErr w:type="spellEnd"/>
                <w:r w:rsidRPr="008E6324">
                  <w:rPr>
                    <w:rFonts w:asciiTheme="minorBidi" w:eastAsia="Times New Roman" w:hAnsiTheme="minorBidi" w:cstheme="minorBidi"/>
                    <w:color w:val="000000"/>
                    <w:sz w:val="20"/>
                    <w:szCs w:val="20"/>
                  </w:rPr>
                  <w:t xml:space="preserve">, 2020; </w:t>
                </w:r>
                <w:proofErr w:type="spellStart"/>
                <w:r w:rsidRPr="008E6324">
                  <w:rPr>
                    <w:rFonts w:asciiTheme="minorBidi" w:eastAsia="Times New Roman" w:hAnsiTheme="minorBidi" w:cstheme="minorBidi"/>
                    <w:color w:val="000000"/>
                    <w:sz w:val="20"/>
                    <w:szCs w:val="20"/>
                  </w:rPr>
                  <w:t>Krishnankutty</w:t>
                </w:r>
                <w:proofErr w:type="spellEnd"/>
                <w:r w:rsidRPr="008E6324">
                  <w:rPr>
                    <w:rFonts w:asciiTheme="minorBidi" w:eastAsia="Times New Roman" w:hAnsiTheme="minorBidi" w:cstheme="minorBidi"/>
                    <w:color w:val="000000"/>
                    <w:sz w:val="20"/>
                    <w:szCs w:val="20"/>
                  </w:rPr>
                  <w:t xml:space="preserve"> &amp; Kumar Mohanty, 2018)</w:t>
                </w:r>
              </w:p>
            </w:tc>
          </w:sdtContent>
        </w:sdt>
      </w:tr>
      <w:tr w:rsidR="008E6324" w:rsidRPr="008E6324" w14:paraId="7BAD1528" w14:textId="77777777" w:rsidTr="00556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vMerge/>
            <w:vAlign w:val="center"/>
          </w:tcPr>
          <w:p w14:paraId="4FA10892" w14:textId="77777777" w:rsidR="008E6324" w:rsidRPr="008E6324" w:rsidRDefault="008E6324" w:rsidP="008E6324">
            <w:pPr>
              <w:jc w:val="left"/>
              <w:rPr>
                <w:rFonts w:ascii="Arial" w:hAnsi="Arial" w:cs="Arial"/>
                <w:sz w:val="20"/>
                <w:szCs w:val="20"/>
              </w:rPr>
            </w:pPr>
          </w:p>
        </w:tc>
        <w:tc>
          <w:tcPr>
            <w:tcW w:w="1020" w:type="pct"/>
            <w:vAlign w:val="center"/>
          </w:tcPr>
          <w:p w14:paraId="6FD2A44D" w14:textId="77777777" w:rsidR="008E6324" w:rsidRPr="008E6324" w:rsidRDefault="008E6324" w:rsidP="008E63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E6324">
              <w:rPr>
                <w:rFonts w:ascii="Arial" w:hAnsi="Arial" w:cs="Arial"/>
                <w:sz w:val="20"/>
                <w:szCs w:val="20"/>
              </w:rPr>
              <w:t>Return on equity</w:t>
            </w:r>
          </w:p>
          <w:p w14:paraId="7EF600F3" w14:textId="77777777" w:rsidR="008E6324" w:rsidRPr="008E6324" w:rsidRDefault="008E6324" w:rsidP="008E63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8E6324">
              <w:rPr>
                <w:rFonts w:ascii="Arial" w:hAnsi="Arial" w:cs="Arial"/>
                <w:sz w:val="20"/>
                <w:szCs w:val="20"/>
              </w:rPr>
              <w:t>(ROE)</w:t>
            </w:r>
          </w:p>
        </w:tc>
        <w:tc>
          <w:tcPr>
            <w:tcW w:w="1148" w:type="pct"/>
            <w:vAlign w:val="center"/>
          </w:tcPr>
          <w:p w14:paraId="3E8F6888" w14:textId="3AFFDB5A" w:rsidR="008E6324" w:rsidRPr="00722E0F" w:rsidRDefault="00BD1FFA" w:rsidP="008E6324">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iCs/>
                <w:sz w:val="20"/>
                <w:szCs w:val="20"/>
              </w:rPr>
            </w:pPr>
            <m:oMathPara>
              <m:oMath>
                <m:f>
                  <m:fPr>
                    <m:ctrlPr>
                      <w:rPr>
                        <w:rFonts w:ascii="Cambria Math" w:hAnsi="Cambria Math" w:cstheme="minorBidi"/>
                        <w:iCs/>
                        <w:sz w:val="20"/>
                        <w:szCs w:val="20"/>
                      </w:rPr>
                    </m:ctrlPr>
                  </m:fPr>
                  <m:num>
                    <m:r>
                      <m:rPr>
                        <m:sty m:val="p"/>
                      </m:rPr>
                      <w:rPr>
                        <w:rFonts w:ascii="Cambria Math" w:hAnsi="Cambria Math" w:cstheme="minorBidi"/>
                        <w:sz w:val="20"/>
                        <w:szCs w:val="20"/>
                      </w:rPr>
                      <m:t xml:space="preserve">Net profit </m:t>
                    </m:r>
                  </m:num>
                  <m:den>
                    <m:r>
                      <m:rPr>
                        <m:sty m:val="p"/>
                      </m:rPr>
                      <w:rPr>
                        <w:rFonts w:ascii="Cambria Math" w:hAnsi="Cambria Math" w:cstheme="minorBidi"/>
                        <w:sz w:val="20"/>
                        <w:szCs w:val="20"/>
                      </w:rPr>
                      <m:t xml:space="preserve"> Shareholders Equity</m:t>
                    </m:r>
                  </m:den>
                </m:f>
              </m:oMath>
            </m:oMathPara>
          </w:p>
        </w:tc>
        <w:sdt>
          <w:sdtPr>
            <w:rPr>
              <w:rFonts w:asciiTheme="minorBidi" w:hAnsiTheme="minorBidi" w:cstheme="minorBidi"/>
              <w:color w:val="000000"/>
            </w:rPr>
            <w:tag w:val="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"/>
            <w:id w:val="-309173840"/>
            <w:placeholder>
              <w:docPart w:val="B30673BB8797488D8F55D8A367452C7B"/>
            </w:placeholder>
          </w:sdtPr>
          <w:sdtEndPr/>
          <w:sdtContent>
            <w:tc>
              <w:tcPr>
                <w:tcW w:w="1939" w:type="pct"/>
                <w:vAlign w:val="center"/>
              </w:tcPr>
              <w:p w14:paraId="1EAA05CC" w14:textId="77777777" w:rsidR="008E6324" w:rsidRPr="008E6324" w:rsidRDefault="008E6324" w:rsidP="008E632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0"/>
                    <w:szCs w:val="20"/>
                  </w:rPr>
                </w:pPr>
                <w:r w:rsidRPr="008E6324">
                  <w:rPr>
                    <w:rFonts w:asciiTheme="minorBidi" w:hAnsiTheme="minorBidi" w:cstheme="minorBidi"/>
                    <w:color w:val="000000"/>
                    <w:sz w:val="20"/>
                    <w:szCs w:val="20"/>
                  </w:rPr>
                  <w:t>(Al-</w:t>
                </w:r>
                <w:proofErr w:type="spellStart"/>
                <w:r w:rsidRPr="008E6324">
                  <w:rPr>
                    <w:rFonts w:asciiTheme="minorBidi" w:hAnsiTheme="minorBidi" w:cstheme="minorBidi"/>
                    <w:color w:val="000000"/>
                    <w:sz w:val="20"/>
                    <w:szCs w:val="20"/>
                  </w:rPr>
                  <w:t>Homaidi</w:t>
                </w:r>
                <w:proofErr w:type="spellEnd"/>
                <w:r w:rsidRPr="008E6324">
                  <w:rPr>
                    <w:rFonts w:asciiTheme="minorBidi" w:hAnsiTheme="minorBidi" w:cstheme="minorBidi"/>
                    <w:color w:val="000000"/>
                    <w:sz w:val="20"/>
                    <w:szCs w:val="20"/>
                  </w:rPr>
                  <w:t xml:space="preserve"> et al., 2020; </w:t>
                </w:r>
                <w:proofErr w:type="spellStart"/>
                <w:r w:rsidRPr="008E6324">
                  <w:rPr>
                    <w:rFonts w:asciiTheme="minorBidi" w:hAnsiTheme="minorBidi" w:cstheme="minorBidi"/>
                    <w:color w:val="000000"/>
                    <w:sz w:val="20"/>
                    <w:szCs w:val="20"/>
                  </w:rPr>
                  <w:t>Pratiwi</w:t>
                </w:r>
                <w:proofErr w:type="spellEnd"/>
                <w:r w:rsidRPr="008E6324">
                  <w:rPr>
                    <w:rFonts w:asciiTheme="minorBidi" w:hAnsiTheme="minorBidi" w:cstheme="minorBidi"/>
                    <w:color w:val="000000"/>
                    <w:sz w:val="20"/>
                    <w:szCs w:val="20"/>
                  </w:rPr>
                  <w:t xml:space="preserve"> </w:t>
                </w:r>
                <w:proofErr w:type="spellStart"/>
                <w:r w:rsidRPr="008E6324">
                  <w:rPr>
                    <w:rFonts w:asciiTheme="minorBidi" w:hAnsiTheme="minorBidi" w:cstheme="minorBidi"/>
                    <w:color w:val="000000"/>
                    <w:sz w:val="20"/>
                    <w:szCs w:val="20"/>
                  </w:rPr>
                  <w:t>Nila</w:t>
                </w:r>
                <w:proofErr w:type="spellEnd"/>
                <w:r w:rsidRPr="008E6324">
                  <w:rPr>
                    <w:rFonts w:asciiTheme="minorBidi" w:hAnsiTheme="minorBidi" w:cstheme="minorBidi"/>
                    <w:color w:val="000000"/>
                    <w:sz w:val="20"/>
                    <w:szCs w:val="20"/>
                  </w:rPr>
                  <w:t xml:space="preserve"> et al., 2018; Yahya et al., 2017)</w:t>
                </w:r>
              </w:p>
            </w:tc>
          </w:sdtContent>
        </w:sdt>
      </w:tr>
      <w:tr w:rsidR="008E6324" w:rsidRPr="008E6324" w14:paraId="0A18B155" w14:textId="77777777" w:rsidTr="0055633C">
        <w:tc>
          <w:tcPr>
            <w:cnfStyle w:val="001000000000" w:firstRow="0" w:lastRow="0" w:firstColumn="1" w:lastColumn="0" w:oddVBand="0" w:evenVBand="0" w:oddHBand="0" w:evenHBand="0" w:firstRowFirstColumn="0" w:firstRowLastColumn="0" w:lastRowFirstColumn="0" w:lastRowLastColumn="0"/>
            <w:tcW w:w="893" w:type="pct"/>
            <w:vMerge/>
            <w:tcBorders>
              <w:top w:val="single" w:sz="4" w:space="0" w:color="7F7F7F" w:themeColor="text1" w:themeTint="80"/>
              <w:bottom w:val="single" w:sz="4" w:space="0" w:color="auto"/>
            </w:tcBorders>
            <w:vAlign w:val="center"/>
          </w:tcPr>
          <w:p w14:paraId="3A11AC9F" w14:textId="77777777" w:rsidR="008E6324" w:rsidRPr="008E6324" w:rsidRDefault="008E6324" w:rsidP="008E6324">
            <w:pPr>
              <w:jc w:val="left"/>
              <w:rPr>
                <w:rFonts w:ascii="Arial" w:hAnsi="Arial" w:cs="Arial"/>
                <w:sz w:val="20"/>
                <w:szCs w:val="20"/>
              </w:rPr>
            </w:pPr>
          </w:p>
        </w:tc>
        <w:tc>
          <w:tcPr>
            <w:tcW w:w="1020" w:type="pct"/>
            <w:tcBorders>
              <w:top w:val="single" w:sz="4" w:space="0" w:color="7F7F7F" w:themeColor="text1" w:themeTint="80"/>
              <w:bottom w:val="single" w:sz="4" w:space="0" w:color="auto"/>
            </w:tcBorders>
            <w:vAlign w:val="center"/>
          </w:tcPr>
          <w:p w14:paraId="612EC88C" w14:textId="786701AC" w:rsidR="008E6324" w:rsidRPr="008E6324" w:rsidRDefault="008E6324" w:rsidP="003C0E0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E6324">
              <w:rPr>
                <w:rFonts w:ascii="Arial" w:hAnsi="Arial" w:cs="Arial"/>
                <w:sz w:val="20"/>
                <w:szCs w:val="20"/>
              </w:rPr>
              <w:t>Net interest margin</w:t>
            </w:r>
            <w:r w:rsidR="003C0E0B">
              <w:rPr>
                <w:rFonts w:ascii="Arial" w:hAnsi="Arial" w:cs="Arial"/>
                <w:sz w:val="20"/>
                <w:szCs w:val="20"/>
              </w:rPr>
              <w:t xml:space="preserve"> </w:t>
            </w:r>
            <w:r w:rsidRPr="008E6324">
              <w:rPr>
                <w:rFonts w:ascii="Arial" w:hAnsi="Arial" w:cs="Arial"/>
                <w:sz w:val="20"/>
                <w:szCs w:val="20"/>
              </w:rPr>
              <w:t>(NIM)</w:t>
            </w:r>
          </w:p>
        </w:tc>
        <w:tc>
          <w:tcPr>
            <w:tcW w:w="1148" w:type="pct"/>
            <w:tcBorders>
              <w:top w:val="single" w:sz="4" w:space="0" w:color="7F7F7F" w:themeColor="text1" w:themeTint="80"/>
              <w:bottom w:val="single" w:sz="4" w:space="0" w:color="auto"/>
            </w:tcBorders>
            <w:vAlign w:val="center"/>
          </w:tcPr>
          <w:p w14:paraId="5AD0870A" w14:textId="09164F98" w:rsidR="008E6324" w:rsidRPr="00722E0F" w:rsidRDefault="00BD1FFA" w:rsidP="008E6324">
            <w:pPr>
              <w:jc w:val="center"/>
              <w:cnfStyle w:val="000000000000" w:firstRow="0" w:lastRow="0" w:firstColumn="0" w:lastColumn="0" w:oddVBand="0" w:evenVBand="0" w:oddHBand="0" w:evenHBand="0" w:firstRowFirstColumn="0" w:firstRowLastColumn="0" w:lastRowFirstColumn="0" w:lastRowLastColumn="0"/>
              <w:rPr>
                <w:rFonts w:asciiTheme="minorBidi" w:eastAsia="Calibri" w:hAnsiTheme="minorBidi" w:cstheme="minorBidi"/>
                <w:iCs/>
                <w:sz w:val="20"/>
                <w:szCs w:val="20"/>
              </w:rPr>
            </w:pPr>
            <m:oMathPara>
              <m:oMath>
                <m:f>
                  <m:fPr>
                    <m:ctrlPr>
                      <w:rPr>
                        <w:rFonts w:ascii="Cambria Math" w:hAnsi="Cambria Math" w:cstheme="minorBidi"/>
                        <w:iCs/>
                        <w:sz w:val="20"/>
                        <w:szCs w:val="20"/>
                      </w:rPr>
                    </m:ctrlPr>
                  </m:fPr>
                  <m:num>
                    <m:r>
                      <m:rPr>
                        <m:sty m:val="p"/>
                      </m:rPr>
                      <w:rPr>
                        <w:rFonts w:ascii="Cambria Math" w:hAnsi="Cambria Math" w:cstheme="minorBidi"/>
                        <w:sz w:val="20"/>
                        <w:szCs w:val="20"/>
                      </w:rPr>
                      <m:t>Net Interest Income</m:t>
                    </m:r>
                  </m:num>
                  <m:den>
                    <m:r>
                      <m:rPr>
                        <m:sty m:val="p"/>
                      </m:rPr>
                      <w:rPr>
                        <w:rFonts w:ascii="Cambria Math" w:hAnsi="Cambria Math" w:cstheme="minorBidi"/>
                        <w:sz w:val="20"/>
                        <w:szCs w:val="20"/>
                      </w:rPr>
                      <m:t>Total Asset</m:t>
                    </m:r>
                  </m:den>
                </m:f>
              </m:oMath>
            </m:oMathPara>
          </w:p>
        </w:tc>
        <w:sdt>
          <w:sdtPr>
            <w:rPr>
              <w:rFonts w:asciiTheme="minorBidi" w:hAnsiTheme="minorBidi" w:cstheme="minorBidi"/>
              <w:color w:val="000000"/>
            </w:rPr>
            <w:tag w:val="MENDELEY_CITATION_v3_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"/>
            <w:id w:val="-744486722"/>
            <w:placeholder>
              <w:docPart w:val="80D15265460F4F249007EBDC00A762EE"/>
            </w:placeholder>
          </w:sdtPr>
          <w:sdtEndPr/>
          <w:sdtContent>
            <w:tc>
              <w:tcPr>
                <w:tcW w:w="1939" w:type="pct"/>
                <w:tcBorders>
                  <w:top w:val="single" w:sz="4" w:space="0" w:color="7F7F7F" w:themeColor="text1" w:themeTint="80"/>
                  <w:bottom w:val="single" w:sz="4" w:space="0" w:color="auto"/>
                </w:tcBorders>
                <w:vAlign w:val="center"/>
              </w:tcPr>
              <w:p w14:paraId="0CD95EDB" w14:textId="77777777" w:rsidR="008E6324" w:rsidRPr="008E6324" w:rsidRDefault="008E6324" w:rsidP="008E6324">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szCs w:val="20"/>
                  </w:rPr>
                </w:pPr>
                <w:r w:rsidRPr="008E6324">
                  <w:rPr>
                    <w:rFonts w:asciiTheme="minorBidi" w:eastAsia="Times New Roman" w:hAnsiTheme="minorBidi" w:cstheme="minorBidi"/>
                    <w:color w:val="000000"/>
                    <w:sz w:val="20"/>
                    <w:szCs w:val="20"/>
                  </w:rPr>
                  <w:t xml:space="preserve">(Prasanna P. Krishna et al., 2014; </w:t>
                </w:r>
                <w:proofErr w:type="spellStart"/>
                <w:r w:rsidRPr="008E6324">
                  <w:rPr>
                    <w:rFonts w:asciiTheme="minorBidi" w:eastAsia="Times New Roman" w:hAnsiTheme="minorBidi" w:cstheme="minorBidi"/>
                    <w:color w:val="000000"/>
                    <w:sz w:val="20"/>
                    <w:szCs w:val="20"/>
                  </w:rPr>
                  <w:t>Radivojevic</w:t>
                </w:r>
                <w:proofErr w:type="spellEnd"/>
                <w:r w:rsidRPr="008E6324">
                  <w:rPr>
                    <w:rFonts w:asciiTheme="minorBidi" w:eastAsia="Times New Roman" w:hAnsiTheme="minorBidi" w:cstheme="minorBidi"/>
                    <w:color w:val="000000"/>
                    <w:sz w:val="20"/>
                    <w:szCs w:val="20"/>
                  </w:rPr>
                  <w:t xml:space="preserve"> &amp; </w:t>
                </w:r>
                <w:proofErr w:type="spellStart"/>
                <w:r w:rsidRPr="008E6324">
                  <w:rPr>
                    <w:rFonts w:asciiTheme="minorBidi" w:eastAsia="Times New Roman" w:hAnsiTheme="minorBidi" w:cstheme="minorBidi"/>
                    <w:color w:val="000000"/>
                    <w:sz w:val="20"/>
                    <w:szCs w:val="20"/>
                  </w:rPr>
                  <w:t>Jovovic</w:t>
                </w:r>
                <w:proofErr w:type="spellEnd"/>
                <w:r w:rsidRPr="008E6324">
                  <w:rPr>
                    <w:rFonts w:asciiTheme="minorBidi" w:eastAsia="Times New Roman" w:hAnsiTheme="minorBidi" w:cstheme="minorBidi"/>
                    <w:color w:val="000000"/>
                    <w:sz w:val="20"/>
                    <w:szCs w:val="20"/>
                  </w:rPr>
                  <w:t>, 2017)</w:t>
                </w:r>
              </w:p>
            </w:tc>
          </w:sdtContent>
        </w:sdt>
      </w:tr>
      <w:tr w:rsidR="008E6324" w:rsidRPr="008E6324" w14:paraId="714A3AC1" w14:textId="77777777" w:rsidTr="00556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bottom w:val="single" w:sz="4" w:space="0" w:color="auto"/>
            </w:tcBorders>
            <w:vAlign w:val="center"/>
          </w:tcPr>
          <w:p w14:paraId="7057BF13" w14:textId="77777777" w:rsidR="008E6324" w:rsidRPr="008E6324" w:rsidRDefault="008E6324" w:rsidP="008E6324">
            <w:pPr>
              <w:jc w:val="center"/>
              <w:rPr>
                <w:rFonts w:ascii="Arial" w:hAnsi="Arial" w:cs="Arial"/>
                <w:sz w:val="20"/>
                <w:szCs w:val="20"/>
              </w:rPr>
            </w:pPr>
            <w:r w:rsidRPr="008E6324">
              <w:rPr>
                <w:rFonts w:ascii="Arial" w:hAnsi="Arial" w:cs="Arial"/>
                <w:sz w:val="20"/>
                <w:szCs w:val="20"/>
              </w:rPr>
              <w:t>Independent Variables</w:t>
            </w:r>
          </w:p>
        </w:tc>
      </w:tr>
      <w:tr w:rsidR="008E6324" w:rsidRPr="008E6324" w14:paraId="6B4FE141" w14:textId="77777777" w:rsidTr="0055633C">
        <w:tc>
          <w:tcPr>
            <w:cnfStyle w:val="001000000000" w:firstRow="0" w:lastRow="0" w:firstColumn="1" w:lastColumn="0" w:oddVBand="0" w:evenVBand="0" w:oddHBand="0" w:evenHBand="0" w:firstRowFirstColumn="0" w:firstRowLastColumn="0" w:lastRowFirstColumn="0" w:lastRowLastColumn="0"/>
            <w:tcW w:w="893" w:type="pct"/>
            <w:tcBorders>
              <w:top w:val="single" w:sz="4" w:space="0" w:color="auto"/>
              <w:bottom w:val="single" w:sz="4" w:space="0" w:color="auto"/>
            </w:tcBorders>
            <w:vAlign w:val="center"/>
          </w:tcPr>
          <w:p w14:paraId="47BCEBE2" w14:textId="77777777" w:rsidR="008E6324" w:rsidRPr="008E6324" w:rsidRDefault="008E6324" w:rsidP="008E6324">
            <w:pPr>
              <w:jc w:val="left"/>
              <w:rPr>
                <w:rFonts w:ascii="Arial" w:hAnsi="Arial" w:cs="Arial"/>
                <w:b w:val="0"/>
                <w:bCs w:val="0"/>
                <w:sz w:val="20"/>
                <w:szCs w:val="20"/>
              </w:rPr>
            </w:pPr>
            <w:r w:rsidRPr="008E6324">
              <w:rPr>
                <w:rFonts w:ascii="Arial" w:hAnsi="Arial" w:cs="Arial"/>
                <w:b w:val="0"/>
                <w:bCs w:val="0"/>
                <w:sz w:val="20"/>
                <w:szCs w:val="20"/>
              </w:rPr>
              <w:t>Merger</w:t>
            </w:r>
          </w:p>
        </w:tc>
        <w:tc>
          <w:tcPr>
            <w:tcW w:w="1020" w:type="pct"/>
            <w:tcBorders>
              <w:top w:val="single" w:sz="4" w:space="0" w:color="auto"/>
              <w:bottom w:val="single" w:sz="4" w:space="0" w:color="auto"/>
            </w:tcBorders>
            <w:vAlign w:val="center"/>
          </w:tcPr>
          <w:p w14:paraId="35B21AFD" w14:textId="77777777" w:rsidR="008E6324" w:rsidRPr="008E6324" w:rsidRDefault="008E6324" w:rsidP="008E632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8E6324">
              <w:rPr>
                <w:rFonts w:asciiTheme="minorBidi" w:hAnsiTheme="minorBidi" w:cstheme="minorBidi"/>
                <w:sz w:val="20"/>
                <w:szCs w:val="20"/>
              </w:rPr>
              <w:t>Merger</w:t>
            </w:r>
          </w:p>
        </w:tc>
        <w:tc>
          <w:tcPr>
            <w:tcW w:w="1148" w:type="pct"/>
            <w:tcBorders>
              <w:top w:val="single" w:sz="4" w:space="0" w:color="auto"/>
              <w:bottom w:val="single" w:sz="4" w:space="0" w:color="auto"/>
            </w:tcBorders>
            <w:vAlign w:val="center"/>
          </w:tcPr>
          <w:p w14:paraId="0CC2263E" w14:textId="77777777" w:rsidR="008E6324" w:rsidRPr="008E6324" w:rsidRDefault="008E6324" w:rsidP="008E6324">
            <w:pPr>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w:r w:rsidRPr="008E6324">
              <w:rPr>
                <w:rFonts w:ascii="Arial" w:hAnsi="Arial" w:cs="Arial"/>
                <w:iCs/>
                <w:sz w:val="20"/>
                <w:szCs w:val="20"/>
              </w:rPr>
              <w:t>Dummy Variable</w:t>
            </w:r>
          </w:p>
        </w:tc>
        <w:tc>
          <w:tcPr>
            <w:tcW w:w="1939" w:type="pct"/>
            <w:tcBorders>
              <w:top w:val="single" w:sz="4" w:space="0" w:color="auto"/>
              <w:bottom w:val="single" w:sz="4" w:space="0" w:color="auto"/>
            </w:tcBorders>
            <w:vAlign w:val="center"/>
          </w:tcPr>
          <w:sdt>
            <w:sdtPr>
              <w:rPr>
                <w:rFonts w:asciiTheme="minorBidi" w:hAnsiTheme="minorBidi" w:cstheme="minorBidi"/>
                <w:color w:val="000000"/>
              </w:rPr>
              <w:tag w:val="MENDELEY_CITATION_v3_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"/>
              <w:id w:val="-350883998"/>
              <w:placeholder>
                <w:docPart w:val="902A6A1DA12A45E98C5F376791DB506E"/>
              </w:placeholder>
            </w:sdtPr>
            <w:sdtEndPr/>
            <w:sdtContent>
              <w:p w14:paraId="0F41D332" w14:textId="77777777" w:rsidR="008E6324" w:rsidRPr="008E6324" w:rsidRDefault="008E6324" w:rsidP="008E6324">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8E6324">
                  <w:rPr>
                    <w:rFonts w:asciiTheme="minorBidi" w:hAnsiTheme="minorBidi" w:cstheme="minorBidi"/>
                    <w:color w:val="000000"/>
                    <w:sz w:val="20"/>
                    <w:szCs w:val="20"/>
                  </w:rPr>
                  <w:t>(</w:t>
                </w:r>
                <w:proofErr w:type="spellStart"/>
                <w:r w:rsidRPr="008E6324">
                  <w:rPr>
                    <w:rFonts w:asciiTheme="minorBidi" w:hAnsiTheme="minorBidi" w:cstheme="minorBidi"/>
                    <w:color w:val="000000"/>
                    <w:sz w:val="20"/>
                    <w:szCs w:val="20"/>
                  </w:rPr>
                  <w:t>Jallad</w:t>
                </w:r>
                <w:proofErr w:type="spellEnd"/>
                <w:r w:rsidRPr="008E6324">
                  <w:rPr>
                    <w:rFonts w:asciiTheme="minorBidi" w:hAnsiTheme="minorBidi" w:cstheme="minorBidi"/>
                    <w:color w:val="000000"/>
                    <w:sz w:val="20"/>
                    <w:szCs w:val="20"/>
                  </w:rPr>
                  <w:t xml:space="preserve"> et al., 2025)</w:t>
                </w:r>
              </w:p>
            </w:sdtContent>
          </w:sdt>
        </w:tc>
      </w:tr>
      <w:tr w:rsidR="008E6324" w:rsidRPr="008E6324" w14:paraId="6A744B23" w14:textId="77777777" w:rsidTr="00556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bottom w:val="single" w:sz="4" w:space="0" w:color="auto"/>
            </w:tcBorders>
            <w:vAlign w:val="center"/>
          </w:tcPr>
          <w:p w14:paraId="72816E60" w14:textId="77777777" w:rsidR="008E6324" w:rsidRPr="008E6324" w:rsidRDefault="008E6324" w:rsidP="008E6324">
            <w:pPr>
              <w:jc w:val="center"/>
              <w:rPr>
                <w:rFonts w:ascii="Arial" w:hAnsi="Arial" w:cs="Arial"/>
                <w:color w:val="000000"/>
                <w:sz w:val="20"/>
                <w:szCs w:val="20"/>
              </w:rPr>
            </w:pPr>
            <w:r w:rsidRPr="008E6324">
              <w:rPr>
                <w:rFonts w:ascii="Arial" w:hAnsi="Arial" w:cs="Arial"/>
                <w:sz w:val="20"/>
                <w:szCs w:val="20"/>
              </w:rPr>
              <w:t>Control Variables</w:t>
            </w:r>
          </w:p>
        </w:tc>
      </w:tr>
      <w:tr w:rsidR="008E6324" w:rsidRPr="008E6324" w14:paraId="6869574A" w14:textId="77777777" w:rsidTr="0055633C">
        <w:tc>
          <w:tcPr>
            <w:cnfStyle w:val="001000000000" w:firstRow="0" w:lastRow="0" w:firstColumn="1" w:lastColumn="0" w:oddVBand="0" w:evenVBand="0" w:oddHBand="0" w:evenHBand="0" w:firstRowFirstColumn="0" w:firstRowLastColumn="0" w:lastRowFirstColumn="0" w:lastRowLastColumn="0"/>
            <w:tcW w:w="893" w:type="pct"/>
            <w:tcBorders>
              <w:top w:val="single" w:sz="4" w:space="0" w:color="auto"/>
              <w:bottom w:val="nil"/>
            </w:tcBorders>
            <w:vAlign w:val="center"/>
          </w:tcPr>
          <w:p w14:paraId="0A737E12" w14:textId="77777777" w:rsidR="008E6324" w:rsidRPr="008E6324" w:rsidRDefault="008E6324" w:rsidP="008E6324">
            <w:pPr>
              <w:jc w:val="left"/>
              <w:rPr>
                <w:rFonts w:ascii="Arial" w:hAnsi="Arial" w:cs="Arial"/>
                <w:b w:val="0"/>
                <w:bCs w:val="0"/>
                <w:sz w:val="20"/>
                <w:szCs w:val="20"/>
              </w:rPr>
            </w:pPr>
            <w:r w:rsidRPr="008E6324">
              <w:rPr>
                <w:rFonts w:ascii="Arial" w:hAnsi="Arial" w:cs="Arial"/>
                <w:b w:val="0"/>
                <w:bCs w:val="0"/>
                <w:sz w:val="20"/>
                <w:szCs w:val="20"/>
              </w:rPr>
              <w:t>Capital Adequacy</w:t>
            </w:r>
          </w:p>
        </w:tc>
        <w:tc>
          <w:tcPr>
            <w:tcW w:w="1020" w:type="pct"/>
            <w:tcBorders>
              <w:top w:val="single" w:sz="4" w:space="0" w:color="auto"/>
              <w:bottom w:val="nil"/>
            </w:tcBorders>
            <w:vAlign w:val="center"/>
          </w:tcPr>
          <w:p w14:paraId="0BB831CA" w14:textId="16770BCF" w:rsidR="008E6324" w:rsidRPr="008E6324" w:rsidRDefault="008E6324" w:rsidP="008E632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8E6324">
              <w:rPr>
                <w:rFonts w:asciiTheme="minorBidi" w:hAnsiTheme="minorBidi" w:cstheme="minorBidi"/>
                <w:sz w:val="20"/>
                <w:szCs w:val="20"/>
              </w:rPr>
              <w:t>Capital</w:t>
            </w:r>
            <w:r w:rsidR="003C0E0B">
              <w:rPr>
                <w:rFonts w:asciiTheme="minorBidi" w:hAnsiTheme="minorBidi" w:cstheme="minorBidi"/>
                <w:sz w:val="20"/>
                <w:szCs w:val="20"/>
              </w:rPr>
              <w:t xml:space="preserve"> </w:t>
            </w:r>
            <w:r w:rsidRPr="008E6324">
              <w:rPr>
                <w:rFonts w:asciiTheme="minorBidi" w:hAnsiTheme="minorBidi" w:cstheme="minorBidi"/>
                <w:sz w:val="20"/>
                <w:szCs w:val="20"/>
              </w:rPr>
              <w:t>Adequacy Ratio (CAR)</w:t>
            </w:r>
          </w:p>
        </w:tc>
        <w:tc>
          <w:tcPr>
            <w:tcW w:w="1148" w:type="pct"/>
            <w:tcBorders>
              <w:top w:val="single" w:sz="4" w:space="0" w:color="auto"/>
              <w:bottom w:val="nil"/>
            </w:tcBorders>
            <w:vAlign w:val="center"/>
          </w:tcPr>
          <w:p w14:paraId="345ABD2B" w14:textId="77777777" w:rsidR="008E6324" w:rsidRPr="003C0E0B" w:rsidRDefault="00BD1FFA" w:rsidP="008E6324">
            <w:pPr>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20"/>
                <w:szCs w:val="20"/>
              </w:rPr>
            </w:pPr>
            <m:oMathPara>
              <m:oMath>
                <m:f>
                  <m:fPr>
                    <m:ctrlPr>
                      <w:rPr>
                        <w:rFonts w:ascii="Cambria Math" w:hAnsi="Cambria Math" w:cs="Arial"/>
                        <w:iCs/>
                        <w:sz w:val="20"/>
                        <w:szCs w:val="20"/>
                      </w:rPr>
                    </m:ctrlPr>
                  </m:fPr>
                  <m:num>
                    <m:r>
                      <m:rPr>
                        <m:sty m:val="p"/>
                      </m:rPr>
                      <w:rPr>
                        <w:rFonts w:ascii="Cambria Math" w:hAnsi="Cambria Math" w:cs="Arial"/>
                        <w:sz w:val="20"/>
                        <w:szCs w:val="20"/>
                      </w:rPr>
                      <m:t xml:space="preserve">Tier I + Tier II Capital </m:t>
                    </m:r>
                  </m:num>
                  <m:den>
                    <m:r>
                      <m:rPr>
                        <m:sty m:val="p"/>
                      </m:rPr>
                      <w:rPr>
                        <w:rFonts w:ascii="Cambria Math" w:hAnsi="Cambria Math" w:cs="Arial"/>
                        <w:sz w:val="20"/>
                        <w:szCs w:val="20"/>
                      </w:rPr>
                      <m:t>Risk Weighted Assets</m:t>
                    </m:r>
                  </m:den>
                </m:f>
              </m:oMath>
            </m:oMathPara>
          </w:p>
        </w:tc>
        <w:sdt>
          <w:sdtPr>
            <w:rPr>
              <w:rFonts w:asciiTheme="minorBidi" w:hAnsiTheme="minorBidi" w:cstheme="minorBidi"/>
              <w:color w:val="000000"/>
            </w:rPr>
            <w:tag w:val="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"/>
            <w:id w:val="-2041890706"/>
            <w:placeholder>
              <w:docPart w:val="B30673BB8797488D8F55D8A367452C7B"/>
            </w:placeholder>
          </w:sdtPr>
          <w:sdtEndPr/>
          <w:sdtContent>
            <w:tc>
              <w:tcPr>
                <w:tcW w:w="1939" w:type="pct"/>
                <w:tcBorders>
                  <w:top w:val="single" w:sz="4" w:space="0" w:color="auto"/>
                  <w:bottom w:val="nil"/>
                </w:tcBorders>
                <w:vAlign w:val="center"/>
              </w:tcPr>
              <w:p w14:paraId="1817E999" w14:textId="77777777" w:rsidR="008E6324" w:rsidRPr="008E6324" w:rsidRDefault="008E6324" w:rsidP="008E6324">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8E6324">
                  <w:rPr>
                    <w:rFonts w:asciiTheme="minorBidi" w:hAnsiTheme="minorBidi" w:cstheme="minorBidi"/>
                    <w:color w:val="000000"/>
                    <w:sz w:val="20"/>
                    <w:szCs w:val="20"/>
                  </w:rPr>
                  <w:t>(</w:t>
                </w:r>
                <w:proofErr w:type="spellStart"/>
                <w:r w:rsidRPr="008E6324">
                  <w:rPr>
                    <w:rFonts w:asciiTheme="minorBidi" w:hAnsiTheme="minorBidi" w:cstheme="minorBidi"/>
                    <w:color w:val="000000"/>
                    <w:sz w:val="20"/>
                    <w:szCs w:val="20"/>
                  </w:rPr>
                  <w:t>Grullon</w:t>
                </w:r>
                <w:proofErr w:type="spellEnd"/>
                <w:r w:rsidRPr="008E6324">
                  <w:rPr>
                    <w:rFonts w:asciiTheme="minorBidi" w:hAnsiTheme="minorBidi" w:cstheme="minorBidi"/>
                    <w:color w:val="000000"/>
                    <w:sz w:val="20"/>
                    <w:szCs w:val="20"/>
                  </w:rPr>
                  <w:t xml:space="preserve"> et al., 1997; Jadhav et al., 2021; </w:t>
                </w:r>
                <w:proofErr w:type="spellStart"/>
                <w:r w:rsidRPr="008E6324">
                  <w:rPr>
                    <w:rFonts w:asciiTheme="minorBidi" w:hAnsiTheme="minorBidi" w:cstheme="minorBidi"/>
                    <w:color w:val="000000"/>
                    <w:sz w:val="20"/>
                    <w:szCs w:val="20"/>
                  </w:rPr>
                  <w:t>Senan</w:t>
                </w:r>
                <w:proofErr w:type="spellEnd"/>
                <w:r w:rsidRPr="008E6324">
                  <w:rPr>
                    <w:rFonts w:asciiTheme="minorBidi" w:hAnsiTheme="minorBidi" w:cstheme="minorBidi"/>
                    <w:color w:val="000000"/>
                    <w:sz w:val="20"/>
                    <w:szCs w:val="20"/>
                  </w:rPr>
                  <w:t xml:space="preserve"> et al., 2022)</w:t>
                </w:r>
              </w:p>
            </w:tc>
          </w:sdtContent>
        </w:sdt>
      </w:tr>
      <w:tr w:rsidR="008E6324" w:rsidRPr="008E6324" w14:paraId="5576B33C" w14:textId="77777777" w:rsidTr="00556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tcBorders>
              <w:top w:val="nil"/>
              <w:bottom w:val="nil"/>
            </w:tcBorders>
            <w:vAlign w:val="center"/>
          </w:tcPr>
          <w:p w14:paraId="2C46A161" w14:textId="77777777" w:rsidR="008E6324" w:rsidRPr="008E6324" w:rsidRDefault="008E6324" w:rsidP="008E6324">
            <w:pPr>
              <w:jc w:val="left"/>
              <w:rPr>
                <w:rFonts w:ascii="Arial" w:hAnsi="Arial" w:cs="Arial"/>
                <w:b w:val="0"/>
                <w:bCs w:val="0"/>
                <w:sz w:val="20"/>
                <w:szCs w:val="20"/>
              </w:rPr>
            </w:pPr>
            <w:r w:rsidRPr="008E6324">
              <w:rPr>
                <w:rFonts w:ascii="Arial" w:hAnsi="Arial" w:cs="Arial"/>
                <w:b w:val="0"/>
                <w:bCs w:val="0"/>
                <w:sz w:val="20"/>
                <w:szCs w:val="20"/>
              </w:rPr>
              <w:t>Leverage</w:t>
            </w:r>
          </w:p>
        </w:tc>
        <w:tc>
          <w:tcPr>
            <w:tcW w:w="1020" w:type="pct"/>
            <w:tcBorders>
              <w:top w:val="nil"/>
              <w:bottom w:val="nil"/>
            </w:tcBorders>
            <w:vAlign w:val="center"/>
          </w:tcPr>
          <w:p w14:paraId="2CA9C481" w14:textId="77777777" w:rsidR="008E6324" w:rsidRPr="008E6324" w:rsidRDefault="008E6324" w:rsidP="008E632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8E6324">
              <w:rPr>
                <w:rFonts w:asciiTheme="minorBidi" w:hAnsiTheme="minorBidi" w:cstheme="minorBidi"/>
                <w:sz w:val="20"/>
                <w:szCs w:val="20"/>
              </w:rPr>
              <w:t>Debt to Equity</w:t>
            </w:r>
          </w:p>
          <w:p w14:paraId="07E46088" w14:textId="77777777" w:rsidR="008E6324" w:rsidRPr="008E6324" w:rsidRDefault="008E6324" w:rsidP="008E632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8E6324">
              <w:rPr>
                <w:rFonts w:asciiTheme="minorBidi" w:hAnsiTheme="minorBidi" w:cstheme="minorBidi"/>
                <w:sz w:val="20"/>
                <w:szCs w:val="20"/>
              </w:rPr>
              <w:t>(DE)</w:t>
            </w:r>
          </w:p>
        </w:tc>
        <w:tc>
          <w:tcPr>
            <w:tcW w:w="1148" w:type="pct"/>
            <w:tcBorders>
              <w:top w:val="nil"/>
              <w:bottom w:val="nil"/>
            </w:tcBorders>
            <w:vAlign w:val="center"/>
          </w:tcPr>
          <w:p w14:paraId="5F5808D0" w14:textId="77777777" w:rsidR="008E6324" w:rsidRPr="008E6324" w:rsidRDefault="00BD1FFA" w:rsidP="008E6324">
            <w:pPr>
              <w:jc w:val="center"/>
              <w:cnfStyle w:val="000000100000" w:firstRow="0" w:lastRow="0" w:firstColumn="0" w:lastColumn="0" w:oddVBand="0" w:evenVBand="0" w:oddHBand="1" w:evenHBand="0" w:firstRowFirstColumn="0" w:firstRowLastColumn="0" w:lastRowFirstColumn="0" w:lastRowLastColumn="0"/>
              <w:rPr>
                <w:rFonts w:asciiTheme="minorBidi" w:eastAsia="Calibri" w:hAnsiTheme="minorBidi" w:cstheme="minorBidi"/>
                <w:iCs/>
                <w:sz w:val="20"/>
                <w:szCs w:val="20"/>
              </w:rPr>
            </w:pPr>
            <m:oMathPara>
              <m:oMath>
                <m:f>
                  <m:fPr>
                    <m:ctrlPr>
                      <w:rPr>
                        <w:rFonts w:ascii="Cambria Math" w:hAnsi="Cambria Math" w:cstheme="minorBidi"/>
                        <w:iCs/>
                        <w:sz w:val="20"/>
                        <w:szCs w:val="20"/>
                      </w:rPr>
                    </m:ctrlPr>
                  </m:fPr>
                  <m:num>
                    <m:r>
                      <m:rPr>
                        <m:sty m:val="p"/>
                      </m:rPr>
                      <w:rPr>
                        <w:rFonts w:ascii="Cambria Math" w:hAnsi="Cambria Math" w:cstheme="minorBidi"/>
                        <w:sz w:val="20"/>
                        <w:szCs w:val="20"/>
                      </w:rPr>
                      <m:t xml:space="preserve">Total Outside Liabilities </m:t>
                    </m:r>
                  </m:num>
                  <m:den>
                    <m:r>
                      <m:rPr>
                        <m:sty m:val="p"/>
                      </m:rPr>
                      <w:rPr>
                        <w:rFonts w:ascii="Cambria Math" w:hAnsi="Cambria Math" w:cstheme="minorBidi"/>
                        <w:sz w:val="20"/>
                        <w:szCs w:val="20"/>
                      </w:rPr>
                      <m:t>Shareholders Fund</m:t>
                    </m:r>
                  </m:den>
                </m:f>
              </m:oMath>
            </m:oMathPara>
          </w:p>
        </w:tc>
        <w:sdt>
          <w:sdtPr>
            <w:rPr>
              <w:rFonts w:asciiTheme="minorBidi" w:hAnsiTheme="minorBidi" w:cstheme="minorBidi"/>
              <w:color w:val="000000"/>
            </w:rPr>
            <w:tag w:val="MENDELEY_CITATION_v3_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"/>
            <w:id w:val="2034680403"/>
            <w:placeholder>
              <w:docPart w:val="B30673BB8797488D8F55D8A367452C7B"/>
            </w:placeholder>
          </w:sdtPr>
          <w:sdtEndPr/>
          <w:sdtContent>
            <w:tc>
              <w:tcPr>
                <w:tcW w:w="1939" w:type="pct"/>
                <w:tcBorders>
                  <w:top w:val="nil"/>
                  <w:bottom w:val="nil"/>
                </w:tcBorders>
                <w:vAlign w:val="center"/>
              </w:tcPr>
              <w:p w14:paraId="4F56F15F" w14:textId="77777777" w:rsidR="008E6324" w:rsidRPr="008E6324" w:rsidRDefault="008E6324" w:rsidP="008E632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0"/>
                    <w:szCs w:val="20"/>
                  </w:rPr>
                </w:pPr>
                <w:r w:rsidRPr="008E6324">
                  <w:rPr>
                    <w:rFonts w:asciiTheme="minorBidi" w:hAnsiTheme="minorBidi" w:cstheme="minorBidi"/>
                    <w:color w:val="000000"/>
                    <w:sz w:val="20"/>
                    <w:szCs w:val="20"/>
                  </w:rPr>
                  <w:t>(</w:t>
                </w:r>
                <w:proofErr w:type="spellStart"/>
                <w:r w:rsidRPr="008E6324">
                  <w:rPr>
                    <w:rFonts w:asciiTheme="minorBidi" w:hAnsiTheme="minorBidi" w:cstheme="minorBidi"/>
                    <w:color w:val="000000"/>
                    <w:sz w:val="20"/>
                    <w:szCs w:val="20"/>
                  </w:rPr>
                  <w:t>Fahlevi</w:t>
                </w:r>
                <w:proofErr w:type="spellEnd"/>
                <w:r w:rsidRPr="008E6324">
                  <w:rPr>
                    <w:rFonts w:asciiTheme="minorBidi" w:hAnsiTheme="minorBidi" w:cstheme="minorBidi"/>
                    <w:color w:val="000000"/>
                    <w:sz w:val="20"/>
                    <w:szCs w:val="20"/>
                  </w:rPr>
                  <w:t xml:space="preserve"> et al., 2020; </w:t>
                </w:r>
                <w:proofErr w:type="spellStart"/>
                <w:r w:rsidRPr="008E6324">
                  <w:rPr>
                    <w:rFonts w:asciiTheme="minorBidi" w:hAnsiTheme="minorBidi" w:cstheme="minorBidi"/>
                    <w:color w:val="000000"/>
                    <w:sz w:val="20"/>
                    <w:szCs w:val="20"/>
                  </w:rPr>
                  <w:t>Pratiwi</w:t>
                </w:r>
                <w:proofErr w:type="spellEnd"/>
                <w:r w:rsidRPr="008E6324">
                  <w:rPr>
                    <w:rFonts w:asciiTheme="minorBidi" w:hAnsiTheme="minorBidi" w:cstheme="minorBidi"/>
                    <w:color w:val="000000"/>
                    <w:sz w:val="20"/>
                    <w:szCs w:val="20"/>
                  </w:rPr>
                  <w:t xml:space="preserve"> </w:t>
                </w:r>
                <w:proofErr w:type="spellStart"/>
                <w:r w:rsidRPr="008E6324">
                  <w:rPr>
                    <w:rFonts w:asciiTheme="minorBidi" w:hAnsiTheme="minorBidi" w:cstheme="minorBidi"/>
                    <w:color w:val="000000"/>
                    <w:sz w:val="20"/>
                    <w:szCs w:val="20"/>
                  </w:rPr>
                  <w:t>Nila</w:t>
                </w:r>
                <w:proofErr w:type="spellEnd"/>
                <w:r w:rsidRPr="008E6324">
                  <w:rPr>
                    <w:rFonts w:asciiTheme="minorBidi" w:hAnsiTheme="minorBidi" w:cstheme="minorBidi"/>
                    <w:color w:val="000000"/>
                    <w:sz w:val="20"/>
                    <w:szCs w:val="20"/>
                  </w:rPr>
                  <w:t xml:space="preserve"> et al., 2018; </w:t>
                </w:r>
                <w:proofErr w:type="spellStart"/>
                <w:r w:rsidRPr="008E6324">
                  <w:rPr>
                    <w:rFonts w:asciiTheme="minorBidi" w:hAnsiTheme="minorBidi" w:cstheme="minorBidi"/>
                    <w:color w:val="000000"/>
                    <w:sz w:val="20"/>
                    <w:szCs w:val="20"/>
                  </w:rPr>
                  <w:t>Rehan</w:t>
                </w:r>
                <w:proofErr w:type="spellEnd"/>
                <w:r w:rsidRPr="008E6324">
                  <w:rPr>
                    <w:rFonts w:asciiTheme="minorBidi" w:hAnsiTheme="minorBidi" w:cstheme="minorBidi"/>
                    <w:color w:val="000000"/>
                    <w:sz w:val="20"/>
                    <w:szCs w:val="20"/>
                  </w:rPr>
                  <w:t xml:space="preserve"> et al., 2018)</w:t>
                </w:r>
              </w:p>
            </w:tc>
          </w:sdtContent>
        </w:sdt>
      </w:tr>
      <w:tr w:rsidR="008E6324" w:rsidRPr="00D0737A" w14:paraId="7202AF7D" w14:textId="77777777" w:rsidTr="0055633C">
        <w:tc>
          <w:tcPr>
            <w:cnfStyle w:val="001000000000" w:firstRow="0" w:lastRow="0" w:firstColumn="1" w:lastColumn="0" w:oddVBand="0" w:evenVBand="0" w:oddHBand="0" w:evenHBand="0" w:firstRowFirstColumn="0" w:firstRowLastColumn="0" w:lastRowFirstColumn="0" w:lastRowLastColumn="0"/>
            <w:tcW w:w="893" w:type="pct"/>
            <w:tcBorders>
              <w:top w:val="nil"/>
              <w:bottom w:val="nil"/>
            </w:tcBorders>
            <w:vAlign w:val="center"/>
          </w:tcPr>
          <w:p w14:paraId="45C6E9F3" w14:textId="77777777" w:rsidR="008E6324" w:rsidRPr="008E6324" w:rsidRDefault="008E6324" w:rsidP="008E6324">
            <w:pPr>
              <w:jc w:val="left"/>
              <w:rPr>
                <w:rFonts w:ascii="Arial" w:hAnsi="Arial" w:cs="Arial"/>
                <w:b w:val="0"/>
                <w:bCs w:val="0"/>
                <w:sz w:val="20"/>
                <w:szCs w:val="20"/>
              </w:rPr>
            </w:pPr>
            <w:r w:rsidRPr="008E6324">
              <w:rPr>
                <w:rFonts w:ascii="Arial" w:hAnsi="Arial" w:cs="Arial"/>
                <w:b w:val="0"/>
                <w:bCs w:val="0"/>
                <w:sz w:val="20"/>
                <w:szCs w:val="20"/>
              </w:rPr>
              <w:t>Asset Quality</w:t>
            </w:r>
          </w:p>
        </w:tc>
        <w:tc>
          <w:tcPr>
            <w:tcW w:w="1020" w:type="pct"/>
            <w:tcBorders>
              <w:top w:val="nil"/>
              <w:bottom w:val="nil"/>
            </w:tcBorders>
            <w:vAlign w:val="center"/>
          </w:tcPr>
          <w:p w14:paraId="7B09F15B" w14:textId="77777777" w:rsidR="008E6324" w:rsidRPr="008E6324" w:rsidRDefault="008E6324" w:rsidP="008E632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8E6324">
              <w:rPr>
                <w:rFonts w:asciiTheme="minorBidi" w:hAnsiTheme="minorBidi" w:cstheme="minorBidi"/>
                <w:sz w:val="20"/>
                <w:szCs w:val="20"/>
              </w:rPr>
              <w:t>Gross Non-performing Assets (GNPA)</w:t>
            </w:r>
          </w:p>
        </w:tc>
        <w:tc>
          <w:tcPr>
            <w:tcW w:w="1148" w:type="pct"/>
            <w:tcBorders>
              <w:top w:val="nil"/>
              <w:bottom w:val="nil"/>
            </w:tcBorders>
            <w:vAlign w:val="center"/>
          </w:tcPr>
          <w:p w14:paraId="477D2758" w14:textId="77777777" w:rsidR="008E6324" w:rsidRPr="008E6324" w:rsidRDefault="00BD1FFA" w:rsidP="008E632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iCs/>
                <w:sz w:val="20"/>
                <w:szCs w:val="20"/>
              </w:rPr>
            </w:pPr>
            <m:oMathPara>
              <m:oMath>
                <m:f>
                  <m:fPr>
                    <m:ctrlPr>
                      <w:rPr>
                        <w:rFonts w:ascii="Cambria Math" w:hAnsi="Cambria Math" w:cstheme="minorBidi"/>
                        <w:iCs/>
                        <w:sz w:val="20"/>
                        <w:szCs w:val="20"/>
                      </w:rPr>
                    </m:ctrlPr>
                  </m:fPr>
                  <m:num>
                    <m:r>
                      <m:rPr>
                        <m:sty m:val="p"/>
                      </m:rPr>
                      <w:rPr>
                        <w:rFonts w:ascii="Cambria Math" w:hAnsi="Cambria Math" w:cstheme="minorBidi"/>
                        <w:sz w:val="20"/>
                        <w:szCs w:val="20"/>
                      </w:rPr>
                      <m:t xml:space="preserve">Gross NPA </m:t>
                    </m:r>
                  </m:num>
                  <m:den>
                    <m:r>
                      <m:rPr>
                        <m:sty m:val="p"/>
                      </m:rPr>
                      <w:rPr>
                        <w:rFonts w:ascii="Cambria Math" w:hAnsi="Cambria Math" w:cstheme="minorBidi"/>
                        <w:sz w:val="20"/>
                        <w:szCs w:val="20"/>
                      </w:rPr>
                      <m:t>Gross Advances</m:t>
                    </m:r>
                  </m:den>
                </m:f>
              </m:oMath>
            </m:oMathPara>
          </w:p>
        </w:tc>
        <w:sdt>
          <w:sdtPr>
            <w:rPr>
              <w:rFonts w:asciiTheme="minorBidi" w:hAnsiTheme="minorBidi" w:cstheme="minorBidi"/>
              <w:color w:val="000000"/>
            </w:rPr>
            <w:tag w:val="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"/>
            <w:id w:val="258879236"/>
            <w:placeholder>
              <w:docPart w:val="B30673BB8797488D8F55D8A367452C7B"/>
            </w:placeholder>
          </w:sdtPr>
          <w:sdtEndPr/>
          <w:sdtContent>
            <w:tc>
              <w:tcPr>
                <w:tcW w:w="1939" w:type="pct"/>
                <w:tcBorders>
                  <w:top w:val="nil"/>
                  <w:bottom w:val="nil"/>
                </w:tcBorders>
                <w:vAlign w:val="center"/>
              </w:tcPr>
              <w:p w14:paraId="275B3B67" w14:textId="77777777" w:rsidR="008E6324" w:rsidRPr="008E6324" w:rsidRDefault="008E6324" w:rsidP="008E6324">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0"/>
                    <w:szCs w:val="20"/>
                    <w:lang w:val="pl-PL"/>
                  </w:rPr>
                </w:pPr>
                <w:r w:rsidRPr="008E6324">
                  <w:rPr>
                    <w:rFonts w:asciiTheme="minorBidi" w:eastAsia="Times New Roman" w:hAnsiTheme="minorBidi" w:cstheme="minorBidi"/>
                    <w:color w:val="000000"/>
                    <w:sz w:val="20"/>
                    <w:szCs w:val="20"/>
                    <w:lang w:val="pl-PL"/>
                  </w:rPr>
                  <w:t>(Gandhi, 2015; A. Goyal &amp; Verma, 2018; Sharma &amp; Parasar, 2020; Zaman &amp; Bhandari, 2022)</w:t>
                </w:r>
              </w:p>
            </w:tc>
          </w:sdtContent>
        </w:sdt>
      </w:tr>
      <w:tr w:rsidR="008E6324" w:rsidRPr="008E6324" w14:paraId="1F87FC32" w14:textId="77777777" w:rsidTr="005563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 w:type="pct"/>
            <w:tcBorders>
              <w:top w:val="nil"/>
              <w:bottom w:val="nil"/>
            </w:tcBorders>
            <w:vAlign w:val="center"/>
          </w:tcPr>
          <w:p w14:paraId="6C133CC7" w14:textId="77777777" w:rsidR="008E6324" w:rsidRPr="008E6324" w:rsidRDefault="008E6324" w:rsidP="008E6324">
            <w:pPr>
              <w:jc w:val="left"/>
              <w:rPr>
                <w:rFonts w:ascii="Arial" w:hAnsi="Arial" w:cs="Arial"/>
                <w:b w:val="0"/>
                <w:bCs w:val="0"/>
                <w:sz w:val="20"/>
                <w:szCs w:val="20"/>
              </w:rPr>
            </w:pPr>
            <w:r w:rsidRPr="008E6324">
              <w:rPr>
                <w:rFonts w:ascii="Arial" w:hAnsi="Arial" w:cs="Arial"/>
                <w:b w:val="0"/>
                <w:bCs w:val="0"/>
                <w:sz w:val="20"/>
                <w:szCs w:val="20"/>
              </w:rPr>
              <w:t>Efficiency</w:t>
            </w:r>
          </w:p>
        </w:tc>
        <w:tc>
          <w:tcPr>
            <w:tcW w:w="1020" w:type="pct"/>
            <w:tcBorders>
              <w:top w:val="nil"/>
              <w:bottom w:val="nil"/>
            </w:tcBorders>
            <w:vAlign w:val="center"/>
          </w:tcPr>
          <w:p w14:paraId="390F8D90" w14:textId="77777777" w:rsidR="008E6324" w:rsidRPr="008E6324" w:rsidRDefault="008E6324" w:rsidP="008E632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8E6324">
              <w:rPr>
                <w:rFonts w:asciiTheme="minorBidi" w:hAnsiTheme="minorBidi" w:cstheme="minorBidi"/>
                <w:sz w:val="20"/>
                <w:szCs w:val="20"/>
              </w:rPr>
              <w:t>Cost to Income</w:t>
            </w:r>
          </w:p>
          <w:p w14:paraId="24B69D1D" w14:textId="77777777" w:rsidR="008E6324" w:rsidRPr="008E6324" w:rsidRDefault="008E6324" w:rsidP="008E632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8E6324">
              <w:rPr>
                <w:rFonts w:asciiTheme="minorBidi" w:hAnsiTheme="minorBidi" w:cstheme="minorBidi"/>
                <w:sz w:val="20"/>
                <w:szCs w:val="20"/>
              </w:rPr>
              <w:t>(CI)</w:t>
            </w:r>
          </w:p>
        </w:tc>
        <w:tc>
          <w:tcPr>
            <w:tcW w:w="1148" w:type="pct"/>
            <w:tcBorders>
              <w:top w:val="nil"/>
              <w:bottom w:val="nil"/>
            </w:tcBorders>
            <w:vAlign w:val="center"/>
          </w:tcPr>
          <w:p w14:paraId="0CB6262C" w14:textId="77777777" w:rsidR="008E6324" w:rsidRPr="008E6324" w:rsidRDefault="00BD1FFA" w:rsidP="008E6324">
            <w:pPr>
              <w:jc w:val="cente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iCs/>
                <w:sz w:val="20"/>
                <w:szCs w:val="20"/>
              </w:rPr>
            </w:pPr>
            <m:oMathPara>
              <m:oMath>
                <m:f>
                  <m:fPr>
                    <m:ctrlPr>
                      <w:rPr>
                        <w:rFonts w:ascii="Cambria Math" w:hAnsi="Cambria Math" w:cstheme="minorBidi"/>
                        <w:iCs/>
                        <w:sz w:val="20"/>
                        <w:szCs w:val="20"/>
                      </w:rPr>
                    </m:ctrlPr>
                  </m:fPr>
                  <m:num>
                    <m:r>
                      <m:rPr>
                        <m:sty m:val="p"/>
                      </m:rPr>
                      <w:rPr>
                        <w:rFonts w:ascii="Cambria Math" w:hAnsi="Cambria Math" w:cstheme="minorBidi"/>
                        <w:sz w:val="20"/>
                        <w:szCs w:val="20"/>
                      </w:rPr>
                      <m:t xml:space="preserve">Operating cost </m:t>
                    </m:r>
                  </m:num>
                  <m:den>
                    <m:r>
                      <m:rPr>
                        <m:sty m:val="p"/>
                      </m:rPr>
                      <w:rPr>
                        <w:rFonts w:ascii="Cambria Math" w:hAnsi="Cambria Math" w:cstheme="minorBidi"/>
                        <w:sz w:val="20"/>
                        <w:szCs w:val="20"/>
                      </w:rPr>
                      <m:t>Operating income</m:t>
                    </m:r>
                  </m:den>
                </m:f>
              </m:oMath>
            </m:oMathPara>
          </w:p>
        </w:tc>
        <w:sdt>
          <w:sdtPr>
            <w:rPr>
              <w:rFonts w:asciiTheme="minorBidi" w:hAnsiTheme="minorBidi" w:cstheme="minorBidi"/>
              <w:color w:val="000000"/>
            </w:rPr>
            <w:tag w:val="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"/>
            <w:id w:val="1288088867"/>
            <w:placeholder>
              <w:docPart w:val="B30673BB8797488D8F55D8A367452C7B"/>
            </w:placeholder>
          </w:sdtPr>
          <w:sdtEndPr/>
          <w:sdtContent>
            <w:tc>
              <w:tcPr>
                <w:tcW w:w="1939" w:type="pct"/>
                <w:tcBorders>
                  <w:top w:val="nil"/>
                  <w:bottom w:val="nil"/>
                </w:tcBorders>
                <w:vAlign w:val="center"/>
              </w:tcPr>
              <w:p w14:paraId="42E32825" w14:textId="77777777" w:rsidR="008E6324" w:rsidRPr="008E6324" w:rsidRDefault="008E6324" w:rsidP="008E6324">
                <w:pPr>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sz w:val="20"/>
                    <w:szCs w:val="20"/>
                  </w:rPr>
                </w:pPr>
                <w:r w:rsidRPr="008E6324">
                  <w:rPr>
                    <w:rFonts w:asciiTheme="minorBidi" w:eastAsia="Times New Roman" w:hAnsiTheme="minorBidi" w:cstheme="minorBidi"/>
                    <w:color w:val="000000"/>
                    <w:sz w:val="20"/>
                    <w:szCs w:val="20"/>
                  </w:rPr>
                  <w:t xml:space="preserve">(DeYoung, 1991; Hensel, 2006; Mahesh &amp; </w:t>
                </w:r>
                <w:proofErr w:type="spellStart"/>
                <w:r w:rsidRPr="008E6324">
                  <w:rPr>
                    <w:rFonts w:asciiTheme="minorBidi" w:eastAsia="Times New Roman" w:hAnsiTheme="minorBidi" w:cstheme="minorBidi"/>
                    <w:color w:val="000000"/>
                    <w:sz w:val="20"/>
                    <w:szCs w:val="20"/>
                  </w:rPr>
                  <w:t>Bhide</w:t>
                </w:r>
                <w:proofErr w:type="spellEnd"/>
                <w:r w:rsidRPr="008E6324">
                  <w:rPr>
                    <w:rFonts w:asciiTheme="minorBidi" w:eastAsia="Times New Roman" w:hAnsiTheme="minorBidi" w:cstheme="minorBidi"/>
                    <w:color w:val="000000"/>
                    <w:sz w:val="20"/>
                    <w:szCs w:val="20"/>
                  </w:rPr>
                  <w:t xml:space="preserve">, 2008; </w:t>
                </w:r>
                <w:proofErr w:type="spellStart"/>
                <w:r w:rsidRPr="008E6324">
                  <w:rPr>
                    <w:rFonts w:asciiTheme="minorBidi" w:eastAsia="Times New Roman" w:hAnsiTheme="minorBidi" w:cstheme="minorBidi"/>
                    <w:color w:val="000000"/>
                    <w:sz w:val="20"/>
                    <w:szCs w:val="20"/>
                  </w:rPr>
                  <w:t>Resti</w:t>
                </w:r>
                <w:proofErr w:type="spellEnd"/>
                <w:r w:rsidRPr="008E6324">
                  <w:rPr>
                    <w:rFonts w:asciiTheme="minorBidi" w:eastAsia="Times New Roman" w:hAnsiTheme="minorBidi" w:cstheme="minorBidi"/>
                    <w:color w:val="000000"/>
                    <w:sz w:val="20"/>
                    <w:szCs w:val="20"/>
                  </w:rPr>
                  <w:t>, 1998)</w:t>
                </w:r>
              </w:p>
            </w:tc>
          </w:sdtContent>
        </w:sdt>
      </w:tr>
      <w:tr w:rsidR="008E6324" w:rsidRPr="008E6324" w14:paraId="046D1305" w14:textId="77777777" w:rsidTr="0055633C">
        <w:tc>
          <w:tcPr>
            <w:cnfStyle w:val="001000000000" w:firstRow="0" w:lastRow="0" w:firstColumn="1" w:lastColumn="0" w:oddVBand="0" w:evenVBand="0" w:oddHBand="0" w:evenHBand="0" w:firstRowFirstColumn="0" w:firstRowLastColumn="0" w:lastRowFirstColumn="0" w:lastRowLastColumn="0"/>
            <w:tcW w:w="893" w:type="pct"/>
            <w:tcBorders>
              <w:top w:val="nil"/>
              <w:bottom w:val="single" w:sz="12" w:space="0" w:color="auto"/>
            </w:tcBorders>
            <w:vAlign w:val="center"/>
          </w:tcPr>
          <w:p w14:paraId="3EE2BB18" w14:textId="77777777" w:rsidR="008E6324" w:rsidRPr="008E6324" w:rsidRDefault="008E6324" w:rsidP="008E6324">
            <w:pPr>
              <w:jc w:val="left"/>
              <w:rPr>
                <w:rFonts w:ascii="Arial" w:hAnsi="Arial" w:cs="Arial"/>
                <w:b w:val="0"/>
                <w:bCs w:val="0"/>
                <w:sz w:val="20"/>
                <w:szCs w:val="20"/>
              </w:rPr>
            </w:pPr>
            <w:r w:rsidRPr="008E6324">
              <w:rPr>
                <w:rFonts w:ascii="Arial" w:hAnsi="Arial" w:cs="Arial"/>
                <w:b w:val="0"/>
                <w:bCs w:val="0"/>
                <w:sz w:val="20"/>
                <w:szCs w:val="20"/>
              </w:rPr>
              <w:t>Liquidity</w:t>
            </w:r>
          </w:p>
        </w:tc>
        <w:tc>
          <w:tcPr>
            <w:tcW w:w="1020" w:type="pct"/>
            <w:tcBorders>
              <w:top w:val="nil"/>
              <w:bottom w:val="single" w:sz="12" w:space="0" w:color="auto"/>
            </w:tcBorders>
            <w:vAlign w:val="center"/>
          </w:tcPr>
          <w:p w14:paraId="27DF765C" w14:textId="2A0D38A0" w:rsidR="008E6324" w:rsidRPr="008E6324" w:rsidRDefault="008E6324" w:rsidP="003C0E0B">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8E6324">
              <w:rPr>
                <w:rFonts w:asciiTheme="minorBidi" w:hAnsiTheme="minorBidi" w:cstheme="minorBidi"/>
                <w:sz w:val="20"/>
                <w:szCs w:val="20"/>
              </w:rPr>
              <w:t>Cash to Total Asset</w:t>
            </w:r>
            <w:r w:rsidR="003C0E0B">
              <w:rPr>
                <w:rFonts w:asciiTheme="minorBidi" w:hAnsiTheme="minorBidi" w:cstheme="minorBidi"/>
                <w:sz w:val="20"/>
                <w:szCs w:val="20"/>
              </w:rPr>
              <w:t xml:space="preserve"> </w:t>
            </w:r>
            <w:r w:rsidRPr="008E6324">
              <w:rPr>
                <w:rFonts w:asciiTheme="minorBidi" w:hAnsiTheme="minorBidi" w:cstheme="minorBidi"/>
                <w:sz w:val="20"/>
                <w:szCs w:val="20"/>
              </w:rPr>
              <w:t>(CTA)</w:t>
            </w:r>
          </w:p>
        </w:tc>
        <w:tc>
          <w:tcPr>
            <w:tcW w:w="1148" w:type="pct"/>
            <w:tcBorders>
              <w:top w:val="nil"/>
              <w:bottom w:val="single" w:sz="12" w:space="0" w:color="auto"/>
            </w:tcBorders>
            <w:vAlign w:val="center"/>
          </w:tcPr>
          <w:p w14:paraId="42CC68E9" w14:textId="77777777" w:rsidR="008E6324" w:rsidRPr="008E6324" w:rsidRDefault="00BD1FFA" w:rsidP="008E6324">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iCs/>
                <w:sz w:val="20"/>
                <w:szCs w:val="20"/>
              </w:rPr>
            </w:pPr>
            <m:oMathPara>
              <m:oMath>
                <m:f>
                  <m:fPr>
                    <m:ctrlPr>
                      <w:rPr>
                        <w:rFonts w:ascii="Cambria Math" w:hAnsi="Cambria Math" w:cstheme="minorBidi"/>
                        <w:iCs/>
                        <w:sz w:val="20"/>
                        <w:szCs w:val="20"/>
                      </w:rPr>
                    </m:ctrlPr>
                  </m:fPr>
                  <m:num>
                    <m:r>
                      <m:rPr>
                        <m:sty m:val="p"/>
                      </m:rPr>
                      <w:rPr>
                        <w:rFonts w:ascii="Cambria Math" w:hAnsi="Cambria Math" w:cstheme="minorBidi"/>
                        <w:sz w:val="20"/>
                        <w:szCs w:val="20"/>
                      </w:rPr>
                      <m:t xml:space="preserve">Total Cash </m:t>
                    </m:r>
                  </m:num>
                  <m:den>
                    <m:r>
                      <m:rPr>
                        <m:sty m:val="p"/>
                      </m:rPr>
                      <w:rPr>
                        <w:rFonts w:ascii="Cambria Math" w:hAnsi="Cambria Math" w:cstheme="minorBidi"/>
                        <w:sz w:val="20"/>
                        <w:szCs w:val="20"/>
                      </w:rPr>
                      <m:t>Total assets</m:t>
                    </m:r>
                  </m:den>
                </m:f>
              </m:oMath>
            </m:oMathPara>
          </w:p>
        </w:tc>
        <w:sdt>
          <w:sdtPr>
            <w:rPr>
              <w:rFonts w:asciiTheme="minorBidi" w:hAnsiTheme="minorBidi" w:cstheme="minorBidi"/>
              <w:color w:val="000000"/>
            </w:rPr>
            <w:tag w:val="MENDELEY_CITATION_v3_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"/>
            <w:id w:val="1690253718"/>
            <w:placeholder>
              <w:docPart w:val="B30673BB8797488D8F55D8A367452C7B"/>
            </w:placeholder>
          </w:sdtPr>
          <w:sdtEndPr/>
          <w:sdtContent>
            <w:tc>
              <w:tcPr>
                <w:tcW w:w="1939" w:type="pct"/>
                <w:tcBorders>
                  <w:top w:val="nil"/>
                  <w:bottom w:val="single" w:sz="12" w:space="0" w:color="auto"/>
                </w:tcBorders>
                <w:vAlign w:val="center"/>
              </w:tcPr>
              <w:p w14:paraId="36E1830B" w14:textId="77777777" w:rsidR="008E6324" w:rsidRPr="008E6324" w:rsidRDefault="008E6324" w:rsidP="008E6324">
                <w:pPr>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sz w:val="20"/>
                    <w:szCs w:val="20"/>
                  </w:rPr>
                </w:pPr>
                <w:r w:rsidRPr="008E6324">
                  <w:rPr>
                    <w:rFonts w:asciiTheme="minorBidi" w:hAnsiTheme="minorBidi" w:cstheme="minorBidi"/>
                    <w:color w:val="000000"/>
                    <w:sz w:val="20"/>
                    <w:szCs w:val="20"/>
                  </w:rPr>
                  <w:t>(</w:t>
                </w:r>
                <w:proofErr w:type="spellStart"/>
                <w:r w:rsidRPr="008E6324">
                  <w:rPr>
                    <w:rFonts w:asciiTheme="minorBidi" w:hAnsiTheme="minorBidi" w:cstheme="minorBidi"/>
                    <w:color w:val="000000"/>
                    <w:sz w:val="20"/>
                    <w:szCs w:val="20"/>
                  </w:rPr>
                  <w:t>Carletti</w:t>
                </w:r>
                <w:proofErr w:type="spellEnd"/>
                <w:r w:rsidRPr="008E6324">
                  <w:rPr>
                    <w:rFonts w:asciiTheme="minorBidi" w:hAnsiTheme="minorBidi" w:cstheme="minorBidi"/>
                    <w:color w:val="000000"/>
                    <w:sz w:val="20"/>
                    <w:szCs w:val="20"/>
                  </w:rPr>
                  <w:t xml:space="preserve"> et al., 2005; </w:t>
                </w:r>
                <w:proofErr w:type="spellStart"/>
                <w:r w:rsidRPr="008E6324">
                  <w:rPr>
                    <w:rFonts w:asciiTheme="minorBidi" w:hAnsiTheme="minorBidi" w:cstheme="minorBidi"/>
                    <w:color w:val="000000"/>
                    <w:sz w:val="20"/>
                    <w:szCs w:val="20"/>
                  </w:rPr>
                  <w:t>Malandrakis</w:t>
                </w:r>
                <w:proofErr w:type="spellEnd"/>
                <w:r w:rsidRPr="008E6324">
                  <w:rPr>
                    <w:rFonts w:asciiTheme="minorBidi" w:hAnsiTheme="minorBidi" w:cstheme="minorBidi"/>
                    <w:color w:val="000000"/>
                    <w:sz w:val="20"/>
                    <w:szCs w:val="20"/>
                  </w:rPr>
                  <w:t>, 2014)</w:t>
                </w:r>
              </w:p>
            </w:tc>
          </w:sdtContent>
        </w:sdt>
      </w:tr>
    </w:tbl>
    <w:bookmarkEnd w:id="2"/>
    <w:p w14:paraId="677F4802" w14:textId="77777777" w:rsidR="008E6324" w:rsidRDefault="008E6324" w:rsidP="00077C6E">
      <w:pPr>
        <w:jc w:val="center"/>
        <w:rPr>
          <w:rFonts w:asciiTheme="minorBidi" w:hAnsiTheme="minorBidi" w:cstheme="minorBidi"/>
          <w:i/>
          <w:iCs/>
        </w:rPr>
      </w:pPr>
      <w:r w:rsidRPr="008E6324">
        <w:rPr>
          <w:rFonts w:asciiTheme="minorBidi" w:hAnsiTheme="minorBidi" w:cstheme="minorBidi"/>
          <w:i/>
          <w:iCs/>
        </w:rPr>
        <w:t>(Source: Compiled by the author)</w:t>
      </w:r>
    </w:p>
    <w:p w14:paraId="297953BD" w14:textId="77777777" w:rsidR="00077C6E" w:rsidRPr="008E6324" w:rsidRDefault="00077C6E" w:rsidP="00077C6E">
      <w:pPr>
        <w:jc w:val="center"/>
        <w:rPr>
          <w:rFonts w:asciiTheme="minorBidi" w:hAnsiTheme="minorBidi" w:cstheme="minorBidi"/>
          <w:i/>
          <w:iCs/>
        </w:rPr>
      </w:pPr>
    </w:p>
    <w:p w14:paraId="18FA607A" w14:textId="77777777" w:rsidR="008E6324" w:rsidRDefault="008E6324" w:rsidP="00077C6E">
      <w:pPr>
        <w:rPr>
          <w:rFonts w:asciiTheme="minorBidi" w:hAnsiTheme="minorBidi" w:cstheme="minorBidi"/>
          <w:b/>
          <w:bCs/>
        </w:rPr>
      </w:pPr>
      <w:r w:rsidRPr="008E6324">
        <w:rPr>
          <w:rFonts w:asciiTheme="minorBidi" w:hAnsiTheme="minorBidi" w:cstheme="minorBidi"/>
          <w:b/>
          <w:bCs/>
        </w:rPr>
        <w:lastRenderedPageBreak/>
        <w:t>3.4. Model Specification</w:t>
      </w:r>
    </w:p>
    <w:p w14:paraId="08564A4F" w14:textId="77777777" w:rsidR="00077C6E" w:rsidRPr="008E6324" w:rsidRDefault="00077C6E" w:rsidP="00077C6E">
      <w:pPr>
        <w:rPr>
          <w:rFonts w:asciiTheme="minorBidi" w:hAnsiTheme="minorBidi" w:cstheme="minorBidi"/>
          <w:b/>
          <w:bCs/>
        </w:rPr>
      </w:pPr>
    </w:p>
    <w:p w14:paraId="5853E370" w14:textId="748C8391" w:rsidR="008E6324" w:rsidRDefault="003A47BA" w:rsidP="00077C6E">
      <w:pPr>
        <w:jc w:val="both"/>
        <w:rPr>
          <w:rFonts w:asciiTheme="minorBidi" w:hAnsiTheme="minorBidi" w:cstheme="minorBidi"/>
        </w:rPr>
      </w:pPr>
      <w:r w:rsidRPr="008E6324">
        <w:rPr>
          <w:rFonts w:asciiTheme="minorBidi" w:hAnsiTheme="minorBidi" w:cstheme="minorBidi"/>
        </w:rPr>
        <w:t>The following regression equations model the impact of a merger on bank profitability using ROE, ROA, and NIM as dependent variables, each serving as a proxy for profitability.</w:t>
      </w:r>
      <w:r w:rsidR="008E6324" w:rsidRPr="008E6324">
        <w:rPr>
          <w:rFonts w:asciiTheme="minorBidi" w:hAnsiTheme="minorBidi" w:cstheme="minorBidi"/>
        </w:rPr>
        <w:t xml:space="preserve"> </w:t>
      </w:r>
      <w:r w:rsidRPr="008E6324">
        <w:rPr>
          <w:rFonts w:asciiTheme="minorBidi" w:hAnsiTheme="minorBidi" w:cstheme="minorBidi"/>
        </w:rPr>
        <w:t>The independent variables include a dummy variable for mergers and several bank-specific control variables.</w:t>
      </w:r>
      <w:r w:rsidR="008E6324" w:rsidRPr="008E6324">
        <w:rPr>
          <w:rFonts w:asciiTheme="minorBidi" w:hAnsiTheme="minorBidi" w:cstheme="minorBidi"/>
        </w:rPr>
        <w:t xml:space="preserve"> </w:t>
      </w:r>
      <w:r w:rsidRPr="008E6324">
        <w:rPr>
          <w:rFonts w:asciiTheme="minorBidi" w:hAnsiTheme="minorBidi" w:cstheme="minorBidi"/>
        </w:rPr>
        <w:t>These models are used to quantify whether mergers enhance profitability and to identify the factors that drive these outcomes.</w:t>
      </w:r>
    </w:p>
    <w:p w14:paraId="68BC94FA" w14:textId="77777777" w:rsidR="00077C6E" w:rsidRPr="008E6324" w:rsidRDefault="00077C6E" w:rsidP="00077C6E">
      <w:pPr>
        <w:jc w:val="both"/>
        <w:rPr>
          <w:rFonts w:asciiTheme="minorBidi" w:hAnsiTheme="minorBidi" w:cstheme="minorBidi"/>
        </w:rPr>
      </w:pPr>
    </w:p>
    <w:p w14:paraId="25492598" w14:textId="326E30D6" w:rsidR="008E6324" w:rsidRPr="00722E0F" w:rsidRDefault="00BD1FFA" w:rsidP="00077C6E">
      <w:pPr>
        <w:pStyle w:val="NormalWeb"/>
        <w:spacing w:before="0" w:beforeAutospacing="0" w:after="0" w:afterAutospacing="0"/>
        <w:rPr>
          <w:rFonts w:asciiTheme="minorBidi" w:eastAsiaTheme="minorEastAsia" w:hAnsiTheme="minorBidi" w:cstheme="minorBidi"/>
          <w:b/>
          <w:bCs/>
          <w:sz w:val="20"/>
          <w:szCs w:val="20"/>
        </w:rPr>
      </w:pPr>
      <m:oMath>
        <m:sSub>
          <m:sSubPr>
            <m:ctrlPr>
              <w:rPr>
                <w:rFonts w:ascii="Cambria Math" w:hAnsi="Cambria Math" w:cstheme="minorBidi"/>
                <w:bCs/>
                <w:i/>
                <w:sz w:val="20"/>
                <w:szCs w:val="20"/>
              </w:rPr>
            </m:ctrlPr>
          </m:sSubPr>
          <m:e>
            <m:r>
              <w:rPr>
                <w:rFonts w:ascii="Cambria Math" w:hAnsi="Cambria Math" w:cstheme="minorBidi"/>
                <w:sz w:val="20"/>
                <w:szCs w:val="20"/>
              </w:rPr>
              <m:t>ROA</m:t>
            </m:r>
          </m:e>
          <m:sub>
            <m:r>
              <w:rPr>
                <w:rFonts w:ascii="Cambria Math" w:hAnsi="Cambria Math" w:cstheme="minorBidi"/>
                <w:sz w:val="20"/>
                <w:szCs w:val="20"/>
              </w:rPr>
              <m:t>it</m:t>
            </m:r>
          </m:sub>
        </m:sSub>
      </m:oMath>
      <w:r w:rsidR="008E6324" w:rsidRPr="00722E0F">
        <w:rPr>
          <w:rFonts w:asciiTheme="minorBidi" w:eastAsiaTheme="minorEastAsia" w:hAnsiTheme="minorBidi" w:cstheme="minorBidi"/>
          <w:b/>
          <w:bCs/>
          <w:sz w:val="20"/>
          <w:szCs w:val="20"/>
        </w:rPr>
        <w:t xml:space="preserve"> </w:t>
      </w:r>
      <w:r w:rsidR="008E6324" w:rsidRPr="00722E0F">
        <w:rPr>
          <w:rFonts w:asciiTheme="minorBidi" w:eastAsiaTheme="minorEastAsia" w:hAnsiTheme="minorBidi" w:cstheme="minorBidi"/>
          <w:sz w:val="20"/>
          <w:szCs w:val="20"/>
        </w:rPr>
        <w:t>=</w:t>
      </w:r>
      <w:r w:rsidR="008E6324" w:rsidRPr="00722E0F">
        <w:rPr>
          <w:rFonts w:asciiTheme="minorBidi" w:eastAsiaTheme="minorEastAsia" w:hAnsiTheme="minorBidi" w:cstheme="minorBidi"/>
          <w:b/>
          <w:bCs/>
          <w:sz w:val="20"/>
          <w:szCs w:val="20"/>
        </w:rPr>
        <w:t xml:space="preserve"> </w:t>
      </w:r>
      <m:oMath>
        <m:sSub>
          <m:sSubPr>
            <m:ctrlPr>
              <w:rPr>
                <w:rFonts w:ascii="Cambria Math" w:eastAsiaTheme="minorEastAsia" w:hAnsi="Cambria Math" w:cstheme="minorBidi"/>
                <w:i/>
                <w:sz w:val="20"/>
                <w:szCs w:val="20"/>
              </w:rPr>
            </m:ctrlPr>
          </m:sSubPr>
          <m:e>
            <m:r>
              <w:rPr>
                <w:rFonts w:ascii="Cambria Math" w:eastAsiaTheme="minorEastAsia" w:hAnsi="Cambria Math" w:cstheme="minorBidi"/>
                <w:sz w:val="20"/>
                <w:szCs w:val="20"/>
              </w:rPr>
              <m:t>β</m:t>
            </m:r>
          </m:e>
          <m:sub>
            <m:r>
              <w:rPr>
                <w:rFonts w:ascii="Cambria Math" w:eastAsiaTheme="minorEastAsia" w:hAnsi="Cambria Math" w:cstheme="minorBidi"/>
                <w:sz w:val="20"/>
                <w:szCs w:val="20"/>
              </w:rPr>
              <m:t>0</m:t>
            </m:r>
          </m:sub>
        </m:sSub>
      </m:oMath>
      <w:r w:rsidR="008E6324" w:rsidRPr="00722E0F">
        <w:rPr>
          <w:rFonts w:asciiTheme="minorBidi" w:eastAsiaTheme="minorEastAsia" w:hAnsiTheme="minorBidi" w:cstheme="minorBidi"/>
          <w:sz w:val="20"/>
          <w:szCs w:val="20"/>
        </w:rPr>
        <w:t xml:space="preserve"> + </w:t>
      </w:r>
      <m:oMath>
        <m:sSub>
          <m:sSubPr>
            <m:ctrlPr>
              <w:rPr>
                <w:rFonts w:ascii="Cambria Math" w:eastAsiaTheme="minorEastAsia" w:hAnsi="Cambria Math" w:cstheme="minorBidi"/>
                <w:i/>
                <w:sz w:val="20"/>
                <w:szCs w:val="20"/>
              </w:rPr>
            </m:ctrlPr>
          </m:sSubPr>
          <m:e>
            <m:r>
              <w:rPr>
                <w:rFonts w:ascii="Cambria Math" w:eastAsiaTheme="minorEastAsia" w:hAnsi="Cambria Math" w:cstheme="minorBidi"/>
                <w:sz w:val="20"/>
                <w:szCs w:val="20"/>
              </w:rPr>
              <m:t>β</m:t>
            </m:r>
          </m:e>
          <m:sub>
            <m:r>
              <w:rPr>
                <w:rFonts w:ascii="Cambria Math" w:eastAsiaTheme="minorEastAsia" w:hAnsi="Cambria Math" w:cstheme="minorBidi"/>
                <w:sz w:val="20"/>
                <w:szCs w:val="20"/>
              </w:rPr>
              <m:t>1</m:t>
            </m:r>
          </m:sub>
        </m:sSub>
        <m:sSub>
          <m:sSubPr>
            <m:ctrlPr>
              <w:rPr>
                <w:rFonts w:ascii="Cambria Math" w:eastAsiaTheme="minorEastAsia" w:hAnsi="Cambria Math" w:cstheme="minorBidi"/>
                <w:i/>
                <w:sz w:val="20"/>
                <w:szCs w:val="20"/>
                <w:lang w:val="pl-PL"/>
              </w:rPr>
            </m:ctrlPr>
          </m:sSubPr>
          <m:e>
            <m:r>
              <w:rPr>
                <w:rFonts w:ascii="Cambria Math" w:eastAsiaTheme="minorEastAsia" w:hAnsi="Cambria Math" w:cstheme="minorBidi"/>
                <w:sz w:val="20"/>
                <w:szCs w:val="20"/>
              </w:rPr>
              <m:t>Merger</m:t>
            </m:r>
          </m:e>
          <m:sub>
            <m:r>
              <w:rPr>
                <w:rFonts w:ascii="Cambria Math" w:eastAsiaTheme="minorEastAsia" w:hAnsi="Cambria Math" w:cstheme="minorBidi"/>
                <w:sz w:val="20"/>
                <w:szCs w:val="20"/>
                <w:lang w:val="pl-PL"/>
              </w:rPr>
              <m:t>i</m:t>
            </m:r>
            <m:r>
              <w:rPr>
                <w:rFonts w:ascii="Cambria Math" w:eastAsiaTheme="minorEastAsia" w:hAnsi="Cambria Math" w:cstheme="minorBidi"/>
                <w:sz w:val="20"/>
                <w:szCs w:val="20"/>
              </w:rPr>
              <m:t>,</m:t>
            </m:r>
            <m:r>
              <w:rPr>
                <w:rFonts w:ascii="Cambria Math" w:eastAsiaTheme="minorEastAsia" w:hAnsi="Cambria Math" w:cstheme="minorBidi"/>
                <w:sz w:val="20"/>
                <w:szCs w:val="20"/>
                <w:lang w:val="pl-PL"/>
              </w:rPr>
              <m:t>t</m:t>
            </m:r>
          </m:sub>
        </m:sSub>
      </m:oMath>
      <w:r w:rsidR="008E6324" w:rsidRPr="00722E0F">
        <w:rPr>
          <w:rFonts w:asciiTheme="minorBidi" w:eastAsiaTheme="minorEastAsia" w:hAnsiTheme="minorBidi" w:cstheme="minorBidi"/>
          <w:sz w:val="20"/>
          <w:szCs w:val="20"/>
        </w:rPr>
        <w:t xml:space="preserve"> + </w:t>
      </w:r>
      <m:oMath>
        <m:sSub>
          <m:sSubPr>
            <m:ctrlPr>
              <w:rPr>
                <w:rFonts w:ascii="Cambria Math" w:eastAsiaTheme="minorEastAsia" w:hAnsi="Cambria Math" w:cstheme="minorBidi"/>
                <w:i/>
                <w:sz w:val="20"/>
                <w:szCs w:val="20"/>
              </w:rPr>
            </m:ctrlPr>
          </m:sSubPr>
          <m:e>
            <m:r>
              <w:rPr>
                <w:rFonts w:ascii="Cambria Math" w:eastAsiaTheme="minorEastAsia" w:hAnsi="Cambria Math" w:cstheme="minorBidi"/>
                <w:sz w:val="20"/>
                <w:szCs w:val="20"/>
              </w:rPr>
              <m:t>β</m:t>
            </m:r>
          </m:e>
          <m:sub>
            <m:r>
              <w:rPr>
                <w:rFonts w:ascii="Cambria Math" w:eastAsiaTheme="minorEastAsia" w:hAnsi="Cambria Math" w:cstheme="minorBidi"/>
                <w:sz w:val="20"/>
                <w:szCs w:val="20"/>
              </w:rPr>
              <m:t>2</m:t>
            </m:r>
          </m:sub>
        </m:sSub>
        <m:sSub>
          <m:sSubPr>
            <m:ctrlPr>
              <w:rPr>
                <w:rFonts w:ascii="Cambria Math" w:eastAsiaTheme="minorEastAsia" w:hAnsi="Cambria Math" w:cstheme="minorBidi"/>
                <w:i/>
                <w:sz w:val="20"/>
                <w:szCs w:val="20"/>
                <w:lang w:val="pl-PL"/>
              </w:rPr>
            </m:ctrlPr>
          </m:sSubPr>
          <m:e>
            <m:r>
              <w:rPr>
                <w:rFonts w:ascii="Cambria Math" w:eastAsiaTheme="minorEastAsia" w:hAnsi="Cambria Math" w:cstheme="minorBidi"/>
                <w:sz w:val="20"/>
                <w:szCs w:val="20"/>
                <w:lang w:val="pl-PL"/>
              </w:rPr>
              <m:t>CAR</m:t>
            </m:r>
          </m:e>
          <m:sub>
            <m:r>
              <w:rPr>
                <w:rFonts w:ascii="Cambria Math" w:eastAsiaTheme="minorEastAsia" w:hAnsi="Cambria Math" w:cstheme="minorBidi"/>
                <w:sz w:val="20"/>
                <w:szCs w:val="20"/>
                <w:lang w:val="pl-PL"/>
              </w:rPr>
              <m:t>i</m:t>
            </m:r>
            <m:r>
              <w:rPr>
                <w:rFonts w:ascii="Cambria Math" w:eastAsiaTheme="minorEastAsia" w:hAnsi="Cambria Math" w:cstheme="minorBidi"/>
                <w:sz w:val="20"/>
                <w:szCs w:val="20"/>
              </w:rPr>
              <m:t>,</m:t>
            </m:r>
            <m:r>
              <w:rPr>
                <w:rFonts w:ascii="Cambria Math" w:eastAsiaTheme="minorEastAsia" w:hAnsi="Cambria Math" w:cstheme="minorBidi"/>
                <w:sz w:val="20"/>
                <w:szCs w:val="20"/>
                <w:lang w:val="pl-PL"/>
              </w:rPr>
              <m:t>t</m:t>
            </m:r>
          </m:sub>
        </m:sSub>
      </m:oMath>
      <w:r w:rsidR="008E6324" w:rsidRPr="00722E0F">
        <w:rPr>
          <w:rFonts w:asciiTheme="minorBidi" w:eastAsiaTheme="minorEastAsia" w:hAnsiTheme="minorBidi" w:cstheme="minorBidi"/>
          <w:sz w:val="20"/>
          <w:szCs w:val="20"/>
        </w:rPr>
        <w:t xml:space="preserve"> + </w:t>
      </w:r>
      <m:oMath>
        <m:sSub>
          <m:sSubPr>
            <m:ctrlPr>
              <w:rPr>
                <w:rFonts w:ascii="Cambria Math" w:eastAsiaTheme="minorEastAsia" w:hAnsi="Cambria Math" w:cstheme="minorBidi"/>
                <w:i/>
                <w:sz w:val="20"/>
                <w:szCs w:val="20"/>
              </w:rPr>
            </m:ctrlPr>
          </m:sSubPr>
          <m:e>
            <m:r>
              <w:rPr>
                <w:rFonts w:ascii="Cambria Math" w:eastAsiaTheme="minorEastAsia" w:hAnsi="Cambria Math" w:cstheme="minorBidi"/>
                <w:sz w:val="20"/>
                <w:szCs w:val="20"/>
              </w:rPr>
              <m:t>β</m:t>
            </m:r>
          </m:e>
          <m:sub>
            <m:r>
              <w:rPr>
                <w:rFonts w:ascii="Cambria Math" w:eastAsiaTheme="minorEastAsia" w:hAnsi="Cambria Math" w:cstheme="minorBidi"/>
                <w:sz w:val="20"/>
                <w:szCs w:val="20"/>
              </w:rPr>
              <m:t>3</m:t>
            </m:r>
          </m:sub>
        </m:sSub>
        <m:sSub>
          <m:sSubPr>
            <m:ctrlPr>
              <w:rPr>
                <w:rFonts w:ascii="Cambria Math" w:eastAsiaTheme="minorEastAsia" w:hAnsi="Cambria Math" w:cstheme="minorBidi"/>
                <w:i/>
                <w:sz w:val="20"/>
                <w:szCs w:val="20"/>
              </w:rPr>
            </m:ctrlPr>
          </m:sSubPr>
          <m:e>
            <m:r>
              <w:rPr>
                <w:rFonts w:ascii="Cambria Math" w:eastAsiaTheme="minorEastAsia" w:hAnsi="Cambria Math" w:cstheme="minorBidi"/>
                <w:sz w:val="20"/>
                <w:szCs w:val="20"/>
              </w:rPr>
              <m:t>DE</m:t>
            </m:r>
          </m:e>
          <m:sub>
            <m:r>
              <w:rPr>
                <w:rFonts w:ascii="Cambria Math" w:eastAsiaTheme="minorEastAsia" w:hAnsi="Cambria Math" w:cstheme="minorBidi"/>
                <w:sz w:val="20"/>
                <w:szCs w:val="20"/>
              </w:rPr>
              <m:t>i</m:t>
            </m:r>
            <m:r>
              <w:rPr>
                <w:rFonts w:ascii="Cambria Math" w:eastAsiaTheme="minorEastAsia" w:hAnsi="Cambria Math" w:cstheme="minorBidi"/>
                <w:sz w:val="20"/>
                <w:szCs w:val="20"/>
              </w:rPr>
              <m:t>,</m:t>
            </m:r>
            <m:r>
              <w:rPr>
                <w:rFonts w:ascii="Cambria Math" w:eastAsiaTheme="minorEastAsia" w:hAnsi="Cambria Math" w:cstheme="minorBidi"/>
                <w:sz w:val="20"/>
                <w:szCs w:val="20"/>
              </w:rPr>
              <m:t>t</m:t>
            </m:r>
          </m:sub>
        </m:sSub>
      </m:oMath>
      <w:r w:rsidR="008E6324" w:rsidRPr="00722E0F">
        <w:rPr>
          <w:rFonts w:asciiTheme="minorBidi" w:eastAsiaTheme="minorEastAsia" w:hAnsiTheme="minorBidi" w:cstheme="minorBidi"/>
          <w:sz w:val="20"/>
          <w:szCs w:val="20"/>
        </w:rPr>
        <w:t xml:space="preserve"> + </w:t>
      </w:r>
      <m:oMath>
        <m:sSub>
          <m:sSubPr>
            <m:ctrlPr>
              <w:rPr>
                <w:rFonts w:ascii="Cambria Math" w:eastAsiaTheme="minorEastAsia" w:hAnsi="Cambria Math" w:cstheme="minorBidi"/>
                <w:i/>
                <w:sz w:val="20"/>
                <w:szCs w:val="20"/>
              </w:rPr>
            </m:ctrlPr>
          </m:sSubPr>
          <m:e>
            <m:r>
              <w:rPr>
                <w:rFonts w:ascii="Cambria Math" w:eastAsiaTheme="minorEastAsia" w:hAnsi="Cambria Math" w:cstheme="minorBidi"/>
                <w:sz w:val="20"/>
                <w:szCs w:val="20"/>
              </w:rPr>
              <m:t>β</m:t>
            </m:r>
          </m:e>
          <m:sub>
            <m:r>
              <w:rPr>
                <w:rFonts w:ascii="Cambria Math" w:eastAsiaTheme="minorEastAsia" w:hAnsi="Cambria Math" w:cstheme="minorBidi"/>
                <w:sz w:val="20"/>
                <w:szCs w:val="20"/>
              </w:rPr>
              <m:t>4</m:t>
            </m:r>
          </m:sub>
        </m:sSub>
        <m:sSub>
          <m:sSubPr>
            <m:ctrlPr>
              <w:rPr>
                <w:rFonts w:ascii="Cambria Math" w:eastAsiaTheme="minorEastAsia" w:hAnsi="Cambria Math" w:cstheme="minorBidi"/>
                <w:i/>
                <w:sz w:val="20"/>
                <w:szCs w:val="20"/>
              </w:rPr>
            </m:ctrlPr>
          </m:sSubPr>
          <m:e>
            <m:r>
              <w:rPr>
                <w:rFonts w:ascii="Cambria Math" w:eastAsiaTheme="minorEastAsia" w:hAnsi="Cambria Math" w:cstheme="minorBidi"/>
                <w:sz w:val="20"/>
                <w:szCs w:val="20"/>
              </w:rPr>
              <m:t>GNPA</m:t>
            </m:r>
          </m:e>
          <m:sub>
            <m:r>
              <w:rPr>
                <w:rFonts w:ascii="Cambria Math" w:eastAsiaTheme="minorEastAsia" w:hAnsi="Cambria Math" w:cstheme="minorBidi"/>
                <w:sz w:val="20"/>
                <w:szCs w:val="20"/>
              </w:rPr>
              <m:t>i</m:t>
            </m:r>
            <m:r>
              <w:rPr>
                <w:rFonts w:ascii="Cambria Math" w:eastAsiaTheme="minorEastAsia" w:hAnsi="Cambria Math" w:cstheme="minorBidi"/>
                <w:sz w:val="20"/>
                <w:szCs w:val="20"/>
              </w:rPr>
              <m:t>,</m:t>
            </m:r>
            <m:r>
              <w:rPr>
                <w:rFonts w:ascii="Cambria Math" w:eastAsiaTheme="minorEastAsia" w:hAnsi="Cambria Math" w:cstheme="minorBidi"/>
                <w:sz w:val="20"/>
                <w:szCs w:val="20"/>
              </w:rPr>
              <m:t>t</m:t>
            </m:r>
          </m:sub>
        </m:sSub>
      </m:oMath>
      <w:r w:rsidR="008E6324" w:rsidRPr="00722E0F">
        <w:rPr>
          <w:rFonts w:asciiTheme="minorBidi" w:eastAsiaTheme="minorEastAsia" w:hAnsiTheme="minorBidi" w:cstheme="minorBidi"/>
          <w:sz w:val="20"/>
          <w:szCs w:val="20"/>
        </w:rPr>
        <w:t xml:space="preserve"> + </w:t>
      </w:r>
      <m:oMath>
        <m:sSub>
          <m:sSubPr>
            <m:ctrlPr>
              <w:rPr>
                <w:rFonts w:ascii="Cambria Math" w:eastAsiaTheme="minorEastAsia" w:hAnsi="Cambria Math" w:cstheme="minorBidi"/>
                <w:i/>
                <w:sz w:val="20"/>
                <w:szCs w:val="20"/>
              </w:rPr>
            </m:ctrlPr>
          </m:sSubPr>
          <m:e>
            <m:r>
              <w:rPr>
                <w:rFonts w:ascii="Cambria Math" w:eastAsiaTheme="minorEastAsia" w:hAnsi="Cambria Math" w:cstheme="minorBidi"/>
                <w:sz w:val="20"/>
                <w:szCs w:val="20"/>
              </w:rPr>
              <m:t>β</m:t>
            </m:r>
          </m:e>
          <m:sub>
            <m:r>
              <w:rPr>
                <w:rFonts w:ascii="Cambria Math" w:eastAsiaTheme="minorEastAsia" w:hAnsi="Cambria Math" w:cstheme="minorBidi"/>
                <w:sz w:val="20"/>
                <w:szCs w:val="20"/>
              </w:rPr>
              <m:t>5</m:t>
            </m:r>
          </m:sub>
        </m:sSub>
        <m:sSub>
          <m:sSubPr>
            <m:ctrlPr>
              <w:rPr>
                <w:rFonts w:ascii="Cambria Math" w:eastAsiaTheme="minorEastAsia" w:hAnsi="Cambria Math" w:cstheme="minorBidi"/>
                <w:i/>
                <w:sz w:val="20"/>
                <w:szCs w:val="20"/>
              </w:rPr>
            </m:ctrlPr>
          </m:sSubPr>
          <m:e>
            <m:r>
              <w:rPr>
                <w:rFonts w:ascii="Cambria Math" w:hAnsi="Cambria Math" w:cstheme="minorBidi"/>
                <w:sz w:val="20"/>
                <w:szCs w:val="20"/>
              </w:rPr>
              <m:t>CI</m:t>
            </m:r>
          </m:e>
          <m:sub>
            <m:r>
              <w:rPr>
                <w:rFonts w:ascii="Cambria Math" w:eastAsiaTheme="minorEastAsia" w:hAnsi="Cambria Math" w:cstheme="minorBidi"/>
                <w:sz w:val="20"/>
                <w:szCs w:val="20"/>
              </w:rPr>
              <m:t>i</m:t>
            </m:r>
            <m:r>
              <w:rPr>
                <w:rFonts w:ascii="Cambria Math" w:eastAsiaTheme="minorEastAsia" w:hAnsi="Cambria Math" w:cstheme="minorBidi"/>
                <w:sz w:val="20"/>
                <w:szCs w:val="20"/>
              </w:rPr>
              <m:t>,</m:t>
            </m:r>
            <m:r>
              <w:rPr>
                <w:rFonts w:ascii="Cambria Math" w:eastAsiaTheme="minorEastAsia" w:hAnsi="Cambria Math" w:cstheme="minorBidi"/>
                <w:sz w:val="20"/>
                <w:szCs w:val="20"/>
              </w:rPr>
              <m:t>t</m:t>
            </m:r>
          </m:sub>
        </m:sSub>
      </m:oMath>
      <w:r w:rsidR="008E6324" w:rsidRPr="00722E0F">
        <w:rPr>
          <w:rFonts w:asciiTheme="minorBidi" w:eastAsiaTheme="minorEastAsia" w:hAnsiTheme="minorBidi" w:cstheme="minorBidi"/>
          <w:sz w:val="20"/>
          <w:szCs w:val="20"/>
        </w:rPr>
        <w:t xml:space="preserve"> + </w:t>
      </w:r>
      <m:oMath>
        <m:sSub>
          <m:sSubPr>
            <m:ctrlPr>
              <w:rPr>
                <w:rFonts w:ascii="Cambria Math" w:eastAsiaTheme="minorEastAsia" w:hAnsi="Cambria Math" w:cstheme="minorBidi"/>
                <w:i/>
                <w:sz w:val="20"/>
                <w:szCs w:val="20"/>
              </w:rPr>
            </m:ctrlPr>
          </m:sSubPr>
          <m:e>
            <m:r>
              <w:rPr>
                <w:rFonts w:ascii="Cambria Math" w:eastAsiaTheme="minorEastAsia" w:hAnsi="Cambria Math" w:cstheme="minorBidi"/>
                <w:sz w:val="20"/>
                <w:szCs w:val="20"/>
              </w:rPr>
              <m:t>β</m:t>
            </m:r>
          </m:e>
          <m:sub>
            <m:r>
              <w:rPr>
                <w:rFonts w:ascii="Cambria Math" w:eastAsiaTheme="minorEastAsia" w:hAnsi="Cambria Math" w:cstheme="minorBidi"/>
                <w:sz w:val="20"/>
                <w:szCs w:val="20"/>
              </w:rPr>
              <m:t>6</m:t>
            </m:r>
          </m:sub>
        </m:sSub>
        <m:sSub>
          <m:sSubPr>
            <m:ctrlPr>
              <w:rPr>
                <w:rFonts w:ascii="Cambria Math" w:eastAsiaTheme="minorEastAsia" w:hAnsi="Cambria Math" w:cstheme="minorBidi"/>
                <w:i/>
                <w:sz w:val="20"/>
                <w:szCs w:val="20"/>
                <w:lang w:val="pl-PL"/>
              </w:rPr>
            </m:ctrlPr>
          </m:sSubPr>
          <m:e>
            <m:r>
              <w:rPr>
                <w:rFonts w:ascii="Cambria Math" w:eastAsiaTheme="minorEastAsia" w:hAnsi="Cambria Math" w:cstheme="minorBidi"/>
                <w:sz w:val="20"/>
                <w:szCs w:val="20"/>
                <w:lang w:val="pl-PL"/>
              </w:rPr>
              <m:t>CTA</m:t>
            </m:r>
          </m:e>
          <m:sub>
            <m:r>
              <w:rPr>
                <w:rFonts w:ascii="Cambria Math" w:eastAsiaTheme="minorEastAsia" w:hAnsi="Cambria Math" w:cstheme="minorBidi"/>
                <w:sz w:val="20"/>
                <w:szCs w:val="20"/>
                <w:lang w:val="pl-PL"/>
              </w:rPr>
              <m:t>i</m:t>
            </m:r>
            <m:r>
              <w:rPr>
                <w:rFonts w:ascii="Cambria Math" w:eastAsiaTheme="minorEastAsia" w:hAnsi="Cambria Math" w:cstheme="minorBidi"/>
                <w:sz w:val="20"/>
                <w:szCs w:val="20"/>
              </w:rPr>
              <m:t>,</m:t>
            </m:r>
            <m:r>
              <w:rPr>
                <w:rFonts w:ascii="Cambria Math" w:eastAsiaTheme="minorEastAsia" w:hAnsi="Cambria Math" w:cstheme="minorBidi"/>
                <w:sz w:val="20"/>
                <w:szCs w:val="20"/>
                <w:lang w:val="pl-PL"/>
              </w:rPr>
              <m:t>t</m:t>
            </m:r>
          </m:sub>
        </m:sSub>
      </m:oMath>
      <w:r w:rsidR="008E6324" w:rsidRPr="00722E0F">
        <w:rPr>
          <w:rFonts w:asciiTheme="minorBidi" w:eastAsiaTheme="minorEastAsia" w:hAnsiTheme="minorBidi" w:cstheme="minorBidi"/>
          <w:sz w:val="20"/>
          <w:szCs w:val="20"/>
        </w:rPr>
        <w:t xml:space="preserve"> +  </w:t>
      </w:r>
      <m:oMath>
        <m:sSub>
          <m:sSubPr>
            <m:ctrlPr>
              <w:rPr>
                <w:rFonts w:ascii="Cambria Math" w:eastAsiaTheme="minorEastAsia" w:hAnsi="Cambria Math" w:cstheme="minorBidi"/>
                <w:i/>
                <w:sz w:val="20"/>
                <w:szCs w:val="20"/>
              </w:rPr>
            </m:ctrlPr>
          </m:sSubPr>
          <m:e>
            <m:r>
              <m:rPr>
                <m:sty m:val="p"/>
              </m:rPr>
              <w:rPr>
                <w:rFonts w:ascii="Cambria Math" w:hAnsi="Cambria Math" w:cstheme="minorBidi"/>
                <w:sz w:val="20"/>
                <w:szCs w:val="20"/>
              </w:rPr>
              <m:t>ε</m:t>
            </m:r>
          </m:e>
          <m:sub>
            <m:r>
              <w:rPr>
                <w:rFonts w:ascii="Cambria Math" w:eastAsiaTheme="minorEastAsia" w:hAnsi="Cambria Math" w:cstheme="minorBidi"/>
                <w:sz w:val="20"/>
                <w:szCs w:val="20"/>
              </w:rPr>
              <m:t>it</m:t>
            </m:r>
          </m:sub>
        </m:sSub>
      </m:oMath>
      <w:r w:rsidR="008E6324" w:rsidRPr="00722E0F">
        <w:rPr>
          <w:rFonts w:asciiTheme="minorBidi" w:eastAsiaTheme="minorEastAsia" w:hAnsiTheme="minorBidi" w:cstheme="minorBidi"/>
          <w:sz w:val="20"/>
          <w:szCs w:val="20"/>
        </w:rPr>
        <w:t xml:space="preserve">           (1)</w:t>
      </w:r>
      <w:r w:rsidR="008E6324" w:rsidRPr="00722E0F">
        <w:rPr>
          <w:rFonts w:asciiTheme="minorBidi" w:eastAsiaTheme="minorEastAsia" w:hAnsiTheme="minorBidi" w:cstheme="minorBidi"/>
          <w:b/>
          <w:bCs/>
          <w:sz w:val="20"/>
          <w:szCs w:val="20"/>
        </w:rPr>
        <w:t xml:space="preserve"> </w:t>
      </w:r>
    </w:p>
    <w:p w14:paraId="55262CB2" w14:textId="77777777" w:rsidR="00077C6E" w:rsidRPr="00722E0F" w:rsidRDefault="00077C6E" w:rsidP="00077C6E">
      <w:pPr>
        <w:pStyle w:val="NormalWeb"/>
        <w:spacing w:before="0" w:beforeAutospacing="0" w:after="0" w:afterAutospacing="0"/>
        <w:rPr>
          <w:rFonts w:asciiTheme="minorBidi" w:eastAsiaTheme="minorEastAsia" w:hAnsiTheme="minorBidi" w:cstheme="minorBidi"/>
          <w:b/>
          <w:bCs/>
          <w:sz w:val="20"/>
          <w:szCs w:val="20"/>
        </w:rPr>
      </w:pPr>
    </w:p>
    <w:p w14:paraId="0233ECE6" w14:textId="1F0F9727" w:rsidR="008E6324" w:rsidRPr="00722E0F" w:rsidRDefault="00BD1FFA" w:rsidP="00077C6E">
      <w:pPr>
        <w:rPr>
          <w:rFonts w:asciiTheme="minorBidi" w:eastAsiaTheme="minorEastAsia" w:hAnsiTheme="minorBidi" w:cstheme="minorBidi"/>
        </w:rPr>
      </w:pPr>
      <m:oMath>
        <m:sSub>
          <m:sSubPr>
            <m:ctrlPr>
              <w:rPr>
                <w:rFonts w:ascii="Cambria Math" w:hAnsi="Cambria Math" w:cstheme="minorBidi"/>
                <w:bCs/>
                <w:i/>
              </w:rPr>
            </m:ctrlPr>
          </m:sSubPr>
          <m:e>
            <m:r>
              <w:rPr>
                <w:rFonts w:ascii="Cambria Math" w:hAnsi="Cambria Math" w:cstheme="minorBidi"/>
              </w:rPr>
              <m:t>ROE</m:t>
            </m:r>
          </m:e>
          <m:sub>
            <m:r>
              <w:rPr>
                <w:rFonts w:ascii="Cambria Math" w:hAnsi="Cambria Math" w:cstheme="minorBidi"/>
              </w:rPr>
              <m:t>it</m:t>
            </m:r>
          </m:sub>
        </m:sSub>
      </m:oMath>
      <w:r w:rsidR="008E6324" w:rsidRPr="00722E0F">
        <w:rPr>
          <w:rFonts w:asciiTheme="minorBidi" w:eastAsiaTheme="minorEastAsia" w:hAnsiTheme="minorBidi" w:cstheme="minorBidi"/>
          <w:b/>
          <w:bCs/>
        </w:rPr>
        <w:t xml:space="preserve"> </w:t>
      </w:r>
      <w:r w:rsidR="008E6324" w:rsidRPr="00722E0F">
        <w:rPr>
          <w:rFonts w:asciiTheme="minorBidi" w:eastAsiaTheme="minorEastAsia" w:hAnsiTheme="minorBidi" w:cstheme="minorBidi"/>
        </w:rPr>
        <w:t>=</w:t>
      </w:r>
      <w:r w:rsidR="008E6324" w:rsidRPr="00722E0F">
        <w:rPr>
          <w:rFonts w:asciiTheme="minorBidi" w:eastAsiaTheme="minorEastAsia" w:hAnsiTheme="minorBidi" w:cstheme="minorBidi"/>
          <w:b/>
          <w:bCs/>
        </w:rPr>
        <w:t xml:space="preserve"> </w:t>
      </w:r>
      <m:oMath>
        <m:sSub>
          <m:sSubPr>
            <m:ctrlPr>
              <w:rPr>
                <w:rFonts w:ascii="Cambria Math" w:eastAsiaTheme="minorEastAsia" w:hAnsi="Cambria Math" w:cstheme="minorBidi"/>
                <w:i/>
              </w:rPr>
            </m:ctrlPr>
          </m:sSubPr>
          <m:e>
            <m:r>
              <w:rPr>
                <w:rFonts w:ascii="Cambria Math" w:eastAsiaTheme="minorEastAsia" w:hAnsi="Cambria Math" w:cstheme="minorBidi"/>
              </w:rPr>
              <m:t>β</m:t>
            </m:r>
          </m:e>
          <m:sub>
            <m:r>
              <w:rPr>
                <w:rFonts w:ascii="Cambria Math" w:eastAsiaTheme="minorEastAsia" w:hAnsi="Cambria Math" w:cstheme="minorBidi"/>
              </w:rPr>
              <m:t>0</m:t>
            </m:r>
          </m:sub>
        </m:sSub>
      </m:oMath>
      <w:r w:rsidR="008E6324" w:rsidRPr="00722E0F">
        <w:rPr>
          <w:rFonts w:asciiTheme="minorBidi" w:eastAsiaTheme="minorEastAsia" w:hAnsiTheme="minorBidi" w:cstheme="minorBidi"/>
        </w:rPr>
        <w:t xml:space="preserve"> + </w:t>
      </w:r>
      <m:oMath>
        <m:sSub>
          <m:sSubPr>
            <m:ctrlPr>
              <w:rPr>
                <w:rFonts w:ascii="Cambria Math" w:eastAsiaTheme="minorEastAsia" w:hAnsi="Cambria Math" w:cstheme="minorBidi"/>
                <w:i/>
              </w:rPr>
            </m:ctrlPr>
          </m:sSubPr>
          <m:e>
            <m:r>
              <w:rPr>
                <w:rFonts w:ascii="Cambria Math" w:eastAsiaTheme="minorEastAsia" w:hAnsi="Cambria Math" w:cstheme="minorBidi"/>
              </w:rPr>
              <m:t>β</m:t>
            </m:r>
          </m:e>
          <m:sub>
            <m:r>
              <w:rPr>
                <w:rFonts w:ascii="Cambria Math" w:eastAsiaTheme="minorEastAsia" w:hAnsi="Cambria Math" w:cstheme="minorBidi"/>
              </w:rPr>
              <m:t>1</m:t>
            </m:r>
          </m:sub>
        </m:sSub>
        <m:sSub>
          <m:sSubPr>
            <m:ctrlPr>
              <w:rPr>
                <w:rFonts w:ascii="Cambria Math" w:eastAsiaTheme="minorEastAsia" w:hAnsi="Cambria Math" w:cstheme="minorBidi"/>
                <w:i/>
                <w:lang w:val="pl-PL"/>
              </w:rPr>
            </m:ctrlPr>
          </m:sSubPr>
          <m:e>
            <m:r>
              <w:rPr>
                <w:rFonts w:ascii="Cambria Math" w:eastAsiaTheme="minorEastAsia" w:hAnsi="Cambria Math" w:cstheme="minorBidi"/>
              </w:rPr>
              <m:t>Merger</m:t>
            </m:r>
          </m:e>
          <m:sub>
            <m:r>
              <w:rPr>
                <w:rFonts w:ascii="Cambria Math" w:eastAsiaTheme="minorEastAsia" w:hAnsi="Cambria Math" w:cstheme="minorBidi"/>
                <w:lang w:val="pl-PL"/>
              </w:rPr>
              <m:t>i</m:t>
            </m:r>
            <m:r>
              <w:rPr>
                <w:rFonts w:ascii="Cambria Math" w:eastAsiaTheme="minorEastAsia" w:hAnsi="Cambria Math" w:cstheme="minorBidi"/>
              </w:rPr>
              <m:t>,</m:t>
            </m:r>
            <m:r>
              <w:rPr>
                <w:rFonts w:ascii="Cambria Math" w:eastAsiaTheme="minorEastAsia" w:hAnsi="Cambria Math" w:cstheme="minorBidi"/>
                <w:lang w:val="pl-PL"/>
              </w:rPr>
              <m:t>t</m:t>
            </m:r>
          </m:sub>
        </m:sSub>
      </m:oMath>
      <w:r w:rsidR="008E6324" w:rsidRPr="00722E0F">
        <w:rPr>
          <w:rFonts w:asciiTheme="minorBidi" w:eastAsiaTheme="minorEastAsia" w:hAnsiTheme="minorBidi" w:cstheme="minorBidi"/>
        </w:rPr>
        <w:t xml:space="preserve"> + </w:t>
      </w:r>
      <m:oMath>
        <m:sSub>
          <m:sSubPr>
            <m:ctrlPr>
              <w:rPr>
                <w:rFonts w:ascii="Cambria Math" w:eastAsiaTheme="minorEastAsia" w:hAnsi="Cambria Math" w:cstheme="minorBidi"/>
                <w:i/>
              </w:rPr>
            </m:ctrlPr>
          </m:sSubPr>
          <m:e>
            <m:r>
              <w:rPr>
                <w:rFonts w:ascii="Cambria Math" w:eastAsiaTheme="minorEastAsia" w:hAnsi="Cambria Math" w:cstheme="minorBidi"/>
              </w:rPr>
              <m:t>β</m:t>
            </m:r>
          </m:e>
          <m:sub>
            <m:r>
              <w:rPr>
                <w:rFonts w:ascii="Cambria Math" w:eastAsiaTheme="minorEastAsia" w:hAnsi="Cambria Math" w:cstheme="minorBidi"/>
              </w:rPr>
              <m:t>2</m:t>
            </m:r>
          </m:sub>
        </m:sSub>
        <m:sSub>
          <m:sSubPr>
            <m:ctrlPr>
              <w:rPr>
                <w:rFonts w:ascii="Cambria Math" w:eastAsiaTheme="minorEastAsia" w:hAnsi="Cambria Math" w:cstheme="minorBidi"/>
                <w:i/>
                <w:lang w:val="pl-PL"/>
              </w:rPr>
            </m:ctrlPr>
          </m:sSubPr>
          <m:e>
            <m:r>
              <w:rPr>
                <w:rFonts w:ascii="Cambria Math" w:eastAsiaTheme="minorEastAsia" w:hAnsi="Cambria Math" w:cstheme="minorBidi"/>
                <w:lang w:val="pl-PL"/>
              </w:rPr>
              <m:t>CAR</m:t>
            </m:r>
          </m:e>
          <m:sub>
            <m:r>
              <w:rPr>
                <w:rFonts w:ascii="Cambria Math" w:eastAsiaTheme="minorEastAsia" w:hAnsi="Cambria Math" w:cstheme="minorBidi"/>
                <w:lang w:val="pl-PL"/>
              </w:rPr>
              <m:t>i</m:t>
            </m:r>
            <m:r>
              <w:rPr>
                <w:rFonts w:ascii="Cambria Math" w:eastAsiaTheme="minorEastAsia" w:hAnsi="Cambria Math" w:cstheme="minorBidi"/>
              </w:rPr>
              <m:t>,</m:t>
            </m:r>
            <m:r>
              <w:rPr>
                <w:rFonts w:ascii="Cambria Math" w:eastAsiaTheme="minorEastAsia" w:hAnsi="Cambria Math" w:cstheme="minorBidi"/>
                <w:lang w:val="pl-PL"/>
              </w:rPr>
              <m:t>t</m:t>
            </m:r>
          </m:sub>
        </m:sSub>
      </m:oMath>
      <w:r w:rsidR="008E6324" w:rsidRPr="00722E0F">
        <w:rPr>
          <w:rFonts w:asciiTheme="minorBidi" w:eastAsiaTheme="minorEastAsia" w:hAnsiTheme="minorBidi" w:cstheme="minorBidi"/>
        </w:rPr>
        <w:t xml:space="preserve"> + </w:t>
      </w:r>
      <m:oMath>
        <m:sSub>
          <m:sSubPr>
            <m:ctrlPr>
              <w:rPr>
                <w:rFonts w:ascii="Cambria Math" w:eastAsiaTheme="minorEastAsia" w:hAnsi="Cambria Math" w:cstheme="minorBidi"/>
                <w:i/>
              </w:rPr>
            </m:ctrlPr>
          </m:sSubPr>
          <m:e>
            <m:r>
              <w:rPr>
                <w:rFonts w:ascii="Cambria Math" w:eastAsiaTheme="minorEastAsia" w:hAnsi="Cambria Math" w:cstheme="minorBidi"/>
              </w:rPr>
              <m:t>β</m:t>
            </m:r>
          </m:e>
          <m:sub>
            <m:r>
              <w:rPr>
                <w:rFonts w:ascii="Cambria Math" w:eastAsiaTheme="minorEastAsia" w:hAnsi="Cambria Math" w:cstheme="minorBidi"/>
              </w:rPr>
              <m:t>3</m:t>
            </m:r>
          </m:sub>
        </m:sSub>
        <m:sSub>
          <m:sSubPr>
            <m:ctrlPr>
              <w:rPr>
                <w:rFonts w:ascii="Cambria Math" w:eastAsiaTheme="minorEastAsia" w:hAnsi="Cambria Math" w:cstheme="minorBidi"/>
                <w:i/>
              </w:rPr>
            </m:ctrlPr>
          </m:sSubPr>
          <m:e>
            <m:r>
              <w:rPr>
                <w:rFonts w:ascii="Cambria Math" w:eastAsiaTheme="minorEastAsia" w:hAnsi="Cambria Math" w:cstheme="minorBidi"/>
              </w:rPr>
              <m:t>DE</m:t>
            </m:r>
          </m:e>
          <m:sub>
            <m:r>
              <w:rPr>
                <w:rFonts w:ascii="Cambria Math" w:eastAsiaTheme="minorEastAsia" w:hAnsi="Cambria Math" w:cstheme="minorBidi"/>
              </w:rPr>
              <m:t>i</m:t>
            </m:r>
            <m:r>
              <w:rPr>
                <w:rFonts w:ascii="Cambria Math" w:eastAsiaTheme="minorEastAsia" w:hAnsi="Cambria Math" w:cstheme="minorBidi"/>
              </w:rPr>
              <m:t>,</m:t>
            </m:r>
            <m:r>
              <w:rPr>
                <w:rFonts w:ascii="Cambria Math" w:eastAsiaTheme="minorEastAsia" w:hAnsi="Cambria Math" w:cstheme="minorBidi"/>
              </w:rPr>
              <m:t>t</m:t>
            </m:r>
          </m:sub>
        </m:sSub>
      </m:oMath>
      <w:r w:rsidR="008E6324" w:rsidRPr="00722E0F">
        <w:rPr>
          <w:rFonts w:asciiTheme="minorBidi" w:eastAsiaTheme="minorEastAsia" w:hAnsiTheme="minorBidi" w:cstheme="minorBidi"/>
        </w:rPr>
        <w:t xml:space="preserve"> + </w:t>
      </w:r>
      <m:oMath>
        <m:sSub>
          <m:sSubPr>
            <m:ctrlPr>
              <w:rPr>
                <w:rFonts w:ascii="Cambria Math" w:eastAsiaTheme="minorEastAsia" w:hAnsi="Cambria Math" w:cstheme="minorBidi"/>
                <w:i/>
              </w:rPr>
            </m:ctrlPr>
          </m:sSubPr>
          <m:e>
            <m:r>
              <w:rPr>
                <w:rFonts w:ascii="Cambria Math" w:eastAsiaTheme="minorEastAsia" w:hAnsi="Cambria Math" w:cstheme="minorBidi"/>
              </w:rPr>
              <m:t>β</m:t>
            </m:r>
          </m:e>
          <m:sub>
            <m:r>
              <w:rPr>
                <w:rFonts w:ascii="Cambria Math" w:eastAsiaTheme="minorEastAsia" w:hAnsi="Cambria Math" w:cstheme="minorBidi"/>
              </w:rPr>
              <m:t>4</m:t>
            </m:r>
          </m:sub>
        </m:sSub>
        <m:sSub>
          <m:sSubPr>
            <m:ctrlPr>
              <w:rPr>
                <w:rFonts w:ascii="Cambria Math" w:eastAsiaTheme="minorEastAsia" w:hAnsi="Cambria Math" w:cstheme="minorBidi"/>
                <w:i/>
              </w:rPr>
            </m:ctrlPr>
          </m:sSubPr>
          <m:e>
            <m:r>
              <w:rPr>
                <w:rFonts w:ascii="Cambria Math" w:eastAsiaTheme="minorEastAsia" w:hAnsi="Cambria Math" w:cstheme="minorBidi"/>
              </w:rPr>
              <m:t>GNPA</m:t>
            </m:r>
          </m:e>
          <m:sub>
            <m:r>
              <w:rPr>
                <w:rFonts w:ascii="Cambria Math" w:eastAsiaTheme="minorEastAsia" w:hAnsi="Cambria Math" w:cstheme="minorBidi"/>
              </w:rPr>
              <m:t>i</m:t>
            </m:r>
            <m:r>
              <w:rPr>
                <w:rFonts w:ascii="Cambria Math" w:eastAsiaTheme="minorEastAsia" w:hAnsi="Cambria Math" w:cstheme="minorBidi"/>
              </w:rPr>
              <m:t>,</m:t>
            </m:r>
            <m:r>
              <w:rPr>
                <w:rFonts w:ascii="Cambria Math" w:eastAsiaTheme="minorEastAsia" w:hAnsi="Cambria Math" w:cstheme="minorBidi"/>
              </w:rPr>
              <m:t>t</m:t>
            </m:r>
          </m:sub>
        </m:sSub>
      </m:oMath>
      <w:r w:rsidR="008E6324" w:rsidRPr="00722E0F">
        <w:rPr>
          <w:rFonts w:asciiTheme="minorBidi" w:eastAsiaTheme="minorEastAsia" w:hAnsiTheme="minorBidi" w:cstheme="minorBidi"/>
        </w:rPr>
        <w:t xml:space="preserve"> + </w:t>
      </w:r>
      <m:oMath>
        <m:sSub>
          <m:sSubPr>
            <m:ctrlPr>
              <w:rPr>
                <w:rFonts w:ascii="Cambria Math" w:eastAsiaTheme="minorEastAsia" w:hAnsi="Cambria Math" w:cstheme="minorBidi"/>
                <w:i/>
              </w:rPr>
            </m:ctrlPr>
          </m:sSubPr>
          <m:e>
            <m:r>
              <w:rPr>
                <w:rFonts w:ascii="Cambria Math" w:eastAsiaTheme="minorEastAsia" w:hAnsi="Cambria Math" w:cstheme="minorBidi"/>
              </w:rPr>
              <m:t>β</m:t>
            </m:r>
          </m:e>
          <m:sub>
            <m:r>
              <w:rPr>
                <w:rFonts w:ascii="Cambria Math" w:eastAsiaTheme="minorEastAsia" w:hAnsi="Cambria Math" w:cstheme="minorBidi"/>
              </w:rPr>
              <m:t>5</m:t>
            </m:r>
          </m:sub>
        </m:sSub>
        <m:sSub>
          <m:sSubPr>
            <m:ctrlPr>
              <w:rPr>
                <w:rFonts w:ascii="Cambria Math" w:eastAsiaTheme="minorEastAsia" w:hAnsi="Cambria Math" w:cstheme="minorBidi"/>
                <w:i/>
              </w:rPr>
            </m:ctrlPr>
          </m:sSubPr>
          <m:e>
            <m:r>
              <w:rPr>
                <w:rFonts w:ascii="Cambria Math" w:hAnsi="Cambria Math" w:cstheme="minorBidi"/>
              </w:rPr>
              <m:t>CI</m:t>
            </m:r>
          </m:e>
          <m:sub>
            <m:r>
              <w:rPr>
                <w:rFonts w:ascii="Cambria Math" w:eastAsiaTheme="minorEastAsia" w:hAnsi="Cambria Math" w:cstheme="minorBidi"/>
              </w:rPr>
              <m:t>i</m:t>
            </m:r>
            <m:r>
              <w:rPr>
                <w:rFonts w:ascii="Cambria Math" w:eastAsiaTheme="minorEastAsia" w:hAnsi="Cambria Math" w:cstheme="minorBidi"/>
              </w:rPr>
              <m:t>,</m:t>
            </m:r>
            <m:r>
              <w:rPr>
                <w:rFonts w:ascii="Cambria Math" w:eastAsiaTheme="minorEastAsia" w:hAnsi="Cambria Math" w:cstheme="minorBidi"/>
              </w:rPr>
              <m:t>t</m:t>
            </m:r>
          </m:sub>
        </m:sSub>
      </m:oMath>
      <w:r w:rsidR="008E6324" w:rsidRPr="00722E0F">
        <w:rPr>
          <w:rFonts w:asciiTheme="minorBidi" w:eastAsiaTheme="minorEastAsia" w:hAnsiTheme="minorBidi" w:cstheme="minorBidi"/>
        </w:rPr>
        <w:t xml:space="preserve"> + </w:t>
      </w:r>
      <m:oMath>
        <m:sSub>
          <m:sSubPr>
            <m:ctrlPr>
              <w:rPr>
                <w:rFonts w:ascii="Cambria Math" w:eastAsiaTheme="minorEastAsia" w:hAnsi="Cambria Math" w:cstheme="minorBidi"/>
                <w:i/>
              </w:rPr>
            </m:ctrlPr>
          </m:sSubPr>
          <m:e>
            <m:r>
              <w:rPr>
                <w:rFonts w:ascii="Cambria Math" w:eastAsiaTheme="minorEastAsia" w:hAnsi="Cambria Math" w:cstheme="minorBidi"/>
              </w:rPr>
              <m:t>β</m:t>
            </m:r>
          </m:e>
          <m:sub>
            <m:r>
              <w:rPr>
                <w:rFonts w:ascii="Cambria Math" w:eastAsiaTheme="minorEastAsia" w:hAnsi="Cambria Math" w:cstheme="minorBidi"/>
              </w:rPr>
              <m:t>6</m:t>
            </m:r>
          </m:sub>
        </m:sSub>
        <m:sSub>
          <m:sSubPr>
            <m:ctrlPr>
              <w:rPr>
                <w:rFonts w:ascii="Cambria Math" w:eastAsiaTheme="minorEastAsia" w:hAnsi="Cambria Math" w:cstheme="minorBidi"/>
                <w:i/>
                <w:lang w:val="pl-PL"/>
              </w:rPr>
            </m:ctrlPr>
          </m:sSubPr>
          <m:e>
            <m:r>
              <w:rPr>
                <w:rFonts w:ascii="Cambria Math" w:eastAsiaTheme="minorEastAsia" w:hAnsi="Cambria Math" w:cstheme="minorBidi"/>
                <w:lang w:val="pl-PL"/>
              </w:rPr>
              <m:t>CTA</m:t>
            </m:r>
          </m:e>
          <m:sub>
            <m:r>
              <w:rPr>
                <w:rFonts w:ascii="Cambria Math" w:eastAsiaTheme="minorEastAsia" w:hAnsi="Cambria Math" w:cstheme="minorBidi"/>
                <w:lang w:val="pl-PL"/>
              </w:rPr>
              <m:t>i</m:t>
            </m:r>
            <m:r>
              <w:rPr>
                <w:rFonts w:ascii="Cambria Math" w:eastAsiaTheme="minorEastAsia" w:hAnsi="Cambria Math" w:cstheme="minorBidi"/>
              </w:rPr>
              <m:t>,</m:t>
            </m:r>
            <m:r>
              <w:rPr>
                <w:rFonts w:ascii="Cambria Math" w:eastAsiaTheme="minorEastAsia" w:hAnsi="Cambria Math" w:cstheme="minorBidi"/>
                <w:lang w:val="pl-PL"/>
              </w:rPr>
              <m:t>t</m:t>
            </m:r>
          </m:sub>
        </m:sSub>
      </m:oMath>
      <w:r w:rsidR="008E6324" w:rsidRPr="00722E0F">
        <w:rPr>
          <w:rFonts w:asciiTheme="minorBidi" w:eastAsiaTheme="minorEastAsia" w:hAnsiTheme="minorBidi" w:cstheme="minorBidi"/>
        </w:rPr>
        <w:t xml:space="preserve"> +  </w:t>
      </w:r>
      <m:oMath>
        <m:sSub>
          <m:sSubPr>
            <m:ctrlPr>
              <w:rPr>
                <w:rFonts w:ascii="Cambria Math" w:eastAsiaTheme="minorEastAsia" w:hAnsi="Cambria Math" w:cstheme="minorBidi"/>
                <w:i/>
              </w:rPr>
            </m:ctrlPr>
          </m:sSubPr>
          <m:e>
            <m:r>
              <m:rPr>
                <m:sty m:val="p"/>
              </m:rPr>
              <w:rPr>
                <w:rFonts w:ascii="Cambria Math" w:hAnsi="Cambria Math" w:cstheme="minorBidi"/>
              </w:rPr>
              <m:t>ε</m:t>
            </m:r>
          </m:e>
          <m:sub>
            <m:r>
              <w:rPr>
                <w:rFonts w:ascii="Cambria Math" w:eastAsiaTheme="minorEastAsia" w:hAnsi="Cambria Math" w:cstheme="minorBidi"/>
              </w:rPr>
              <m:t>it</m:t>
            </m:r>
          </m:sub>
        </m:sSub>
      </m:oMath>
      <w:r w:rsidR="008E6324" w:rsidRPr="00722E0F">
        <w:rPr>
          <w:rFonts w:asciiTheme="minorBidi" w:eastAsiaTheme="minorEastAsia" w:hAnsiTheme="minorBidi" w:cstheme="minorBidi"/>
        </w:rPr>
        <w:t xml:space="preserve">           (2)</w:t>
      </w:r>
    </w:p>
    <w:p w14:paraId="27A50FB7" w14:textId="77777777" w:rsidR="00077C6E" w:rsidRPr="00722E0F" w:rsidRDefault="00077C6E" w:rsidP="00077C6E">
      <w:pPr>
        <w:rPr>
          <w:rFonts w:asciiTheme="minorBidi" w:hAnsiTheme="minorBidi" w:cstheme="minorBidi"/>
          <w:i/>
          <w:iCs/>
        </w:rPr>
      </w:pPr>
    </w:p>
    <w:p w14:paraId="1D13DB45" w14:textId="7539E47D" w:rsidR="008E6324" w:rsidRPr="00722E0F" w:rsidRDefault="00BD1FFA" w:rsidP="00077C6E">
      <w:pPr>
        <w:rPr>
          <w:rFonts w:asciiTheme="minorBidi" w:hAnsiTheme="minorBidi" w:cstheme="minorBidi"/>
          <w:i/>
          <w:iCs/>
        </w:rPr>
      </w:pPr>
      <m:oMath>
        <m:sSub>
          <m:sSubPr>
            <m:ctrlPr>
              <w:rPr>
                <w:rFonts w:ascii="Cambria Math" w:hAnsi="Cambria Math" w:cstheme="minorBidi"/>
                <w:bCs/>
                <w:i/>
              </w:rPr>
            </m:ctrlPr>
          </m:sSubPr>
          <m:e>
            <m:r>
              <w:rPr>
                <w:rFonts w:ascii="Cambria Math" w:hAnsi="Cambria Math" w:cstheme="minorBidi"/>
              </w:rPr>
              <m:t>NIM</m:t>
            </m:r>
          </m:e>
          <m:sub>
            <m:r>
              <w:rPr>
                <w:rFonts w:ascii="Cambria Math" w:hAnsi="Cambria Math" w:cstheme="minorBidi"/>
              </w:rPr>
              <m:t>it</m:t>
            </m:r>
          </m:sub>
        </m:sSub>
      </m:oMath>
      <w:r w:rsidR="008E6324" w:rsidRPr="00722E0F">
        <w:rPr>
          <w:rFonts w:asciiTheme="minorBidi" w:eastAsiaTheme="minorEastAsia" w:hAnsiTheme="minorBidi" w:cstheme="minorBidi"/>
          <w:b/>
          <w:bCs/>
        </w:rPr>
        <w:t xml:space="preserve"> </w:t>
      </w:r>
      <w:r w:rsidR="008E6324" w:rsidRPr="00722E0F">
        <w:rPr>
          <w:rFonts w:asciiTheme="minorBidi" w:eastAsiaTheme="minorEastAsia" w:hAnsiTheme="minorBidi" w:cstheme="minorBidi"/>
        </w:rPr>
        <w:t>=</w:t>
      </w:r>
      <w:r w:rsidR="008E6324" w:rsidRPr="00722E0F">
        <w:rPr>
          <w:rFonts w:asciiTheme="minorBidi" w:eastAsiaTheme="minorEastAsia" w:hAnsiTheme="minorBidi" w:cstheme="minorBidi"/>
          <w:b/>
          <w:bCs/>
        </w:rPr>
        <w:t xml:space="preserve"> </w:t>
      </w:r>
      <m:oMath>
        <m:sSub>
          <m:sSubPr>
            <m:ctrlPr>
              <w:rPr>
                <w:rFonts w:ascii="Cambria Math" w:eastAsiaTheme="minorEastAsia" w:hAnsi="Cambria Math" w:cstheme="minorBidi"/>
                <w:i/>
              </w:rPr>
            </m:ctrlPr>
          </m:sSubPr>
          <m:e>
            <m:r>
              <w:rPr>
                <w:rFonts w:ascii="Cambria Math" w:eastAsiaTheme="minorEastAsia" w:hAnsi="Cambria Math" w:cstheme="minorBidi"/>
              </w:rPr>
              <m:t>β</m:t>
            </m:r>
          </m:e>
          <m:sub>
            <m:r>
              <w:rPr>
                <w:rFonts w:ascii="Cambria Math" w:eastAsiaTheme="minorEastAsia" w:hAnsi="Cambria Math" w:cstheme="minorBidi"/>
              </w:rPr>
              <m:t>0</m:t>
            </m:r>
          </m:sub>
        </m:sSub>
      </m:oMath>
      <w:r w:rsidR="008E6324" w:rsidRPr="00722E0F">
        <w:rPr>
          <w:rFonts w:asciiTheme="minorBidi" w:eastAsiaTheme="minorEastAsia" w:hAnsiTheme="minorBidi" w:cstheme="minorBidi"/>
        </w:rPr>
        <w:t xml:space="preserve">+ </w:t>
      </w:r>
      <m:oMath>
        <m:sSub>
          <m:sSubPr>
            <m:ctrlPr>
              <w:rPr>
                <w:rFonts w:ascii="Cambria Math" w:eastAsiaTheme="minorEastAsia" w:hAnsi="Cambria Math" w:cstheme="minorBidi"/>
                <w:i/>
              </w:rPr>
            </m:ctrlPr>
          </m:sSubPr>
          <m:e>
            <m:r>
              <w:rPr>
                <w:rFonts w:ascii="Cambria Math" w:eastAsiaTheme="minorEastAsia" w:hAnsi="Cambria Math" w:cstheme="minorBidi"/>
              </w:rPr>
              <m:t>β</m:t>
            </m:r>
          </m:e>
          <m:sub>
            <m:r>
              <w:rPr>
                <w:rFonts w:ascii="Cambria Math" w:eastAsiaTheme="minorEastAsia" w:hAnsi="Cambria Math" w:cstheme="minorBidi"/>
              </w:rPr>
              <m:t>1</m:t>
            </m:r>
          </m:sub>
        </m:sSub>
        <m:sSub>
          <m:sSubPr>
            <m:ctrlPr>
              <w:rPr>
                <w:rFonts w:ascii="Cambria Math" w:eastAsiaTheme="minorEastAsia" w:hAnsi="Cambria Math" w:cstheme="minorBidi"/>
                <w:i/>
                <w:lang w:val="pl-PL"/>
              </w:rPr>
            </m:ctrlPr>
          </m:sSubPr>
          <m:e>
            <m:r>
              <w:rPr>
                <w:rFonts w:ascii="Cambria Math" w:eastAsiaTheme="minorEastAsia" w:hAnsi="Cambria Math" w:cstheme="minorBidi"/>
              </w:rPr>
              <m:t>Merger</m:t>
            </m:r>
          </m:e>
          <m:sub>
            <m:r>
              <w:rPr>
                <w:rFonts w:ascii="Cambria Math" w:eastAsiaTheme="minorEastAsia" w:hAnsi="Cambria Math" w:cstheme="minorBidi"/>
                <w:lang w:val="pl-PL"/>
              </w:rPr>
              <m:t>i</m:t>
            </m:r>
            <m:r>
              <w:rPr>
                <w:rFonts w:ascii="Cambria Math" w:eastAsiaTheme="minorEastAsia" w:hAnsi="Cambria Math" w:cstheme="minorBidi"/>
              </w:rPr>
              <m:t>,</m:t>
            </m:r>
            <m:r>
              <w:rPr>
                <w:rFonts w:ascii="Cambria Math" w:eastAsiaTheme="minorEastAsia" w:hAnsi="Cambria Math" w:cstheme="minorBidi"/>
                <w:lang w:val="pl-PL"/>
              </w:rPr>
              <m:t>t</m:t>
            </m:r>
          </m:sub>
        </m:sSub>
      </m:oMath>
      <w:r w:rsidR="008E6324" w:rsidRPr="00722E0F">
        <w:rPr>
          <w:rFonts w:asciiTheme="minorBidi" w:eastAsiaTheme="minorEastAsia" w:hAnsiTheme="minorBidi" w:cstheme="minorBidi"/>
        </w:rPr>
        <w:t xml:space="preserve"> + </w:t>
      </w:r>
      <m:oMath>
        <m:sSub>
          <m:sSubPr>
            <m:ctrlPr>
              <w:rPr>
                <w:rFonts w:ascii="Cambria Math" w:eastAsiaTheme="minorEastAsia" w:hAnsi="Cambria Math" w:cstheme="minorBidi"/>
                <w:i/>
              </w:rPr>
            </m:ctrlPr>
          </m:sSubPr>
          <m:e>
            <m:r>
              <w:rPr>
                <w:rFonts w:ascii="Cambria Math" w:eastAsiaTheme="minorEastAsia" w:hAnsi="Cambria Math" w:cstheme="minorBidi"/>
              </w:rPr>
              <m:t>β</m:t>
            </m:r>
          </m:e>
          <m:sub>
            <m:r>
              <w:rPr>
                <w:rFonts w:ascii="Cambria Math" w:eastAsiaTheme="minorEastAsia" w:hAnsi="Cambria Math" w:cstheme="minorBidi"/>
              </w:rPr>
              <m:t>2</m:t>
            </m:r>
          </m:sub>
        </m:sSub>
        <m:sSub>
          <m:sSubPr>
            <m:ctrlPr>
              <w:rPr>
                <w:rFonts w:ascii="Cambria Math" w:eastAsiaTheme="minorEastAsia" w:hAnsi="Cambria Math" w:cstheme="minorBidi"/>
                <w:i/>
                <w:lang w:val="pl-PL"/>
              </w:rPr>
            </m:ctrlPr>
          </m:sSubPr>
          <m:e>
            <m:r>
              <w:rPr>
                <w:rFonts w:ascii="Cambria Math" w:eastAsiaTheme="minorEastAsia" w:hAnsi="Cambria Math" w:cstheme="minorBidi"/>
                <w:lang w:val="pl-PL"/>
              </w:rPr>
              <m:t>CAR</m:t>
            </m:r>
          </m:e>
          <m:sub>
            <m:r>
              <w:rPr>
                <w:rFonts w:ascii="Cambria Math" w:eastAsiaTheme="minorEastAsia" w:hAnsi="Cambria Math" w:cstheme="minorBidi"/>
                <w:lang w:val="pl-PL"/>
              </w:rPr>
              <m:t>i</m:t>
            </m:r>
            <m:r>
              <w:rPr>
                <w:rFonts w:ascii="Cambria Math" w:eastAsiaTheme="minorEastAsia" w:hAnsi="Cambria Math" w:cstheme="minorBidi"/>
              </w:rPr>
              <m:t>,</m:t>
            </m:r>
            <m:r>
              <w:rPr>
                <w:rFonts w:ascii="Cambria Math" w:eastAsiaTheme="minorEastAsia" w:hAnsi="Cambria Math" w:cstheme="minorBidi"/>
                <w:lang w:val="pl-PL"/>
              </w:rPr>
              <m:t>t</m:t>
            </m:r>
          </m:sub>
        </m:sSub>
      </m:oMath>
      <w:r w:rsidR="008E6324" w:rsidRPr="00722E0F">
        <w:rPr>
          <w:rFonts w:asciiTheme="minorBidi" w:eastAsiaTheme="minorEastAsia" w:hAnsiTheme="minorBidi" w:cstheme="minorBidi"/>
        </w:rPr>
        <w:t xml:space="preserve"> + </w:t>
      </w:r>
      <m:oMath>
        <m:sSub>
          <m:sSubPr>
            <m:ctrlPr>
              <w:rPr>
                <w:rFonts w:ascii="Cambria Math" w:eastAsiaTheme="minorEastAsia" w:hAnsi="Cambria Math" w:cstheme="minorBidi"/>
                <w:i/>
              </w:rPr>
            </m:ctrlPr>
          </m:sSubPr>
          <m:e>
            <m:r>
              <w:rPr>
                <w:rFonts w:ascii="Cambria Math" w:eastAsiaTheme="minorEastAsia" w:hAnsi="Cambria Math" w:cstheme="minorBidi"/>
              </w:rPr>
              <m:t>β</m:t>
            </m:r>
          </m:e>
          <m:sub>
            <m:r>
              <w:rPr>
                <w:rFonts w:ascii="Cambria Math" w:eastAsiaTheme="minorEastAsia" w:hAnsi="Cambria Math" w:cstheme="minorBidi"/>
              </w:rPr>
              <m:t>3</m:t>
            </m:r>
          </m:sub>
        </m:sSub>
        <m:sSub>
          <m:sSubPr>
            <m:ctrlPr>
              <w:rPr>
                <w:rFonts w:ascii="Cambria Math" w:eastAsiaTheme="minorEastAsia" w:hAnsi="Cambria Math" w:cstheme="minorBidi"/>
                <w:i/>
              </w:rPr>
            </m:ctrlPr>
          </m:sSubPr>
          <m:e>
            <m:r>
              <w:rPr>
                <w:rFonts w:ascii="Cambria Math" w:eastAsiaTheme="minorEastAsia" w:hAnsi="Cambria Math" w:cstheme="minorBidi"/>
              </w:rPr>
              <m:t>DE</m:t>
            </m:r>
          </m:e>
          <m:sub>
            <m:r>
              <w:rPr>
                <w:rFonts w:ascii="Cambria Math" w:eastAsiaTheme="minorEastAsia" w:hAnsi="Cambria Math" w:cstheme="minorBidi"/>
              </w:rPr>
              <m:t>i</m:t>
            </m:r>
            <m:r>
              <w:rPr>
                <w:rFonts w:ascii="Cambria Math" w:eastAsiaTheme="minorEastAsia" w:hAnsi="Cambria Math" w:cstheme="minorBidi"/>
              </w:rPr>
              <m:t>,</m:t>
            </m:r>
            <m:r>
              <w:rPr>
                <w:rFonts w:ascii="Cambria Math" w:eastAsiaTheme="minorEastAsia" w:hAnsi="Cambria Math" w:cstheme="minorBidi"/>
              </w:rPr>
              <m:t>t</m:t>
            </m:r>
          </m:sub>
        </m:sSub>
      </m:oMath>
      <w:r w:rsidR="008E6324" w:rsidRPr="00722E0F">
        <w:rPr>
          <w:rFonts w:asciiTheme="minorBidi" w:eastAsiaTheme="minorEastAsia" w:hAnsiTheme="minorBidi" w:cstheme="minorBidi"/>
        </w:rPr>
        <w:t xml:space="preserve"> + </w:t>
      </w:r>
      <m:oMath>
        <m:sSub>
          <m:sSubPr>
            <m:ctrlPr>
              <w:rPr>
                <w:rFonts w:ascii="Cambria Math" w:eastAsiaTheme="minorEastAsia" w:hAnsi="Cambria Math" w:cstheme="minorBidi"/>
                <w:i/>
              </w:rPr>
            </m:ctrlPr>
          </m:sSubPr>
          <m:e>
            <m:r>
              <w:rPr>
                <w:rFonts w:ascii="Cambria Math" w:eastAsiaTheme="minorEastAsia" w:hAnsi="Cambria Math" w:cstheme="minorBidi"/>
              </w:rPr>
              <m:t>β</m:t>
            </m:r>
          </m:e>
          <m:sub>
            <m:r>
              <w:rPr>
                <w:rFonts w:ascii="Cambria Math" w:eastAsiaTheme="minorEastAsia" w:hAnsi="Cambria Math" w:cstheme="minorBidi"/>
              </w:rPr>
              <m:t>4</m:t>
            </m:r>
          </m:sub>
        </m:sSub>
        <m:sSub>
          <m:sSubPr>
            <m:ctrlPr>
              <w:rPr>
                <w:rFonts w:ascii="Cambria Math" w:eastAsiaTheme="minorEastAsia" w:hAnsi="Cambria Math" w:cstheme="minorBidi"/>
                <w:i/>
              </w:rPr>
            </m:ctrlPr>
          </m:sSubPr>
          <m:e>
            <m:r>
              <w:rPr>
                <w:rFonts w:ascii="Cambria Math" w:eastAsiaTheme="minorEastAsia" w:hAnsi="Cambria Math" w:cstheme="minorBidi"/>
              </w:rPr>
              <m:t>GNPA</m:t>
            </m:r>
          </m:e>
          <m:sub>
            <m:r>
              <w:rPr>
                <w:rFonts w:ascii="Cambria Math" w:eastAsiaTheme="minorEastAsia" w:hAnsi="Cambria Math" w:cstheme="minorBidi"/>
              </w:rPr>
              <m:t>i</m:t>
            </m:r>
            <m:r>
              <w:rPr>
                <w:rFonts w:ascii="Cambria Math" w:eastAsiaTheme="minorEastAsia" w:hAnsi="Cambria Math" w:cstheme="minorBidi"/>
              </w:rPr>
              <m:t>,</m:t>
            </m:r>
            <m:r>
              <w:rPr>
                <w:rFonts w:ascii="Cambria Math" w:eastAsiaTheme="minorEastAsia" w:hAnsi="Cambria Math" w:cstheme="minorBidi"/>
              </w:rPr>
              <m:t>t</m:t>
            </m:r>
          </m:sub>
        </m:sSub>
      </m:oMath>
      <w:r w:rsidR="008E6324" w:rsidRPr="00722E0F">
        <w:rPr>
          <w:rFonts w:asciiTheme="minorBidi" w:eastAsiaTheme="minorEastAsia" w:hAnsiTheme="minorBidi" w:cstheme="minorBidi"/>
        </w:rPr>
        <w:t xml:space="preserve"> + </w:t>
      </w:r>
      <m:oMath>
        <m:sSub>
          <m:sSubPr>
            <m:ctrlPr>
              <w:rPr>
                <w:rFonts w:ascii="Cambria Math" w:eastAsiaTheme="minorEastAsia" w:hAnsi="Cambria Math" w:cstheme="minorBidi"/>
                <w:i/>
              </w:rPr>
            </m:ctrlPr>
          </m:sSubPr>
          <m:e>
            <m:r>
              <w:rPr>
                <w:rFonts w:ascii="Cambria Math" w:eastAsiaTheme="minorEastAsia" w:hAnsi="Cambria Math" w:cstheme="minorBidi"/>
              </w:rPr>
              <m:t>β</m:t>
            </m:r>
          </m:e>
          <m:sub>
            <m:r>
              <w:rPr>
                <w:rFonts w:ascii="Cambria Math" w:eastAsiaTheme="minorEastAsia" w:hAnsi="Cambria Math" w:cstheme="minorBidi"/>
              </w:rPr>
              <m:t>5</m:t>
            </m:r>
          </m:sub>
        </m:sSub>
        <m:sSub>
          <m:sSubPr>
            <m:ctrlPr>
              <w:rPr>
                <w:rFonts w:ascii="Cambria Math" w:eastAsiaTheme="minorEastAsia" w:hAnsi="Cambria Math" w:cstheme="minorBidi"/>
                <w:i/>
              </w:rPr>
            </m:ctrlPr>
          </m:sSubPr>
          <m:e>
            <m:r>
              <w:rPr>
                <w:rFonts w:ascii="Cambria Math" w:hAnsi="Cambria Math" w:cstheme="minorBidi"/>
              </w:rPr>
              <m:t>CI</m:t>
            </m:r>
          </m:e>
          <m:sub>
            <m:r>
              <w:rPr>
                <w:rFonts w:ascii="Cambria Math" w:eastAsiaTheme="minorEastAsia" w:hAnsi="Cambria Math" w:cstheme="minorBidi"/>
              </w:rPr>
              <m:t>i</m:t>
            </m:r>
            <m:r>
              <w:rPr>
                <w:rFonts w:ascii="Cambria Math" w:eastAsiaTheme="minorEastAsia" w:hAnsi="Cambria Math" w:cstheme="minorBidi"/>
              </w:rPr>
              <m:t>,</m:t>
            </m:r>
            <m:r>
              <w:rPr>
                <w:rFonts w:ascii="Cambria Math" w:eastAsiaTheme="minorEastAsia" w:hAnsi="Cambria Math" w:cstheme="minorBidi"/>
              </w:rPr>
              <m:t>t</m:t>
            </m:r>
          </m:sub>
        </m:sSub>
      </m:oMath>
      <w:r w:rsidR="008E6324" w:rsidRPr="00722E0F">
        <w:rPr>
          <w:rFonts w:asciiTheme="minorBidi" w:eastAsiaTheme="minorEastAsia" w:hAnsiTheme="minorBidi" w:cstheme="minorBidi"/>
        </w:rPr>
        <w:t xml:space="preserve"> + </w:t>
      </w:r>
      <m:oMath>
        <m:sSub>
          <m:sSubPr>
            <m:ctrlPr>
              <w:rPr>
                <w:rFonts w:ascii="Cambria Math" w:eastAsiaTheme="minorEastAsia" w:hAnsi="Cambria Math" w:cstheme="minorBidi"/>
                <w:i/>
              </w:rPr>
            </m:ctrlPr>
          </m:sSubPr>
          <m:e>
            <m:r>
              <w:rPr>
                <w:rFonts w:ascii="Cambria Math" w:eastAsiaTheme="minorEastAsia" w:hAnsi="Cambria Math" w:cstheme="minorBidi"/>
              </w:rPr>
              <m:t>β</m:t>
            </m:r>
          </m:e>
          <m:sub>
            <m:r>
              <w:rPr>
                <w:rFonts w:ascii="Cambria Math" w:eastAsiaTheme="minorEastAsia" w:hAnsi="Cambria Math" w:cstheme="minorBidi"/>
              </w:rPr>
              <m:t>6</m:t>
            </m:r>
          </m:sub>
        </m:sSub>
        <m:sSub>
          <m:sSubPr>
            <m:ctrlPr>
              <w:rPr>
                <w:rFonts w:ascii="Cambria Math" w:eastAsiaTheme="minorEastAsia" w:hAnsi="Cambria Math" w:cstheme="minorBidi"/>
                <w:i/>
                <w:lang w:val="pl-PL"/>
              </w:rPr>
            </m:ctrlPr>
          </m:sSubPr>
          <m:e>
            <m:r>
              <w:rPr>
                <w:rFonts w:ascii="Cambria Math" w:eastAsiaTheme="minorEastAsia" w:hAnsi="Cambria Math" w:cstheme="minorBidi"/>
                <w:lang w:val="pl-PL"/>
              </w:rPr>
              <m:t>CTA</m:t>
            </m:r>
          </m:e>
          <m:sub>
            <m:r>
              <w:rPr>
                <w:rFonts w:ascii="Cambria Math" w:eastAsiaTheme="minorEastAsia" w:hAnsi="Cambria Math" w:cstheme="minorBidi"/>
                <w:lang w:val="pl-PL"/>
              </w:rPr>
              <m:t>i</m:t>
            </m:r>
            <m:r>
              <w:rPr>
                <w:rFonts w:ascii="Cambria Math" w:eastAsiaTheme="minorEastAsia" w:hAnsi="Cambria Math" w:cstheme="minorBidi"/>
              </w:rPr>
              <m:t>,</m:t>
            </m:r>
            <m:r>
              <w:rPr>
                <w:rFonts w:ascii="Cambria Math" w:eastAsiaTheme="minorEastAsia" w:hAnsi="Cambria Math" w:cstheme="minorBidi"/>
                <w:lang w:val="pl-PL"/>
              </w:rPr>
              <m:t>t</m:t>
            </m:r>
          </m:sub>
        </m:sSub>
      </m:oMath>
      <w:r w:rsidR="008E6324" w:rsidRPr="00722E0F">
        <w:rPr>
          <w:rFonts w:asciiTheme="minorBidi" w:eastAsiaTheme="minorEastAsia" w:hAnsiTheme="minorBidi" w:cstheme="minorBidi"/>
        </w:rPr>
        <w:t xml:space="preserve"> +  </w:t>
      </w:r>
      <m:oMath>
        <m:sSub>
          <m:sSubPr>
            <m:ctrlPr>
              <w:rPr>
                <w:rFonts w:ascii="Cambria Math" w:eastAsiaTheme="minorEastAsia" w:hAnsi="Cambria Math" w:cstheme="minorBidi"/>
                <w:i/>
              </w:rPr>
            </m:ctrlPr>
          </m:sSubPr>
          <m:e>
            <m:r>
              <m:rPr>
                <m:sty m:val="p"/>
              </m:rPr>
              <w:rPr>
                <w:rFonts w:ascii="Cambria Math" w:hAnsi="Cambria Math" w:cstheme="minorBidi"/>
              </w:rPr>
              <m:t>ε</m:t>
            </m:r>
          </m:e>
          <m:sub>
            <m:r>
              <w:rPr>
                <w:rFonts w:ascii="Cambria Math" w:eastAsiaTheme="minorEastAsia" w:hAnsi="Cambria Math" w:cstheme="minorBidi"/>
              </w:rPr>
              <m:t>it</m:t>
            </m:r>
          </m:sub>
        </m:sSub>
      </m:oMath>
      <w:r w:rsidR="008E6324" w:rsidRPr="00722E0F">
        <w:rPr>
          <w:rFonts w:asciiTheme="minorBidi" w:eastAsiaTheme="minorEastAsia" w:hAnsiTheme="minorBidi" w:cstheme="minorBidi"/>
        </w:rPr>
        <w:t xml:space="preserve">            (3)</w:t>
      </w:r>
    </w:p>
    <w:p w14:paraId="1EA19D53" w14:textId="77777777" w:rsidR="008E6324" w:rsidRDefault="008E6324" w:rsidP="008E6324">
      <w:pPr>
        <w:jc w:val="both"/>
        <w:rPr>
          <w:rFonts w:asciiTheme="minorBidi" w:hAnsiTheme="minorBidi" w:cstheme="minorBidi"/>
        </w:rPr>
      </w:pPr>
    </w:p>
    <w:p w14:paraId="1DCFA3E3" w14:textId="14929D84" w:rsidR="008E6324" w:rsidRPr="008E6324" w:rsidRDefault="00BA5840" w:rsidP="008E6324">
      <w:pPr>
        <w:jc w:val="both"/>
        <w:rPr>
          <w:rFonts w:asciiTheme="minorBidi" w:hAnsiTheme="minorBidi" w:cstheme="minorBidi"/>
        </w:rPr>
      </w:pPr>
      <w:r w:rsidRPr="008E6324">
        <w:rPr>
          <w:rFonts w:asciiTheme="minorBidi" w:hAnsiTheme="minorBidi" w:cstheme="minorBidi"/>
        </w:rPr>
        <w:t>w</w:t>
      </w:r>
      <w:r>
        <w:rPr>
          <w:rFonts w:asciiTheme="minorBidi" w:hAnsiTheme="minorBidi" w:cstheme="minorBidi"/>
        </w:rPr>
        <w:t>h</w:t>
      </w:r>
      <w:r w:rsidRPr="008E6324">
        <w:rPr>
          <w:rFonts w:asciiTheme="minorBidi" w:hAnsiTheme="minorBidi" w:cstheme="minorBidi"/>
        </w:rPr>
        <w:t>ere</w:t>
      </w:r>
      <w:r w:rsidR="008E6324" w:rsidRPr="008E6324">
        <w:rPr>
          <w:rFonts w:asciiTheme="minorBidi" w:hAnsiTheme="minorBidi" w:cstheme="minorBidi"/>
        </w:rPr>
        <w:t>,</w:t>
      </w:r>
    </w:p>
    <w:p w14:paraId="41CF0053" w14:textId="77777777" w:rsidR="008E6324" w:rsidRPr="008E6324" w:rsidRDefault="008E6324" w:rsidP="008E6324">
      <w:pPr>
        <w:pStyle w:val="ListParagraph"/>
        <w:numPr>
          <w:ilvl w:val="0"/>
          <w:numId w:val="32"/>
        </w:numPr>
        <w:spacing w:after="240"/>
        <w:rPr>
          <w:rFonts w:asciiTheme="minorBidi" w:hAnsiTheme="minorBidi" w:cstheme="minorBidi"/>
          <w:sz w:val="20"/>
          <w:szCs w:val="20"/>
        </w:rPr>
      </w:pPr>
      <w:r w:rsidRPr="008E6324">
        <w:rPr>
          <w:rFonts w:asciiTheme="minorBidi" w:hAnsiTheme="minorBidi" w:cstheme="minorBidi"/>
          <w:i/>
          <w:iCs/>
          <w:sz w:val="20"/>
          <w:szCs w:val="20"/>
        </w:rPr>
        <w:t>Y</w:t>
      </w:r>
      <w:r w:rsidRPr="008E6324">
        <w:rPr>
          <w:rFonts w:asciiTheme="minorBidi" w:hAnsiTheme="minorBidi" w:cstheme="minorBidi"/>
          <w:sz w:val="20"/>
          <w:szCs w:val="20"/>
        </w:rPr>
        <w:t>: The dependent variable (ROE, ROA, or NIM, depending on the model).</w:t>
      </w:r>
    </w:p>
    <w:p w14:paraId="3D4C4738" w14:textId="6F4928E1" w:rsidR="008E6324" w:rsidRPr="008E6324" w:rsidRDefault="008E6324" w:rsidP="008E6324">
      <w:pPr>
        <w:pStyle w:val="ListParagraph"/>
        <w:numPr>
          <w:ilvl w:val="0"/>
          <w:numId w:val="32"/>
        </w:numPr>
        <w:spacing w:after="240"/>
        <w:rPr>
          <w:rFonts w:asciiTheme="minorBidi" w:hAnsiTheme="minorBidi" w:cstheme="minorBidi"/>
          <w:sz w:val="20"/>
          <w:szCs w:val="20"/>
        </w:rPr>
      </w:pPr>
      <w:r w:rsidRPr="008E6324">
        <w:rPr>
          <w:rFonts w:asciiTheme="minorBidi" w:hAnsiTheme="minorBidi" w:cstheme="minorBidi"/>
          <w:i/>
          <w:iCs/>
          <w:sz w:val="20"/>
          <w:szCs w:val="20"/>
        </w:rPr>
        <w:t>β</w:t>
      </w:r>
      <w:r w:rsidRPr="008E6324">
        <w:rPr>
          <w:rFonts w:ascii="Cambria Math" w:hAnsi="Cambria Math" w:cs="Cambria Math"/>
          <w:i/>
          <w:iCs/>
          <w:sz w:val="20"/>
          <w:szCs w:val="20"/>
        </w:rPr>
        <w:t>₀</w:t>
      </w:r>
      <w:r w:rsidRPr="008E6324">
        <w:rPr>
          <w:rFonts w:asciiTheme="minorBidi" w:hAnsiTheme="minorBidi" w:cstheme="minorBidi"/>
          <w:sz w:val="20"/>
          <w:szCs w:val="20"/>
        </w:rPr>
        <w:t>: The intercept represent</w:t>
      </w:r>
      <w:r w:rsidR="00E81C0B">
        <w:rPr>
          <w:rFonts w:asciiTheme="minorBidi" w:hAnsiTheme="minorBidi" w:cstheme="minorBidi"/>
          <w:sz w:val="20"/>
          <w:szCs w:val="20"/>
        </w:rPr>
        <w:t>s</w:t>
      </w:r>
      <w:r w:rsidRPr="008E6324">
        <w:rPr>
          <w:rFonts w:asciiTheme="minorBidi" w:hAnsiTheme="minorBidi" w:cstheme="minorBidi"/>
          <w:sz w:val="20"/>
          <w:szCs w:val="20"/>
        </w:rPr>
        <w:t xml:space="preserve"> the value of the dependent variable when all independent variables are zero.</w:t>
      </w:r>
    </w:p>
    <w:p w14:paraId="32550BBB" w14:textId="5B3A2D4B" w:rsidR="008E6324" w:rsidRPr="00BE2B97" w:rsidRDefault="003A47BA" w:rsidP="008E6324">
      <w:pPr>
        <w:pStyle w:val="ListParagraph"/>
        <w:numPr>
          <w:ilvl w:val="0"/>
          <w:numId w:val="32"/>
        </w:numPr>
        <w:rPr>
          <w:rFonts w:asciiTheme="minorBidi" w:hAnsiTheme="minorBidi" w:cstheme="minorBidi"/>
          <w:sz w:val="20"/>
          <w:szCs w:val="20"/>
        </w:rPr>
      </w:pPr>
      <w:r w:rsidRPr="00BE2B97">
        <w:rPr>
          <w:rFonts w:asciiTheme="minorBidi" w:hAnsiTheme="minorBidi" w:cstheme="minorBidi"/>
          <w:i/>
          <w:iCs/>
          <w:sz w:val="20"/>
          <w:szCs w:val="20"/>
        </w:rPr>
        <w:t>Merger</w:t>
      </w:r>
      <w:r w:rsidRPr="00BE2B97">
        <w:rPr>
          <w:rFonts w:asciiTheme="minorBidi" w:hAnsiTheme="minorBidi" w:cstheme="minorBidi"/>
          <w:sz w:val="20"/>
          <w:szCs w:val="20"/>
        </w:rPr>
        <w:t>: A dummy variable (0 = pre-merger, 1 = post-merger) that captures the merger’s effect on profitability.</w:t>
      </w:r>
    </w:p>
    <w:p w14:paraId="03AFDD5A" w14:textId="77777777" w:rsidR="008E6324" w:rsidRPr="00BE2B97" w:rsidRDefault="008E6324" w:rsidP="008E6324">
      <w:pPr>
        <w:pStyle w:val="ListParagraph"/>
        <w:numPr>
          <w:ilvl w:val="0"/>
          <w:numId w:val="32"/>
        </w:numPr>
        <w:rPr>
          <w:rFonts w:asciiTheme="minorBidi" w:hAnsiTheme="minorBidi" w:cstheme="minorBidi"/>
          <w:sz w:val="20"/>
          <w:szCs w:val="20"/>
        </w:rPr>
      </w:pPr>
      <w:r w:rsidRPr="00BE2B97">
        <w:rPr>
          <w:rFonts w:asciiTheme="minorBidi" w:hAnsiTheme="minorBidi" w:cstheme="minorBidi"/>
          <w:i/>
          <w:iCs/>
          <w:sz w:val="20"/>
          <w:szCs w:val="20"/>
        </w:rPr>
        <w:t>CAR</w:t>
      </w:r>
      <w:r w:rsidRPr="00BE2B97">
        <w:rPr>
          <w:rFonts w:asciiTheme="minorBidi" w:hAnsiTheme="minorBidi" w:cstheme="minorBidi"/>
          <w:sz w:val="20"/>
          <w:szCs w:val="20"/>
        </w:rPr>
        <w:t>: Measures a bank's capital strength, reflecting its ability to absorb losses.</w:t>
      </w:r>
    </w:p>
    <w:p w14:paraId="0CCB8610" w14:textId="3F54AD25" w:rsidR="008E6324" w:rsidRPr="00BE2B97" w:rsidRDefault="003A47BA" w:rsidP="008E6324">
      <w:pPr>
        <w:pStyle w:val="ListParagraph"/>
        <w:numPr>
          <w:ilvl w:val="0"/>
          <w:numId w:val="32"/>
        </w:numPr>
        <w:rPr>
          <w:rFonts w:asciiTheme="minorBidi" w:hAnsiTheme="minorBidi" w:cstheme="minorBidi"/>
          <w:sz w:val="20"/>
          <w:szCs w:val="20"/>
        </w:rPr>
      </w:pPr>
      <w:r w:rsidRPr="00BE2B97">
        <w:rPr>
          <w:rFonts w:asciiTheme="minorBidi" w:hAnsiTheme="minorBidi" w:cstheme="minorBidi"/>
          <w:i/>
          <w:iCs/>
          <w:sz w:val="20"/>
          <w:szCs w:val="20"/>
        </w:rPr>
        <w:t>DE</w:t>
      </w:r>
      <w:r w:rsidRPr="00BE2B97">
        <w:rPr>
          <w:rFonts w:asciiTheme="minorBidi" w:hAnsiTheme="minorBidi" w:cstheme="minorBidi"/>
          <w:sz w:val="20"/>
          <w:szCs w:val="20"/>
        </w:rPr>
        <w:t>: The debt-to-equity ratio typically indicates financial leverage and risk.</w:t>
      </w:r>
    </w:p>
    <w:p w14:paraId="76E2C869" w14:textId="77777777" w:rsidR="008E6324" w:rsidRPr="00BE2B97" w:rsidRDefault="008E6324" w:rsidP="008E6324">
      <w:pPr>
        <w:pStyle w:val="ListParagraph"/>
        <w:numPr>
          <w:ilvl w:val="0"/>
          <w:numId w:val="32"/>
        </w:numPr>
        <w:rPr>
          <w:rFonts w:asciiTheme="minorBidi" w:hAnsiTheme="minorBidi" w:cstheme="minorBidi"/>
          <w:sz w:val="20"/>
          <w:szCs w:val="20"/>
        </w:rPr>
      </w:pPr>
      <w:r w:rsidRPr="00BE2B97">
        <w:rPr>
          <w:rFonts w:asciiTheme="minorBidi" w:hAnsiTheme="minorBidi" w:cstheme="minorBidi"/>
          <w:i/>
          <w:iCs/>
          <w:sz w:val="20"/>
          <w:szCs w:val="20"/>
        </w:rPr>
        <w:t>CI</w:t>
      </w:r>
      <w:r w:rsidRPr="00BE2B97">
        <w:rPr>
          <w:rFonts w:asciiTheme="minorBidi" w:hAnsiTheme="minorBidi" w:cstheme="minorBidi"/>
          <w:sz w:val="20"/>
          <w:szCs w:val="20"/>
        </w:rPr>
        <w:t>: A ratio reflecting operational efficiency (lower values indicate better efficiency).</w:t>
      </w:r>
    </w:p>
    <w:p w14:paraId="752F519D" w14:textId="77777777" w:rsidR="008E6324" w:rsidRPr="00BE2B97" w:rsidRDefault="008E6324" w:rsidP="008E6324">
      <w:pPr>
        <w:pStyle w:val="ListParagraph"/>
        <w:numPr>
          <w:ilvl w:val="0"/>
          <w:numId w:val="32"/>
        </w:numPr>
        <w:rPr>
          <w:rFonts w:asciiTheme="minorBidi" w:hAnsiTheme="minorBidi" w:cstheme="minorBidi"/>
          <w:sz w:val="20"/>
          <w:szCs w:val="20"/>
        </w:rPr>
      </w:pPr>
      <w:r w:rsidRPr="00BE2B97">
        <w:rPr>
          <w:rFonts w:asciiTheme="minorBidi" w:hAnsiTheme="minorBidi" w:cstheme="minorBidi"/>
          <w:i/>
          <w:iCs/>
          <w:sz w:val="20"/>
          <w:szCs w:val="20"/>
        </w:rPr>
        <w:t>GNPA</w:t>
      </w:r>
      <w:r w:rsidRPr="00BE2B97">
        <w:rPr>
          <w:rFonts w:asciiTheme="minorBidi" w:hAnsiTheme="minorBidi" w:cstheme="minorBidi"/>
          <w:sz w:val="20"/>
          <w:szCs w:val="20"/>
        </w:rPr>
        <w:t>: A measure of asset quality, with higher values indicating poorer loan quality.</w:t>
      </w:r>
    </w:p>
    <w:p w14:paraId="335ADC69" w14:textId="03F06FF3" w:rsidR="008E6324" w:rsidRPr="00BE2B97" w:rsidRDefault="003A47BA" w:rsidP="008E6324">
      <w:pPr>
        <w:pStyle w:val="ListParagraph"/>
        <w:numPr>
          <w:ilvl w:val="0"/>
          <w:numId w:val="32"/>
        </w:numPr>
        <w:rPr>
          <w:rFonts w:asciiTheme="minorBidi" w:hAnsiTheme="minorBidi" w:cstheme="minorBidi"/>
          <w:sz w:val="20"/>
          <w:szCs w:val="20"/>
        </w:rPr>
      </w:pPr>
      <w:r w:rsidRPr="00BE2B97">
        <w:rPr>
          <w:rFonts w:asciiTheme="minorBidi" w:hAnsiTheme="minorBidi" w:cstheme="minorBidi"/>
          <w:i/>
          <w:iCs/>
          <w:sz w:val="20"/>
          <w:szCs w:val="20"/>
        </w:rPr>
        <w:t>CTA</w:t>
      </w:r>
      <w:r w:rsidRPr="00BE2B97">
        <w:rPr>
          <w:rFonts w:asciiTheme="minorBidi" w:hAnsiTheme="minorBidi" w:cstheme="minorBidi"/>
          <w:sz w:val="20"/>
          <w:szCs w:val="20"/>
        </w:rPr>
        <w:t>: A liquidity measure that shows the proportion of cash relative to total assets.</w:t>
      </w:r>
    </w:p>
    <w:p w14:paraId="3FC68308" w14:textId="77777777" w:rsidR="008E6324" w:rsidRPr="00BE2B97" w:rsidRDefault="008E6324" w:rsidP="008E6324">
      <w:pPr>
        <w:pStyle w:val="ListParagraph"/>
        <w:numPr>
          <w:ilvl w:val="0"/>
          <w:numId w:val="32"/>
        </w:numPr>
        <w:rPr>
          <w:rFonts w:asciiTheme="minorBidi" w:hAnsiTheme="minorBidi" w:cstheme="minorBidi"/>
          <w:sz w:val="20"/>
          <w:szCs w:val="20"/>
        </w:rPr>
      </w:pPr>
      <w:r w:rsidRPr="00BE2B97">
        <w:rPr>
          <w:rFonts w:asciiTheme="minorBidi" w:hAnsiTheme="minorBidi" w:cstheme="minorBidi"/>
          <w:i/>
          <w:iCs/>
          <w:sz w:val="20"/>
          <w:szCs w:val="20"/>
        </w:rPr>
        <w:t>β</w:t>
      </w:r>
      <w:r w:rsidRPr="00BE2B97">
        <w:rPr>
          <w:rFonts w:ascii="Cambria Math" w:hAnsi="Cambria Math" w:cs="Cambria Math"/>
          <w:i/>
          <w:iCs/>
          <w:sz w:val="20"/>
          <w:szCs w:val="20"/>
        </w:rPr>
        <w:t>₁</w:t>
      </w:r>
      <w:r w:rsidRPr="00BE2B97">
        <w:rPr>
          <w:rFonts w:asciiTheme="minorBidi" w:hAnsiTheme="minorBidi" w:cstheme="minorBidi"/>
          <w:sz w:val="20"/>
          <w:szCs w:val="20"/>
        </w:rPr>
        <w:t xml:space="preserve"> to </w:t>
      </w:r>
      <w:r w:rsidRPr="00BE2B97">
        <w:rPr>
          <w:rFonts w:asciiTheme="minorBidi" w:hAnsiTheme="minorBidi" w:cstheme="minorBidi"/>
          <w:i/>
          <w:iCs/>
          <w:sz w:val="20"/>
          <w:szCs w:val="20"/>
        </w:rPr>
        <w:t>β</w:t>
      </w:r>
      <w:r w:rsidRPr="00BE2B97">
        <w:rPr>
          <w:rFonts w:ascii="Cambria Math" w:hAnsi="Cambria Math" w:cs="Cambria Math"/>
          <w:i/>
          <w:iCs/>
          <w:sz w:val="20"/>
          <w:szCs w:val="20"/>
        </w:rPr>
        <w:t>₆</w:t>
      </w:r>
      <w:r w:rsidRPr="00BE2B97">
        <w:rPr>
          <w:rFonts w:asciiTheme="minorBidi" w:hAnsiTheme="minorBidi" w:cstheme="minorBidi"/>
          <w:sz w:val="20"/>
          <w:szCs w:val="20"/>
        </w:rPr>
        <w:t>: Coefficients estimating the impact of each independent variable on the dependent variable.</w:t>
      </w:r>
    </w:p>
    <w:p w14:paraId="3D9DB069" w14:textId="27AC244C" w:rsidR="008E6324" w:rsidRPr="00BE2B97" w:rsidRDefault="00E81C0B" w:rsidP="00077C6E">
      <w:pPr>
        <w:pStyle w:val="ListParagraph"/>
        <w:numPr>
          <w:ilvl w:val="0"/>
          <w:numId w:val="32"/>
        </w:numPr>
        <w:rPr>
          <w:rFonts w:asciiTheme="minorBidi" w:hAnsiTheme="minorBidi" w:cstheme="minorBidi"/>
          <w:sz w:val="20"/>
          <w:szCs w:val="20"/>
        </w:rPr>
      </w:pPr>
      <w:r>
        <w:rPr>
          <w:rFonts w:asciiTheme="minorBidi" w:hAnsiTheme="minorBidi" w:cstheme="minorBidi"/>
          <w:i/>
          <w:iCs/>
          <w:sz w:val="20"/>
          <w:szCs w:val="20"/>
        </w:rPr>
        <w:t>ε</w:t>
      </w:r>
      <w:r w:rsidR="00722E0F">
        <w:rPr>
          <w:rFonts w:asciiTheme="minorBidi" w:hAnsiTheme="minorBidi" w:cstheme="minorBidi"/>
          <w:i/>
          <w:iCs/>
          <w:sz w:val="20"/>
          <w:szCs w:val="20"/>
        </w:rPr>
        <w:t xml:space="preserve">: </w:t>
      </w:r>
      <w:r w:rsidRPr="00E81C0B">
        <w:rPr>
          <w:rFonts w:asciiTheme="minorBidi" w:hAnsiTheme="minorBidi" w:cstheme="minorBidi"/>
          <w:sz w:val="20"/>
          <w:szCs w:val="20"/>
        </w:rPr>
        <w:t>represents the error term that accounts for the variation in the model that remains unexplained.</w:t>
      </w:r>
    </w:p>
    <w:p w14:paraId="713F092D" w14:textId="77777777" w:rsidR="00077C6E" w:rsidRPr="008E6324" w:rsidRDefault="00077C6E" w:rsidP="00077C6E">
      <w:pPr>
        <w:pStyle w:val="ListParagraph"/>
        <w:rPr>
          <w:rFonts w:asciiTheme="minorBidi" w:hAnsiTheme="minorBidi" w:cstheme="minorBidi"/>
          <w:sz w:val="20"/>
          <w:szCs w:val="20"/>
        </w:rPr>
      </w:pPr>
    </w:p>
    <w:p w14:paraId="54A20141" w14:textId="71EF88C4" w:rsidR="00790ADA" w:rsidRDefault="003A47BA" w:rsidP="00077C6E">
      <w:pPr>
        <w:jc w:val="both"/>
        <w:rPr>
          <w:rFonts w:asciiTheme="minorBidi" w:hAnsiTheme="minorBidi" w:cstheme="minorBidi"/>
        </w:rPr>
      </w:pPr>
      <w:r w:rsidRPr="008E6324">
        <w:rPr>
          <w:rFonts w:asciiTheme="minorBidi" w:hAnsiTheme="minorBidi" w:cstheme="minorBidi"/>
        </w:rPr>
        <w:t>Each model uses the same independent variables but differs in the dependent variable to assess profitability from various perspectives.</w:t>
      </w:r>
    </w:p>
    <w:p w14:paraId="7EE1AB55" w14:textId="77777777" w:rsidR="00077C6E" w:rsidRPr="003C0E0B" w:rsidRDefault="00077C6E" w:rsidP="00077C6E">
      <w:pPr>
        <w:jc w:val="both"/>
        <w:rPr>
          <w:rFonts w:asciiTheme="minorBidi" w:hAnsiTheme="minorBidi" w:cstheme="minorBidi"/>
        </w:rPr>
      </w:pPr>
    </w:p>
    <w:p w14:paraId="66170E9A" w14:textId="57BA5C3A" w:rsidR="00902823" w:rsidRDefault="00000F8F" w:rsidP="003C0E0B">
      <w:pPr>
        <w:pStyle w:val="Head1"/>
        <w:spacing w:after="0"/>
        <w:jc w:val="both"/>
        <w:rPr>
          <w:rFonts w:ascii="Arial" w:hAnsi="Arial" w:cs="Arial"/>
          <w:bCs/>
          <w:lang w:val="en-IN"/>
        </w:rPr>
      </w:pPr>
      <w:r>
        <w:rPr>
          <w:rFonts w:ascii="Arial" w:hAnsi="Arial" w:cs="Arial"/>
        </w:rPr>
        <w:t>3</w:t>
      </w:r>
      <w:r w:rsidR="00902823">
        <w:rPr>
          <w:rFonts w:ascii="Arial" w:hAnsi="Arial" w:cs="Arial"/>
        </w:rPr>
        <w:t xml:space="preserve">. </w:t>
      </w:r>
      <w:r w:rsidR="003C0E0B" w:rsidRPr="003C0E0B">
        <w:rPr>
          <w:rFonts w:ascii="Arial" w:hAnsi="Arial" w:cs="Arial"/>
          <w:bCs/>
          <w:lang w:val="en-IN"/>
        </w:rPr>
        <w:t>ANALYSIS AND INTERPRETATION</w:t>
      </w:r>
    </w:p>
    <w:p w14:paraId="4A4B0FC2" w14:textId="654A936B" w:rsidR="003C0E0B" w:rsidRDefault="003C0E0B" w:rsidP="003C0E0B">
      <w:pPr>
        <w:pStyle w:val="Head1"/>
        <w:spacing w:after="0"/>
        <w:jc w:val="both"/>
        <w:rPr>
          <w:rFonts w:ascii="Arial" w:hAnsi="Arial" w:cs="Arial"/>
          <w:b w:val="0"/>
          <w:sz w:val="20"/>
          <w:szCs w:val="18"/>
          <w:lang w:val="en-IN"/>
        </w:rPr>
      </w:pPr>
    </w:p>
    <w:p w14:paraId="77A4FA15" w14:textId="6D878949" w:rsidR="00C73D82" w:rsidRDefault="00C73D82" w:rsidP="003C0E0B">
      <w:pPr>
        <w:pStyle w:val="Head1"/>
        <w:spacing w:after="0"/>
        <w:jc w:val="both"/>
        <w:rPr>
          <w:rFonts w:ascii="Arial" w:hAnsi="Arial" w:cs="Arial"/>
          <w:b w:val="0"/>
          <w:caps w:val="0"/>
          <w:sz w:val="20"/>
          <w:szCs w:val="18"/>
          <w:lang w:val="en-IN"/>
        </w:rPr>
      </w:pPr>
      <w:r>
        <w:rPr>
          <w:rFonts w:ascii="Arial" w:hAnsi="Arial" w:cs="Arial"/>
          <w:b w:val="0"/>
          <w:caps w:val="0"/>
          <w:sz w:val="20"/>
          <w:szCs w:val="18"/>
          <w:lang w:val="en-IN"/>
        </w:rPr>
        <w:t>The anal</w:t>
      </w:r>
      <w:r w:rsidR="00B769FB">
        <w:rPr>
          <w:rFonts w:ascii="Arial" w:hAnsi="Arial" w:cs="Arial"/>
          <w:b w:val="0"/>
          <w:caps w:val="0"/>
          <w:sz w:val="20"/>
          <w:szCs w:val="18"/>
          <w:lang w:val="en-IN"/>
        </w:rPr>
        <w:t xml:space="preserve">ysis covers descriptive statistics, correlation matrix and panel regression using fixed and random effects. </w:t>
      </w:r>
    </w:p>
    <w:p w14:paraId="2431FF59" w14:textId="77777777" w:rsidR="00B769FB" w:rsidRPr="00C73D82" w:rsidRDefault="00B769FB" w:rsidP="003C0E0B">
      <w:pPr>
        <w:pStyle w:val="Head1"/>
        <w:spacing w:after="0"/>
        <w:jc w:val="both"/>
        <w:rPr>
          <w:rFonts w:ascii="Arial" w:hAnsi="Arial" w:cs="Arial"/>
          <w:b w:val="0"/>
          <w:sz w:val="20"/>
          <w:szCs w:val="18"/>
          <w:lang w:val="en-IN"/>
        </w:rPr>
      </w:pPr>
    </w:p>
    <w:p w14:paraId="343E00CC" w14:textId="77777777" w:rsidR="003C0E0B" w:rsidRPr="00077C6E" w:rsidRDefault="003C0E0B" w:rsidP="00077C6E">
      <w:pPr>
        <w:rPr>
          <w:rFonts w:ascii="Arial" w:hAnsi="Arial" w:cs="Arial"/>
          <w:b/>
          <w:bCs/>
          <w:sz w:val="22"/>
          <w:szCs w:val="22"/>
        </w:rPr>
      </w:pPr>
      <w:r w:rsidRPr="00077C6E">
        <w:rPr>
          <w:rFonts w:ascii="Arial" w:hAnsi="Arial" w:cs="Arial"/>
          <w:b/>
          <w:bCs/>
          <w:sz w:val="22"/>
          <w:szCs w:val="22"/>
        </w:rPr>
        <w:t>4.1. Descriptive statistics</w:t>
      </w:r>
    </w:p>
    <w:p w14:paraId="6CF1C2E6" w14:textId="77777777" w:rsidR="00077C6E" w:rsidRPr="003C0E0B" w:rsidRDefault="00077C6E" w:rsidP="00077C6E">
      <w:pPr>
        <w:rPr>
          <w:rFonts w:ascii="Arial" w:hAnsi="Arial" w:cs="Arial"/>
          <w:b/>
          <w:bCs/>
        </w:rPr>
      </w:pPr>
    </w:p>
    <w:p w14:paraId="6CDE7BCA" w14:textId="775C958D" w:rsidR="00B95236" w:rsidRPr="009C586E" w:rsidRDefault="003A47BA" w:rsidP="00F4676D">
      <w:pPr>
        <w:pStyle w:val="Body"/>
        <w:spacing w:after="0"/>
        <w:rPr>
          <w:rFonts w:ascii="Arial" w:hAnsi="Arial" w:cs="Arial"/>
          <w:b/>
          <w:bCs/>
          <w:lang w:val="en-IN"/>
        </w:rPr>
      </w:pPr>
      <w:r>
        <w:rPr>
          <w:rFonts w:ascii="Arial" w:hAnsi="Arial" w:cs="Arial"/>
          <w:lang w:val="en-IN"/>
        </w:rPr>
        <w:t>Table 2</w:t>
      </w:r>
      <w:r w:rsidRPr="009C586E">
        <w:rPr>
          <w:rFonts w:ascii="Arial" w:hAnsi="Arial" w:cs="Arial"/>
          <w:lang w:val="en-IN"/>
        </w:rPr>
        <w:t xml:space="preserve"> provides summary statistics for several financial variables across 165 observations.</w:t>
      </w:r>
    </w:p>
    <w:p w14:paraId="3FB92793" w14:textId="77777777" w:rsidR="00F4676D" w:rsidRDefault="00F4676D" w:rsidP="00F4676D">
      <w:pPr>
        <w:jc w:val="center"/>
        <w:rPr>
          <w:rFonts w:ascii="Arial" w:hAnsi="Arial" w:cs="Arial"/>
          <w:b/>
          <w:bCs/>
          <w:szCs w:val="18"/>
        </w:rPr>
      </w:pPr>
    </w:p>
    <w:p w14:paraId="198B1689" w14:textId="32856FB4" w:rsidR="00077C6E" w:rsidRDefault="00C849F2" w:rsidP="00F4676D">
      <w:pPr>
        <w:jc w:val="center"/>
        <w:rPr>
          <w:rFonts w:ascii="Arial" w:hAnsi="Arial" w:cs="Arial"/>
          <w:b/>
          <w:bCs/>
          <w:szCs w:val="18"/>
        </w:rPr>
      </w:pPr>
      <w:r>
        <w:rPr>
          <w:rFonts w:ascii="Arial" w:hAnsi="Arial" w:cs="Arial"/>
          <w:b/>
          <w:bCs/>
          <w:szCs w:val="18"/>
        </w:rPr>
        <w:t>Table 2</w:t>
      </w:r>
      <w:r w:rsidR="00077C6E" w:rsidRPr="00077C6E">
        <w:rPr>
          <w:rFonts w:ascii="Arial" w:hAnsi="Arial" w:cs="Arial"/>
          <w:b/>
          <w:bCs/>
          <w:szCs w:val="18"/>
        </w:rPr>
        <w:t>: Descriptive statistics</w:t>
      </w:r>
    </w:p>
    <w:p w14:paraId="252FFCEB" w14:textId="77777777" w:rsidR="00B769FB" w:rsidRPr="00077C6E" w:rsidRDefault="00B769FB" w:rsidP="00F4676D">
      <w:pPr>
        <w:jc w:val="center"/>
        <w:rPr>
          <w:rFonts w:ascii="Arial" w:hAnsi="Arial" w:cs="Arial"/>
          <w:b/>
          <w:bCs/>
          <w:szCs w:val="18"/>
        </w:rPr>
      </w:pPr>
    </w:p>
    <w:tbl>
      <w:tblPr>
        <w:tblW w:w="0" w:type="auto"/>
        <w:jc w:val="center"/>
        <w:tblBorders>
          <w:top w:val="single" w:sz="8" w:space="0" w:color="auto"/>
          <w:bottom w:val="single" w:sz="8" w:space="0" w:color="auto"/>
        </w:tblBorders>
        <w:tblLook w:val="04A0" w:firstRow="1" w:lastRow="0" w:firstColumn="1" w:lastColumn="0" w:noHBand="0" w:noVBand="1"/>
      </w:tblPr>
      <w:tblGrid>
        <w:gridCol w:w="995"/>
        <w:gridCol w:w="661"/>
        <w:gridCol w:w="828"/>
        <w:gridCol w:w="1050"/>
        <w:gridCol w:w="895"/>
        <w:gridCol w:w="828"/>
      </w:tblGrid>
      <w:tr w:rsidR="00077C6E" w:rsidRPr="00077C6E" w14:paraId="437C93E1" w14:textId="77777777" w:rsidTr="00077C6E">
        <w:trPr>
          <w:trHeight w:val="290"/>
          <w:jc w:val="center"/>
        </w:trPr>
        <w:tc>
          <w:tcPr>
            <w:tcW w:w="0" w:type="auto"/>
            <w:tcBorders>
              <w:top w:val="single" w:sz="12" w:space="0" w:color="auto"/>
              <w:bottom w:val="single" w:sz="2" w:space="0" w:color="auto"/>
            </w:tcBorders>
            <w:noWrap/>
            <w:vAlign w:val="bottom"/>
            <w:hideMark/>
          </w:tcPr>
          <w:p w14:paraId="07EC3B6C" w14:textId="77777777" w:rsidR="00077C6E" w:rsidRPr="00077C6E" w:rsidRDefault="00077C6E" w:rsidP="0055633C">
            <w:pPr>
              <w:rPr>
                <w:rFonts w:ascii="Arial" w:hAnsi="Arial" w:cs="Arial"/>
                <w:b/>
                <w:bCs/>
                <w:color w:val="000000"/>
                <w:lang w:eastAsia="en-IN"/>
              </w:rPr>
            </w:pPr>
            <w:r w:rsidRPr="00077C6E">
              <w:rPr>
                <w:rFonts w:ascii="Arial" w:hAnsi="Arial" w:cs="Arial"/>
                <w:b/>
                <w:bCs/>
                <w:color w:val="000000"/>
                <w:lang w:eastAsia="en-IN"/>
              </w:rPr>
              <w:t>Variable</w:t>
            </w:r>
          </w:p>
        </w:tc>
        <w:tc>
          <w:tcPr>
            <w:tcW w:w="0" w:type="auto"/>
            <w:tcBorders>
              <w:top w:val="single" w:sz="12" w:space="0" w:color="auto"/>
              <w:bottom w:val="single" w:sz="2" w:space="0" w:color="auto"/>
            </w:tcBorders>
            <w:noWrap/>
            <w:vAlign w:val="bottom"/>
            <w:hideMark/>
          </w:tcPr>
          <w:p w14:paraId="0CB053D0" w14:textId="0D419F02" w:rsidR="00077C6E" w:rsidRPr="00077C6E" w:rsidRDefault="00077C6E" w:rsidP="0055633C">
            <w:pPr>
              <w:jc w:val="center"/>
              <w:rPr>
                <w:rFonts w:ascii="Arial" w:hAnsi="Arial" w:cs="Arial"/>
                <w:b/>
                <w:bCs/>
                <w:color w:val="000000"/>
                <w:lang w:eastAsia="en-IN"/>
              </w:rPr>
            </w:pPr>
            <w:r w:rsidRPr="00077C6E">
              <w:rPr>
                <w:rFonts w:ascii="Arial" w:hAnsi="Arial" w:cs="Arial"/>
                <w:b/>
                <w:bCs/>
                <w:color w:val="000000"/>
                <w:lang w:eastAsia="en-IN"/>
              </w:rPr>
              <w:t>Obs</w:t>
            </w:r>
            <w:r w:rsidR="00656183">
              <w:rPr>
                <w:rFonts w:ascii="Arial" w:hAnsi="Arial" w:cs="Arial"/>
                <w:b/>
                <w:bCs/>
                <w:color w:val="000000"/>
                <w:lang w:eastAsia="en-IN"/>
              </w:rPr>
              <w:t>.</w:t>
            </w:r>
          </w:p>
        </w:tc>
        <w:tc>
          <w:tcPr>
            <w:tcW w:w="0" w:type="auto"/>
            <w:tcBorders>
              <w:top w:val="single" w:sz="12" w:space="0" w:color="auto"/>
              <w:bottom w:val="single" w:sz="2" w:space="0" w:color="auto"/>
            </w:tcBorders>
            <w:noWrap/>
            <w:vAlign w:val="bottom"/>
            <w:hideMark/>
          </w:tcPr>
          <w:p w14:paraId="638C012B" w14:textId="77777777" w:rsidR="00077C6E" w:rsidRPr="00077C6E" w:rsidRDefault="00077C6E" w:rsidP="0055633C">
            <w:pPr>
              <w:jc w:val="center"/>
              <w:rPr>
                <w:rFonts w:ascii="Arial" w:hAnsi="Arial" w:cs="Arial"/>
                <w:b/>
                <w:bCs/>
                <w:color w:val="000000"/>
                <w:lang w:eastAsia="en-IN"/>
              </w:rPr>
            </w:pPr>
            <w:r w:rsidRPr="00077C6E">
              <w:rPr>
                <w:rFonts w:ascii="Arial" w:hAnsi="Arial" w:cs="Arial"/>
                <w:b/>
                <w:bCs/>
                <w:color w:val="000000"/>
                <w:lang w:eastAsia="en-IN"/>
              </w:rPr>
              <w:t>Mean</w:t>
            </w:r>
          </w:p>
        </w:tc>
        <w:tc>
          <w:tcPr>
            <w:tcW w:w="0" w:type="auto"/>
            <w:tcBorders>
              <w:top w:val="single" w:sz="12" w:space="0" w:color="auto"/>
              <w:bottom w:val="single" w:sz="2" w:space="0" w:color="auto"/>
            </w:tcBorders>
            <w:noWrap/>
            <w:vAlign w:val="bottom"/>
            <w:hideMark/>
          </w:tcPr>
          <w:p w14:paraId="0D15A7B7" w14:textId="77777777" w:rsidR="00077C6E" w:rsidRPr="00077C6E" w:rsidRDefault="00077C6E" w:rsidP="0055633C">
            <w:pPr>
              <w:jc w:val="center"/>
              <w:rPr>
                <w:rFonts w:ascii="Arial" w:hAnsi="Arial" w:cs="Arial"/>
                <w:b/>
                <w:bCs/>
                <w:color w:val="000000"/>
                <w:lang w:eastAsia="en-IN"/>
              </w:rPr>
            </w:pPr>
            <w:r w:rsidRPr="00077C6E">
              <w:rPr>
                <w:rFonts w:ascii="Arial" w:hAnsi="Arial" w:cs="Arial"/>
                <w:b/>
                <w:bCs/>
                <w:color w:val="000000"/>
                <w:lang w:eastAsia="en-IN"/>
              </w:rPr>
              <w:t>Std. dev.</w:t>
            </w:r>
          </w:p>
        </w:tc>
        <w:tc>
          <w:tcPr>
            <w:tcW w:w="0" w:type="auto"/>
            <w:tcBorders>
              <w:top w:val="single" w:sz="12" w:space="0" w:color="auto"/>
              <w:bottom w:val="single" w:sz="2" w:space="0" w:color="auto"/>
            </w:tcBorders>
            <w:noWrap/>
            <w:vAlign w:val="bottom"/>
            <w:hideMark/>
          </w:tcPr>
          <w:p w14:paraId="12CFC9D6" w14:textId="77777777" w:rsidR="00077C6E" w:rsidRPr="00077C6E" w:rsidRDefault="00077C6E" w:rsidP="0055633C">
            <w:pPr>
              <w:jc w:val="center"/>
              <w:rPr>
                <w:rFonts w:ascii="Arial" w:hAnsi="Arial" w:cs="Arial"/>
                <w:b/>
                <w:bCs/>
                <w:color w:val="000000"/>
                <w:lang w:eastAsia="en-IN"/>
              </w:rPr>
            </w:pPr>
            <w:r w:rsidRPr="00077C6E">
              <w:rPr>
                <w:rFonts w:ascii="Arial" w:hAnsi="Arial" w:cs="Arial"/>
                <w:b/>
                <w:bCs/>
                <w:color w:val="000000"/>
                <w:lang w:eastAsia="en-IN"/>
              </w:rPr>
              <w:t>Min</w:t>
            </w:r>
          </w:p>
        </w:tc>
        <w:tc>
          <w:tcPr>
            <w:tcW w:w="0" w:type="auto"/>
            <w:tcBorders>
              <w:top w:val="single" w:sz="12" w:space="0" w:color="auto"/>
              <w:bottom w:val="single" w:sz="2" w:space="0" w:color="auto"/>
            </w:tcBorders>
            <w:noWrap/>
            <w:vAlign w:val="bottom"/>
            <w:hideMark/>
          </w:tcPr>
          <w:p w14:paraId="487ECC9E" w14:textId="77777777" w:rsidR="00077C6E" w:rsidRPr="00077C6E" w:rsidRDefault="00077C6E" w:rsidP="0055633C">
            <w:pPr>
              <w:jc w:val="center"/>
              <w:rPr>
                <w:rFonts w:ascii="Arial" w:hAnsi="Arial" w:cs="Arial"/>
                <w:b/>
                <w:bCs/>
                <w:color w:val="000000"/>
                <w:lang w:eastAsia="en-IN"/>
              </w:rPr>
            </w:pPr>
            <w:r w:rsidRPr="00077C6E">
              <w:rPr>
                <w:rFonts w:ascii="Arial" w:hAnsi="Arial" w:cs="Arial"/>
                <w:b/>
                <w:bCs/>
                <w:color w:val="000000"/>
                <w:lang w:eastAsia="en-IN"/>
              </w:rPr>
              <w:t>Max</w:t>
            </w:r>
          </w:p>
        </w:tc>
      </w:tr>
      <w:tr w:rsidR="00F4676D" w:rsidRPr="00077C6E" w14:paraId="4E5FFD58" w14:textId="77777777" w:rsidTr="00585261">
        <w:trPr>
          <w:trHeight w:val="290"/>
          <w:jc w:val="center"/>
        </w:trPr>
        <w:tc>
          <w:tcPr>
            <w:tcW w:w="0" w:type="auto"/>
            <w:tcBorders>
              <w:top w:val="single" w:sz="12" w:space="0" w:color="auto"/>
              <w:bottom w:val="single" w:sz="2" w:space="0" w:color="auto"/>
            </w:tcBorders>
            <w:noWrap/>
          </w:tcPr>
          <w:p w14:paraId="725D91B5" w14:textId="211C7CFF" w:rsidR="00F4676D" w:rsidRPr="00077C6E" w:rsidRDefault="00F4676D" w:rsidP="00F4676D">
            <w:pPr>
              <w:rPr>
                <w:rFonts w:ascii="Arial" w:hAnsi="Arial" w:cs="Arial"/>
                <w:b/>
                <w:bCs/>
                <w:color w:val="000000"/>
                <w:lang w:eastAsia="en-IN"/>
              </w:rPr>
            </w:pPr>
            <w:r w:rsidRPr="002D49DC">
              <w:t>Merger</w:t>
            </w:r>
          </w:p>
        </w:tc>
        <w:tc>
          <w:tcPr>
            <w:tcW w:w="0" w:type="auto"/>
            <w:tcBorders>
              <w:top w:val="single" w:sz="12" w:space="0" w:color="auto"/>
              <w:bottom w:val="single" w:sz="2" w:space="0" w:color="auto"/>
            </w:tcBorders>
            <w:noWrap/>
          </w:tcPr>
          <w:p w14:paraId="0AABB475" w14:textId="5CF41236" w:rsidR="00F4676D" w:rsidRPr="00077C6E" w:rsidRDefault="00F4676D" w:rsidP="00F4676D">
            <w:pPr>
              <w:jc w:val="center"/>
              <w:rPr>
                <w:rFonts w:ascii="Arial" w:hAnsi="Arial" w:cs="Arial"/>
                <w:b/>
                <w:bCs/>
                <w:color w:val="000000"/>
                <w:lang w:eastAsia="en-IN"/>
              </w:rPr>
            </w:pPr>
            <w:r w:rsidRPr="002D49DC">
              <w:t>165</w:t>
            </w:r>
          </w:p>
        </w:tc>
        <w:tc>
          <w:tcPr>
            <w:tcW w:w="0" w:type="auto"/>
            <w:tcBorders>
              <w:top w:val="single" w:sz="12" w:space="0" w:color="auto"/>
              <w:bottom w:val="single" w:sz="2" w:space="0" w:color="auto"/>
            </w:tcBorders>
            <w:noWrap/>
          </w:tcPr>
          <w:p w14:paraId="7836AEF6" w14:textId="1A6B77B6" w:rsidR="00F4676D" w:rsidRPr="00077C6E" w:rsidRDefault="00F4676D" w:rsidP="00F4676D">
            <w:pPr>
              <w:jc w:val="center"/>
              <w:rPr>
                <w:rFonts w:ascii="Arial" w:hAnsi="Arial" w:cs="Arial"/>
                <w:b/>
                <w:bCs/>
                <w:color w:val="000000"/>
                <w:lang w:eastAsia="en-IN"/>
              </w:rPr>
            </w:pPr>
            <w:r w:rsidRPr="002D49DC">
              <w:t>0.485</w:t>
            </w:r>
          </w:p>
        </w:tc>
        <w:tc>
          <w:tcPr>
            <w:tcW w:w="0" w:type="auto"/>
            <w:tcBorders>
              <w:top w:val="single" w:sz="12" w:space="0" w:color="auto"/>
              <w:bottom w:val="single" w:sz="2" w:space="0" w:color="auto"/>
            </w:tcBorders>
            <w:noWrap/>
          </w:tcPr>
          <w:p w14:paraId="64E317FD" w14:textId="27DC4FA5" w:rsidR="00F4676D" w:rsidRPr="00077C6E" w:rsidRDefault="00F4676D" w:rsidP="00F4676D">
            <w:pPr>
              <w:jc w:val="center"/>
              <w:rPr>
                <w:rFonts w:ascii="Arial" w:hAnsi="Arial" w:cs="Arial"/>
                <w:b/>
                <w:bCs/>
                <w:color w:val="000000"/>
                <w:lang w:eastAsia="en-IN"/>
              </w:rPr>
            </w:pPr>
            <w:r w:rsidRPr="002D49DC">
              <w:t>0.501</w:t>
            </w:r>
          </w:p>
        </w:tc>
        <w:tc>
          <w:tcPr>
            <w:tcW w:w="0" w:type="auto"/>
            <w:tcBorders>
              <w:top w:val="single" w:sz="12" w:space="0" w:color="auto"/>
              <w:bottom w:val="single" w:sz="2" w:space="0" w:color="auto"/>
            </w:tcBorders>
            <w:noWrap/>
          </w:tcPr>
          <w:p w14:paraId="771C323A" w14:textId="49E82E34" w:rsidR="00F4676D" w:rsidRPr="00077C6E" w:rsidRDefault="00F4676D" w:rsidP="00F4676D">
            <w:pPr>
              <w:jc w:val="center"/>
              <w:rPr>
                <w:rFonts w:ascii="Arial" w:hAnsi="Arial" w:cs="Arial"/>
                <w:b/>
                <w:bCs/>
                <w:color w:val="000000"/>
                <w:lang w:eastAsia="en-IN"/>
              </w:rPr>
            </w:pPr>
            <w:r w:rsidRPr="002D49DC">
              <w:t>0</w:t>
            </w:r>
          </w:p>
        </w:tc>
        <w:tc>
          <w:tcPr>
            <w:tcW w:w="0" w:type="auto"/>
            <w:tcBorders>
              <w:top w:val="single" w:sz="12" w:space="0" w:color="auto"/>
              <w:bottom w:val="single" w:sz="2" w:space="0" w:color="auto"/>
            </w:tcBorders>
            <w:noWrap/>
          </w:tcPr>
          <w:p w14:paraId="0FBFDBCD" w14:textId="6B4162BF" w:rsidR="00F4676D" w:rsidRPr="00077C6E" w:rsidRDefault="00F4676D" w:rsidP="00F4676D">
            <w:pPr>
              <w:jc w:val="center"/>
              <w:rPr>
                <w:rFonts w:ascii="Arial" w:hAnsi="Arial" w:cs="Arial"/>
                <w:b/>
                <w:bCs/>
                <w:color w:val="000000"/>
                <w:lang w:eastAsia="en-IN"/>
              </w:rPr>
            </w:pPr>
            <w:r w:rsidRPr="002D49DC">
              <w:t>1</w:t>
            </w:r>
          </w:p>
        </w:tc>
      </w:tr>
      <w:tr w:rsidR="00F4676D" w:rsidRPr="00077C6E" w14:paraId="217BEB2D" w14:textId="77777777" w:rsidTr="00585261">
        <w:trPr>
          <w:trHeight w:val="290"/>
          <w:jc w:val="center"/>
        </w:trPr>
        <w:tc>
          <w:tcPr>
            <w:tcW w:w="0" w:type="auto"/>
            <w:tcBorders>
              <w:top w:val="single" w:sz="2" w:space="0" w:color="auto"/>
            </w:tcBorders>
            <w:noWrap/>
            <w:hideMark/>
          </w:tcPr>
          <w:p w14:paraId="1D41E759" w14:textId="3C141B13" w:rsidR="00F4676D" w:rsidRPr="00077C6E" w:rsidRDefault="00F4676D" w:rsidP="00F4676D">
            <w:pPr>
              <w:rPr>
                <w:rFonts w:ascii="Arial" w:hAnsi="Arial" w:cs="Arial"/>
                <w:color w:val="000000"/>
                <w:lang w:eastAsia="en-IN"/>
              </w:rPr>
            </w:pPr>
            <w:r w:rsidRPr="002D49DC">
              <w:t>NIM</w:t>
            </w:r>
          </w:p>
        </w:tc>
        <w:tc>
          <w:tcPr>
            <w:tcW w:w="0" w:type="auto"/>
            <w:tcBorders>
              <w:top w:val="single" w:sz="2" w:space="0" w:color="auto"/>
            </w:tcBorders>
            <w:noWrap/>
            <w:hideMark/>
          </w:tcPr>
          <w:p w14:paraId="0454F530" w14:textId="6C910CBD" w:rsidR="00F4676D" w:rsidRPr="00077C6E" w:rsidRDefault="00F4676D" w:rsidP="00F4676D">
            <w:pPr>
              <w:jc w:val="center"/>
              <w:rPr>
                <w:rFonts w:ascii="Arial" w:hAnsi="Arial" w:cs="Arial"/>
                <w:color w:val="000000"/>
                <w:lang w:eastAsia="en-IN"/>
              </w:rPr>
            </w:pPr>
            <w:r w:rsidRPr="002D49DC">
              <w:t>165</w:t>
            </w:r>
          </w:p>
        </w:tc>
        <w:tc>
          <w:tcPr>
            <w:tcW w:w="0" w:type="auto"/>
            <w:tcBorders>
              <w:top w:val="single" w:sz="2" w:space="0" w:color="auto"/>
            </w:tcBorders>
            <w:noWrap/>
            <w:hideMark/>
          </w:tcPr>
          <w:p w14:paraId="4A4EDA39" w14:textId="5E60FC8D" w:rsidR="00F4676D" w:rsidRPr="00077C6E" w:rsidRDefault="00F4676D" w:rsidP="00F4676D">
            <w:pPr>
              <w:jc w:val="center"/>
              <w:rPr>
                <w:rFonts w:ascii="Arial" w:hAnsi="Arial" w:cs="Arial"/>
                <w:color w:val="000000"/>
                <w:lang w:eastAsia="en-IN"/>
              </w:rPr>
            </w:pPr>
            <w:r w:rsidRPr="002D49DC">
              <w:t>2.608</w:t>
            </w:r>
          </w:p>
        </w:tc>
        <w:tc>
          <w:tcPr>
            <w:tcW w:w="0" w:type="auto"/>
            <w:tcBorders>
              <w:top w:val="single" w:sz="2" w:space="0" w:color="auto"/>
            </w:tcBorders>
            <w:noWrap/>
            <w:hideMark/>
          </w:tcPr>
          <w:p w14:paraId="4E16A7DB" w14:textId="3D2B3C55" w:rsidR="00F4676D" w:rsidRPr="00077C6E" w:rsidRDefault="00F4676D" w:rsidP="00F4676D">
            <w:pPr>
              <w:jc w:val="center"/>
              <w:rPr>
                <w:rFonts w:ascii="Arial" w:hAnsi="Arial" w:cs="Arial"/>
                <w:color w:val="000000"/>
                <w:lang w:eastAsia="en-IN"/>
              </w:rPr>
            </w:pPr>
            <w:r w:rsidRPr="002D49DC">
              <w:t>0.360</w:t>
            </w:r>
          </w:p>
        </w:tc>
        <w:tc>
          <w:tcPr>
            <w:tcW w:w="0" w:type="auto"/>
            <w:tcBorders>
              <w:top w:val="single" w:sz="2" w:space="0" w:color="auto"/>
            </w:tcBorders>
            <w:noWrap/>
            <w:hideMark/>
          </w:tcPr>
          <w:p w14:paraId="56324CA8" w14:textId="77ADCABA" w:rsidR="00F4676D" w:rsidRPr="00077C6E" w:rsidRDefault="00F4676D" w:rsidP="00F4676D">
            <w:pPr>
              <w:jc w:val="center"/>
              <w:rPr>
                <w:rFonts w:ascii="Arial" w:hAnsi="Arial" w:cs="Arial"/>
                <w:color w:val="000000"/>
                <w:lang w:eastAsia="en-IN"/>
              </w:rPr>
            </w:pPr>
            <w:r w:rsidRPr="002D49DC">
              <w:t>1.934</w:t>
            </w:r>
          </w:p>
        </w:tc>
        <w:tc>
          <w:tcPr>
            <w:tcW w:w="0" w:type="auto"/>
            <w:tcBorders>
              <w:top w:val="single" w:sz="2" w:space="0" w:color="auto"/>
            </w:tcBorders>
            <w:noWrap/>
            <w:hideMark/>
          </w:tcPr>
          <w:p w14:paraId="62B3A989" w14:textId="0320D85F" w:rsidR="00F4676D" w:rsidRPr="00077C6E" w:rsidRDefault="00F4676D" w:rsidP="00F4676D">
            <w:pPr>
              <w:jc w:val="center"/>
              <w:rPr>
                <w:rFonts w:ascii="Arial" w:hAnsi="Arial" w:cs="Arial"/>
                <w:color w:val="000000"/>
                <w:lang w:eastAsia="en-IN"/>
              </w:rPr>
            </w:pPr>
            <w:r w:rsidRPr="002D49DC">
              <w:t>3.648</w:t>
            </w:r>
          </w:p>
        </w:tc>
      </w:tr>
      <w:tr w:rsidR="00F4676D" w:rsidRPr="00077C6E" w14:paraId="1989A892" w14:textId="77777777" w:rsidTr="00585261">
        <w:trPr>
          <w:trHeight w:val="290"/>
          <w:jc w:val="center"/>
        </w:trPr>
        <w:tc>
          <w:tcPr>
            <w:tcW w:w="0" w:type="auto"/>
            <w:noWrap/>
            <w:hideMark/>
          </w:tcPr>
          <w:p w14:paraId="29F9E13C" w14:textId="4F6F49D1" w:rsidR="00F4676D" w:rsidRPr="00077C6E" w:rsidRDefault="00F4676D" w:rsidP="00F4676D">
            <w:pPr>
              <w:rPr>
                <w:rFonts w:ascii="Arial" w:hAnsi="Arial" w:cs="Arial"/>
                <w:color w:val="000000"/>
                <w:lang w:eastAsia="en-IN"/>
              </w:rPr>
            </w:pPr>
            <w:r w:rsidRPr="002D49DC">
              <w:t>ROE</w:t>
            </w:r>
          </w:p>
        </w:tc>
        <w:tc>
          <w:tcPr>
            <w:tcW w:w="0" w:type="auto"/>
            <w:noWrap/>
            <w:hideMark/>
          </w:tcPr>
          <w:p w14:paraId="72428400" w14:textId="086F8EC6" w:rsidR="00F4676D" w:rsidRPr="00077C6E" w:rsidRDefault="00F4676D" w:rsidP="00F4676D">
            <w:pPr>
              <w:jc w:val="center"/>
              <w:rPr>
                <w:rFonts w:ascii="Arial" w:hAnsi="Arial" w:cs="Arial"/>
                <w:color w:val="000000"/>
                <w:lang w:eastAsia="en-IN"/>
              </w:rPr>
            </w:pPr>
            <w:r w:rsidRPr="002D49DC">
              <w:t>165</w:t>
            </w:r>
          </w:p>
        </w:tc>
        <w:tc>
          <w:tcPr>
            <w:tcW w:w="0" w:type="auto"/>
            <w:noWrap/>
            <w:hideMark/>
          </w:tcPr>
          <w:p w14:paraId="7CCEDF98" w14:textId="30C26B8F" w:rsidR="00F4676D" w:rsidRPr="00077C6E" w:rsidRDefault="00F4676D" w:rsidP="00F4676D">
            <w:pPr>
              <w:jc w:val="center"/>
              <w:rPr>
                <w:rFonts w:ascii="Arial" w:hAnsi="Arial" w:cs="Arial"/>
                <w:color w:val="000000"/>
                <w:lang w:eastAsia="en-IN"/>
              </w:rPr>
            </w:pPr>
            <w:r w:rsidRPr="002D49DC">
              <w:t>4.231</w:t>
            </w:r>
          </w:p>
        </w:tc>
        <w:tc>
          <w:tcPr>
            <w:tcW w:w="0" w:type="auto"/>
            <w:noWrap/>
            <w:hideMark/>
          </w:tcPr>
          <w:p w14:paraId="2764C421" w14:textId="314FC1C4" w:rsidR="00F4676D" w:rsidRPr="00077C6E" w:rsidRDefault="00F4676D" w:rsidP="00F4676D">
            <w:pPr>
              <w:jc w:val="center"/>
              <w:rPr>
                <w:rFonts w:ascii="Arial" w:hAnsi="Arial" w:cs="Arial"/>
                <w:color w:val="000000"/>
                <w:lang w:eastAsia="en-IN"/>
              </w:rPr>
            </w:pPr>
            <w:r w:rsidRPr="002D49DC">
              <w:t>7.712</w:t>
            </w:r>
          </w:p>
        </w:tc>
        <w:tc>
          <w:tcPr>
            <w:tcW w:w="0" w:type="auto"/>
            <w:noWrap/>
            <w:hideMark/>
          </w:tcPr>
          <w:p w14:paraId="5FC4EDD8" w14:textId="55054088" w:rsidR="00F4676D" w:rsidRPr="00077C6E" w:rsidRDefault="00F4676D" w:rsidP="00F4676D">
            <w:pPr>
              <w:jc w:val="center"/>
              <w:rPr>
                <w:rFonts w:ascii="Arial" w:hAnsi="Arial" w:cs="Arial"/>
                <w:color w:val="000000"/>
                <w:lang w:eastAsia="en-IN"/>
              </w:rPr>
            </w:pPr>
            <w:r w:rsidRPr="002D49DC">
              <w:t>-27.447</w:t>
            </w:r>
          </w:p>
        </w:tc>
        <w:tc>
          <w:tcPr>
            <w:tcW w:w="0" w:type="auto"/>
            <w:noWrap/>
            <w:hideMark/>
          </w:tcPr>
          <w:p w14:paraId="20E558BA" w14:textId="465B30C8" w:rsidR="00F4676D" w:rsidRPr="00077C6E" w:rsidRDefault="00F4676D" w:rsidP="00F4676D">
            <w:pPr>
              <w:jc w:val="center"/>
              <w:rPr>
                <w:rFonts w:ascii="Arial" w:hAnsi="Arial" w:cs="Arial"/>
                <w:color w:val="000000"/>
                <w:lang w:eastAsia="en-IN"/>
              </w:rPr>
            </w:pPr>
            <w:r w:rsidRPr="002D49DC">
              <w:t>18.983</w:t>
            </w:r>
          </w:p>
        </w:tc>
      </w:tr>
      <w:tr w:rsidR="00F4676D" w:rsidRPr="00077C6E" w14:paraId="5C416D2B" w14:textId="77777777" w:rsidTr="00585261">
        <w:trPr>
          <w:trHeight w:val="290"/>
          <w:jc w:val="center"/>
        </w:trPr>
        <w:tc>
          <w:tcPr>
            <w:tcW w:w="0" w:type="auto"/>
            <w:noWrap/>
            <w:hideMark/>
          </w:tcPr>
          <w:p w14:paraId="5114AA13" w14:textId="36DCBD0C" w:rsidR="00F4676D" w:rsidRPr="00077C6E" w:rsidRDefault="00F4676D" w:rsidP="00F4676D">
            <w:pPr>
              <w:rPr>
                <w:rFonts w:ascii="Arial" w:hAnsi="Arial" w:cs="Arial"/>
                <w:color w:val="000000"/>
                <w:lang w:eastAsia="en-IN"/>
              </w:rPr>
            </w:pPr>
            <w:r w:rsidRPr="002D49DC">
              <w:t>ROA</w:t>
            </w:r>
          </w:p>
        </w:tc>
        <w:tc>
          <w:tcPr>
            <w:tcW w:w="0" w:type="auto"/>
            <w:noWrap/>
            <w:hideMark/>
          </w:tcPr>
          <w:p w14:paraId="20CD8E38" w14:textId="2A5CE3C5" w:rsidR="00F4676D" w:rsidRPr="00077C6E" w:rsidRDefault="00F4676D" w:rsidP="00F4676D">
            <w:pPr>
              <w:jc w:val="center"/>
              <w:rPr>
                <w:rFonts w:ascii="Arial" w:hAnsi="Arial" w:cs="Arial"/>
                <w:color w:val="000000"/>
                <w:lang w:eastAsia="en-IN"/>
              </w:rPr>
            </w:pPr>
            <w:r w:rsidRPr="002D49DC">
              <w:t>165</w:t>
            </w:r>
          </w:p>
        </w:tc>
        <w:tc>
          <w:tcPr>
            <w:tcW w:w="0" w:type="auto"/>
            <w:noWrap/>
            <w:hideMark/>
          </w:tcPr>
          <w:p w14:paraId="08D5C2BA" w14:textId="741DC81C" w:rsidR="00F4676D" w:rsidRPr="00077C6E" w:rsidRDefault="00F4676D" w:rsidP="00F4676D">
            <w:pPr>
              <w:jc w:val="center"/>
              <w:rPr>
                <w:rFonts w:ascii="Arial" w:hAnsi="Arial" w:cs="Arial"/>
                <w:color w:val="000000"/>
                <w:lang w:eastAsia="en-IN"/>
              </w:rPr>
            </w:pPr>
            <w:r w:rsidRPr="002D49DC">
              <w:t>0.279</w:t>
            </w:r>
          </w:p>
        </w:tc>
        <w:tc>
          <w:tcPr>
            <w:tcW w:w="0" w:type="auto"/>
            <w:noWrap/>
            <w:hideMark/>
          </w:tcPr>
          <w:p w14:paraId="0B9C1EE2" w14:textId="5C88B55D" w:rsidR="00F4676D" w:rsidRPr="00077C6E" w:rsidRDefault="00F4676D" w:rsidP="00F4676D">
            <w:pPr>
              <w:jc w:val="center"/>
              <w:rPr>
                <w:rFonts w:ascii="Arial" w:hAnsi="Arial" w:cs="Arial"/>
                <w:color w:val="000000"/>
                <w:lang w:eastAsia="en-IN"/>
              </w:rPr>
            </w:pPr>
            <w:r w:rsidRPr="002D49DC">
              <w:t>0.474</w:t>
            </w:r>
          </w:p>
        </w:tc>
        <w:tc>
          <w:tcPr>
            <w:tcW w:w="0" w:type="auto"/>
            <w:noWrap/>
            <w:hideMark/>
          </w:tcPr>
          <w:p w14:paraId="7F597840" w14:textId="10113241" w:rsidR="00F4676D" w:rsidRPr="00077C6E" w:rsidRDefault="00F4676D" w:rsidP="00F4676D">
            <w:pPr>
              <w:jc w:val="center"/>
              <w:rPr>
                <w:rFonts w:ascii="Arial" w:hAnsi="Arial" w:cs="Arial"/>
                <w:color w:val="000000"/>
                <w:lang w:eastAsia="en-IN"/>
              </w:rPr>
            </w:pPr>
            <w:r w:rsidRPr="002D49DC">
              <w:t>-1.644</w:t>
            </w:r>
          </w:p>
        </w:tc>
        <w:tc>
          <w:tcPr>
            <w:tcW w:w="0" w:type="auto"/>
            <w:noWrap/>
            <w:hideMark/>
          </w:tcPr>
          <w:p w14:paraId="26671947" w14:textId="6505ABEA" w:rsidR="00F4676D" w:rsidRPr="00077C6E" w:rsidRDefault="00F4676D" w:rsidP="00F4676D">
            <w:pPr>
              <w:jc w:val="center"/>
              <w:rPr>
                <w:rFonts w:ascii="Arial" w:hAnsi="Arial" w:cs="Arial"/>
                <w:color w:val="000000"/>
                <w:lang w:eastAsia="en-IN"/>
              </w:rPr>
            </w:pPr>
            <w:r w:rsidRPr="002D49DC">
              <w:t>1.083</w:t>
            </w:r>
          </w:p>
        </w:tc>
      </w:tr>
      <w:tr w:rsidR="00F4676D" w:rsidRPr="00077C6E" w14:paraId="4FF37525" w14:textId="77777777" w:rsidTr="00585261">
        <w:trPr>
          <w:trHeight w:val="290"/>
          <w:jc w:val="center"/>
        </w:trPr>
        <w:tc>
          <w:tcPr>
            <w:tcW w:w="0" w:type="auto"/>
            <w:noWrap/>
            <w:hideMark/>
          </w:tcPr>
          <w:p w14:paraId="5505E32F" w14:textId="2E7C5613" w:rsidR="00F4676D" w:rsidRPr="00077C6E" w:rsidRDefault="00F4676D" w:rsidP="00F4676D">
            <w:pPr>
              <w:rPr>
                <w:rFonts w:ascii="Arial" w:hAnsi="Arial" w:cs="Arial"/>
                <w:color w:val="000000"/>
                <w:lang w:eastAsia="en-IN"/>
              </w:rPr>
            </w:pPr>
            <w:r w:rsidRPr="002D49DC">
              <w:t>CAR</w:t>
            </w:r>
          </w:p>
        </w:tc>
        <w:tc>
          <w:tcPr>
            <w:tcW w:w="0" w:type="auto"/>
            <w:noWrap/>
            <w:hideMark/>
          </w:tcPr>
          <w:p w14:paraId="5DE976BC" w14:textId="36641D5B" w:rsidR="00F4676D" w:rsidRPr="00077C6E" w:rsidRDefault="00F4676D" w:rsidP="00F4676D">
            <w:pPr>
              <w:jc w:val="center"/>
              <w:rPr>
                <w:rFonts w:ascii="Arial" w:hAnsi="Arial" w:cs="Arial"/>
                <w:color w:val="000000"/>
                <w:lang w:eastAsia="en-IN"/>
              </w:rPr>
            </w:pPr>
            <w:r w:rsidRPr="002D49DC">
              <w:t>165</w:t>
            </w:r>
          </w:p>
        </w:tc>
        <w:tc>
          <w:tcPr>
            <w:tcW w:w="0" w:type="auto"/>
            <w:noWrap/>
            <w:hideMark/>
          </w:tcPr>
          <w:p w14:paraId="607D0361" w14:textId="21F828B7" w:rsidR="00F4676D" w:rsidRPr="00077C6E" w:rsidRDefault="00F4676D" w:rsidP="00F4676D">
            <w:pPr>
              <w:jc w:val="center"/>
              <w:rPr>
                <w:rFonts w:ascii="Arial" w:hAnsi="Arial" w:cs="Arial"/>
                <w:color w:val="000000"/>
                <w:lang w:eastAsia="en-IN"/>
              </w:rPr>
            </w:pPr>
            <w:r w:rsidRPr="002D49DC">
              <w:t>13.516</w:t>
            </w:r>
          </w:p>
        </w:tc>
        <w:tc>
          <w:tcPr>
            <w:tcW w:w="0" w:type="auto"/>
            <w:noWrap/>
            <w:hideMark/>
          </w:tcPr>
          <w:p w14:paraId="36F78E75" w14:textId="26DAF262" w:rsidR="00F4676D" w:rsidRPr="00077C6E" w:rsidRDefault="00F4676D" w:rsidP="00F4676D">
            <w:pPr>
              <w:jc w:val="center"/>
              <w:rPr>
                <w:rFonts w:ascii="Arial" w:hAnsi="Arial" w:cs="Arial"/>
                <w:color w:val="000000"/>
                <w:lang w:eastAsia="en-IN"/>
              </w:rPr>
            </w:pPr>
            <w:r w:rsidRPr="002D49DC">
              <w:t>1.767</w:t>
            </w:r>
          </w:p>
        </w:tc>
        <w:tc>
          <w:tcPr>
            <w:tcW w:w="0" w:type="auto"/>
            <w:noWrap/>
            <w:hideMark/>
          </w:tcPr>
          <w:p w14:paraId="5220FFC3" w14:textId="3E880D6A" w:rsidR="00F4676D" w:rsidRPr="00077C6E" w:rsidRDefault="00F4676D" w:rsidP="00F4676D">
            <w:pPr>
              <w:jc w:val="center"/>
              <w:rPr>
                <w:rFonts w:ascii="Arial" w:hAnsi="Arial" w:cs="Arial"/>
                <w:color w:val="000000"/>
                <w:lang w:eastAsia="en-IN"/>
              </w:rPr>
            </w:pPr>
            <w:r w:rsidRPr="002D49DC">
              <w:t>9.200</w:t>
            </w:r>
          </w:p>
        </w:tc>
        <w:tc>
          <w:tcPr>
            <w:tcW w:w="0" w:type="auto"/>
            <w:noWrap/>
            <w:hideMark/>
          </w:tcPr>
          <w:p w14:paraId="5700ACD6" w14:textId="7439FBE2" w:rsidR="00F4676D" w:rsidRPr="00077C6E" w:rsidRDefault="00F4676D" w:rsidP="00F4676D">
            <w:pPr>
              <w:jc w:val="center"/>
              <w:rPr>
                <w:rFonts w:ascii="Arial" w:hAnsi="Arial" w:cs="Arial"/>
                <w:color w:val="000000"/>
                <w:lang w:eastAsia="en-IN"/>
              </w:rPr>
            </w:pPr>
            <w:r w:rsidRPr="002D49DC">
              <w:t>16.966</w:t>
            </w:r>
          </w:p>
        </w:tc>
      </w:tr>
      <w:tr w:rsidR="00F4676D" w:rsidRPr="00077C6E" w14:paraId="42C03AEA" w14:textId="77777777" w:rsidTr="00585261">
        <w:trPr>
          <w:trHeight w:val="290"/>
          <w:jc w:val="center"/>
        </w:trPr>
        <w:tc>
          <w:tcPr>
            <w:tcW w:w="0" w:type="auto"/>
            <w:noWrap/>
            <w:hideMark/>
          </w:tcPr>
          <w:p w14:paraId="49E1D964" w14:textId="430550CF" w:rsidR="00F4676D" w:rsidRPr="00077C6E" w:rsidRDefault="00F4676D" w:rsidP="00F4676D">
            <w:pPr>
              <w:rPr>
                <w:rFonts w:ascii="Arial" w:hAnsi="Arial" w:cs="Arial"/>
                <w:color w:val="000000"/>
                <w:lang w:eastAsia="en-IN"/>
              </w:rPr>
            </w:pPr>
            <w:r w:rsidRPr="002D49DC">
              <w:t>DE</w:t>
            </w:r>
          </w:p>
        </w:tc>
        <w:tc>
          <w:tcPr>
            <w:tcW w:w="0" w:type="auto"/>
            <w:noWrap/>
            <w:hideMark/>
          </w:tcPr>
          <w:p w14:paraId="785DC012" w14:textId="399615D2" w:rsidR="00F4676D" w:rsidRPr="00077C6E" w:rsidRDefault="00F4676D" w:rsidP="00F4676D">
            <w:pPr>
              <w:jc w:val="center"/>
              <w:rPr>
                <w:rFonts w:ascii="Arial" w:hAnsi="Arial" w:cs="Arial"/>
                <w:color w:val="000000"/>
                <w:lang w:eastAsia="en-IN"/>
              </w:rPr>
            </w:pPr>
            <w:r w:rsidRPr="002D49DC">
              <w:t>165</w:t>
            </w:r>
          </w:p>
        </w:tc>
        <w:tc>
          <w:tcPr>
            <w:tcW w:w="0" w:type="auto"/>
            <w:noWrap/>
            <w:hideMark/>
          </w:tcPr>
          <w:p w14:paraId="3F9E5E36" w14:textId="3D6FCD81" w:rsidR="00F4676D" w:rsidRPr="00077C6E" w:rsidRDefault="00F4676D" w:rsidP="00F4676D">
            <w:pPr>
              <w:jc w:val="center"/>
              <w:rPr>
                <w:rFonts w:ascii="Arial" w:hAnsi="Arial" w:cs="Arial"/>
                <w:color w:val="000000"/>
                <w:lang w:eastAsia="en-IN"/>
              </w:rPr>
            </w:pPr>
            <w:r w:rsidRPr="002D49DC">
              <w:t>15.101</w:t>
            </w:r>
          </w:p>
        </w:tc>
        <w:tc>
          <w:tcPr>
            <w:tcW w:w="0" w:type="auto"/>
            <w:noWrap/>
            <w:hideMark/>
          </w:tcPr>
          <w:p w14:paraId="39911835" w14:textId="78D2DEC8" w:rsidR="00F4676D" w:rsidRPr="00077C6E" w:rsidRDefault="00F4676D" w:rsidP="00F4676D">
            <w:pPr>
              <w:jc w:val="center"/>
              <w:rPr>
                <w:rFonts w:ascii="Arial" w:hAnsi="Arial" w:cs="Arial"/>
                <w:color w:val="000000"/>
                <w:lang w:eastAsia="en-IN"/>
              </w:rPr>
            </w:pPr>
            <w:r w:rsidRPr="002D49DC">
              <w:t>2.183</w:t>
            </w:r>
          </w:p>
        </w:tc>
        <w:tc>
          <w:tcPr>
            <w:tcW w:w="0" w:type="auto"/>
            <w:noWrap/>
            <w:hideMark/>
          </w:tcPr>
          <w:p w14:paraId="0E5A73E3" w14:textId="061086B1" w:rsidR="00F4676D" w:rsidRPr="00077C6E" w:rsidRDefault="00F4676D" w:rsidP="00F4676D">
            <w:pPr>
              <w:jc w:val="center"/>
              <w:rPr>
                <w:rFonts w:ascii="Arial" w:hAnsi="Arial" w:cs="Arial"/>
                <w:color w:val="000000"/>
                <w:lang w:eastAsia="en-IN"/>
              </w:rPr>
            </w:pPr>
            <w:r w:rsidRPr="002D49DC">
              <w:t>11.196</w:t>
            </w:r>
          </w:p>
        </w:tc>
        <w:tc>
          <w:tcPr>
            <w:tcW w:w="0" w:type="auto"/>
            <w:noWrap/>
            <w:hideMark/>
          </w:tcPr>
          <w:p w14:paraId="3F1C7BA5" w14:textId="3C73DBB2" w:rsidR="00F4676D" w:rsidRPr="00077C6E" w:rsidRDefault="00F4676D" w:rsidP="00F4676D">
            <w:pPr>
              <w:jc w:val="center"/>
              <w:rPr>
                <w:rFonts w:ascii="Arial" w:hAnsi="Arial" w:cs="Arial"/>
                <w:color w:val="000000"/>
                <w:lang w:eastAsia="en-IN"/>
              </w:rPr>
            </w:pPr>
            <w:r w:rsidRPr="002D49DC">
              <w:t>29.243</w:t>
            </w:r>
          </w:p>
        </w:tc>
      </w:tr>
      <w:tr w:rsidR="00F4676D" w:rsidRPr="00077C6E" w14:paraId="4AE372E3" w14:textId="77777777" w:rsidTr="00585261">
        <w:trPr>
          <w:trHeight w:val="290"/>
          <w:jc w:val="center"/>
        </w:trPr>
        <w:tc>
          <w:tcPr>
            <w:tcW w:w="0" w:type="auto"/>
            <w:noWrap/>
            <w:hideMark/>
          </w:tcPr>
          <w:p w14:paraId="63A0F1E8" w14:textId="3AEBE8B3" w:rsidR="00F4676D" w:rsidRPr="00077C6E" w:rsidRDefault="00F4676D" w:rsidP="00F4676D">
            <w:pPr>
              <w:rPr>
                <w:rFonts w:ascii="Arial" w:hAnsi="Arial" w:cs="Arial"/>
                <w:color w:val="000000"/>
                <w:lang w:eastAsia="en-IN"/>
              </w:rPr>
            </w:pPr>
            <w:r w:rsidRPr="002D49DC">
              <w:lastRenderedPageBreak/>
              <w:t>GNPA</w:t>
            </w:r>
          </w:p>
        </w:tc>
        <w:tc>
          <w:tcPr>
            <w:tcW w:w="0" w:type="auto"/>
            <w:noWrap/>
            <w:hideMark/>
          </w:tcPr>
          <w:p w14:paraId="306D3563" w14:textId="615E9D4B" w:rsidR="00F4676D" w:rsidRPr="00077C6E" w:rsidRDefault="00F4676D" w:rsidP="00F4676D">
            <w:pPr>
              <w:jc w:val="center"/>
              <w:rPr>
                <w:rFonts w:ascii="Arial" w:hAnsi="Arial" w:cs="Arial"/>
                <w:color w:val="000000"/>
                <w:lang w:eastAsia="en-IN"/>
              </w:rPr>
            </w:pPr>
            <w:r w:rsidRPr="002D49DC">
              <w:t>165</w:t>
            </w:r>
          </w:p>
        </w:tc>
        <w:tc>
          <w:tcPr>
            <w:tcW w:w="0" w:type="auto"/>
            <w:noWrap/>
            <w:hideMark/>
          </w:tcPr>
          <w:p w14:paraId="68A5E437" w14:textId="79103F45" w:rsidR="00F4676D" w:rsidRPr="00077C6E" w:rsidRDefault="00F4676D" w:rsidP="00F4676D">
            <w:pPr>
              <w:jc w:val="center"/>
              <w:rPr>
                <w:rFonts w:ascii="Arial" w:hAnsi="Arial" w:cs="Arial"/>
                <w:color w:val="000000"/>
                <w:lang w:eastAsia="en-IN"/>
              </w:rPr>
            </w:pPr>
            <w:r w:rsidRPr="002D49DC">
              <w:t>9.908</w:t>
            </w:r>
          </w:p>
        </w:tc>
        <w:tc>
          <w:tcPr>
            <w:tcW w:w="0" w:type="auto"/>
            <w:noWrap/>
            <w:hideMark/>
          </w:tcPr>
          <w:p w14:paraId="3F30F63C" w14:textId="7547ABAD" w:rsidR="00F4676D" w:rsidRPr="00077C6E" w:rsidRDefault="00F4676D" w:rsidP="00F4676D">
            <w:pPr>
              <w:jc w:val="center"/>
              <w:rPr>
                <w:rFonts w:ascii="Arial" w:hAnsi="Arial" w:cs="Arial"/>
                <w:color w:val="000000"/>
                <w:lang w:eastAsia="en-IN"/>
              </w:rPr>
            </w:pPr>
            <w:r w:rsidRPr="002D49DC">
              <w:t>3.384</w:t>
            </w:r>
          </w:p>
        </w:tc>
        <w:tc>
          <w:tcPr>
            <w:tcW w:w="0" w:type="auto"/>
            <w:noWrap/>
            <w:hideMark/>
          </w:tcPr>
          <w:p w14:paraId="546336FC" w14:textId="53411C55" w:rsidR="00F4676D" w:rsidRPr="00077C6E" w:rsidRDefault="00F4676D" w:rsidP="00F4676D">
            <w:pPr>
              <w:jc w:val="center"/>
              <w:rPr>
                <w:rFonts w:ascii="Arial" w:hAnsi="Arial" w:cs="Arial"/>
                <w:color w:val="000000"/>
                <w:lang w:eastAsia="en-IN"/>
              </w:rPr>
            </w:pPr>
            <w:r w:rsidRPr="002D49DC">
              <w:t>3.719</w:t>
            </w:r>
          </w:p>
        </w:tc>
        <w:tc>
          <w:tcPr>
            <w:tcW w:w="0" w:type="auto"/>
            <w:noWrap/>
            <w:hideMark/>
          </w:tcPr>
          <w:p w14:paraId="7D413D8E" w14:textId="11F9103D" w:rsidR="00F4676D" w:rsidRPr="00077C6E" w:rsidRDefault="00F4676D" w:rsidP="00F4676D">
            <w:pPr>
              <w:jc w:val="center"/>
              <w:rPr>
                <w:rFonts w:ascii="Arial" w:hAnsi="Arial" w:cs="Arial"/>
                <w:color w:val="000000"/>
                <w:lang w:eastAsia="en-IN"/>
              </w:rPr>
            </w:pPr>
            <w:r w:rsidRPr="002D49DC">
              <w:t>18.379</w:t>
            </w:r>
          </w:p>
        </w:tc>
      </w:tr>
      <w:tr w:rsidR="00F4676D" w:rsidRPr="00077C6E" w14:paraId="1E354DDA" w14:textId="77777777" w:rsidTr="00585261">
        <w:trPr>
          <w:trHeight w:val="290"/>
          <w:jc w:val="center"/>
        </w:trPr>
        <w:tc>
          <w:tcPr>
            <w:tcW w:w="0" w:type="auto"/>
            <w:noWrap/>
            <w:hideMark/>
          </w:tcPr>
          <w:p w14:paraId="12BB4383" w14:textId="1BA9DD6B" w:rsidR="00F4676D" w:rsidRPr="00077C6E" w:rsidRDefault="00F4676D" w:rsidP="00F4676D">
            <w:pPr>
              <w:rPr>
                <w:rFonts w:ascii="Arial" w:hAnsi="Arial" w:cs="Arial"/>
                <w:color w:val="000000"/>
                <w:lang w:eastAsia="en-IN"/>
              </w:rPr>
            </w:pPr>
            <w:r w:rsidRPr="002D49DC">
              <w:t>CTA</w:t>
            </w:r>
          </w:p>
        </w:tc>
        <w:tc>
          <w:tcPr>
            <w:tcW w:w="0" w:type="auto"/>
            <w:noWrap/>
            <w:hideMark/>
          </w:tcPr>
          <w:p w14:paraId="3519B249" w14:textId="3D2D8B2B" w:rsidR="00F4676D" w:rsidRPr="00077C6E" w:rsidRDefault="00F4676D" w:rsidP="00F4676D">
            <w:pPr>
              <w:jc w:val="center"/>
              <w:rPr>
                <w:rFonts w:ascii="Arial" w:hAnsi="Arial" w:cs="Arial"/>
                <w:color w:val="000000"/>
                <w:lang w:eastAsia="en-IN"/>
              </w:rPr>
            </w:pPr>
            <w:r w:rsidRPr="002D49DC">
              <w:t>165</w:t>
            </w:r>
          </w:p>
        </w:tc>
        <w:tc>
          <w:tcPr>
            <w:tcW w:w="0" w:type="auto"/>
            <w:noWrap/>
            <w:hideMark/>
          </w:tcPr>
          <w:p w14:paraId="35D96F1D" w14:textId="28BB6409" w:rsidR="00F4676D" w:rsidRPr="00077C6E" w:rsidRDefault="00F4676D" w:rsidP="00F4676D">
            <w:pPr>
              <w:jc w:val="center"/>
              <w:rPr>
                <w:rFonts w:ascii="Arial" w:hAnsi="Arial" w:cs="Arial"/>
                <w:color w:val="000000"/>
                <w:lang w:eastAsia="en-IN"/>
              </w:rPr>
            </w:pPr>
            <w:r w:rsidRPr="002D49DC">
              <w:t>3.917</w:t>
            </w:r>
          </w:p>
        </w:tc>
        <w:tc>
          <w:tcPr>
            <w:tcW w:w="0" w:type="auto"/>
            <w:noWrap/>
            <w:hideMark/>
          </w:tcPr>
          <w:p w14:paraId="71888825" w14:textId="79AA3B63" w:rsidR="00F4676D" w:rsidRPr="00077C6E" w:rsidRDefault="00F4676D" w:rsidP="00F4676D">
            <w:pPr>
              <w:jc w:val="center"/>
              <w:rPr>
                <w:rFonts w:ascii="Arial" w:hAnsi="Arial" w:cs="Arial"/>
                <w:color w:val="000000"/>
                <w:lang w:eastAsia="en-IN"/>
              </w:rPr>
            </w:pPr>
            <w:r w:rsidRPr="002D49DC">
              <w:t>0.719</w:t>
            </w:r>
          </w:p>
        </w:tc>
        <w:tc>
          <w:tcPr>
            <w:tcW w:w="0" w:type="auto"/>
            <w:noWrap/>
            <w:hideMark/>
          </w:tcPr>
          <w:p w14:paraId="1DDBE0C4" w14:textId="4BC45B7A" w:rsidR="00F4676D" w:rsidRPr="00077C6E" w:rsidRDefault="00F4676D" w:rsidP="00F4676D">
            <w:pPr>
              <w:jc w:val="center"/>
              <w:rPr>
                <w:rFonts w:ascii="Arial" w:hAnsi="Arial" w:cs="Arial"/>
                <w:color w:val="000000"/>
                <w:lang w:eastAsia="en-IN"/>
              </w:rPr>
            </w:pPr>
            <w:r w:rsidRPr="002D49DC">
              <w:t>1.810</w:t>
            </w:r>
          </w:p>
        </w:tc>
        <w:tc>
          <w:tcPr>
            <w:tcW w:w="0" w:type="auto"/>
            <w:noWrap/>
            <w:hideMark/>
          </w:tcPr>
          <w:p w14:paraId="174A7348" w14:textId="70DF4000" w:rsidR="00F4676D" w:rsidRPr="00077C6E" w:rsidRDefault="00F4676D" w:rsidP="00F4676D">
            <w:pPr>
              <w:jc w:val="center"/>
              <w:rPr>
                <w:rFonts w:ascii="Arial" w:hAnsi="Arial" w:cs="Arial"/>
                <w:color w:val="000000"/>
                <w:lang w:eastAsia="en-IN"/>
              </w:rPr>
            </w:pPr>
            <w:r w:rsidRPr="002D49DC">
              <w:t>6.618</w:t>
            </w:r>
          </w:p>
        </w:tc>
      </w:tr>
      <w:tr w:rsidR="00F4676D" w:rsidRPr="00077C6E" w14:paraId="1807C21C" w14:textId="77777777" w:rsidTr="00585261">
        <w:trPr>
          <w:trHeight w:val="290"/>
          <w:jc w:val="center"/>
        </w:trPr>
        <w:tc>
          <w:tcPr>
            <w:tcW w:w="0" w:type="auto"/>
            <w:tcBorders>
              <w:bottom w:val="single" w:sz="12" w:space="0" w:color="auto"/>
            </w:tcBorders>
            <w:noWrap/>
            <w:hideMark/>
          </w:tcPr>
          <w:p w14:paraId="7DF85C9D" w14:textId="0B29612A" w:rsidR="00F4676D" w:rsidRPr="00077C6E" w:rsidRDefault="00F4676D" w:rsidP="00F4676D">
            <w:pPr>
              <w:rPr>
                <w:rFonts w:ascii="Arial" w:hAnsi="Arial" w:cs="Arial"/>
                <w:color w:val="000000"/>
                <w:lang w:eastAsia="en-IN"/>
              </w:rPr>
            </w:pPr>
            <w:r w:rsidRPr="002D49DC">
              <w:t>CI</w:t>
            </w:r>
          </w:p>
        </w:tc>
        <w:tc>
          <w:tcPr>
            <w:tcW w:w="0" w:type="auto"/>
            <w:tcBorders>
              <w:bottom w:val="single" w:sz="12" w:space="0" w:color="auto"/>
            </w:tcBorders>
            <w:noWrap/>
            <w:hideMark/>
          </w:tcPr>
          <w:p w14:paraId="3C05EA9F" w14:textId="7419733B" w:rsidR="00F4676D" w:rsidRPr="00077C6E" w:rsidRDefault="00F4676D" w:rsidP="00F4676D">
            <w:pPr>
              <w:jc w:val="center"/>
              <w:rPr>
                <w:rFonts w:ascii="Arial" w:hAnsi="Arial" w:cs="Arial"/>
                <w:color w:val="000000"/>
                <w:lang w:eastAsia="en-IN"/>
              </w:rPr>
            </w:pPr>
            <w:r w:rsidRPr="002D49DC">
              <w:t>165</w:t>
            </w:r>
          </w:p>
        </w:tc>
        <w:tc>
          <w:tcPr>
            <w:tcW w:w="0" w:type="auto"/>
            <w:tcBorders>
              <w:bottom w:val="single" w:sz="12" w:space="0" w:color="auto"/>
            </w:tcBorders>
            <w:noWrap/>
            <w:hideMark/>
          </w:tcPr>
          <w:p w14:paraId="4A06ABB4" w14:textId="6CA49E9F" w:rsidR="00F4676D" w:rsidRPr="00077C6E" w:rsidRDefault="00F4676D" w:rsidP="00F4676D">
            <w:pPr>
              <w:jc w:val="center"/>
              <w:rPr>
                <w:rFonts w:ascii="Arial" w:hAnsi="Arial" w:cs="Arial"/>
                <w:color w:val="000000"/>
                <w:lang w:eastAsia="en-IN"/>
              </w:rPr>
            </w:pPr>
            <w:r w:rsidRPr="002D49DC">
              <w:t>46.776</w:t>
            </w:r>
          </w:p>
        </w:tc>
        <w:tc>
          <w:tcPr>
            <w:tcW w:w="0" w:type="auto"/>
            <w:tcBorders>
              <w:bottom w:val="single" w:sz="12" w:space="0" w:color="auto"/>
            </w:tcBorders>
            <w:noWrap/>
            <w:hideMark/>
          </w:tcPr>
          <w:p w14:paraId="7CF5FF57" w14:textId="23245496" w:rsidR="00F4676D" w:rsidRPr="00077C6E" w:rsidRDefault="00F4676D" w:rsidP="00F4676D">
            <w:pPr>
              <w:jc w:val="center"/>
              <w:rPr>
                <w:rFonts w:ascii="Arial" w:hAnsi="Arial" w:cs="Arial"/>
                <w:color w:val="000000"/>
                <w:lang w:eastAsia="en-IN"/>
              </w:rPr>
            </w:pPr>
            <w:r w:rsidRPr="002D49DC">
              <w:t>3.331</w:t>
            </w:r>
          </w:p>
        </w:tc>
        <w:tc>
          <w:tcPr>
            <w:tcW w:w="0" w:type="auto"/>
            <w:tcBorders>
              <w:bottom w:val="single" w:sz="12" w:space="0" w:color="auto"/>
            </w:tcBorders>
            <w:noWrap/>
            <w:hideMark/>
          </w:tcPr>
          <w:p w14:paraId="04519C7A" w14:textId="46B56E4F" w:rsidR="00F4676D" w:rsidRPr="00077C6E" w:rsidRDefault="00F4676D" w:rsidP="00F4676D">
            <w:pPr>
              <w:jc w:val="center"/>
              <w:rPr>
                <w:rFonts w:ascii="Arial" w:hAnsi="Arial" w:cs="Arial"/>
                <w:color w:val="000000"/>
                <w:lang w:eastAsia="en-IN"/>
              </w:rPr>
            </w:pPr>
            <w:r w:rsidRPr="002D49DC">
              <w:t>36.932</w:t>
            </w:r>
          </w:p>
        </w:tc>
        <w:tc>
          <w:tcPr>
            <w:tcW w:w="0" w:type="auto"/>
            <w:tcBorders>
              <w:bottom w:val="single" w:sz="12" w:space="0" w:color="auto"/>
            </w:tcBorders>
            <w:noWrap/>
            <w:hideMark/>
          </w:tcPr>
          <w:p w14:paraId="49ECAF24" w14:textId="2752BD41" w:rsidR="00F4676D" w:rsidRPr="00077C6E" w:rsidRDefault="00F4676D" w:rsidP="00F4676D">
            <w:pPr>
              <w:jc w:val="center"/>
              <w:rPr>
                <w:rFonts w:ascii="Arial" w:hAnsi="Arial" w:cs="Arial"/>
                <w:color w:val="000000"/>
                <w:lang w:eastAsia="en-IN"/>
              </w:rPr>
            </w:pPr>
            <w:r w:rsidRPr="002D49DC">
              <w:t>56.753</w:t>
            </w:r>
          </w:p>
        </w:tc>
      </w:tr>
    </w:tbl>
    <w:p w14:paraId="7CAE7154" w14:textId="77777777" w:rsidR="00077C6E" w:rsidRPr="00F4676D" w:rsidRDefault="00077C6E" w:rsidP="00F4676D">
      <w:pPr>
        <w:jc w:val="center"/>
        <w:rPr>
          <w:rFonts w:ascii="Arial" w:hAnsi="Arial" w:cs="Arial"/>
        </w:rPr>
      </w:pPr>
      <w:r w:rsidRPr="00077C6E">
        <w:rPr>
          <w:rFonts w:ascii="Arial" w:hAnsi="Arial" w:cs="Arial"/>
          <w:b/>
          <w:bCs/>
          <w:i/>
          <w:iCs/>
        </w:rPr>
        <w:t>Source:</w:t>
      </w:r>
      <w:r w:rsidRPr="00077C6E">
        <w:rPr>
          <w:rFonts w:ascii="Arial" w:hAnsi="Arial" w:cs="Arial"/>
          <w:i/>
          <w:iCs/>
        </w:rPr>
        <w:t xml:space="preserve"> </w:t>
      </w:r>
      <w:r w:rsidRPr="00F4676D">
        <w:rPr>
          <w:rFonts w:ascii="Arial" w:hAnsi="Arial" w:cs="Arial"/>
        </w:rPr>
        <w:t>Computed by the author</w:t>
      </w:r>
    </w:p>
    <w:p w14:paraId="2E3FF8A2" w14:textId="77777777" w:rsidR="00790ADA" w:rsidRDefault="00790ADA" w:rsidP="00441B6F">
      <w:pPr>
        <w:pStyle w:val="Body"/>
        <w:spacing w:after="0"/>
        <w:rPr>
          <w:rFonts w:ascii="Arial" w:hAnsi="Arial" w:cs="Arial"/>
        </w:rPr>
      </w:pPr>
    </w:p>
    <w:p w14:paraId="5C79A789" w14:textId="77777777" w:rsidR="00905DAD" w:rsidRDefault="00905DAD" w:rsidP="00905DAD">
      <w:pPr>
        <w:pStyle w:val="Body"/>
        <w:spacing w:after="0"/>
        <w:rPr>
          <w:rFonts w:ascii="Arial" w:hAnsi="Arial" w:cs="Arial"/>
          <w:lang w:val="en-IN"/>
        </w:rPr>
      </w:pPr>
      <w:r w:rsidRPr="00905DAD">
        <w:rPr>
          <w:rFonts w:ascii="Arial" w:hAnsi="Arial" w:cs="Arial"/>
          <w:lang w:val="en-IN"/>
        </w:rPr>
        <w:t>The Net Interest Margin (NIM) has a mean of 2.607 and a low standard deviation of 0.360, suggesting stable values clustered closely around 2.6%. Return on Equity (ROE) shows a mean of 4.231 but a high standard deviation of 7.712, reflecting significant variability in profitability relative to equity. Return on Assets (ROA) has a mean of 0.278 and a standard deviation of 0.474, indicating moderate dispersion around a low positive return. The Capital Adequacy Ratio (CAR) has a mean of 13.516 and a standard deviation of 1.767, showing relatively stable capital reserves. The Debt-to-Equity ratio (DE) has a mean of 15.101 and a standard deviation of 2.183, suggesting moderate variation in leverage. Gross Non-Performing Assets (GNPA) has a mean of 9.908 and a standard deviation of 3.384, indicating notable variability in asset quality. The Cost-to-Assets ratio (CTA) has a mean of 3.917 and a standard deviation of 0.719, reflecting stable cost management. Lastly, the Cost-to-Income ratio (CI) has a mean of 46.777 and a standard deviation of 3.331, showing moderate variation in operational efficiency.</w:t>
      </w:r>
    </w:p>
    <w:p w14:paraId="543A1F1E" w14:textId="77777777" w:rsidR="00905DAD" w:rsidRDefault="00905DAD" w:rsidP="00905DAD">
      <w:pPr>
        <w:pStyle w:val="Body"/>
        <w:spacing w:after="0"/>
        <w:rPr>
          <w:rFonts w:ascii="Arial" w:hAnsi="Arial" w:cs="Arial"/>
          <w:lang w:val="en-IN"/>
        </w:rPr>
      </w:pPr>
    </w:p>
    <w:p w14:paraId="73311146" w14:textId="77777777" w:rsidR="00905DAD" w:rsidRDefault="00905DAD" w:rsidP="00905DAD">
      <w:pPr>
        <w:pStyle w:val="Body"/>
        <w:spacing w:after="0"/>
        <w:rPr>
          <w:rFonts w:ascii="Arial" w:hAnsi="Arial" w:cs="Arial"/>
          <w:b/>
          <w:bCs/>
          <w:lang w:val="en-IN"/>
        </w:rPr>
      </w:pPr>
      <w:r w:rsidRPr="00905DAD">
        <w:rPr>
          <w:rFonts w:ascii="Arial" w:hAnsi="Arial" w:cs="Arial"/>
          <w:b/>
          <w:bCs/>
          <w:lang w:val="en-IN"/>
        </w:rPr>
        <w:t>4.2. Correlation Matrix</w:t>
      </w:r>
    </w:p>
    <w:p w14:paraId="35610B8C" w14:textId="77777777" w:rsidR="00905DAD" w:rsidRPr="00905DAD" w:rsidRDefault="00905DAD" w:rsidP="00905DAD">
      <w:pPr>
        <w:pStyle w:val="Body"/>
        <w:spacing w:after="0"/>
        <w:rPr>
          <w:rFonts w:ascii="Arial" w:hAnsi="Arial" w:cs="Arial"/>
          <w:b/>
          <w:bCs/>
          <w:lang w:val="en-IN"/>
        </w:rPr>
      </w:pPr>
    </w:p>
    <w:p w14:paraId="3C70A337" w14:textId="2CA0AA22" w:rsidR="00905DAD" w:rsidRPr="00905DAD" w:rsidRDefault="003A47BA" w:rsidP="00905DAD">
      <w:pPr>
        <w:pStyle w:val="Body"/>
        <w:spacing w:after="0"/>
        <w:rPr>
          <w:rFonts w:ascii="Arial" w:hAnsi="Arial" w:cs="Arial"/>
          <w:lang w:val="en-IN"/>
        </w:rPr>
      </w:pPr>
      <w:r>
        <w:rPr>
          <w:rFonts w:ascii="Arial" w:hAnsi="Arial" w:cs="Arial"/>
          <w:lang w:val="en-IN"/>
        </w:rPr>
        <w:t>Table 3</w:t>
      </w:r>
      <w:r w:rsidRPr="00905DAD">
        <w:rPr>
          <w:rFonts w:ascii="Arial" w:hAnsi="Arial" w:cs="Arial"/>
          <w:lang w:val="en-IN"/>
        </w:rPr>
        <w:t xml:space="preserve"> shows the correlation matrix revealing the relationships between independent variables, with Variance Inflation Factors (VIF) indicating multicollinearity.</w:t>
      </w:r>
    </w:p>
    <w:p w14:paraId="1977C796" w14:textId="77777777" w:rsidR="00905DAD" w:rsidRDefault="00905DAD" w:rsidP="00905DAD">
      <w:pPr>
        <w:pStyle w:val="Body"/>
        <w:spacing w:after="0"/>
        <w:rPr>
          <w:rFonts w:ascii="Arial" w:hAnsi="Arial" w:cs="Arial"/>
          <w:b/>
          <w:bCs/>
          <w:lang w:val="en-IN"/>
        </w:rPr>
      </w:pPr>
    </w:p>
    <w:p w14:paraId="48324754" w14:textId="4C77CD1C" w:rsidR="00905DAD" w:rsidRDefault="00C849F2" w:rsidP="00905DAD">
      <w:pPr>
        <w:pStyle w:val="Body"/>
        <w:spacing w:after="0"/>
        <w:jc w:val="center"/>
        <w:rPr>
          <w:rFonts w:ascii="Arial" w:hAnsi="Arial" w:cs="Arial"/>
          <w:b/>
          <w:bCs/>
          <w:lang w:val="en-IN"/>
        </w:rPr>
      </w:pPr>
      <w:r>
        <w:rPr>
          <w:rFonts w:ascii="Arial" w:hAnsi="Arial" w:cs="Arial"/>
          <w:b/>
          <w:bCs/>
          <w:lang w:val="en-IN"/>
        </w:rPr>
        <w:t>Table 3</w:t>
      </w:r>
      <w:r w:rsidR="00905DAD" w:rsidRPr="00905DAD">
        <w:rPr>
          <w:rFonts w:ascii="Arial" w:hAnsi="Arial" w:cs="Arial"/>
          <w:b/>
          <w:bCs/>
          <w:lang w:val="en-IN"/>
        </w:rPr>
        <w:t>: Correlation Matrix</w:t>
      </w:r>
    </w:p>
    <w:p w14:paraId="476514EC" w14:textId="77777777" w:rsidR="00C73D82" w:rsidRPr="00905DAD" w:rsidRDefault="00C73D82" w:rsidP="00905DAD">
      <w:pPr>
        <w:pStyle w:val="Body"/>
        <w:spacing w:after="0"/>
        <w:jc w:val="center"/>
        <w:rPr>
          <w:rFonts w:ascii="Arial" w:hAnsi="Arial" w:cs="Arial"/>
          <w:b/>
          <w:bCs/>
          <w:lang w:val="en-IN"/>
        </w:rPr>
      </w:pPr>
    </w:p>
    <w:tbl>
      <w:tblPr>
        <w:tblW w:w="0" w:type="auto"/>
        <w:jc w:val="center"/>
        <w:tblLook w:val="04A0" w:firstRow="1" w:lastRow="0" w:firstColumn="1" w:lastColumn="0" w:noHBand="0" w:noVBand="1"/>
      </w:tblPr>
      <w:tblGrid>
        <w:gridCol w:w="850"/>
        <w:gridCol w:w="883"/>
        <w:gridCol w:w="784"/>
        <w:gridCol w:w="784"/>
        <w:gridCol w:w="794"/>
        <w:gridCol w:w="717"/>
        <w:gridCol w:w="717"/>
        <w:gridCol w:w="1094"/>
      </w:tblGrid>
      <w:tr w:rsidR="00905DAD" w:rsidRPr="00905DAD" w14:paraId="0E25A1AD" w14:textId="77777777" w:rsidTr="00B769FB">
        <w:trPr>
          <w:trHeight w:val="290"/>
          <w:jc w:val="center"/>
        </w:trPr>
        <w:tc>
          <w:tcPr>
            <w:tcW w:w="0" w:type="auto"/>
            <w:tcBorders>
              <w:top w:val="single" w:sz="12" w:space="0" w:color="auto"/>
              <w:bottom w:val="single" w:sz="2" w:space="0" w:color="auto"/>
            </w:tcBorders>
            <w:noWrap/>
            <w:vAlign w:val="bottom"/>
            <w:hideMark/>
          </w:tcPr>
          <w:p w14:paraId="4BE72CE5" w14:textId="240EE1DC" w:rsidR="00905DAD" w:rsidRPr="00905DAD" w:rsidRDefault="00905DAD" w:rsidP="000548A3">
            <w:pPr>
              <w:pStyle w:val="Body"/>
              <w:spacing w:after="0"/>
              <w:rPr>
                <w:rFonts w:ascii="Arial" w:hAnsi="Arial" w:cs="Arial"/>
                <w:b/>
                <w:bCs/>
                <w:lang w:val="en-IN"/>
              </w:rPr>
            </w:pPr>
          </w:p>
        </w:tc>
        <w:tc>
          <w:tcPr>
            <w:tcW w:w="0" w:type="auto"/>
            <w:tcBorders>
              <w:top w:val="single" w:sz="12" w:space="0" w:color="auto"/>
              <w:bottom w:val="single" w:sz="2" w:space="0" w:color="auto"/>
            </w:tcBorders>
            <w:noWrap/>
            <w:vAlign w:val="bottom"/>
            <w:hideMark/>
          </w:tcPr>
          <w:p w14:paraId="7EB21CB0"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Merger</w:t>
            </w:r>
          </w:p>
        </w:tc>
        <w:tc>
          <w:tcPr>
            <w:tcW w:w="0" w:type="auto"/>
            <w:tcBorders>
              <w:top w:val="single" w:sz="12" w:space="0" w:color="auto"/>
              <w:bottom w:val="single" w:sz="2" w:space="0" w:color="auto"/>
            </w:tcBorders>
            <w:noWrap/>
            <w:vAlign w:val="bottom"/>
            <w:hideMark/>
          </w:tcPr>
          <w:p w14:paraId="1203816E"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CAR</w:t>
            </w:r>
          </w:p>
        </w:tc>
        <w:tc>
          <w:tcPr>
            <w:tcW w:w="0" w:type="auto"/>
            <w:tcBorders>
              <w:top w:val="single" w:sz="12" w:space="0" w:color="auto"/>
              <w:bottom w:val="single" w:sz="2" w:space="0" w:color="auto"/>
            </w:tcBorders>
            <w:noWrap/>
            <w:vAlign w:val="bottom"/>
            <w:hideMark/>
          </w:tcPr>
          <w:p w14:paraId="2B89053F"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DE</w:t>
            </w:r>
          </w:p>
        </w:tc>
        <w:tc>
          <w:tcPr>
            <w:tcW w:w="0" w:type="auto"/>
            <w:tcBorders>
              <w:top w:val="single" w:sz="12" w:space="0" w:color="auto"/>
              <w:bottom w:val="single" w:sz="2" w:space="0" w:color="auto"/>
            </w:tcBorders>
            <w:noWrap/>
            <w:vAlign w:val="bottom"/>
            <w:hideMark/>
          </w:tcPr>
          <w:p w14:paraId="429B02C6"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GNPA</w:t>
            </w:r>
          </w:p>
        </w:tc>
        <w:tc>
          <w:tcPr>
            <w:tcW w:w="0" w:type="auto"/>
            <w:tcBorders>
              <w:top w:val="single" w:sz="12" w:space="0" w:color="auto"/>
              <w:bottom w:val="single" w:sz="2" w:space="0" w:color="auto"/>
            </w:tcBorders>
            <w:noWrap/>
            <w:vAlign w:val="bottom"/>
            <w:hideMark/>
          </w:tcPr>
          <w:p w14:paraId="4FC64B4F"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CTA</w:t>
            </w:r>
          </w:p>
        </w:tc>
        <w:tc>
          <w:tcPr>
            <w:tcW w:w="0" w:type="auto"/>
            <w:tcBorders>
              <w:top w:val="single" w:sz="12" w:space="0" w:color="auto"/>
              <w:bottom w:val="single" w:sz="2" w:space="0" w:color="auto"/>
            </w:tcBorders>
            <w:noWrap/>
            <w:vAlign w:val="bottom"/>
            <w:hideMark/>
          </w:tcPr>
          <w:p w14:paraId="0543E653"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CI</w:t>
            </w:r>
          </w:p>
        </w:tc>
        <w:tc>
          <w:tcPr>
            <w:tcW w:w="0" w:type="auto"/>
            <w:tcBorders>
              <w:top w:val="single" w:sz="12" w:space="0" w:color="auto"/>
              <w:bottom w:val="single" w:sz="2" w:space="0" w:color="auto"/>
              <w:right w:val="single" w:sz="4" w:space="0" w:color="auto"/>
            </w:tcBorders>
            <w:noWrap/>
            <w:vAlign w:val="bottom"/>
            <w:hideMark/>
          </w:tcPr>
          <w:p w14:paraId="18E7C2B7"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Mean VIF</w:t>
            </w:r>
          </w:p>
        </w:tc>
      </w:tr>
      <w:tr w:rsidR="00905DAD" w:rsidRPr="00905DAD" w14:paraId="799A3E45" w14:textId="77777777" w:rsidTr="00B769FB">
        <w:trPr>
          <w:trHeight w:val="290"/>
          <w:jc w:val="center"/>
        </w:trPr>
        <w:tc>
          <w:tcPr>
            <w:tcW w:w="0" w:type="auto"/>
            <w:tcBorders>
              <w:top w:val="single" w:sz="2" w:space="0" w:color="auto"/>
            </w:tcBorders>
            <w:noWrap/>
            <w:vAlign w:val="bottom"/>
            <w:hideMark/>
          </w:tcPr>
          <w:p w14:paraId="54B8305B"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Merger</w:t>
            </w:r>
          </w:p>
        </w:tc>
        <w:tc>
          <w:tcPr>
            <w:tcW w:w="0" w:type="auto"/>
            <w:tcBorders>
              <w:top w:val="single" w:sz="2" w:space="0" w:color="auto"/>
            </w:tcBorders>
            <w:noWrap/>
            <w:vAlign w:val="bottom"/>
            <w:hideMark/>
          </w:tcPr>
          <w:p w14:paraId="3923E9FA"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1</w:t>
            </w:r>
          </w:p>
        </w:tc>
        <w:tc>
          <w:tcPr>
            <w:tcW w:w="0" w:type="auto"/>
            <w:tcBorders>
              <w:top w:val="single" w:sz="2" w:space="0" w:color="auto"/>
            </w:tcBorders>
            <w:noWrap/>
            <w:vAlign w:val="bottom"/>
            <w:hideMark/>
          </w:tcPr>
          <w:p w14:paraId="31D3EA45" w14:textId="77777777" w:rsidR="00905DAD" w:rsidRPr="00905DAD" w:rsidRDefault="00905DAD" w:rsidP="000548A3">
            <w:pPr>
              <w:pStyle w:val="Body"/>
              <w:spacing w:after="0"/>
              <w:rPr>
                <w:rFonts w:ascii="Arial" w:hAnsi="Arial" w:cs="Arial"/>
                <w:lang w:val="en-IN"/>
              </w:rPr>
            </w:pPr>
          </w:p>
        </w:tc>
        <w:tc>
          <w:tcPr>
            <w:tcW w:w="0" w:type="auto"/>
            <w:tcBorders>
              <w:top w:val="single" w:sz="2" w:space="0" w:color="auto"/>
            </w:tcBorders>
            <w:noWrap/>
            <w:vAlign w:val="bottom"/>
            <w:hideMark/>
          </w:tcPr>
          <w:p w14:paraId="29CF39BA" w14:textId="77777777" w:rsidR="00905DAD" w:rsidRPr="00905DAD" w:rsidRDefault="00905DAD" w:rsidP="000548A3">
            <w:pPr>
              <w:pStyle w:val="Body"/>
              <w:spacing w:after="0"/>
              <w:rPr>
                <w:rFonts w:ascii="Arial" w:hAnsi="Arial" w:cs="Arial"/>
                <w:lang w:val="en-IN"/>
              </w:rPr>
            </w:pPr>
          </w:p>
        </w:tc>
        <w:tc>
          <w:tcPr>
            <w:tcW w:w="0" w:type="auto"/>
            <w:tcBorders>
              <w:top w:val="single" w:sz="2" w:space="0" w:color="auto"/>
            </w:tcBorders>
            <w:noWrap/>
            <w:vAlign w:val="bottom"/>
            <w:hideMark/>
          </w:tcPr>
          <w:p w14:paraId="0DE65430" w14:textId="77777777" w:rsidR="00905DAD" w:rsidRPr="00905DAD" w:rsidRDefault="00905DAD" w:rsidP="000548A3">
            <w:pPr>
              <w:pStyle w:val="Body"/>
              <w:spacing w:after="0"/>
              <w:rPr>
                <w:rFonts w:ascii="Arial" w:hAnsi="Arial" w:cs="Arial"/>
                <w:lang w:val="en-IN"/>
              </w:rPr>
            </w:pPr>
          </w:p>
        </w:tc>
        <w:tc>
          <w:tcPr>
            <w:tcW w:w="0" w:type="auto"/>
            <w:tcBorders>
              <w:top w:val="single" w:sz="2" w:space="0" w:color="auto"/>
            </w:tcBorders>
            <w:noWrap/>
            <w:vAlign w:val="bottom"/>
            <w:hideMark/>
          </w:tcPr>
          <w:p w14:paraId="58387114" w14:textId="77777777" w:rsidR="00905DAD" w:rsidRPr="00905DAD" w:rsidRDefault="00905DAD" w:rsidP="000548A3">
            <w:pPr>
              <w:pStyle w:val="Body"/>
              <w:spacing w:after="0"/>
              <w:rPr>
                <w:rFonts w:ascii="Arial" w:hAnsi="Arial" w:cs="Arial"/>
                <w:lang w:val="en-IN"/>
              </w:rPr>
            </w:pPr>
          </w:p>
        </w:tc>
        <w:tc>
          <w:tcPr>
            <w:tcW w:w="0" w:type="auto"/>
            <w:tcBorders>
              <w:top w:val="single" w:sz="2" w:space="0" w:color="auto"/>
            </w:tcBorders>
            <w:noWrap/>
            <w:vAlign w:val="bottom"/>
            <w:hideMark/>
          </w:tcPr>
          <w:p w14:paraId="0856FC96" w14:textId="77777777" w:rsidR="00905DAD" w:rsidRPr="00905DAD" w:rsidRDefault="00905DAD" w:rsidP="000548A3">
            <w:pPr>
              <w:pStyle w:val="Body"/>
              <w:spacing w:after="0"/>
              <w:rPr>
                <w:rFonts w:ascii="Arial" w:hAnsi="Arial" w:cs="Arial"/>
                <w:lang w:val="en-IN"/>
              </w:rPr>
            </w:pPr>
          </w:p>
        </w:tc>
        <w:tc>
          <w:tcPr>
            <w:tcW w:w="0" w:type="auto"/>
            <w:tcBorders>
              <w:top w:val="single" w:sz="2" w:space="0" w:color="auto"/>
              <w:right w:val="single" w:sz="4" w:space="0" w:color="auto"/>
            </w:tcBorders>
            <w:noWrap/>
            <w:vAlign w:val="bottom"/>
            <w:hideMark/>
          </w:tcPr>
          <w:p w14:paraId="0C24C4B0" w14:textId="77777777" w:rsidR="00905DAD" w:rsidRPr="00905DAD" w:rsidRDefault="00905DAD" w:rsidP="000548A3">
            <w:pPr>
              <w:pStyle w:val="Body"/>
              <w:spacing w:after="0"/>
              <w:rPr>
                <w:rFonts w:ascii="Arial" w:hAnsi="Arial" w:cs="Arial"/>
                <w:lang w:val="en-IN"/>
              </w:rPr>
            </w:pPr>
          </w:p>
        </w:tc>
      </w:tr>
      <w:tr w:rsidR="00905DAD" w:rsidRPr="00905DAD" w14:paraId="400AF7B7" w14:textId="77777777" w:rsidTr="00B769FB">
        <w:trPr>
          <w:trHeight w:val="290"/>
          <w:jc w:val="center"/>
        </w:trPr>
        <w:tc>
          <w:tcPr>
            <w:tcW w:w="0" w:type="auto"/>
            <w:tcBorders>
              <w:top w:val="nil"/>
            </w:tcBorders>
            <w:noWrap/>
            <w:vAlign w:val="bottom"/>
            <w:hideMark/>
          </w:tcPr>
          <w:p w14:paraId="2D53CEF5"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CAR</w:t>
            </w:r>
          </w:p>
        </w:tc>
        <w:tc>
          <w:tcPr>
            <w:tcW w:w="0" w:type="auto"/>
            <w:tcBorders>
              <w:top w:val="nil"/>
            </w:tcBorders>
            <w:noWrap/>
            <w:vAlign w:val="bottom"/>
            <w:hideMark/>
          </w:tcPr>
          <w:p w14:paraId="03376A72"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0.688</w:t>
            </w:r>
          </w:p>
        </w:tc>
        <w:tc>
          <w:tcPr>
            <w:tcW w:w="0" w:type="auto"/>
            <w:tcBorders>
              <w:top w:val="nil"/>
            </w:tcBorders>
            <w:noWrap/>
            <w:vAlign w:val="bottom"/>
            <w:hideMark/>
          </w:tcPr>
          <w:p w14:paraId="7FFB37EE"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1</w:t>
            </w:r>
          </w:p>
        </w:tc>
        <w:tc>
          <w:tcPr>
            <w:tcW w:w="0" w:type="auto"/>
            <w:tcBorders>
              <w:top w:val="nil"/>
            </w:tcBorders>
            <w:noWrap/>
            <w:vAlign w:val="bottom"/>
            <w:hideMark/>
          </w:tcPr>
          <w:p w14:paraId="639D9F38" w14:textId="77777777" w:rsidR="00905DAD" w:rsidRPr="00905DAD" w:rsidRDefault="00905DAD" w:rsidP="000548A3">
            <w:pPr>
              <w:pStyle w:val="Body"/>
              <w:spacing w:after="0"/>
              <w:rPr>
                <w:rFonts w:ascii="Arial" w:hAnsi="Arial" w:cs="Arial"/>
                <w:lang w:val="en-IN"/>
              </w:rPr>
            </w:pPr>
          </w:p>
        </w:tc>
        <w:tc>
          <w:tcPr>
            <w:tcW w:w="0" w:type="auto"/>
            <w:tcBorders>
              <w:top w:val="nil"/>
            </w:tcBorders>
            <w:noWrap/>
            <w:vAlign w:val="bottom"/>
            <w:hideMark/>
          </w:tcPr>
          <w:p w14:paraId="30F21E8E" w14:textId="77777777" w:rsidR="00905DAD" w:rsidRPr="00905DAD" w:rsidRDefault="00905DAD" w:rsidP="000548A3">
            <w:pPr>
              <w:pStyle w:val="Body"/>
              <w:spacing w:after="0"/>
              <w:rPr>
                <w:rFonts w:ascii="Arial" w:hAnsi="Arial" w:cs="Arial"/>
                <w:lang w:val="en-IN"/>
              </w:rPr>
            </w:pPr>
          </w:p>
        </w:tc>
        <w:tc>
          <w:tcPr>
            <w:tcW w:w="0" w:type="auto"/>
            <w:tcBorders>
              <w:top w:val="nil"/>
            </w:tcBorders>
            <w:noWrap/>
            <w:vAlign w:val="bottom"/>
            <w:hideMark/>
          </w:tcPr>
          <w:p w14:paraId="538B070D" w14:textId="77777777" w:rsidR="00905DAD" w:rsidRPr="00905DAD" w:rsidRDefault="00905DAD" w:rsidP="000548A3">
            <w:pPr>
              <w:pStyle w:val="Body"/>
              <w:spacing w:after="0"/>
              <w:rPr>
                <w:rFonts w:ascii="Arial" w:hAnsi="Arial" w:cs="Arial"/>
                <w:lang w:val="en-IN"/>
              </w:rPr>
            </w:pPr>
          </w:p>
        </w:tc>
        <w:tc>
          <w:tcPr>
            <w:tcW w:w="0" w:type="auto"/>
            <w:tcBorders>
              <w:top w:val="nil"/>
            </w:tcBorders>
            <w:noWrap/>
            <w:vAlign w:val="bottom"/>
            <w:hideMark/>
          </w:tcPr>
          <w:p w14:paraId="179A52EB" w14:textId="77777777" w:rsidR="00905DAD" w:rsidRPr="00905DAD" w:rsidRDefault="00905DAD" w:rsidP="000548A3">
            <w:pPr>
              <w:pStyle w:val="Body"/>
              <w:spacing w:after="0"/>
              <w:rPr>
                <w:rFonts w:ascii="Arial" w:hAnsi="Arial" w:cs="Arial"/>
                <w:lang w:val="en-IN"/>
              </w:rPr>
            </w:pPr>
          </w:p>
        </w:tc>
        <w:tc>
          <w:tcPr>
            <w:tcW w:w="0" w:type="auto"/>
            <w:tcBorders>
              <w:top w:val="nil"/>
              <w:right w:val="single" w:sz="4" w:space="0" w:color="auto"/>
            </w:tcBorders>
            <w:noWrap/>
            <w:vAlign w:val="bottom"/>
            <w:hideMark/>
          </w:tcPr>
          <w:p w14:paraId="166BC901" w14:textId="77777777" w:rsidR="00905DAD" w:rsidRPr="00905DAD" w:rsidRDefault="00905DAD" w:rsidP="000548A3">
            <w:pPr>
              <w:pStyle w:val="Body"/>
              <w:spacing w:after="0"/>
              <w:rPr>
                <w:rFonts w:ascii="Arial" w:hAnsi="Arial" w:cs="Arial"/>
                <w:lang w:val="en-IN"/>
              </w:rPr>
            </w:pPr>
          </w:p>
        </w:tc>
      </w:tr>
      <w:tr w:rsidR="00905DAD" w:rsidRPr="00905DAD" w14:paraId="7ACE31F1" w14:textId="77777777" w:rsidTr="00B769FB">
        <w:trPr>
          <w:trHeight w:val="290"/>
          <w:jc w:val="center"/>
        </w:trPr>
        <w:tc>
          <w:tcPr>
            <w:tcW w:w="0" w:type="auto"/>
            <w:tcBorders>
              <w:top w:val="nil"/>
            </w:tcBorders>
            <w:noWrap/>
            <w:vAlign w:val="bottom"/>
            <w:hideMark/>
          </w:tcPr>
          <w:p w14:paraId="7FCE04D6"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DE</w:t>
            </w:r>
          </w:p>
        </w:tc>
        <w:tc>
          <w:tcPr>
            <w:tcW w:w="0" w:type="auto"/>
            <w:tcBorders>
              <w:top w:val="nil"/>
            </w:tcBorders>
            <w:noWrap/>
            <w:vAlign w:val="bottom"/>
            <w:hideMark/>
          </w:tcPr>
          <w:p w14:paraId="1D9C9263"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-0.049</w:t>
            </w:r>
          </w:p>
        </w:tc>
        <w:tc>
          <w:tcPr>
            <w:tcW w:w="0" w:type="auto"/>
            <w:tcBorders>
              <w:top w:val="nil"/>
            </w:tcBorders>
            <w:noWrap/>
            <w:vAlign w:val="bottom"/>
            <w:hideMark/>
          </w:tcPr>
          <w:p w14:paraId="1AA89132"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-0.333</w:t>
            </w:r>
          </w:p>
        </w:tc>
        <w:tc>
          <w:tcPr>
            <w:tcW w:w="0" w:type="auto"/>
            <w:tcBorders>
              <w:top w:val="nil"/>
            </w:tcBorders>
            <w:noWrap/>
            <w:vAlign w:val="bottom"/>
            <w:hideMark/>
          </w:tcPr>
          <w:p w14:paraId="4FD6EB9A"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1</w:t>
            </w:r>
          </w:p>
        </w:tc>
        <w:tc>
          <w:tcPr>
            <w:tcW w:w="0" w:type="auto"/>
            <w:tcBorders>
              <w:top w:val="nil"/>
            </w:tcBorders>
            <w:noWrap/>
            <w:vAlign w:val="bottom"/>
            <w:hideMark/>
          </w:tcPr>
          <w:p w14:paraId="031954E1" w14:textId="77777777" w:rsidR="00905DAD" w:rsidRPr="00905DAD" w:rsidRDefault="00905DAD" w:rsidP="000548A3">
            <w:pPr>
              <w:pStyle w:val="Body"/>
              <w:spacing w:after="0"/>
              <w:rPr>
                <w:rFonts w:ascii="Arial" w:hAnsi="Arial" w:cs="Arial"/>
                <w:lang w:val="en-IN"/>
              </w:rPr>
            </w:pPr>
          </w:p>
        </w:tc>
        <w:tc>
          <w:tcPr>
            <w:tcW w:w="0" w:type="auto"/>
            <w:tcBorders>
              <w:top w:val="nil"/>
            </w:tcBorders>
            <w:noWrap/>
            <w:vAlign w:val="bottom"/>
            <w:hideMark/>
          </w:tcPr>
          <w:p w14:paraId="7DD9FEB9" w14:textId="77777777" w:rsidR="00905DAD" w:rsidRPr="00905DAD" w:rsidRDefault="00905DAD" w:rsidP="000548A3">
            <w:pPr>
              <w:pStyle w:val="Body"/>
              <w:spacing w:after="0"/>
              <w:rPr>
                <w:rFonts w:ascii="Arial" w:hAnsi="Arial" w:cs="Arial"/>
                <w:lang w:val="en-IN"/>
              </w:rPr>
            </w:pPr>
          </w:p>
        </w:tc>
        <w:tc>
          <w:tcPr>
            <w:tcW w:w="0" w:type="auto"/>
            <w:tcBorders>
              <w:top w:val="nil"/>
            </w:tcBorders>
            <w:noWrap/>
            <w:vAlign w:val="bottom"/>
            <w:hideMark/>
          </w:tcPr>
          <w:p w14:paraId="2F0DE7E3" w14:textId="77777777" w:rsidR="00905DAD" w:rsidRPr="00905DAD" w:rsidRDefault="00905DAD" w:rsidP="000548A3">
            <w:pPr>
              <w:pStyle w:val="Body"/>
              <w:spacing w:after="0"/>
              <w:rPr>
                <w:rFonts w:ascii="Arial" w:hAnsi="Arial" w:cs="Arial"/>
                <w:lang w:val="en-IN"/>
              </w:rPr>
            </w:pPr>
          </w:p>
        </w:tc>
        <w:tc>
          <w:tcPr>
            <w:tcW w:w="0" w:type="auto"/>
            <w:tcBorders>
              <w:top w:val="nil"/>
              <w:right w:val="single" w:sz="4" w:space="0" w:color="auto"/>
            </w:tcBorders>
            <w:noWrap/>
            <w:vAlign w:val="bottom"/>
            <w:hideMark/>
          </w:tcPr>
          <w:p w14:paraId="4385B06E" w14:textId="77777777" w:rsidR="00905DAD" w:rsidRPr="00905DAD" w:rsidRDefault="00905DAD" w:rsidP="000548A3">
            <w:pPr>
              <w:pStyle w:val="Body"/>
              <w:spacing w:after="0"/>
              <w:rPr>
                <w:rFonts w:ascii="Arial" w:hAnsi="Arial" w:cs="Arial"/>
                <w:lang w:val="en-IN"/>
              </w:rPr>
            </w:pPr>
          </w:p>
        </w:tc>
      </w:tr>
      <w:tr w:rsidR="00905DAD" w:rsidRPr="00905DAD" w14:paraId="49603319" w14:textId="77777777" w:rsidTr="00B769FB">
        <w:trPr>
          <w:trHeight w:val="290"/>
          <w:jc w:val="center"/>
        </w:trPr>
        <w:tc>
          <w:tcPr>
            <w:tcW w:w="0" w:type="auto"/>
            <w:tcBorders>
              <w:top w:val="nil"/>
            </w:tcBorders>
            <w:noWrap/>
            <w:vAlign w:val="bottom"/>
            <w:hideMark/>
          </w:tcPr>
          <w:p w14:paraId="535EDD6A"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GNPA</w:t>
            </w:r>
          </w:p>
        </w:tc>
        <w:tc>
          <w:tcPr>
            <w:tcW w:w="0" w:type="auto"/>
            <w:tcBorders>
              <w:top w:val="nil"/>
            </w:tcBorders>
            <w:noWrap/>
            <w:vAlign w:val="bottom"/>
            <w:hideMark/>
          </w:tcPr>
          <w:p w14:paraId="796116E0"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-0.346</w:t>
            </w:r>
          </w:p>
        </w:tc>
        <w:tc>
          <w:tcPr>
            <w:tcW w:w="0" w:type="auto"/>
            <w:tcBorders>
              <w:top w:val="nil"/>
            </w:tcBorders>
            <w:noWrap/>
            <w:vAlign w:val="bottom"/>
            <w:hideMark/>
          </w:tcPr>
          <w:p w14:paraId="1CB79ABE"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-0.616</w:t>
            </w:r>
          </w:p>
        </w:tc>
        <w:tc>
          <w:tcPr>
            <w:tcW w:w="0" w:type="auto"/>
            <w:tcBorders>
              <w:top w:val="nil"/>
            </w:tcBorders>
            <w:noWrap/>
            <w:vAlign w:val="bottom"/>
            <w:hideMark/>
          </w:tcPr>
          <w:p w14:paraId="4AB83F2B"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0.123</w:t>
            </w:r>
          </w:p>
        </w:tc>
        <w:tc>
          <w:tcPr>
            <w:tcW w:w="0" w:type="auto"/>
            <w:tcBorders>
              <w:top w:val="nil"/>
            </w:tcBorders>
            <w:noWrap/>
            <w:vAlign w:val="bottom"/>
            <w:hideMark/>
          </w:tcPr>
          <w:p w14:paraId="195C2DCA"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1</w:t>
            </w:r>
          </w:p>
        </w:tc>
        <w:tc>
          <w:tcPr>
            <w:tcW w:w="0" w:type="auto"/>
            <w:tcBorders>
              <w:top w:val="nil"/>
            </w:tcBorders>
            <w:noWrap/>
            <w:vAlign w:val="bottom"/>
            <w:hideMark/>
          </w:tcPr>
          <w:p w14:paraId="005557B5" w14:textId="77777777" w:rsidR="00905DAD" w:rsidRPr="00905DAD" w:rsidRDefault="00905DAD" w:rsidP="000548A3">
            <w:pPr>
              <w:pStyle w:val="Body"/>
              <w:spacing w:after="0"/>
              <w:rPr>
                <w:rFonts w:ascii="Arial" w:hAnsi="Arial" w:cs="Arial"/>
                <w:lang w:val="en-IN"/>
              </w:rPr>
            </w:pPr>
          </w:p>
        </w:tc>
        <w:tc>
          <w:tcPr>
            <w:tcW w:w="0" w:type="auto"/>
            <w:tcBorders>
              <w:top w:val="nil"/>
            </w:tcBorders>
            <w:noWrap/>
            <w:vAlign w:val="bottom"/>
            <w:hideMark/>
          </w:tcPr>
          <w:p w14:paraId="65126C81" w14:textId="77777777" w:rsidR="00905DAD" w:rsidRPr="00905DAD" w:rsidRDefault="00905DAD" w:rsidP="000548A3">
            <w:pPr>
              <w:pStyle w:val="Body"/>
              <w:spacing w:after="0"/>
              <w:rPr>
                <w:rFonts w:ascii="Arial" w:hAnsi="Arial" w:cs="Arial"/>
                <w:lang w:val="en-IN"/>
              </w:rPr>
            </w:pPr>
          </w:p>
        </w:tc>
        <w:tc>
          <w:tcPr>
            <w:tcW w:w="0" w:type="auto"/>
            <w:tcBorders>
              <w:top w:val="nil"/>
              <w:right w:val="single" w:sz="4" w:space="0" w:color="auto"/>
            </w:tcBorders>
            <w:noWrap/>
            <w:vAlign w:val="bottom"/>
            <w:hideMark/>
          </w:tcPr>
          <w:p w14:paraId="0ED98216" w14:textId="77777777" w:rsidR="00905DAD" w:rsidRPr="00905DAD" w:rsidRDefault="00905DAD" w:rsidP="000548A3">
            <w:pPr>
              <w:pStyle w:val="Body"/>
              <w:spacing w:after="0"/>
              <w:rPr>
                <w:rFonts w:ascii="Arial" w:hAnsi="Arial" w:cs="Arial"/>
                <w:lang w:val="en-IN"/>
              </w:rPr>
            </w:pPr>
          </w:p>
        </w:tc>
      </w:tr>
      <w:tr w:rsidR="00905DAD" w:rsidRPr="00905DAD" w14:paraId="0666BFDD" w14:textId="77777777" w:rsidTr="00B769FB">
        <w:trPr>
          <w:trHeight w:val="290"/>
          <w:jc w:val="center"/>
        </w:trPr>
        <w:tc>
          <w:tcPr>
            <w:tcW w:w="0" w:type="auto"/>
            <w:tcBorders>
              <w:top w:val="nil"/>
            </w:tcBorders>
            <w:noWrap/>
            <w:vAlign w:val="bottom"/>
            <w:hideMark/>
          </w:tcPr>
          <w:p w14:paraId="0A952D43"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CTA</w:t>
            </w:r>
          </w:p>
        </w:tc>
        <w:tc>
          <w:tcPr>
            <w:tcW w:w="0" w:type="auto"/>
            <w:tcBorders>
              <w:top w:val="nil"/>
            </w:tcBorders>
            <w:noWrap/>
            <w:vAlign w:val="bottom"/>
            <w:hideMark/>
          </w:tcPr>
          <w:p w14:paraId="17F61B64"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0.232</w:t>
            </w:r>
          </w:p>
        </w:tc>
        <w:tc>
          <w:tcPr>
            <w:tcW w:w="0" w:type="auto"/>
            <w:tcBorders>
              <w:top w:val="nil"/>
            </w:tcBorders>
            <w:noWrap/>
            <w:vAlign w:val="bottom"/>
            <w:hideMark/>
          </w:tcPr>
          <w:p w14:paraId="578579B5"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0.234</w:t>
            </w:r>
          </w:p>
        </w:tc>
        <w:tc>
          <w:tcPr>
            <w:tcW w:w="0" w:type="auto"/>
            <w:tcBorders>
              <w:top w:val="nil"/>
            </w:tcBorders>
            <w:noWrap/>
            <w:vAlign w:val="bottom"/>
            <w:hideMark/>
          </w:tcPr>
          <w:p w14:paraId="369AFF4E"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-0.107</w:t>
            </w:r>
          </w:p>
        </w:tc>
        <w:tc>
          <w:tcPr>
            <w:tcW w:w="0" w:type="auto"/>
            <w:tcBorders>
              <w:top w:val="nil"/>
            </w:tcBorders>
            <w:noWrap/>
            <w:vAlign w:val="bottom"/>
            <w:hideMark/>
          </w:tcPr>
          <w:p w14:paraId="7341120C"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0.063</w:t>
            </w:r>
          </w:p>
        </w:tc>
        <w:tc>
          <w:tcPr>
            <w:tcW w:w="0" w:type="auto"/>
            <w:tcBorders>
              <w:top w:val="nil"/>
            </w:tcBorders>
            <w:noWrap/>
            <w:vAlign w:val="bottom"/>
            <w:hideMark/>
          </w:tcPr>
          <w:p w14:paraId="225E57D6"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1</w:t>
            </w:r>
          </w:p>
        </w:tc>
        <w:tc>
          <w:tcPr>
            <w:tcW w:w="0" w:type="auto"/>
            <w:tcBorders>
              <w:top w:val="nil"/>
            </w:tcBorders>
            <w:noWrap/>
            <w:vAlign w:val="bottom"/>
            <w:hideMark/>
          </w:tcPr>
          <w:p w14:paraId="185C81CA" w14:textId="77777777" w:rsidR="00905DAD" w:rsidRPr="00905DAD" w:rsidRDefault="00905DAD" w:rsidP="000548A3">
            <w:pPr>
              <w:pStyle w:val="Body"/>
              <w:spacing w:after="0"/>
              <w:rPr>
                <w:rFonts w:ascii="Arial" w:hAnsi="Arial" w:cs="Arial"/>
                <w:lang w:val="en-IN"/>
              </w:rPr>
            </w:pPr>
          </w:p>
        </w:tc>
        <w:tc>
          <w:tcPr>
            <w:tcW w:w="0" w:type="auto"/>
            <w:tcBorders>
              <w:top w:val="nil"/>
              <w:right w:val="single" w:sz="4" w:space="0" w:color="auto"/>
            </w:tcBorders>
            <w:noWrap/>
            <w:vAlign w:val="bottom"/>
            <w:hideMark/>
          </w:tcPr>
          <w:p w14:paraId="2FEBDC14" w14:textId="77777777" w:rsidR="00905DAD" w:rsidRPr="00905DAD" w:rsidRDefault="00905DAD" w:rsidP="000548A3">
            <w:pPr>
              <w:pStyle w:val="Body"/>
              <w:spacing w:after="0"/>
              <w:rPr>
                <w:rFonts w:ascii="Arial" w:hAnsi="Arial" w:cs="Arial"/>
                <w:lang w:val="en-IN"/>
              </w:rPr>
            </w:pPr>
          </w:p>
        </w:tc>
      </w:tr>
      <w:tr w:rsidR="00905DAD" w:rsidRPr="00905DAD" w14:paraId="54A3B1A8" w14:textId="77777777" w:rsidTr="00B769FB">
        <w:trPr>
          <w:trHeight w:val="290"/>
          <w:jc w:val="center"/>
        </w:trPr>
        <w:tc>
          <w:tcPr>
            <w:tcW w:w="0" w:type="auto"/>
            <w:tcBorders>
              <w:top w:val="nil"/>
            </w:tcBorders>
            <w:noWrap/>
            <w:vAlign w:val="bottom"/>
            <w:hideMark/>
          </w:tcPr>
          <w:p w14:paraId="2EDB3789"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CI</w:t>
            </w:r>
          </w:p>
        </w:tc>
        <w:tc>
          <w:tcPr>
            <w:tcW w:w="0" w:type="auto"/>
            <w:tcBorders>
              <w:top w:val="nil"/>
            </w:tcBorders>
            <w:noWrap/>
            <w:vAlign w:val="bottom"/>
            <w:hideMark/>
          </w:tcPr>
          <w:p w14:paraId="2AEE49BA"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0.117</w:t>
            </w:r>
          </w:p>
        </w:tc>
        <w:tc>
          <w:tcPr>
            <w:tcW w:w="0" w:type="auto"/>
            <w:tcBorders>
              <w:top w:val="nil"/>
            </w:tcBorders>
            <w:noWrap/>
            <w:vAlign w:val="bottom"/>
            <w:hideMark/>
          </w:tcPr>
          <w:p w14:paraId="128F3EF0"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-0.054</w:t>
            </w:r>
          </w:p>
        </w:tc>
        <w:tc>
          <w:tcPr>
            <w:tcW w:w="0" w:type="auto"/>
            <w:tcBorders>
              <w:top w:val="nil"/>
            </w:tcBorders>
            <w:noWrap/>
            <w:vAlign w:val="bottom"/>
            <w:hideMark/>
          </w:tcPr>
          <w:p w14:paraId="1C6E32EA"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0.207</w:t>
            </w:r>
          </w:p>
        </w:tc>
        <w:tc>
          <w:tcPr>
            <w:tcW w:w="0" w:type="auto"/>
            <w:tcBorders>
              <w:top w:val="nil"/>
            </w:tcBorders>
            <w:noWrap/>
            <w:vAlign w:val="bottom"/>
            <w:hideMark/>
          </w:tcPr>
          <w:p w14:paraId="4AA3F78D"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-0.040</w:t>
            </w:r>
          </w:p>
        </w:tc>
        <w:tc>
          <w:tcPr>
            <w:tcW w:w="0" w:type="auto"/>
            <w:tcBorders>
              <w:top w:val="nil"/>
            </w:tcBorders>
            <w:noWrap/>
            <w:vAlign w:val="bottom"/>
            <w:hideMark/>
          </w:tcPr>
          <w:p w14:paraId="0F5CAD13"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0.009</w:t>
            </w:r>
          </w:p>
        </w:tc>
        <w:tc>
          <w:tcPr>
            <w:tcW w:w="0" w:type="auto"/>
            <w:tcBorders>
              <w:top w:val="nil"/>
            </w:tcBorders>
            <w:noWrap/>
            <w:vAlign w:val="bottom"/>
            <w:hideMark/>
          </w:tcPr>
          <w:p w14:paraId="71686500"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1</w:t>
            </w:r>
          </w:p>
        </w:tc>
        <w:tc>
          <w:tcPr>
            <w:tcW w:w="0" w:type="auto"/>
            <w:tcBorders>
              <w:top w:val="nil"/>
              <w:right w:val="single" w:sz="4" w:space="0" w:color="auto"/>
            </w:tcBorders>
            <w:noWrap/>
            <w:vAlign w:val="bottom"/>
            <w:hideMark/>
          </w:tcPr>
          <w:p w14:paraId="4CF7AC8E" w14:textId="77777777" w:rsidR="00905DAD" w:rsidRPr="00905DAD" w:rsidRDefault="00905DAD" w:rsidP="000548A3">
            <w:pPr>
              <w:pStyle w:val="Body"/>
              <w:spacing w:after="0"/>
              <w:rPr>
                <w:rFonts w:ascii="Arial" w:hAnsi="Arial" w:cs="Arial"/>
                <w:lang w:val="en-IN"/>
              </w:rPr>
            </w:pPr>
          </w:p>
        </w:tc>
      </w:tr>
      <w:tr w:rsidR="00905DAD" w:rsidRPr="00905DAD" w14:paraId="24881913" w14:textId="77777777" w:rsidTr="00B769FB">
        <w:trPr>
          <w:trHeight w:val="290"/>
          <w:jc w:val="center"/>
        </w:trPr>
        <w:tc>
          <w:tcPr>
            <w:tcW w:w="0" w:type="auto"/>
            <w:tcBorders>
              <w:top w:val="nil"/>
            </w:tcBorders>
            <w:noWrap/>
            <w:vAlign w:val="bottom"/>
            <w:hideMark/>
          </w:tcPr>
          <w:p w14:paraId="26E34D5A"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VIF</w:t>
            </w:r>
          </w:p>
        </w:tc>
        <w:tc>
          <w:tcPr>
            <w:tcW w:w="0" w:type="auto"/>
            <w:tcBorders>
              <w:top w:val="nil"/>
            </w:tcBorders>
            <w:noWrap/>
            <w:vAlign w:val="bottom"/>
            <w:hideMark/>
          </w:tcPr>
          <w:p w14:paraId="791B4EEF"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2.180</w:t>
            </w:r>
          </w:p>
        </w:tc>
        <w:tc>
          <w:tcPr>
            <w:tcW w:w="0" w:type="auto"/>
            <w:tcBorders>
              <w:top w:val="nil"/>
            </w:tcBorders>
            <w:noWrap/>
            <w:vAlign w:val="bottom"/>
            <w:hideMark/>
          </w:tcPr>
          <w:p w14:paraId="27B00D7A"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3.570</w:t>
            </w:r>
          </w:p>
        </w:tc>
        <w:tc>
          <w:tcPr>
            <w:tcW w:w="0" w:type="auto"/>
            <w:tcBorders>
              <w:top w:val="nil"/>
            </w:tcBorders>
            <w:noWrap/>
            <w:vAlign w:val="bottom"/>
            <w:hideMark/>
          </w:tcPr>
          <w:p w14:paraId="2801D577"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1.260</w:t>
            </w:r>
          </w:p>
        </w:tc>
        <w:tc>
          <w:tcPr>
            <w:tcW w:w="0" w:type="auto"/>
            <w:tcBorders>
              <w:top w:val="nil"/>
            </w:tcBorders>
            <w:noWrap/>
            <w:vAlign w:val="bottom"/>
            <w:hideMark/>
          </w:tcPr>
          <w:p w14:paraId="69670F65"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1.820</w:t>
            </w:r>
          </w:p>
        </w:tc>
        <w:tc>
          <w:tcPr>
            <w:tcW w:w="0" w:type="auto"/>
            <w:tcBorders>
              <w:top w:val="nil"/>
            </w:tcBorders>
            <w:noWrap/>
            <w:vAlign w:val="bottom"/>
            <w:hideMark/>
          </w:tcPr>
          <w:p w14:paraId="31C67560"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1.150</w:t>
            </w:r>
          </w:p>
        </w:tc>
        <w:tc>
          <w:tcPr>
            <w:tcW w:w="0" w:type="auto"/>
            <w:tcBorders>
              <w:top w:val="nil"/>
            </w:tcBorders>
            <w:noWrap/>
            <w:vAlign w:val="bottom"/>
            <w:hideMark/>
          </w:tcPr>
          <w:p w14:paraId="2591BBFE"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1.090</w:t>
            </w:r>
          </w:p>
        </w:tc>
        <w:tc>
          <w:tcPr>
            <w:tcW w:w="0" w:type="auto"/>
            <w:tcBorders>
              <w:top w:val="nil"/>
              <w:right w:val="single" w:sz="4" w:space="0" w:color="auto"/>
            </w:tcBorders>
            <w:noWrap/>
            <w:vAlign w:val="bottom"/>
            <w:hideMark/>
          </w:tcPr>
          <w:p w14:paraId="62E5CA20"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1.85</w:t>
            </w:r>
          </w:p>
        </w:tc>
      </w:tr>
      <w:tr w:rsidR="00905DAD" w:rsidRPr="00905DAD" w14:paraId="1E1D3560" w14:textId="77777777" w:rsidTr="00B769FB">
        <w:trPr>
          <w:trHeight w:val="290"/>
          <w:jc w:val="center"/>
        </w:trPr>
        <w:tc>
          <w:tcPr>
            <w:tcW w:w="0" w:type="auto"/>
            <w:tcBorders>
              <w:top w:val="nil"/>
              <w:bottom w:val="single" w:sz="12" w:space="0" w:color="auto"/>
            </w:tcBorders>
            <w:noWrap/>
            <w:vAlign w:val="bottom"/>
            <w:hideMark/>
          </w:tcPr>
          <w:p w14:paraId="1436B384"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1/VIF</w:t>
            </w:r>
          </w:p>
        </w:tc>
        <w:tc>
          <w:tcPr>
            <w:tcW w:w="0" w:type="auto"/>
            <w:tcBorders>
              <w:top w:val="nil"/>
              <w:bottom w:val="single" w:sz="12" w:space="0" w:color="auto"/>
            </w:tcBorders>
            <w:noWrap/>
            <w:vAlign w:val="bottom"/>
            <w:hideMark/>
          </w:tcPr>
          <w:p w14:paraId="1191789E"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0.458</w:t>
            </w:r>
          </w:p>
        </w:tc>
        <w:tc>
          <w:tcPr>
            <w:tcW w:w="0" w:type="auto"/>
            <w:tcBorders>
              <w:top w:val="nil"/>
              <w:bottom w:val="single" w:sz="12" w:space="0" w:color="auto"/>
            </w:tcBorders>
            <w:noWrap/>
            <w:vAlign w:val="bottom"/>
            <w:hideMark/>
          </w:tcPr>
          <w:p w14:paraId="14CCF894"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0.280</w:t>
            </w:r>
          </w:p>
        </w:tc>
        <w:tc>
          <w:tcPr>
            <w:tcW w:w="0" w:type="auto"/>
            <w:tcBorders>
              <w:top w:val="nil"/>
              <w:bottom w:val="single" w:sz="12" w:space="0" w:color="auto"/>
            </w:tcBorders>
            <w:noWrap/>
            <w:vAlign w:val="bottom"/>
            <w:hideMark/>
          </w:tcPr>
          <w:p w14:paraId="1668FB91"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0.792</w:t>
            </w:r>
          </w:p>
        </w:tc>
        <w:tc>
          <w:tcPr>
            <w:tcW w:w="0" w:type="auto"/>
            <w:tcBorders>
              <w:top w:val="nil"/>
              <w:bottom w:val="single" w:sz="12" w:space="0" w:color="auto"/>
            </w:tcBorders>
            <w:noWrap/>
            <w:vAlign w:val="bottom"/>
            <w:hideMark/>
          </w:tcPr>
          <w:p w14:paraId="5487AD2F"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0.550</w:t>
            </w:r>
          </w:p>
        </w:tc>
        <w:tc>
          <w:tcPr>
            <w:tcW w:w="0" w:type="auto"/>
            <w:tcBorders>
              <w:top w:val="nil"/>
              <w:bottom w:val="single" w:sz="12" w:space="0" w:color="auto"/>
            </w:tcBorders>
            <w:noWrap/>
            <w:vAlign w:val="bottom"/>
            <w:hideMark/>
          </w:tcPr>
          <w:p w14:paraId="740BD729"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0.871</w:t>
            </w:r>
          </w:p>
        </w:tc>
        <w:tc>
          <w:tcPr>
            <w:tcW w:w="0" w:type="auto"/>
            <w:tcBorders>
              <w:top w:val="nil"/>
              <w:bottom w:val="single" w:sz="12" w:space="0" w:color="auto"/>
            </w:tcBorders>
            <w:noWrap/>
            <w:vAlign w:val="bottom"/>
            <w:hideMark/>
          </w:tcPr>
          <w:p w14:paraId="054A401A"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0.918</w:t>
            </w:r>
          </w:p>
        </w:tc>
        <w:tc>
          <w:tcPr>
            <w:tcW w:w="0" w:type="auto"/>
            <w:tcBorders>
              <w:top w:val="nil"/>
              <w:bottom w:val="single" w:sz="12" w:space="0" w:color="auto"/>
              <w:right w:val="nil"/>
            </w:tcBorders>
            <w:noWrap/>
            <w:vAlign w:val="bottom"/>
            <w:hideMark/>
          </w:tcPr>
          <w:p w14:paraId="0C89D0D5" w14:textId="77777777" w:rsidR="00905DAD" w:rsidRPr="00905DAD" w:rsidRDefault="00905DAD" w:rsidP="000548A3">
            <w:pPr>
              <w:pStyle w:val="Body"/>
              <w:spacing w:after="0"/>
              <w:rPr>
                <w:rFonts w:ascii="Arial" w:hAnsi="Arial" w:cs="Arial"/>
                <w:lang w:val="en-IN"/>
              </w:rPr>
            </w:pPr>
          </w:p>
        </w:tc>
      </w:tr>
    </w:tbl>
    <w:p w14:paraId="61956DFA" w14:textId="77777777" w:rsidR="00905DAD" w:rsidRDefault="00905DAD" w:rsidP="00810AA9">
      <w:pPr>
        <w:pStyle w:val="Body"/>
        <w:spacing w:after="0"/>
        <w:jc w:val="center"/>
        <w:rPr>
          <w:rFonts w:ascii="Arial" w:hAnsi="Arial" w:cs="Arial"/>
          <w:i/>
          <w:iCs/>
          <w:lang w:val="en-IN"/>
        </w:rPr>
      </w:pPr>
      <w:r w:rsidRPr="00905DAD">
        <w:rPr>
          <w:rFonts w:ascii="Arial" w:hAnsi="Arial" w:cs="Arial"/>
          <w:i/>
          <w:iCs/>
          <w:lang w:val="en-IN"/>
        </w:rPr>
        <w:t>Source: Computed by the author</w:t>
      </w:r>
    </w:p>
    <w:p w14:paraId="5258BA38" w14:textId="77777777" w:rsidR="00810AA9" w:rsidRPr="00905DAD" w:rsidRDefault="00810AA9" w:rsidP="00810AA9">
      <w:pPr>
        <w:pStyle w:val="Body"/>
        <w:spacing w:after="0"/>
        <w:jc w:val="center"/>
        <w:rPr>
          <w:rFonts w:ascii="Arial" w:hAnsi="Arial" w:cs="Arial"/>
          <w:i/>
          <w:iCs/>
          <w:lang w:val="en-IN"/>
        </w:rPr>
      </w:pPr>
    </w:p>
    <w:p w14:paraId="3CA90250" w14:textId="290E85CC" w:rsidR="00905DAD" w:rsidRDefault="003A47BA" w:rsidP="00905DAD">
      <w:pPr>
        <w:pStyle w:val="Body"/>
        <w:spacing w:after="0"/>
        <w:rPr>
          <w:rFonts w:ascii="Arial" w:hAnsi="Arial" w:cs="Arial"/>
          <w:lang w:val="en-IN"/>
        </w:rPr>
      </w:pPr>
      <w:r w:rsidRPr="00905DAD">
        <w:rPr>
          <w:rFonts w:ascii="Arial" w:hAnsi="Arial" w:cs="Arial"/>
          <w:lang w:val="en-IN"/>
        </w:rPr>
        <w:t>The strongest positive correlation is between "merger" and CAR (0.68</w:t>
      </w:r>
      <w:r w:rsidR="00801AF8">
        <w:rPr>
          <w:rFonts w:ascii="Arial" w:hAnsi="Arial" w:cs="Arial"/>
          <w:lang w:val="en-IN"/>
        </w:rPr>
        <w:t>8</w:t>
      </w:r>
      <w:r w:rsidRPr="00905DAD">
        <w:rPr>
          <w:rFonts w:ascii="Arial" w:hAnsi="Arial" w:cs="Arial"/>
          <w:lang w:val="en-IN"/>
        </w:rPr>
        <w:t>), suggesting that mergers are associated with higher capital adequacy ratios.</w:t>
      </w:r>
      <w:r w:rsidR="00905DAD" w:rsidRPr="00905DAD">
        <w:rPr>
          <w:rFonts w:ascii="Arial" w:hAnsi="Arial" w:cs="Arial"/>
          <w:lang w:val="en-IN"/>
        </w:rPr>
        <w:t xml:space="preserve"> CAR also shows a strong negative correlation with GNPA (-0.61</w:t>
      </w:r>
      <w:r w:rsidR="00801AF8">
        <w:rPr>
          <w:rFonts w:ascii="Arial" w:hAnsi="Arial" w:cs="Arial"/>
          <w:lang w:val="en-IN"/>
        </w:rPr>
        <w:t>6</w:t>
      </w:r>
      <w:r w:rsidR="00905DAD" w:rsidRPr="00905DAD">
        <w:rPr>
          <w:rFonts w:ascii="Arial" w:hAnsi="Arial" w:cs="Arial"/>
          <w:lang w:val="en-IN"/>
        </w:rPr>
        <w:t xml:space="preserve">), indicating </w:t>
      </w:r>
      <w:r w:rsidR="00C849F2">
        <w:rPr>
          <w:rFonts w:ascii="Arial" w:hAnsi="Arial" w:cs="Arial"/>
          <w:lang w:val="en-IN"/>
        </w:rPr>
        <w:t xml:space="preserve">that </w:t>
      </w:r>
      <w:r w:rsidR="00905DAD" w:rsidRPr="00905DAD">
        <w:rPr>
          <w:rFonts w:ascii="Arial" w:hAnsi="Arial" w:cs="Arial"/>
          <w:lang w:val="en-IN"/>
        </w:rPr>
        <w:t xml:space="preserve">higher capital reserves are linked to lower non-performing assets. </w:t>
      </w:r>
      <w:r w:rsidRPr="00905DAD">
        <w:rPr>
          <w:rFonts w:ascii="Arial" w:hAnsi="Arial" w:cs="Arial"/>
          <w:lang w:val="en-IN"/>
        </w:rPr>
        <w:t>DE has a weak negative correlation with CAR (-0.333) and a weak positive correlation with CI (0.207), suggesting an association between leverage and cost-to-income ratios.</w:t>
      </w:r>
      <w:r w:rsidR="00905DAD" w:rsidRPr="00905DAD">
        <w:rPr>
          <w:rFonts w:ascii="Arial" w:hAnsi="Arial" w:cs="Arial"/>
          <w:lang w:val="en-IN"/>
        </w:rPr>
        <w:t xml:space="preserve"> </w:t>
      </w:r>
      <w:r w:rsidRPr="00905DAD">
        <w:rPr>
          <w:rFonts w:ascii="Arial" w:hAnsi="Arial" w:cs="Arial"/>
          <w:lang w:val="en-IN"/>
        </w:rPr>
        <w:t>GNPA has a moderate negative correlation with "merger" (-0.346), implying that mergers may be linked to better asset quality.</w:t>
      </w:r>
      <w:r w:rsidR="00905DAD" w:rsidRPr="00905DAD">
        <w:rPr>
          <w:rFonts w:ascii="Arial" w:hAnsi="Arial" w:cs="Arial"/>
          <w:lang w:val="en-IN"/>
        </w:rPr>
        <w:t xml:space="preserve"> CTA shows weak positive correlations with "merger" (0.23</w:t>
      </w:r>
      <w:r w:rsidR="00801AF8">
        <w:rPr>
          <w:rFonts w:ascii="Arial" w:hAnsi="Arial" w:cs="Arial"/>
          <w:lang w:val="en-IN"/>
        </w:rPr>
        <w:t>2</w:t>
      </w:r>
      <w:r w:rsidR="00905DAD" w:rsidRPr="00905DAD">
        <w:rPr>
          <w:rFonts w:ascii="Arial" w:hAnsi="Arial" w:cs="Arial"/>
          <w:lang w:val="en-IN"/>
        </w:rPr>
        <w:t>) and CAR (0.23</w:t>
      </w:r>
      <w:r w:rsidR="00801AF8">
        <w:rPr>
          <w:rFonts w:ascii="Arial" w:hAnsi="Arial" w:cs="Arial"/>
          <w:lang w:val="en-IN"/>
        </w:rPr>
        <w:t>4</w:t>
      </w:r>
      <w:r w:rsidR="00905DAD" w:rsidRPr="00905DAD">
        <w:rPr>
          <w:rFonts w:ascii="Arial" w:hAnsi="Arial" w:cs="Arial"/>
          <w:lang w:val="en-IN"/>
        </w:rPr>
        <w:t xml:space="preserve">), while CI has minimal correlations with other variables, with the strongest being a weak positive link with DE (0.207). </w:t>
      </w:r>
      <w:r w:rsidRPr="00905DAD">
        <w:rPr>
          <w:rFonts w:ascii="Arial" w:hAnsi="Arial" w:cs="Arial"/>
          <w:lang w:val="en-IN"/>
        </w:rPr>
        <w:t>Overall, the correlations were generally weak to moderate, with no extreme multicollinearity issues based on the VIF values.</w:t>
      </w:r>
    </w:p>
    <w:p w14:paraId="1EA6DD8C" w14:textId="77777777" w:rsidR="000548A3" w:rsidRPr="00905DAD" w:rsidRDefault="000548A3" w:rsidP="00905DAD">
      <w:pPr>
        <w:pStyle w:val="Body"/>
        <w:spacing w:after="0"/>
        <w:rPr>
          <w:rFonts w:ascii="Arial" w:hAnsi="Arial" w:cs="Arial"/>
          <w:lang w:val="en-IN"/>
        </w:rPr>
      </w:pPr>
    </w:p>
    <w:p w14:paraId="3ACA7F85" w14:textId="48DCDEC8" w:rsidR="00905DAD" w:rsidRDefault="00905DAD" w:rsidP="00810AA9">
      <w:pPr>
        <w:pStyle w:val="Body"/>
        <w:spacing w:after="0"/>
        <w:rPr>
          <w:rFonts w:ascii="Arial" w:hAnsi="Arial" w:cs="Arial"/>
          <w:b/>
          <w:bCs/>
          <w:lang w:val="en-IN"/>
        </w:rPr>
      </w:pPr>
      <w:r w:rsidRPr="00905DAD">
        <w:rPr>
          <w:rFonts w:ascii="Arial" w:hAnsi="Arial" w:cs="Arial"/>
          <w:b/>
          <w:bCs/>
          <w:lang w:val="en-IN"/>
        </w:rPr>
        <w:t xml:space="preserve">4.3. Regression model taking </w:t>
      </w:r>
      <w:r w:rsidR="00C849F2">
        <w:rPr>
          <w:rFonts w:ascii="Arial" w:hAnsi="Arial" w:cs="Arial"/>
          <w:b/>
          <w:bCs/>
          <w:lang w:val="en-IN"/>
        </w:rPr>
        <w:t xml:space="preserve">the </w:t>
      </w:r>
      <w:r w:rsidRPr="00905DAD">
        <w:rPr>
          <w:rFonts w:ascii="Arial" w:hAnsi="Arial" w:cs="Arial"/>
          <w:b/>
          <w:bCs/>
          <w:lang w:val="en-IN"/>
        </w:rPr>
        <w:t>dependent variable as NIM</w:t>
      </w:r>
    </w:p>
    <w:p w14:paraId="0384ACEC" w14:textId="77777777" w:rsidR="00810AA9" w:rsidRPr="00905DAD" w:rsidRDefault="00810AA9" w:rsidP="00810AA9">
      <w:pPr>
        <w:pStyle w:val="Body"/>
        <w:spacing w:after="0"/>
        <w:rPr>
          <w:rFonts w:ascii="Arial" w:hAnsi="Arial" w:cs="Arial"/>
          <w:b/>
          <w:bCs/>
          <w:lang w:val="en-IN"/>
        </w:rPr>
      </w:pPr>
    </w:p>
    <w:p w14:paraId="058ADD99" w14:textId="3F9541E4" w:rsidR="00905DAD" w:rsidRDefault="003A47BA" w:rsidP="00810AA9">
      <w:pPr>
        <w:pStyle w:val="Body"/>
        <w:spacing w:after="0"/>
        <w:rPr>
          <w:rFonts w:ascii="Arial" w:hAnsi="Arial" w:cs="Arial"/>
          <w:lang w:val="en-IN"/>
        </w:rPr>
      </w:pPr>
      <w:r w:rsidRPr="00905DAD">
        <w:rPr>
          <w:rFonts w:ascii="Arial" w:hAnsi="Arial" w:cs="Arial"/>
          <w:lang w:val="en-IN"/>
        </w:rPr>
        <w:t>The first regression equation model examines how merger and bank-specific factors affect ROE.</w:t>
      </w:r>
      <w:r w:rsidR="00905DAD" w:rsidRPr="00905DAD">
        <w:rPr>
          <w:rFonts w:ascii="Arial" w:hAnsi="Arial" w:cs="Arial"/>
          <w:lang w:val="en-IN"/>
        </w:rPr>
        <w:t xml:space="preserve"> </w:t>
      </w:r>
      <w:r w:rsidRPr="00905DAD">
        <w:rPr>
          <w:rFonts w:ascii="Arial" w:hAnsi="Arial" w:cs="Arial"/>
          <w:lang w:val="en-IN"/>
        </w:rPr>
        <w:t>ROE is a key metric for shareholders; therefore, this model helps assess whether mergers improve returns on equity while controlling for bank-specific factors.</w:t>
      </w:r>
    </w:p>
    <w:p w14:paraId="05345D20" w14:textId="77777777" w:rsidR="00810AA9" w:rsidRPr="00905DAD" w:rsidRDefault="00810AA9" w:rsidP="00810AA9">
      <w:pPr>
        <w:pStyle w:val="Body"/>
        <w:spacing w:after="0"/>
        <w:rPr>
          <w:rFonts w:ascii="Arial" w:hAnsi="Arial" w:cs="Arial"/>
          <w:b/>
          <w:bCs/>
          <w:lang w:val="en-IN"/>
        </w:rPr>
      </w:pPr>
    </w:p>
    <w:p w14:paraId="3B63E69D" w14:textId="0CF6A4E1" w:rsidR="00905DAD" w:rsidRDefault="00C849F2" w:rsidP="00810AA9">
      <w:pPr>
        <w:pStyle w:val="Body"/>
        <w:spacing w:after="0"/>
        <w:jc w:val="center"/>
        <w:rPr>
          <w:rFonts w:ascii="Arial" w:hAnsi="Arial" w:cs="Arial"/>
          <w:lang w:val="en-IN"/>
        </w:rPr>
      </w:pPr>
      <w:r>
        <w:rPr>
          <w:rFonts w:ascii="Arial" w:hAnsi="Arial" w:cs="Arial"/>
          <w:b/>
          <w:bCs/>
          <w:lang w:val="en-IN"/>
        </w:rPr>
        <w:t>Table 4</w:t>
      </w:r>
      <w:r w:rsidR="00905DAD" w:rsidRPr="00905DAD">
        <w:rPr>
          <w:rFonts w:ascii="Arial" w:hAnsi="Arial" w:cs="Arial"/>
          <w:b/>
          <w:bCs/>
          <w:lang w:val="en-IN"/>
        </w:rPr>
        <w:t xml:space="preserve">: </w:t>
      </w:r>
      <w:r w:rsidR="00905DAD" w:rsidRPr="00905DAD">
        <w:rPr>
          <w:rFonts w:ascii="Arial" w:hAnsi="Arial" w:cs="Arial"/>
          <w:lang w:val="en-IN"/>
        </w:rPr>
        <w:t>Regression model for NIM</w:t>
      </w:r>
    </w:p>
    <w:p w14:paraId="0DC0BB40" w14:textId="77777777" w:rsidR="00C73D82" w:rsidRPr="00905DAD" w:rsidRDefault="00C73D82" w:rsidP="00810AA9">
      <w:pPr>
        <w:pStyle w:val="Body"/>
        <w:spacing w:after="0"/>
        <w:jc w:val="center"/>
        <w:rPr>
          <w:rFonts w:ascii="Arial" w:hAnsi="Arial" w:cs="Arial"/>
          <w:b/>
          <w:bCs/>
          <w:lang w:val="en-IN"/>
        </w:rPr>
      </w:pPr>
    </w:p>
    <w:tbl>
      <w:tblPr>
        <w:tblW w:w="0" w:type="auto"/>
        <w:jc w:val="center"/>
        <w:tblLook w:val="04A0" w:firstRow="1" w:lastRow="0" w:firstColumn="1" w:lastColumn="0" w:noHBand="0" w:noVBand="1"/>
      </w:tblPr>
      <w:tblGrid>
        <w:gridCol w:w="1150"/>
        <w:gridCol w:w="1250"/>
        <w:gridCol w:w="684"/>
        <w:gridCol w:w="1250"/>
        <w:gridCol w:w="839"/>
      </w:tblGrid>
      <w:tr w:rsidR="00905DAD" w:rsidRPr="00905DAD" w14:paraId="508BD1F9" w14:textId="77777777" w:rsidTr="000548A3">
        <w:trPr>
          <w:trHeight w:val="290"/>
          <w:jc w:val="center"/>
        </w:trPr>
        <w:tc>
          <w:tcPr>
            <w:tcW w:w="0" w:type="auto"/>
            <w:tcBorders>
              <w:top w:val="single" w:sz="12" w:space="0" w:color="auto"/>
              <w:left w:val="single" w:sz="4" w:space="0" w:color="auto"/>
              <w:bottom w:val="single" w:sz="4" w:space="0" w:color="auto"/>
              <w:right w:val="single" w:sz="4" w:space="0" w:color="auto"/>
            </w:tcBorders>
            <w:noWrap/>
            <w:vAlign w:val="bottom"/>
            <w:hideMark/>
          </w:tcPr>
          <w:p w14:paraId="0292D913" w14:textId="77777777" w:rsidR="00905DAD" w:rsidRPr="00905DAD" w:rsidRDefault="00905DAD" w:rsidP="00810AA9">
            <w:pPr>
              <w:pStyle w:val="Body"/>
              <w:spacing w:after="0"/>
              <w:rPr>
                <w:rFonts w:ascii="Arial" w:hAnsi="Arial" w:cs="Arial"/>
                <w:b/>
                <w:bCs/>
                <w:lang w:val="en-IN"/>
              </w:rPr>
            </w:pPr>
            <w:r w:rsidRPr="00905DAD">
              <w:rPr>
                <w:rFonts w:ascii="Arial" w:hAnsi="Arial" w:cs="Arial"/>
                <w:b/>
                <w:bCs/>
                <w:lang w:val="en-IN"/>
              </w:rPr>
              <w:t>Variables</w:t>
            </w:r>
          </w:p>
        </w:tc>
        <w:tc>
          <w:tcPr>
            <w:tcW w:w="0" w:type="auto"/>
            <w:gridSpan w:val="2"/>
            <w:tcBorders>
              <w:top w:val="single" w:sz="12" w:space="0" w:color="auto"/>
              <w:left w:val="nil"/>
              <w:bottom w:val="single" w:sz="4" w:space="0" w:color="auto"/>
              <w:right w:val="single" w:sz="4" w:space="0" w:color="auto"/>
            </w:tcBorders>
            <w:noWrap/>
            <w:vAlign w:val="bottom"/>
            <w:hideMark/>
          </w:tcPr>
          <w:p w14:paraId="569E5EAE" w14:textId="77777777" w:rsidR="00905DAD" w:rsidRPr="00905DAD" w:rsidRDefault="00905DAD" w:rsidP="00810AA9">
            <w:pPr>
              <w:pStyle w:val="Body"/>
              <w:spacing w:after="0"/>
              <w:rPr>
                <w:rFonts w:ascii="Arial" w:hAnsi="Arial" w:cs="Arial"/>
                <w:b/>
                <w:bCs/>
                <w:lang w:val="en-IN"/>
              </w:rPr>
            </w:pPr>
            <w:r w:rsidRPr="00905DAD">
              <w:rPr>
                <w:rFonts w:ascii="Arial" w:hAnsi="Arial" w:cs="Arial"/>
                <w:b/>
                <w:bCs/>
                <w:lang w:val="en-IN"/>
              </w:rPr>
              <w:t>Random-effects</w:t>
            </w:r>
          </w:p>
        </w:tc>
        <w:tc>
          <w:tcPr>
            <w:tcW w:w="0" w:type="auto"/>
            <w:gridSpan w:val="2"/>
            <w:tcBorders>
              <w:top w:val="single" w:sz="12" w:space="0" w:color="auto"/>
              <w:left w:val="nil"/>
              <w:bottom w:val="single" w:sz="4" w:space="0" w:color="auto"/>
              <w:right w:val="single" w:sz="4" w:space="0" w:color="auto"/>
            </w:tcBorders>
            <w:noWrap/>
            <w:vAlign w:val="bottom"/>
            <w:hideMark/>
          </w:tcPr>
          <w:p w14:paraId="14A31C92" w14:textId="77777777" w:rsidR="00905DAD" w:rsidRPr="00905DAD" w:rsidRDefault="00905DAD" w:rsidP="00810AA9">
            <w:pPr>
              <w:pStyle w:val="Body"/>
              <w:spacing w:after="0"/>
              <w:rPr>
                <w:rFonts w:ascii="Arial" w:hAnsi="Arial" w:cs="Arial"/>
                <w:b/>
                <w:bCs/>
                <w:lang w:val="en-IN"/>
              </w:rPr>
            </w:pPr>
            <w:r w:rsidRPr="00905DAD">
              <w:rPr>
                <w:rFonts w:ascii="Arial" w:hAnsi="Arial" w:cs="Arial"/>
                <w:b/>
                <w:bCs/>
                <w:lang w:val="en-IN"/>
              </w:rPr>
              <w:t>Fixed-effects</w:t>
            </w:r>
          </w:p>
        </w:tc>
      </w:tr>
      <w:tr w:rsidR="00905DAD" w:rsidRPr="00905DAD" w14:paraId="505AF920" w14:textId="77777777" w:rsidTr="000548A3">
        <w:trPr>
          <w:trHeight w:val="290"/>
          <w:jc w:val="center"/>
        </w:trPr>
        <w:tc>
          <w:tcPr>
            <w:tcW w:w="0" w:type="auto"/>
            <w:tcBorders>
              <w:top w:val="nil"/>
              <w:left w:val="nil"/>
              <w:bottom w:val="single" w:sz="2" w:space="0" w:color="auto"/>
              <w:right w:val="nil"/>
            </w:tcBorders>
            <w:noWrap/>
            <w:vAlign w:val="bottom"/>
            <w:hideMark/>
          </w:tcPr>
          <w:p w14:paraId="1F031B7F" w14:textId="77777777" w:rsidR="00905DAD" w:rsidRPr="00905DAD" w:rsidRDefault="00905DAD" w:rsidP="00810AA9">
            <w:pPr>
              <w:pStyle w:val="Body"/>
              <w:spacing w:after="0"/>
              <w:rPr>
                <w:rFonts w:ascii="Arial" w:hAnsi="Arial" w:cs="Arial"/>
                <w:b/>
                <w:bCs/>
                <w:lang w:val="en-IN"/>
              </w:rPr>
            </w:pPr>
            <w:r w:rsidRPr="00905DAD">
              <w:rPr>
                <w:rFonts w:ascii="Arial" w:hAnsi="Arial" w:cs="Arial"/>
                <w:b/>
                <w:bCs/>
                <w:lang w:val="en-IN"/>
              </w:rPr>
              <w:t>NIM</w:t>
            </w:r>
          </w:p>
        </w:tc>
        <w:tc>
          <w:tcPr>
            <w:tcW w:w="0" w:type="auto"/>
            <w:tcBorders>
              <w:top w:val="nil"/>
              <w:left w:val="nil"/>
              <w:bottom w:val="single" w:sz="2" w:space="0" w:color="auto"/>
              <w:right w:val="nil"/>
            </w:tcBorders>
            <w:noWrap/>
            <w:vAlign w:val="bottom"/>
            <w:hideMark/>
          </w:tcPr>
          <w:p w14:paraId="5542890A" w14:textId="77777777" w:rsidR="00905DAD" w:rsidRPr="00905DAD" w:rsidRDefault="00905DAD" w:rsidP="00810AA9">
            <w:pPr>
              <w:pStyle w:val="Body"/>
              <w:spacing w:after="0"/>
              <w:rPr>
                <w:rFonts w:ascii="Arial" w:hAnsi="Arial" w:cs="Arial"/>
                <w:b/>
                <w:bCs/>
                <w:lang w:val="en-IN"/>
              </w:rPr>
            </w:pPr>
            <w:r w:rsidRPr="00905DAD">
              <w:rPr>
                <w:rFonts w:ascii="Arial" w:hAnsi="Arial" w:cs="Arial"/>
                <w:b/>
                <w:bCs/>
                <w:lang w:val="en-IN"/>
              </w:rPr>
              <w:t>Coefficient</w:t>
            </w:r>
          </w:p>
        </w:tc>
        <w:tc>
          <w:tcPr>
            <w:tcW w:w="0" w:type="auto"/>
            <w:tcBorders>
              <w:top w:val="nil"/>
              <w:left w:val="nil"/>
              <w:bottom w:val="single" w:sz="2" w:space="0" w:color="auto"/>
              <w:right w:val="nil"/>
            </w:tcBorders>
            <w:noWrap/>
            <w:vAlign w:val="bottom"/>
            <w:hideMark/>
          </w:tcPr>
          <w:p w14:paraId="74901D6C" w14:textId="77777777" w:rsidR="00905DAD" w:rsidRPr="00905DAD" w:rsidRDefault="00905DAD" w:rsidP="00810AA9">
            <w:pPr>
              <w:pStyle w:val="Body"/>
              <w:spacing w:after="0"/>
              <w:rPr>
                <w:rFonts w:ascii="Arial" w:hAnsi="Arial" w:cs="Arial"/>
                <w:b/>
                <w:bCs/>
                <w:lang w:val="en-IN"/>
              </w:rPr>
            </w:pPr>
            <w:r w:rsidRPr="00905DAD">
              <w:rPr>
                <w:rFonts w:ascii="Arial" w:hAnsi="Arial" w:cs="Arial"/>
                <w:b/>
                <w:bCs/>
                <w:lang w:val="en-IN"/>
              </w:rPr>
              <w:t>P&gt;z</w:t>
            </w:r>
          </w:p>
        </w:tc>
        <w:tc>
          <w:tcPr>
            <w:tcW w:w="0" w:type="auto"/>
            <w:tcBorders>
              <w:top w:val="nil"/>
              <w:left w:val="nil"/>
              <w:bottom w:val="single" w:sz="2" w:space="0" w:color="auto"/>
              <w:right w:val="nil"/>
            </w:tcBorders>
            <w:noWrap/>
            <w:vAlign w:val="bottom"/>
            <w:hideMark/>
          </w:tcPr>
          <w:p w14:paraId="57C59B70" w14:textId="77777777" w:rsidR="00905DAD" w:rsidRPr="00905DAD" w:rsidRDefault="00905DAD" w:rsidP="00810AA9">
            <w:pPr>
              <w:pStyle w:val="Body"/>
              <w:spacing w:after="0"/>
              <w:rPr>
                <w:rFonts w:ascii="Arial" w:hAnsi="Arial" w:cs="Arial"/>
                <w:b/>
                <w:bCs/>
                <w:lang w:val="en-IN"/>
              </w:rPr>
            </w:pPr>
            <w:r w:rsidRPr="00905DAD">
              <w:rPr>
                <w:rFonts w:ascii="Arial" w:hAnsi="Arial" w:cs="Arial"/>
                <w:b/>
                <w:bCs/>
                <w:lang w:val="en-IN"/>
              </w:rPr>
              <w:t>Coefficient</w:t>
            </w:r>
          </w:p>
        </w:tc>
        <w:tc>
          <w:tcPr>
            <w:tcW w:w="0" w:type="auto"/>
            <w:tcBorders>
              <w:top w:val="nil"/>
              <w:left w:val="nil"/>
              <w:bottom w:val="single" w:sz="2" w:space="0" w:color="auto"/>
              <w:right w:val="nil"/>
            </w:tcBorders>
            <w:noWrap/>
            <w:vAlign w:val="bottom"/>
            <w:hideMark/>
          </w:tcPr>
          <w:p w14:paraId="52E90468" w14:textId="77777777" w:rsidR="00905DAD" w:rsidRPr="00905DAD" w:rsidRDefault="00905DAD" w:rsidP="00810AA9">
            <w:pPr>
              <w:pStyle w:val="Body"/>
              <w:spacing w:after="0"/>
              <w:rPr>
                <w:rFonts w:ascii="Arial" w:hAnsi="Arial" w:cs="Arial"/>
                <w:b/>
                <w:bCs/>
                <w:lang w:val="en-IN"/>
              </w:rPr>
            </w:pPr>
            <w:r w:rsidRPr="00905DAD">
              <w:rPr>
                <w:rFonts w:ascii="Arial" w:hAnsi="Arial" w:cs="Arial"/>
                <w:b/>
                <w:bCs/>
                <w:lang w:val="en-IN"/>
              </w:rPr>
              <w:t>P&gt;t</w:t>
            </w:r>
          </w:p>
        </w:tc>
      </w:tr>
      <w:tr w:rsidR="00905DAD" w:rsidRPr="00905DAD" w14:paraId="4F82DF1A" w14:textId="77777777" w:rsidTr="000548A3">
        <w:trPr>
          <w:trHeight w:val="290"/>
          <w:jc w:val="center"/>
        </w:trPr>
        <w:tc>
          <w:tcPr>
            <w:tcW w:w="0" w:type="auto"/>
            <w:tcBorders>
              <w:top w:val="single" w:sz="2" w:space="0" w:color="auto"/>
              <w:left w:val="nil"/>
              <w:bottom w:val="nil"/>
              <w:right w:val="nil"/>
            </w:tcBorders>
            <w:noWrap/>
            <w:vAlign w:val="bottom"/>
            <w:hideMark/>
          </w:tcPr>
          <w:p w14:paraId="4D141751"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Merger</w:t>
            </w:r>
          </w:p>
        </w:tc>
        <w:tc>
          <w:tcPr>
            <w:tcW w:w="0" w:type="auto"/>
            <w:tcBorders>
              <w:top w:val="single" w:sz="2" w:space="0" w:color="auto"/>
              <w:left w:val="nil"/>
              <w:bottom w:val="nil"/>
              <w:right w:val="nil"/>
            </w:tcBorders>
            <w:noWrap/>
            <w:vAlign w:val="bottom"/>
            <w:hideMark/>
          </w:tcPr>
          <w:p w14:paraId="16CF5E56"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0.515</w:t>
            </w:r>
          </w:p>
        </w:tc>
        <w:tc>
          <w:tcPr>
            <w:tcW w:w="0" w:type="auto"/>
            <w:tcBorders>
              <w:top w:val="single" w:sz="2" w:space="0" w:color="auto"/>
              <w:left w:val="nil"/>
              <w:bottom w:val="nil"/>
              <w:right w:val="nil"/>
            </w:tcBorders>
            <w:noWrap/>
            <w:vAlign w:val="bottom"/>
            <w:hideMark/>
          </w:tcPr>
          <w:p w14:paraId="2C62CFE7" w14:textId="07C7CEF8" w:rsidR="00905DAD" w:rsidRPr="00905DAD" w:rsidRDefault="00A55192" w:rsidP="00810AA9">
            <w:pPr>
              <w:pStyle w:val="Body"/>
              <w:spacing w:after="0"/>
              <w:rPr>
                <w:rFonts w:ascii="Arial" w:hAnsi="Arial" w:cs="Arial"/>
                <w:lang w:val="en-IN"/>
              </w:rPr>
            </w:pPr>
            <w:r w:rsidRPr="00A55192">
              <w:rPr>
                <w:rFonts w:ascii="Arial" w:hAnsi="Arial" w:cs="Arial"/>
                <w:i/>
                <w:iCs/>
                <w:lang w:val="en-IN"/>
              </w:rPr>
              <w:t>.00</w:t>
            </w:r>
            <w:r w:rsidR="002F5301">
              <w:rPr>
                <w:rFonts w:ascii="Arial" w:hAnsi="Arial" w:cs="Arial"/>
                <w:i/>
                <w:iCs/>
                <w:lang w:val="en-IN"/>
              </w:rPr>
              <w:t>*</w:t>
            </w:r>
          </w:p>
        </w:tc>
        <w:tc>
          <w:tcPr>
            <w:tcW w:w="0" w:type="auto"/>
            <w:tcBorders>
              <w:top w:val="single" w:sz="2" w:space="0" w:color="auto"/>
              <w:left w:val="nil"/>
              <w:bottom w:val="nil"/>
              <w:right w:val="nil"/>
            </w:tcBorders>
            <w:noWrap/>
            <w:vAlign w:val="bottom"/>
            <w:hideMark/>
          </w:tcPr>
          <w:p w14:paraId="65CE8F68"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0.472</w:t>
            </w:r>
          </w:p>
        </w:tc>
        <w:tc>
          <w:tcPr>
            <w:tcW w:w="0" w:type="auto"/>
            <w:tcBorders>
              <w:top w:val="single" w:sz="2" w:space="0" w:color="auto"/>
              <w:left w:val="nil"/>
              <w:bottom w:val="nil"/>
              <w:right w:val="nil"/>
            </w:tcBorders>
            <w:noWrap/>
            <w:vAlign w:val="bottom"/>
            <w:hideMark/>
          </w:tcPr>
          <w:p w14:paraId="4060755A" w14:textId="32F4B2E3" w:rsidR="00905DAD" w:rsidRPr="00905DAD" w:rsidRDefault="00A55192" w:rsidP="00810AA9">
            <w:pPr>
              <w:pStyle w:val="Body"/>
              <w:spacing w:after="0"/>
              <w:rPr>
                <w:rFonts w:ascii="Arial" w:hAnsi="Arial" w:cs="Arial"/>
                <w:lang w:val="en-IN"/>
              </w:rPr>
            </w:pPr>
            <w:r w:rsidRPr="00A55192">
              <w:rPr>
                <w:rFonts w:ascii="Arial" w:hAnsi="Arial" w:cs="Arial"/>
                <w:i/>
                <w:iCs/>
                <w:lang w:val="en-IN"/>
              </w:rPr>
              <w:t>.00</w:t>
            </w:r>
            <w:r w:rsidR="002F5301">
              <w:rPr>
                <w:rFonts w:ascii="Arial" w:hAnsi="Arial" w:cs="Arial"/>
                <w:i/>
                <w:iCs/>
                <w:lang w:val="en-IN"/>
              </w:rPr>
              <w:t>*</w:t>
            </w:r>
          </w:p>
        </w:tc>
      </w:tr>
      <w:tr w:rsidR="00905DAD" w:rsidRPr="00905DAD" w14:paraId="74163439" w14:textId="77777777" w:rsidTr="000548A3">
        <w:trPr>
          <w:trHeight w:val="290"/>
          <w:jc w:val="center"/>
        </w:trPr>
        <w:tc>
          <w:tcPr>
            <w:tcW w:w="0" w:type="auto"/>
            <w:tcBorders>
              <w:top w:val="nil"/>
              <w:left w:val="nil"/>
              <w:bottom w:val="nil"/>
              <w:right w:val="nil"/>
            </w:tcBorders>
            <w:noWrap/>
            <w:vAlign w:val="bottom"/>
            <w:hideMark/>
          </w:tcPr>
          <w:p w14:paraId="6AB5C761"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CAR</w:t>
            </w:r>
          </w:p>
        </w:tc>
        <w:tc>
          <w:tcPr>
            <w:tcW w:w="0" w:type="auto"/>
            <w:tcBorders>
              <w:top w:val="nil"/>
              <w:left w:val="nil"/>
              <w:bottom w:val="nil"/>
              <w:right w:val="nil"/>
            </w:tcBorders>
            <w:noWrap/>
            <w:vAlign w:val="bottom"/>
            <w:hideMark/>
          </w:tcPr>
          <w:p w14:paraId="5AAEB365"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-0.055</w:t>
            </w:r>
          </w:p>
        </w:tc>
        <w:tc>
          <w:tcPr>
            <w:tcW w:w="0" w:type="auto"/>
            <w:tcBorders>
              <w:top w:val="nil"/>
              <w:left w:val="nil"/>
              <w:bottom w:val="nil"/>
              <w:right w:val="nil"/>
            </w:tcBorders>
            <w:noWrap/>
            <w:vAlign w:val="bottom"/>
            <w:hideMark/>
          </w:tcPr>
          <w:p w14:paraId="7B251DC1" w14:textId="76507A9D" w:rsidR="00905DAD" w:rsidRPr="00905DAD" w:rsidRDefault="00905DAD" w:rsidP="00810AA9">
            <w:pPr>
              <w:pStyle w:val="Body"/>
              <w:spacing w:after="0"/>
              <w:rPr>
                <w:rFonts w:ascii="Arial" w:hAnsi="Arial" w:cs="Arial"/>
                <w:lang w:val="en-IN"/>
              </w:rPr>
            </w:pPr>
            <w:r w:rsidRPr="00905DAD">
              <w:rPr>
                <w:rFonts w:ascii="Arial" w:hAnsi="Arial" w:cs="Arial"/>
                <w:lang w:val="en-IN"/>
              </w:rPr>
              <w:t>.004</w:t>
            </w:r>
            <w:r w:rsidR="002F5301">
              <w:rPr>
                <w:rFonts w:ascii="Arial" w:hAnsi="Arial" w:cs="Arial"/>
                <w:lang w:val="en-IN"/>
              </w:rPr>
              <w:t>*</w:t>
            </w:r>
          </w:p>
        </w:tc>
        <w:tc>
          <w:tcPr>
            <w:tcW w:w="0" w:type="auto"/>
            <w:tcBorders>
              <w:top w:val="nil"/>
              <w:left w:val="nil"/>
              <w:bottom w:val="nil"/>
              <w:right w:val="nil"/>
            </w:tcBorders>
            <w:noWrap/>
            <w:vAlign w:val="bottom"/>
            <w:hideMark/>
          </w:tcPr>
          <w:p w14:paraId="59F35CD0"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-0.034</w:t>
            </w:r>
          </w:p>
        </w:tc>
        <w:tc>
          <w:tcPr>
            <w:tcW w:w="0" w:type="auto"/>
            <w:tcBorders>
              <w:top w:val="nil"/>
              <w:left w:val="nil"/>
              <w:bottom w:val="nil"/>
              <w:right w:val="nil"/>
            </w:tcBorders>
            <w:noWrap/>
            <w:vAlign w:val="bottom"/>
            <w:hideMark/>
          </w:tcPr>
          <w:p w14:paraId="683C8063" w14:textId="34A31004" w:rsidR="00905DAD" w:rsidRPr="00905DAD" w:rsidRDefault="00905DAD" w:rsidP="00810AA9">
            <w:pPr>
              <w:pStyle w:val="Body"/>
              <w:spacing w:after="0"/>
              <w:rPr>
                <w:rFonts w:ascii="Arial" w:hAnsi="Arial" w:cs="Arial"/>
                <w:lang w:val="en-IN"/>
              </w:rPr>
            </w:pPr>
            <w:r w:rsidRPr="00905DAD">
              <w:rPr>
                <w:rFonts w:ascii="Arial" w:hAnsi="Arial" w:cs="Arial"/>
                <w:lang w:val="en-IN"/>
              </w:rPr>
              <w:t>.073</w:t>
            </w:r>
            <w:r w:rsidR="002F5301">
              <w:rPr>
                <w:rFonts w:ascii="Arial" w:hAnsi="Arial" w:cs="Arial"/>
                <w:lang w:val="en-IN"/>
              </w:rPr>
              <w:t>***</w:t>
            </w:r>
          </w:p>
        </w:tc>
      </w:tr>
      <w:tr w:rsidR="00905DAD" w:rsidRPr="00905DAD" w14:paraId="6B4433FE" w14:textId="77777777" w:rsidTr="000548A3">
        <w:trPr>
          <w:trHeight w:val="290"/>
          <w:jc w:val="center"/>
        </w:trPr>
        <w:tc>
          <w:tcPr>
            <w:tcW w:w="0" w:type="auto"/>
            <w:tcBorders>
              <w:top w:val="nil"/>
              <w:left w:val="nil"/>
              <w:bottom w:val="nil"/>
              <w:right w:val="nil"/>
            </w:tcBorders>
            <w:noWrap/>
            <w:vAlign w:val="bottom"/>
            <w:hideMark/>
          </w:tcPr>
          <w:p w14:paraId="12DE5BE1"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DE</w:t>
            </w:r>
          </w:p>
        </w:tc>
        <w:tc>
          <w:tcPr>
            <w:tcW w:w="0" w:type="auto"/>
            <w:tcBorders>
              <w:top w:val="nil"/>
              <w:left w:val="nil"/>
              <w:bottom w:val="nil"/>
              <w:right w:val="nil"/>
            </w:tcBorders>
            <w:noWrap/>
            <w:vAlign w:val="bottom"/>
            <w:hideMark/>
          </w:tcPr>
          <w:p w14:paraId="7777933D"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-0.058</w:t>
            </w:r>
          </w:p>
        </w:tc>
        <w:tc>
          <w:tcPr>
            <w:tcW w:w="0" w:type="auto"/>
            <w:tcBorders>
              <w:top w:val="nil"/>
              <w:left w:val="nil"/>
              <w:bottom w:val="nil"/>
              <w:right w:val="nil"/>
            </w:tcBorders>
            <w:noWrap/>
            <w:vAlign w:val="bottom"/>
            <w:hideMark/>
          </w:tcPr>
          <w:p w14:paraId="41587675" w14:textId="1E8FBC0F" w:rsidR="00905DAD" w:rsidRPr="00905DAD" w:rsidRDefault="00A55192" w:rsidP="00810AA9">
            <w:pPr>
              <w:pStyle w:val="Body"/>
              <w:spacing w:after="0"/>
              <w:rPr>
                <w:rFonts w:ascii="Arial" w:hAnsi="Arial" w:cs="Arial"/>
                <w:lang w:val="en-IN"/>
              </w:rPr>
            </w:pPr>
            <w:r w:rsidRPr="00A55192">
              <w:rPr>
                <w:rFonts w:ascii="Arial" w:hAnsi="Arial" w:cs="Arial"/>
                <w:i/>
                <w:iCs/>
                <w:lang w:val="en-IN"/>
              </w:rPr>
              <w:t>.00</w:t>
            </w:r>
            <w:r w:rsidR="002F5301">
              <w:rPr>
                <w:rFonts w:ascii="Arial" w:hAnsi="Arial" w:cs="Arial"/>
                <w:i/>
                <w:iCs/>
                <w:lang w:val="en-IN"/>
              </w:rPr>
              <w:t>*</w:t>
            </w:r>
          </w:p>
        </w:tc>
        <w:tc>
          <w:tcPr>
            <w:tcW w:w="0" w:type="auto"/>
            <w:tcBorders>
              <w:top w:val="nil"/>
              <w:left w:val="nil"/>
              <w:bottom w:val="nil"/>
              <w:right w:val="nil"/>
            </w:tcBorders>
            <w:noWrap/>
            <w:vAlign w:val="bottom"/>
            <w:hideMark/>
          </w:tcPr>
          <w:p w14:paraId="79C54489"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-0.023</w:t>
            </w:r>
          </w:p>
        </w:tc>
        <w:tc>
          <w:tcPr>
            <w:tcW w:w="0" w:type="auto"/>
            <w:tcBorders>
              <w:top w:val="nil"/>
              <w:left w:val="nil"/>
              <w:bottom w:val="nil"/>
              <w:right w:val="nil"/>
            </w:tcBorders>
            <w:noWrap/>
            <w:vAlign w:val="bottom"/>
            <w:hideMark/>
          </w:tcPr>
          <w:p w14:paraId="1FE33A67" w14:textId="71B866A8" w:rsidR="00905DAD" w:rsidRPr="00905DAD" w:rsidRDefault="00905DAD" w:rsidP="00810AA9">
            <w:pPr>
              <w:pStyle w:val="Body"/>
              <w:spacing w:after="0"/>
              <w:rPr>
                <w:rFonts w:ascii="Arial" w:hAnsi="Arial" w:cs="Arial"/>
                <w:lang w:val="en-IN"/>
              </w:rPr>
            </w:pPr>
            <w:r w:rsidRPr="00905DAD">
              <w:rPr>
                <w:rFonts w:ascii="Arial" w:hAnsi="Arial" w:cs="Arial"/>
                <w:lang w:val="en-IN"/>
              </w:rPr>
              <w:t>.060</w:t>
            </w:r>
            <w:r w:rsidR="002F5301">
              <w:rPr>
                <w:rFonts w:ascii="Arial" w:hAnsi="Arial" w:cs="Arial"/>
                <w:lang w:val="en-IN"/>
              </w:rPr>
              <w:t>***</w:t>
            </w:r>
          </w:p>
        </w:tc>
      </w:tr>
      <w:tr w:rsidR="00905DAD" w:rsidRPr="00905DAD" w14:paraId="4FB7EF7E" w14:textId="77777777" w:rsidTr="000548A3">
        <w:trPr>
          <w:trHeight w:val="290"/>
          <w:jc w:val="center"/>
        </w:trPr>
        <w:tc>
          <w:tcPr>
            <w:tcW w:w="0" w:type="auto"/>
            <w:tcBorders>
              <w:top w:val="nil"/>
              <w:left w:val="nil"/>
              <w:bottom w:val="nil"/>
              <w:right w:val="nil"/>
            </w:tcBorders>
            <w:noWrap/>
            <w:vAlign w:val="bottom"/>
            <w:hideMark/>
          </w:tcPr>
          <w:p w14:paraId="328B886B"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GNPA</w:t>
            </w:r>
          </w:p>
        </w:tc>
        <w:tc>
          <w:tcPr>
            <w:tcW w:w="0" w:type="auto"/>
            <w:tcBorders>
              <w:top w:val="nil"/>
              <w:left w:val="nil"/>
              <w:bottom w:val="nil"/>
              <w:right w:val="nil"/>
            </w:tcBorders>
            <w:noWrap/>
            <w:vAlign w:val="bottom"/>
            <w:hideMark/>
          </w:tcPr>
          <w:p w14:paraId="2DFD2F23"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-0.032</w:t>
            </w:r>
          </w:p>
        </w:tc>
        <w:tc>
          <w:tcPr>
            <w:tcW w:w="0" w:type="auto"/>
            <w:tcBorders>
              <w:top w:val="nil"/>
              <w:left w:val="nil"/>
              <w:bottom w:val="nil"/>
              <w:right w:val="nil"/>
            </w:tcBorders>
            <w:noWrap/>
            <w:vAlign w:val="bottom"/>
            <w:hideMark/>
          </w:tcPr>
          <w:p w14:paraId="65062961" w14:textId="0B2E496B" w:rsidR="00905DAD" w:rsidRPr="00905DAD" w:rsidRDefault="00A55192" w:rsidP="00810AA9">
            <w:pPr>
              <w:pStyle w:val="Body"/>
              <w:spacing w:after="0"/>
              <w:rPr>
                <w:rFonts w:ascii="Arial" w:hAnsi="Arial" w:cs="Arial"/>
                <w:lang w:val="en-IN"/>
              </w:rPr>
            </w:pPr>
            <w:r w:rsidRPr="00A55192">
              <w:rPr>
                <w:rFonts w:ascii="Arial" w:hAnsi="Arial" w:cs="Arial"/>
                <w:i/>
                <w:iCs/>
                <w:lang w:val="en-IN"/>
              </w:rPr>
              <w:t>.00</w:t>
            </w:r>
            <w:r w:rsidR="002F5301">
              <w:rPr>
                <w:rFonts w:ascii="Arial" w:hAnsi="Arial" w:cs="Arial"/>
                <w:i/>
                <w:iCs/>
                <w:lang w:val="en-IN"/>
              </w:rPr>
              <w:t>*</w:t>
            </w:r>
          </w:p>
        </w:tc>
        <w:tc>
          <w:tcPr>
            <w:tcW w:w="0" w:type="auto"/>
            <w:tcBorders>
              <w:top w:val="nil"/>
              <w:left w:val="nil"/>
              <w:bottom w:val="nil"/>
              <w:right w:val="nil"/>
            </w:tcBorders>
            <w:noWrap/>
            <w:vAlign w:val="bottom"/>
            <w:hideMark/>
          </w:tcPr>
          <w:p w14:paraId="386E5C02"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-0.026</w:t>
            </w:r>
          </w:p>
        </w:tc>
        <w:tc>
          <w:tcPr>
            <w:tcW w:w="0" w:type="auto"/>
            <w:tcBorders>
              <w:top w:val="nil"/>
              <w:left w:val="nil"/>
              <w:bottom w:val="nil"/>
              <w:right w:val="nil"/>
            </w:tcBorders>
            <w:noWrap/>
            <w:vAlign w:val="bottom"/>
            <w:hideMark/>
          </w:tcPr>
          <w:p w14:paraId="7CCC9689" w14:textId="4A47352A" w:rsidR="00905DAD" w:rsidRPr="00905DAD" w:rsidRDefault="00905DAD" w:rsidP="00810AA9">
            <w:pPr>
              <w:pStyle w:val="Body"/>
              <w:spacing w:after="0"/>
              <w:rPr>
                <w:rFonts w:ascii="Arial" w:hAnsi="Arial" w:cs="Arial"/>
                <w:lang w:val="en-IN"/>
              </w:rPr>
            </w:pPr>
            <w:r w:rsidRPr="00905DAD">
              <w:rPr>
                <w:rFonts w:ascii="Arial" w:hAnsi="Arial" w:cs="Arial"/>
                <w:lang w:val="en-IN"/>
              </w:rPr>
              <w:t>.002</w:t>
            </w:r>
            <w:r w:rsidR="002F5301">
              <w:rPr>
                <w:rFonts w:ascii="Arial" w:hAnsi="Arial" w:cs="Arial"/>
                <w:lang w:val="en-IN"/>
              </w:rPr>
              <w:t>*</w:t>
            </w:r>
          </w:p>
        </w:tc>
      </w:tr>
      <w:tr w:rsidR="00905DAD" w:rsidRPr="00905DAD" w14:paraId="0C180223" w14:textId="77777777" w:rsidTr="000548A3">
        <w:trPr>
          <w:trHeight w:val="290"/>
          <w:jc w:val="center"/>
        </w:trPr>
        <w:tc>
          <w:tcPr>
            <w:tcW w:w="0" w:type="auto"/>
            <w:tcBorders>
              <w:top w:val="nil"/>
              <w:left w:val="nil"/>
              <w:bottom w:val="nil"/>
              <w:right w:val="nil"/>
            </w:tcBorders>
            <w:noWrap/>
            <w:vAlign w:val="bottom"/>
            <w:hideMark/>
          </w:tcPr>
          <w:p w14:paraId="5E6B9A00"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CTA</w:t>
            </w:r>
          </w:p>
        </w:tc>
        <w:tc>
          <w:tcPr>
            <w:tcW w:w="0" w:type="auto"/>
            <w:tcBorders>
              <w:top w:val="nil"/>
              <w:left w:val="nil"/>
              <w:bottom w:val="nil"/>
              <w:right w:val="nil"/>
            </w:tcBorders>
            <w:noWrap/>
            <w:vAlign w:val="bottom"/>
            <w:hideMark/>
          </w:tcPr>
          <w:p w14:paraId="60FFDB0C"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0.005</w:t>
            </w:r>
          </w:p>
        </w:tc>
        <w:tc>
          <w:tcPr>
            <w:tcW w:w="0" w:type="auto"/>
            <w:tcBorders>
              <w:top w:val="nil"/>
              <w:left w:val="nil"/>
              <w:bottom w:val="nil"/>
              <w:right w:val="nil"/>
            </w:tcBorders>
            <w:noWrap/>
            <w:vAlign w:val="bottom"/>
            <w:hideMark/>
          </w:tcPr>
          <w:p w14:paraId="52834E86" w14:textId="056C1AC3" w:rsidR="00905DAD" w:rsidRPr="00905DAD" w:rsidRDefault="00905DAD" w:rsidP="00810AA9">
            <w:pPr>
              <w:pStyle w:val="Body"/>
              <w:spacing w:after="0"/>
              <w:rPr>
                <w:rFonts w:ascii="Arial" w:hAnsi="Arial" w:cs="Arial"/>
                <w:lang w:val="en-IN"/>
              </w:rPr>
            </w:pPr>
            <w:r w:rsidRPr="00905DAD">
              <w:rPr>
                <w:rFonts w:ascii="Arial" w:hAnsi="Arial" w:cs="Arial"/>
                <w:lang w:val="en-IN"/>
              </w:rPr>
              <w:t>.847</w:t>
            </w:r>
          </w:p>
        </w:tc>
        <w:tc>
          <w:tcPr>
            <w:tcW w:w="0" w:type="auto"/>
            <w:tcBorders>
              <w:top w:val="nil"/>
              <w:left w:val="nil"/>
              <w:bottom w:val="nil"/>
              <w:right w:val="nil"/>
            </w:tcBorders>
            <w:noWrap/>
            <w:vAlign w:val="bottom"/>
            <w:hideMark/>
          </w:tcPr>
          <w:p w14:paraId="12684B7D"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0.023</w:t>
            </w:r>
          </w:p>
        </w:tc>
        <w:tc>
          <w:tcPr>
            <w:tcW w:w="0" w:type="auto"/>
            <w:tcBorders>
              <w:top w:val="nil"/>
              <w:left w:val="nil"/>
              <w:bottom w:val="nil"/>
              <w:right w:val="nil"/>
            </w:tcBorders>
            <w:noWrap/>
            <w:vAlign w:val="bottom"/>
            <w:hideMark/>
          </w:tcPr>
          <w:p w14:paraId="4624C7F6" w14:textId="7E31D657" w:rsidR="00905DAD" w:rsidRPr="00905DAD" w:rsidRDefault="00905DAD" w:rsidP="00810AA9">
            <w:pPr>
              <w:pStyle w:val="Body"/>
              <w:spacing w:after="0"/>
              <w:rPr>
                <w:rFonts w:ascii="Arial" w:hAnsi="Arial" w:cs="Arial"/>
                <w:lang w:val="en-IN"/>
              </w:rPr>
            </w:pPr>
            <w:r w:rsidRPr="00905DAD">
              <w:rPr>
                <w:rFonts w:ascii="Arial" w:hAnsi="Arial" w:cs="Arial"/>
                <w:lang w:val="en-IN"/>
              </w:rPr>
              <w:t>.401</w:t>
            </w:r>
          </w:p>
        </w:tc>
      </w:tr>
      <w:tr w:rsidR="00905DAD" w:rsidRPr="00905DAD" w14:paraId="426A8F58" w14:textId="77777777" w:rsidTr="000548A3">
        <w:trPr>
          <w:trHeight w:val="290"/>
          <w:jc w:val="center"/>
        </w:trPr>
        <w:tc>
          <w:tcPr>
            <w:tcW w:w="0" w:type="auto"/>
            <w:tcBorders>
              <w:top w:val="nil"/>
              <w:left w:val="nil"/>
              <w:bottom w:val="nil"/>
              <w:right w:val="nil"/>
            </w:tcBorders>
            <w:noWrap/>
            <w:vAlign w:val="bottom"/>
            <w:hideMark/>
          </w:tcPr>
          <w:p w14:paraId="10169D0F"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CI</w:t>
            </w:r>
          </w:p>
        </w:tc>
        <w:tc>
          <w:tcPr>
            <w:tcW w:w="0" w:type="auto"/>
            <w:tcBorders>
              <w:top w:val="nil"/>
              <w:left w:val="nil"/>
              <w:bottom w:val="nil"/>
              <w:right w:val="nil"/>
            </w:tcBorders>
            <w:noWrap/>
            <w:vAlign w:val="bottom"/>
            <w:hideMark/>
          </w:tcPr>
          <w:p w14:paraId="4E93FF99"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-0.025</w:t>
            </w:r>
          </w:p>
        </w:tc>
        <w:tc>
          <w:tcPr>
            <w:tcW w:w="0" w:type="auto"/>
            <w:tcBorders>
              <w:top w:val="nil"/>
              <w:left w:val="nil"/>
              <w:bottom w:val="nil"/>
              <w:right w:val="nil"/>
            </w:tcBorders>
            <w:noWrap/>
            <w:vAlign w:val="bottom"/>
            <w:hideMark/>
          </w:tcPr>
          <w:p w14:paraId="1EC15E6F" w14:textId="09C349AB" w:rsidR="00905DAD" w:rsidRPr="00905DAD" w:rsidRDefault="00A55192" w:rsidP="00810AA9">
            <w:pPr>
              <w:pStyle w:val="Body"/>
              <w:spacing w:after="0"/>
              <w:rPr>
                <w:rFonts w:ascii="Arial" w:hAnsi="Arial" w:cs="Arial"/>
                <w:lang w:val="en-IN"/>
              </w:rPr>
            </w:pPr>
            <w:r w:rsidRPr="00A55192">
              <w:rPr>
                <w:rFonts w:ascii="Arial" w:hAnsi="Arial" w:cs="Arial"/>
                <w:i/>
                <w:iCs/>
                <w:lang w:val="en-IN"/>
              </w:rPr>
              <w:t>.00</w:t>
            </w:r>
            <w:r w:rsidR="002F5301">
              <w:rPr>
                <w:rFonts w:ascii="Arial" w:hAnsi="Arial" w:cs="Arial"/>
                <w:i/>
                <w:iCs/>
                <w:lang w:val="en-IN"/>
              </w:rPr>
              <w:t>*</w:t>
            </w:r>
          </w:p>
        </w:tc>
        <w:tc>
          <w:tcPr>
            <w:tcW w:w="0" w:type="auto"/>
            <w:tcBorders>
              <w:top w:val="nil"/>
              <w:left w:val="nil"/>
              <w:bottom w:val="nil"/>
              <w:right w:val="nil"/>
            </w:tcBorders>
            <w:noWrap/>
            <w:vAlign w:val="bottom"/>
            <w:hideMark/>
          </w:tcPr>
          <w:p w14:paraId="7B509798"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-0.015</w:t>
            </w:r>
          </w:p>
        </w:tc>
        <w:tc>
          <w:tcPr>
            <w:tcW w:w="0" w:type="auto"/>
            <w:tcBorders>
              <w:top w:val="nil"/>
              <w:left w:val="nil"/>
              <w:bottom w:val="nil"/>
              <w:right w:val="nil"/>
            </w:tcBorders>
            <w:noWrap/>
            <w:vAlign w:val="bottom"/>
            <w:hideMark/>
          </w:tcPr>
          <w:p w14:paraId="5DD4A92A" w14:textId="37FF9995" w:rsidR="00905DAD" w:rsidRPr="00905DAD" w:rsidRDefault="00905DAD" w:rsidP="00810AA9">
            <w:pPr>
              <w:pStyle w:val="Body"/>
              <w:spacing w:after="0"/>
              <w:rPr>
                <w:rFonts w:ascii="Arial" w:hAnsi="Arial" w:cs="Arial"/>
                <w:lang w:val="en-IN"/>
              </w:rPr>
            </w:pPr>
            <w:r w:rsidRPr="00905DAD">
              <w:rPr>
                <w:rFonts w:ascii="Arial" w:hAnsi="Arial" w:cs="Arial"/>
                <w:lang w:val="en-IN"/>
              </w:rPr>
              <w:t>.012</w:t>
            </w:r>
            <w:r w:rsidR="002F5301">
              <w:rPr>
                <w:rFonts w:ascii="Arial" w:hAnsi="Arial" w:cs="Arial"/>
                <w:lang w:val="en-IN"/>
              </w:rPr>
              <w:t>**</w:t>
            </w:r>
          </w:p>
        </w:tc>
      </w:tr>
      <w:tr w:rsidR="00905DAD" w:rsidRPr="00905DAD" w14:paraId="0B185F81" w14:textId="77777777" w:rsidTr="000548A3">
        <w:trPr>
          <w:trHeight w:val="290"/>
          <w:jc w:val="center"/>
        </w:trPr>
        <w:tc>
          <w:tcPr>
            <w:tcW w:w="0" w:type="auto"/>
            <w:tcBorders>
              <w:top w:val="nil"/>
              <w:left w:val="nil"/>
              <w:bottom w:val="nil"/>
              <w:right w:val="nil"/>
            </w:tcBorders>
            <w:noWrap/>
            <w:vAlign w:val="bottom"/>
            <w:hideMark/>
          </w:tcPr>
          <w:p w14:paraId="0D09E9B4"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_cons</w:t>
            </w:r>
          </w:p>
        </w:tc>
        <w:tc>
          <w:tcPr>
            <w:tcW w:w="0" w:type="auto"/>
            <w:tcBorders>
              <w:top w:val="nil"/>
              <w:left w:val="nil"/>
              <w:bottom w:val="nil"/>
              <w:right w:val="nil"/>
            </w:tcBorders>
            <w:noWrap/>
            <w:vAlign w:val="bottom"/>
            <w:hideMark/>
          </w:tcPr>
          <w:p w14:paraId="505763D9"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5.434</w:t>
            </w:r>
          </w:p>
        </w:tc>
        <w:tc>
          <w:tcPr>
            <w:tcW w:w="0" w:type="auto"/>
            <w:tcBorders>
              <w:top w:val="nil"/>
              <w:left w:val="nil"/>
              <w:bottom w:val="nil"/>
              <w:right w:val="nil"/>
            </w:tcBorders>
            <w:noWrap/>
            <w:vAlign w:val="bottom"/>
            <w:hideMark/>
          </w:tcPr>
          <w:p w14:paraId="439E6448" w14:textId="23EDD6A7" w:rsidR="00905DAD" w:rsidRPr="00905DAD" w:rsidRDefault="00A55192" w:rsidP="00810AA9">
            <w:pPr>
              <w:pStyle w:val="Body"/>
              <w:spacing w:after="0"/>
              <w:rPr>
                <w:rFonts w:ascii="Arial" w:hAnsi="Arial" w:cs="Arial"/>
                <w:lang w:val="en-IN"/>
              </w:rPr>
            </w:pPr>
            <w:r w:rsidRPr="00A55192">
              <w:rPr>
                <w:rFonts w:ascii="Arial" w:hAnsi="Arial" w:cs="Arial"/>
                <w:i/>
                <w:iCs/>
                <w:lang w:val="en-IN"/>
              </w:rPr>
              <w:t>.00</w:t>
            </w:r>
            <w:r w:rsidR="002F5301">
              <w:rPr>
                <w:rFonts w:ascii="Arial" w:hAnsi="Arial" w:cs="Arial"/>
                <w:i/>
                <w:iCs/>
                <w:lang w:val="en-IN"/>
              </w:rPr>
              <w:t>*</w:t>
            </w:r>
          </w:p>
        </w:tc>
        <w:tc>
          <w:tcPr>
            <w:tcW w:w="0" w:type="auto"/>
            <w:tcBorders>
              <w:top w:val="nil"/>
              <w:left w:val="nil"/>
              <w:bottom w:val="nil"/>
              <w:right w:val="nil"/>
            </w:tcBorders>
            <w:noWrap/>
            <w:vAlign w:val="bottom"/>
            <w:hideMark/>
          </w:tcPr>
          <w:p w14:paraId="2E79FFF0"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4.063</w:t>
            </w:r>
          </w:p>
        </w:tc>
        <w:tc>
          <w:tcPr>
            <w:tcW w:w="0" w:type="auto"/>
            <w:tcBorders>
              <w:top w:val="nil"/>
              <w:left w:val="nil"/>
              <w:bottom w:val="nil"/>
              <w:right w:val="nil"/>
            </w:tcBorders>
            <w:noWrap/>
            <w:vAlign w:val="bottom"/>
            <w:hideMark/>
          </w:tcPr>
          <w:p w14:paraId="195C759A" w14:textId="147C5EDF" w:rsidR="00905DAD" w:rsidRPr="00905DAD" w:rsidRDefault="00A55192" w:rsidP="00810AA9">
            <w:pPr>
              <w:pStyle w:val="Body"/>
              <w:spacing w:after="0"/>
              <w:rPr>
                <w:rFonts w:ascii="Arial" w:hAnsi="Arial" w:cs="Arial"/>
                <w:lang w:val="en-IN"/>
              </w:rPr>
            </w:pPr>
            <w:r w:rsidRPr="00A55192">
              <w:rPr>
                <w:rFonts w:ascii="Arial" w:hAnsi="Arial" w:cs="Arial"/>
                <w:i/>
                <w:iCs/>
                <w:lang w:val="en-IN"/>
              </w:rPr>
              <w:t>.00</w:t>
            </w:r>
            <w:r w:rsidR="002F5301">
              <w:rPr>
                <w:rFonts w:ascii="Arial" w:hAnsi="Arial" w:cs="Arial"/>
                <w:i/>
                <w:iCs/>
                <w:lang w:val="en-IN"/>
              </w:rPr>
              <w:t>*</w:t>
            </w:r>
          </w:p>
        </w:tc>
      </w:tr>
      <w:tr w:rsidR="00905DAD" w:rsidRPr="00905DAD" w14:paraId="514E0085" w14:textId="77777777" w:rsidTr="000548A3">
        <w:trPr>
          <w:trHeight w:val="290"/>
          <w:jc w:val="center"/>
        </w:trPr>
        <w:tc>
          <w:tcPr>
            <w:tcW w:w="0" w:type="auto"/>
            <w:tcBorders>
              <w:top w:val="nil"/>
              <w:left w:val="nil"/>
              <w:bottom w:val="nil"/>
              <w:right w:val="nil"/>
            </w:tcBorders>
            <w:noWrap/>
            <w:vAlign w:val="bottom"/>
            <w:hideMark/>
          </w:tcPr>
          <w:p w14:paraId="41148113" w14:textId="385F7E0F" w:rsidR="00905DAD" w:rsidRPr="00905DAD" w:rsidRDefault="00905DAD" w:rsidP="00810AA9">
            <w:pPr>
              <w:pStyle w:val="Body"/>
              <w:spacing w:after="0"/>
              <w:rPr>
                <w:rFonts w:ascii="Arial" w:hAnsi="Arial" w:cs="Arial"/>
                <w:lang w:val="en-IN"/>
              </w:rPr>
            </w:pPr>
            <w:r w:rsidRPr="00905DAD">
              <w:rPr>
                <w:rFonts w:ascii="Arial" w:hAnsi="Arial" w:cs="Arial"/>
                <w:lang w:val="en-IN"/>
              </w:rPr>
              <w:t>R-squared</w:t>
            </w:r>
          </w:p>
        </w:tc>
        <w:tc>
          <w:tcPr>
            <w:tcW w:w="0" w:type="auto"/>
            <w:gridSpan w:val="2"/>
            <w:tcBorders>
              <w:top w:val="nil"/>
              <w:left w:val="nil"/>
              <w:bottom w:val="nil"/>
              <w:right w:val="nil"/>
            </w:tcBorders>
            <w:noWrap/>
            <w:hideMark/>
          </w:tcPr>
          <w:p w14:paraId="4AA88BFF" w14:textId="24979CC4" w:rsidR="00905DAD" w:rsidRPr="00905DAD" w:rsidRDefault="00905DAD" w:rsidP="00810AA9">
            <w:pPr>
              <w:pStyle w:val="Body"/>
              <w:spacing w:after="0"/>
              <w:rPr>
                <w:rFonts w:ascii="Arial" w:hAnsi="Arial" w:cs="Arial"/>
                <w:lang w:val="en-IN"/>
              </w:rPr>
            </w:pPr>
            <w:r w:rsidRPr="00905DAD">
              <w:rPr>
                <w:rFonts w:ascii="Arial" w:hAnsi="Arial" w:cs="Arial"/>
                <w:lang w:val="en-IN"/>
              </w:rPr>
              <w:t>0.608</w:t>
            </w:r>
          </w:p>
        </w:tc>
        <w:tc>
          <w:tcPr>
            <w:tcW w:w="0" w:type="auto"/>
            <w:gridSpan w:val="2"/>
            <w:tcBorders>
              <w:top w:val="nil"/>
              <w:left w:val="nil"/>
              <w:bottom w:val="nil"/>
              <w:right w:val="nil"/>
            </w:tcBorders>
            <w:noWrap/>
            <w:hideMark/>
          </w:tcPr>
          <w:p w14:paraId="3F0F8429" w14:textId="67F718F6" w:rsidR="00905DAD" w:rsidRPr="00905DAD" w:rsidRDefault="00905DAD" w:rsidP="00810AA9">
            <w:pPr>
              <w:pStyle w:val="Body"/>
              <w:spacing w:after="0"/>
              <w:rPr>
                <w:rFonts w:ascii="Arial" w:hAnsi="Arial" w:cs="Arial"/>
                <w:lang w:val="en-IN"/>
              </w:rPr>
            </w:pPr>
            <w:r w:rsidRPr="00905DAD">
              <w:rPr>
                <w:rFonts w:ascii="Arial" w:hAnsi="Arial" w:cs="Arial"/>
                <w:lang w:val="en-IN"/>
              </w:rPr>
              <w:t>Overall = 0.559</w:t>
            </w:r>
          </w:p>
        </w:tc>
      </w:tr>
      <w:tr w:rsidR="00905DAD" w:rsidRPr="00905DAD" w14:paraId="76BBEA13" w14:textId="77777777" w:rsidTr="000548A3">
        <w:trPr>
          <w:trHeight w:val="290"/>
          <w:jc w:val="center"/>
        </w:trPr>
        <w:tc>
          <w:tcPr>
            <w:tcW w:w="0" w:type="auto"/>
            <w:tcBorders>
              <w:top w:val="nil"/>
              <w:left w:val="nil"/>
              <w:bottom w:val="single" w:sz="12" w:space="0" w:color="auto"/>
              <w:right w:val="nil"/>
            </w:tcBorders>
            <w:noWrap/>
            <w:vAlign w:val="bottom"/>
            <w:hideMark/>
          </w:tcPr>
          <w:p w14:paraId="3876D02C" w14:textId="77777777" w:rsidR="00905DAD" w:rsidRPr="00905DAD" w:rsidRDefault="00905DAD" w:rsidP="00810AA9">
            <w:pPr>
              <w:pStyle w:val="Body"/>
              <w:spacing w:after="0"/>
              <w:rPr>
                <w:rFonts w:ascii="Arial" w:hAnsi="Arial" w:cs="Arial"/>
                <w:lang w:val="en-IN"/>
              </w:rPr>
            </w:pPr>
          </w:p>
        </w:tc>
        <w:tc>
          <w:tcPr>
            <w:tcW w:w="0" w:type="auto"/>
            <w:gridSpan w:val="2"/>
            <w:tcBorders>
              <w:top w:val="nil"/>
              <w:left w:val="nil"/>
              <w:bottom w:val="single" w:sz="12" w:space="0" w:color="auto"/>
              <w:right w:val="nil"/>
            </w:tcBorders>
            <w:noWrap/>
            <w:hideMark/>
          </w:tcPr>
          <w:p w14:paraId="411D0A5E" w14:textId="77777777" w:rsidR="00905DAD" w:rsidRPr="00905DAD" w:rsidRDefault="00905DAD" w:rsidP="00810AA9">
            <w:pPr>
              <w:pStyle w:val="Body"/>
              <w:spacing w:after="0"/>
              <w:rPr>
                <w:rFonts w:ascii="Arial" w:hAnsi="Arial" w:cs="Arial"/>
                <w:lang w:val="en-IN"/>
              </w:rPr>
            </w:pPr>
            <w:r w:rsidRPr="00905DAD">
              <w:rPr>
                <w:rFonts w:ascii="Arial" w:hAnsi="Arial" w:cs="Arial"/>
                <w:lang w:val="en-IN"/>
              </w:rPr>
              <w:t>Wald chi2 = 245.3</w:t>
            </w:r>
          </w:p>
        </w:tc>
        <w:tc>
          <w:tcPr>
            <w:tcW w:w="0" w:type="auto"/>
            <w:gridSpan w:val="2"/>
            <w:tcBorders>
              <w:top w:val="nil"/>
              <w:left w:val="nil"/>
              <w:bottom w:val="single" w:sz="12" w:space="0" w:color="auto"/>
              <w:right w:val="nil"/>
            </w:tcBorders>
            <w:noWrap/>
            <w:hideMark/>
          </w:tcPr>
          <w:p w14:paraId="12237E96" w14:textId="77777777" w:rsidR="00905DAD" w:rsidRPr="00905DAD" w:rsidRDefault="00905DAD" w:rsidP="00810AA9">
            <w:pPr>
              <w:pStyle w:val="Body"/>
              <w:spacing w:after="0"/>
              <w:rPr>
                <w:rFonts w:ascii="Arial" w:hAnsi="Arial" w:cs="Arial"/>
                <w:lang w:val="en-IN"/>
              </w:rPr>
            </w:pPr>
            <w:proofErr w:type="gramStart"/>
            <w:r w:rsidRPr="00905DAD">
              <w:rPr>
                <w:rFonts w:ascii="Arial" w:hAnsi="Arial" w:cs="Arial"/>
                <w:lang w:val="en-IN"/>
              </w:rPr>
              <w:t>F(</w:t>
            </w:r>
            <w:proofErr w:type="gramEnd"/>
            <w:r w:rsidRPr="00905DAD">
              <w:rPr>
                <w:rFonts w:ascii="Arial" w:hAnsi="Arial" w:cs="Arial"/>
                <w:lang w:val="en-IN"/>
              </w:rPr>
              <w:t>6,154) = 32.64</w:t>
            </w:r>
          </w:p>
        </w:tc>
      </w:tr>
    </w:tbl>
    <w:p w14:paraId="60C8A43A" w14:textId="692F6396" w:rsidR="002F5301" w:rsidRPr="002F5301" w:rsidRDefault="002F5301" w:rsidP="000548A3">
      <w:pPr>
        <w:pStyle w:val="Body"/>
        <w:spacing w:after="0"/>
        <w:jc w:val="center"/>
        <w:rPr>
          <w:rFonts w:ascii="Arial" w:hAnsi="Arial" w:cs="Arial"/>
          <w:i/>
          <w:iCs/>
          <w:lang w:val="en-IN"/>
        </w:rPr>
      </w:pPr>
      <w:r w:rsidRPr="002F5301">
        <w:rPr>
          <w:rFonts w:ascii="Arial" w:hAnsi="Arial" w:cs="Arial"/>
          <w:i/>
          <w:iCs/>
          <w:shd w:val="clear" w:color="auto" w:fill="FFFFFF"/>
        </w:rPr>
        <w:t>Note: *p &lt; 0.01, **p &lt; 0.05 and ***p &lt; 0.10</w:t>
      </w:r>
    </w:p>
    <w:p w14:paraId="220FD3D7" w14:textId="5C952566" w:rsidR="00905DAD" w:rsidRDefault="00905DAD" w:rsidP="000548A3">
      <w:pPr>
        <w:pStyle w:val="Body"/>
        <w:spacing w:after="0"/>
        <w:jc w:val="center"/>
        <w:rPr>
          <w:rFonts w:ascii="Arial" w:hAnsi="Arial" w:cs="Arial"/>
          <w:i/>
          <w:iCs/>
          <w:lang w:val="en-IN"/>
        </w:rPr>
      </w:pPr>
      <w:r w:rsidRPr="00905DAD">
        <w:rPr>
          <w:rFonts w:ascii="Arial" w:hAnsi="Arial" w:cs="Arial"/>
          <w:i/>
          <w:iCs/>
          <w:lang w:val="en-IN"/>
        </w:rPr>
        <w:t>Source: Computed by the author</w:t>
      </w:r>
    </w:p>
    <w:p w14:paraId="18502C9F" w14:textId="77777777" w:rsidR="000548A3" w:rsidRPr="00905DAD" w:rsidRDefault="000548A3" w:rsidP="00905DAD">
      <w:pPr>
        <w:pStyle w:val="Body"/>
        <w:spacing w:after="0"/>
        <w:rPr>
          <w:rFonts w:ascii="Arial" w:hAnsi="Arial" w:cs="Arial"/>
          <w:i/>
          <w:iCs/>
          <w:lang w:val="en-IN"/>
        </w:rPr>
      </w:pPr>
    </w:p>
    <w:p w14:paraId="543E992D" w14:textId="4235F003" w:rsidR="00905DAD" w:rsidRDefault="00905DAD" w:rsidP="00905DAD">
      <w:pPr>
        <w:pStyle w:val="Body"/>
        <w:spacing w:after="0"/>
        <w:rPr>
          <w:rFonts w:ascii="Arial" w:hAnsi="Arial" w:cs="Arial"/>
          <w:lang w:val="en-IN"/>
        </w:rPr>
      </w:pPr>
      <w:r w:rsidRPr="00905DAD">
        <w:rPr>
          <w:rFonts w:ascii="Arial" w:hAnsi="Arial" w:cs="Arial"/>
          <w:lang w:val="en-IN"/>
        </w:rPr>
        <w:t xml:space="preserve">The random-effects (RE) and fixed-effects (FE) regression models for NIM, with overall R-squared values of 0.608 (RE) and 0.559 (FE), </w:t>
      </w:r>
      <w:r w:rsidR="00C849F2">
        <w:rPr>
          <w:rFonts w:ascii="Arial" w:hAnsi="Arial" w:cs="Arial"/>
          <w:lang w:val="en-IN"/>
        </w:rPr>
        <w:t>indicate</w:t>
      </w:r>
      <w:r w:rsidRPr="00905DAD">
        <w:rPr>
          <w:rFonts w:ascii="Arial" w:hAnsi="Arial" w:cs="Arial"/>
          <w:lang w:val="en-IN"/>
        </w:rPr>
        <w:t xml:space="preserve"> moderate explanatory power. </w:t>
      </w:r>
      <w:r w:rsidR="003A47BA" w:rsidRPr="00905DAD">
        <w:rPr>
          <w:rFonts w:ascii="Arial" w:hAnsi="Arial" w:cs="Arial"/>
          <w:lang w:val="en-IN"/>
        </w:rPr>
        <w:t xml:space="preserve">In both models, the merger variable has a significant positive effect (RE: 0.515, </w:t>
      </w:r>
      <w:r w:rsidR="00CF7A77" w:rsidRPr="00CF7A77">
        <w:rPr>
          <w:rFonts w:ascii="Arial" w:hAnsi="Arial" w:cs="Arial"/>
          <w:i/>
          <w:iCs/>
          <w:lang w:val="en-IN"/>
        </w:rPr>
        <w:t>P = .00</w:t>
      </w:r>
      <w:r w:rsidR="003A47BA" w:rsidRPr="00905DAD">
        <w:rPr>
          <w:rFonts w:ascii="Arial" w:hAnsi="Arial" w:cs="Arial"/>
          <w:lang w:val="en-IN"/>
        </w:rPr>
        <w:t xml:space="preserve">; FE: 0.472, </w:t>
      </w:r>
      <w:r w:rsidR="00CF7A77" w:rsidRPr="00CF7A77">
        <w:rPr>
          <w:rFonts w:ascii="Arial" w:hAnsi="Arial" w:cs="Arial"/>
          <w:i/>
          <w:iCs/>
          <w:lang w:val="en-IN"/>
        </w:rPr>
        <w:t>P = .00</w:t>
      </w:r>
      <w:r w:rsidR="003A47BA" w:rsidRPr="00905DAD">
        <w:rPr>
          <w:rFonts w:ascii="Arial" w:hAnsi="Arial" w:cs="Arial"/>
          <w:lang w:val="en-IN"/>
        </w:rPr>
        <w:t>), suggesting that mergers increase NIM.</w:t>
      </w:r>
      <w:r w:rsidRPr="00905DAD">
        <w:rPr>
          <w:rFonts w:ascii="Arial" w:hAnsi="Arial" w:cs="Arial"/>
          <w:lang w:val="en-IN"/>
        </w:rPr>
        <w:t xml:space="preserve"> GNPA (RE: -0.032, </w:t>
      </w:r>
      <w:r w:rsidR="00CF7A77" w:rsidRPr="00CF7A77">
        <w:rPr>
          <w:rFonts w:ascii="Arial" w:hAnsi="Arial" w:cs="Arial"/>
          <w:i/>
          <w:iCs/>
          <w:lang w:val="en-IN"/>
        </w:rPr>
        <w:t>P = .00</w:t>
      </w:r>
      <w:r w:rsidRPr="00905DAD">
        <w:rPr>
          <w:rFonts w:ascii="Arial" w:hAnsi="Arial" w:cs="Arial"/>
          <w:lang w:val="en-IN"/>
        </w:rPr>
        <w:t xml:space="preserve">; FE: -0.026, </w:t>
      </w:r>
      <w:r w:rsidR="00656183" w:rsidRPr="00656183">
        <w:rPr>
          <w:rFonts w:ascii="Arial" w:hAnsi="Arial" w:cs="Arial"/>
          <w:i/>
          <w:iCs/>
          <w:lang w:val="en-IN"/>
        </w:rPr>
        <w:t xml:space="preserve">P = </w:t>
      </w:r>
      <w:r w:rsidRPr="00CF7A77">
        <w:rPr>
          <w:rFonts w:ascii="Arial" w:hAnsi="Arial" w:cs="Arial"/>
          <w:i/>
          <w:iCs/>
          <w:lang w:val="en-IN"/>
        </w:rPr>
        <w:t>.002</w:t>
      </w:r>
      <w:r w:rsidRPr="00905DAD">
        <w:rPr>
          <w:rFonts w:ascii="Arial" w:hAnsi="Arial" w:cs="Arial"/>
          <w:lang w:val="en-IN"/>
        </w:rPr>
        <w:t xml:space="preserve">) and CI (RE: -0.025, </w:t>
      </w:r>
      <w:r w:rsidR="00CF7A77" w:rsidRPr="00CF7A77">
        <w:rPr>
          <w:rFonts w:ascii="Arial" w:hAnsi="Arial" w:cs="Arial"/>
          <w:i/>
          <w:iCs/>
          <w:lang w:val="en-IN"/>
        </w:rPr>
        <w:t>P = .00</w:t>
      </w:r>
      <w:r w:rsidRPr="00905DAD">
        <w:rPr>
          <w:rFonts w:ascii="Arial" w:hAnsi="Arial" w:cs="Arial"/>
          <w:lang w:val="en-IN"/>
        </w:rPr>
        <w:t xml:space="preserve">; FE: -0.015, </w:t>
      </w:r>
      <w:r w:rsidR="00656183" w:rsidRPr="00656183">
        <w:rPr>
          <w:rFonts w:ascii="Arial" w:hAnsi="Arial" w:cs="Arial"/>
          <w:i/>
          <w:iCs/>
          <w:lang w:val="en-IN"/>
        </w:rPr>
        <w:t xml:space="preserve">P = </w:t>
      </w:r>
      <w:r w:rsidRPr="00CF7A77">
        <w:rPr>
          <w:rFonts w:ascii="Arial" w:hAnsi="Arial" w:cs="Arial"/>
          <w:i/>
          <w:iCs/>
          <w:lang w:val="en-IN"/>
        </w:rPr>
        <w:t>0.012</w:t>
      </w:r>
      <w:r w:rsidRPr="00905DAD">
        <w:rPr>
          <w:rFonts w:ascii="Arial" w:hAnsi="Arial" w:cs="Arial"/>
          <w:lang w:val="en-IN"/>
        </w:rPr>
        <w:t xml:space="preserve">) are significant and negative in both models, indicating </w:t>
      </w:r>
      <w:r w:rsidR="00C849F2">
        <w:rPr>
          <w:rFonts w:ascii="Arial" w:hAnsi="Arial" w:cs="Arial"/>
          <w:lang w:val="en-IN"/>
        </w:rPr>
        <w:t xml:space="preserve">that </w:t>
      </w:r>
      <w:r w:rsidRPr="00905DAD">
        <w:rPr>
          <w:rFonts w:ascii="Arial" w:hAnsi="Arial" w:cs="Arial"/>
          <w:lang w:val="en-IN"/>
        </w:rPr>
        <w:t xml:space="preserve">higher non-performing assets and cost-to-income ratios reduce NIM. CAR and DE are significant in the RE model (CAR: -0.055, </w:t>
      </w:r>
      <w:r w:rsidR="00656183" w:rsidRPr="00656183">
        <w:rPr>
          <w:rFonts w:ascii="Arial" w:hAnsi="Arial" w:cs="Arial"/>
          <w:i/>
          <w:iCs/>
          <w:lang w:val="en-IN"/>
        </w:rPr>
        <w:t xml:space="preserve">P = </w:t>
      </w:r>
      <w:r w:rsidRPr="00CF7A77">
        <w:rPr>
          <w:rFonts w:ascii="Arial" w:hAnsi="Arial" w:cs="Arial"/>
          <w:i/>
          <w:iCs/>
          <w:lang w:val="en-IN"/>
        </w:rPr>
        <w:t>.004</w:t>
      </w:r>
      <w:r w:rsidRPr="00905DAD">
        <w:rPr>
          <w:rFonts w:ascii="Arial" w:hAnsi="Arial" w:cs="Arial"/>
          <w:lang w:val="en-IN"/>
        </w:rPr>
        <w:t xml:space="preserve">; DE: -0.058, </w:t>
      </w:r>
      <w:r w:rsidR="00CF7A77" w:rsidRPr="00CF7A77">
        <w:rPr>
          <w:rFonts w:ascii="Arial" w:hAnsi="Arial" w:cs="Arial"/>
          <w:i/>
          <w:iCs/>
          <w:lang w:val="en-IN"/>
        </w:rPr>
        <w:t>P = 0.00</w:t>
      </w:r>
      <w:r w:rsidRPr="00905DAD">
        <w:rPr>
          <w:rFonts w:ascii="Arial" w:hAnsi="Arial" w:cs="Arial"/>
          <w:lang w:val="en-IN"/>
        </w:rPr>
        <w:t xml:space="preserve">) but marginally insignificant in the FE model (CAR: -0.034, </w:t>
      </w:r>
      <w:r w:rsidR="00656183" w:rsidRPr="00656183">
        <w:rPr>
          <w:rFonts w:ascii="Arial" w:hAnsi="Arial" w:cs="Arial"/>
          <w:i/>
          <w:iCs/>
          <w:lang w:val="en-IN"/>
        </w:rPr>
        <w:t xml:space="preserve">P </w:t>
      </w:r>
      <w:r w:rsidR="00656183" w:rsidRPr="00CF7A77">
        <w:rPr>
          <w:rFonts w:ascii="Arial" w:hAnsi="Arial" w:cs="Arial"/>
          <w:i/>
          <w:iCs/>
          <w:lang w:val="en-IN"/>
        </w:rPr>
        <w:t xml:space="preserve">= </w:t>
      </w:r>
      <w:r w:rsidRPr="00CF7A77">
        <w:rPr>
          <w:rFonts w:ascii="Arial" w:hAnsi="Arial" w:cs="Arial"/>
          <w:i/>
          <w:iCs/>
          <w:lang w:val="en-IN"/>
        </w:rPr>
        <w:t>.073</w:t>
      </w:r>
      <w:r w:rsidRPr="00905DAD">
        <w:rPr>
          <w:rFonts w:ascii="Arial" w:hAnsi="Arial" w:cs="Arial"/>
          <w:lang w:val="en-IN"/>
        </w:rPr>
        <w:t xml:space="preserve">; DE: -0.023, </w:t>
      </w:r>
      <w:r w:rsidR="00656183" w:rsidRPr="00656183">
        <w:rPr>
          <w:rFonts w:ascii="Arial" w:hAnsi="Arial" w:cs="Arial"/>
          <w:i/>
          <w:iCs/>
          <w:lang w:val="en-IN"/>
        </w:rPr>
        <w:t xml:space="preserve">P </w:t>
      </w:r>
      <w:r w:rsidR="00656183" w:rsidRPr="00CF7A77">
        <w:rPr>
          <w:rFonts w:ascii="Arial" w:hAnsi="Arial" w:cs="Arial"/>
          <w:i/>
          <w:iCs/>
          <w:lang w:val="en-IN"/>
        </w:rPr>
        <w:t xml:space="preserve">= </w:t>
      </w:r>
      <w:r w:rsidRPr="00CF7A77">
        <w:rPr>
          <w:rFonts w:ascii="Arial" w:hAnsi="Arial" w:cs="Arial"/>
          <w:i/>
          <w:iCs/>
          <w:lang w:val="en-IN"/>
        </w:rPr>
        <w:t>0.060</w:t>
      </w:r>
      <w:r w:rsidRPr="00905DAD">
        <w:rPr>
          <w:rFonts w:ascii="Arial" w:hAnsi="Arial" w:cs="Arial"/>
          <w:lang w:val="en-IN"/>
        </w:rPr>
        <w:t xml:space="preserve">), suggesting weaker evidence of impact in the FE model. </w:t>
      </w:r>
      <w:r w:rsidR="003A47BA" w:rsidRPr="00905DAD">
        <w:rPr>
          <w:rFonts w:ascii="Arial" w:hAnsi="Arial" w:cs="Arial"/>
          <w:lang w:val="en-IN"/>
        </w:rPr>
        <w:t xml:space="preserve">CTA was insignificant in both models (RE: 0.005, </w:t>
      </w:r>
      <w:r w:rsidR="00656183" w:rsidRPr="00656183">
        <w:rPr>
          <w:rFonts w:ascii="Arial" w:hAnsi="Arial" w:cs="Arial"/>
          <w:i/>
          <w:iCs/>
          <w:lang w:val="en-IN"/>
        </w:rPr>
        <w:t xml:space="preserve">P = </w:t>
      </w:r>
      <w:r w:rsidR="003A47BA" w:rsidRPr="00CF7A77">
        <w:rPr>
          <w:rFonts w:ascii="Arial" w:hAnsi="Arial" w:cs="Arial"/>
          <w:i/>
          <w:iCs/>
          <w:lang w:val="en-IN"/>
        </w:rPr>
        <w:t>.847</w:t>
      </w:r>
      <w:r w:rsidR="003A47BA" w:rsidRPr="00905DAD">
        <w:rPr>
          <w:rFonts w:ascii="Arial" w:hAnsi="Arial" w:cs="Arial"/>
          <w:lang w:val="en-IN"/>
        </w:rPr>
        <w:t xml:space="preserve">; FE: 0.023, </w:t>
      </w:r>
      <w:r w:rsidR="00656183" w:rsidRPr="00656183">
        <w:rPr>
          <w:rFonts w:ascii="Arial" w:hAnsi="Arial" w:cs="Arial"/>
          <w:i/>
          <w:iCs/>
          <w:lang w:val="en-IN"/>
        </w:rPr>
        <w:t xml:space="preserve">P </w:t>
      </w:r>
      <w:r w:rsidR="00656183" w:rsidRPr="00CF7A77">
        <w:rPr>
          <w:rFonts w:ascii="Arial" w:hAnsi="Arial" w:cs="Arial"/>
          <w:i/>
          <w:iCs/>
          <w:lang w:val="en-IN"/>
        </w:rPr>
        <w:t xml:space="preserve">= </w:t>
      </w:r>
      <w:r w:rsidR="003A47BA" w:rsidRPr="00CF7A77">
        <w:rPr>
          <w:rFonts w:ascii="Arial" w:hAnsi="Arial" w:cs="Arial"/>
          <w:i/>
          <w:iCs/>
          <w:lang w:val="en-IN"/>
        </w:rPr>
        <w:t>.401</w:t>
      </w:r>
      <w:r w:rsidR="003A47BA" w:rsidRPr="00905DAD">
        <w:rPr>
          <w:rFonts w:ascii="Arial" w:hAnsi="Arial" w:cs="Arial"/>
          <w:lang w:val="en-IN"/>
        </w:rPr>
        <w:t>).</w:t>
      </w:r>
      <w:r w:rsidRPr="00905DAD">
        <w:rPr>
          <w:rFonts w:ascii="Arial" w:hAnsi="Arial" w:cs="Arial"/>
          <w:lang w:val="en-IN"/>
        </w:rPr>
        <w:t xml:space="preserve"> </w:t>
      </w:r>
      <w:r w:rsidR="003A47BA" w:rsidRPr="00905DAD">
        <w:rPr>
          <w:rFonts w:ascii="Arial" w:hAnsi="Arial" w:cs="Arial"/>
          <w:lang w:val="en-IN"/>
        </w:rPr>
        <w:t xml:space="preserve">The RE model’s higher Wald chi-square (245.3) compared to the FE model’s F-statistic (32.64) reflects </w:t>
      </w:r>
      <w:r w:rsidR="003A47BA">
        <w:rPr>
          <w:rFonts w:ascii="Arial" w:hAnsi="Arial" w:cs="Arial"/>
          <w:lang w:val="en-IN"/>
        </w:rPr>
        <w:t xml:space="preserve">a </w:t>
      </w:r>
      <w:r w:rsidR="003A47BA" w:rsidRPr="00905DAD">
        <w:rPr>
          <w:rFonts w:ascii="Arial" w:hAnsi="Arial" w:cs="Arial"/>
          <w:lang w:val="en-IN"/>
        </w:rPr>
        <w:t>stronger overall fit, but the Hausman test favo</w:t>
      </w:r>
      <w:r w:rsidR="00CF7A77">
        <w:rPr>
          <w:rFonts w:ascii="Arial" w:hAnsi="Arial" w:cs="Arial"/>
          <w:lang w:val="en-IN"/>
        </w:rPr>
        <w:t>u</w:t>
      </w:r>
      <w:r w:rsidR="003A47BA" w:rsidRPr="00905DAD">
        <w:rPr>
          <w:rFonts w:ascii="Arial" w:hAnsi="Arial" w:cs="Arial"/>
          <w:lang w:val="en-IN"/>
        </w:rPr>
        <w:t>rs the FE model because of systematic coefficient differences.</w:t>
      </w:r>
      <w:r w:rsidRPr="00905DAD">
        <w:rPr>
          <w:rFonts w:ascii="Arial" w:hAnsi="Arial" w:cs="Arial"/>
          <w:lang w:val="en-IN"/>
        </w:rPr>
        <w:t xml:space="preserve"> The FE model accounts for bank-specific effects, reducing the constant term (4.06</w:t>
      </w:r>
      <w:r w:rsidR="00A55192">
        <w:rPr>
          <w:rFonts w:ascii="Arial" w:hAnsi="Arial" w:cs="Arial"/>
          <w:lang w:val="en-IN"/>
        </w:rPr>
        <w:t>3</w:t>
      </w:r>
      <w:r w:rsidRPr="00905DAD">
        <w:rPr>
          <w:rFonts w:ascii="Arial" w:hAnsi="Arial" w:cs="Arial"/>
          <w:lang w:val="en-IN"/>
        </w:rPr>
        <w:t xml:space="preserve"> vs. 5.434 in RE), suggesting unobserved heterogeneity influences NIM. </w:t>
      </w:r>
      <w:r w:rsidR="003A47BA" w:rsidRPr="00905DAD">
        <w:rPr>
          <w:rFonts w:ascii="Arial" w:hAnsi="Arial" w:cs="Arial"/>
          <w:lang w:val="en-IN"/>
        </w:rPr>
        <w:t>The fixed-effects model is preferred because it consistently estimates the coefficients by controlling for unobserved heterogeneity across banks, whereas the RE model is inconsistent under these conditions.</w:t>
      </w:r>
    </w:p>
    <w:p w14:paraId="401737DE" w14:textId="77777777" w:rsidR="000548A3" w:rsidRPr="00905DAD" w:rsidRDefault="000548A3" w:rsidP="00905DAD">
      <w:pPr>
        <w:pStyle w:val="Body"/>
        <w:spacing w:after="0"/>
        <w:rPr>
          <w:rFonts w:ascii="Arial" w:hAnsi="Arial" w:cs="Arial"/>
          <w:lang w:val="en-IN"/>
        </w:rPr>
      </w:pPr>
    </w:p>
    <w:p w14:paraId="0087246D" w14:textId="3621DE50" w:rsidR="00905DAD" w:rsidRDefault="00905DAD" w:rsidP="000548A3">
      <w:pPr>
        <w:pStyle w:val="Body"/>
        <w:spacing w:after="0"/>
        <w:rPr>
          <w:rFonts w:ascii="Arial" w:hAnsi="Arial" w:cs="Arial"/>
          <w:b/>
          <w:bCs/>
          <w:lang w:val="en-IN"/>
        </w:rPr>
      </w:pPr>
      <w:r w:rsidRPr="00905DAD">
        <w:rPr>
          <w:rFonts w:ascii="Arial" w:hAnsi="Arial" w:cs="Arial"/>
          <w:b/>
          <w:bCs/>
          <w:lang w:val="en-IN"/>
        </w:rPr>
        <w:t xml:space="preserve">4.4. Regression model taking </w:t>
      </w:r>
      <w:r w:rsidR="00C849F2">
        <w:rPr>
          <w:rFonts w:ascii="Arial" w:hAnsi="Arial" w:cs="Arial"/>
          <w:b/>
          <w:bCs/>
          <w:lang w:val="en-IN"/>
        </w:rPr>
        <w:t xml:space="preserve">the </w:t>
      </w:r>
      <w:r w:rsidRPr="00905DAD">
        <w:rPr>
          <w:rFonts w:ascii="Arial" w:hAnsi="Arial" w:cs="Arial"/>
          <w:b/>
          <w:bCs/>
          <w:lang w:val="en-IN"/>
        </w:rPr>
        <w:t>dependent variable as ROA</w:t>
      </w:r>
    </w:p>
    <w:p w14:paraId="4ECBEE31" w14:textId="77777777" w:rsidR="000548A3" w:rsidRPr="00905DAD" w:rsidRDefault="000548A3" w:rsidP="000548A3">
      <w:pPr>
        <w:pStyle w:val="Body"/>
        <w:spacing w:after="0"/>
        <w:rPr>
          <w:rFonts w:ascii="Arial" w:hAnsi="Arial" w:cs="Arial"/>
          <w:b/>
          <w:bCs/>
          <w:lang w:val="en-IN"/>
        </w:rPr>
      </w:pPr>
    </w:p>
    <w:p w14:paraId="5B8D0B3D" w14:textId="1787AAA4" w:rsidR="00905DAD" w:rsidRDefault="003A47BA" w:rsidP="000548A3">
      <w:pPr>
        <w:pStyle w:val="Body"/>
        <w:spacing w:after="0"/>
        <w:rPr>
          <w:rFonts w:ascii="Arial" w:hAnsi="Arial" w:cs="Arial"/>
          <w:lang w:val="en-IN"/>
        </w:rPr>
      </w:pPr>
      <w:r w:rsidRPr="00905DAD">
        <w:rPr>
          <w:rFonts w:ascii="Arial" w:hAnsi="Arial" w:cs="Arial"/>
          <w:lang w:val="en-IN"/>
        </w:rPr>
        <w:t>The second regression equation model evaluates the effect of the merger and control variables on ROA.</w:t>
      </w:r>
      <w:r w:rsidR="00905DAD" w:rsidRPr="00905DAD">
        <w:rPr>
          <w:rFonts w:ascii="Arial" w:hAnsi="Arial" w:cs="Arial"/>
          <w:lang w:val="en-IN"/>
        </w:rPr>
        <w:t xml:space="preserve"> </w:t>
      </w:r>
      <w:r w:rsidRPr="00905DAD">
        <w:rPr>
          <w:rFonts w:ascii="Arial" w:hAnsi="Arial" w:cs="Arial"/>
          <w:lang w:val="en-IN"/>
        </w:rPr>
        <w:t>ROA reflects how efficiently a bank uses its assets to assess the merger’s impact on its overall operational efficiency.</w:t>
      </w:r>
      <w:r w:rsidR="00905DAD" w:rsidRPr="00905DAD">
        <w:rPr>
          <w:rFonts w:ascii="Arial" w:hAnsi="Arial" w:cs="Arial"/>
          <w:lang w:val="en-IN"/>
        </w:rPr>
        <w:t xml:space="preserve"> </w:t>
      </w:r>
    </w:p>
    <w:p w14:paraId="22712DBF" w14:textId="77777777" w:rsidR="000548A3" w:rsidRPr="00905DAD" w:rsidRDefault="000548A3" w:rsidP="000548A3">
      <w:pPr>
        <w:pStyle w:val="Body"/>
        <w:spacing w:after="0"/>
        <w:rPr>
          <w:rFonts w:ascii="Arial" w:hAnsi="Arial" w:cs="Arial"/>
          <w:lang w:val="en-IN"/>
        </w:rPr>
      </w:pPr>
    </w:p>
    <w:p w14:paraId="4CF5125B" w14:textId="5FB784B4" w:rsidR="00905DAD" w:rsidRDefault="00C849F2" w:rsidP="000548A3">
      <w:pPr>
        <w:pStyle w:val="Body"/>
        <w:spacing w:after="0"/>
        <w:jc w:val="center"/>
        <w:rPr>
          <w:rFonts w:ascii="Arial" w:hAnsi="Arial" w:cs="Arial"/>
          <w:lang w:val="en-IN"/>
        </w:rPr>
      </w:pPr>
      <w:r>
        <w:rPr>
          <w:rFonts w:ascii="Arial" w:hAnsi="Arial" w:cs="Arial"/>
          <w:b/>
          <w:bCs/>
          <w:lang w:val="en-IN"/>
        </w:rPr>
        <w:t xml:space="preserve">Table </w:t>
      </w:r>
      <w:r w:rsidR="007C42B5">
        <w:rPr>
          <w:rFonts w:ascii="Arial" w:hAnsi="Arial" w:cs="Arial"/>
          <w:b/>
          <w:bCs/>
          <w:lang w:val="en-IN"/>
        </w:rPr>
        <w:t>5</w:t>
      </w:r>
      <w:r w:rsidR="00905DAD" w:rsidRPr="00905DAD">
        <w:rPr>
          <w:rFonts w:ascii="Arial" w:hAnsi="Arial" w:cs="Arial"/>
          <w:b/>
          <w:bCs/>
          <w:lang w:val="en-IN"/>
        </w:rPr>
        <w:t xml:space="preserve">: </w:t>
      </w:r>
      <w:r w:rsidR="00905DAD" w:rsidRPr="00905DAD">
        <w:rPr>
          <w:rFonts w:ascii="Arial" w:hAnsi="Arial" w:cs="Arial"/>
          <w:lang w:val="en-IN"/>
        </w:rPr>
        <w:t>Regression model for ROA</w:t>
      </w:r>
    </w:p>
    <w:p w14:paraId="1CAEC4C7" w14:textId="77777777" w:rsidR="00C73D82" w:rsidRPr="00905DAD" w:rsidRDefault="00C73D82" w:rsidP="000548A3">
      <w:pPr>
        <w:pStyle w:val="Body"/>
        <w:spacing w:after="0"/>
        <w:jc w:val="center"/>
        <w:rPr>
          <w:rFonts w:ascii="Arial" w:hAnsi="Arial" w:cs="Arial"/>
          <w:b/>
          <w:bCs/>
          <w:lang w:val="en-IN"/>
        </w:rPr>
      </w:pPr>
    </w:p>
    <w:tbl>
      <w:tblPr>
        <w:tblW w:w="0" w:type="auto"/>
        <w:jc w:val="center"/>
        <w:tblBorders>
          <w:top w:val="single" w:sz="12" w:space="0" w:color="auto"/>
          <w:bottom w:val="single" w:sz="12" w:space="0" w:color="auto"/>
        </w:tblBorders>
        <w:tblCellMar>
          <w:left w:w="0" w:type="dxa"/>
          <w:right w:w="0" w:type="dxa"/>
        </w:tblCellMar>
        <w:tblLook w:val="04A0" w:firstRow="1" w:lastRow="0" w:firstColumn="1" w:lastColumn="0" w:noHBand="0" w:noVBand="1"/>
      </w:tblPr>
      <w:tblGrid>
        <w:gridCol w:w="976"/>
        <w:gridCol w:w="1135"/>
        <w:gridCol w:w="613"/>
        <w:gridCol w:w="1064"/>
        <w:gridCol w:w="575"/>
      </w:tblGrid>
      <w:tr w:rsidR="00905DAD" w:rsidRPr="00905DAD" w14:paraId="7FD06EC0" w14:textId="77777777" w:rsidTr="000548A3">
        <w:trPr>
          <w:trHeight w:val="290"/>
          <w:jc w:val="center"/>
        </w:trPr>
        <w:tc>
          <w:tcPr>
            <w:tcW w:w="0" w:type="auto"/>
            <w:tcBorders>
              <w:top w:val="single" w:sz="12" w:space="0" w:color="auto"/>
              <w:bottom w:val="single" w:sz="2" w:space="0" w:color="auto"/>
            </w:tcBorders>
            <w:noWrap/>
            <w:tcMar>
              <w:top w:w="15" w:type="dxa"/>
              <w:left w:w="15" w:type="dxa"/>
              <w:bottom w:w="0" w:type="dxa"/>
              <w:right w:w="15" w:type="dxa"/>
            </w:tcMar>
            <w:vAlign w:val="bottom"/>
            <w:hideMark/>
          </w:tcPr>
          <w:p w14:paraId="70CE0146"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 Variables</w:t>
            </w:r>
          </w:p>
        </w:tc>
        <w:tc>
          <w:tcPr>
            <w:tcW w:w="0" w:type="auto"/>
            <w:gridSpan w:val="2"/>
            <w:tcBorders>
              <w:top w:val="single" w:sz="12" w:space="0" w:color="auto"/>
              <w:bottom w:val="single" w:sz="2" w:space="0" w:color="auto"/>
            </w:tcBorders>
            <w:noWrap/>
            <w:tcMar>
              <w:top w:w="15" w:type="dxa"/>
              <w:left w:w="15" w:type="dxa"/>
              <w:bottom w:w="0" w:type="dxa"/>
              <w:right w:w="15" w:type="dxa"/>
            </w:tcMar>
            <w:vAlign w:val="bottom"/>
            <w:hideMark/>
          </w:tcPr>
          <w:p w14:paraId="2A13E0ED"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 xml:space="preserve">Random-effects </w:t>
            </w:r>
          </w:p>
        </w:tc>
        <w:tc>
          <w:tcPr>
            <w:tcW w:w="0" w:type="auto"/>
            <w:gridSpan w:val="2"/>
            <w:tcBorders>
              <w:top w:val="single" w:sz="12" w:space="0" w:color="auto"/>
              <w:bottom w:val="single" w:sz="2" w:space="0" w:color="auto"/>
            </w:tcBorders>
            <w:noWrap/>
            <w:tcMar>
              <w:top w:w="15" w:type="dxa"/>
              <w:left w:w="15" w:type="dxa"/>
              <w:bottom w:w="0" w:type="dxa"/>
              <w:right w:w="15" w:type="dxa"/>
            </w:tcMar>
            <w:vAlign w:val="bottom"/>
            <w:hideMark/>
          </w:tcPr>
          <w:p w14:paraId="57A8BFBC"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Fixed-effects</w:t>
            </w:r>
          </w:p>
        </w:tc>
      </w:tr>
      <w:tr w:rsidR="00905DAD" w:rsidRPr="00905DAD" w14:paraId="071099B7" w14:textId="77777777" w:rsidTr="000548A3">
        <w:trPr>
          <w:trHeight w:val="290"/>
          <w:jc w:val="center"/>
        </w:trPr>
        <w:tc>
          <w:tcPr>
            <w:tcW w:w="0" w:type="auto"/>
            <w:tcBorders>
              <w:top w:val="single" w:sz="2" w:space="0" w:color="auto"/>
              <w:bottom w:val="single" w:sz="2" w:space="0" w:color="auto"/>
            </w:tcBorders>
            <w:noWrap/>
            <w:tcMar>
              <w:top w:w="15" w:type="dxa"/>
              <w:left w:w="15" w:type="dxa"/>
              <w:bottom w:w="0" w:type="dxa"/>
              <w:right w:w="15" w:type="dxa"/>
            </w:tcMar>
            <w:vAlign w:val="bottom"/>
            <w:hideMark/>
          </w:tcPr>
          <w:p w14:paraId="7A35CBAF"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ROA</w:t>
            </w:r>
          </w:p>
        </w:tc>
        <w:tc>
          <w:tcPr>
            <w:tcW w:w="0" w:type="auto"/>
            <w:tcBorders>
              <w:top w:val="single" w:sz="2" w:space="0" w:color="auto"/>
              <w:bottom w:val="single" w:sz="2" w:space="0" w:color="auto"/>
            </w:tcBorders>
            <w:noWrap/>
            <w:tcMar>
              <w:top w:w="15" w:type="dxa"/>
              <w:left w:w="15" w:type="dxa"/>
              <w:bottom w:w="0" w:type="dxa"/>
              <w:right w:w="15" w:type="dxa"/>
            </w:tcMar>
            <w:vAlign w:val="bottom"/>
            <w:hideMark/>
          </w:tcPr>
          <w:p w14:paraId="7CD3F63A"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Coefficient</w:t>
            </w:r>
          </w:p>
        </w:tc>
        <w:tc>
          <w:tcPr>
            <w:tcW w:w="0" w:type="auto"/>
            <w:tcBorders>
              <w:top w:val="single" w:sz="2" w:space="0" w:color="auto"/>
              <w:bottom w:val="single" w:sz="2" w:space="0" w:color="auto"/>
            </w:tcBorders>
            <w:noWrap/>
            <w:tcMar>
              <w:top w:w="15" w:type="dxa"/>
              <w:left w:w="15" w:type="dxa"/>
              <w:bottom w:w="0" w:type="dxa"/>
              <w:right w:w="15" w:type="dxa"/>
            </w:tcMar>
            <w:vAlign w:val="bottom"/>
            <w:hideMark/>
          </w:tcPr>
          <w:p w14:paraId="6A9A006F"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P&gt;z</w:t>
            </w:r>
          </w:p>
        </w:tc>
        <w:tc>
          <w:tcPr>
            <w:tcW w:w="0" w:type="auto"/>
            <w:tcBorders>
              <w:top w:val="single" w:sz="2" w:space="0" w:color="auto"/>
              <w:bottom w:val="single" w:sz="2" w:space="0" w:color="auto"/>
            </w:tcBorders>
            <w:noWrap/>
            <w:tcMar>
              <w:top w:w="15" w:type="dxa"/>
              <w:left w:w="15" w:type="dxa"/>
              <w:bottom w:w="0" w:type="dxa"/>
              <w:right w:w="15" w:type="dxa"/>
            </w:tcMar>
            <w:vAlign w:val="bottom"/>
            <w:hideMark/>
          </w:tcPr>
          <w:p w14:paraId="310F9BC9"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Coefficient</w:t>
            </w:r>
          </w:p>
        </w:tc>
        <w:tc>
          <w:tcPr>
            <w:tcW w:w="0" w:type="auto"/>
            <w:tcBorders>
              <w:top w:val="single" w:sz="2" w:space="0" w:color="auto"/>
              <w:bottom w:val="single" w:sz="2" w:space="0" w:color="auto"/>
            </w:tcBorders>
            <w:noWrap/>
            <w:tcMar>
              <w:top w:w="15" w:type="dxa"/>
              <w:left w:w="15" w:type="dxa"/>
              <w:bottom w:w="0" w:type="dxa"/>
              <w:right w:w="15" w:type="dxa"/>
            </w:tcMar>
            <w:vAlign w:val="bottom"/>
            <w:hideMark/>
          </w:tcPr>
          <w:p w14:paraId="3ED8325B"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P&gt;t</w:t>
            </w:r>
          </w:p>
        </w:tc>
      </w:tr>
      <w:tr w:rsidR="00905DAD" w:rsidRPr="00905DAD" w14:paraId="43481986" w14:textId="77777777" w:rsidTr="000548A3">
        <w:trPr>
          <w:trHeight w:val="290"/>
          <w:jc w:val="center"/>
        </w:trPr>
        <w:tc>
          <w:tcPr>
            <w:tcW w:w="0" w:type="auto"/>
            <w:tcBorders>
              <w:top w:val="single" w:sz="2" w:space="0" w:color="auto"/>
            </w:tcBorders>
            <w:noWrap/>
            <w:tcMar>
              <w:top w:w="15" w:type="dxa"/>
              <w:left w:w="15" w:type="dxa"/>
              <w:bottom w:w="0" w:type="dxa"/>
              <w:right w:w="15" w:type="dxa"/>
            </w:tcMar>
            <w:vAlign w:val="bottom"/>
            <w:hideMark/>
          </w:tcPr>
          <w:p w14:paraId="22E5ADFD"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Merger</w:t>
            </w:r>
          </w:p>
        </w:tc>
        <w:tc>
          <w:tcPr>
            <w:tcW w:w="0" w:type="auto"/>
            <w:tcBorders>
              <w:top w:val="single" w:sz="2" w:space="0" w:color="auto"/>
            </w:tcBorders>
            <w:noWrap/>
            <w:tcMar>
              <w:top w:w="15" w:type="dxa"/>
              <w:left w:w="15" w:type="dxa"/>
              <w:bottom w:w="0" w:type="dxa"/>
              <w:right w:w="15" w:type="dxa"/>
            </w:tcMar>
            <w:vAlign w:val="bottom"/>
            <w:hideMark/>
          </w:tcPr>
          <w:p w14:paraId="605098B4"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0.168</w:t>
            </w:r>
          </w:p>
        </w:tc>
        <w:tc>
          <w:tcPr>
            <w:tcW w:w="0" w:type="auto"/>
            <w:tcBorders>
              <w:top w:val="single" w:sz="2" w:space="0" w:color="auto"/>
            </w:tcBorders>
            <w:noWrap/>
            <w:tcMar>
              <w:top w:w="15" w:type="dxa"/>
              <w:left w:w="15" w:type="dxa"/>
              <w:bottom w:w="0" w:type="dxa"/>
              <w:right w:w="15" w:type="dxa"/>
            </w:tcMar>
            <w:vAlign w:val="bottom"/>
            <w:hideMark/>
          </w:tcPr>
          <w:p w14:paraId="0EFF0A69" w14:textId="3B3BC8AE" w:rsidR="00905DAD" w:rsidRPr="00905DAD" w:rsidRDefault="00905DAD" w:rsidP="000548A3">
            <w:pPr>
              <w:pStyle w:val="Body"/>
              <w:spacing w:after="0"/>
              <w:rPr>
                <w:rFonts w:ascii="Arial" w:hAnsi="Arial" w:cs="Arial"/>
                <w:lang w:val="en-IN"/>
              </w:rPr>
            </w:pPr>
            <w:r w:rsidRPr="00905DAD">
              <w:rPr>
                <w:rFonts w:ascii="Arial" w:hAnsi="Arial" w:cs="Arial"/>
                <w:lang w:val="en-IN"/>
              </w:rPr>
              <w:t>.012</w:t>
            </w:r>
            <w:r w:rsidR="002F5301">
              <w:rPr>
                <w:rFonts w:ascii="Arial" w:hAnsi="Arial" w:cs="Arial"/>
                <w:lang w:val="en-IN"/>
              </w:rPr>
              <w:t>**</w:t>
            </w:r>
          </w:p>
        </w:tc>
        <w:tc>
          <w:tcPr>
            <w:tcW w:w="0" w:type="auto"/>
            <w:tcBorders>
              <w:top w:val="single" w:sz="2" w:space="0" w:color="auto"/>
            </w:tcBorders>
            <w:noWrap/>
            <w:tcMar>
              <w:top w:w="15" w:type="dxa"/>
              <w:left w:w="15" w:type="dxa"/>
              <w:bottom w:w="0" w:type="dxa"/>
              <w:right w:w="15" w:type="dxa"/>
            </w:tcMar>
            <w:vAlign w:val="bottom"/>
            <w:hideMark/>
          </w:tcPr>
          <w:p w14:paraId="693F0987"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0.186</w:t>
            </w:r>
          </w:p>
        </w:tc>
        <w:tc>
          <w:tcPr>
            <w:tcW w:w="0" w:type="auto"/>
            <w:tcBorders>
              <w:top w:val="single" w:sz="2" w:space="0" w:color="auto"/>
            </w:tcBorders>
            <w:noWrap/>
            <w:tcMar>
              <w:top w:w="15" w:type="dxa"/>
              <w:left w:w="15" w:type="dxa"/>
              <w:bottom w:w="0" w:type="dxa"/>
              <w:right w:w="15" w:type="dxa"/>
            </w:tcMar>
            <w:vAlign w:val="bottom"/>
            <w:hideMark/>
          </w:tcPr>
          <w:p w14:paraId="325D6067" w14:textId="0AB22A4F" w:rsidR="00905DAD" w:rsidRPr="00905DAD" w:rsidRDefault="00905DAD" w:rsidP="000548A3">
            <w:pPr>
              <w:pStyle w:val="Body"/>
              <w:spacing w:after="0"/>
              <w:rPr>
                <w:rFonts w:ascii="Arial" w:hAnsi="Arial" w:cs="Arial"/>
                <w:lang w:val="en-IN"/>
              </w:rPr>
            </w:pPr>
            <w:r w:rsidRPr="00905DAD">
              <w:rPr>
                <w:rFonts w:ascii="Arial" w:hAnsi="Arial" w:cs="Arial"/>
                <w:lang w:val="en-IN"/>
              </w:rPr>
              <w:t>.010</w:t>
            </w:r>
            <w:r w:rsidR="002F5301">
              <w:rPr>
                <w:rFonts w:ascii="Arial" w:hAnsi="Arial" w:cs="Arial"/>
                <w:lang w:val="en-IN"/>
              </w:rPr>
              <w:t>**</w:t>
            </w:r>
          </w:p>
        </w:tc>
      </w:tr>
      <w:tr w:rsidR="00905DAD" w:rsidRPr="00905DAD" w14:paraId="6FABEF1F" w14:textId="77777777" w:rsidTr="000548A3">
        <w:trPr>
          <w:trHeight w:val="290"/>
          <w:jc w:val="center"/>
        </w:trPr>
        <w:tc>
          <w:tcPr>
            <w:tcW w:w="0" w:type="auto"/>
            <w:noWrap/>
            <w:tcMar>
              <w:top w:w="15" w:type="dxa"/>
              <w:left w:w="15" w:type="dxa"/>
              <w:bottom w:w="0" w:type="dxa"/>
              <w:right w:w="15" w:type="dxa"/>
            </w:tcMar>
            <w:vAlign w:val="bottom"/>
            <w:hideMark/>
          </w:tcPr>
          <w:p w14:paraId="4007F5CF"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lastRenderedPageBreak/>
              <w:t>CAR</w:t>
            </w:r>
          </w:p>
        </w:tc>
        <w:tc>
          <w:tcPr>
            <w:tcW w:w="0" w:type="auto"/>
            <w:noWrap/>
            <w:tcMar>
              <w:top w:w="15" w:type="dxa"/>
              <w:left w:w="15" w:type="dxa"/>
              <w:bottom w:w="0" w:type="dxa"/>
              <w:right w:w="15" w:type="dxa"/>
            </w:tcMar>
            <w:vAlign w:val="bottom"/>
            <w:hideMark/>
          </w:tcPr>
          <w:p w14:paraId="0C6DCEA9"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0.063</w:t>
            </w:r>
          </w:p>
        </w:tc>
        <w:tc>
          <w:tcPr>
            <w:tcW w:w="0" w:type="auto"/>
            <w:noWrap/>
            <w:tcMar>
              <w:top w:w="15" w:type="dxa"/>
              <w:left w:w="15" w:type="dxa"/>
              <w:bottom w:w="0" w:type="dxa"/>
              <w:right w:w="15" w:type="dxa"/>
            </w:tcMar>
            <w:vAlign w:val="bottom"/>
            <w:hideMark/>
          </w:tcPr>
          <w:p w14:paraId="6B9DCF4E" w14:textId="076A6E6B" w:rsidR="00905DAD" w:rsidRPr="00905DAD" w:rsidRDefault="00905DAD" w:rsidP="000548A3">
            <w:pPr>
              <w:pStyle w:val="Body"/>
              <w:spacing w:after="0"/>
              <w:rPr>
                <w:rFonts w:ascii="Arial" w:hAnsi="Arial" w:cs="Arial"/>
                <w:lang w:val="en-IN"/>
              </w:rPr>
            </w:pPr>
            <w:r w:rsidRPr="00905DAD">
              <w:rPr>
                <w:rFonts w:ascii="Arial" w:hAnsi="Arial" w:cs="Arial"/>
                <w:lang w:val="en-IN"/>
              </w:rPr>
              <w:t>.010</w:t>
            </w:r>
            <w:r w:rsidR="002F5301">
              <w:rPr>
                <w:rFonts w:ascii="Arial" w:hAnsi="Arial" w:cs="Arial"/>
                <w:lang w:val="en-IN"/>
              </w:rPr>
              <w:t>**</w:t>
            </w:r>
          </w:p>
        </w:tc>
        <w:tc>
          <w:tcPr>
            <w:tcW w:w="0" w:type="auto"/>
            <w:noWrap/>
            <w:tcMar>
              <w:top w:w="15" w:type="dxa"/>
              <w:left w:w="15" w:type="dxa"/>
              <w:bottom w:w="0" w:type="dxa"/>
              <w:right w:w="15" w:type="dxa"/>
            </w:tcMar>
            <w:vAlign w:val="bottom"/>
            <w:hideMark/>
          </w:tcPr>
          <w:p w14:paraId="2026E018"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0.051</w:t>
            </w:r>
          </w:p>
        </w:tc>
        <w:tc>
          <w:tcPr>
            <w:tcW w:w="0" w:type="auto"/>
            <w:noWrap/>
            <w:tcMar>
              <w:top w:w="15" w:type="dxa"/>
              <w:left w:w="15" w:type="dxa"/>
              <w:bottom w:w="0" w:type="dxa"/>
              <w:right w:w="15" w:type="dxa"/>
            </w:tcMar>
            <w:vAlign w:val="bottom"/>
            <w:hideMark/>
          </w:tcPr>
          <w:p w14:paraId="0E6FBCD5" w14:textId="0791D5AE" w:rsidR="00905DAD" w:rsidRPr="00905DAD" w:rsidRDefault="00905DAD" w:rsidP="000548A3">
            <w:pPr>
              <w:pStyle w:val="Body"/>
              <w:spacing w:after="0"/>
              <w:rPr>
                <w:rFonts w:ascii="Arial" w:hAnsi="Arial" w:cs="Arial"/>
                <w:lang w:val="en-IN"/>
              </w:rPr>
            </w:pPr>
            <w:r w:rsidRPr="00905DAD">
              <w:rPr>
                <w:rFonts w:ascii="Arial" w:hAnsi="Arial" w:cs="Arial"/>
                <w:lang w:val="en-IN"/>
              </w:rPr>
              <w:t>.046</w:t>
            </w:r>
            <w:r w:rsidR="002F5301">
              <w:rPr>
                <w:rFonts w:ascii="Arial" w:hAnsi="Arial" w:cs="Arial"/>
                <w:lang w:val="en-IN"/>
              </w:rPr>
              <w:t>**</w:t>
            </w:r>
          </w:p>
        </w:tc>
      </w:tr>
      <w:tr w:rsidR="00905DAD" w:rsidRPr="00905DAD" w14:paraId="15025B97" w14:textId="77777777" w:rsidTr="000548A3">
        <w:trPr>
          <w:trHeight w:val="290"/>
          <w:jc w:val="center"/>
        </w:trPr>
        <w:tc>
          <w:tcPr>
            <w:tcW w:w="0" w:type="auto"/>
            <w:noWrap/>
            <w:tcMar>
              <w:top w:w="15" w:type="dxa"/>
              <w:left w:w="15" w:type="dxa"/>
              <w:bottom w:w="0" w:type="dxa"/>
              <w:right w:w="15" w:type="dxa"/>
            </w:tcMar>
            <w:vAlign w:val="bottom"/>
            <w:hideMark/>
          </w:tcPr>
          <w:p w14:paraId="32017DDC"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DE</w:t>
            </w:r>
          </w:p>
        </w:tc>
        <w:tc>
          <w:tcPr>
            <w:tcW w:w="0" w:type="auto"/>
            <w:noWrap/>
            <w:tcMar>
              <w:top w:w="15" w:type="dxa"/>
              <w:left w:w="15" w:type="dxa"/>
              <w:bottom w:w="0" w:type="dxa"/>
              <w:right w:w="15" w:type="dxa"/>
            </w:tcMar>
            <w:vAlign w:val="bottom"/>
            <w:hideMark/>
          </w:tcPr>
          <w:p w14:paraId="7E4635AA"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-0.024</w:t>
            </w:r>
          </w:p>
        </w:tc>
        <w:tc>
          <w:tcPr>
            <w:tcW w:w="0" w:type="auto"/>
            <w:noWrap/>
            <w:tcMar>
              <w:top w:w="15" w:type="dxa"/>
              <w:left w:w="15" w:type="dxa"/>
              <w:bottom w:w="0" w:type="dxa"/>
              <w:right w:w="15" w:type="dxa"/>
            </w:tcMar>
            <w:vAlign w:val="bottom"/>
            <w:hideMark/>
          </w:tcPr>
          <w:p w14:paraId="6685A54E" w14:textId="006CA40B" w:rsidR="00905DAD" w:rsidRPr="00905DAD" w:rsidRDefault="00905DAD" w:rsidP="000548A3">
            <w:pPr>
              <w:pStyle w:val="Body"/>
              <w:spacing w:after="0"/>
              <w:rPr>
                <w:rFonts w:ascii="Arial" w:hAnsi="Arial" w:cs="Arial"/>
                <w:lang w:val="en-IN"/>
              </w:rPr>
            </w:pPr>
            <w:r w:rsidRPr="00905DAD">
              <w:rPr>
                <w:rFonts w:ascii="Arial" w:hAnsi="Arial" w:cs="Arial"/>
                <w:lang w:val="en-IN"/>
              </w:rPr>
              <w:t>.041</w:t>
            </w:r>
            <w:r w:rsidR="002F5301">
              <w:rPr>
                <w:rFonts w:ascii="Arial" w:hAnsi="Arial" w:cs="Arial"/>
                <w:lang w:val="en-IN"/>
              </w:rPr>
              <w:t>**</w:t>
            </w:r>
          </w:p>
        </w:tc>
        <w:tc>
          <w:tcPr>
            <w:tcW w:w="0" w:type="auto"/>
            <w:noWrap/>
            <w:tcMar>
              <w:top w:w="15" w:type="dxa"/>
              <w:left w:w="15" w:type="dxa"/>
              <w:bottom w:w="0" w:type="dxa"/>
              <w:right w:w="15" w:type="dxa"/>
            </w:tcMar>
            <w:vAlign w:val="bottom"/>
            <w:hideMark/>
          </w:tcPr>
          <w:p w14:paraId="30238691"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-0.041</w:t>
            </w:r>
          </w:p>
        </w:tc>
        <w:tc>
          <w:tcPr>
            <w:tcW w:w="0" w:type="auto"/>
            <w:noWrap/>
            <w:tcMar>
              <w:top w:w="15" w:type="dxa"/>
              <w:left w:w="15" w:type="dxa"/>
              <w:bottom w:w="0" w:type="dxa"/>
              <w:right w:w="15" w:type="dxa"/>
            </w:tcMar>
            <w:vAlign w:val="bottom"/>
            <w:hideMark/>
          </w:tcPr>
          <w:p w14:paraId="5DEE2B5C" w14:textId="417C0FF0" w:rsidR="00905DAD" w:rsidRPr="00905DAD" w:rsidRDefault="00905DAD" w:rsidP="000548A3">
            <w:pPr>
              <w:pStyle w:val="Body"/>
              <w:spacing w:after="0"/>
              <w:rPr>
                <w:rFonts w:ascii="Arial" w:hAnsi="Arial" w:cs="Arial"/>
                <w:lang w:val="en-IN"/>
              </w:rPr>
            </w:pPr>
            <w:r w:rsidRPr="00905DAD">
              <w:rPr>
                <w:rFonts w:ascii="Arial" w:hAnsi="Arial" w:cs="Arial"/>
                <w:lang w:val="en-IN"/>
              </w:rPr>
              <w:t>.012</w:t>
            </w:r>
            <w:r w:rsidR="002F5301">
              <w:rPr>
                <w:rFonts w:ascii="Arial" w:hAnsi="Arial" w:cs="Arial"/>
                <w:lang w:val="en-IN"/>
              </w:rPr>
              <w:t>**</w:t>
            </w:r>
          </w:p>
        </w:tc>
      </w:tr>
      <w:tr w:rsidR="00905DAD" w:rsidRPr="00905DAD" w14:paraId="6116A4FE" w14:textId="77777777" w:rsidTr="000548A3">
        <w:trPr>
          <w:trHeight w:val="290"/>
          <w:jc w:val="center"/>
        </w:trPr>
        <w:tc>
          <w:tcPr>
            <w:tcW w:w="0" w:type="auto"/>
            <w:noWrap/>
            <w:tcMar>
              <w:top w:w="15" w:type="dxa"/>
              <w:left w:w="15" w:type="dxa"/>
              <w:bottom w:w="0" w:type="dxa"/>
              <w:right w:w="15" w:type="dxa"/>
            </w:tcMar>
            <w:vAlign w:val="bottom"/>
            <w:hideMark/>
          </w:tcPr>
          <w:p w14:paraId="16806A4D"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GNPA</w:t>
            </w:r>
          </w:p>
        </w:tc>
        <w:tc>
          <w:tcPr>
            <w:tcW w:w="0" w:type="auto"/>
            <w:noWrap/>
            <w:tcMar>
              <w:top w:w="15" w:type="dxa"/>
              <w:left w:w="15" w:type="dxa"/>
              <w:bottom w:w="0" w:type="dxa"/>
              <w:right w:w="15" w:type="dxa"/>
            </w:tcMar>
            <w:vAlign w:val="bottom"/>
            <w:hideMark/>
          </w:tcPr>
          <w:p w14:paraId="577AD986"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-0.066</w:t>
            </w:r>
          </w:p>
        </w:tc>
        <w:tc>
          <w:tcPr>
            <w:tcW w:w="0" w:type="auto"/>
            <w:noWrap/>
            <w:tcMar>
              <w:top w:w="15" w:type="dxa"/>
              <w:left w:w="15" w:type="dxa"/>
              <w:bottom w:w="0" w:type="dxa"/>
              <w:right w:w="15" w:type="dxa"/>
            </w:tcMar>
            <w:vAlign w:val="bottom"/>
            <w:hideMark/>
          </w:tcPr>
          <w:p w14:paraId="1EF7C372" w14:textId="210188A3" w:rsidR="00905DAD" w:rsidRPr="00905DAD" w:rsidRDefault="00A55192" w:rsidP="000548A3">
            <w:pPr>
              <w:pStyle w:val="Body"/>
              <w:spacing w:after="0"/>
              <w:rPr>
                <w:rFonts w:ascii="Arial" w:hAnsi="Arial" w:cs="Arial"/>
                <w:lang w:val="en-IN"/>
              </w:rPr>
            </w:pPr>
            <w:r w:rsidRPr="00A55192">
              <w:rPr>
                <w:rFonts w:ascii="Arial" w:hAnsi="Arial" w:cs="Arial"/>
                <w:i/>
                <w:iCs/>
                <w:lang w:val="en-IN"/>
              </w:rPr>
              <w:t>.00</w:t>
            </w:r>
            <w:r w:rsidR="002F5301">
              <w:rPr>
                <w:rFonts w:ascii="Arial" w:hAnsi="Arial" w:cs="Arial"/>
                <w:i/>
                <w:iCs/>
                <w:lang w:val="en-IN"/>
              </w:rPr>
              <w:t>*</w:t>
            </w:r>
          </w:p>
        </w:tc>
        <w:tc>
          <w:tcPr>
            <w:tcW w:w="0" w:type="auto"/>
            <w:noWrap/>
            <w:tcMar>
              <w:top w:w="15" w:type="dxa"/>
              <w:left w:w="15" w:type="dxa"/>
              <w:bottom w:w="0" w:type="dxa"/>
              <w:right w:w="15" w:type="dxa"/>
            </w:tcMar>
            <w:vAlign w:val="bottom"/>
            <w:hideMark/>
          </w:tcPr>
          <w:p w14:paraId="2211B71F"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-0.072</w:t>
            </w:r>
          </w:p>
        </w:tc>
        <w:tc>
          <w:tcPr>
            <w:tcW w:w="0" w:type="auto"/>
            <w:noWrap/>
            <w:tcMar>
              <w:top w:w="15" w:type="dxa"/>
              <w:left w:w="15" w:type="dxa"/>
              <w:bottom w:w="0" w:type="dxa"/>
              <w:right w:w="15" w:type="dxa"/>
            </w:tcMar>
            <w:vAlign w:val="bottom"/>
            <w:hideMark/>
          </w:tcPr>
          <w:p w14:paraId="1CAAD769" w14:textId="4F7C2F59" w:rsidR="00905DAD" w:rsidRPr="00905DAD" w:rsidRDefault="00A55192" w:rsidP="000548A3">
            <w:pPr>
              <w:pStyle w:val="Body"/>
              <w:spacing w:after="0"/>
              <w:rPr>
                <w:rFonts w:ascii="Arial" w:hAnsi="Arial" w:cs="Arial"/>
                <w:lang w:val="en-IN"/>
              </w:rPr>
            </w:pPr>
            <w:r w:rsidRPr="00A55192">
              <w:rPr>
                <w:rFonts w:ascii="Arial" w:hAnsi="Arial" w:cs="Arial"/>
                <w:i/>
                <w:iCs/>
                <w:lang w:val="en-IN"/>
              </w:rPr>
              <w:t>.00</w:t>
            </w:r>
            <w:r w:rsidR="002F5301">
              <w:rPr>
                <w:rFonts w:ascii="Arial" w:hAnsi="Arial" w:cs="Arial"/>
                <w:i/>
                <w:iCs/>
                <w:lang w:val="en-IN"/>
              </w:rPr>
              <w:t>*</w:t>
            </w:r>
          </w:p>
        </w:tc>
      </w:tr>
      <w:tr w:rsidR="00905DAD" w:rsidRPr="00905DAD" w14:paraId="6CCAF824" w14:textId="77777777" w:rsidTr="000548A3">
        <w:trPr>
          <w:trHeight w:val="290"/>
          <w:jc w:val="center"/>
        </w:trPr>
        <w:tc>
          <w:tcPr>
            <w:tcW w:w="0" w:type="auto"/>
            <w:noWrap/>
            <w:tcMar>
              <w:top w:w="15" w:type="dxa"/>
              <w:left w:w="15" w:type="dxa"/>
              <w:bottom w:w="0" w:type="dxa"/>
              <w:right w:w="15" w:type="dxa"/>
            </w:tcMar>
            <w:vAlign w:val="bottom"/>
            <w:hideMark/>
          </w:tcPr>
          <w:p w14:paraId="3CC499E9"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CTA</w:t>
            </w:r>
          </w:p>
        </w:tc>
        <w:tc>
          <w:tcPr>
            <w:tcW w:w="0" w:type="auto"/>
            <w:noWrap/>
            <w:tcMar>
              <w:top w:w="15" w:type="dxa"/>
              <w:left w:w="15" w:type="dxa"/>
              <w:bottom w:w="0" w:type="dxa"/>
              <w:right w:w="15" w:type="dxa"/>
            </w:tcMar>
            <w:vAlign w:val="bottom"/>
            <w:hideMark/>
          </w:tcPr>
          <w:p w14:paraId="5D51603A"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-0.029</w:t>
            </w:r>
          </w:p>
        </w:tc>
        <w:tc>
          <w:tcPr>
            <w:tcW w:w="0" w:type="auto"/>
            <w:noWrap/>
            <w:tcMar>
              <w:top w:w="15" w:type="dxa"/>
              <w:left w:w="15" w:type="dxa"/>
              <w:bottom w:w="0" w:type="dxa"/>
              <w:right w:w="15" w:type="dxa"/>
            </w:tcMar>
            <w:vAlign w:val="bottom"/>
            <w:hideMark/>
          </w:tcPr>
          <w:p w14:paraId="15E57015" w14:textId="677DF4B3" w:rsidR="00905DAD" w:rsidRPr="00905DAD" w:rsidRDefault="00905DAD" w:rsidP="000548A3">
            <w:pPr>
              <w:pStyle w:val="Body"/>
              <w:spacing w:after="0"/>
              <w:rPr>
                <w:rFonts w:ascii="Arial" w:hAnsi="Arial" w:cs="Arial"/>
                <w:lang w:val="en-IN"/>
              </w:rPr>
            </w:pPr>
            <w:r w:rsidRPr="00905DAD">
              <w:rPr>
                <w:rFonts w:ascii="Arial" w:hAnsi="Arial" w:cs="Arial"/>
                <w:lang w:val="en-IN"/>
              </w:rPr>
              <w:t>.393</w:t>
            </w:r>
          </w:p>
        </w:tc>
        <w:tc>
          <w:tcPr>
            <w:tcW w:w="0" w:type="auto"/>
            <w:noWrap/>
            <w:tcMar>
              <w:top w:w="15" w:type="dxa"/>
              <w:left w:w="15" w:type="dxa"/>
              <w:bottom w:w="0" w:type="dxa"/>
              <w:right w:w="15" w:type="dxa"/>
            </w:tcMar>
            <w:vAlign w:val="bottom"/>
            <w:hideMark/>
          </w:tcPr>
          <w:p w14:paraId="1E099565"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-0.042</w:t>
            </w:r>
          </w:p>
        </w:tc>
        <w:tc>
          <w:tcPr>
            <w:tcW w:w="0" w:type="auto"/>
            <w:noWrap/>
            <w:tcMar>
              <w:top w:w="15" w:type="dxa"/>
              <w:left w:w="15" w:type="dxa"/>
              <w:bottom w:w="0" w:type="dxa"/>
              <w:right w:w="15" w:type="dxa"/>
            </w:tcMar>
            <w:vAlign w:val="bottom"/>
            <w:hideMark/>
          </w:tcPr>
          <w:p w14:paraId="70B50D45" w14:textId="10180257" w:rsidR="00905DAD" w:rsidRPr="00905DAD" w:rsidRDefault="00905DAD" w:rsidP="000548A3">
            <w:pPr>
              <w:pStyle w:val="Body"/>
              <w:spacing w:after="0"/>
              <w:rPr>
                <w:rFonts w:ascii="Arial" w:hAnsi="Arial" w:cs="Arial"/>
                <w:lang w:val="en-IN"/>
              </w:rPr>
            </w:pPr>
            <w:r w:rsidRPr="00905DAD">
              <w:rPr>
                <w:rFonts w:ascii="Arial" w:hAnsi="Arial" w:cs="Arial"/>
                <w:lang w:val="en-IN"/>
              </w:rPr>
              <w:t>.257</w:t>
            </w:r>
          </w:p>
        </w:tc>
      </w:tr>
      <w:tr w:rsidR="00905DAD" w:rsidRPr="00905DAD" w14:paraId="37A61786" w14:textId="77777777" w:rsidTr="000548A3">
        <w:trPr>
          <w:trHeight w:val="290"/>
          <w:jc w:val="center"/>
        </w:trPr>
        <w:tc>
          <w:tcPr>
            <w:tcW w:w="0" w:type="auto"/>
            <w:noWrap/>
            <w:tcMar>
              <w:top w:w="15" w:type="dxa"/>
              <w:left w:w="15" w:type="dxa"/>
              <w:bottom w:w="0" w:type="dxa"/>
              <w:right w:w="15" w:type="dxa"/>
            </w:tcMar>
            <w:vAlign w:val="bottom"/>
            <w:hideMark/>
          </w:tcPr>
          <w:p w14:paraId="419E6275"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CI</w:t>
            </w:r>
          </w:p>
        </w:tc>
        <w:tc>
          <w:tcPr>
            <w:tcW w:w="0" w:type="auto"/>
            <w:noWrap/>
            <w:tcMar>
              <w:top w:w="15" w:type="dxa"/>
              <w:left w:w="15" w:type="dxa"/>
              <w:bottom w:w="0" w:type="dxa"/>
              <w:right w:w="15" w:type="dxa"/>
            </w:tcMar>
            <w:vAlign w:val="bottom"/>
            <w:hideMark/>
          </w:tcPr>
          <w:p w14:paraId="7433F333"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-0.027</w:t>
            </w:r>
          </w:p>
        </w:tc>
        <w:tc>
          <w:tcPr>
            <w:tcW w:w="0" w:type="auto"/>
            <w:noWrap/>
            <w:tcMar>
              <w:top w:w="15" w:type="dxa"/>
              <w:left w:w="15" w:type="dxa"/>
              <w:bottom w:w="0" w:type="dxa"/>
              <w:right w:w="15" w:type="dxa"/>
            </w:tcMar>
            <w:vAlign w:val="bottom"/>
            <w:hideMark/>
          </w:tcPr>
          <w:p w14:paraId="0805DD6C" w14:textId="03BA66AC" w:rsidR="00905DAD" w:rsidRPr="00905DAD" w:rsidRDefault="00A55192" w:rsidP="000548A3">
            <w:pPr>
              <w:pStyle w:val="Body"/>
              <w:spacing w:after="0"/>
              <w:rPr>
                <w:rFonts w:ascii="Arial" w:hAnsi="Arial" w:cs="Arial"/>
                <w:lang w:val="en-IN"/>
              </w:rPr>
            </w:pPr>
            <w:r w:rsidRPr="00A55192">
              <w:rPr>
                <w:rFonts w:ascii="Arial" w:hAnsi="Arial" w:cs="Arial"/>
                <w:i/>
                <w:iCs/>
                <w:lang w:val="en-IN"/>
              </w:rPr>
              <w:t>.00</w:t>
            </w:r>
            <w:r w:rsidR="002F5301">
              <w:rPr>
                <w:rFonts w:ascii="Arial" w:hAnsi="Arial" w:cs="Arial"/>
                <w:i/>
                <w:iCs/>
                <w:lang w:val="en-IN"/>
              </w:rPr>
              <w:t>*</w:t>
            </w:r>
          </w:p>
        </w:tc>
        <w:tc>
          <w:tcPr>
            <w:tcW w:w="0" w:type="auto"/>
            <w:noWrap/>
            <w:tcMar>
              <w:top w:w="15" w:type="dxa"/>
              <w:left w:w="15" w:type="dxa"/>
              <w:bottom w:w="0" w:type="dxa"/>
              <w:right w:w="15" w:type="dxa"/>
            </w:tcMar>
            <w:vAlign w:val="bottom"/>
            <w:hideMark/>
          </w:tcPr>
          <w:p w14:paraId="640C2F4E"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-0.028</w:t>
            </w:r>
          </w:p>
        </w:tc>
        <w:tc>
          <w:tcPr>
            <w:tcW w:w="0" w:type="auto"/>
            <w:noWrap/>
            <w:tcMar>
              <w:top w:w="15" w:type="dxa"/>
              <w:left w:w="15" w:type="dxa"/>
              <w:bottom w:w="0" w:type="dxa"/>
              <w:right w:w="15" w:type="dxa"/>
            </w:tcMar>
            <w:vAlign w:val="bottom"/>
            <w:hideMark/>
          </w:tcPr>
          <w:p w14:paraId="427FB095" w14:textId="6A31415F" w:rsidR="00905DAD" w:rsidRPr="00905DAD" w:rsidRDefault="00A55192" w:rsidP="000548A3">
            <w:pPr>
              <w:pStyle w:val="Body"/>
              <w:spacing w:after="0"/>
              <w:rPr>
                <w:rFonts w:ascii="Arial" w:hAnsi="Arial" w:cs="Arial"/>
                <w:lang w:val="en-IN"/>
              </w:rPr>
            </w:pPr>
            <w:r w:rsidRPr="00A55192">
              <w:rPr>
                <w:rFonts w:ascii="Arial" w:hAnsi="Arial" w:cs="Arial"/>
                <w:i/>
                <w:iCs/>
                <w:lang w:val="en-IN"/>
              </w:rPr>
              <w:t>.00</w:t>
            </w:r>
            <w:r w:rsidR="002F5301">
              <w:rPr>
                <w:rFonts w:ascii="Arial" w:hAnsi="Arial" w:cs="Arial"/>
                <w:i/>
                <w:iCs/>
                <w:lang w:val="en-IN"/>
              </w:rPr>
              <w:t>*</w:t>
            </w:r>
          </w:p>
        </w:tc>
      </w:tr>
      <w:tr w:rsidR="00905DAD" w:rsidRPr="00905DAD" w14:paraId="6F96F81F" w14:textId="77777777" w:rsidTr="000548A3">
        <w:trPr>
          <w:trHeight w:val="290"/>
          <w:jc w:val="center"/>
        </w:trPr>
        <w:tc>
          <w:tcPr>
            <w:tcW w:w="0" w:type="auto"/>
            <w:noWrap/>
            <w:tcMar>
              <w:top w:w="15" w:type="dxa"/>
              <w:left w:w="15" w:type="dxa"/>
              <w:bottom w:w="0" w:type="dxa"/>
              <w:right w:w="15" w:type="dxa"/>
            </w:tcMar>
            <w:vAlign w:val="bottom"/>
            <w:hideMark/>
          </w:tcPr>
          <w:p w14:paraId="79E14FE2"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_cons</w:t>
            </w:r>
          </w:p>
        </w:tc>
        <w:tc>
          <w:tcPr>
            <w:tcW w:w="0" w:type="auto"/>
            <w:noWrap/>
            <w:tcMar>
              <w:top w:w="15" w:type="dxa"/>
              <w:left w:w="15" w:type="dxa"/>
              <w:bottom w:w="0" w:type="dxa"/>
              <w:right w:w="15" w:type="dxa"/>
            </w:tcMar>
            <w:vAlign w:val="bottom"/>
            <w:hideMark/>
          </w:tcPr>
          <w:p w14:paraId="53C299FF"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1.746</w:t>
            </w:r>
          </w:p>
        </w:tc>
        <w:tc>
          <w:tcPr>
            <w:tcW w:w="0" w:type="auto"/>
            <w:noWrap/>
            <w:tcMar>
              <w:top w:w="15" w:type="dxa"/>
              <w:left w:w="15" w:type="dxa"/>
              <w:bottom w:w="0" w:type="dxa"/>
              <w:right w:w="15" w:type="dxa"/>
            </w:tcMar>
            <w:vAlign w:val="bottom"/>
            <w:hideMark/>
          </w:tcPr>
          <w:p w14:paraId="6B9AA014" w14:textId="3853D90C" w:rsidR="00905DAD" w:rsidRPr="00905DAD" w:rsidRDefault="00905DAD" w:rsidP="000548A3">
            <w:pPr>
              <w:pStyle w:val="Body"/>
              <w:spacing w:after="0"/>
              <w:rPr>
                <w:rFonts w:ascii="Arial" w:hAnsi="Arial" w:cs="Arial"/>
                <w:lang w:val="en-IN"/>
              </w:rPr>
            </w:pPr>
            <w:r w:rsidRPr="00905DAD">
              <w:rPr>
                <w:rFonts w:ascii="Arial" w:hAnsi="Arial" w:cs="Arial"/>
                <w:lang w:val="en-IN"/>
              </w:rPr>
              <w:t>.003</w:t>
            </w:r>
            <w:r w:rsidR="002F5301">
              <w:rPr>
                <w:rFonts w:ascii="Arial" w:hAnsi="Arial" w:cs="Arial"/>
                <w:lang w:val="en-IN"/>
              </w:rPr>
              <w:t>*</w:t>
            </w:r>
          </w:p>
        </w:tc>
        <w:tc>
          <w:tcPr>
            <w:tcW w:w="0" w:type="auto"/>
            <w:noWrap/>
            <w:tcMar>
              <w:top w:w="15" w:type="dxa"/>
              <w:left w:w="15" w:type="dxa"/>
              <w:bottom w:w="0" w:type="dxa"/>
              <w:right w:w="15" w:type="dxa"/>
            </w:tcMar>
            <w:vAlign w:val="bottom"/>
            <w:hideMark/>
          </w:tcPr>
          <w:p w14:paraId="25FC144E"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2.317</w:t>
            </w:r>
          </w:p>
        </w:tc>
        <w:tc>
          <w:tcPr>
            <w:tcW w:w="0" w:type="auto"/>
            <w:noWrap/>
            <w:tcMar>
              <w:top w:w="15" w:type="dxa"/>
              <w:left w:w="15" w:type="dxa"/>
              <w:bottom w:w="0" w:type="dxa"/>
              <w:right w:w="15" w:type="dxa"/>
            </w:tcMar>
            <w:vAlign w:val="bottom"/>
            <w:hideMark/>
          </w:tcPr>
          <w:p w14:paraId="52A3C3AF" w14:textId="7EA5C3C2" w:rsidR="00905DAD" w:rsidRPr="00905DAD" w:rsidRDefault="00905DAD" w:rsidP="000548A3">
            <w:pPr>
              <w:pStyle w:val="Body"/>
              <w:spacing w:after="0"/>
              <w:rPr>
                <w:rFonts w:ascii="Arial" w:hAnsi="Arial" w:cs="Arial"/>
                <w:lang w:val="en-IN"/>
              </w:rPr>
            </w:pPr>
            <w:r w:rsidRPr="00905DAD">
              <w:rPr>
                <w:rFonts w:ascii="Arial" w:hAnsi="Arial" w:cs="Arial"/>
                <w:lang w:val="en-IN"/>
              </w:rPr>
              <w:t>.001</w:t>
            </w:r>
            <w:r w:rsidR="002F5301">
              <w:rPr>
                <w:rFonts w:ascii="Arial" w:hAnsi="Arial" w:cs="Arial"/>
                <w:lang w:val="en-IN"/>
              </w:rPr>
              <w:t>*</w:t>
            </w:r>
          </w:p>
        </w:tc>
      </w:tr>
      <w:tr w:rsidR="00905DAD" w:rsidRPr="00905DAD" w14:paraId="105AB3A8" w14:textId="77777777" w:rsidTr="000548A3">
        <w:trPr>
          <w:trHeight w:val="290"/>
          <w:jc w:val="center"/>
        </w:trPr>
        <w:tc>
          <w:tcPr>
            <w:tcW w:w="0" w:type="auto"/>
            <w:noWrap/>
            <w:tcMar>
              <w:top w:w="15" w:type="dxa"/>
              <w:left w:w="15" w:type="dxa"/>
              <w:bottom w:w="0" w:type="dxa"/>
              <w:right w:w="15" w:type="dxa"/>
            </w:tcMar>
            <w:vAlign w:val="bottom"/>
            <w:hideMark/>
          </w:tcPr>
          <w:p w14:paraId="0DB9BE84" w14:textId="14637425" w:rsidR="00905DAD" w:rsidRPr="00905DAD" w:rsidRDefault="00905DAD" w:rsidP="000548A3">
            <w:pPr>
              <w:pStyle w:val="Body"/>
              <w:spacing w:after="0"/>
              <w:rPr>
                <w:rFonts w:ascii="Arial" w:hAnsi="Arial" w:cs="Arial"/>
                <w:lang w:val="en-IN"/>
              </w:rPr>
            </w:pPr>
            <w:r w:rsidRPr="00905DAD">
              <w:rPr>
                <w:rFonts w:ascii="Arial" w:hAnsi="Arial" w:cs="Arial"/>
                <w:lang w:val="en-IN"/>
              </w:rPr>
              <w:t>R-squared</w:t>
            </w:r>
          </w:p>
        </w:tc>
        <w:tc>
          <w:tcPr>
            <w:tcW w:w="0" w:type="auto"/>
            <w:gridSpan w:val="2"/>
            <w:noWrap/>
            <w:tcMar>
              <w:top w:w="15" w:type="dxa"/>
              <w:left w:w="15" w:type="dxa"/>
              <w:bottom w:w="0" w:type="dxa"/>
              <w:right w:w="15" w:type="dxa"/>
            </w:tcMar>
            <w:vAlign w:val="bottom"/>
            <w:hideMark/>
          </w:tcPr>
          <w:p w14:paraId="29CE8E2B"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0.637</w:t>
            </w:r>
          </w:p>
        </w:tc>
        <w:tc>
          <w:tcPr>
            <w:tcW w:w="0" w:type="auto"/>
            <w:gridSpan w:val="2"/>
            <w:noWrap/>
            <w:tcMar>
              <w:top w:w="15" w:type="dxa"/>
              <w:left w:w="15" w:type="dxa"/>
              <w:bottom w:w="0" w:type="dxa"/>
              <w:right w:w="15" w:type="dxa"/>
            </w:tcMar>
            <w:vAlign w:val="bottom"/>
            <w:hideMark/>
          </w:tcPr>
          <w:p w14:paraId="7430D4A5"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0.633</w:t>
            </w:r>
          </w:p>
        </w:tc>
      </w:tr>
      <w:tr w:rsidR="00905DAD" w:rsidRPr="00905DAD" w14:paraId="2F610D74" w14:textId="77777777" w:rsidTr="000548A3">
        <w:trPr>
          <w:trHeight w:val="290"/>
          <w:jc w:val="center"/>
        </w:trPr>
        <w:tc>
          <w:tcPr>
            <w:tcW w:w="0" w:type="auto"/>
            <w:noWrap/>
            <w:tcMar>
              <w:top w:w="15" w:type="dxa"/>
              <w:left w:w="15" w:type="dxa"/>
              <w:bottom w:w="0" w:type="dxa"/>
              <w:right w:w="15" w:type="dxa"/>
            </w:tcMar>
            <w:vAlign w:val="bottom"/>
            <w:hideMark/>
          </w:tcPr>
          <w:p w14:paraId="02AAF54C"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 </w:t>
            </w:r>
          </w:p>
        </w:tc>
        <w:tc>
          <w:tcPr>
            <w:tcW w:w="0" w:type="auto"/>
            <w:gridSpan w:val="2"/>
            <w:noWrap/>
            <w:tcMar>
              <w:top w:w="15" w:type="dxa"/>
              <w:left w:w="15" w:type="dxa"/>
              <w:bottom w:w="0" w:type="dxa"/>
              <w:right w:w="15" w:type="dxa"/>
            </w:tcMar>
            <w:vAlign w:val="bottom"/>
            <w:hideMark/>
          </w:tcPr>
          <w:p w14:paraId="7391201A" w14:textId="437B7796" w:rsidR="00905DAD" w:rsidRPr="00905DAD" w:rsidRDefault="00905DAD" w:rsidP="00CF7A77">
            <w:pPr>
              <w:pStyle w:val="Body"/>
              <w:spacing w:after="0"/>
              <w:rPr>
                <w:rFonts w:ascii="Arial" w:hAnsi="Arial" w:cs="Arial"/>
                <w:lang w:val="en-IN"/>
              </w:rPr>
            </w:pPr>
            <w:r w:rsidRPr="00905DAD">
              <w:rPr>
                <w:rFonts w:ascii="Arial" w:hAnsi="Arial" w:cs="Arial"/>
                <w:lang w:val="en-IN"/>
              </w:rPr>
              <w:t>Wald chi2 = 277.77</w:t>
            </w:r>
          </w:p>
        </w:tc>
        <w:tc>
          <w:tcPr>
            <w:tcW w:w="0" w:type="auto"/>
            <w:gridSpan w:val="2"/>
            <w:noWrap/>
            <w:tcMar>
              <w:top w:w="15" w:type="dxa"/>
              <w:left w:w="15" w:type="dxa"/>
              <w:bottom w:w="0" w:type="dxa"/>
              <w:right w:w="15" w:type="dxa"/>
            </w:tcMar>
            <w:vAlign w:val="bottom"/>
            <w:hideMark/>
          </w:tcPr>
          <w:p w14:paraId="218967D5" w14:textId="7CCA5441" w:rsidR="00905DAD" w:rsidRPr="00905DAD" w:rsidRDefault="00905DAD" w:rsidP="00CF7A77">
            <w:pPr>
              <w:pStyle w:val="Body"/>
              <w:spacing w:after="0"/>
              <w:rPr>
                <w:rFonts w:ascii="Arial" w:hAnsi="Arial" w:cs="Arial"/>
                <w:lang w:val="en-IN"/>
              </w:rPr>
            </w:pPr>
            <w:proofErr w:type="gramStart"/>
            <w:r w:rsidRPr="00905DAD">
              <w:rPr>
                <w:rFonts w:ascii="Arial" w:hAnsi="Arial" w:cs="Arial"/>
                <w:lang w:val="en-IN"/>
              </w:rPr>
              <w:t>F(</w:t>
            </w:r>
            <w:proofErr w:type="gramEnd"/>
            <w:r w:rsidRPr="00905DAD">
              <w:rPr>
                <w:rFonts w:ascii="Arial" w:hAnsi="Arial" w:cs="Arial"/>
                <w:lang w:val="en-IN"/>
              </w:rPr>
              <w:t>6,154) = 35.96</w:t>
            </w:r>
          </w:p>
        </w:tc>
      </w:tr>
    </w:tbl>
    <w:p w14:paraId="3A6910D7" w14:textId="77777777" w:rsidR="002F5301" w:rsidRPr="002F5301" w:rsidRDefault="002F5301" w:rsidP="002F5301">
      <w:pPr>
        <w:pStyle w:val="Body"/>
        <w:spacing w:after="0"/>
        <w:jc w:val="center"/>
        <w:rPr>
          <w:rFonts w:ascii="Arial" w:hAnsi="Arial" w:cs="Arial"/>
          <w:i/>
          <w:iCs/>
          <w:lang w:val="en-IN"/>
        </w:rPr>
      </w:pPr>
      <w:r w:rsidRPr="002F5301">
        <w:rPr>
          <w:rFonts w:ascii="Arial" w:hAnsi="Arial" w:cs="Arial"/>
          <w:i/>
          <w:iCs/>
          <w:shd w:val="clear" w:color="auto" w:fill="FFFFFF"/>
        </w:rPr>
        <w:t>Note: *p &lt; 0.01, **p &lt; 0.05 and ***p &lt; 0.10</w:t>
      </w:r>
    </w:p>
    <w:p w14:paraId="394DE206" w14:textId="4926228C" w:rsidR="00905DAD" w:rsidRDefault="00905DAD" w:rsidP="000548A3">
      <w:pPr>
        <w:pStyle w:val="Body"/>
        <w:spacing w:after="0"/>
        <w:jc w:val="center"/>
        <w:rPr>
          <w:rFonts w:ascii="Arial" w:hAnsi="Arial" w:cs="Arial"/>
          <w:i/>
          <w:iCs/>
          <w:lang w:val="en-IN"/>
        </w:rPr>
      </w:pPr>
      <w:r w:rsidRPr="00905DAD">
        <w:rPr>
          <w:rFonts w:ascii="Arial" w:hAnsi="Arial" w:cs="Arial"/>
          <w:i/>
          <w:iCs/>
          <w:lang w:val="en-IN"/>
        </w:rPr>
        <w:t>Source: Computed by the author</w:t>
      </w:r>
    </w:p>
    <w:p w14:paraId="1A952A7D" w14:textId="77777777" w:rsidR="000548A3" w:rsidRPr="00905DAD" w:rsidRDefault="000548A3" w:rsidP="00905DAD">
      <w:pPr>
        <w:pStyle w:val="Body"/>
        <w:spacing w:after="0"/>
        <w:rPr>
          <w:rFonts w:ascii="Arial" w:hAnsi="Arial" w:cs="Arial"/>
          <w:i/>
          <w:iCs/>
          <w:lang w:val="en-IN"/>
        </w:rPr>
      </w:pPr>
    </w:p>
    <w:p w14:paraId="7BE4D392" w14:textId="2E5F12F9" w:rsidR="00905DAD" w:rsidRDefault="00905DAD" w:rsidP="00905DAD">
      <w:pPr>
        <w:pStyle w:val="Body"/>
        <w:spacing w:after="0"/>
        <w:rPr>
          <w:rFonts w:ascii="Arial" w:hAnsi="Arial" w:cs="Arial"/>
          <w:lang w:val="en-IN"/>
        </w:rPr>
      </w:pPr>
      <w:r w:rsidRPr="00905DAD">
        <w:rPr>
          <w:rFonts w:ascii="Arial" w:hAnsi="Arial" w:cs="Arial"/>
          <w:lang w:val="en-IN"/>
        </w:rPr>
        <w:t>The overall R-squared values of 0.637 (RE) and 0.63</w:t>
      </w:r>
      <w:r w:rsidR="00CF7A77">
        <w:rPr>
          <w:rFonts w:ascii="Arial" w:hAnsi="Arial" w:cs="Arial"/>
          <w:lang w:val="en-IN"/>
        </w:rPr>
        <w:t>3</w:t>
      </w:r>
      <w:r w:rsidRPr="00905DAD">
        <w:rPr>
          <w:rFonts w:ascii="Arial" w:hAnsi="Arial" w:cs="Arial"/>
          <w:lang w:val="en-IN"/>
        </w:rPr>
        <w:t xml:space="preserve"> (FE) </w:t>
      </w:r>
      <w:r w:rsidR="00C849F2">
        <w:rPr>
          <w:rFonts w:ascii="Arial" w:hAnsi="Arial" w:cs="Arial"/>
          <w:lang w:val="en-IN"/>
        </w:rPr>
        <w:t>indicate</w:t>
      </w:r>
      <w:r w:rsidRPr="00905DAD">
        <w:rPr>
          <w:rFonts w:ascii="Arial" w:hAnsi="Arial" w:cs="Arial"/>
          <w:lang w:val="en-IN"/>
        </w:rPr>
        <w:t xml:space="preserve"> that about 63% of ROA variation is explained. </w:t>
      </w:r>
      <w:r w:rsidR="003A47BA" w:rsidRPr="00905DAD">
        <w:rPr>
          <w:rFonts w:ascii="Arial" w:hAnsi="Arial" w:cs="Arial"/>
          <w:lang w:val="en-IN"/>
        </w:rPr>
        <w:t xml:space="preserve">In both models, mergers had a significant positive effect (RE: 0.168, </w:t>
      </w:r>
      <w:r w:rsidR="00656183" w:rsidRPr="00656183">
        <w:rPr>
          <w:rFonts w:ascii="Arial" w:hAnsi="Arial" w:cs="Arial"/>
          <w:i/>
          <w:iCs/>
          <w:lang w:val="en-IN"/>
        </w:rPr>
        <w:t xml:space="preserve">P = </w:t>
      </w:r>
      <w:r w:rsidR="003A47BA" w:rsidRPr="00CF7A77">
        <w:rPr>
          <w:rFonts w:ascii="Arial" w:hAnsi="Arial" w:cs="Arial"/>
          <w:i/>
          <w:iCs/>
          <w:lang w:val="en-IN"/>
        </w:rPr>
        <w:t>.012</w:t>
      </w:r>
      <w:r w:rsidR="003A47BA" w:rsidRPr="00905DAD">
        <w:rPr>
          <w:rFonts w:ascii="Arial" w:hAnsi="Arial" w:cs="Arial"/>
          <w:lang w:val="en-IN"/>
        </w:rPr>
        <w:t xml:space="preserve">; FE: 0.186, </w:t>
      </w:r>
      <w:r w:rsidR="00656183" w:rsidRPr="00656183">
        <w:rPr>
          <w:rFonts w:ascii="Arial" w:hAnsi="Arial" w:cs="Arial"/>
          <w:i/>
          <w:iCs/>
          <w:lang w:val="en-IN"/>
        </w:rPr>
        <w:t xml:space="preserve">P = </w:t>
      </w:r>
      <w:r w:rsidR="003A47BA" w:rsidRPr="00CF7A77">
        <w:rPr>
          <w:rFonts w:ascii="Arial" w:hAnsi="Arial" w:cs="Arial"/>
          <w:i/>
          <w:iCs/>
          <w:lang w:val="en-IN"/>
        </w:rPr>
        <w:t>.010</w:t>
      </w:r>
      <w:r w:rsidR="003A47BA" w:rsidRPr="00905DAD">
        <w:rPr>
          <w:rFonts w:ascii="Arial" w:hAnsi="Arial" w:cs="Arial"/>
          <w:lang w:val="en-IN"/>
        </w:rPr>
        <w:t>), suggesting that mergers increase ROA.</w:t>
      </w:r>
      <w:r w:rsidRPr="00905DAD">
        <w:rPr>
          <w:rFonts w:ascii="Arial" w:hAnsi="Arial" w:cs="Arial"/>
          <w:lang w:val="en-IN"/>
        </w:rPr>
        <w:t xml:space="preserve"> </w:t>
      </w:r>
      <w:r w:rsidR="003A47BA" w:rsidRPr="00905DAD">
        <w:rPr>
          <w:rFonts w:ascii="Arial" w:hAnsi="Arial" w:cs="Arial"/>
          <w:lang w:val="en-IN"/>
        </w:rPr>
        <w:t xml:space="preserve">CAR is also positive and significant (RE: 0.063, </w:t>
      </w:r>
      <w:r w:rsidR="00656183" w:rsidRPr="00656183">
        <w:rPr>
          <w:rFonts w:ascii="Arial" w:hAnsi="Arial" w:cs="Arial"/>
          <w:i/>
          <w:iCs/>
          <w:lang w:val="en-IN"/>
        </w:rPr>
        <w:t xml:space="preserve">P </w:t>
      </w:r>
      <w:r w:rsidR="00656183" w:rsidRPr="00CF7A77">
        <w:rPr>
          <w:rFonts w:ascii="Arial" w:hAnsi="Arial" w:cs="Arial"/>
          <w:i/>
          <w:iCs/>
          <w:lang w:val="en-IN"/>
        </w:rPr>
        <w:t xml:space="preserve">= </w:t>
      </w:r>
      <w:r w:rsidR="003A47BA" w:rsidRPr="00CF7A77">
        <w:rPr>
          <w:rFonts w:ascii="Arial" w:hAnsi="Arial" w:cs="Arial"/>
          <w:i/>
          <w:iCs/>
          <w:lang w:val="en-IN"/>
        </w:rPr>
        <w:t>.010</w:t>
      </w:r>
      <w:r w:rsidR="003A47BA" w:rsidRPr="00905DAD">
        <w:rPr>
          <w:rFonts w:ascii="Arial" w:hAnsi="Arial" w:cs="Arial"/>
          <w:lang w:val="en-IN"/>
        </w:rPr>
        <w:t xml:space="preserve">; FE: 0.051, </w:t>
      </w:r>
      <w:r w:rsidR="00656183" w:rsidRPr="00656183">
        <w:rPr>
          <w:rFonts w:ascii="Arial" w:hAnsi="Arial" w:cs="Arial"/>
          <w:i/>
          <w:iCs/>
          <w:lang w:val="en-IN"/>
        </w:rPr>
        <w:t xml:space="preserve">P </w:t>
      </w:r>
      <w:r w:rsidR="00656183" w:rsidRPr="00CF7A77">
        <w:rPr>
          <w:rFonts w:ascii="Arial" w:hAnsi="Arial" w:cs="Arial"/>
          <w:i/>
          <w:iCs/>
          <w:lang w:val="en-IN"/>
        </w:rPr>
        <w:t xml:space="preserve">= </w:t>
      </w:r>
      <w:r w:rsidR="003A47BA" w:rsidRPr="00CF7A77">
        <w:rPr>
          <w:rFonts w:ascii="Arial" w:hAnsi="Arial" w:cs="Arial"/>
          <w:i/>
          <w:iCs/>
          <w:lang w:val="en-IN"/>
        </w:rPr>
        <w:t>.046</w:t>
      </w:r>
      <w:r w:rsidR="003A47BA" w:rsidRPr="00905DAD">
        <w:rPr>
          <w:rFonts w:ascii="Arial" w:hAnsi="Arial" w:cs="Arial"/>
          <w:lang w:val="en-IN"/>
        </w:rPr>
        <w:t xml:space="preserve">), indicating </w:t>
      </w:r>
      <w:r w:rsidR="003A47BA">
        <w:rPr>
          <w:rFonts w:ascii="Arial" w:hAnsi="Arial" w:cs="Arial"/>
          <w:lang w:val="en-IN"/>
        </w:rPr>
        <w:t xml:space="preserve">that </w:t>
      </w:r>
      <w:r w:rsidR="003A47BA" w:rsidRPr="00905DAD">
        <w:rPr>
          <w:rFonts w:ascii="Arial" w:hAnsi="Arial" w:cs="Arial"/>
          <w:lang w:val="en-IN"/>
        </w:rPr>
        <w:t>higher capital adequacy increases ROA.</w:t>
      </w:r>
      <w:r w:rsidRPr="00905DAD">
        <w:rPr>
          <w:rFonts w:ascii="Arial" w:hAnsi="Arial" w:cs="Arial"/>
          <w:lang w:val="en-IN"/>
        </w:rPr>
        <w:t xml:space="preserve"> DE (RE: -0.024, </w:t>
      </w:r>
      <w:r w:rsidR="00656183" w:rsidRPr="00656183">
        <w:rPr>
          <w:rFonts w:ascii="Arial" w:hAnsi="Arial" w:cs="Arial"/>
          <w:i/>
          <w:iCs/>
          <w:lang w:val="en-IN"/>
        </w:rPr>
        <w:t xml:space="preserve">P </w:t>
      </w:r>
      <w:r w:rsidR="00656183" w:rsidRPr="00CF7A77">
        <w:rPr>
          <w:rFonts w:ascii="Arial" w:hAnsi="Arial" w:cs="Arial"/>
          <w:i/>
          <w:iCs/>
          <w:lang w:val="en-IN"/>
        </w:rPr>
        <w:t xml:space="preserve">= </w:t>
      </w:r>
      <w:r w:rsidRPr="00CF7A77">
        <w:rPr>
          <w:rFonts w:ascii="Arial" w:hAnsi="Arial" w:cs="Arial"/>
          <w:i/>
          <w:iCs/>
          <w:lang w:val="en-IN"/>
        </w:rPr>
        <w:t>.041</w:t>
      </w:r>
      <w:r w:rsidRPr="00905DAD">
        <w:rPr>
          <w:rFonts w:ascii="Arial" w:hAnsi="Arial" w:cs="Arial"/>
          <w:lang w:val="en-IN"/>
        </w:rPr>
        <w:t xml:space="preserve">; FE: -0.041, </w:t>
      </w:r>
      <w:r w:rsidR="00656183" w:rsidRPr="00656183">
        <w:rPr>
          <w:rFonts w:ascii="Arial" w:hAnsi="Arial" w:cs="Arial"/>
          <w:i/>
          <w:iCs/>
          <w:lang w:val="en-IN"/>
        </w:rPr>
        <w:t xml:space="preserve">P </w:t>
      </w:r>
      <w:r w:rsidR="00656183" w:rsidRPr="00CF7A77">
        <w:rPr>
          <w:rFonts w:ascii="Arial" w:hAnsi="Arial" w:cs="Arial"/>
          <w:i/>
          <w:iCs/>
          <w:lang w:val="en-IN"/>
        </w:rPr>
        <w:t xml:space="preserve">= </w:t>
      </w:r>
      <w:r w:rsidRPr="00CF7A77">
        <w:rPr>
          <w:rFonts w:ascii="Arial" w:hAnsi="Arial" w:cs="Arial"/>
          <w:i/>
          <w:iCs/>
          <w:lang w:val="en-IN"/>
        </w:rPr>
        <w:t>.012</w:t>
      </w:r>
      <w:r w:rsidRPr="00905DAD">
        <w:rPr>
          <w:rFonts w:ascii="Arial" w:hAnsi="Arial" w:cs="Arial"/>
          <w:lang w:val="en-IN"/>
        </w:rPr>
        <w:t xml:space="preserve">) and GNPA are significant and negative in both models (RE: -0.066, </w:t>
      </w:r>
      <w:r w:rsidR="00CF7A77" w:rsidRPr="00CF7A77">
        <w:rPr>
          <w:rFonts w:ascii="Arial" w:hAnsi="Arial" w:cs="Arial"/>
          <w:i/>
          <w:iCs/>
          <w:lang w:val="en-IN"/>
        </w:rPr>
        <w:t xml:space="preserve">P = </w:t>
      </w:r>
      <w:r w:rsidR="00A55192" w:rsidRPr="00A55192">
        <w:rPr>
          <w:rFonts w:ascii="Arial" w:hAnsi="Arial" w:cs="Arial"/>
          <w:i/>
          <w:iCs/>
          <w:lang w:val="en-IN"/>
        </w:rPr>
        <w:t>.00</w:t>
      </w:r>
      <w:r w:rsidRPr="00905DAD">
        <w:rPr>
          <w:rFonts w:ascii="Arial" w:hAnsi="Arial" w:cs="Arial"/>
          <w:lang w:val="en-IN"/>
        </w:rPr>
        <w:t xml:space="preserve">; FE: -0.072, </w:t>
      </w:r>
      <w:r w:rsidR="00CF7A77" w:rsidRPr="00CF7A77">
        <w:rPr>
          <w:rFonts w:ascii="Arial" w:hAnsi="Arial" w:cs="Arial"/>
          <w:i/>
          <w:iCs/>
          <w:lang w:val="en-IN"/>
        </w:rPr>
        <w:t xml:space="preserve">P = </w:t>
      </w:r>
      <w:r w:rsidR="00A55192" w:rsidRPr="00A55192">
        <w:rPr>
          <w:rFonts w:ascii="Arial" w:hAnsi="Arial" w:cs="Arial"/>
          <w:i/>
          <w:iCs/>
          <w:lang w:val="en-IN"/>
        </w:rPr>
        <w:t>.00</w:t>
      </w:r>
      <w:r w:rsidRPr="00905DAD">
        <w:rPr>
          <w:rFonts w:ascii="Arial" w:hAnsi="Arial" w:cs="Arial"/>
          <w:lang w:val="en-IN"/>
        </w:rPr>
        <w:t xml:space="preserve">), showing that higher leverage and non-performing assets reduce ROA, with stronger effects in the FE model. </w:t>
      </w:r>
      <w:r w:rsidR="003A47BA" w:rsidRPr="00905DAD">
        <w:rPr>
          <w:rFonts w:ascii="Arial" w:hAnsi="Arial" w:cs="Arial"/>
          <w:lang w:val="en-IN"/>
        </w:rPr>
        <w:t xml:space="preserve">CI is significant and negative (RE: -0.027, </w:t>
      </w:r>
      <w:r w:rsidR="00CF7A77" w:rsidRPr="00CF7A77">
        <w:rPr>
          <w:rFonts w:ascii="Arial" w:hAnsi="Arial" w:cs="Arial"/>
          <w:i/>
          <w:iCs/>
          <w:lang w:val="en-IN"/>
        </w:rPr>
        <w:t xml:space="preserve">P = </w:t>
      </w:r>
      <w:r w:rsidR="00A55192" w:rsidRPr="00A55192">
        <w:rPr>
          <w:rFonts w:ascii="Arial" w:hAnsi="Arial" w:cs="Arial"/>
          <w:i/>
          <w:iCs/>
          <w:lang w:val="en-IN"/>
        </w:rPr>
        <w:t>.00</w:t>
      </w:r>
      <w:r w:rsidR="003A47BA" w:rsidRPr="00905DAD">
        <w:rPr>
          <w:rFonts w:ascii="Arial" w:hAnsi="Arial" w:cs="Arial"/>
          <w:lang w:val="en-IN"/>
        </w:rPr>
        <w:t xml:space="preserve">; FE: -0.028, </w:t>
      </w:r>
      <w:r w:rsidR="00CF7A77" w:rsidRPr="00CF7A77">
        <w:rPr>
          <w:rFonts w:ascii="Arial" w:hAnsi="Arial" w:cs="Arial"/>
          <w:i/>
          <w:iCs/>
          <w:lang w:val="en-IN"/>
        </w:rPr>
        <w:t xml:space="preserve">P = </w:t>
      </w:r>
      <w:r w:rsidR="00A55192" w:rsidRPr="00A55192">
        <w:rPr>
          <w:rFonts w:ascii="Arial" w:hAnsi="Arial" w:cs="Arial"/>
          <w:i/>
          <w:iCs/>
          <w:lang w:val="en-IN"/>
        </w:rPr>
        <w:t>.00</w:t>
      </w:r>
      <w:r w:rsidR="003A47BA" w:rsidRPr="00905DAD">
        <w:rPr>
          <w:rFonts w:ascii="Arial" w:hAnsi="Arial" w:cs="Arial"/>
          <w:lang w:val="en-IN"/>
        </w:rPr>
        <w:t xml:space="preserve">), indicating </w:t>
      </w:r>
      <w:r w:rsidR="003A47BA">
        <w:rPr>
          <w:rFonts w:ascii="Arial" w:hAnsi="Arial" w:cs="Arial"/>
          <w:lang w:val="en-IN"/>
        </w:rPr>
        <w:t xml:space="preserve">that </w:t>
      </w:r>
      <w:r w:rsidR="003A47BA" w:rsidRPr="00905DAD">
        <w:rPr>
          <w:rFonts w:ascii="Arial" w:hAnsi="Arial" w:cs="Arial"/>
          <w:lang w:val="en-IN"/>
        </w:rPr>
        <w:t>higher cost-to-income ratios reduce ROA.</w:t>
      </w:r>
      <w:r w:rsidRPr="00905DAD">
        <w:rPr>
          <w:rFonts w:ascii="Arial" w:hAnsi="Arial" w:cs="Arial"/>
          <w:lang w:val="en-IN"/>
        </w:rPr>
        <w:t xml:space="preserve"> CTA is insignificant in both models (RE: -0.02</w:t>
      </w:r>
      <w:r w:rsidR="00A55192">
        <w:rPr>
          <w:rFonts w:ascii="Arial" w:hAnsi="Arial" w:cs="Arial"/>
          <w:lang w:val="en-IN"/>
        </w:rPr>
        <w:t>9</w:t>
      </w:r>
      <w:r w:rsidRPr="00905DAD">
        <w:rPr>
          <w:rFonts w:ascii="Arial" w:hAnsi="Arial" w:cs="Arial"/>
          <w:lang w:val="en-IN"/>
        </w:rPr>
        <w:t xml:space="preserve">, </w:t>
      </w:r>
      <w:r w:rsidR="00656183" w:rsidRPr="00CF7A77">
        <w:rPr>
          <w:rFonts w:ascii="Arial" w:hAnsi="Arial" w:cs="Arial"/>
          <w:i/>
          <w:iCs/>
          <w:lang w:val="en-IN"/>
        </w:rPr>
        <w:t xml:space="preserve">P = </w:t>
      </w:r>
      <w:r w:rsidRPr="00CF7A77">
        <w:rPr>
          <w:rFonts w:ascii="Arial" w:hAnsi="Arial" w:cs="Arial"/>
          <w:i/>
          <w:iCs/>
          <w:lang w:val="en-IN"/>
        </w:rPr>
        <w:t>.393</w:t>
      </w:r>
      <w:r w:rsidRPr="00905DAD">
        <w:rPr>
          <w:rFonts w:ascii="Arial" w:hAnsi="Arial" w:cs="Arial"/>
          <w:lang w:val="en-IN"/>
        </w:rPr>
        <w:t>; FE: -0.04</w:t>
      </w:r>
      <w:r w:rsidR="00A55192">
        <w:rPr>
          <w:rFonts w:ascii="Arial" w:hAnsi="Arial" w:cs="Arial"/>
          <w:lang w:val="en-IN"/>
        </w:rPr>
        <w:t>2</w:t>
      </w:r>
      <w:r w:rsidRPr="00905DAD">
        <w:rPr>
          <w:rFonts w:ascii="Arial" w:hAnsi="Arial" w:cs="Arial"/>
          <w:lang w:val="en-IN"/>
        </w:rPr>
        <w:t xml:space="preserve">, </w:t>
      </w:r>
      <w:r w:rsidR="00656183" w:rsidRPr="00CF7A77">
        <w:rPr>
          <w:rFonts w:ascii="Arial" w:hAnsi="Arial" w:cs="Arial"/>
          <w:i/>
          <w:iCs/>
          <w:lang w:val="en-IN"/>
        </w:rPr>
        <w:t xml:space="preserve">P = </w:t>
      </w:r>
      <w:r w:rsidRPr="00CF7A77">
        <w:rPr>
          <w:rFonts w:ascii="Arial" w:hAnsi="Arial" w:cs="Arial"/>
          <w:i/>
          <w:iCs/>
          <w:lang w:val="en-IN"/>
        </w:rPr>
        <w:t>.257</w:t>
      </w:r>
      <w:r w:rsidRPr="00905DAD">
        <w:rPr>
          <w:rFonts w:ascii="Arial" w:hAnsi="Arial" w:cs="Arial"/>
          <w:lang w:val="en-IN"/>
        </w:rPr>
        <w:t xml:space="preserve">). </w:t>
      </w:r>
      <w:r w:rsidR="003A47BA" w:rsidRPr="00905DAD">
        <w:rPr>
          <w:rFonts w:ascii="Arial" w:hAnsi="Arial" w:cs="Arial"/>
          <w:lang w:val="en-IN"/>
        </w:rPr>
        <w:t>The constant term is larger in the FE model (2.317 vs. 1.74</w:t>
      </w:r>
      <w:r w:rsidR="00CF7A77">
        <w:rPr>
          <w:rFonts w:ascii="Arial" w:hAnsi="Arial" w:cs="Arial"/>
          <w:lang w:val="en-IN"/>
        </w:rPr>
        <w:t>6</w:t>
      </w:r>
      <w:r w:rsidR="003A47BA" w:rsidRPr="00905DAD">
        <w:rPr>
          <w:rFonts w:ascii="Arial" w:hAnsi="Arial" w:cs="Arial"/>
          <w:lang w:val="en-IN"/>
        </w:rPr>
        <w:t xml:space="preserve"> in RE), reflecting the bank-specific effects.</w:t>
      </w:r>
      <w:r w:rsidRPr="00905DAD">
        <w:rPr>
          <w:rFonts w:ascii="Arial" w:hAnsi="Arial" w:cs="Arial"/>
          <w:lang w:val="en-IN"/>
        </w:rPr>
        <w:t xml:space="preserve"> </w:t>
      </w:r>
      <w:r w:rsidR="003A47BA" w:rsidRPr="00905DAD">
        <w:rPr>
          <w:rFonts w:ascii="Arial" w:hAnsi="Arial" w:cs="Arial"/>
          <w:lang w:val="en-IN"/>
        </w:rPr>
        <w:t xml:space="preserve">The RE model’s Wald chi-square (277.77) and FE model’s F-statistic (35.96) confirm strong model significance, but a prior Hausman test (chi2 = 20.04, </w:t>
      </w:r>
      <w:r w:rsidR="00656183" w:rsidRPr="00656183">
        <w:rPr>
          <w:rFonts w:ascii="Arial" w:hAnsi="Arial" w:cs="Arial"/>
          <w:i/>
          <w:iCs/>
          <w:lang w:val="en-IN"/>
        </w:rPr>
        <w:t xml:space="preserve">P </w:t>
      </w:r>
      <w:r w:rsidR="00656183" w:rsidRPr="00CF7A77">
        <w:rPr>
          <w:rFonts w:ascii="Arial" w:hAnsi="Arial" w:cs="Arial"/>
          <w:i/>
          <w:iCs/>
          <w:lang w:val="en-IN"/>
        </w:rPr>
        <w:t xml:space="preserve">= </w:t>
      </w:r>
      <w:r w:rsidR="003A47BA" w:rsidRPr="00CF7A77">
        <w:rPr>
          <w:rFonts w:ascii="Arial" w:hAnsi="Arial" w:cs="Arial"/>
          <w:i/>
          <w:iCs/>
          <w:lang w:val="en-IN"/>
        </w:rPr>
        <w:t>.00</w:t>
      </w:r>
      <w:r w:rsidR="00A55192">
        <w:rPr>
          <w:rFonts w:ascii="Arial" w:hAnsi="Arial" w:cs="Arial"/>
          <w:i/>
          <w:iCs/>
          <w:lang w:val="en-IN"/>
        </w:rPr>
        <w:t>1</w:t>
      </w:r>
      <w:r w:rsidR="003A47BA" w:rsidRPr="00905DAD">
        <w:rPr>
          <w:rFonts w:ascii="Arial" w:hAnsi="Arial" w:cs="Arial"/>
          <w:lang w:val="en-IN"/>
        </w:rPr>
        <w:t>) favo</w:t>
      </w:r>
      <w:r w:rsidR="00CF7A77">
        <w:rPr>
          <w:rFonts w:ascii="Arial" w:hAnsi="Arial" w:cs="Arial"/>
          <w:lang w:val="en-IN"/>
        </w:rPr>
        <w:t>u</w:t>
      </w:r>
      <w:r w:rsidR="003A47BA" w:rsidRPr="00905DAD">
        <w:rPr>
          <w:rFonts w:ascii="Arial" w:hAnsi="Arial" w:cs="Arial"/>
          <w:lang w:val="en-IN"/>
        </w:rPr>
        <w:t>rs the FE model due to systematic coefficient differences, suggesting that unobserved heterogeneity affects ROA.</w:t>
      </w:r>
    </w:p>
    <w:p w14:paraId="5DCCE685" w14:textId="77777777" w:rsidR="000548A3" w:rsidRPr="00905DAD" w:rsidRDefault="000548A3" w:rsidP="00905DAD">
      <w:pPr>
        <w:pStyle w:val="Body"/>
        <w:spacing w:after="0"/>
        <w:rPr>
          <w:rFonts w:ascii="Arial" w:hAnsi="Arial" w:cs="Arial"/>
          <w:lang w:val="en-IN"/>
        </w:rPr>
      </w:pPr>
    </w:p>
    <w:p w14:paraId="14958E9D" w14:textId="1F4FBD33" w:rsidR="00905DAD" w:rsidRDefault="00905DAD" w:rsidP="000548A3">
      <w:pPr>
        <w:pStyle w:val="Body"/>
        <w:spacing w:after="0"/>
        <w:rPr>
          <w:rFonts w:ascii="Arial" w:hAnsi="Arial" w:cs="Arial"/>
          <w:b/>
          <w:bCs/>
          <w:lang w:val="en-IN"/>
        </w:rPr>
      </w:pPr>
      <w:r w:rsidRPr="00905DAD">
        <w:rPr>
          <w:rFonts w:ascii="Arial" w:hAnsi="Arial" w:cs="Arial"/>
          <w:b/>
          <w:bCs/>
          <w:lang w:val="en-IN"/>
        </w:rPr>
        <w:t xml:space="preserve">4.5. Regression model taking </w:t>
      </w:r>
      <w:r w:rsidR="00C849F2">
        <w:rPr>
          <w:rFonts w:ascii="Arial" w:hAnsi="Arial" w:cs="Arial"/>
          <w:b/>
          <w:bCs/>
          <w:lang w:val="en-IN"/>
        </w:rPr>
        <w:t xml:space="preserve">the </w:t>
      </w:r>
      <w:r w:rsidRPr="00905DAD">
        <w:rPr>
          <w:rFonts w:ascii="Arial" w:hAnsi="Arial" w:cs="Arial"/>
          <w:b/>
          <w:bCs/>
          <w:lang w:val="en-IN"/>
        </w:rPr>
        <w:t>dependent variable as ROE</w:t>
      </w:r>
    </w:p>
    <w:p w14:paraId="2A1299FB" w14:textId="77777777" w:rsidR="000548A3" w:rsidRPr="00905DAD" w:rsidRDefault="000548A3" w:rsidP="000548A3">
      <w:pPr>
        <w:pStyle w:val="Body"/>
        <w:spacing w:after="0"/>
        <w:rPr>
          <w:rFonts w:ascii="Arial" w:hAnsi="Arial" w:cs="Arial"/>
          <w:b/>
          <w:bCs/>
          <w:lang w:val="en-IN"/>
        </w:rPr>
      </w:pPr>
    </w:p>
    <w:p w14:paraId="488CD934" w14:textId="04C35C12" w:rsidR="00905DAD" w:rsidRDefault="00905DAD" w:rsidP="000548A3">
      <w:pPr>
        <w:pStyle w:val="Body"/>
        <w:spacing w:after="0"/>
        <w:rPr>
          <w:rFonts w:ascii="Arial" w:hAnsi="Arial" w:cs="Arial"/>
          <w:lang w:val="en-IN"/>
        </w:rPr>
      </w:pPr>
      <w:r w:rsidRPr="00905DAD">
        <w:rPr>
          <w:rFonts w:ascii="Arial" w:hAnsi="Arial" w:cs="Arial"/>
          <w:lang w:val="en-IN"/>
        </w:rPr>
        <w:t xml:space="preserve">The third regression equation model analyses the impact of the merger and control variables on Net Interest Margin. </w:t>
      </w:r>
      <w:r w:rsidR="003A47BA" w:rsidRPr="00905DAD">
        <w:rPr>
          <w:rFonts w:ascii="Arial" w:hAnsi="Arial" w:cs="Arial"/>
          <w:lang w:val="en-IN"/>
        </w:rPr>
        <w:t>NIM is critical for banks reliant on interest income; therefore, this model helps evaluate whether mergers enhance interest-based profitability.</w:t>
      </w:r>
    </w:p>
    <w:p w14:paraId="2BDEDBAD" w14:textId="77777777" w:rsidR="000548A3" w:rsidRPr="00905DAD" w:rsidRDefault="000548A3" w:rsidP="000548A3">
      <w:pPr>
        <w:pStyle w:val="Body"/>
        <w:spacing w:after="0"/>
        <w:rPr>
          <w:rFonts w:ascii="Arial" w:hAnsi="Arial" w:cs="Arial"/>
          <w:b/>
          <w:bCs/>
          <w:lang w:val="en-IN"/>
        </w:rPr>
      </w:pPr>
    </w:p>
    <w:p w14:paraId="5E757442" w14:textId="3C9A11F3" w:rsidR="00905DAD" w:rsidRDefault="00C849F2" w:rsidP="000548A3">
      <w:pPr>
        <w:pStyle w:val="Body"/>
        <w:spacing w:after="0"/>
        <w:jc w:val="center"/>
        <w:rPr>
          <w:rFonts w:ascii="Arial" w:hAnsi="Arial" w:cs="Arial"/>
          <w:b/>
          <w:bCs/>
          <w:lang w:val="en-IN"/>
        </w:rPr>
      </w:pPr>
      <w:r>
        <w:rPr>
          <w:rFonts w:ascii="Arial" w:hAnsi="Arial" w:cs="Arial"/>
          <w:b/>
          <w:bCs/>
          <w:lang w:val="en-IN"/>
        </w:rPr>
        <w:t xml:space="preserve">Table </w:t>
      </w:r>
      <w:r w:rsidR="007C42B5">
        <w:rPr>
          <w:rFonts w:ascii="Arial" w:hAnsi="Arial" w:cs="Arial"/>
          <w:b/>
          <w:bCs/>
          <w:lang w:val="en-IN"/>
        </w:rPr>
        <w:t>6</w:t>
      </w:r>
      <w:r w:rsidR="00905DAD" w:rsidRPr="00905DAD">
        <w:rPr>
          <w:rFonts w:ascii="Arial" w:hAnsi="Arial" w:cs="Arial"/>
          <w:b/>
          <w:bCs/>
          <w:lang w:val="en-IN"/>
        </w:rPr>
        <w:t xml:space="preserve">: </w:t>
      </w:r>
      <w:r w:rsidR="00905DAD" w:rsidRPr="000548A3">
        <w:rPr>
          <w:rFonts w:ascii="Arial" w:hAnsi="Arial" w:cs="Arial"/>
          <w:b/>
          <w:bCs/>
          <w:lang w:val="en-IN"/>
        </w:rPr>
        <w:t>Regression models for ROE</w:t>
      </w:r>
    </w:p>
    <w:p w14:paraId="2E03F8D8" w14:textId="77777777" w:rsidR="00C73D82" w:rsidRPr="00905DAD" w:rsidRDefault="00C73D82" w:rsidP="000548A3">
      <w:pPr>
        <w:pStyle w:val="Body"/>
        <w:spacing w:after="0"/>
        <w:jc w:val="center"/>
        <w:rPr>
          <w:rFonts w:ascii="Arial" w:hAnsi="Arial" w:cs="Arial"/>
          <w:lang w:val="en-IN"/>
        </w:rPr>
      </w:pPr>
    </w:p>
    <w:tbl>
      <w:tblPr>
        <w:tblW w:w="0" w:type="auto"/>
        <w:jc w:val="center"/>
        <w:tblLook w:val="04A0" w:firstRow="1" w:lastRow="0" w:firstColumn="1" w:lastColumn="0" w:noHBand="0" w:noVBand="1"/>
      </w:tblPr>
      <w:tblGrid>
        <w:gridCol w:w="1162"/>
        <w:gridCol w:w="1285"/>
        <w:gridCol w:w="782"/>
        <w:gridCol w:w="1250"/>
        <w:gridCol w:w="761"/>
      </w:tblGrid>
      <w:tr w:rsidR="00905DAD" w:rsidRPr="00905DAD" w14:paraId="3B39836E" w14:textId="77777777" w:rsidTr="000548A3">
        <w:trPr>
          <w:trHeight w:val="290"/>
          <w:jc w:val="center"/>
        </w:trPr>
        <w:tc>
          <w:tcPr>
            <w:tcW w:w="0" w:type="auto"/>
            <w:tcBorders>
              <w:top w:val="single" w:sz="12" w:space="0" w:color="auto"/>
              <w:bottom w:val="single" w:sz="2" w:space="0" w:color="auto"/>
            </w:tcBorders>
            <w:noWrap/>
            <w:vAlign w:val="bottom"/>
            <w:hideMark/>
          </w:tcPr>
          <w:p w14:paraId="5AF9F60B"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 Variables</w:t>
            </w:r>
          </w:p>
        </w:tc>
        <w:tc>
          <w:tcPr>
            <w:tcW w:w="0" w:type="auto"/>
            <w:gridSpan w:val="2"/>
            <w:tcBorders>
              <w:top w:val="single" w:sz="12" w:space="0" w:color="auto"/>
              <w:bottom w:val="single" w:sz="2" w:space="0" w:color="auto"/>
            </w:tcBorders>
            <w:noWrap/>
            <w:vAlign w:val="bottom"/>
            <w:hideMark/>
          </w:tcPr>
          <w:p w14:paraId="4260FDAE"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Random-effects</w:t>
            </w:r>
          </w:p>
        </w:tc>
        <w:tc>
          <w:tcPr>
            <w:tcW w:w="0" w:type="auto"/>
            <w:gridSpan w:val="2"/>
            <w:tcBorders>
              <w:top w:val="single" w:sz="12" w:space="0" w:color="auto"/>
              <w:bottom w:val="single" w:sz="2" w:space="0" w:color="auto"/>
            </w:tcBorders>
            <w:noWrap/>
            <w:vAlign w:val="bottom"/>
            <w:hideMark/>
          </w:tcPr>
          <w:p w14:paraId="1DF0D574"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Fixed-effects</w:t>
            </w:r>
          </w:p>
        </w:tc>
      </w:tr>
      <w:tr w:rsidR="00905DAD" w:rsidRPr="00905DAD" w14:paraId="657A2473" w14:textId="77777777" w:rsidTr="000548A3">
        <w:trPr>
          <w:trHeight w:val="290"/>
          <w:jc w:val="center"/>
        </w:trPr>
        <w:tc>
          <w:tcPr>
            <w:tcW w:w="0" w:type="auto"/>
            <w:tcBorders>
              <w:top w:val="single" w:sz="2" w:space="0" w:color="auto"/>
              <w:bottom w:val="single" w:sz="2" w:space="0" w:color="auto"/>
            </w:tcBorders>
            <w:noWrap/>
            <w:vAlign w:val="bottom"/>
            <w:hideMark/>
          </w:tcPr>
          <w:p w14:paraId="2873E6F5"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ROE</w:t>
            </w:r>
          </w:p>
        </w:tc>
        <w:tc>
          <w:tcPr>
            <w:tcW w:w="0" w:type="auto"/>
            <w:tcBorders>
              <w:top w:val="single" w:sz="2" w:space="0" w:color="auto"/>
              <w:bottom w:val="single" w:sz="2" w:space="0" w:color="auto"/>
            </w:tcBorders>
            <w:noWrap/>
            <w:vAlign w:val="bottom"/>
            <w:hideMark/>
          </w:tcPr>
          <w:p w14:paraId="0170103C"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Coefficient</w:t>
            </w:r>
          </w:p>
        </w:tc>
        <w:tc>
          <w:tcPr>
            <w:tcW w:w="0" w:type="auto"/>
            <w:tcBorders>
              <w:top w:val="single" w:sz="2" w:space="0" w:color="auto"/>
              <w:bottom w:val="single" w:sz="2" w:space="0" w:color="auto"/>
            </w:tcBorders>
            <w:noWrap/>
            <w:vAlign w:val="bottom"/>
            <w:hideMark/>
          </w:tcPr>
          <w:p w14:paraId="432B8F5C"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P&gt;z</w:t>
            </w:r>
          </w:p>
        </w:tc>
        <w:tc>
          <w:tcPr>
            <w:tcW w:w="0" w:type="auto"/>
            <w:tcBorders>
              <w:top w:val="single" w:sz="2" w:space="0" w:color="auto"/>
              <w:bottom w:val="single" w:sz="2" w:space="0" w:color="auto"/>
            </w:tcBorders>
            <w:noWrap/>
            <w:vAlign w:val="bottom"/>
            <w:hideMark/>
          </w:tcPr>
          <w:p w14:paraId="792793C9"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Coefficient</w:t>
            </w:r>
          </w:p>
        </w:tc>
        <w:tc>
          <w:tcPr>
            <w:tcW w:w="0" w:type="auto"/>
            <w:tcBorders>
              <w:top w:val="single" w:sz="2" w:space="0" w:color="auto"/>
              <w:bottom w:val="single" w:sz="2" w:space="0" w:color="auto"/>
            </w:tcBorders>
            <w:noWrap/>
            <w:vAlign w:val="bottom"/>
            <w:hideMark/>
          </w:tcPr>
          <w:p w14:paraId="7E5D89BD" w14:textId="77777777" w:rsidR="00905DAD" w:rsidRPr="00905DAD" w:rsidRDefault="00905DAD" w:rsidP="000548A3">
            <w:pPr>
              <w:pStyle w:val="Body"/>
              <w:spacing w:after="0"/>
              <w:rPr>
                <w:rFonts w:ascii="Arial" w:hAnsi="Arial" w:cs="Arial"/>
                <w:b/>
                <w:bCs/>
                <w:lang w:val="en-IN"/>
              </w:rPr>
            </w:pPr>
            <w:r w:rsidRPr="00905DAD">
              <w:rPr>
                <w:rFonts w:ascii="Arial" w:hAnsi="Arial" w:cs="Arial"/>
                <w:b/>
                <w:bCs/>
                <w:lang w:val="en-IN"/>
              </w:rPr>
              <w:t>P&gt;t</w:t>
            </w:r>
          </w:p>
        </w:tc>
      </w:tr>
      <w:tr w:rsidR="00905DAD" w:rsidRPr="00905DAD" w14:paraId="57F849AF" w14:textId="77777777" w:rsidTr="000548A3">
        <w:trPr>
          <w:trHeight w:val="290"/>
          <w:jc w:val="center"/>
        </w:trPr>
        <w:tc>
          <w:tcPr>
            <w:tcW w:w="0" w:type="auto"/>
            <w:tcBorders>
              <w:top w:val="nil"/>
            </w:tcBorders>
            <w:noWrap/>
            <w:vAlign w:val="bottom"/>
            <w:hideMark/>
          </w:tcPr>
          <w:p w14:paraId="19D5354F"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Merger</w:t>
            </w:r>
          </w:p>
        </w:tc>
        <w:tc>
          <w:tcPr>
            <w:tcW w:w="0" w:type="auto"/>
            <w:tcBorders>
              <w:top w:val="nil"/>
            </w:tcBorders>
            <w:noWrap/>
            <w:vAlign w:val="bottom"/>
            <w:hideMark/>
          </w:tcPr>
          <w:p w14:paraId="236ACFE6"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2.793</w:t>
            </w:r>
          </w:p>
        </w:tc>
        <w:tc>
          <w:tcPr>
            <w:tcW w:w="0" w:type="auto"/>
            <w:tcBorders>
              <w:top w:val="nil"/>
            </w:tcBorders>
            <w:noWrap/>
            <w:vAlign w:val="bottom"/>
            <w:hideMark/>
          </w:tcPr>
          <w:p w14:paraId="53B666DF" w14:textId="1B75FDD4" w:rsidR="00905DAD" w:rsidRPr="00905DAD" w:rsidRDefault="00905DAD" w:rsidP="000548A3">
            <w:pPr>
              <w:pStyle w:val="Body"/>
              <w:spacing w:after="0"/>
              <w:rPr>
                <w:rFonts w:ascii="Arial" w:hAnsi="Arial" w:cs="Arial"/>
                <w:lang w:val="en-IN"/>
              </w:rPr>
            </w:pPr>
            <w:r w:rsidRPr="00905DAD">
              <w:rPr>
                <w:rFonts w:ascii="Arial" w:hAnsi="Arial" w:cs="Arial"/>
                <w:lang w:val="en-IN"/>
              </w:rPr>
              <w:t>.013</w:t>
            </w:r>
            <w:r w:rsidR="002F5301">
              <w:rPr>
                <w:rFonts w:ascii="Arial" w:hAnsi="Arial" w:cs="Arial"/>
                <w:lang w:val="en-IN"/>
              </w:rPr>
              <w:t>**</w:t>
            </w:r>
          </w:p>
        </w:tc>
        <w:tc>
          <w:tcPr>
            <w:tcW w:w="0" w:type="auto"/>
            <w:tcBorders>
              <w:top w:val="nil"/>
            </w:tcBorders>
            <w:noWrap/>
            <w:vAlign w:val="bottom"/>
            <w:hideMark/>
          </w:tcPr>
          <w:p w14:paraId="17955B52"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3.289</w:t>
            </w:r>
          </w:p>
        </w:tc>
        <w:tc>
          <w:tcPr>
            <w:tcW w:w="0" w:type="auto"/>
            <w:tcBorders>
              <w:top w:val="nil"/>
            </w:tcBorders>
            <w:noWrap/>
            <w:vAlign w:val="bottom"/>
            <w:hideMark/>
          </w:tcPr>
          <w:p w14:paraId="57DD1841" w14:textId="0B986680" w:rsidR="00905DAD" w:rsidRPr="00905DAD" w:rsidRDefault="00905DAD" w:rsidP="000548A3">
            <w:pPr>
              <w:pStyle w:val="Body"/>
              <w:spacing w:after="0"/>
              <w:rPr>
                <w:rFonts w:ascii="Arial" w:hAnsi="Arial" w:cs="Arial"/>
                <w:lang w:val="en-IN"/>
              </w:rPr>
            </w:pPr>
            <w:r w:rsidRPr="00905DAD">
              <w:rPr>
                <w:rFonts w:ascii="Arial" w:hAnsi="Arial" w:cs="Arial"/>
                <w:lang w:val="en-IN"/>
              </w:rPr>
              <w:t>.006</w:t>
            </w:r>
            <w:r w:rsidR="00AE1D50">
              <w:rPr>
                <w:rFonts w:ascii="Arial" w:hAnsi="Arial" w:cs="Arial"/>
                <w:lang w:val="en-IN"/>
              </w:rPr>
              <w:t>*</w:t>
            </w:r>
          </w:p>
        </w:tc>
      </w:tr>
      <w:tr w:rsidR="00905DAD" w:rsidRPr="00905DAD" w14:paraId="35ACFE6C" w14:textId="77777777" w:rsidTr="000548A3">
        <w:trPr>
          <w:trHeight w:val="290"/>
          <w:jc w:val="center"/>
        </w:trPr>
        <w:tc>
          <w:tcPr>
            <w:tcW w:w="0" w:type="auto"/>
            <w:tcBorders>
              <w:top w:val="nil"/>
            </w:tcBorders>
            <w:noWrap/>
            <w:vAlign w:val="bottom"/>
            <w:hideMark/>
          </w:tcPr>
          <w:p w14:paraId="6B2F90C5"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CAR</w:t>
            </w:r>
          </w:p>
        </w:tc>
        <w:tc>
          <w:tcPr>
            <w:tcW w:w="0" w:type="auto"/>
            <w:tcBorders>
              <w:top w:val="nil"/>
            </w:tcBorders>
            <w:noWrap/>
            <w:vAlign w:val="bottom"/>
            <w:hideMark/>
          </w:tcPr>
          <w:p w14:paraId="1AD1B960"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1.118</w:t>
            </w:r>
          </w:p>
        </w:tc>
        <w:tc>
          <w:tcPr>
            <w:tcW w:w="0" w:type="auto"/>
            <w:tcBorders>
              <w:top w:val="nil"/>
            </w:tcBorders>
            <w:noWrap/>
            <w:vAlign w:val="bottom"/>
            <w:hideMark/>
          </w:tcPr>
          <w:p w14:paraId="7AC14940" w14:textId="04193E37" w:rsidR="00905DAD" w:rsidRPr="00905DAD" w:rsidRDefault="00905DAD" w:rsidP="000548A3">
            <w:pPr>
              <w:pStyle w:val="Body"/>
              <w:spacing w:after="0"/>
              <w:rPr>
                <w:rFonts w:ascii="Arial" w:hAnsi="Arial" w:cs="Arial"/>
                <w:lang w:val="en-IN"/>
              </w:rPr>
            </w:pPr>
            <w:r w:rsidRPr="00905DAD">
              <w:rPr>
                <w:rFonts w:ascii="Arial" w:hAnsi="Arial" w:cs="Arial"/>
                <w:lang w:val="en-IN"/>
              </w:rPr>
              <w:t>.006</w:t>
            </w:r>
            <w:r w:rsidR="002F5301">
              <w:rPr>
                <w:rFonts w:ascii="Arial" w:hAnsi="Arial" w:cs="Arial"/>
                <w:lang w:val="en-IN"/>
              </w:rPr>
              <w:t>*</w:t>
            </w:r>
          </w:p>
        </w:tc>
        <w:tc>
          <w:tcPr>
            <w:tcW w:w="0" w:type="auto"/>
            <w:tcBorders>
              <w:top w:val="nil"/>
            </w:tcBorders>
            <w:noWrap/>
            <w:vAlign w:val="bottom"/>
            <w:hideMark/>
          </w:tcPr>
          <w:p w14:paraId="642410FD"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0.840</w:t>
            </w:r>
          </w:p>
        </w:tc>
        <w:tc>
          <w:tcPr>
            <w:tcW w:w="0" w:type="auto"/>
            <w:tcBorders>
              <w:top w:val="nil"/>
            </w:tcBorders>
            <w:noWrap/>
            <w:vAlign w:val="bottom"/>
            <w:hideMark/>
          </w:tcPr>
          <w:p w14:paraId="56AC93C0" w14:textId="43B93E01" w:rsidR="00905DAD" w:rsidRPr="00905DAD" w:rsidRDefault="00905DAD" w:rsidP="000548A3">
            <w:pPr>
              <w:pStyle w:val="Body"/>
              <w:spacing w:after="0"/>
              <w:rPr>
                <w:rFonts w:ascii="Arial" w:hAnsi="Arial" w:cs="Arial"/>
                <w:lang w:val="en-IN"/>
              </w:rPr>
            </w:pPr>
            <w:r w:rsidRPr="00905DAD">
              <w:rPr>
                <w:rFonts w:ascii="Arial" w:hAnsi="Arial" w:cs="Arial"/>
                <w:lang w:val="en-IN"/>
              </w:rPr>
              <w:t>.049</w:t>
            </w:r>
            <w:r w:rsidR="00AE1D50">
              <w:rPr>
                <w:rFonts w:ascii="Arial" w:hAnsi="Arial" w:cs="Arial"/>
                <w:lang w:val="en-IN"/>
              </w:rPr>
              <w:t>**</w:t>
            </w:r>
          </w:p>
        </w:tc>
      </w:tr>
      <w:tr w:rsidR="00905DAD" w:rsidRPr="00905DAD" w14:paraId="57B08C28" w14:textId="77777777" w:rsidTr="000548A3">
        <w:trPr>
          <w:trHeight w:val="290"/>
          <w:jc w:val="center"/>
        </w:trPr>
        <w:tc>
          <w:tcPr>
            <w:tcW w:w="0" w:type="auto"/>
            <w:tcBorders>
              <w:top w:val="nil"/>
            </w:tcBorders>
            <w:noWrap/>
            <w:vAlign w:val="bottom"/>
            <w:hideMark/>
          </w:tcPr>
          <w:p w14:paraId="48A94EA0"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DE</w:t>
            </w:r>
          </w:p>
        </w:tc>
        <w:tc>
          <w:tcPr>
            <w:tcW w:w="0" w:type="auto"/>
            <w:tcBorders>
              <w:top w:val="nil"/>
            </w:tcBorders>
            <w:noWrap/>
            <w:vAlign w:val="bottom"/>
            <w:hideMark/>
          </w:tcPr>
          <w:p w14:paraId="223A1E5A"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-0.086</w:t>
            </w:r>
          </w:p>
        </w:tc>
        <w:tc>
          <w:tcPr>
            <w:tcW w:w="0" w:type="auto"/>
            <w:tcBorders>
              <w:top w:val="nil"/>
            </w:tcBorders>
            <w:noWrap/>
            <w:vAlign w:val="bottom"/>
            <w:hideMark/>
          </w:tcPr>
          <w:p w14:paraId="2AAB2E73" w14:textId="297EFFC1" w:rsidR="00905DAD" w:rsidRPr="00905DAD" w:rsidRDefault="00905DAD" w:rsidP="000548A3">
            <w:pPr>
              <w:pStyle w:val="Body"/>
              <w:spacing w:after="0"/>
              <w:rPr>
                <w:rFonts w:ascii="Arial" w:hAnsi="Arial" w:cs="Arial"/>
                <w:lang w:val="en-IN"/>
              </w:rPr>
            </w:pPr>
            <w:r w:rsidRPr="00905DAD">
              <w:rPr>
                <w:rFonts w:ascii="Arial" w:hAnsi="Arial" w:cs="Arial"/>
                <w:lang w:val="en-IN"/>
              </w:rPr>
              <w:t>.665</w:t>
            </w:r>
          </w:p>
        </w:tc>
        <w:tc>
          <w:tcPr>
            <w:tcW w:w="0" w:type="auto"/>
            <w:tcBorders>
              <w:top w:val="nil"/>
            </w:tcBorders>
            <w:noWrap/>
            <w:vAlign w:val="bottom"/>
            <w:hideMark/>
          </w:tcPr>
          <w:p w14:paraId="0421BDC2"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-0.533</w:t>
            </w:r>
          </w:p>
        </w:tc>
        <w:tc>
          <w:tcPr>
            <w:tcW w:w="0" w:type="auto"/>
            <w:tcBorders>
              <w:top w:val="nil"/>
            </w:tcBorders>
            <w:noWrap/>
            <w:vAlign w:val="bottom"/>
            <w:hideMark/>
          </w:tcPr>
          <w:p w14:paraId="1D7975FF" w14:textId="5A92BC05" w:rsidR="00905DAD" w:rsidRPr="00905DAD" w:rsidRDefault="00905DAD" w:rsidP="000548A3">
            <w:pPr>
              <w:pStyle w:val="Body"/>
              <w:spacing w:after="0"/>
              <w:rPr>
                <w:rFonts w:ascii="Arial" w:hAnsi="Arial" w:cs="Arial"/>
                <w:lang w:val="en-IN"/>
              </w:rPr>
            </w:pPr>
            <w:r w:rsidRPr="00905DAD">
              <w:rPr>
                <w:rFonts w:ascii="Arial" w:hAnsi="Arial" w:cs="Arial"/>
                <w:lang w:val="en-IN"/>
              </w:rPr>
              <w:t>.05</w:t>
            </w:r>
            <w:r w:rsidR="00AE1D50">
              <w:rPr>
                <w:rFonts w:ascii="Arial" w:hAnsi="Arial" w:cs="Arial"/>
                <w:lang w:val="en-IN"/>
              </w:rPr>
              <w:t>**</w:t>
            </w:r>
          </w:p>
        </w:tc>
      </w:tr>
      <w:tr w:rsidR="00905DAD" w:rsidRPr="00905DAD" w14:paraId="5BE51231" w14:textId="77777777" w:rsidTr="000548A3">
        <w:trPr>
          <w:trHeight w:val="290"/>
          <w:jc w:val="center"/>
        </w:trPr>
        <w:tc>
          <w:tcPr>
            <w:tcW w:w="0" w:type="auto"/>
            <w:tcBorders>
              <w:top w:val="nil"/>
            </w:tcBorders>
            <w:noWrap/>
            <w:vAlign w:val="bottom"/>
            <w:hideMark/>
          </w:tcPr>
          <w:p w14:paraId="2AFDB02D"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GNPA</w:t>
            </w:r>
          </w:p>
        </w:tc>
        <w:tc>
          <w:tcPr>
            <w:tcW w:w="0" w:type="auto"/>
            <w:tcBorders>
              <w:top w:val="nil"/>
            </w:tcBorders>
            <w:noWrap/>
            <w:vAlign w:val="bottom"/>
            <w:hideMark/>
          </w:tcPr>
          <w:p w14:paraId="615C796D"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-1.052</w:t>
            </w:r>
          </w:p>
        </w:tc>
        <w:tc>
          <w:tcPr>
            <w:tcW w:w="0" w:type="auto"/>
            <w:tcBorders>
              <w:top w:val="nil"/>
            </w:tcBorders>
            <w:noWrap/>
            <w:vAlign w:val="bottom"/>
            <w:hideMark/>
          </w:tcPr>
          <w:p w14:paraId="33AB2496" w14:textId="57747163" w:rsidR="00905DAD" w:rsidRPr="00905DAD" w:rsidRDefault="00A55192" w:rsidP="000548A3">
            <w:pPr>
              <w:pStyle w:val="Body"/>
              <w:spacing w:after="0"/>
              <w:rPr>
                <w:rFonts w:ascii="Arial" w:hAnsi="Arial" w:cs="Arial"/>
                <w:lang w:val="en-IN"/>
              </w:rPr>
            </w:pPr>
            <w:r w:rsidRPr="00A55192">
              <w:rPr>
                <w:rFonts w:ascii="Arial" w:hAnsi="Arial" w:cs="Arial"/>
                <w:i/>
                <w:iCs/>
                <w:lang w:val="en-IN"/>
              </w:rPr>
              <w:t>.00</w:t>
            </w:r>
            <w:r w:rsidR="002F5301">
              <w:rPr>
                <w:rFonts w:ascii="Arial" w:hAnsi="Arial" w:cs="Arial"/>
                <w:i/>
                <w:iCs/>
                <w:lang w:val="en-IN"/>
              </w:rPr>
              <w:t>*</w:t>
            </w:r>
          </w:p>
        </w:tc>
        <w:tc>
          <w:tcPr>
            <w:tcW w:w="0" w:type="auto"/>
            <w:tcBorders>
              <w:top w:val="nil"/>
            </w:tcBorders>
            <w:noWrap/>
            <w:vAlign w:val="bottom"/>
            <w:hideMark/>
          </w:tcPr>
          <w:p w14:paraId="47A76E1A"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-1.147</w:t>
            </w:r>
          </w:p>
        </w:tc>
        <w:tc>
          <w:tcPr>
            <w:tcW w:w="0" w:type="auto"/>
            <w:tcBorders>
              <w:top w:val="nil"/>
            </w:tcBorders>
            <w:noWrap/>
            <w:vAlign w:val="bottom"/>
            <w:hideMark/>
          </w:tcPr>
          <w:p w14:paraId="7D37AC97" w14:textId="51D552AF" w:rsidR="00905DAD" w:rsidRPr="00905DAD" w:rsidRDefault="00A55192" w:rsidP="000548A3">
            <w:pPr>
              <w:pStyle w:val="Body"/>
              <w:spacing w:after="0"/>
              <w:rPr>
                <w:rFonts w:ascii="Arial" w:hAnsi="Arial" w:cs="Arial"/>
                <w:lang w:val="en-IN"/>
              </w:rPr>
            </w:pPr>
            <w:r w:rsidRPr="00A55192">
              <w:rPr>
                <w:rFonts w:ascii="Arial" w:hAnsi="Arial" w:cs="Arial"/>
                <w:i/>
                <w:iCs/>
                <w:lang w:val="en-IN"/>
              </w:rPr>
              <w:t>.00</w:t>
            </w:r>
            <w:r w:rsidR="002F5301">
              <w:rPr>
                <w:rFonts w:ascii="Arial" w:hAnsi="Arial" w:cs="Arial"/>
                <w:i/>
                <w:iCs/>
                <w:lang w:val="en-IN"/>
              </w:rPr>
              <w:t>*</w:t>
            </w:r>
          </w:p>
        </w:tc>
      </w:tr>
      <w:tr w:rsidR="00905DAD" w:rsidRPr="00905DAD" w14:paraId="3A3E5E89" w14:textId="77777777" w:rsidTr="000548A3">
        <w:trPr>
          <w:trHeight w:val="290"/>
          <w:jc w:val="center"/>
        </w:trPr>
        <w:tc>
          <w:tcPr>
            <w:tcW w:w="0" w:type="auto"/>
            <w:tcBorders>
              <w:top w:val="nil"/>
            </w:tcBorders>
            <w:noWrap/>
            <w:vAlign w:val="bottom"/>
            <w:hideMark/>
          </w:tcPr>
          <w:p w14:paraId="7DF7CD05"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CTA</w:t>
            </w:r>
          </w:p>
        </w:tc>
        <w:tc>
          <w:tcPr>
            <w:tcW w:w="0" w:type="auto"/>
            <w:tcBorders>
              <w:top w:val="nil"/>
            </w:tcBorders>
            <w:noWrap/>
            <w:vAlign w:val="bottom"/>
            <w:hideMark/>
          </w:tcPr>
          <w:p w14:paraId="26813640"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-0.494</w:t>
            </w:r>
          </w:p>
        </w:tc>
        <w:tc>
          <w:tcPr>
            <w:tcW w:w="0" w:type="auto"/>
            <w:tcBorders>
              <w:top w:val="nil"/>
            </w:tcBorders>
            <w:noWrap/>
            <w:vAlign w:val="bottom"/>
            <w:hideMark/>
          </w:tcPr>
          <w:p w14:paraId="460AEB6C" w14:textId="425C03EB" w:rsidR="00905DAD" w:rsidRPr="00905DAD" w:rsidRDefault="00905DAD" w:rsidP="000548A3">
            <w:pPr>
              <w:pStyle w:val="Body"/>
              <w:spacing w:after="0"/>
              <w:rPr>
                <w:rFonts w:ascii="Arial" w:hAnsi="Arial" w:cs="Arial"/>
                <w:lang w:val="en-IN"/>
              </w:rPr>
            </w:pPr>
            <w:r w:rsidRPr="00905DAD">
              <w:rPr>
                <w:rFonts w:ascii="Arial" w:hAnsi="Arial" w:cs="Arial"/>
                <w:lang w:val="en-IN"/>
              </w:rPr>
              <w:t>.387</w:t>
            </w:r>
          </w:p>
        </w:tc>
        <w:tc>
          <w:tcPr>
            <w:tcW w:w="0" w:type="auto"/>
            <w:tcBorders>
              <w:top w:val="nil"/>
            </w:tcBorders>
            <w:noWrap/>
            <w:vAlign w:val="bottom"/>
            <w:hideMark/>
          </w:tcPr>
          <w:p w14:paraId="2BF67497"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-0.738</w:t>
            </w:r>
          </w:p>
        </w:tc>
        <w:tc>
          <w:tcPr>
            <w:tcW w:w="0" w:type="auto"/>
            <w:tcBorders>
              <w:top w:val="nil"/>
            </w:tcBorders>
            <w:noWrap/>
            <w:vAlign w:val="bottom"/>
            <w:hideMark/>
          </w:tcPr>
          <w:p w14:paraId="28E37CFA" w14:textId="7190E97D" w:rsidR="00905DAD" w:rsidRPr="00905DAD" w:rsidRDefault="00905DAD" w:rsidP="000548A3">
            <w:pPr>
              <w:pStyle w:val="Body"/>
              <w:spacing w:after="0"/>
              <w:rPr>
                <w:rFonts w:ascii="Arial" w:hAnsi="Arial" w:cs="Arial"/>
                <w:lang w:val="en-IN"/>
              </w:rPr>
            </w:pPr>
            <w:r w:rsidRPr="00905DAD">
              <w:rPr>
                <w:rFonts w:ascii="Arial" w:hAnsi="Arial" w:cs="Arial"/>
                <w:lang w:val="en-IN"/>
              </w:rPr>
              <w:t>.230</w:t>
            </w:r>
          </w:p>
        </w:tc>
      </w:tr>
      <w:tr w:rsidR="00905DAD" w:rsidRPr="00905DAD" w14:paraId="5C07289C" w14:textId="77777777" w:rsidTr="000548A3">
        <w:trPr>
          <w:trHeight w:val="290"/>
          <w:jc w:val="center"/>
        </w:trPr>
        <w:tc>
          <w:tcPr>
            <w:tcW w:w="0" w:type="auto"/>
            <w:tcBorders>
              <w:top w:val="nil"/>
            </w:tcBorders>
            <w:noWrap/>
            <w:vAlign w:val="bottom"/>
            <w:hideMark/>
          </w:tcPr>
          <w:p w14:paraId="05BD6DD6"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CI</w:t>
            </w:r>
          </w:p>
        </w:tc>
        <w:tc>
          <w:tcPr>
            <w:tcW w:w="0" w:type="auto"/>
            <w:tcBorders>
              <w:top w:val="nil"/>
            </w:tcBorders>
            <w:noWrap/>
            <w:vAlign w:val="bottom"/>
            <w:hideMark/>
          </w:tcPr>
          <w:p w14:paraId="4F2B69D5"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-0.432</w:t>
            </w:r>
          </w:p>
        </w:tc>
        <w:tc>
          <w:tcPr>
            <w:tcW w:w="0" w:type="auto"/>
            <w:tcBorders>
              <w:top w:val="nil"/>
            </w:tcBorders>
            <w:noWrap/>
            <w:vAlign w:val="bottom"/>
            <w:hideMark/>
          </w:tcPr>
          <w:p w14:paraId="4F87E7F8" w14:textId="292EBFA7" w:rsidR="00905DAD" w:rsidRPr="00905DAD" w:rsidRDefault="00A55192" w:rsidP="000548A3">
            <w:pPr>
              <w:pStyle w:val="Body"/>
              <w:spacing w:after="0"/>
              <w:rPr>
                <w:rFonts w:ascii="Arial" w:hAnsi="Arial" w:cs="Arial"/>
                <w:lang w:val="en-IN"/>
              </w:rPr>
            </w:pPr>
            <w:r w:rsidRPr="00A55192">
              <w:rPr>
                <w:rFonts w:ascii="Arial" w:hAnsi="Arial" w:cs="Arial"/>
                <w:i/>
                <w:iCs/>
                <w:lang w:val="en-IN"/>
              </w:rPr>
              <w:t>.00</w:t>
            </w:r>
            <w:r w:rsidR="002F5301">
              <w:rPr>
                <w:rFonts w:ascii="Arial" w:hAnsi="Arial" w:cs="Arial"/>
                <w:i/>
                <w:iCs/>
                <w:lang w:val="en-IN"/>
              </w:rPr>
              <w:t>*</w:t>
            </w:r>
          </w:p>
        </w:tc>
        <w:tc>
          <w:tcPr>
            <w:tcW w:w="0" w:type="auto"/>
            <w:tcBorders>
              <w:top w:val="nil"/>
            </w:tcBorders>
            <w:noWrap/>
            <w:vAlign w:val="bottom"/>
            <w:hideMark/>
          </w:tcPr>
          <w:p w14:paraId="2BDAFBE6"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-0.507</w:t>
            </w:r>
          </w:p>
        </w:tc>
        <w:tc>
          <w:tcPr>
            <w:tcW w:w="0" w:type="auto"/>
            <w:tcBorders>
              <w:top w:val="nil"/>
            </w:tcBorders>
            <w:noWrap/>
            <w:vAlign w:val="bottom"/>
            <w:hideMark/>
          </w:tcPr>
          <w:p w14:paraId="0AFE6220" w14:textId="3D611E54" w:rsidR="00905DAD" w:rsidRPr="00905DAD" w:rsidRDefault="00A55192" w:rsidP="000548A3">
            <w:pPr>
              <w:pStyle w:val="Body"/>
              <w:spacing w:after="0"/>
              <w:rPr>
                <w:rFonts w:ascii="Arial" w:hAnsi="Arial" w:cs="Arial"/>
                <w:lang w:val="en-IN"/>
              </w:rPr>
            </w:pPr>
            <w:r w:rsidRPr="00A55192">
              <w:rPr>
                <w:rFonts w:ascii="Arial" w:hAnsi="Arial" w:cs="Arial"/>
                <w:i/>
                <w:iCs/>
                <w:lang w:val="en-IN"/>
              </w:rPr>
              <w:t>.00</w:t>
            </w:r>
            <w:r w:rsidR="002F5301">
              <w:rPr>
                <w:rFonts w:ascii="Arial" w:hAnsi="Arial" w:cs="Arial"/>
                <w:i/>
                <w:iCs/>
                <w:lang w:val="en-IN"/>
              </w:rPr>
              <w:t>*</w:t>
            </w:r>
          </w:p>
        </w:tc>
      </w:tr>
      <w:tr w:rsidR="00905DAD" w:rsidRPr="00905DAD" w14:paraId="3532FBC2" w14:textId="77777777" w:rsidTr="000548A3">
        <w:trPr>
          <w:trHeight w:val="290"/>
          <w:jc w:val="center"/>
        </w:trPr>
        <w:tc>
          <w:tcPr>
            <w:tcW w:w="0" w:type="auto"/>
            <w:tcBorders>
              <w:top w:val="nil"/>
            </w:tcBorders>
            <w:noWrap/>
            <w:vAlign w:val="bottom"/>
            <w:hideMark/>
          </w:tcPr>
          <w:p w14:paraId="19ADD159"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_cons</w:t>
            </w:r>
          </w:p>
        </w:tc>
        <w:tc>
          <w:tcPr>
            <w:tcW w:w="0" w:type="auto"/>
            <w:tcBorders>
              <w:top w:val="nil"/>
            </w:tcBorders>
            <w:noWrap/>
            <w:vAlign w:val="bottom"/>
            <w:hideMark/>
          </w:tcPr>
          <w:p w14:paraId="3C4513A8"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21.618</w:t>
            </w:r>
          </w:p>
        </w:tc>
        <w:tc>
          <w:tcPr>
            <w:tcW w:w="0" w:type="auto"/>
            <w:tcBorders>
              <w:top w:val="nil"/>
            </w:tcBorders>
            <w:noWrap/>
            <w:vAlign w:val="bottom"/>
            <w:hideMark/>
          </w:tcPr>
          <w:p w14:paraId="410FE315" w14:textId="6F109875" w:rsidR="00905DAD" w:rsidRPr="00905DAD" w:rsidRDefault="00905DAD" w:rsidP="000548A3">
            <w:pPr>
              <w:pStyle w:val="Body"/>
              <w:spacing w:after="0"/>
              <w:rPr>
                <w:rFonts w:ascii="Arial" w:hAnsi="Arial" w:cs="Arial"/>
                <w:lang w:val="en-IN"/>
              </w:rPr>
            </w:pPr>
            <w:r w:rsidRPr="00905DAD">
              <w:rPr>
                <w:rFonts w:ascii="Arial" w:hAnsi="Arial" w:cs="Arial"/>
                <w:lang w:val="en-IN"/>
              </w:rPr>
              <w:t>.027</w:t>
            </w:r>
            <w:r w:rsidR="002F5301">
              <w:rPr>
                <w:rFonts w:ascii="Arial" w:hAnsi="Arial" w:cs="Arial"/>
                <w:lang w:val="en-IN"/>
              </w:rPr>
              <w:t>**</w:t>
            </w:r>
          </w:p>
        </w:tc>
        <w:tc>
          <w:tcPr>
            <w:tcW w:w="0" w:type="auto"/>
            <w:tcBorders>
              <w:top w:val="nil"/>
            </w:tcBorders>
            <w:noWrap/>
            <w:vAlign w:val="bottom"/>
            <w:hideMark/>
          </w:tcPr>
          <w:p w14:paraId="1987684F"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37.325</w:t>
            </w:r>
          </w:p>
        </w:tc>
        <w:tc>
          <w:tcPr>
            <w:tcW w:w="0" w:type="auto"/>
            <w:tcBorders>
              <w:top w:val="nil"/>
            </w:tcBorders>
            <w:noWrap/>
            <w:vAlign w:val="bottom"/>
            <w:hideMark/>
          </w:tcPr>
          <w:p w14:paraId="7AB963B4" w14:textId="128842CA" w:rsidR="00905DAD" w:rsidRPr="00905DAD" w:rsidRDefault="00905DAD" w:rsidP="000548A3">
            <w:pPr>
              <w:pStyle w:val="Body"/>
              <w:spacing w:after="0"/>
              <w:rPr>
                <w:rFonts w:ascii="Arial" w:hAnsi="Arial" w:cs="Arial"/>
                <w:lang w:val="en-IN"/>
              </w:rPr>
            </w:pPr>
            <w:r w:rsidRPr="00905DAD">
              <w:rPr>
                <w:rFonts w:ascii="Arial" w:hAnsi="Arial" w:cs="Arial"/>
                <w:lang w:val="en-IN"/>
              </w:rPr>
              <w:t>.002</w:t>
            </w:r>
            <w:r w:rsidR="002F5301">
              <w:rPr>
                <w:rFonts w:ascii="Arial" w:hAnsi="Arial" w:cs="Arial"/>
                <w:lang w:val="en-IN"/>
              </w:rPr>
              <w:t>*</w:t>
            </w:r>
          </w:p>
        </w:tc>
      </w:tr>
      <w:tr w:rsidR="00905DAD" w:rsidRPr="00905DAD" w14:paraId="085AFC84" w14:textId="77777777" w:rsidTr="000548A3">
        <w:trPr>
          <w:trHeight w:val="290"/>
          <w:jc w:val="center"/>
        </w:trPr>
        <w:tc>
          <w:tcPr>
            <w:tcW w:w="0" w:type="auto"/>
            <w:noWrap/>
            <w:vAlign w:val="bottom"/>
            <w:hideMark/>
          </w:tcPr>
          <w:p w14:paraId="7FF1159E" w14:textId="3A753691" w:rsidR="00905DAD" w:rsidRPr="00905DAD" w:rsidRDefault="00905DAD" w:rsidP="000548A3">
            <w:pPr>
              <w:pStyle w:val="Body"/>
              <w:spacing w:after="0"/>
              <w:rPr>
                <w:rFonts w:ascii="Arial" w:hAnsi="Arial" w:cs="Arial"/>
                <w:lang w:val="en-IN"/>
              </w:rPr>
            </w:pPr>
            <w:r w:rsidRPr="00905DAD">
              <w:rPr>
                <w:rFonts w:ascii="Arial" w:hAnsi="Arial" w:cs="Arial"/>
                <w:lang w:val="en-IN"/>
              </w:rPr>
              <w:t xml:space="preserve">R-squared </w:t>
            </w:r>
          </w:p>
        </w:tc>
        <w:tc>
          <w:tcPr>
            <w:tcW w:w="0" w:type="auto"/>
            <w:gridSpan w:val="2"/>
            <w:noWrap/>
            <w:vAlign w:val="bottom"/>
            <w:hideMark/>
          </w:tcPr>
          <w:p w14:paraId="5ED74DED" w14:textId="54DFCFD1" w:rsidR="00905DAD" w:rsidRPr="00905DAD" w:rsidRDefault="00905DAD" w:rsidP="000548A3">
            <w:pPr>
              <w:pStyle w:val="Body"/>
              <w:spacing w:after="0"/>
              <w:rPr>
                <w:rFonts w:ascii="Arial" w:hAnsi="Arial" w:cs="Arial"/>
                <w:lang w:val="en-IN"/>
              </w:rPr>
            </w:pPr>
            <w:r w:rsidRPr="00905DAD">
              <w:rPr>
                <w:rFonts w:ascii="Arial" w:hAnsi="Arial" w:cs="Arial"/>
                <w:lang w:val="en-IN"/>
              </w:rPr>
              <w:t>0.609</w:t>
            </w:r>
          </w:p>
        </w:tc>
        <w:tc>
          <w:tcPr>
            <w:tcW w:w="0" w:type="auto"/>
            <w:gridSpan w:val="2"/>
            <w:noWrap/>
            <w:vAlign w:val="bottom"/>
            <w:hideMark/>
          </w:tcPr>
          <w:p w14:paraId="04D55CEF" w14:textId="293461D7" w:rsidR="00905DAD" w:rsidRPr="00905DAD" w:rsidRDefault="00905DAD" w:rsidP="000548A3">
            <w:pPr>
              <w:pStyle w:val="Body"/>
              <w:spacing w:after="0"/>
              <w:rPr>
                <w:rFonts w:ascii="Arial" w:hAnsi="Arial" w:cs="Arial"/>
                <w:lang w:val="en-IN"/>
              </w:rPr>
            </w:pPr>
            <w:r w:rsidRPr="00905DAD">
              <w:rPr>
                <w:rFonts w:ascii="Arial" w:hAnsi="Arial" w:cs="Arial"/>
                <w:lang w:val="en-IN"/>
              </w:rPr>
              <w:t>0.596</w:t>
            </w:r>
          </w:p>
        </w:tc>
      </w:tr>
      <w:tr w:rsidR="00905DAD" w:rsidRPr="00905DAD" w14:paraId="29CA99B6" w14:textId="77777777" w:rsidTr="000548A3">
        <w:trPr>
          <w:trHeight w:val="290"/>
          <w:jc w:val="center"/>
        </w:trPr>
        <w:tc>
          <w:tcPr>
            <w:tcW w:w="0" w:type="auto"/>
            <w:tcBorders>
              <w:bottom w:val="single" w:sz="12" w:space="0" w:color="auto"/>
            </w:tcBorders>
            <w:noWrap/>
            <w:vAlign w:val="bottom"/>
            <w:hideMark/>
          </w:tcPr>
          <w:p w14:paraId="25961691"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 </w:t>
            </w:r>
          </w:p>
        </w:tc>
        <w:tc>
          <w:tcPr>
            <w:tcW w:w="0" w:type="auto"/>
            <w:gridSpan w:val="2"/>
            <w:tcBorders>
              <w:bottom w:val="single" w:sz="12" w:space="0" w:color="auto"/>
            </w:tcBorders>
            <w:noWrap/>
            <w:vAlign w:val="bottom"/>
            <w:hideMark/>
          </w:tcPr>
          <w:p w14:paraId="09EC7E83" w14:textId="77777777" w:rsidR="00905DAD" w:rsidRPr="00905DAD" w:rsidRDefault="00905DAD" w:rsidP="000548A3">
            <w:pPr>
              <w:pStyle w:val="Body"/>
              <w:spacing w:after="0"/>
              <w:rPr>
                <w:rFonts w:ascii="Arial" w:hAnsi="Arial" w:cs="Arial"/>
                <w:lang w:val="en-IN"/>
              </w:rPr>
            </w:pPr>
            <w:r w:rsidRPr="00905DAD">
              <w:rPr>
                <w:rFonts w:ascii="Arial" w:hAnsi="Arial" w:cs="Arial"/>
                <w:lang w:val="en-IN"/>
              </w:rPr>
              <w:t>Wald chi2(6) = 246.4</w:t>
            </w:r>
          </w:p>
        </w:tc>
        <w:tc>
          <w:tcPr>
            <w:tcW w:w="0" w:type="auto"/>
            <w:gridSpan w:val="2"/>
            <w:tcBorders>
              <w:bottom w:val="single" w:sz="12" w:space="0" w:color="auto"/>
            </w:tcBorders>
            <w:noWrap/>
            <w:vAlign w:val="bottom"/>
            <w:hideMark/>
          </w:tcPr>
          <w:p w14:paraId="50BE2627" w14:textId="77777777" w:rsidR="00905DAD" w:rsidRPr="00905DAD" w:rsidRDefault="00905DAD" w:rsidP="000548A3">
            <w:pPr>
              <w:pStyle w:val="Body"/>
              <w:spacing w:after="0"/>
              <w:rPr>
                <w:rFonts w:ascii="Arial" w:hAnsi="Arial" w:cs="Arial"/>
                <w:lang w:val="en-IN"/>
              </w:rPr>
            </w:pPr>
            <w:proofErr w:type="gramStart"/>
            <w:r w:rsidRPr="00905DAD">
              <w:rPr>
                <w:rFonts w:ascii="Arial" w:hAnsi="Arial" w:cs="Arial"/>
                <w:lang w:val="en-IN"/>
              </w:rPr>
              <w:t>F(</w:t>
            </w:r>
            <w:proofErr w:type="gramEnd"/>
            <w:r w:rsidRPr="00905DAD">
              <w:rPr>
                <w:rFonts w:ascii="Arial" w:hAnsi="Arial" w:cs="Arial"/>
                <w:lang w:val="en-IN"/>
              </w:rPr>
              <w:t>6,154) = 33.68</w:t>
            </w:r>
          </w:p>
        </w:tc>
      </w:tr>
    </w:tbl>
    <w:p w14:paraId="429F976B" w14:textId="77777777" w:rsidR="002F5301" w:rsidRPr="002F5301" w:rsidRDefault="002F5301" w:rsidP="002F5301">
      <w:pPr>
        <w:pStyle w:val="Body"/>
        <w:spacing w:after="0"/>
        <w:jc w:val="center"/>
        <w:rPr>
          <w:rFonts w:ascii="Arial" w:hAnsi="Arial" w:cs="Arial"/>
          <w:i/>
          <w:iCs/>
          <w:lang w:val="en-IN"/>
        </w:rPr>
      </w:pPr>
      <w:r w:rsidRPr="002F5301">
        <w:rPr>
          <w:rFonts w:ascii="Arial" w:hAnsi="Arial" w:cs="Arial"/>
          <w:i/>
          <w:iCs/>
          <w:shd w:val="clear" w:color="auto" w:fill="FFFFFF"/>
        </w:rPr>
        <w:t>Note: *p &lt; 0.01, **p &lt; 0.05 and ***p &lt; 0.10</w:t>
      </w:r>
    </w:p>
    <w:p w14:paraId="5C77920A" w14:textId="77777777" w:rsidR="00905DAD" w:rsidRDefault="00905DAD" w:rsidP="000548A3">
      <w:pPr>
        <w:pStyle w:val="Body"/>
        <w:spacing w:after="0"/>
        <w:jc w:val="center"/>
        <w:rPr>
          <w:rFonts w:ascii="Arial" w:hAnsi="Arial" w:cs="Arial"/>
          <w:i/>
          <w:iCs/>
          <w:lang w:val="en-IN"/>
        </w:rPr>
      </w:pPr>
      <w:r w:rsidRPr="00905DAD">
        <w:rPr>
          <w:rFonts w:ascii="Arial" w:hAnsi="Arial" w:cs="Arial"/>
          <w:i/>
          <w:iCs/>
          <w:lang w:val="en-IN"/>
        </w:rPr>
        <w:t>Source: Computed by the author</w:t>
      </w:r>
    </w:p>
    <w:p w14:paraId="3FA4A035" w14:textId="77777777" w:rsidR="000548A3" w:rsidRPr="00905DAD" w:rsidRDefault="000548A3" w:rsidP="00905DAD">
      <w:pPr>
        <w:pStyle w:val="Body"/>
        <w:spacing w:after="0"/>
        <w:rPr>
          <w:rFonts w:ascii="Arial" w:hAnsi="Arial" w:cs="Arial"/>
          <w:i/>
          <w:iCs/>
          <w:lang w:val="en-IN"/>
        </w:rPr>
      </w:pPr>
    </w:p>
    <w:p w14:paraId="6008C130" w14:textId="4B71F2F5" w:rsidR="00905DAD" w:rsidRDefault="00BD7FAB" w:rsidP="004F3591">
      <w:pPr>
        <w:pStyle w:val="Body"/>
        <w:spacing w:after="0"/>
        <w:rPr>
          <w:rFonts w:ascii="Arial" w:hAnsi="Arial" w:cs="Arial"/>
          <w:lang w:val="en-IN"/>
        </w:rPr>
      </w:pPr>
      <w:r w:rsidRPr="00905DAD">
        <w:rPr>
          <w:rFonts w:ascii="Arial" w:hAnsi="Arial" w:cs="Arial"/>
          <w:lang w:val="en-IN"/>
        </w:rPr>
        <w:t xml:space="preserve">The overall R-squared values of 0.609 (RE) and 0.596 (FE) </w:t>
      </w:r>
      <w:r>
        <w:rPr>
          <w:rFonts w:ascii="Arial" w:hAnsi="Arial" w:cs="Arial"/>
          <w:lang w:val="en-IN"/>
        </w:rPr>
        <w:t>indicate</w:t>
      </w:r>
      <w:r w:rsidRPr="00905DAD">
        <w:rPr>
          <w:rFonts w:ascii="Arial" w:hAnsi="Arial" w:cs="Arial"/>
          <w:lang w:val="en-IN"/>
        </w:rPr>
        <w:t xml:space="preserve"> that approximately 60% of the ROE variation is explained by the model.</w:t>
      </w:r>
      <w:r w:rsidR="00905DAD" w:rsidRPr="00905DAD">
        <w:rPr>
          <w:rFonts w:ascii="Arial" w:hAnsi="Arial" w:cs="Arial"/>
          <w:lang w:val="en-IN"/>
        </w:rPr>
        <w:t xml:space="preserve"> In both models, merger has a significant positive effect (RE: 2.793, </w:t>
      </w:r>
      <w:r w:rsidR="00656183" w:rsidRPr="00656183">
        <w:rPr>
          <w:rFonts w:ascii="Arial" w:hAnsi="Arial" w:cs="Arial"/>
          <w:i/>
          <w:iCs/>
          <w:lang w:val="en-IN"/>
        </w:rPr>
        <w:t xml:space="preserve">P = </w:t>
      </w:r>
      <w:r w:rsidR="00905DAD" w:rsidRPr="00CF7A77">
        <w:rPr>
          <w:rFonts w:ascii="Arial" w:hAnsi="Arial" w:cs="Arial"/>
          <w:i/>
          <w:iCs/>
          <w:lang w:val="en-IN"/>
        </w:rPr>
        <w:t>0.013</w:t>
      </w:r>
      <w:r w:rsidR="00905DAD" w:rsidRPr="00905DAD">
        <w:rPr>
          <w:rFonts w:ascii="Arial" w:hAnsi="Arial" w:cs="Arial"/>
          <w:lang w:val="en-IN"/>
        </w:rPr>
        <w:t xml:space="preserve">; FE: 3.289, </w:t>
      </w:r>
      <w:r w:rsidR="00656183" w:rsidRPr="00656183">
        <w:rPr>
          <w:rFonts w:ascii="Arial" w:hAnsi="Arial" w:cs="Arial"/>
          <w:i/>
          <w:iCs/>
          <w:lang w:val="en-IN"/>
        </w:rPr>
        <w:t xml:space="preserve">P = </w:t>
      </w:r>
      <w:r w:rsidR="00905DAD" w:rsidRPr="00CF7A77">
        <w:rPr>
          <w:rFonts w:ascii="Arial" w:hAnsi="Arial" w:cs="Arial"/>
          <w:i/>
          <w:iCs/>
          <w:lang w:val="en-IN"/>
        </w:rPr>
        <w:t>0.006</w:t>
      </w:r>
      <w:r w:rsidR="00905DAD" w:rsidRPr="00905DAD">
        <w:rPr>
          <w:rFonts w:ascii="Arial" w:hAnsi="Arial" w:cs="Arial"/>
          <w:lang w:val="en-IN"/>
        </w:rPr>
        <w:t xml:space="preserve">), suggesting mergers increase ROE, with a stronger effect in the FE model. CAR is also positive and significant (RE: 1.118, </w:t>
      </w:r>
      <w:r w:rsidR="00656183" w:rsidRPr="00656183">
        <w:rPr>
          <w:rFonts w:ascii="Arial" w:hAnsi="Arial" w:cs="Arial"/>
          <w:i/>
          <w:iCs/>
          <w:lang w:val="en-IN"/>
        </w:rPr>
        <w:t xml:space="preserve">P = </w:t>
      </w:r>
      <w:r w:rsidR="00905DAD" w:rsidRPr="00CF7A77">
        <w:rPr>
          <w:rFonts w:ascii="Arial" w:hAnsi="Arial" w:cs="Arial"/>
          <w:i/>
          <w:iCs/>
          <w:lang w:val="en-IN"/>
        </w:rPr>
        <w:t>.006</w:t>
      </w:r>
      <w:r w:rsidR="00905DAD" w:rsidRPr="00905DAD">
        <w:rPr>
          <w:rFonts w:ascii="Arial" w:hAnsi="Arial" w:cs="Arial"/>
          <w:lang w:val="en-IN"/>
        </w:rPr>
        <w:t xml:space="preserve">; FE: 0.839, </w:t>
      </w:r>
      <w:r w:rsidR="00656183" w:rsidRPr="00656183">
        <w:rPr>
          <w:rFonts w:ascii="Arial" w:hAnsi="Arial" w:cs="Arial"/>
          <w:i/>
          <w:iCs/>
          <w:lang w:val="en-IN"/>
        </w:rPr>
        <w:t xml:space="preserve">P = </w:t>
      </w:r>
      <w:r w:rsidR="00905DAD" w:rsidRPr="00CF7A77">
        <w:rPr>
          <w:rFonts w:ascii="Arial" w:hAnsi="Arial" w:cs="Arial"/>
          <w:i/>
          <w:iCs/>
          <w:lang w:val="en-IN"/>
        </w:rPr>
        <w:t>.049</w:t>
      </w:r>
      <w:r w:rsidR="00905DAD" w:rsidRPr="00905DAD">
        <w:rPr>
          <w:rFonts w:ascii="Arial" w:hAnsi="Arial" w:cs="Arial"/>
          <w:lang w:val="en-IN"/>
        </w:rPr>
        <w:t xml:space="preserve">), indicating </w:t>
      </w:r>
      <w:r w:rsidR="00C849F2">
        <w:rPr>
          <w:rFonts w:ascii="Arial" w:hAnsi="Arial" w:cs="Arial"/>
          <w:lang w:val="en-IN"/>
        </w:rPr>
        <w:t xml:space="preserve">that </w:t>
      </w:r>
      <w:r w:rsidR="00905DAD" w:rsidRPr="00905DAD">
        <w:rPr>
          <w:rFonts w:ascii="Arial" w:hAnsi="Arial" w:cs="Arial"/>
          <w:lang w:val="en-IN"/>
        </w:rPr>
        <w:t>higher capital adequacy enhances ROE. GNPA (RE: -1.05</w:t>
      </w:r>
      <w:r w:rsidR="00CF7A77">
        <w:rPr>
          <w:rFonts w:ascii="Arial" w:hAnsi="Arial" w:cs="Arial"/>
          <w:lang w:val="en-IN"/>
        </w:rPr>
        <w:t>2</w:t>
      </w:r>
      <w:r w:rsidR="00905DAD" w:rsidRPr="00905DAD">
        <w:rPr>
          <w:rFonts w:ascii="Arial" w:hAnsi="Arial" w:cs="Arial"/>
          <w:lang w:val="en-IN"/>
        </w:rPr>
        <w:t xml:space="preserve">, </w:t>
      </w:r>
      <w:r w:rsidR="00656183" w:rsidRPr="00656183">
        <w:rPr>
          <w:rFonts w:ascii="Arial" w:hAnsi="Arial" w:cs="Arial"/>
          <w:i/>
          <w:iCs/>
          <w:lang w:val="en-IN"/>
        </w:rPr>
        <w:t xml:space="preserve">P </w:t>
      </w:r>
      <w:r w:rsidR="00656183" w:rsidRPr="00CF7A77">
        <w:rPr>
          <w:rFonts w:ascii="Arial" w:hAnsi="Arial" w:cs="Arial"/>
          <w:i/>
          <w:iCs/>
          <w:lang w:val="en-IN"/>
        </w:rPr>
        <w:t xml:space="preserve">= </w:t>
      </w:r>
      <w:r w:rsidR="00905DAD" w:rsidRPr="00CF7A77">
        <w:rPr>
          <w:rFonts w:ascii="Arial" w:hAnsi="Arial" w:cs="Arial"/>
          <w:i/>
          <w:iCs/>
          <w:lang w:val="en-IN"/>
        </w:rPr>
        <w:t>.00</w:t>
      </w:r>
      <w:r w:rsidR="000548A3" w:rsidRPr="00CF7A77">
        <w:rPr>
          <w:rFonts w:ascii="Arial" w:hAnsi="Arial" w:cs="Arial"/>
          <w:i/>
          <w:iCs/>
          <w:lang w:val="en-IN"/>
        </w:rPr>
        <w:t>1</w:t>
      </w:r>
      <w:r w:rsidR="00905DAD" w:rsidRPr="00905DAD">
        <w:rPr>
          <w:rFonts w:ascii="Arial" w:hAnsi="Arial" w:cs="Arial"/>
          <w:lang w:val="en-IN"/>
        </w:rPr>
        <w:t xml:space="preserve">; FE: -1.147, </w:t>
      </w:r>
      <w:r w:rsidR="00656183" w:rsidRPr="00656183">
        <w:rPr>
          <w:rFonts w:ascii="Arial" w:hAnsi="Arial" w:cs="Arial"/>
          <w:i/>
          <w:iCs/>
          <w:lang w:val="en-IN"/>
        </w:rPr>
        <w:t xml:space="preserve">P </w:t>
      </w:r>
      <w:r w:rsidR="00656183" w:rsidRPr="00CF7A77">
        <w:rPr>
          <w:rFonts w:ascii="Arial" w:hAnsi="Arial" w:cs="Arial"/>
          <w:i/>
          <w:iCs/>
          <w:lang w:val="en-IN"/>
        </w:rPr>
        <w:t xml:space="preserve">= </w:t>
      </w:r>
      <w:r w:rsidR="00905DAD" w:rsidRPr="00CF7A77">
        <w:rPr>
          <w:rFonts w:ascii="Arial" w:hAnsi="Arial" w:cs="Arial"/>
          <w:i/>
          <w:iCs/>
          <w:lang w:val="en-IN"/>
        </w:rPr>
        <w:t>.001</w:t>
      </w:r>
      <w:r w:rsidR="00905DAD" w:rsidRPr="00905DAD">
        <w:rPr>
          <w:rFonts w:ascii="Arial" w:hAnsi="Arial" w:cs="Arial"/>
          <w:lang w:val="en-IN"/>
        </w:rPr>
        <w:t>) and CI (RE: -0.43</w:t>
      </w:r>
      <w:r w:rsidR="00CF7A77">
        <w:rPr>
          <w:rFonts w:ascii="Arial" w:hAnsi="Arial" w:cs="Arial"/>
          <w:lang w:val="en-IN"/>
        </w:rPr>
        <w:t>2</w:t>
      </w:r>
      <w:r w:rsidR="00905DAD" w:rsidRPr="00905DAD">
        <w:rPr>
          <w:rFonts w:ascii="Arial" w:hAnsi="Arial" w:cs="Arial"/>
          <w:lang w:val="en-IN"/>
        </w:rPr>
        <w:t xml:space="preserve">, </w:t>
      </w:r>
      <w:r w:rsidR="00656183" w:rsidRPr="00656183">
        <w:rPr>
          <w:rFonts w:ascii="Arial" w:hAnsi="Arial" w:cs="Arial"/>
          <w:i/>
          <w:iCs/>
          <w:lang w:val="en-IN"/>
        </w:rPr>
        <w:t xml:space="preserve">P </w:t>
      </w:r>
      <w:r w:rsidR="00656183" w:rsidRPr="00CF7A77">
        <w:rPr>
          <w:rFonts w:ascii="Arial" w:hAnsi="Arial" w:cs="Arial"/>
          <w:i/>
          <w:iCs/>
          <w:lang w:val="en-IN"/>
        </w:rPr>
        <w:t xml:space="preserve">= </w:t>
      </w:r>
      <w:r w:rsidR="00905DAD" w:rsidRPr="00CF7A77">
        <w:rPr>
          <w:rFonts w:ascii="Arial" w:hAnsi="Arial" w:cs="Arial"/>
          <w:i/>
          <w:iCs/>
          <w:lang w:val="en-IN"/>
        </w:rPr>
        <w:t>.001</w:t>
      </w:r>
      <w:r w:rsidR="00905DAD" w:rsidRPr="00905DAD">
        <w:rPr>
          <w:rFonts w:ascii="Arial" w:hAnsi="Arial" w:cs="Arial"/>
          <w:lang w:val="en-IN"/>
        </w:rPr>
        <w:t>; FE: -0.50</w:t>
      </w:r>
      <w:r w:rsidR="00CF7A77">
        <w:rPr>
          <w:rFonts w:ascii="Arial" w:hAnsi="Arial" w:cs="Arial"/>
          <w:lang w:val="en-IN"/>
        </w:rPr>
        <w:t>8</w:t>
      </w:r>
      <w:r w:rsidR="00905DAD" w:rsidRPr="00905DAD">
        <w:rPr>
          <w:rFonts w:ascii="Arial" w:hAnsi="Arial" w:cs="Arial"/>
          <w:lang w:val="en-IN"/>
        </w:rPr>
        <w:t xml:space="preserve">, </w:t>
      </w:r>
      <w:r w:rsidR="00656183" w:rsidRPr="00656183">
        <w:rPr>
          <w:rFonts w:ascii="Arial" w:hAnsi="Arial" w:cs="Arial"/>
          <w:i/>
          <w:iCs/>
          <w:lang w:val="en-IN"/>
        </w:rPr>
        <w:t xml:space="preserve">P </w:t>
      </w:r>
      <w:r w:rsidR="00656183" w:rsidRPr="00CF7A77">
        <w:rPr>
          <w:rFonts w:ascii="Arial" w:hAnsi="Arial" w:cs="Arial"/>
          <w:i/>
          <w:iCs/>
          <w:lang w:val="en-IN"/>
        </w:rPr>
        <w:t xml:space="preserve">= </w:t>
      </w:r>
      <w:r w:rsidR="00905DAD" w:rsidRPr="00CF7A77">
        <w:rPr>
          <w:rFonts w:ascii="Arial" w:hAnsi="Arial" w:cs="Arial"/>
          <w:i/>
          <w:iCs/>
          <w:lang w:val="en-IN"/>
        </w:rPr>
        <w:t>.001</w:t>
      </w:r>
      <w:r w:rsidR="00905DAD" w:rsidRPr="00905DAD">
        <w:rPr>
          <w:rFonts w:ascii="Arial" w:hAnsi="Arial" w:cs="Arial"/>
          <w:lang w:val="en-IN"/>
        </w:rPr>
        <w:t xml:space="preserve">) are significant and negative in both models, showing that higher non-performing assets and cost-to-income ratios reduce ROE, with stronger effects in the FE model. </w:t>
      </w:r>
      <w:r w:rsidR="003A47BA" w:rsidRPr="00905DAD">
        <w:rPr>
          <w:rFonts w:ascii="Arial" w:hAnsi="Arial" w:cs="Arial"/>
          <w:lang w:val="en-IN"/>
        </w:rPr>
        <w:t xml:space="preserve">DE is insignificant in the RE model (-0.0856, </w:t>
      </w:r>
      <w:r w:rsidR="00656183" w:rsidRPr="00656183">
        <w:rPr>
          <w:rFonts w:ascii="Arial" w:hAnsi="Arial" w:cs="Arial"/>
          <w:i/>
          <w:iCs/>
          <w:lang w:val="en-IN"/>
        </w:rPr>
        <w:t xml:space="preserve">P = </w:t>
      </w:r>
      <w:r w:rsidR="003A47BA" w:rsidRPr="00CF7A77">
        <w:rPr>
          <w:rFonts w:ascii="Arial" w:hAnsi="Arial" w:cs="Arial"/>
          <w:i/>
          <w:iCs/>
          <w:lang w:val="en-IN"/>
        </w:rPr>
        <w:t>.665</w:t>
      </w:r>
      <w:r w:rsidR="003A47BA" w:rsidRPr="00905DAD">
        <w:rPr>
          <w:rFonts w:ascii="Arial" w:hAnsi="Arial" w:cs="Arial"/>
          <w:lang w:val="en-IN"/>
        </w:rPr>
        <w:t>) but marginally significant and negative in the FE model (-0.53</w:t>
      </w:r>
      <w:r w:rsidR="00CF7A77">
        <w:rPr>
          <w:rFonts w:ascii="Arial" w:hAnsi="Arial" w:cs="Arial"/>
          <w:lang w:val="en-IN"/>
        </w:rPr>
        <w:t>3</w:t>
      </w:r>
      <w:r w:rsidR="003A47BA" w:rsidRPr="00905DAD">
        <w:rPr>
          <w:rFonts w:ascii="Arial" w:hAnsi="Arial" w:cs="Arial"/>
          <w:lang w:val="en-IN"/>
        </w:rPr>
        <w:t xml:space="preserve">, </w:t>
      </w:r>
      <w:r w:rsidR="00656183" w:rsidRPr="00656183">
        <w:rPr>
          <w:rFonts w:ascii="Arial" w:hAnsi="Arial" w:cs="Arial"/>
          <w:i/>
          <w:iCs/>
          <w:lang w:val="en-IN"/>
        </w:rPr>
        <w:t xml:space="preserve">P </w:t>
      </w:r>
      <w:r w:rsidR="00656183" w:rsidRPr="00CF7A77">
        <w:rPr>
          <w:rFonts w:ascii="Arial" w:hAnsi="Arial" w:cs="Arial"/>
          <w:i/>
          <w:iCs/>
          <w:lang w:val="en-IN"/>
        </w:rPr>
        <w:t xml:space="preserve">= </w:t>
      </w:r>
      <w:r w:rsidR="003A47BA" w:rsidRPr="00CF7A77">
        <w:rPr>
          <w:rFonts w:ascii="Arial" w:hAnsi="Arial" w:cs="Arial"/>
          <w:i/>
          <w:iCs/>
          <w:lang w:val="en-IN"/>
        </w:rPr>
        <w:t>.050</w:t>
      </w:r>
      <w:r w:rsidR="003A47BA" w:rsidRPr="00905DAD">
        <w:rPr>
          <w:rFonts w:ascii="Arial" w:hAnsi="Arial" w:cs="Arial"/>
          <w:lang w:val="en-IN"/>
        </w:rPr>
        <w:t>), suggesting that leverage may reduce ROE in the FE framework.</w:t>
      </w:r>
      <w:r w:rsidR="00905DAD" w:rsidRPr="00905DAD">
        <w:rPr>
          <w:rFonts w:ascii="Arial" w:hAnsi="Arial" w:cs="Arial"/>
          <w:lang w:val="en-IN"/>
        </w:rPr>
        <w:t xml:space="preserve"> CTA is insignificant in both models (RE: -0.494, </w:t>
      </w:r>
      <w:r w:rsidR="00656183" w:rsidRPr="00656183">
        <w:rPr>
          <w:rFonts w:ascii="Arial" w:hAnsi="Arial" w:cs="Arial"/>
          <w:i/>
          <w:iCs/>
          <w:lang w:val="en-IN"/>
        </w:rPr>
        <w:t xml:space="preserve">P = </w:t>
      </w:r>
      <w:r w:rsidR="00905DAD" w:rsidRPr="00CF7A77">
        <w:rPr>
          <w:rFonts w:ascii="Arial" w:hAnsi="Arial" w:cs="Arial"/>
          <w:i/>
          <w:iCs/>
          <w:lang w:val="en-IN"/>
        </w:rPr>
        <w:t>.387</w:t>
      </w:r>
      <w:r w:rsidR="00905DAD" w:rsidRPr="00905DAD">
        <w:rPr>
          <w:rFonts w:ascii="Arial" w:hAnsi="Arial" w:cs="Arial"/>
          <w:lang w:val="en-IN"/>
        </w:rPr>
        <w:t>; FE: -0.73</w:t>
      </w:r>
      <w:r w:rsidR="00CF7A77">
        <w:rPr>
          <w:rFonts w:ascii="Arial" w:hAnsi="Arial" w:cs="Arial"/>
          <w:lang w:val="en-IN"/>
        </w:rPr>
        <w:t>8</w:t>
      </w:r>
      <w:r w:rsidR="00905DAD" w:rsidRPr="00905DAD">
        <w:rPr>
          <w:rFonts w:ascii="Arial" w:hAnsi="Arial" w:cs="Arial"/>
          <w:lang w:val="en-IN"/>
        </w:rPr>
        <w:t xml:space="preserve">, </w:t>
      </w:r>
      <w:r w:rsidR="00656183" w:rsidRPr="00656183">
        <w:rPr>
          <w:rFonts w:ascii="Arial" w:hAnsi="Arial" w:cs="Arial"/>
          <w:i/>
          <w:iCs/>
          <w:lang w:val="en-IN"/>
        </w:rPr>
        <w:t xml:space="preserve">P </w:t>
      </w:r>
      <w:r w:rsidR="00656183" w:rsidRPr="00CF7A77">
        <w:rPr>
          <w:rFonts w:ascii="Arial" w:hAnsi="Arial" w:cs="Arial"/>
          <w:i/>
          <w:iCs/>
          <w:lang w:val="en-IN"/>
        </w:rPr>
        <w:t xml:space="preserve">= </w:t>
      </w:r>
      <w:r w:rsidR="00905DAD" w:rsidRPr="00CF7A77">
        <w:rPr>
          <w:rFonts w:ascii="Arial" w:hAnsi="Arial" w:cs="Arial"/>
          <w:i/>
          <w:iCs/>
          <w:lang w:val="en-IN"/>
        </w:rPr>
        <w:t>.230</w:t>
      </w:r>
      <w:r w:rsidR="00905DAD" w:rsidRPr="00905DAD">
        <w:rPr>
          <w:rFonts w:ascii="Arial" w:hAnsi="Arial" w:cs="Arial"/>
          <w:lang w:val="en-IN"/>
        </w:rPr>
        <w:t xml:space="preserve">). </w:t>
      </w:r>
      <w:r w:rsidR="003A47BA" w:rsidRPr="00905DAD">
        <w:rPr>
          <w:rFonts w:ascii="Arial" w:hAnsi="Arial" w:cs="Arial"/>
          <w:lang w:val="en-IN"/>
        </w:rPr>
        <w:t>The constant term is notably larger in the FE model (37.325 vs. 21.618 in RE), reflecting the bank-specific effects.</w:t>
      </w:r>
      <w:r w:rsidR="00905DAD" w:rsidRPr="00905DAD">
        <w:rPr>
          <w:rFonts w:ascii="Arial" w:hAnsi="Arial" w:cs="Arial"/>
          <w:lang w:val="en-IN"/>
        </w:rPr>
        <w:t xml:space="preserve"> </w:t>
      </w:r>
      <w:r w:rsidR="003A47BA" w:rsidRPr="00905DAD">
        <w:rPr>
          <w:rFonts w:ascii="Arial" w:hAnsi="Arial" w:cs="Arial"/>
          <w:lang w:val="en-IN"/>
        </w:rPr>
        <w:t xml:space="preserve">The RE model’s Wald chi-square (246.4) and </w:t>
      </w:r>
      <w:r w:rsidR="003A47BA">
        <w:rPr>
          <w:rFonts w:ascii="Arial" w:hAnsi="Arial" w:cs="Arial"/>
          <w:lang w:val="en-IN"/>
        </w:rPr>
        <w:t xml:space="preserve">the </w:t>
      </w:r>
      <w:r w:rsidR="003A47BA" w:rsidRPr="00905DAD">
        <w:rPr>
          <w:rFonts w:ascii="Arial" w:hAnsi="Arial" w:cs="Arial"/>
          <w:lang w:val="en-IN"/>
        </w:rPr>
        <w:t>FE model’s F-statistic (33.68) confirm the strong model significance.</w:t>
      </w:r>
      <w:r w:rsidR="004F3591">
        <w:rPr>
          <w:rFonts w:ascii="Arial" w:hAnsi="Arial" w:cs="Arial"/>
          <w:lang w:val="en-IN"/>
        </w:rPr>
        <w:t xml:space="preserve"> </w:t>
      </w:r>
      <w:r w:rsidR="003A47BA" w:rsidRPr="00905DAD">
        <w:rPr>
          <w:rFonts w:ascii="Arial" w:hAnsi="Arial" w:cs="Arial"/>
          <w:lang w:val="en-IN"/>
        </w:rPr>
        <w:t>The Hausman test for the ROE regression indicates that the differences in coefficients between the FE and RE models were not systematic.</w:t>
      </w:r>
      <w:r w:rsidR="00905DAD" w:rsidRPr="00905DAD">
        <w:rPr>
          <w:rFonts w:ascii="Arial" w:hAnsi="Arial" w:cs="Arial"/>
          <w:lang w:val="en-IN"/>
        </w:rPr>
        <w:t xml:space="preserve"> Therefore, the RE model is preferred as it is both consistent and efficient under these conditions.</w:t>
      </w:r>
    </w:p>
    <w:p w14:paraId="42F74510" w14:textId="77777777" w:rsidR="000548A3" w:rsidRPr="00905DAD" w:rsidRDefault="000548A3" w:rsidP="00905DAD">
      <w:pPr>
        <w:pStyle w:val="Body"/>
        <w:spacing w:after="0"/>
        <w:rPr>
          <w:rFonts w:ascii="Arial" w:hAnsi="Arial" w:cs="Arial"/>
          <w:lang w:val="en-IN"/>
        </w:rPr>
      </w:pPr>
    </w:p>
    <w:p w14:paraId="4AE82DF9" w14:textId="77777777" w:rsidR="00905DAD" w:rsidRDefault="00905DAD" w:rsidP="000548A3">
      <w:pPr>
        <w:pStyle w:val="Body"/>
        <w:spacing w:after="0"/>
        <w:rPr>
          <w:rFonts w:ascii="Arial" w:hAnsi="Arial" w:cs="Arial"/>
          <w:b/>
          <w:bCs/>
          <w:lang w:val="en-IN"/>
        </w:rPr>
      </w:pPr>
      <w:r w:rsidRPr="00905DAD">
        <w:rPr>
          <w:rFonts w:ascii="Arial" w:hAnsi="Arial" w:cs="Arial"/>
          <w:b/>
          <w:bCs/>
          <w:lang w:val="en-IN"/>
        </w:rPr>
        <w:t>5. CONCLUSION</w:t>
      </w:r>
    </w:p>
    <w:p w14:paraId="08EEB346" w14:textId="77777777" w:rsidR="000548A3" w:rsidRPr="00905DAD" w:rsidRDefault="000548A3" w:rsidP="000548A3">
      <w:pPr>
        <w:pStyle w:val="Body"/>
        <w:spacing w:after="0"/>
        <w:rPr>
          <w:rFonts w:ascii="Arial" w:hAnsi="Arial" w:cs="Arial"/>
          <w:b/>
          <w:bCs/>
          <w:lang w:val="en-IN"/>
        </w:rPr>
      </w:pPr>
    </w:p>
    <w:p w14:paraId="483873A3" w14:textId="2F7745B3" w:rsidR="00905DAD" w:rsidRDefault="00905DAD" w:rsidP="00905DAD">
      <w:pPr>
        <w:pStyle w:val="Body"/>
        <w:spacing w:after="0"/>
        <w:rPr>
          <w:rFonts w:ascii="Arial" w:hAnsi="Arial" w:cs="Arial"/>
          <w:lang w:val="en-IN"/>
        </w:rPr>
      </w:pPr>
      <w:r w:rsidRPr="00905DAD">
        <w:rPr>
          <w:rFonts w:ascii="Arial" w:hAnsi="Arial" w:cs="Arial"/>
          <w:lang w:val="en-IN"/>
        </w:rPr>
        <w:t xml:space="preserve">The analysis demonstrates that mergers significantly improve banks’ financial performance by enhancing NIM, ROA, and ROE, underscoring the strategic value of consolidation in the banking sector. However, the findings also highlight the persistent challenges of high non-performing assets and operational inefficiencies, which consistently erode profitability. </w:t>
      </w:r>
      <w:r w:rsidR="003A47BA" w:rsidRPr="00905DAD">
        <w:rPr>
          <w:rFonts w:ascii="Arial" w:hAnsi="Arial" w:cs="Arial"/>
          <w:lang w:val="en-IN"/>
        </w:rPr>
        <w:t>Capital adequacy is a crucial driver of asset and equity returns, reinforcing the role of prudent capital management.</w:t>
      </w:r>
      <w:r w:rsidRPr="00905DAD">
        <w:rPr>
          <w:rFonts w:ascii="Arial" w:hAnsi="Arial" w:cs="Arial"/>
          <w:lang w:val="en-IN"/>
        </w:rPr>
        <w:t xml:space="preserve"> Meanwhile, leverage (DE) presents risks to profitability in certain contexts, suggesting the need for balanced financing structures. </w:t>
      </w:r>
      <w:r w:rsidR="00BD7FAB" w:rsidRPr="00905DAD">
        <w:rPr>
          <w:rFonts w:ascii="Arial" w:hAnsi="Arial" w:cs="Arial"/>
          <w:lang w:val="en-IN"/>
        </w:rPr>
        <w:t>Model selection indicates that accounting for unobserved heterogeneity is essential, as FE models provide more reliable estimates for NIM and ROA, whereas RE is more suitable for ROE.</w:t>
      </w:r>
      <w:r w:rsidRPr="00905DAD">
        <w:rPr>
          <w:rFonts w:ascii="Arial" w:hAnsi="Arial" w:cs="Arial"/>
          <w:lang w:val="en-IN"/>
        </w:rPr>
        <w:t xml:space="preserve"> </w:t>
      </w:r>
      <w:r w:rsidR="00BD7FAB" w:rsidRPr="00905DAD">
        <w:rPr>
          <w:rFonts w:ascii="Arial" w:hAnsi="Arial" w:cs="Arial"/>
          <w:lang w:val="en-IN"/>
        </w:rPr>
        <w:t>Together, these results suggest that while mergers are beneficial, their long-term performance depends critically on effective risk management and operational efficiency.</w:t>
      </w:r>
    </w:p>
    <w:p w14:paraId="140577A6" w14:textId="77777777" w:rsidR="000548A3" w:rsidRPr="00905DAD" w:rsidRDefault="000548A3" w:rsidP="00905DAD">
      <w:pPr>
        <w:pStyle w:val="Body"/>
        <w:spacing w:after="0"/>
        <w:rPr>
          <w:rFonts w:ascii="Arial" w:hAnsi="Arial" w:cs="Arial"/>
          <w:lang w:val="en-IN"/>
        </w:rPr>
      </w:pPr>
    </w:p>
    <w:p w14:paraId="38B90750" w14:textId="77777777" w:rsidR="00905DAD" w:rsidRDefault="00905DAD" w:rsidP="0075115A">
      <w:pPr>
        <w:pStyle w:val="Body"/>
        <w:spacing w:after="0"/>
        <w:rPr>
          <w:rFonts w:ascii="Arial" w:hAnsi="Arial" w:cs="Arial"/>
          <w:b/>
          <w:bCs/>
          <w:lang w:val="en-IN"/>
        </w:rPr>
      </w:pPr>
      <w:bookmarkStart w:id="3" w:name="_Hlk207606943"/>
      <w:r w:rsidRPr="00905DAD">
        <w:rPr>
          <w:rFonts w:ascii="Arial" w:hAnsi="Arial" w:cs="Arial"/>
          <w:b/>
          <w:bCs/>
          <w:lang w:val="en-IN"/>
        </w:rPr>
        <w:t>5.1. Policy Implications</w:t>
      </w:r>
    </w:p>
    <w:p w14:paraId="38CBC090" w14:textId="77777777" w:rsidR="0075115A" w:rsidRPr="00905DAD" w:rsidRDefault="0075115A" w:rsidP="0075115A">
      <w:pPr>
        <w:pStyle w:val="Body"/>
        <w:spacing w:after="0"/>
        <w:rPr>
          <w:rFonts w:ascii="Arial" w:hAnsi="Arial" w:cs="Arial"/>
          <w:b/>
          <w:bCs/>
          <w:lang w:val="en-IN"/>
        </w:rPr>
      </w:pPr>
    </w:p>
    <w:p w14:paraId="2D5A4C66" w14:textId="49AA4EC7" w:rsidR="00905DAD" w:rsidRDefault="00905DAD" w:rsidP="0075115A">
      <w:pPr>
        <w:pStyle w:val="Body"/>
        <w:numPr>
          <w:ilvl w:val="0"/>
          <w:numId w:val="39"/>
        </w:numPr>
        <w:spacing w:after="0"/>
        <w:rPr>
          <w:rFonts w:ascii="Arial" w:hAnsi="Arial" w:cs="Arial"/>
          <w:lang w:val="en-IN"/>
        </w:rPr>
      </w:pPr>
      <w:r w:rsidRPr="00905DAD">
        <w:rPr>
          <w:rFonts w:ascii="Arial" w:hAnsi="Arial" w:cs="Arial"/>
          <w:lang w:val="en-IN"/>
        </w:rPr>
        <w:t xml:space="preserve">Encouraging Strategic Mergers: Policymakers and regulators should support well-planned bank mergers, as evidence indicates that consolidation enhances profitability and operational efficiency. </w:t>
      </w:r>
      <w:r w:rsidR="00BD7FAB" w:rsidRPr="00905DAD">
        <w:rPr>
          <w:rFonts w:ascii="Arial" w:hAnsi="Arial" w:cs="Arial"/>
          <w:lang w:val="en-IN"/>
        </w:rPr>
        <w:t>However, mergers should be driven by strategic complementarities rather than by short-term objectives.</w:t>
      </w:r>
    </w:p>
    <w:p w14:paraId="69081214" w14:textId="77777777" w:rsidR="0075115A" w:rsidRPr="00905DAD" w:rsidRDefault="0075115A" w:rsidP="0075115A">
      <w:pPr>
        <w:pStyle w:val="Body"/>
        <w:spacing w:after="0"/>
        <w:ind w:left="720"/>
        <w:rPr>
          <w:rFonts w:ascii="Arial" w:hAnsi="Arial" w:cs="Arial"/>
          <w:lang w:val="en-IN"/>
        </w:rPr>
      </w:pPr>
    </w:p>
    <w:p w14:paraId="7C31B1B4" w14:textId="33B41AC7" w:rsidR="00905DAD" w:rsidRDefault="00905DAD" w:rsidP="0075115A">
      <w:pPr>
        <w:pStyle w:val="Body"/>
        <w:numPr>
          <w:ilvl w:val="0"/>
          <w:numId w:val="39"/>
        </w:numPr>
        <w:spacing w:after="0"/>
        <w:rPr>
          <w:rFonts w:ascii="Arial" w:hAnsi="Arial" w:cs="Arial"/>
          <w:lang w:val="en-IN"/>
        </w:rPr>
      </w:pPr>
      <w:r w:rsidRPr="00905DAD">
        <w:rPr>
          <w:rFonts w:ascii="Arial" w:hAnsi="Arial" w:cs="Arial"/>
          <w:lang w:val="en-IN"/>
        </w:rPr>
        <w:t xml:space="preserve">Capital Adequacy Enforcement: Since higher CAR boosts ROA and ROE, regulators should continue enforcing capital adequacy norms, ensuring </w:t>
      </w:r>
      <w:r w:rsidR="00BD7FAB">
        <w:rPr>
          <w:rFonts w:ascii="Arial" w:hAnsi="Arial" w:cs="Arial"/>
          <w:lang w:val="en-IN"/>
        </w:rPr>
        <w:t xml:space="preserve">that </w:t>
      </w:r>
      <w:r w:rsidRPr="00905DAD">
        <w:rPr>
          <w:rFonts w:ascii="Arial" w:hAnsi="Arial" w:cs="Arial"/>
          <w:lang w:val="en-IN"/>
        </w:rPr>
        <w:t>banks maintain sufficient buffers to absorb shocks while supporting growth.</w:t>
      </w:r>
    </w:p>
    <w:p w14:paraId="218DC747" w14:textId="77777777" w:rsidR="0075115A" w:rsidRPr="00905DAD" w:rsidRDefault="0075115A" w:rsidP="0075115A">
      <w:pPr>
        <w:pStyle w:val="Body"/>
        <w:spacing w:after="0"/>
        <w:ind w:left="720"/>
        <w:rPr>
          <w:rFonts w:ascii="Arial" w:hAnsi="Arial" w:cs="Arial"/>
          <w:lang w:val="en-IN"/>
        </w:rPr>
      </w:pPr>
    </w:p>
    <w:p w14:paraId="197B3FA1" w14:textId="00B11A6F" w:rsidR="00905DAD" w:rsidRDefault="00BD7FAB" w:rsidP="0075115A">
      <w:pPr>
        <w:pStyle w:val="Body"/>
        <w:numPr>
          <w:ilvl w:val="0"/>
          <w:numId w:val="39"/>
        </w:numPr>
        <w:spacing w:after="0"/>
        <w:rPr>
          <w:rFonts w:ascii="Arial" w:hAnsi="Arial" w:cs="Arial"/>
          <w:lang w:val="en-IN"/>
        </w:rPr>
      </w:pPr>
      <w:r w:rsidRPr="00905DAD">
        <w:rPr>
          <w:rFonts w:ascii="Arial" w:hAnsi="Arial" w:cs="Arial"/>
          <w:lang w:val="en-IN"/>
        </w:rPr>
        <w:t>Prudent Leverage Management: The mixed results for DE imply that an excessive reliance on debt financing may undermine profitability.</w:t>
      </w:r>
      <w:r w:rsidR="00905DAD" w:rsidRPr="00905DAD">
        <w:rPr>
          <w:rFonts w:ascii="Arial" w:hAnsi="Arial" w:cs="Arial"/>
          <w:lang w:val="en-IN"/>
        </w:rPr>
        <w:t xml:space="preserve"> </w:t>
      </w:r>
      <w:r w:rsidRPr="00905DAD">
        <w:rPr>
          <w:rFonts w:ascii="Arial" w:hAnsi="Arial" w:cs="Arial"/>
          <w:lang w:val="en-IN"/>
        </w:rPr>
        <w:t>Regulatory frameworks should encourage balanced capital structure to sustain financial stability</w:t>
      </w:r>
      <w:r w:rsidR="0075115A">
        <w:rPr>
          <w:rFonts w:ascii="Arial" w:hAnsi="Arial" w:cs="Arial"/>
          <w:lang w:val="en-IN"/>
        </w:rPr>
        <w:t>.</w:t>
      </w:r>
    </w:p>
    <w:p w14:paraId="7975BF4C" w14:textId="77777777" w:rsidR="0075115A" w:rsidRPr="00905DAD" w:rsidRDefault="0075115A" w:rsidP="0075115A">
      <w:pPr>
        <w:pStyle w:val="Body"/>
        <w:spacing w:after="0"/>
        <w:ind w:left="720"/>
        <w:rPr>
          <w:rFonts w:ascii="Arial" w:hAnsi="Arial" w:cs="Arial"/>
          <w:lang w:val="en-IN"/>
        </w:rPr>
      </w:pPr>
    </w:p>
    <w:p w14:paraId="2844B312" w14:textId="045ECDB0" w:rsidR="00905DAD" w:rsidRPr="00905DAD" w:rsidRDefault="00BD7FAB" w:rsidP="0075115A">
      <w:pPr>
        <w:pStyle w:val="Body"/>
        <w:numPr>
          <w:ilvl w:val="0"/>
          <w:numId w:val="39"/>
        </w:numPr>
        <w:spacing w:after="0"/>
        <w:rPr>
          <w:rFonts w:ascii="Arial" w:hAnsi="Arial" w:cs="Arial"/>
          <w:lang w:val="en-IN"/>
        </w:rPr>
      </w:pPr>
      <w:r w:rsidRPr="00905DAD">
        <w:rPr>
          <w:rFonts w:ascii="Arial" w:hAnsi="Arial" w:cs="Arial"/>
          <w:lang w:val="en-IN"/>
        </w:rPr>
        <w:t>Bank-Specific Risk Recognition: The differences between the FE and RE results highlight the importance of considering unobserved heterogeneity across banks.</w:t>
      </w:r>
      <w:r w:rsidR="00905DAD" w:rsidRPr="00905DAD">
        <w:rPr>
          <w:rFonts w:ascii="Arial" w:hAnsi="Arial" w:cs="Arial"/>
          <w:lang w:val="en-IN"/>
        </w:rPr>
        <w:t xml:space="preserve"> </w:t>
      </w:r>
      <w:r w:rsidRPr="00905DAD">
        <w:rPr>
          <w:rFonts w:ascii="Arial" w:hAnsi="Arial" w:cs="Arial"/>
          <w:lang w:val="en-IN"/>
        </w:rPr>
        <w:t>Regulatory oversight and bank strategies should account for institution-specific dynamics rather than adopting uniform approaches.</w:t>
      </w:r>
    </w:p>
    <w:bookmarkEnd w:id="3"/>
    <w:p w14:paraId="539CC3A2" w14:textId="77777777" w:rsidR="00860000" w:rsidRDefault="00860000" w:rsidP="00441B6F">
      <w:pPr>
        <w:pStyle w:val="ReferHead"/>
        <w:spacing w:after="0"/>
        <w:jc w:val="both"/>
        <w:rPr>
          <w:rFonts w:ascii="Arial" w:hAnsi="Arial" w:cs="Arial"/>
        </w:rPr>
      </w:pPr>
    </w:p>
    <w:p w14:paraId="7EAB9759" w14:textId="77777777" w:rsidR="00FF7AA4" w:rsidRDefault="00FF7AA4" w:rsidP="00441B6F">
      <w:pPr>
        <w:pStyle w:val="ReferHead"/>
        <w:spacing w:after="0"/>
        <w:jc w:val="both"/>
        <w:rPr>
          <w:rFonts w:ascii="Arial" w:hAnsi="Arial" w:cs="Arial"/>
        </w:rPr>
      </w:pPr>
      <w:r w:rsidRPr="00FF7AA4">
        <w:rPr>
          <w:rFonts w:ascii="Arial" w:hAnsi="Arial" w:cs="Arial"/>
        </w:rPr>
        <w:t>DISCLAIMER (ARTIFICIAL INTELLIGENCE)</w:t>
      </w:r>
    </w:p>
    <w:p w14:paraId="21A84292" w14:textId="5726DC2D" w:rsidR="00FF7AA4" w:rsidRDefault="00FF7AA4" w:rsidP="00441B6F">
      <w:pPr>
        <w:pStyle w:val="ReferHead"/>
        <w:spacing w:after="0"/>
        <w:jc w:val="both"/>
        <w:rPr>
          <w:rFonts w:ascii="Arial" w:hAnsi="Arial" w:cs="Arial"/>
          <w:b w:val="0"/>
          <w:bCs/>
          <w:caps w:val="0"/>
        </w:rPr>
      </w:pPr>
      <w:r>
        <w:rPr>
          <w:rFonts w:ascii="Arial" w:hAnsi="Arial" w:cs="Arial"/>
          <w:b w:val="0"/>
          <w:bCs/>
          <w:caps w:val="0"/>
        </w:rPr>
        <w:t>The authors hereby state that no generative artificial intelligence (AI) tools were used in this work.</w:t>
      </w:r>
    </w:p>
    <w:p w14:paraId="606C0A64" w14:textId="77777777" w:rsidR="00FF7AA4" w:rsidRDefault="00FF7AA4" w:rsidP="00441B6F">
      <w:pPr>
        <w:pStyle w:val="ReferHead"/>
        <w:spacing w:after="0"/>
        <w:jc w:val="both"/>
        <w:rPr>
          <w:rFonts w:ascii="Arial" w:hAnsi="Arial" w:cs="Arial"/>
          <w:b w:val="0"/>
          <w:bCs/>
          <w:caps w:val="0"/>
        </w:rPr>
      </w:pPr>
    </w:p>
    <w:p w14:paraId="62588336" w14:textId="77777777" w:rsidR="007C42B5" w:rsidRPr="007C42B5" w:rsidRDefault="007C42B5" w:rsidP="007C42B5">
      <w:pPr>
        <w:spacing w:after="200" w:line="276" w:lineRule="auto"/>
        <w:jc w:val="both"/>
        <w:outlineLvl w:val="0"/>
        <w:rPr>
          <w:rFonts w:ascii="Arial" w:eastAsiaTheme="minorEastAsia" w:hAnsi="Arial" w:cs="Arial"/>
          <w:sz w:val="22"/>
          <w:szCs w:val="22"/>
          <w:lang w:val="en-GB" w:eastAsia="en-GB"/>
        </w:rPr>
      </w:pPr>
      <w:r w:rsidRPr="007C42B5">
        <w:rPr>
          <w:rFonts w:ascii="Arial" w:eastAsiaTheme="minorEastAsia" w:hAnsi="Arial" w:cs="Arial"/>
          <w:b/>
          <w:bCs/>
          <w:sz w:val="22"/>
          <w:szCs w:val="22"/>
          <w:lang w:val="en-GB" w:eastAsia="en-GB"/>
        </w:rPr>
        <w:t>COMPETING INTERESTS DISCLAIMER:</w:t>
      </w:r>
    </w:p>
    <w:p w14:paraId="78AE88F1" w14:textId="77777777" w:rsidR="007C42B5" w:rsidRPr="007C42B5" w:rsidRDefault="007C42B5" w:rsidP="007C42B5">
      <w:pPr>
        <w:spacing w:after="200" w:line="276" w:lineRule="auto"/>
        <w:rPr>
          <w:rFonts w:asciiTheme="minorHAnsi" w:eastAsiaTheme="minorEastAsia" w:hAnsiTheme="minorHAnsi" w:cstheme="minorBidi"/>
          <w:sz w:val="22"/>
          <w:szCs w:val="22"/>
          <w:lang w:val="en-GB" w:eastAsia="en-GB"/>
        </w:rPr>
      </w:pPr>
      <w:r w:rsidRPr="007C42B5">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5AC8714C" w14:textId="77777777" w:rsidR="007C42B5" w:rsidRPr="007C42B5" w:rsidRDefault="007C42B5" w:rsidP="007C42B5">
      <w:pPr>
        <w:spacing w:after="200" w:line="276" w:lineRule="auto"/>
        <w:rPr>
          <w:rFonts w:asciiTheme="minorHAnsi" w:eastAsiaTheme="minorEastAsia" w:hAnsiTheme="minorHAnsi" w:cstheme="minorBidi"/>
          <w:sz w:val="22"/>
          <w:szCs w:val="22"/>
          <w:lang w:val="en-GB" w:eastAsia="en-GB"/>
        </w:rPr>
      </w:pPr>
    </w:p>
    <w:p w14:paraId="56AF523D" w14:textId="77777777" w:rsidR="007C42B5" w:rsidRPr="007C42B5" w:rsidRDefault="007C42B5" w:rsidP="007C42B5">
      <w:pPr>
        <w:spacing w:after="200" w:line="276" w:lineRule="auto"/>
        <w:rPr>
          <w:rFonts w:asciiTheme="minorHAnsi" w:eastAsiaTheme="minorEastAsia" w:hAnsiTheme="minorHAnsi" w:cstheme="minorBidi"/>
          <w:sz w:val="22"/>
          <w:szCs w:val="22"/>
          <w:lang w:val="en-GB" w:eastAsia="en-GB"/>
        </w:rPr>
      </w:pPr>
    </w:p>
    <w:p w14:paraId="3AD8CF04" w14:textId="77777777" w:rsidR="00FF7AA4" w:rsidRDefault="00FF7AA4" w:rsidP="00441B6F">
      <w:pPr>
        <w:pStyle w:val="ReferHead"/>
        <w:spacing w:after="0"/>
        <w:jc w:val="both"/>
        <w:rPr>
          <w:rFonts w:ascii="Arial" w:hAnsi="Arial" w:cs="Arial"/>
        </w:rPr>
      </w:pPr>
    </w:p>
    <w:p w14:paraId="400A122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D66C552" w14:textId="77777777" w:rsidR="00790ADA" w:rsidRPr="00FB3A86" w:rsidRDefault="00790ADA" w:rsidP="00441B6F">
      <w:pPr>
        <w:pStyle w:val="ReferHead"/>
        <w:spacing w:after="0"/>
        <w:jc w:val="both"/>
        <w:rPr>
          <w:rFonts w:ascii="Arial" w:hAnsi="Arial" w:cs="Arial"/>
        </w:rPr>
      </w:pPr>
    </w:p>
    <w:sdt>
      <w:sdtPr>
        <w:rPr>
          <w:bCs/>
          <w:lang w:val="en-IN"/>
        </w:rPr>
        <w:tag w:val="MENDELEY_BIBLIOGRAPHY"/>
        <w:id w:val="1450518520"/>
        <w:placeholder>
          <w:docPart w:val="EF40E857FDA34B6882447754EE20DAA7"/>
        </w:placeholder>
      </w:sdtPr>
      <w:sdtEndPr/>
      <w:sdtContent>
        <w:p w14:paraId="72A01CB4" w14:textId="77777777" w:rsidR="00CE5A1B" w:rsidRDefault="00CE5A1B" w:rsidP="00C73D82">
          <w:pPr>
            <w:pStyle w:val="Body"/>
            <w:spacing w:after="0"/>
            <w:rPr>
              <w:lang w:val="en-IN"/>
            </w:rPr>
          </w:pPr>
          <w:r w:rsidRPr="00CE5A1B">
            <w:rPr>
              <w:lang w:val="en-IN"/>
            </w:rPr>
            <w:t xml:space="preserve">Adhikari, P. R. (2023). Pre and Post-Merger Financial Performance Analysis of Commercial Banks in Nepal. </w:t>
          </w:r>
          <w:r w:rsidRPr="00CE5A1B">
            <w:rPr>
              <w:i/>
              <w:iCs/>
              <w:lang w:val="en-IN"/>
            </w:rPr>
            <w:t>The International Research Journal of Management Science</w:t>
          </w:r>
          <w:r w:rsidRPr="00CE5A1B">
            <w:rPr>
              <w:lang w:val="en-IN"/>
            </w:rPr>
            <w:t xml:space="preserve">, </w:t>
          </w:r>
          <w:r w:rsidRPr="00CE5A1B">
            <w:rPr>
              <w:i/>
              <w:iCs/>
              <w:lang w:val="en-IN"/>
            </w:rPr>
            <w:t>8</w:t>
          </w:r>
          <w:r w:rsidRPr="00CE5A1B">
            <w:rPr>
              <w:lang w:val="en-IN"/>
            </w:rPr>
            <w:t>(1), 2717–4867. http://www.ncm.edu.np</w:t>
          </w:r>
        </w:p>
        <w:p w14:paraId="59E7CC9A" w14:textId="77777777" w:rsidR="00C73D82" w:rsidRPr="00CE5A1B" w:rsidRDefault="00C73D82" w:rsidP="00C73D82">
          <w:pPr>
            <w:pStyle w:val="Body"/>
            <w:spacing w:after="0"/>
            <w:rPr>
              <w:lang w:val="en-IN"/>
            </w:rPr>
          </w:pPr>
        </w:p>
        <w:p w14:paraId="037A284B" w14:textId="4005A3D1" w:rsidR="00CE5A1B" w:rsidRDefault="00CE5A1B" w:rsidP="00C73D82">
          <w:pPr>
            <w:pStyle w:val="Body"/>
            <w:spacing w:after="0"/>
            <w:rPr>
              <w:lang w:val="en-IN"/>
            </w:rPr>
          </w:pPr>
          <w:r w:rsidRPr="00CE5A1B">
            <w:rPr>
              <w:lang w:val="en-IN"/>
            </w:rPr>
            <w:t>Al-</w:t>
          </w:r>
          <w:proofErr w:type="spellStart"/>
          <w:r w:rsidRPr="00CE5A1B">
            <w:rPr>
              <w:lang w:val="en-IN"/>
            </w:rPr>
            <w:t>Homaidi</w:t>
          </w:r>
          <w:proofErr w:type="spellEnd"/>
          <w:r w:rsidRPr="00CE5A1B">
            <w:rPr>
              <w:lang w:val="en-IN"/>
            </w:rPr>
            <w:t xml:space="preserve">, E. A., </w:t>
          </w:r>
          <w:proofErr w:type="spellStart"/>
          <w:r w:rsidRPr="00CE5A1B">
            <w:rPr>
              <w:lang w:val="en-IN"/>
            </w:rPr>
            <w:t>Almaqtari</w:t>
          </w:r>
          <w:proofErr w:type="spellEnd"/>
          <w:r w:rsidRPr="00CE5A1B">
            <w:rPr>
              <w:lang w:val="en-IN"/>
            </w:rPr>
            <w:t>, F. A., Yahya, A. T., &amp; Khaled, A. S. (2020). Internal and external determinants of listed commercial banks’ profitability in India: dynamic GMM approach</w:t>
          </w:r>
          <w:r w:rsidR="00C849F2">
            <w:rPr>
              <w:lang w:val="en-IN"/>
            </w:rPr>
            <w:t>.</w:t>
          </w:r>
          <w:r w:rsidRPr="00CE5A1B">
            <w:rPr>
              <w:lang w:val="en-IN"/>
            </w:rPr>
            <w:t xml:space="preserve"> Internal and external determinants of listed commercial banks’ profitability 35. In </w:t>
          </w:r>
          <w:r w:rsidRPr="00CE5A1B">
            <w:rPr>
              <w:i/>
              <w:iCs/>
              <w:lang w:val="en-IN"/>
            </w:rPr>
            <w:t>Int. J. Monetary Economics and Finance</w:t>
          </w:r>
          <w:r w:rsidRPr="00CE5A1B">
            <w:rPr>
              <w:lang w:val="en-IN"/>
            </w:rPr>
            <w:t xml:space="preserve"> (Vol. 13, Issue 1).</w:t>
          </w:r>
        </w:p>
        <w:p w14:paraId="35E7147F" w14:textId="77777777" w:rsidR="00C73D82" w:rsidRPr="00CE5A1B" w:rsidRDefault="00C73D82" w:rsidP="00C73D82">
          <w:pPr>
            <w:pStyle w:val="Body"/>
            <w:spacing w:after="0"/>
            <w:rPr>
              <w:lang w:val="en-IN"/>
            </w:rPr>
          </w:pPr>
        </w:p>
        <w:p w14:paraId="00688550" w14:textId="77777777" w:rsidR="00CE5A1B" w:rsidRDefault="00CE5A1B" w:rsidP="00C73D82">
          <w:pPr>
            <w:pStyle w:val="Body"/>
            <w:spacing w:after="0"/>
            <w:rPr>
              <w:lang w:val="en-IN"/>
            </w:rPr>
          </w:pPr>
          <w:r w:rsidRPr="00CE5A1B">
            <w:rPr>
              <w:lang w:val="en-IN"/>
            </w:rPr>
            <w:t xml:space="preserve">Ashton, J. K. (2012). Do Depositors Benefit from Bank Mergers? An Examination of the UK Deposit Market. </w:t>
          </w:r>
          <w:r w:rsidRPr="00CE5A1B">
            <w:rPr>
              <w:i/>
              <w:iCs/>
              <w:lang w:val="en-IN"/>
            </w:rPr>
            <w:t>International Journal of the Economics of Business</w:t>
          </w:r>
          <w:r w:rsidRPr="00CE5A1B">
            <w:rPr>
              <w:lang w:val="en-IN"/>
            </w:rPr>
            <w:t xml:space="preserve">, </w:t>
          </w:r>
          <w:r w:rsidRPr="00CE5A1B">
            <w:rPr>
              <w:i/>
              <w:iCs/>
              <w:lang w:val="en-IN"/>
            </w:rPr>
            <w:t>19</w:t>
          </w:r>
          <w:r w:rsidRPr="00CE5A1B">
            <w:rPr>
              <w:lang w:val="en-IN"/>
            </w:rPr>
            <w:t>(1), 1–23. https://doi.org/10.1080/13571516.2012.642636</w:t>
          </w:r>
        </w:p>
        <w:p w14:paraId="5B59D13F" w14:textId="77777777" w:rsidR="00C73D82" w:rsidRPr="00CE5A1B" w:rsidRDefault="00C73D82" w:rsidP="00C73D82">
          <w:pPr>
            <w:pStyle w:val="Body"/>
            <w:spacing w:after="0"/>
            <w:rPr>
              <w:lang w:val="en-IN"/>
            </w:rPr>
          </w:pPr>
        </w:p>
        <w:p w14:paraId="44CF0D27" w14:textId="77777777" w:rsidR="00CE5A1B" w:rsidRPr="00CE5A1B" w:rsidRDefault="00CE5A1B" w:rsidP="00C73D82">
          <w:pPr>
            <w:pStyle w:val="Body"/>
            <w:spacing w:after="0"/>
            <w:rPr>
              <w:lang w:val="en-IN"/>
            </w:rPr>
          </w:pPr>
          <w:proofErr w:type="spellStart"/>
          <w:r w:rsidRPr="00CE5A1B">
            <w:rPr>
              <w:lang w:val="en-IN"/>
            </w:rPr>
            <w:t>Batwo</w:t>
          </w:r>
          <w:proofErr w:type="spellEnd"/>
          <w:r w:rsidRPr="00CE5A1B">
            <w:rPr>
              <w:lang w:val="en-IN"/>
            </w:rPr>
            <w:t xml:space="preserve"> Michael, E., &amp; </w:t>
          </w:r>
          <w:proofErr w:type="spellStart"/>
          <w:r w:rsidRPr="00CE5A1B">
            <w:rPr>
              <w:lang w:val="en-IN"/>
            </w:rPr>
            <w:t>Guidi</w:t>
          </w:r>
          <w:proofErr w:type="spellEnd"/>
          <w:r w:rsidRPr="00CE5A1B">
            <w:rPr>
              <w:lang w:val="en-IN"/>
            </w:rPr>
            <w:t xml:space="preserve">, F. (2020). </w:t>
          </w:r>
          <w:r w:rsidRPr="00CE5A1B">
            <w:rPr>
              <w:i/>
              <w:iCs/>
              <w:lang w:val="en-IN"/>
            </w:rPr>
            <w:t>The determinants of commercial banks’ profitability in the South-Eastern Europe region: a system GMM approach</w:t>
          </w:r>
          <w:r w:rsidRPr="00CE5A1B">
            <w:rPr>
              <w:lang w:val="en-IN"/>
            </w:rPr>
            <w:t>.</w:t>
          </w:r>
        </w:p>
        <w:p w14:paraId="0DE0D963" w14:textId="77777777" w:rsidR="00C73D82" w:rsidRDefault="00C73D82" w:rsidP="00C73D82">
          <w:pPr>
            <w:pStyle w:val="Body"/>
            <w:spacing w:after="0"/>
            <w:rPr>
              <w:lang w:val="en-IN"/>
            </w:rPr>
          </w:pPr>
        </w:p>
        <w:p w14:paraId="563868C2" w14:textId="20C3AD6C" w:rsidR="00CE5A1B" w:rsidRPr="00CE5A1B" w:rsidRDefault="00CE5A1B" w:rsidP="00C73D82">
          <w:pPr>
            <w:pStyle w:val="Body"/>
            <w:spacing w:after="0"/>
            <w:rPr>
              <w:lang w:val="en-IN"/>
            </w:rPr>
          </w:pPr>
          <w:r w:rsidRPr="00CE5A1B">
            <w:rPr>
              <w:lang w:val="pl-PL"/>
            </w:rPr>
            <w:t xml:space="preserve">Bhandari, S., &amp; Pradhan, R. S. (2024). </w:t>
          </w:r>
          <w:r w:rsidRPr="00CE5A1B">
            <w:rPr>
              <w:lang w:val="en-IN"/>
            </w:rPr>
            <w:t xml:space="preserve">Nepalese Journal of Management Impact of merger and acquisition on the performance of Nepalese commercial banks. In </w:t>
          </w:r>
          <w:r w:rsidRPr="00CE5A1B">
            <w:rPr>
              <w:i/>
              <w:iCs/>
              <w:lang w:val="en-IN"/>
            </w:rPr>
            <w:t>NEPALESE JOURNAL OF MANAGEMENT</w:t>
          </w:r>
          <w:r w:rsidRPr="00CE5A1B">
            <w:rPr>
              <w:lang w:val="en-IN"/>
            </w:rPr>
            <w:t xml:space="preserve"> (Vol. 11, Issue 2).</w:t>
          </w:r>
        </w:p>
        <w:p w14:paraId="22CF6D1F" w14:textId="77777777" w:rsidR="00C73D82" w:rsidRDefault="00C73D82" w:rsidP="00C73D82">
          <w:pPr>
            <w:pStyle w:val="Body"/>
            <w:spacing w:after="0"/>
            <w:rPr>
              <w:lang w:val="en-IN"/>
            </w:rPr>
          </w:pPr>
        </w:p>
        <w:p w14:paraId="4D17CFAA" w14:textId="1047853F" w:rsidR="00CE5A1B" w:rsidRPr="00CE5A1B" w:rsidRDefault="00CE5A1B" w:rsidP="00C73D82">
          <w:pPr>
            <w:pStyle w:val="Body"/>
            <w:spacing w:after="0"/>
            <w:rPr>
              <w:lang w:val="en-IN"/>
            </w:rPr>
          </w:pPr>
          <w:proofErr w:type="spellStart"/>
          <w:r w:rsidRPr="00CE5A1B">
            <w:rPr>
              <w:lang w:val="en-IN"/>
            </w:rPr>
            <w:t>Bhaskaran</w:t>
          </w:r>
          <w:proofErr w:type="spellEnd"/>
          <w:r w:rsidRPr="00CE5A1B">
            <w:rPr>
              <w:lang w:val="en-IN"/>
            </w:rPr>
            <w:t xml:space="preserve">, R., Bhalla, L., Sarin, V., Kaur, S., Rahman, A., Singh, G., Bhattacharya, A. M., Kumar Jha, A., &amp; Verma, P. (2016). Non-performing assets of public and private sector banks in India-a comparative study. In </w:t>
          </w:r>
          <w:r w:rsidRPr="00CE5A1B">
            <w:rPr>
              <w:i/>
              <w:iCs/>
              <w:lang w:val="en-IN"/>
            </w:rPr>
            <w:t>Int. J. Services and Operations Management</w:t>
          </w:r>
          <w:r w:rsidRPr="00CE5A1B">
            <w:rPr>
              <w:lang w:val="en-IN"/>
            </w:rPr>
            <w:t xml:space="preserve"> (Vol. 25, Issue 2).</w:t>
          </w:r>
        </w:p>
        <w:p w14:paraId="68B546AB" w14:textId="77777777" w:rsidR="00C73D82" w:rsidRDefault="00C73D82" w:rsidP="00C73D82">
          <w:pPr>
            <w:pStyle w:val="Body"/>
            <w:spacing w:after="0"/>
            <w:rPr>
              <w:lang w:val="en-IN"/>
            </w:rPr>
          </w:pPr>
        </w:p>
        <w:p w14:paraId="258689E5" w14:textId="1EC5A48C" w:rsidR="00CE5A1B" w:rsidRPr="00CE5A1B" w:rsidRDefault="00CE5A1B" w:rsidP="00C73D82">
          <w:pPr>
            <w:pStyle w:val="Body"/>
            <w:spacing w:after="0"/>
            <w:rPr>
              <w:lang w:val="en-IN"/>
            </w:rPr>
          </w:pPr>
          <w:proofErr w:type="spellStart"/>
          <w:r w:rsidRPr="00CE5A1B">
            <w:rPr>
              <w:lang w:val="en-IN"/>
            </w:rPr>
            <w:t>Budhedeo</w:t>
          </w:r>
          <w:proofErr w:type="spellEnd"/>
          <w:r w:rsidRPr="00CE5A1B">
            <w:rPr>
              <w:lang w:val="en-IN"/>
            </w:rPr>
            <w:t xml:space="preserve">, S. H., &amp; Pandya, N. P. (2018). Financial Performance of Public Sector Banks in India: A Post Reform Analysis. </w:t>
          </w:r>
          <w:r w:rsidRPr="00CE5A1B">
            <w:rPr>
              <w:i/>
              <w:iCs/>
              <w:lang w:val="en-IN"/>
            </w:rPr>
            <w:t>Indian Journal of Finance</w:t>
          </w:r>
          <w:r w:rsidRPr="00CE5A1B">
            <w:rPr>
              <w:lang w:val="en-IN"/>
            </w:rPr>
            <w:t xml:space="preserve">, </w:t>
          </w:r>
          <w:r w:rsidRPr="00CE5A1B">
            <w:rPr>
              <w:i/>
              <w:iCs/>
              <w:lang w:val="en-IN"/>
            </w:rPr>
            <w:t>12</w:t>
          </w:r>
          <w:r w:rsidRPr="00CE5A1B">
            <w:rPr>
              <w:lang w:val="en-IN"/>
            </w:rPr>
            <w:t>(10), 7. https://doi.org/10.17010/ijf/2018/v12i10/132491</w:t>
          </w:r>
        </w:p>
        <w:p w14:paraId="38E4BC4D" w14:textId="77777777" w:rsidR="00C73D82" w:rsidRDefault="00C73D82" w:rsidP="00C73D82">
          <w:pPr>
            <w:pStyle w:val="Body"/>
            <w:spacing w:after="0"/>
            <w:rPr>
              <w:lang w:val="en-IN"/>
            </w:rPr>
          </w:pPr>
        </w:p>
        <w:p w14:paraId="3564E791" w14:textId="233810AF" w:rsidR="00CE5A1B" w:rsidRPr="00CE5A1B" w:rsidRDefault="00CE5A1B" w:rsidP="00C73D82">
          <w:pPr>
            <w:pStyle w:val="Body"/>
            <w:spacing w:after="0"/>
            <w:rPr>
              <w:lang w:val="en-IN"/>
            </w:rPr>
          </w:pPr>
          <w:r w:rsidRPr="00CE5A1B">
            <w:rPr>
              <w:lang w:val="en-IN"/>
            </w:rPr>
            <w:t xml:space="preserve">Carey, R. G. (1975). Evaluation under the bank merger act of 1960 of the competitive factors involved in bank mergers. The regulatory agencies compared. </w:t>
          </w:r>
          <w:r w:rsidRPr="00CE5A1B">
            <w:rPr>
              <w:i/>
              <w:iCs/>
              <w:lang w:val="en-IN"/>
            </w:rPr>
            <w:t>Journal of Monetary Economics</w:t>
          </w:r>
          <w:r w:rsidRPr="00CE5A1B">
            <w:rPr>
              <w:lang w:val="en-IN"/>
            </w:rPr>
            <w:t xml:space="preserve">, </w:t>
          </w:r>
          <w:r w:rsidRPr="00CE5A1B">
            <w:rPr>
              <w:i/>
              <w:iCs/>
              <w:lang w:val="en-IN"/>
            </w:rPr>
            <w:t>1</w:t>
          </w:r>
          <w:r w:rsidRPr="00CE5A1B">
            <w:rPr>
              <w:lang w:val="en-IN"/>
            </w:rPr>
            <w:t>(3), 275–308. https://doi.org/10.1016/0304-3932(75)90015-X</w:t>
          </w:r>
        </w:p>
        <w:p w14:paraId="77AC1439" w14:textId="77777777" w:rsidR="00C73D82" w:rsidRDefault="00C73D82" w:rsidP="00C73D82">
          <w:pPr>
            <w:pStyle w:val="Body"/>
            <w:spacing w:after="0"/>
            <w:rPr>
              <w:lang w:val="en-IN"/>
            </w:rPr>
          </w:pPr>
        </w:p>
        <w:p w14:paraId="7B146330" w14:textId="28985971" w:rsidR="00CE5A1B" w:rsidRPr="00CE5A1B" w:rsidRDefault="00CE5A1B" w:rsidP="00C73D82">
          <w:pPr>
            <w:pStyle w:val="Body"/>
            <w:spacing w:after="0"/>
            <w:rPr>
              <w:lang w:val="en-IN"/>
            </w:rPr>
          </w:pPr>
          <w:proofErr w:type="spellStart"/>
          <w:r w:rsidRPr="00CE5A1B">
            <w:rPr>
              <w:lang w:val="en-IN"/>
            </w:rPr>
            <w:lastRenderedPageBreak/>
            <w:t>Carletti</w:t>
          </w:r>
          <w:proofErr w:type="spellEnd"/>
          <w:r w:rsidRPr="00CE5A1B">
            <w:rPr>
              <w:lang w:val="en-IN"/>
            </w:rPr>
            <w:t xml:space="preserve">, E., Hartmann, P., &amp; </w:t>
          </w:r>
          <w:proofErr w:type="spellStart"/>
          <w:r w:rsidRPr="00CE5A1B">
            <w:rPr>
              <w:lang w:val="en-IN"/>
            </w:rPr>
            <w:t>Spagnolo</w:t>
          </w:r>
          <w:proofErr w:type="spellEnd"/>
          <w:r w:rsidRPr="00CE5A1B">
            <w:rPr>
              <w:lang w:val="en-IN"/>
            </w:rPr>
            <w:t xml:space="preserve">, G. (2005). </w:t>
          </w:r>
          <w:r w:rsidRPr="00CE5A1B">
            <w:rPr>
              <w:i/>
              <w:iCs/>
              <w:lang w:val="en-IN"/>
            </w:rPr>
            <w:t>Bank Mergers, Competition and Liquidity</w:t>
          </w:r>
          <w:r w:rsidRPr="00CE5A1B">
            <w:rPr>
              <w:lang w:val="en-IN"/>
            </w:rPr>
            <w:t xml:space="preserve"> (</w:t>
          </w:r>
          <w:proofErr w:type="spellStart"/>
          <w:r w:rsidRPr="00CE5A1B">
            <w:rPr>
              <w:lang w:val="en-IN"/>
            </w:rPr>
            <w:t>Sveriges</w:t>
          </w:r>
          <w:proofErr w:type="spellEnd"/>
          <w:r w:rsidRPr="00CE5A1B">
            <w:rPr>
              <w:lang w:val="en-IN"/>
            </w:rPr>
            <w:t xml:space="preserve"> </w:t>
          </w:r>
          <w:proofErr w:type="spellStart"/>
          <w:r w:rsidRPr="00CE5A1B">
            <w:rPr>
              <w:lang w:val="en-IN"/>
            </w:rPr>
            <w:t>Riksbank</w:t>
          </w:r>
          <w:proofErr w:type="spellEnd"/>
          <w:r w:rsidRPr="00CE5A1B">
            <w:rPr>
              <w:lang w:val="en-IN"/>
            </w:rPr>
            <w:t xml:space="preserve"> Working Paper Series No. 182). https://hdl.handle.net/10419/82498</w:t>
          </w:r>
        </w:p>
        <w:p w14:paraId="2F72A864" w14:textId="77777777" w:rsidR="00C73D82" w:rsidRDefault="00C73D82" w:rsidP="00C73D82">
          <w:pPr>
            <w:pStyle w:val="Body"/>
            <w:spacing w:after="0"/>
            <w:rPr>
              <w:lang w:val="en-IN"/>
            </w:rPr>
          </w:pPr>
        </w:p>
        <w:p w14:paraId="582E2D82" w14:textId="51EA3F4C" w:rsidR="00CE5A1B" w:rsidRPr="00CE5A1B" w:rsidRDefault="00CE5A1B" w:rsidP="00C73D82">
          <w:pPr>
            <w:pStyle w:val="Body"/>
            <w:spacing w:after="0"/>
            <w:rPr>
              <w:lang w:val="en-IN"/>
            </w:rPr>
          </w:pPr>
          <w:proofErr w:type="spellStart"/>
          <w:r w:rsidRPr="00CE5A1B">
            <w:rPr>
              <w:lang w:val="en-IN"/>
            </w:rPr>
            <w:t>Carletti</w:t>
          </w:r>
          <w:proofErr w:type="spellEnd"/>
          <w:r w:rsidRPr="00CE5A1B">
            <w:rPr>
              <w:lang w:val="en-IN"/>
            </w:rPr>
            <w:t xml:space="preserve">, E., Hartmann, P., &amp; </w:t>
          </w:r>
          <w:proofErr w:type="spellStart"/>
          <w:r w:rsidRPr="00CE5A1B">
            <w:rPr>
              <w:lang w:val="en-IN"/>
            </w:rPr>
            <w:t>Spagnolo</w:t>
          </w:r>
          <w:proofErr w:type="spellEnd"/>
          <w:r w:rsidRPr="00CE5A1B">
            <w:rPr>
              <w:lang w:val="en-IN"/>
            </w:rPr>
            <w:t xml:space="preserve">, G. (2007). Bank mergers, competition, and liquidity. </w:t>
          </w:r>
          <w:r w:rsidRPr="00CE5A1B">
            <w:rPr>
              <w:i/>
              <w:iCs/>
              <w:lang w:val="en-IN"/>
            </w:rPr>
            <w:t>Journal of Money, Credit and Banking</w:t>
          </w:r>
          <w:r w:rsidRPr="00CE5A1B">
            <w:rPr>
              <w:lang w:val="en-IN"/>
            </w:rPr>
            <w:t xml:space="preserve">, </w:t>
          </w:r>
          <w:r w:rsidRPr="00CE5A1B">
            <w:rPr>
              <w:i/>
              <w:iCs/>
              <w:lang w:val="en-IN"/>
            </w:rPr>
            <w:t>39</w:t>
          </w:r>
          <w:r w:rsidRPr="00CE5A1B">
            <w:rPr>
              <w:lang w:val="en-IN"/>
            </w:rPr>
            <w:t>(5), 1067–1105. https://doi.org/10.1111/j.1538-4616.2007</w:t>
          </w:r>
          <w:r w:rsidR="00A55192" w:rsidRPr="00A55192">
            <w:rPr>
              <w:i/>
              <w:iCs/>
              <w:lang w:val="en-IN"/>
            </w:rPr>
            <w:t>.00</w:t>
          </w:r>
          <w:r w:rsidRPr="00CE5A1B">
            <w:rPr>
              <w:lang w:val="en-IN"/>
            </w:rPr>
            <w:t>58.x</w:t>
          </w:r>
        </w:p>
        <w:p w14:paraId="09212FAA" w14:textId="77777777" w:rsidR="00C73D82" w:rsidRPr="00A16FC3" w:rsidRDefault="00C73D82" w:rsidP="00C73D82">
          <w:pPr>
            <w:pStyle w:val="Body"/>
            <w:spacing w:after="0"/>
            <w:rPr>
              <w:lang w:val="en-IN"/>
            </w:rPr>
          </w:pPr>
        </w:p>
        <w:p w14:paraId="7E94C4D7" w14:textId="0FE96DAD" w:rsidR="00CE5A1B" w:rsidRPr="00CE5A1B" w:rsidRDefault="00CE5A1B" w:rsidP="00C73D82">
          <w:pPr>
            <w:pStyle w:val="Body"/>
            <w:spacing w:after="0"/>
            <w:rPr>
              <w:lang w:val="en-IN"/>
            </w:rPr>
          </w:pPr>
          <w:r w:rsidRPr="00CE5A1B">
            <w:rPr>
              <w:lang w:val="pl-PL"/>
            </w:rPr>
            <w:t xml:space="preserve">Das, A., &amp; Kumbhakar, S. C. (2022). </w:t>
          </w:r>
          <w:r w:rsidRPr="00CE5A1B">
            <w:rPr>
              <w:lang w:val="en-IN"/>
            </w:rPr>
            <w:t xml:space="preserve">Bank Merger, Credit Growth, and the Great Slowdown in India. </w:t>
          </w:r>
          <w:r w:rsidRPr="00CE5A1B">
            <w:rPr>
              <w:i/>
              <w:iCs/>
              <w:lang w:val="en-IN"/>
            </w:rPr>
            <w:t>Economic and Political Weekly</w:t>
          </w:r>
          <w:r w:rsidRPr="00CE5A1B">
            <w:rPr>
              <w:lang w:val="en-IN"/>
            </w:rPr>
            <w:t xml:space="preserve">, </w:t>
          </w:r>
          <w:r w:rsidRPr="00CE5A1B">
            <w:rPr>
              <w:i/>
              <w:iCs/>
              <w:lang w:val="en-IN"/>
            </w:rPr>
            <w:t>57</w:t>
          </w:r>
          <w:r w:rsidRPr="00CE5A1B">
            <w:rPr>
              <w:lang w:val="en-IN"/>
            </w:rPr>
            <w:t>(20), 58–67.</w:t>
          </w:r>
        </w:p>
        <w:p w14:paraId="5909AA09" w14:textId="77777777" w:rsidR="00C73D82" w:rsidRPr="00BE2B97" w:rsidRDefault="00C73D82" w:rsidP="00C73D82">
          <w:pPr>
            <w:pStyle w:val="Body"/>
            <w:spacing w:after="0"/>
            <w:rPr>
              <w:lang w:val="en-IN"/>
            </w:rPr>
          </w:pPr>
        </w:p>
        <w:p w14:paraId="24608423" w14:textId="608F39A4" w:rsidR="00CE5A1B" w:rsidRPr="00CE5A1B" w:rsidRDefault="00CE5A1B" w:rsidP="00C73D82">
          <w:pPr>
            <w:pStyle w:val="Body"/>
            <w:spacing w:after="0"/>
            <w:rPr>
              <w:lang w:val="en-IN"/>
            </w:rPr>
          </w:pPr>
          <w:r w:rsidRPr="00722E0F">
            <w:rPr>
              <w:lang w:val="pl-PL"/>
            </w:rPr>
            <w:t xml:space="preserve">Deolkar, G. H. (n.d.). </w:t>
          </w:r>
          <w:r w:rsidRPr="00CE5A1B">
            <w:rPr>
              <w:i/>
              <w:iCs/>
              <w:lang w:val="en-IN"/>
            </w:rPr>
            <w:t xml:space="preserve">The Indian Banking Sector </w:t>
          </w:r>
          <w:r w:rsidR="000B7F04">
            <w:rPr>
              <w:i/>
              <w:iCs/>
              <w:lang w:val="en-IN"/>
            </w:rPr>
            <w:t>o</w:t>
          </w:r>
          <w:r w:rsidRPr="00CE5A1B">
            <w:rPr>
              <w:i/>
              <w:iCs/>
              <w:lang w:val="en-IN"/>
            </w:rPr>
            <w:t>n the Road to Progress</w:t>
          </w:r>
          <w:r w:rsidRPr="00CE5A1B">
            <w:rPr>
              <w:lang w:val="en-IN"/>
            </w:rPr>
            <w:t>. Retrieved August 18, 2025, from https://www.academia.edu/10273221/The_Indian_Banking_Sector_On_the_Road_to_Progress</w:t>
          </w:r>
        </w:p>
        <w:p w14:paraId="17A0E7CC" w14:textId="77777777" w:rsidR="00C73D82" w:rsidRDefault="00C73D82" w:rsidP="00C73D82">
          <w:pPr>
            <w:pStyle w:val="Body"/>
            <w:spacing w:after="0"/>
            <w:rPr>
              <w:lang w:val="en-IN"/>
            </w:rPr>
          </w:pPr>
        </w:p>
        <w:p w14:paraId="25B9E751" w14:textId="64BCB2F6" w:rsidR="00CE5A1B" w:rsidRPr="00CE5A1B" w:rsidRDefault="00CE5A1B" w:rsidP="00C73D82">
          <w:pPr>
            <w:pStyle w:val="Body"/>
            <w:spacing w:after="0"/>
            <w:rPr>
              <w:lang w:val="en-IN"/>
            </w:rPr>
          </w:pPr>
          <w:r w:rsidRPr="00CE5A1B">
            <w:rPr>
              <w:lang w:val="en-IN"/>
            </w:rPr>
            <w:t>DeYoung, R. E. (1991). The efficiencies defen</w:t>
          </w:r>
          <w:r w:rsidR="000B7F04">
            <w:rPr>
              <w:lang w:val="en-IN"/>
            </w:rPr>
            <w:t>c</w:t>
          </w:r>
          <w:r w:rsidRPr="00CE5A1B">
            <w:rPr>
              <w:lang w:val="en-IN"/>
            </w:rPr>
            <w:t xml:space="preserve">e and commercial bank merger regulation. </w:t>
          </w:r>
          <w:r w:rsidRPr="00CE5A1B">
            <w:rPr>
              <w:i/>
              <w:iCs/>
              <w:lang w:val="en-IN"/>
            </w:rPr>
            <w:t>Review of Industrial Organization</w:t>
          </w:r>
          <w:r w:rsidRPr="00CE5A1B">
            <w:rPr>
              <w:lang w:val="en-IN"/>
            </w:rPr>
            <w:t xml:space="preserve">, </w:t>
          </w:r>
          <w:r w:rsidRPr="00CE5A1B">
            <w:rPr>
              <w:i/>
              <w:iCs/>
              <w:lang w:val="en-IN"/>
            </w:rPr>
            <w:t>6</w:t>
          </w:r>
          <w:r w:rsidRPr="00CE5A1B">
            <w:rPr>
              <w:lang w:val="en-IN"/>
            </w:rPr>
            <w:t>(3), 269–282. https://doi.org/10.1007/BF00378126</w:t>
          </w:r>
        </w:p>
        <w:p w14:paraId="775FE5A1" w14:textId="77777777" w:rsidR="00C73D82" w:rsidRDefault="00C73D82" w:rsidP="00C73D82">
          <w:pPr>
            <w:pStyle w:val="Body"/>
            <w:spacing w:after="0"/>
            <w:rPr>
              <w:lang w:val="en-IN"/>
            </w:rPr>
          </w:pPr>
        </w:p>
        <w:p w14:paraId="67EBD588" w14:textId="5747C510" w:rsidR="00CE5A1B" w:rsidRPr="00CE5A1B" w:rsidRDefault="00CE5A1B" w:rsidP="00C73D82">
          <w:pPr>
            <w:pStyle w:val="Body"/>
            <w:spacing w:after="0"/>
            <w:rPr>
              <w:lang w:val="en-IN"/>
            </w:rPr>
          </w:pPr>
          <w:proofErr w:type="spellStart"/>
          <w:r w:rsidRPr="00CE5A1B">
            <w:rPr>
              <w:lang w:val="en-IN"/>
            </w:rPr>
            <w:t>Dwi</w:t>
          </w:r>
          <w:proofErr w:type="spellEnd"/>
          <w:r w:rsidRPr="00CE5A1B">
            <w:rPr>
              <w:lang w:val="en-IN"/>
            </w:rPr>
            <w:t xml:space="preserve"> Agustin, R., &amp; </w:t>
          </w:r>
          <w:proofErr w:type="spellStart"/>
          <w:r w:rsidRPr="00CE5A1B">
            <w:rPr>
              <w:lang w:val="en-IN"/>
            </w:rPr>
            <w:t>Nansih</w:t>
          </w:r>
          <w:proofErr w:type="spellEnd"/>
          <w:r w:rsidRPr="00CE5A1B">
            <w:rPr>
              <w:lang w:val="en-IN"/>
            </w:rPr>
            <w:t xml:space="preserve"> </w:t>
          </w:r>
          <w:proofErr w:type="spellStart"/>
          <w:r w:rsidRPr="00CE5A1B">
            <w:rPr>
              <w:lang w:val="en-IN"/>
            </w:rPr>
            <w:t>Widhiastuti</w:t>
          </w:r>
          <w:proofErr w:type="spellEnd"/>
          <w:r w:rsidRPr="00CE5A1B">
            <w:rPr>
              <w:lang w:val="en-IN"/>
            </w:rPr>
            <w:t xml:space="preserve">, R. (2021). </w:t>
          </w:r>
          <w:proofErr w:type="spellStart"/>
          <w:r w:rsidRPr="00CE5A1B">
            <w:rPr>
              <w:lang w:val="en-IN"/>
            </w:rPr>
            <w:t>Dampak</w:t>
          </w:r>
          <w:proofErr w:type="spellEnd"/>
          <w:r w:rsidRPr="00CE5A1B">
            <w:rPr>
              <w:lang w:val="en-IN"/>
            </w:rPr>
            <w:t xml:space="preserve"> Merger dan </w:t>
          </w:r>
          <w:proofErr w:type="spellStart"/>
          <w:r w:rsidRPr="00CE5A1B">
            <w:rPr>
              <w:lang w:val="en-IN"/>
            </w:rPr>
            <w:t>Akuisisi</w:t>
          </w:r>
          <w:proofErr w:type="spellEnd"/>
          <w:r w:rsidRPr="00CE5A1B">
            <w:rPr>
              <w:lang w:val="en-IN"/>
            </w:rPr>
            <w:t xml:space="preserve"> Pada </w:t>
          </w:r>
          <w:proofErr w:type="spellStart"/>
          <w:r w:rsidRPr="00CE5A1B">
            <w:rPr>
              <w:lang w:val="en-IN"/>
            </w:rPr>
            <w:t>Kinerja</w:t>
          </w:r>
          <w:proofErr w:type="spellEnd"/>
          <w:r w:rsidRPr="00CE5A1B">
            <w:rPr>
              <w:lang w:val="en-IN"/>
            </w:rPr>
            <w:t xml:space="preserve"> </w:t>
          </w:r>
          <w:proofErr w:type="spellStart"/>
          <w:r w:rsidRPr="00CE5A1B">
            <w:rPr>
              <w:lang w:val="en-IN"/>
            </w:rPr>
            <w:t>Keuangan</w:t>
          </w:r>
          <w:proofErr w:type="spellEnd"/>
          <w:r w:rsidRPr="00CE5A1B">
            <w:rPr>
              <w:lang w:val="en-IN"/>
            </w:rPr>
            <w:t xml:space="preserve"> (</w:t>
          </w:r>
          <w:proofErr w:type="spellStart"/>
          <w:r w:rsidRPr="00CE5A1B">
            <w:rPr>
              <w:lang w:val="en-IN"/>
            </w:rPr>
            <w:t>Studiu</w:t>
          </w:r>
          <w:proofErr w:type="spellEnd"/>
          <w:r w:rsidRPr="00CE5A1B">
            <w:rPr>
              <w:lang w:val="en-IN"/>
            </w:rPr>
            <w:t xml:space="preserve"> </w:t>
          </w:r>
          <w:proofErr w:type="spellStart"/>
          <w:r w:rsidRPr="00CE5A1B">
            <w:rPr>
              <w:lang w:val="en-IN"/>
            </w:rPr>
            <w:t>Kasus</w:t>
          </w:r>
          <w:proofErr w:type="spellEnd"/>
          <w:r w:rsidRPr="00CE5A1B">
            <w:rPr>
              <w:lang w:val="en-IN"/>
            </w:rPr>
            <w:t xml:space="preserve"> </w:t>
          </w:r>
          <w:proofErr w:type="spellStart"/>
          <w:r w:rsidRPr="00CE5A1B">
            <w:rPr>
              <w:lang w:val="en-IN"/>
            </w:rPr>
            <w:t>Sektor</w:t>
          </w:r>
          <w:proofErr w:type="spellEnd"/>
          <w:r w:rsidRPr="00CE5A1B">
            <w:rPr>
              <w:lang w:val="en-IN"/>
            </w:rPr>
            <w:t xml:space="preserve"> </w:t>
          </w:r>
          <w:proofErr w:type="spellStart"/>
          <w:r w:rsidRPr="00CE5A1B">
            <w:rPr>
              <w:lang w:val="en-IN"/>
            </w:rPr>
            <w:t>Perbankan</w:t>
          </w:r>
          <w:proofErr w:type="spellEnd"/>
          <w:r w:rsidRPr="00CE5A1B">
            <w:rPr>
              <w:lang w:val="en-IN"/>
            </w:rPr>
            <w:t xml:space="preserve"> di Indonesia). </w:t>
          </w:r>
          <w:proofErr w:type="spellStart"/>
          <w:r w:rsidRPr="00CE5A1B">
            <w:rPr>
              <w:i/>
              <w:iCs/>
              <w:lang w:val="en-IN"/>
            </w:rPr>
            <w:t>Remitance</w:t>
          </w:r>
          <w:proofErr w:type="spellEnd"/>
          <w:r w:rsidRPr="00CE5A1B">
            <w:rPr>
              <w:i/>
              <w:iCs/>
              <w:lang w:val="en-IN"/>
            </w:rPr>
            <w:t xml:space="preserve"> </w:t>
          </w:r>
          <w:proofErr w:type="spellStart"/>
          <w:r w:rsidRPr="00CE5A1B">
            <w:rPr>
              <w:i/>
              <w:iCs/>
              <w:lang w:val="en-IN"/>
            </w:rPr>
            <w:t>Jurnal</w:t>
          </w:r>
          <w:proofErr w:type="spellEnd"/>
          <w:r w:rsidRPr="00CE5A1B">
            <w:rPr>
              <w:i/>
              <w:iCs/>
              <w:lang w:val="en-IN"/>
            </w:rPr>
            <w:t xml:space="preserve"> </w:t>
          </w:r>
          <w:proofErr w:type="spellStart"/>
          <w:r w:rsidRPr="00CE5A1B">
            <w:rPr>
              <w:i/>
              <w:iCs/>
              <w:lang w:val="en-IN"/>
            </w:rPr>
            <w:t>Akuntansi</w:t>
          </w:r>
          <w:proofErr w:type="spellEnd"/>
          <w:r w:rsidRPr="00CE5A1B">
            <w:rPr>
              <w:i/>
              <w:iCs/>
              <w:lang w:val="en-IN"/>
            </w:rPr>
            <w:t xml:space="preserve"> </w:t>
          </w:r>
          <w:proofErr w:type="spellStart"/>
          <w:r w:rsidRPr="00CE5A1B">
            <w:rPr>
              <w:i/>
              <w:iCs/>
              <w:lang w:val="en-IN"/>
            </w:rPr>
            <w:t>Keuangan</w:t>
          </w:r>
          <w:proofErr w:type="spellEnd"/>
          <w:r w:rsidRPr="00CE5A1B">
            <w:rPr>
              <w:i/>
              <w:iCs/>
              <w:lang w:val="en-IN"/>
            </w:rPr>
            <w:t xml:space="preserve"> Dan </w:t>
          </w:r>
          <w:proofErr w:type="spellStart"/>
          <w:r w:rsidRPr="00CE5A1B">
            <w:rPr>
              <w:i/>
              <w:iCs/>
              <w:lang w:val="en-IN"/>
            </w:rPr>
            <w:t>Perbankan</w:t>
          </w:r>
          <w:proofErr w:type="spellEnd"/>
          <w:r w:rsidRPr="00CE5A1B">
            <w:rPr>
              <w:lang w:val="en-IN"/>
            </w:rPr>
            <w:t xml:space="preserve">, </w:t>
          </w:r>
          <w:r w:rsidRPr="00CE5A1B">
            <w:rPr>
              <w:i/>
              <w:iCs/>
              <w:lang w:val="en-IN"/>
            </w:rPr>
            <w:t>2</w:t>
          </w:r>
          <w:r w:rsidRPr="00CE5A1B">
            <w:rPr>
              <w:lang w:val="en-IN"/>
            </w:rPr>
            <w:t>(2), 16–24.</w:t>
          </w:r>
        </w:p>
        <w:p w14:paraId="042B0748" w14:textId="77777777" w:rsidR="00C73D82" w:rsidRDefault="00C73D82" w:rsidP="00C73D82">
          <w:pPr>
            <w:pStyle w:val="Body"/>
            <w:spacing w:after="0"/>
            <w:rPr>
              <w:lang w:val="en-IN"/>
            </w:rPr>
          </w:pPr>
        </w:p>
        <w:p w14:paraId="5D6BAAB4" w14:textId="69412B67" w:rsidR="00CE5A1B" w:rsidRPr="00CE5A1B" w:rsidRDefault="00CE5A1B" w:rsidP="00C73D82">
          <w:pPr>
            <w:pStyle w:val="Body"/>
            <w:spacing w:after="0"/>
            <w:rPr>
              <w:lang w:val="en-IN"/>
            </w:rPr>
          </w:pPr>
          <w:proofErr w:type="spellStart"/>
          <w:r w:rsidRPr="00CE5A1B">
            <w:rPr>
              <w:lang w:val="en-IN"/>
            </w:rPr>
            <w:t>Fahlevi</w:t>
          </w:r>
          <w:proofErr w:type="spellEnd"/>
          <w:r w:rsidRPr="00CE5A1B">
            <w:rPr>
              <w:lang w:val="en-IN"/>
            </w:rPr>
            <w:t xml:space="preserve">, M., Abdi, M. N., </w:t>
          </w:r>
          <w:proofErr w:type="spellStart"/>
          <w:r w:rsidRPr="00CE5A1B">
            <w:rPr>
              <w:lang w:val="en-IN"/>
            </w:rPr>
            <w:t>Zuhri</w:t>
          </w:r>
          <w:proofErr w:type="spellEnd"/>
          <w:r w:rsidRPr="00CE5A1B">
            <w:rPr>
              <w:lang w:val="en-IN"/>
            </w:rPr>
            <w:t xml:space="preserve">, S., </w:t>
          </w:r>
          <w:proofErr w:type="spellStart"/>
          <w:r w:rsidRPr="00CE5A1B">
            <w:rPr>
              <w:lang w:val="en-IN"/>
            </w:rPr>
            <w:t>Dasih</w:t>
          </w:r>
          <w:proofErr w:type="spellEnd"/>
          <w:r w:rsidRPr="00CE5A1B">
            <w:rPr>
              <w:lang w:val="en-IN"/>
            </w:rPr>
            <w:t xml:space="preserve">, I., &amp; </w:t>
          </w:r>
          <w:proofErr w:type="spellStart"/>
          <w:r w:rsidRPr="00CE5A1B">
            <w:rPr>
              <w:lang w:val="en-IN"/>
            </w:rPr>
            <w:t>Maemunah</w:t>
          </w:r>
          <w:proofErr w:type="spellEnd"/>
          <w:r w:rsidRPr="00CE5A1B">
            <w:rPr>
              <w:lang w:val="en-IN"/>
            </w:rPr>
            <w:t xml:space="preserve">, S. (2020). THE IMPACT OF MERGER AND ACQUISITION ON FINANCIAL PERFORMANCE IN INDONESIA. </w:t>
          </w:r>
          <w:r w:rsidRPr="00CE5A1B">
            <w:rPr>
              <w:i/>
              <w:iCs/>
              <w:lang w:val="en-IN"/>
            </w:rPr>
            <w:t xml:space="preserve">Journal of </w:t>
          </w:r>
          <w:proofErr w:type="spellStart"/>
          <w:r w:rsidRPr="00CE5A1B">
            <w:rPr>
              <w:i/>
              <w:iCs/>
              <w:lang w:val="en-IN"/>
            </w:rPr>
            <w:t>Reseacrh</w:t>
          </w:r>
          <w:proofErr w:type="spellEnd"/>
          <w:r w:rsidRPr="00CE5A1B">
            <w:rPr>
              <w:i/>
              <w:iCs/>
              <w:lang w:val="en-IN"/>
            </w:rPr>
            <w:t xml:space="preserve"> in Business, Economics, and Education</w:t>
          </w:r>
          <w:r w:rsidRPr="00CE5A1B">
            <w:rPr>
              <w:lang w:val="en-IN"/>
            </w:rPr>
            <w:t xml:space="preserve">, </w:t>
          </w:r>
          <w:r w:rsidRPr="00CE5A1B">
            <w:rPr>
              <w:i/>
              <w:iCs/>
              <w:lang w:val="en-IN"/>
            </w:rPr>
            <w:t>2</w:t>
          </w:r>
          <w:r w:rsidRPr="00CE5A1B">
            <w:rPr>
              <w:lang w:val="en-IN"/>
            </w:rPr>
            <w:t>(1), 326–338. http://e-journal.stie-kusumanegara.ac.id</w:t>
          </w:r>
        </w:p>
        <w:p w14:paraId="1EE875BA" w14:textId="77777777" w:rsidR="00C73D82" w:rsidRDefault="00C73D82" w:rsidP="00C73D82">
          <w:pPr>
            <w:pStyle w:val="Body"/>
            <w:spacing w:after="0"/>
            <w:rPr>
              <w:lang w:val="en-IN"/>
            </w:rPr>
          </w:pPr>
        </w:p>
        <w:p w14:paraId="0680B59A" w14:textId="0C302703" w:rsidR="00CE5A1B" w:rsidRPr="00CE5A1B" w:rsidRDefault="00CE5A1B" w:rsidP="00C73D82">
          <w:pPr>
            <w:pStyle w:val="Body"/>
            <w:spacing w:after="0"/>
            <w:rPr>
              <w:lang w:val="en-IN"/>
            </w:rPr>
          </w:pPr>
          <w:proofErr w:type="spellStart"/>
          <w:r w:rsidRPr="00CE5A1B">
            <w:rPr>
              <w:lang w:val="en-IN"/>
            </w:rPr>
            <w:t>Fitriyani</w:t>
          </w:r>
          <w:proofErr w:type="spellEnd"/>
          <w:r w:rsidRPr="00CE5A1B">
            <w:rPr>
              <w:lang w:val="en-IN"/>
            </w:rPr>
            <w:t xml:space="preserve">, E., </w:t>
          </w:r>
          <w:proofErr w:type="spellStart"/>
          <w:r w:rsidRPr="00CE5A1B">
            <w:rPr>
              <w:lang w:val="en-IN"/>
            </w:rPr>
            <w:t>Oktavia</w:t>
          </w:r>
          <w:proofErr w:type="spellEnd"/>
          <w:r w:rsidRPr="00CE5A1B">
            <w:rPr>
              <w:lang w:val="en-IN"/>
            </w:rPr>
            <w:t xml:space="preserve">, L., Magdalena, S., </w:t>
          </w:r>
          <w:proofErr w:type="spellStart"/>
          <w:r w:rsidRPr="00CE5A1B">
            <w:rPr>
              <w:lang w:val="en-IN"/>
            </w:rPr>
            <w:t>Gunardi</w:t>
          </w:r>
          <w:proofErr w:type="spellEnd"/>
          <w:r w:rsidRPr="00CE5A1B">
            <w:rPr>
              <w:lang w:val="en-IN"/>
            </w:rPr>
            <w:t xml:space="preserve">, G., &amp; </w:t>
          </w:r>
          <w:proofErr w:type="spellStart"/>
          <w:r w:rsidRPr="00CE5A1B">
            <w:rPr>
              <w:lang w:val="en-IN"/>
            </w:rPr>
            <w:t>Kesumah</w:t>
          </w:r>
          <w:proofErr w:type="spellEnd"/>
          <w:r w:rsidRPr="00CE5A1B">
            <w:rPr>
              <w:lang w:val="en-IN"/>
            </w:rPr>
            <w:t xml:space="preserve">, P. (2023). ANALISIS PERKEMBANGAN NPM, ROA DAN ROE PADA BANK SYARIAH INDONESIA SEBELUM DAN SESUDAH MERGER. </w:t>
          </w:r>
          <w:proofErr w:type="spellStart"/>
          <w:r w:rsidRPr="00CE5A1B">
            <w:rPr>
              <w:i/>
              <w:iCs/>
              <w:lang w:val="en-IN"/>
            </w:rPr>
            <w:t>Jurnal</w:t>
          </w:r>
          <w:proofErr w:type="spellEnd"/>
          <w:r w:rsidRPr="00CE5A1B">
            <w:rPr>
              <w:i/>
              <w:iCs/>
              <w:lang w:val="en-IN"/>
            </w:rPr>
            <w:t xml:space="preserve"> </w:t>
          </w:r>
          <w:proofErr w:type="spellStart"/>
          <w:r w:rsidRPr="00CE5A1B">
            <w:rPr>
              <w:i/>
              <w:iCs/>
              <w:lang w:val="en-IN"/>
            </w:rPr>
            <w:t>Ekonomi</w:t>
          </w:r>
          <w:proofErr w:type="spellEnd"/>
          <w:r w:rsidRPr="00CE5A1B">
            <w:rPr>
              <w:i/>
              <w:iCs/>
              <w:lang w:val="en-IN"/>
            </w:rPr>
            <w:t xml:space="preserve"> </w:t>
          </w:r>
          <w:proofErr w:type="spellStart"/>
          <w:r w:rsidRPr="00CE5A1B">
            <w:rPr>
              <w:i/>
              <w:iCs/>
              <w:lang w:val="en-IN"/>
            </w:rPr>
            <w:t>Manajemen</w:t>
          </w:r>
          <w:proofErr w:type="spellEnd"/>
          <w:r w:rsidRPr="00CE5A1B">
            <w:rPr>
              <w:i/>
              <w:iCs/>
              <w:lang w:val="en-IN"/>
            </w:rPr>
            <w:t xml:space="preserve"> </w:t>
          </w:r>
          <w:proofErr w:type="spellStart"/>
          <w:r w:rsidRPr="00CE5A1B">
            <w:rPr>
              <w:i/>
              <w:iCs/>
              <w:lang w:val="en-IN"/>
            </w:rPr>
            <w:t>Bisnis</w:t>
          </w:r>
          <w:proofErr w:type="spellEnd"/>
          <w:r w:rsidRPr="00CE5A1B">
            <w:rPr>
              <w:i/>
              <w:iCs/>
              <w:lang w:val="en-IN"/>
            </w:rPr>
            <w:t xml:space="preserve"> Dan </w:t>
          </w:r>
          <w:proofErr w:type="spellStart"/>
          <w:r w:rsidRPr="00CE5A1B">
            <w:rPr>
              <w:i/>
              <w:iCs/>
              <w:lang w:val="en-IN"/>
            </w:rPr>
            <w:t>Akuntansi</w:t>
          </w:r>
          <w:proofErr w:type="spellEnd"/>
          <w:r w:rsidRPr="00CE5A1B">
            <w:rPr>
              <w:i/>
              <w:iCs/>
              <w:lang w:val="en-IN"/>
            </w:rPr>
            <w:t>: EMBA</w:t>
          </w:r>
          <w:r w:rsidRPr="00CE5A1B">
            <w:rPr>
              <w:lang w:val="en-IN"/>
            </w:rPr>
            <w:t xml:space="preserve">, </w:t>
          </w:r>
          <w:r w:rsidRPr="00CE5A1B">
            <w:rPr>
              <w:i/>
              <w:iCs/>
              <w:lang w:val="en-IN"/>
            </w:rPr>
            <w:t>1</w:t>
          </w:r>
          <w:r w:rsidRPr="00CE5A1B">
            <w:rPr>
              <w:lang w:val="en-IN"/>
            </w:rPr>
            <w:t>(2), 75–83. https://doi.org/10.59820/emba.v1i2.42</w:t>
          </w:r>
        </w:p>
        <w:p w14:paraId="32FE0941" w14:textId="77777777" w:rsidR="00C73D82" w:rsidRDefault="00C73D82" w:rsidP="00C73D82">
          <w:pPr>
            <w:pStyle w:val="Body"/>
            <w:spacing w:after="0"/>
            <w:rPr>
              <w:lang w:val="en-IN"/>
            </w:rPr>
          </w:pPr>
        </w:p>
        <w:p w14:paraId="12C3923D" w14:textId="191AC4D6" w:rsidR="00CE5A1B" w:rsidRPr="00CE5A1B" w:rsidRDefault="00CE5A1B" w:rsidP="00C73D82">
          <w:pPr>
            <w:pStyle w:val="Body"/>
            <w:spacing w:after="0"/>
            <w:rPr>
              <w:lang w:val="en-IN"/>
            </w:rPr>
          </w:pPr>
          <w:proofErr w:type="spellStart"/>
          <w:r w:rsidRPr="00CE5A1B">
            <w:rPr>
              <w:lang w:val="en-IN"/>
            </w:rPr>
            <w:t>Fulop</w:t>
          </w:r>
          <w:proofErr w:type="spellEnd"/>
          <w:r w:rsidRPr="00CE5A1B">
            <w:rPr>
              <w:lang w:val="en-IN"/>
            </w:rPr>
            <w:t xml:space="preserve">, N., Protopsaltis, G., Hutchings, A., King, A., Allen, P., Normand, C., &amp; Walters, R. (2002). Process and impact of mergers of NHS trusts: Multicentre case study and management cost analysis. </w:t>
          </w:r>
          <w:r w:rsidRPr="00CE5A1B">
            <w:rPr>
              <w:i/>
              <w:iCs/>
              <w:lang w:val="en-IN"/>
            </w:rPr>
            <w:t>British Medical Journal</w:t>
          </w:r>
          <w:r w:rsidRPr="00CE5A1B">
            <w:rPr>
              <w:lang w:val="en-IN"/>
            </w:rPr>
            <w:t xml:space="preserve">, </w:t>
          </w:r>
          <w:r w:rsidRPr="00CE5A1B">
            <w:rPr>
              <w:i/>
              <w:iCs/>
              <w:lang w:val="en-IN"/>
            </w:rPr>
            <w:t>325</w:t>
          </w:r>
          <w:r w:rsidRPr="00CE5A1B">
            <w:rPr>
              <w:lang w:val="en-IN"/>
            </w:rPr>
            <w:t>(7358), 246–249. https://doi.org/10.1136/bmj.325.7358.246</w:t>
          </w:r>
        </w:p>
        <w:p w14:paraId="19A8C9BE" w14:textId="77777777" w:rsidR="00C73D82" w:rsidRDefault="00C73D82" w:rsidP="00C73D82">
          <w:pPr>
            <w:pStyle w:val="Body"/>
            <w:spacing w:after="0"/>
            <w:rPr>
              <w:lang w:val="en-IN"/>
            </w:rPr>
          </w:pPr>
        </w:p>
        <w:p w14:paraId="73CDF7F6" w14:textId="3F120728" w:rsidR="00CE5A1B" w:rsidRPr="00CE5A1B" w:rsidRDefault="00CE5A1B" w:rsidP="00C73D82">
          <w:pPr>
            <w:pStyle w:val="Body"/>
            <w:spacing w:after="0"/>
            <w:rPr>
              <w:lang w:val="en-IN"/>
            </w:rPr>
          </w:pPr>
          <w:r w:rsidRPr="00CE5A1B">
            <w:rPr>
              <w:lang w:val="en-IN"/>
            </w:rPr>
            <w:t xml:space="preserve">Gandhi, K. (2015). </w:t>
          </w:r>
          <w:r w:rsidR="000B7F04" w:rsidRPr="00CE5A1B">
            <w:rPr>
              <w:lang w:val="en-IN"/>
            </w:rPr>
            <w:t>Non-Performing</w:t>
          </w:r>
          <w:r w:rsidRPr="00CE5A1B">
            <w:rPr>
              <w:lang w:val="en-IN"/>
            </w:rPr>
            <w:t xml:space="preserve"> Assets: A study of State Bank of India. </w:t>
          </w:r>
          <w:r w:rsidRPr="00CE5A1B">
            <w:rPr>
              <w:i/>
              <w:iCs/>
              <w:lang w:val="en-IN"/>
            </w:rPr>
            <w:t>International Journal of Research in All Subjects in Multi Languages</w:t>
          </w:r>
          <w:r w:rsidRPr="00CE5A1B">
            <w:rPr>
              <w:lang w:val="en-IN"/>
            </w:rPr>
            <w:t xml:space="preserve">, </w:t>
          </w:r>
          <w:r w:rsidRPr="00CE5A1B">
            <w:rPr>
              <w:i/>
              <w:iCs/>
              <w:lang w:val="en-IN"/>
            </w:rPr>
            <w:t>3</w:t>
          </w:r>
          <w:r w:rsidRPr="00CE5A1B">
            <w:rPr>
              <w:lang w:val="en-IN"/>
            </w:rPr>
            <w:t>(3), 24–29. www.raijmr.com</w:t>
          </w:r>
        </w:p>
        <w:p w14:paraId="3FAE9559" w14:textId="77777777" w:rsidR="00CE5A1B" w:rsidRPr="00CE5A1B" w:rsidRDefault="00CE5A1B" w:rsidP="00C73D82">
          <w:pPr>
            <w:pStyle w:val="Body"/>
            <w:spacing w:after="0"/>
            <w:rPr>
              <w:lang w:val="en-IN"/>
            </w:rPr>
          </w:pPr>
          <w:r w:rsidRPr="00CE5A1B">
            <w:rPr>
              <w:lang w:val="en-IN"/>
            </w:rPr>
            <w:t xml:space="preserve">Goyal, A., &amp; Verma, A. (2018). Slowdown in Bank Credit Growth: Aggregate Demand or Bank Non-performing Assets? </w:t>
          </w:r>
          <w:r w:rsidRPr="00CE5A1B">
            <w:rPr>
              <w:i/>
              <w:iCs/>
              <w:lang w:val="en-IN"/>
            </w:rPr>
            <w:t>Margin</w:t>
          </w:r>
          <w:r w:rsidRPr="00CE5A1B">
            <w:rPr>
              <w:lang w:val="en-IN"/>
            </w:rPr>
            <w:t xml:space="preserve">, </w:t>
          </w:r>
          <w:r w:rsidRPr="00CE5A1B">
            <w:rPr>
              <w:i/>
              <w:iCs/>
              <w:lang w:val="en-IN"/>
            </w:rPr>
            <w:t>12</w:t>
          </w:r>
          <w:r w:rsidRPr="00CE5A1B">
            <w:rPr>
              <w:lang w:val="en-IN"/>
            </w:rPr>
            <w:t>(3), 257–275. https://doi.org/10.1177/0973801018768985</w:t>
          </w:r>
        </w:p>
        <w:p w14:paraId="021EF063" w14:textId="77777777" w:rsidR="00C73D82" w:rsidRDefault="00C73D82" w:rsidP="00C73D82">
          <w:pPr>
            <w:pStyle w:val="Body"/>
            <w:spacing w:after="0"/>
            <w:rPr>
              <w:lang w:val="en-IN"/>
            </w:rPr>
          </w:pPr>
        </w:p>
        <w:p w14:paraId="27A45046" w14:textId="33D80AB1" w:rsidR="00CE5A1B" w:rsidRPr="00CE5A1B" w:rsidRDefault="00CE5A1B" w:rsidP="00C73D82">
          <w:pPr>
            <w:pStyle w:val="Body"/>
            <w:spacing w:after="0"/>
            <w:rPr>
              <w:lang w:val="en-IN"/>
            </w:rPr>
          </w:pPr>
          <w:r w:rsidRPr="00CE5A1B">
            <w:rPr>
              <w:lang w:val="en-IN"/>
            </w:rPr>
            <w:t xml:space="preserve">Goyal, K. A., &amp; Joshi, V. (n.d.). MERGERS IN BANKING INDUSTRY OF INDIA: SOME EMERGING ISSUES. </w:t>
          </w:r>
          <w:r w:rsidRPr="00CE5A1B">
            <w:rPr>
              <w:i/>
              <w:iCs/>
              <w:lang w:val="en-IN"/>
            </w:rPr>
            <w:t>Asian Journal of Business and Management Sciences</w:t>
          </w:r>
          <w:r w:rsidRPr="00CE5A1B">
            <w:rPr>
              <w:lang w:val="en-IN"/>
            </w:rPr>
            <w:t xml:space="preserve">, </w:t>
          </w:r>
          <w:r w:rsidRPr="00CE5A1B">
            <w:rPr>
              <w:i/>
              <w:iCs/>
              <w:lang w:val="en-IN"/>
            </w:rPr>
            <w:t>1</w:t>
          </w:r>
          <w:r w:rsidRPr="00CE5A1B">
            <w:rPr>
              <w:lang w:val="en-IN"/>
            </w:rPr>
            <w:t>(2), 157–165. www.ajbms.org</w:t>
          </w:r>
        </w:p>
        <w:p w14:paraId="58936072" w14:textId="77777777" w:rsidR="00C73D82" w:rsidRDefault="00C73D82" w:rsidP="00C73D82">
          <w:pPr>
            <w:pStyle w:val="Body"/>
            <w:spacing w:after="0"/>
            <w:rPr>
              <w:lang w:val="en-IN"/>
            </w:rPr>
          </w:pPr>
        </w:p>
        <w:p w14:paraId="65A85835" w14:textId="4E01321B" w:rsidR="00CE5A1B" w:rsidRPr="00CE5A1B" w:rsidRDefault="00CE5A1B" w:rsidP="00C73D82">
          <w:pPr>
            <w:pStyle w:val="Body"/>
            <w:spacing w:after="0"/>
            <w:rPr>
              <w:lang w:val="en-IN"/>
            </w:rPr>
          </w:pPr>
          <w:proofErr w:type="spellStart"/>
          <w:r w:rsidRPr="00CE5A1B">
            <w:rPr>
              <w:lang w:val="en-IN"/>
            </w:rPr>
            <w:t>Grullon</w:t>
          </w:r>
          <w:proofErr w:type="spellEnd"/>
          <w:r w:rsidRPr="00CE5A1B">
            <w:rPr>
              <w:lang w:val="en-IN"/>
            </w:rPr>
            <w:t xml:space="preserve">, G., </w:t>
          </w:r>
          <w:proofErr w:type="spellStart"/>
          <w:r w:rsidRPr="00CE5A1B">
            <w:rPr>
              <w:lang w:val="en-IN"/>
            </w:rPr>
            <w:t>Michaely</w:t>
          </w:r>
          <w:proofErr w:type="spellEnd"/>
          <w:r w:rsidRPr="00CE5A1B">
            <w:rPr>
              <w:lang w:val="en-IN"/>
            </w:rPr>
            <w:t xml:space="preserve">, R., &amp; </w:t>
          </w:r>
          <w:proofErr w:type="spellStart"/>
          <w:r w:rsidRPr="00CE5A1B">
            <w:rPr>
              <w:lang w:val="en-IN"/>
            </w:rPr>
            <w:t>Swary</w:t>
          </w:r>
          <w:proofErr w:type="spellEnd"/>
          <w:r w:rsidRPr="00CE5A1B">
            <w:rPr>
              <w:lang w:val="en-IN"/>
            </w:rPr>
            <w:t xml:space="preserve">, I. (1997). Capital adequacy, bank mergers, and the medium of payment. </w:t>
          </w:r>
          <w:r w:rsidRPr="00CE5A1B">
            <w:rPr>
              <w:i/>
              <w:iCs/>
              <w:lang w:val="en-IN"/>
            </w:rPr>
            <w:t>Journal of Business Finance and Accounting</w:t>
          </w:r>
          <w:r w:rsidRPr="00CE5A1B">
            <w:rPr>
              <w:lang w:val="en-IN"/>
            </w:rPr>
            <w:t xml:space="preserve">, </w:t>
          </w:r>
          <w:r w:rsidRPr="00CE5A1B">
            <w:rPr>
              <w:i/>
              <w:iCs/>
              <w:lang w:val="en-IN"/>
            </w:rPr>
            <w:t>24</w:t>
          </w:r>
          <w:r w:rsidRPr="00CE5A1B">
            <w:rPr>
              <w:lang w:val="en-IN"/>
            </w:rPr>
            <w:t>(1), 97–124. https://doi.org/10.1111/1468-5957</w:t>
          </w:r>
          <w:r w:rsidR="00A55192" w:rsidRPr="00A55192">
            <w:rPr>
              <w:i/>
              <w:iCs/>
              <w:lang w:val="en-IN"/>
            </w:rPr>
            <w:t>.00</w:t>
          </w:r>
          <w:r w:rsidRPr="00CE5A1B">
            <w:rPr>
              <w:lang w:val="en-IN"/>
            </w:rPr>
            <w:t>97</w:t>
          </w:r>
        </w:p>
        <w:p w14:paraId="78DE0B73" w14:textId="77777777" w:rsidR="00C73D82" w:rsidRDefault="00C73D82" w:rsidP="00C73D82">
          <w:pPr>
            <w:pStyle w:val="Body"/>
            <w:spacing w:after="0"/>
            <w:rPr>
              <w:lang w:val="en-IN"/>
            </w:rPr>
          </w:pPr>
        </w:p>
        <w:p w14:paraId="064CCDBD" w14:textId="12EF13FA" w:rsidR="00CE5A1B" w:rsidRPr="00CE5A1B" w:rsidRDefault="00CE5A1B" w:rsidP="00C73D82">
          <w:pPr>
            <w:pStyle w:val="Body"/>
            <w:spacing w:after="0"/>
            <w:rPr>
              <w:lang w:val="en-IN"/>
            </w:rPr>
          </w:pPr>
          <w:proofErr w:type="spellStart"/>
          <w:r w:rsidRPr="00CE5A1B">
            <w:rPr>
              <w:lang w:val="en-IN"/>
            </w:rPr>
            <w:lastRenderedPageBreak/>
            <w:t>Hadi</w:t>
          </w:r>
          <w:proofErr w:type="spellEnd"/>
          <w:r w:rsidRPr="00CE5A1B">
            <w:rPr>
              <w:lang w:val="en-IN"/>
            </w:rPr>
            <w:t xml:space="preserve">, Y.-. (2024). </w:t>
          </w:r>
          <w:proofErr w:type="spellStart"/>
          <w:r w:rsidRPr="00CE5A1B">
            <w:rPr>
              <w:lang w:val="en-IN"/>
            </w:rPr>
            <w:t>Pengaruh</w:t>
          </w:r>
          <w:proofErr w:type="spellEnd"/>
          <w:r w:rsidRPr="00CE5A1B">
            <w:rPr>
              <w:lang w:val="en-IN"/>
            </w:rPr>
            <w:t xml:space="preserve"> ROA, TATO, CR, Dan DER </w:t>
          </w:r>
          <w:proofErr w:type="spellStart"/>
          <w:r w:rsidRPr="00CE5A1B">
            <w:rPr>
              <w:lang w:val="en-IN"/>
            </w:rPr>
            <w:t>Terhadap</w:t>
          </w:r>
          <w:proofErr w:type="spellEnd"/>
          <w:r w:rsidRPr="00CE5A1B">
            <w:rPr>
              <w:lang w:val="en-IN"/>
            </w:rPr>
            <w:t xml:space="preserve"> Nilai Perusahaan </w:t>
          </w:r>
          <w:proofErr w:type="spellStart"/>
          <w:r w:rsidRPr="00CE5A1B">
            <w:rPr>
              <w:lang w:val="en-IN"/>
            </w:rPr>
            <w:t>Sebelum</w:t>
          </w:r>
          <w:proofErr w:type="spellEnd"/>
          <w:r w:rsidRPr="00CE5A1B">
            <w:rPr>
              <w:lang w:val="en-IN"/>
            </w:rPr>
            <w:t xml:space="preserve"> Dan </w:t>
          </w:r>
          <w:proofErr w:type="spellStart"/>
          <w:r w:rsidRPr="00CE5A1B">
            <w:rPr>
              <w:lang w:val="en-IN"/>
            </w:rPr>
            <w:t>Sesudah</w:t>
          </w:r>
          <w:proofErr w:type="spellEnd"/>
          <w:r w:rsidRPr="00CE5A1B">
            <w:rPr>
              <w:lang w:val="en-IN"/>
            </w:rPr>
            <w:t xml:space="preserve"> Merger &amp; </w:t>
          </w:r>
          <w:proofErr w:type="spellStart"/>
          <w:r w:rsidRPr="00CE5A1B">
            <w:rPr>
              <w:lang w:val="en-IN"/>
            </w:rPr>
            <w:t>Akuisisi</w:t>
          </w:r>
          <w:proofErr w:type="spellEnd"/>
          <w:r w:rsidRPr="00CE5A1B">
            <w:rPr>
              <w:lang w:val="en-IN"/>
            </w:rPr>
            <w:t xml:space="preserve"> Di BEI 2015-2020. </w:t>
          </w:r>
          <w:proofErr w:type="spellStart"/>
          <w:r w:rsidRPr="00CE5A1B">
            <w:rPr>
              <w:i/>
              <w:iCs/>
              <w:lang w:val="en-IN"/>
            </w:rPr>
            <w:t>Eqien</w:t>
          </w:r>
          <w:proofErr w:type="spellEnd"/>
          <w:r w:rsidRPr="00CE5A1B">
            <w:rPr>
              <w:i/>
              <w:iCs/>
              <w:lang w:val="en-IN"/>
            </w:rPr>
            <w:t xml:space="preserve"> - </w:t>
          </w:r>
          <w:proofErr w:type="spellStart"/>
          <w:r w:rsidRPr="00CE5A1B">
            <w:rPr>
              <w:i/>
              <w:iCs/>
              <w:lang w:val="en-IN"/>
            </w:rPr>
            <w:t>Jurnal</w:t>
          </w:r>
          <w:proofErr w:type="spellEnd"/>
          <w:r w:rsidRPr="00CE5A1B">
            <w:rPr>
              <w:i/>
              <w:iCs/>
              <w:lang w:val="en-IN"/>
            </w:rPr>
            <w:t xml:space="preserve"> </w:t>
          </w:r>
          <w:proofErr w:type="spellStart"/>
          <w:r w:rsidRPr="00CE5A1B">
            <w:rPr>
              <w:i/>
              <w:iCs/>
              <w:lang w:val="en-IN"/>
            </w:rPr>
            <w:t>Ekonomi</w:t>
          </w:r>
          <w:proofErr w:type="spellEnd"/>
          <w:r w:rsidRPr="00CE5A1B">
            <w:rPr>
              <w:i/>
              <w:iCs/>
              <w:lang w:val="en-IN"/>
            </w:rPr>
            <w:t xml:space="preserve"> Dan </w:t>
          </w:r>
          <w:proofErr w:type="spellStart"/>
          <w:r w:rsidRPr="00CE5A1B">
            <w:rPr>
              <w:i/>
              <w:iCs/>
              <w:lang w:val="en-IN"/>
            </w:rPr>
            <w:t>Bisnis</w:t>
          </w:r>
          <w:proofErr w:type="spellEnd"/>
          <w:r w:rsidRPr="00CE5A1B">
            <w:rPr>
              <w:lang w:val="en-IN"/>
            </w:rPr>
            <w:t xml:space="preserve">, </w:t>
          </w:r>
          <w:r w:rsidRPr="00CE5A1B">
            <w:rPr>
              <w:i/>
              <w:iCs/>
              <w:lang w:val="en-IN"/>
            </w:rPr>
            <w:t>13</w:t>
          </w:r>
          <w:r w:rsidRPr="00CE5A1B">
            <w:rPr>
              <w:lang w:val="en-IN"/>
            </w:rPr>
            <w:t>(02), 223–235. https://doi.org/10.34308/eqien.v13i02.1773</w:t>
          </w:r>
        </w:p>
        <w:p w14:paraId="6C1E7082" w14:textId="77777777" w:rsidR="00C73D82" w:rsidRDefault="00C73D82" w:rsidP="00C73D82">
          <w:pPr>
            <w:pStyle w:val="Body"/>
            <w:spacing w:after="0"/>
            <w:rPr>
              <w:lang w:val="en-IN"/>
            </w:rPr>
          </w:pPr>
        </w:p>
        <w:p w14:paraId="4B7D6F07" w14:textId="0445280F" w:rsidR="00CE5A1B" w:rsidRPr="00CE5A1B" w:rsidRDefault="00CE5A1B" w:rsidP="00C73D82">
          <w:pPr>
            <w:pStyle w:val="Body"/>
            <w:spacing w:after="0"/>
            <w:rPr>
              <w:lang w:val="en-IN"/>
            </w:rPr>
          </w:pPr>
          <w:proofErr w:type="spellStart"/>
          <w:r w:rsidRPr="00CE5A1B">
            <w:rPr>
              <w:lang w:val="en-IN"/>
            </w:rPr>
            <w:t>Handyanto</w:t>
          </w:r>
          <w:proofErr w:type="spellEnd"/>
          <w:r w:rsidRPr="00CE5A1B">
            <w:rPr>
              <w:lang w:val="en-IN"/>
            </w:rPr>
            <w:t xml:space="preserve">, S., </w:t>
          </w:r>
          <w:proofErr w:type="spellStart"/>
          <w:r w:rsidRPr="00CE5A1B">
            <w:rPr>
              <w:lang w:val="en-IN"/>
            </w:rPr>
            <w:t>Astuti</w:t>
          </w:r>
          <w:proofErr w:type="spellEnd"/>
          <w:r w:rsidRPr="00CE5A1B">
            <w:rPr>
              <w:lang w:val="en-IN"/>
            </w:rPr>
            <w:t xml:space="preserve">, M. S., &amp; </w:t>
          </w:r>
          <w:proofErr w:type="spellStart"/>
          <w:r w:rsidRPr="00CE5A1B">
            <w:rPr>
              <w:lang w:val="en-IN"/>
            </w:rPr>
            <w:t>Ajiputra</w:t>
          </w:r>
          <w:proofErr w:type="spellEnd"/>
          <w:r w:rsidRPr="00CE5A1B">
            <w:rPr>
              <w:lang w:val="en-IN"/>
            </w:rPr>
            <w:t xml:space="preserve">, K. S. (2021). Indonesia Sharia Bank Merger Process Reviewed from Business Competition Laws. </w:t>
          </w:r>
          <w:r w:rsidRPr="00CE5A1B">
            <w:rPr>
              <w:i/>
              <w:iCs/>
              <w:lang w:val="en-IN"/>
            </w:rPr>
            <w:t>Lex Scientia Law Review</w:t>
          </w:r>
          <w:r w:rsidRPr="00CE5A1B">
            <w:rPr>
              <w:lang w:val="en-IN"/>
            </w:rPr>
            <w:t xml:space="preserve">, </w:t>
          </w:r>
          <w:r w:rsidRPr="00CE5A1B">
            <w:rPr>
              <w:i/>
              <w:iCs/>
              <w:lang w:val="en-IN"/>
            </w:rPr>
            <w:t>5</w:t>
          </w:r>
          <w:r w:rsidRPr="00CE5A1B">
            <w:rPr>
              <w:lang w:val="en-IN"/>
            </w:rPr>
            <w:t>(1), 45–62. https://doi.org/10.15294/lesrev.v5i1.46288</w:t>
          </w:r>
        </w:p>
        <w:p w14:paraId="641400E9" w14:textId="77777777" w:rsidR="00C73D82" w:rsidRDefault="00C73D82" w:rsidP="00C73D82">
          <w:pPr>
            <w:pStyle w:val="Body"/>
            <w:spacing w:after="0"/>
            <w:rPr>
              <w:lang w:val="en-IN"/>
            </w:rPr>
          </w:pPr>
        </w:p>
        <w:p w14:paraId="26192F32" w14:textId="54CD53C8" w:rsidR="00CE5A1B" w:rsidRPr="00CE5A1B" w:rsidRDefault="00CE5A1B" w:rsidP="00C73D82">
          <w:pPr>
            <w:pStyle w:val="Body"/>
            <w:spacing w:after="0"/>
            <w:rPr>
              <w:lang w:val="en-IN"/>
            </w:rPr>
          </w:pPr>
          <w:r w:rsidRPr="00CE5A1B">
            <w:rPr>
              <w:lang w:val="en-IN"/>
            </w:rPr>
            <w:t xml:space="preserve">Hensel, N. D. (2006). Cost-efficiencies, profitability, and strategic </w:t>
          </w:r>
          <w:proofErr w:type="spellStart"/>
          <w:r w:rsidRPr="00CE5A1B">
            <w:rPr>
              <w:lang w:val="en-IN"/>
            </w:rPr>
            <w:t>behavior</w:t>
          </w:r>
          <w:proofErr w:type="spellEnd"/>
          <w:r w:rsidRPr="00CE5A1B">
            <w:rPr>
              <w:lang w:val="en-IN"/>
            </w:rPr>
            <w:t xml:space="preserve">: Evidence from Japanese commercial banks. </w:t>
          </w:r>
          <w:r w:rsidRPr="00CE5A1B">
            <w:rPr>
              <w:i/>
              <w:iCs/>
              <w:lang w:val="en-IN"/>
            </w:rPr>
            <w:t>International Journal of Managerial Finance</w:t>
          </w:r>
          <w:r w:rsidRPr="00CE5A1B">
            <w:rPr>
              <w:lang w:val="en-IN"/>
            </w:rPr>
            <w:t xml:space="preserve">, </w:t>
          </w:r>
          <w:r w:rsidRPr="00CE5A1B">
            <w:rPr>
              <w:i/>
              <w:iCs/>
              <w:lang w:val="en-IN"/>
            </w:rPr>
            <w:t>2</w:t>
          </w:r>
          <w:r w:rsidRPr="00CE5A1B">
            <w:rPr>
              <w:lang w:val="en-IN"/>
            </w:rPr>
            <w:t>(1), 49–76. https://doi.org/10.1108/17439130610646162</w:t>
          </w:r>
        </w:p>
        <w:p w14:paraId="40CEAE9A" w14:textId="77777777" w:rsidR="00C73D82" w:rsidRDefault="00C73D82" w:rsidP="00C73D82">
          <w:pPr>
            <w:pStyle w:val="Body"/>
            <w:spacing w:after="0"/>
            <w:rPr>
              <w:lang w:val="en-IN"/>
            </w:rPr>
          </w:pPr>
        </w:p>
        <w:p w14:paraId="2F3447DD" w14:textId="33E7059A" w:rsidR="00CE5A1B" w:rsidRPr="00CE5A1B" w:rsidRDefault="00CE5A1B" w:rsidP="00C73D82">
          <w:pPr>
            <w:pStyle w:val="Body"/>
            <w:spacing w:after="0"/>
            <w:rPr>
              <w:lang w:val="en-IN"/>
            </w:rPr>
          </w:pPr>
          <w:proofErr w:type="spellStart"/>
          <w:r w:rsidRPr="00CE5A1B">
            <w:rPr>
              <w:lang w:val="en-IN"/>
            </w:rPr>
            <w:t>Hosapeti</w:t>
          </w:r>
          <w:proofErr w:type="spellEnd"/>
          <w:r w:rsidRPr="00CE5A1B">
            <w:rPr>
              <w:lang w:val="en-IN"/>
            </w:rPr>
            <w:t xml:space="preserve">, G. S., &amp; </w:t>
          </w:r>
          <w:proofErr w:type="spellStart"/>
          <w:r w:rsidRPr="00CE5A1B">
            <w:rPr>
              <w:lang w:val="en-IN"/>
            </w:rPr>
            <w:t>Rathi</w:t>
          </w:r>
          <w:proofErr w:type="spellEnd"/>
          <w:r w:rsidRPr="00CE5A1B">
            <w:rPr>
              <w:lang w:val="en-IN"/>
            </w:rPr>
            <w:t xml:space="preserve">, R. (n.d.). </w:t>
          </w:r>
          <w:r w:rsidRPr="00CE5A1B">
            <w:rPr>
              <w:i/>
              <w:iCs/>
              <w:lang w:val="en-IN"/>
            </w:rPr>
            <w:t>Impact of Merger and Acquisition on Financial Performance of Public Sector Banks: A Case Study on Bank of Baroda</w:t>
          </w:r>
          <w:r w:rsidRPr="00CE5A1B">
            <w:rPr>
              <w:lang w:val="en-IN"/>
            </w:rPr>
            <w:t>. www.ijfmr.com</w:t>
          </w:r>
        </w:p>
        <w:p w14:paraId="05BF8F82" w14:textId="77777777" w:rsidR="00C73D82" w:rsidRDefault="00C73D82" w:rsidP="00C73D82">
          <w:pPr>
            <w:pStyle w:val="Body"/>
            <w:spacing w:after="0"/>
            <w:rPr>
              <w:lang w:val="en-IN"/>
            </w:rPr>
          </w:pPr>
        </w:p>
        <w:p w14:paraId="03B5B3B1" w14:textId="6104BEF2" w:rsidR="00CE5A1B" w:rsidRPr="00CE5A1B" w:rsidRDefault="00CE5A1B" w:rsidP="00C73D82">
          <w:pPr>
            <w:pStyle w:val="Body"/>
            <w:spacing w:after="0"/>
            <w:rPr>
              <w:lang w:val="en-IN"/>
            </w:rPr>
          </w:pPr>
          <w:proofErr w:type="spellStart"/>
          <w:r w:rsidRPr="00CE5A1B">
            <w:rPr>
              <w:lang w:val="en-IN"/>
            </w:rPr>
            <w:t>Huian</w:t>
          </w:r>
          <w:proofErr w:type="spellEnd"/>
          <w:r w:rsidRPr="00CE5A1B">
            <w:rPr>
              <w:lang w:val="en-IN"/>
            </w:rPr>
            <w:t xml:space="preserve">, M. C. (2011). Post M &amp; A accounting performance of </w:t>
          </w:r>
          <w:r w:rsidR="000B7F04" w:rsidRPr="00CE5A1B">
            <w:rPr>
              <w:lang w:val="en-IN"/>
            </w:rPr>
            <w:t>Romanian</w:t>
          </w:r>
          <w:r w:rsidRPr="00CE5A1B">
            <w:rPr>
              <w:lang w:val="en-IN"/>
            </w:rPr>
            <w:t xml:space="preserve"> </w:t>
          </w:r>
          <w:r w:rsidR="000B7F04">
            <w:rPr>
              <w:lang w:val="en-IN"/>
            </w:rPr>
            <w:t>B</w:t>
          </w:r>
          <w:r w:rsidRPr="00CE5A1B">
            <w:rPr>
              <w:lang w:val="en-IN"/>
            </w:rPr>
            <w:t xml:space="preserve">anks. </w:t>
          </w:r>
          <w:r w:rsidRPr="00CE5A1B">
            <w:rPr>
              <w:i/>
              <w:iCs/>
              <w:lang w:val="en-IN"/>
            </w:rPr>
            <w:t>Creating Global Competitive Economies: A 360-Degree Approach - Proceedings of the 17th International Business Information Management Association Conference, IBIMA 2011</w:t>
          </w:r>
          <w:r w:rsidRPr="00CE5A1B">
            <w:rPr>
              <w:lang w:val="en-IN"/>
            </w:rPr>
            <w:t xml:space="preserve">, </w:t>
          </w:r>
          <w:r w:rsidRPr="00CE5A1B">
            <w:rPr>
              <w:i/>
              <w:iCs/>
              <w:lang w:val="en-IN"/>
            </w:rPr>
            <w:t>4</w:t>
          </w:r>
          <w:r w:rsidRPr="00CE5A1B">
            <w:rPr>
              <w:lang w:val="en-IN"/>
            </w:rPr>
            <w:t>, 2399–2414. https://doi.org/10.5171/2012.184557</w:t>
          </w:r>
        </w:p>
        <w:p w14:paraId="6394489C" w14:textId="77777777" w:rsidR="00C73D82" w:rsidRDefault="00C73D82" w:rsidP="00C73D82">
          <w:pPr>
            <w:pStyle w:val="Body"/>
            <w:spacing w:after="0"/>
            <w:rPr>
              <w:lang w:val="en-IN"/>
            </w:rPr>
          </w:pPr>
        </w:p>
        <w:p w14:paraId="6CBB4EF0" w14:textId="06E03D17" w:rsidR="00CE5A1B" w:rsidRPr="00CE5A1B" w:rsidRDefault="00CE5A1B" w:rsidP="00C73D82">
          <w:pPr>
            <w:pStyle w:val="Body"/>
            <w:spacing w:after="0"/>
            <w:rPr>
              <w:lang w:val="en-IN"/>
            </w:rPr>
          </w:pPr>
          <w:r w:rsidRPr="00CE5A1B">
            <w:rPr>
              <w:lang w:val="en-IN"/>
            </w:rPr>
            <w:t xml:space="preserve">Jadhav, J. J., </w:t>
          </w:r>
          <w:proofErr w:type="spellStart"/>
          <w:r w:rsidRPr="00CE5A1B">
            <w:rPr>
              <w:lang w:val="en-IN"/>
            </w:rPr>
            <w:t>Kathale</w:t>
          </w:r>
          <w:proofErr w:type="spellEnd"/>
          <w:r w:rsidRPr="00CE5A1B">
            <w:rPr>
              <w:lang w:val="en-IN"/>
            </w:rPr>
            <w:t xml:space="preserve">, A., &amp; </w:t>
          </w:r>
          <w:proofErr w:type="spellStart"/>
          <w:r w:rsidRPr="00CE5A1B">
            <w:rPr>
              <w:lang w:val="en-IN"/>
            </w:rPr>
            <w:t>Rajpurohit</w:t>
          </w:r>
          <w:proofErr w:type="spellEnd"/>
          <w:r w:rsidRPr="00CE5A1B">
            <w:rPr>
              <w:lang w:val="en-IN"/>
            </w:rPr>
            <w:t xml:space="preserve">, S. (2021). An Impact of Capital Adequacy Ratio on the Profitability of Private Sector Banks in India – A Study. </w:t>
          </w:r>
          <w:r w:rsidRPr="00CE5A1B">
            <w:rPr>
              <w:i/>
              <w:iCs/>
              <w:lang w:val="en-IN"/>
            </w:rPr>
            <w:t>International Journal of Engineering and Management Research</w:t>
          </w:r>
          <w:r w:rsidRPr="00CE5A1B">
            <w:rPr>
              <w:lang w:val="en-IN"/>
            </w:rPr>
            <w:t xml:space="preserve">, </w:t>
          </w:r>
          <w:r w:rsidRPr="00CE5A1B">
            <w:rPr>
              <w:i/>
              <w:iCs/>
              <w:lang w:val="en-IN"/>
            </w:rPr>
            <w:t>11</w:t>
          </w:r>
          <w:r w:rsidRPr="00CE5A1B">
            <w:rPr>
              <w:lang w:val="en-IN"/>
            </w:rPr>
            <w:t>(5). https://doi.org/10.31033/ijemr.11.5.5</w:t>
          </w:r>
        </w:p>
        <w:p w14:paraId="53197B45" w14:textId="77777777" w:rsidR="00C73D82" w:rsidRDefault="00C73D82" w:rsidP="00C73D82">
          <w:pPr>
            <w:pStyle w:val="Body"/>
            <w:spacing w:after="0"/>
            <w:rPr>
              <w:lang w:val="en-IN"/>
            </w:rPr>
          </w:pPr>
        </w:p>
        <w:p w14:paraId="68D02B85" w14:textId="17207447" w:rsidR="00CE5A1B" w:rsidRPr="00CE5A1B" w:rsidRDefault="00CE5A1B" w:rsidP="00C73D82">
          <w:pPr>
            <w:pStyle w:val="Body"/>
            <w:spacing w:after="0"/>
            <w:rPr>
              <w:lang w:val="en-IN"/>
            </w:rPr>
          </w:pPr>
          <w:r w:rsidRPr="00CE5A1B">
            <w:rPr>
              <w:lang w:val="en-IN"/>
            </w:rPr>
            <w:t xml:space="preserve">Jain, A., &amp; Jain, P. (2020). The merger of banks in India: Boon or bane for the Indian economy? </w:t>
          </w:r>
          <w:r w:rsidRPr="00CE5A1B">
            <w:rPr>
              <w:i/>
              <w:iCs/>
              <w:lang w:val="en-IN"/>
            </w:rPr>
            <w:t>EUROPEAN JOURNAL OF INTERDISCIPLINARY RESEARCH</w:t>
          </w:r>
          <w:r w:rsidRPr="00CE5A1B">
            <w:rPr>
              <w:lang w:val="en-IN"/>
            </w:rPr>
            <w:t xml:space="preserve">, </w:t>
          </w:r>
          <w:r w:rsidRPr="00CE5A1B">
            <w:rPr>
              <w:i/>
              <w:iCs/>
              <w:lang w:val="en-IN"/>
            </w:rPr>
            <w:t>1</w:t>
          </w:r>
          <w:r w:rsidRPr="00CE5A1B">
            <w:rPr>
              <w:lang w:val="en-IN"/>
            </w:rPr>
            <w:t>(1), 46–51. https://doi.org/10.5281/zenodo.4006607</w:t>
          </w:r>
        </w:p>
        <w:p w14:paraId="71FE5D47" w14:textId="77777777" w:rsidR="00C73D82" w:rsidRDefault="00C73D82" w:rsidP="00C73D82">
          <w:pPr>
            <w:pStyle w:val="Body"/>
            <w:spacing w:after="0"/>
            <w:rPr>
              <w:lang w:val="en-IN"/>
            </w:rPr>
          </w:pPr>
        </w:p>
        <w:p w14:paraId="425E9F60" w14:textId="77777777" w:rsidR="00C73D82" w:rsidRDefault="00CE5A1B" w:rsidP="00C73D82">
          <w:pPr>
            <w:pStyle w:val="Body"/>
            <w:spacing w:after="0"/>
            <w:rPr>
              <w:lang w:val="en-IN"/>
            </w:rPr>
          </w:pPr>
          <w:proofErr w:type="spellStart"/>
          <w:r w:rsidRPr="00CE5A1B">
            <w:rPr>
              <w:lang w:val="en-IN"/>
            </w:rPr>
            <w:t>Jallad</w:t>
          </w:r>
          <w:proofErr w:type="spellEnd"/>
          <w:r w:rsidRPr="00CE5A1B">
            <w:rPr>
              <w:lang w:val="en-IN"/>
            </w:rPr>
            <w:t xml:space="preserve">, R., Tina, A., &amp; </w:t>
          </w:r>
          <w:proofErr w:type="spellStart"/>
          <w:r w:rsidRPr="00CE5A1B">
            <w:rPr>
              <w:lang w:val="en-IN"/>
            </w:rPr>
            <w:t>Persakis</w:t>
          </w:r>
          <w:proofErr w:type="spellEnd"/>
          <w:r w:rsidRPr="00CE5A1B">
            <w:rPr>
              <w:lang w:val="en-IN"/>
            </w:rPr>
            <w:t xml:space="preserve">, A. (2025). Mergers and Acquisitions’ Moderating Effect on the Relationship Between Credit Risk and Bank Value: A Quantile Regression Approach. </w:t>
          </w:r>
        </w:p>
        <w:p w14:paraId="4A348DE7" w14:textId="77777777" w:rsidR="00C73D82" w:rsidRDefault="00C73D82" w:rsidP="00C73D82">
          <w:pPr>
            <w:pStyle w:val="Body"/>
            <w:spacing w:after="0"/>
            <w:rPr>
              <w:lang w:val="en-IN"/>
            </w:rPr>
          </w:pPr>
        </w:p>
        <w:p w14:paraId="15228188" w14:textId="7B38B995" w:rsidR="00CE5A1B" w:rsidRPr="00CE5A1B" w:rsidRDefault="00CE5A1B" w:rsidP="00C73D82">
          <w:pPr>
            <w:pStyle w:val="Body"/>
            <w:spacing w:after="0"/>
            <w:rPr>
              <w:lang w:val="en-IN"/>
            </w:rPr>
          </w:pPr>
          <w:r w:rsidRPr="00CE5A1B">
            <w:rPr>
              <w:i/>
              <w:iCs/>
              <w:lang w:val="en-IN"/>
            </w:rPr>
            <w:t>Journal of Risk and Financial Management</w:t>
          </w:r>
          <w:r w:rsidRPr="00CE5A1B">
            <w:rPr>
              <w:lang w:val="en-IN"/>
            </w:rPr>
            <w:t xml:space="preserve">, </w:t>
          </w:r>
          <w:r w:rsidRPr="00CE5A1B">
            <w:rPr>
              <w:i/>
              <w:iCs/>
              <w:lang w:val="en-IN"/>
            </w:rPr>
            <w:t>18</w:t>
          </w:r>
          <w:r w:rsidRPr="00CE5A1B">
            <w:rPr>
              <w:lang w:val="en-IN"/>
            </w:rPr>
            <w:t>(2). https://doi.org/10.3390/jrfm18020100</w:t>
          </w:r>
        </w:p>
        <w:p w14:paraId="67D00DAE" w14:textId="77777777" w:rsidR="00CE5A1B" w:rsidRPr="00CE5A1B" w:rsidRDefault="00CE5A1B" w:rsidP="00C73D82">
          <w:pPr>
            <w:pStyle w:val="Body"/>
            <w:spacing w:after="0"/>
            <w:rPr>
              <w:lang w:val="en-IN"/>
            </w:rPr>
          </w:pPr>
          <w:r w:rsidRPr="00CE5A1B">
            <w:rPr>
              <w:lang w:val="en-IN"/>
            </w:rPr>
            <w:t xml:space="preserve">Jha, S. S., &amp; </w:t>
          </w:r>
          <w:proofErr w:type="spellStart"/>
          <w:r w:rsidRPr="00CE5A1B">
            <w:rPr>
              <w:lang w:val="en-IN"/>
            </w:rPr>
            <w:t>Premanand</w:t>
          </w:r>
          <w:proofErr w:type="spellEnd"/>
          <w:r w:rsidRPr="00CE5A1B">
            <w:rPr>
              <w:lang w:val="en-IN"/>
            </w:rPr>
            <w:t xml:space="preserve">. (2023). Merger of Indian Banks. </w:t>
          </w:r>
          <w:r w:rsidRPr="00CE5A1B">
            <w:rPr>
              <w:i/>
              <w:iCs/>
              <w:lang w:val="en-IN"/>
            </w:rPr>
            <w:t>VEETHIKA-An International Interdisciplinary Research Journal</w:t>
          </w:r>
          <w:r w:rsidRPr="00CE5A1B">
            <w:rPr>
              <w:lang w:val="en-IN"/>
            </w:rPr>
            <w:t xml:space="preserve">, </w:t>
          </w:r>
          <w:r w:rsidRPr="00CE5A1B">
            <w:rPr>
              <w:i/>
              <w:iCs/>
              <w:lang w:val="en-IN"/>
            </w:rPr>
            <w:t>9</w:t>
          </w:r>
          <w:r w:rsidRPr="00CE5A1B">
            <w:rPr>
              <w:lang w:val="en-IN"/>
            </w:rPr>
            <w:t>(3), 1–5. https://doi.org/10.48001/veethika.2023.09.03.001</w:t>
          </w:r>
        </w:p>
        <w:p w14:paraId="253F23A2" w14:textId="77777777" w:rsidR="00C73D82" w:rsidRDefault="00C73D82" w:rsidP="00C73D82">
          <w:pPr>
            <w:pStyle w:val="Body"/>
            <w:spacing w:after="0"/>
            <w:rPr>
              <w:lang w:val="en-IN"/>
            </w:rPr>
          </w:pPr>
        </w:p>
        <w:p w14:paraId="33A9ACCB" w14:textId="081192F3" w:rsidR="00CE5A1B" w:rsidRPr="00CE5A1B" w:rsidRDefault="00CE5A1B" w:rsidP="00C73D82">
          <w:pPr>
            <w:pStyle w:val="Body"/>
            <w:spacing w:after="0"/>
            <w:rPr>
              <w:lang w:val="en-IN"/>
            </w:rPr>
          </w:pPr>
          <w:r w:rsidRPr="00CE5A1B">
            <w:rPr>
              <w:lang w:val="en-IN"/>
            </w:rPr>
            <w:t xml:space="preserve">Kaur, G., &amp; </w:t>
          </w:r>
          <w:proofErr w:type="spellStart"/>
          <w:r w:rsidRPr="00CE5A1B">
            <w:rPr>
              <w:lang w:val="en-IN"/>
            </w:rPr>
            <w:t>Bala</w:t>
          </w:r>
          <w:proofErr w:type="spellEnd"/>
          <w:r w:rsidRPr="00CE5A1B">
            <w:rPr>
              <w:lang w:val="en-IN"/>
            </w:rPr>
            <w:t xml:space="preserve">, A. (2024). Merger as an only rescue/choice: lessons from a public sector bank of India. </w:t>
          </w:r>
          <w:r w:rsidRPr="00CE5A1B">
            <w:rPr>
              <w:i/>
              <w:iCs/>
              <w:lang w:val="en-IN"/>
            </w:rPr>
            <w:t>Journal of Banking Regulation</w:t>
          </w:r>
          <w:r w:rsidRPr="00CE5A1B">
            <w:rPr>
              <w:lang w:val="en-IN"/>
            </w:rPr>
            <w:t xml:space="preserve">, </w:t>
          </w:r>
          <w:r w:rsidRPr="00CE5A1B">
            <w:rPr>
              <w:i/>
              <w:iCs/>
              <w:lang w:val="en-IN"/>
            </w:rPr>
            <w:t>25</w:t>
          </w:r>
          <w:r w:rsidRPr="00CE5A1B">
            <w:rPr>
              <w:lang w:val="en-IN"/>
            </w:rPr>
            <w:t>(2), 95–111. https://doi.org/10.1057/s41261-023-00216-9</w:t>
          </w:r>
        </w:p>
        <w:p w14:paraId="354A51E4" w14:textId="77777777" w:rsidR="00C73D82" w:rsidRDefault="00C73D82" w:rsidP="00C73D82">
          <w:pPr>
            <w:pStyle w:val="Body"/>
            <w:spacing w:after="0"/>
            <w:rPr>
              <w:lang w:val="en-IN"/>
            </w:rPr>
          </w:pPr>
        </w:p>
        <w:p w14:paraId="0F56C6C2" w14:textId="422DF040" w:rsidR="00CE5A1B" w:rsidRPr="00CE5A1B" w:rsidRDefault="00CE5A1B" w:rsidP="00C73D82">
          <w:pPr>
            <w:pStyle w:val="Body"/>
            <w:spacing w:after="0"/>
            <w:rPr>
              <w:lang w:val="en-IN"/>
            </w:rPr>
          </w:pPr>
          <w:proofErr w:type="spellStart"/>
          <w:r w:rsidRPr="00CE5A1B">
            <w:rPr>
              <w:lang w:val="en-IN"/>
            </w:rPr>
            <w:t>Kausingh</w:t>
          </w:r>
          <w:proofErr w:type="spellEnd"/>
          <w:r w:rsidRPr="00CE5A1B">
            <w:rPr>
              <w:lang w:val="en-IN"/>
            </w:rPr>
            <w:t xml:space="preserve">, Y. B., &amp; Sridharan, N. (2019). “A Study on Mergers and Acquisition of Banks in India.” </w:t>
          </w:r>
          <w:r w:rsidRPr="00CE5A1B">
            <w:rPr>
              <w:i/>
              <w:iCs/>
              <w:lang w:val="en-IN"/>
            </w:rPr>
            <w:t>Journal of Information and Computational Science</w:t>
          </w:r>
          <w:r w:rsidRPr="00CE5A1B">
            <w:rPr>
              <w:lang w:val="en-IN"/>
            </w:rPr>
            <w:t xml:space="preserve">, </w:t>
          </w:r>
          <w:r w:rsidRPr="00CE5A1B">
            <w:rPr>
              <w:i/>
              <w:iCs/>
              <w:lang w:val="en-IN"/>
            </w:rPr>
            <w:t>9</w:t>
          </w:r>
          <w:r w:rsidRPr="00CE5A1B">
            <w:rPr>
              <w:lang w:val="en-IN"/>
            </w:rPr>
            <w:t>(8), 928–937. www.joics.org</w:t>
          </w:r>
        </w:p>
        <w:p w14:paraId="3C5C4A5B" w14:textId="77777777" w:rsidR="00575C9E" w:rsidRDefault="00575C9E" w:rsidP="00C73D82">
          <w:pPr>
            <w:pStyle w:val="Body"/>
            <w:spacing w:after="0"/>
            <w:rPr>
              <w:lang w:val="en-IN"/>
            </w:rPr>
          </w:pPr>
        </w:p>
        <w:p w14:paraId="0F13C03E" w14:textId="6740CF44" w:rsidR="00CE5A1B" w:rsidRPr="00CE5A1B" w:rsidRDefault="00CE5A1B" w:rsidP="00C73D82">
          <w:pPr>
            <w:pStyle w:val="Body"/>
            <w:spacing w:after="0"/>
            <w:rPr>
              <w:lang w:val="en-IN"/>
            </w:rPr>
          </w:pPr>
          <w:r w:rsidRPr="00CE5A1B">
            <w:rPr>
              <w:lang w:val="en-IN"/>
            </w:rPr>
            <w:t xml:space="preserve">Khan, </w:t>
          </w:r>
          <w:proofErr w:type="spellStart"/>
          <w:r w:rsidRPr="00CE5A1B">
            <w:rPr>
              <w:lang w:val="en-IN"/>
            </w:rPr>
            <w:t>Dr.</w:t>
          </w:r>
          <w:proofErr w:type="spellEnd"/>
          <w:r w:rsidRPr="00CE5A1B">
            <w:rPr>
              <w:lang w:val="en-IN"/>
            </w:rPr>
            <w:t xml:space="preserve"> A. K., &amp; Faisal, </w:t>
          </w:r>
          <w:proofErr w:type="spellStart"/>
          <w:r w:rsidRPr="00CE5A1B">
            <w:rPr>
              <w:lang w:val="en-IN"/>
            </w:rPr>
            <w:t>Dr.</w:t>
          </w:r>
          <w:proofErr w:type="spellEnd"/>
          <w:r w:rsidRPr="00CE5A1B">
            <w:rPr>
              <w:lang w:val="en-IN"/>
            </w:rPr>
            <w:t xml:space="preserve"> S. M. (2023). A Study of the State Bank of India’s Performance Using the CAMELS Method of Analysis. </w:t>
          </w:r>
          <w:r w:rsidRPr="00CE5A1B">
            <w:rPr>
              <w:i/>
              <w:iCs/>
              <w:lang w:val="en-IN"/>
            </w:rPr>
            <w:t>Journal of Corporate Finance Management and Banking System</w:t>
          </w:r>
          <w:r w:rsidRPr="00CE5A1B">
            <w:rPr>
              <w:lang w:val="en-IN"/>
            </w:rPr>
            <w:t xml:space="preserve">, </w:t>
          </w:r>
          <w:r w:rsidRPr="00CE5A1B">
            <w:rPr>
              <w:i/>
              <w:iCs/>
              <w:lang w:val="en-IN"/>
            </w:rPr>
            <w:t>34</w:t>
          </w:r>
          <w:r w:rsidRPr="00CE5A1B">
            <w:rPr>
              <w:lang w:val="en-IN"/>
            </w:rPr>
            <w:t>, 13–26. https://doi.org/10.55529/jcfmbs.34.13.26</w:t>
          </w:r>
        </w:p>
        <w:p w14:paraId="6AAEFD3A" w14:textId="77777777" w:rsidR="00C73D82" w:rsidRDefault="00C73D82" w:rsidP="00C73D82">
          <w:pPr>
            <w:pStyle w:val="Body"/>
            <w:spacing w:after="0"/>
            <w:rPr>
              <w:lang w:val="en-IN"/>
            </w:rPr>
          </w:pPr>
        </w:p>
        <w:p w14:paraId="03C2D41B" w14:textId="76621691" w:rsidR="00CE5A1B" w:rsidRPr="00CE5A1B" w:rsidRDefault="00CE5A1B" w:rsidP="00C73D82">
          <w:pPr>
            <w:pStyle w:val="Body"/>
            <w:spacing w:after="0"/>
            <w:rPr>
              <w:lang w:val="en-IN"/>
            </w:rPr>
          </w:pPr>
          <w:proofErr w:type="spellStart"/>
          <w:r w:rsidRPr="00CE5A1B">
            <w:rPr>
              <w:lang w:val="en-IN"/>
            </w:rPr>
            <w:t>Krishnankutty</w:t>
          </w:r>
          <w:proofErr w:type="spellEnd"/>
          <w:r w:rsidRPr="00CE5A1B">
            <w:rPr>
              <w:lang w:val="en-IN"/>
            </w:rPr>
            <w:t xml:space="preserve">, R., &amp; Kumar Mohanty, B. (2018). Determinants of Profitability in Indian Banks in the Changing Scenario. </w:t>
          </w:r>
          <w:r w:rsidRPr="00CE5A1B">
            <w:rPr>
              <w:i/>
              <w:iCs/>
              <w:lang w:val="en-IN"/>
            </w:rPr>
            <w:t>International Journal of Economics and Financial Issues</w:t>
          </w:r>
          <w:r w:rsidRPr="00CE5A1B">
            <w:rPr>
              <w:lang w:val="en-IN"/>
            </w:rPr>
            <w:t xml:space="preserve">, </w:t>
          </w:r>
          <w:r w:rsidRPr="00CE5A1B">
            <w:rPr>
              <w:i/>
              <w:iCs/>
              <w:lang w:val="en-IN"/>
            </w:rPr>
            <w:t>8</w:t>
          </w:r>
          <w:r w:rsidRPr="00CE5A1B">
            <w:rPr>
              <w:lang w:val="en-IN"/>
            </w:rPr>
            <w:t xml:space="preserve">(3), 235–240. </w:t>
          </w:r>
          <w:proofErr w:type="gramStart"/>
          <w:r w:rsidR="000B7F04" w:rsidRPr="00CE5A1B">
            <w:rPr>
              <w:lang w:val="en-IN"/>
            </w:rPr>
            <w:t>http</w:t>
          </w:r>
          <w:r w:rsidR="000B7F04">
            <w:rPr>
              <w:lang w:val="en-IN"/>
            </w:rPr>
            <w:t>s</w:t>
          </w:r>
          <w:r w:rsidR="000B7F04" w:rsidRPr="00CE5A1B">
            <w:rPr>
              <w:lang w:val="en-IN"/>
            </w:rPr>
            <w:t>:www.econjournals.com</w:t>
          </w:r>
          <w:proofErr w:type="gramEnd"/>
        </w:p>
        <w:p w14:paraId="2861CBF7" w14:textId="77777777" w:rsidR="00C73D82" w:rsidRDefault="00C73D82" w:rsidP="00C73D82">
          <w:pPr>
            <w:pStyle w:val="Body"/>
            <w:spacing w:after="0"/>
            <w:rPr>
              <w:lang w:val="en-IN"/>
            </w:rPr>
          </w:pPr>
        </w:p>
        <w:p w14:paraId="644FD185" w14:textId="228D78D8" w:rsidR="00CE5A1B" w:rsidRPr="00CE5A1B" w:rsidRDefault="00CE5A1B" w:rsidP="00C73D82">
          <w:pPr>
            <w:pStyle w:val="Body"/>
            <w:spacing w:after="0"/>
            <w:rPr>
              <w:lang w:val="en-IN"/>
            </w:rPr>
          </w:pPr>
          <w:proofErr w:type="spellStart"/>
          <w:r w:rsidRPr="00CE5A1B">
            <w:rPr>
              <w:lang w:val="en-IN"/>
            </w:rPr>
            <w:t>Krishnudu</w:t>
          </w:r>
          <w:proofErr w:type="spellEnd"/>
          <w:r w:rsidRPr="00CE5A1B">
            <w:rPr>
              <w:lang w:val="en-IN"/>
            </w:rPr>
            <w:t xml:space="preserve"> G. Chinni. (2022). Analysis of NPAs in Banking Sector-A Case Study of Public and Private Sector. </w:t>
          </w:r>
          <w:proofErr w:type="spellStart"/>
          <w:r w:rsidRPr="00CE5A1B">
            <w:rPr>
              <w:i/>
              <w:iCs/>
              <w:lang w:val="en-IN"/>
            </w:rPr>
            <w:t>Anveshana’s</w:t>
          </w:r>
          <w:proofErr w:type="spellEnd"/>
          <w:r w:rsidRPr="00CE5A1B">
            <w:rPr>
              <w:i/>
              <w:iCs/>
              <w:lang w:val="en-IN"/>
            </w:rPr>
            <w:t xml:space="preserve"> International Journal of Research in Regional Studies, </w:t>
          </w:r>
          <w:r w:rsidRPr="00CE5A1B">
            <w:rPr>
              <w:i/>
              <w:iCs/>
              <w:lang w:val="en-IN"/>
            </w:rPr>
            <w:lastRenderedPageBreak/>
            <w:t>Law, Social Sciences, Journalism and Management Practices</w:t>
          </w:r>
          <w:r w:rsidRPr="00CE5A1B">
            <w:rPr>
              <w:lang w:val="en-IN"/>
            </w:rPr>
            <w:t xml:space="preserve">, </w:t>
          </w:r>
          <w:r w:rsidRPr="00CE5A1B">
            <w:rPr>
              <w:i/>
              <w:iCs/>
              <w:lang w:val="en-IN"/>
            </w:rPr>
            <w:t>7</w:t>
          </w:r>
          <w:r w:rsidRPr="00CE5A1B">
            <w:rPr>
              <w:lang w:val="en-IN"/>
            </w:rPr>
            <w:t>(10), 1–10. http://publications.anveshanaindia.com/wp-content/uploads/2022/11/ANALYSIS-OF-NPAs-IN-BANKING-SECTOR-A-CASE-STUDY-OF-PUBLIC-AND-PRIVATE-SECTOR.pdf</w:t>
          </w:r>
        </w:p>
        <w:p w14:paraId="55D68D29" w14:textId="77777777" w:rsidR="00C73D82" w:rsidRDefault="00C73D82" w:rsidP="00C73D82">
          <w:pPr>
            <w:pStyle w:val="Body"/>
            <w:spacing w:after="0"/>
            <w:rPr>
              <w:lang w:val="en-IN"/>
            </w:rPr>
          </w:pPr>
        </w:p>
        <w:p w14:paraId="6525C09E" w14:textId="36FAFD5C" w:rsidR="00CE5A1B" w:rsidRPr="00CE5A1B" w:rsidRDefault="00CE5A1B" w:rsidP="00C73D82">
          <w:pPr>
            <w:pStyle w:val="Body"/>
            <w:spacing w:after="0"/>
            <w:rPr>
              <w:lang w:val="en-IN"/>
            </w:rPr>
          </w:pPr>
          <w:r w:rsidRPr="00CE5A1B">
            <w:rPr>
              <w:lang w:val="en-IN"/>
            </w:rPr>
            <w:t xml:space="preserve">Kumar, A. (2023). Impact of Merger on Efficiency, Stability, and Competitiveness of Public Sector Banks. </w:t>
          </w:r>
          <w:r w:rsidRPr="00CE5A1B">
            <w:rPr>
              <w:i/>
              <w:iCs/>
              <w:lang w:val="en-IN"/>
            </w:rPr>
            <w:t>Competition Commission of India Journal on Competition Law and Policy</w:t>
          </w:r>
          <w:r w:rsidRPr="00CE5A1B">
            <w:rPr>
              <w:lang w:val="en-IN"/>
            </w:rPr>
            <w:t>, 111–134. https://doi.org/10.54425/ccijoclp.v4.136</w:t>
          </w:r>
        </w:p>
        <w:p w14:paraId="1B08452C" w14:textId="77777777" w:rsidR="00C73D82" w:rsidRDefault="00C73D82" w:rsidP="00C73D82">
          <w:pPr>
            <w:pStyle w:val="Body"/>
            <w:spacing w:after="0"/>
            <w:rPr>
              <w:lang w:val="en-IN"/>
            </w:rPr>
          </w:pPr>
        </w:p>
        <w:p w14:paraId="745B5D6A" w14:textId="4603CE25" w:rsidR="00CE5A1B" w:rsidRPr="00CE5A1B" w:rsidRDefault="00CE5A1B" w:rsidP="00C73D82">
          <w:pPr>
            <w:pStyle w:val="Body"/>
            <w:spacing w:after="0"/>
            <w:rPr>
              <w:lang w:val="en-IN"/>
            </w:rPr>
          </w:pPr>
          <w:r w:rsidRPr="00CE5A1B">
            <w:rPr>
              <w:lang w:val="en-IN"/>
            </w:rPr>
            <w:t xml:space="preserve">M </w:t>
          </w:r>
          <w:proofErr w:type="spellStart"/>
          <w:r w:rsidRPr="00CE5A1B">
            <w:rPr>
              <w:lang w:val="en-IN"/>
            </w:rPr>
            <w:t>Miyan</w:t>
          </w:r>
          <w:proofErr w:type="spellEnd"/>
          <w:r w:rsidRPr="00CE5A1B">
            <w:rPr>
              <w:lang w:val="en-IN"/>
            </w:rPr>
            <w:t xml:space="preserve">, &amp; Mohammad. (2017). A Comparative Statistical Approach towards NPA of PSU and Private Sector Banks in India. </w:t>
          </w:r>
          <w:r w:rsidRPr="00CE5A1B">
            <w:rPr>
              <w:i/>
              <w:iCs/>
              <w:lang w:val="en-IN"/>
            </w:rPr>
            <w:t>International Journal of Advanced Research in Computer Science</w:t>
          </w:r>
          <w:r w:rsidRPr="00CE5A1B">
            <w:rPr>
              <w:lang w:val="en-IN"/>
            </w:rPr>
            <w:t xml:space="preserve">, </w:t>
          </w:r>
          <w:r w:rsidRPr="00CE5A1B">
            <w:rPr>
              <w:i/>
              <w:iCs/>
              <w:lang w:val="en-IN"/>
            </w:rPr>
            <w:t>8</w:t>
          </w:r>
          <w:r w:rsidRPr="00CE5A1B">
            <w:rPr>
              <w:lang w:val="en-IN"/>
            </w:rPr>
            <w:t>(1), 46–6. https://search.ebscohost.com/login.aspx?direct=true&amp;profile=ehost&amp;scope=site&amp;authtype=crawler&amp;jrnl=09765697&amp;AN=121481316&amp;h=WafSvKyQOLH5SKUwpb4KgHHa%2FpTTip4sf%2BNVM4JS%2BhFhEgbGiCfjKEsrrfgwhyDQuvGBFsICrkHRBgl5DT029A%3D%3D&amp;crl=c</w:t>
          </w:r>
        </w:p>
        <w:p w14:paraId="0DA6C108" w14:textId="77777777" w:rsidR="00C73D82" w:rsidRDefault="00C73D82" w:rsidP="00C73D82">
          <w:pPr>
            <w:pStyle w:val="Body"/>
            <w:spacing w:after="0"/>
            <w:rPr>
              <w:lang w:val="en-IN"/>
            </w:rPr>
          </w:pPr>
        </w:p>
        <w:p w14:paraId="701B9A8D" w14:textId="5A6C73E3" w:rsidR="00CE5A1B" w:rsidRPr="00CE5A1B" w:rsidRDefault="00CE5A1B" w:rsidP="00C73D82">
          <w:pPr>
            <w:pStyle w:val="Body"/>
            <w:spacing w:after="0"/>
            <w:rPr>
              <w:lang w:val="en-IN"/>
            </w:rPr>
          </w:pPr>
          <w:r w:rsidRPr="00CE5A1B">
            <w:rPr>
              <w:lang w:val="en-IN"/>
            </w:rPr>
            <w:t xml:space="preserve">Mahesh, H. P., &amp; </w:t>
          </w:r>
          <w:proofErr w:type="spellStart"/>
          <w:r w:rsidRPr="00CE5A1B">
            <w:rPr>
              <w:lang w:val="en-IN"/>
            </w:rPr>
            <w:t>Bhide</w:t>
          </w:r>
          <w:proofErr w:type="spellEnd"/>
          <w:r w:rsidRPr="00CE5A1B">
            <w:rPr>
              <w:lang w:val="en-IN"/>
            </w:rPr>
            <w:t xml:space="preserve">, S. (2008). Do Financial Sector Reforms Make Commercial Banks More Efficient? A Parametric Exploration of the Indian Case. </w:t>
          </w:r>
          <w:r w:rsidRPr="00CE5A1B">
            <w:rPr>
              <w:i/>
              <w:iCs/>
              <w:lang w:val="en-IN"/>
            </w:rPr>
            <w:t>Margin</w:t>
          </w:r>
          <w:r w:rsidRPr="00CE5A1B">
            <w:rPr>
              <w:lang w:val="en-IN"/>
            </w:rPr>
            <w:t xml:space="preserve">, </w:t>
          </w:r>
          <w:r w:rsidRPr="00CE5A1B">
            <w:rPr>
              <w:i/>
              <w:iCs/>
              <w:lang w:val="en-IN"/>
            </w:rPr>
            <w:t>2</w:t>
          </w:r>
          <w:r w:rsidRPr="00CE5A1B">
            <w:rPr>
              <w:lang w:val="en-IN"/>
            </w:rPr>
            <w:t>(4), 415–441. https://doi.org/10.1177/097380100800200404</w:t>
          </w:r>
        </w:p>
        <w:p w14:paraId="751C2050" w14:textId="77777777" w:rsidR="00C73D82" w:rsidRDefault="00C73D82" w:rsidP="00C73D82">
          <w:pPr>
            <w:pStyle w:val="Body"/>
            <w:spacing w:after="0"/>
            <w:rPr>
              <w:lang w:val="en-IN"/>
            </w:rPr>
          </w:pPr>
        </w:p>
        <w:p w14:paraId="6E04F48D" w14:textId="55ECB658" w:rsidR="00CE5A1B" w:rsidRPr="00CE5A1B" w:rsidRDefault="00CE5A1B" w:rsidP="00C73D82">
          <w:pPr>
            <w:pStyle w:val="Body"/>
            <w:spacing w:after="0"/>
            <w:rPr>
              <w:lang w:val="en-IN"/>
            </w:rPr>
          </w:pPr>
          <w:proofErr w:type="spellStart"/>
          <w:r w:rsidRPr="00CE5A1B">
            <w:rPr>
              <w:lang w:val="en-IN"/>
            </w:rPr>
            <w:t>Malandrakis</w:t>
          </w:r>
          <w:proofErr w:type="spellEnd"/>
          <w:r w:rsidRPr="00CE5A1B">
            <w:rPr>
              <w:lang w:val="en-IN"/>
            </w:rPr>
            <w:t xml:space="preserve">, I. K. (2014). Liquidity risk and credit risk: a relationship based on the interaction between liquid asset ratio, non-performing loans ratio and systemic liquidity risk. </w:t>
          </w:r>
          <w:r w:rsidRPr="00CE5A1B">
            <w:rPr>
              <w:i/>
              <w:iCs/>
              <w:lang w:val="en-IN"/>
            </w:rPr>
            <w:t>Int. J. Financial Engineering and Risk Management</w:t>
          </w:r>
          <w:r w:rsidRPr="00CE5A1B">
            <w:rPr>
              <w:lang w:val="en-IN"/>
            </w:rPr>
            <w:t xml:space="preserve">, </w:t>
          </w:r>
          <w:r w:rsidRPr="00CE5A1B">
            <w:rPr>
              <w:i/>
              <w:iCs/>
              <w:lang w:val="en-IN"/>
            </w:rPr>
            <w:t>1</w:t>
          </w:r>
          <w:r w:rsidRPr="00CE5A1B">
            <w:rPr>
              <w:lang w:val="en-IN"/>
            </w:rPr>
            <w:t>(4), 375–400.</w:t>
          </w:r>
        </w:p>
        <w:p w14:paraId="500DBA15" w14:textId="77777777" w:rsidR="00C73D82" w:rsidRDefault="00C73D82" w:rsidP="00C73D82">
          <w:pPr>
            <w:pStyle w:val="Body"/>
            <w:spacing w:after="0"/>
            <w:rPr>
              <w:lang w:val="en-IN"/>
            </w:rPr>
          </w:pPr>
        </w:p>
        <w:p w14:paraId="4F26C3A0" w14:textId="13F5997B" w:rsidR="00CE5A1B" w:rsidRPr="00CE5A1B" w:rsidRDefault="00CE5A1B" w:rsidP="00C73D82">
          <w:pPr>
            <w:pStyle w:val="Body"/>
            <w:spacing w:after="0"/>
            <w:rPr>
              <w:lang w:val="en-IN"/>
            </w:rPr>
          </w:pPr>
          <w:r w:rsidRPr="00CE5A1B">
            <w:rPr>
              <w:lang w:val="en-IN"/>
            </w:rPr>
            <w:t xml:space="preserve">Mitra, Dey Samuel S, Sharma Arpita, </w:t>
          </w:r>
          <w:proofErr w:type="spellStart"/>
          <w:r w:rsidRPr="00CE5A1B">
            <w:rPr>
              <w:lang w:val="en-IN"/>
            </w:rPr>
            <w:t>Hembrom</w:t>
          </w:r>
          <w:proofErr w:type="spellEnd"/>
          <w:r w:rsidRPr="00CE5A1B">
            <w:rPr>
              <w:lang w:val="en-IN"/>
            </w:rPr>
            <w:t xml:space="preserve"> </w:t>
          </w:r>
          <w:proofErr w:type="spellStart"/>
          <w:r w:rsidRPr="00CE5A1B">
            <w:rPr>
              <w:lang w:val="en-IN"/>
            </w:rPr>
            <w:t>Payal</w:t>
          </w:r>
          <w:proofErr w:type="spellEnd"/>
          <w:r w:rsidRPr="00CE5A1B">
            <w:rPr>
              <w:lang w:val="en-IN"/>
            </w:rPr>
            <w:t xml:space="preserve">, Khan </w:t>
          </w:r>
          <w:proofErr w:type="spellStart"/>
          <w:r w:rsidRPr="00CE5A1B">
            <w:rPr>
              <w:lang w:val="en-IN"/>
            </w:rPr>
            <w:t>Aparajita</w:t>
          </w:r>
          <w:proofErr w:type="spellEnd"/>
          <w:r w:rsidRPr="00CE5A1B">
            <w:rPr>
              <w:lang w:val="en-IN"/>
            </w:rPr>
            <w:t xml:space="preserve">, &amp; </w:t>
          </w:r>
          <w:proofErr w:type="spellStart"/>
          <w:r w:rsidRPr="00CE5A1B">
            <w:rPr>
              <w:lang w:val="en-IN"/>
            </w:rPr>
            <w:t>Uzma</w:t>
          </w:r>
          <w:proofErr w:type="spellEnd"/>
          <w:r w:rsidRPr="00CE5A1B">
            <w:rPr>
              <w:lang w:val="en-IN"/>
            </w:rPr>
            <w:t xml:space="preserve">. (2021). Finding the Influence of NPAs on Profitability-A Juxtaposition of Public and Private Sector Banks in India. </w:t>
          </w:r>
          <w:r w:rsidRPr="00CE5A1B">
            <w:rPr>
              <w:i/>
              <w:iCs/>
              <w:lang w:val="en-IN"/>
            </w:rPr>
            <w:t>Amity Business Review</w:t>
          </w:r>
          <w:r w:rsidRPr="00CE5A1B">
            <w:rPr>
              <w:lang w:val="en-IN"/>
            </w:rPr>
            <w:t xml:space="preserve">, </w:t>
          </w:r>
          <w:r w:rsidRPr="00CE5A1B">
            <w:rPr>
              <w:i/>
              <w:iCs/>
              <w:lang w:val="en-IN"/>
            </w:rPr>
            <w:t>22</w:t>
          </w:r>
          <w:r w:rsidRPr="00CE5A1B">
            <w:rPr>
              <w:lang w:val="en-IN"/>
            </w:rPr>
            <w:t>(2), 89. https://search.ebscohost.com/login.aspx?direct=true&amp;profile=ehost&amp;scope=site&amp;authtype=crawler&amp;jrnl=09722343&amp;AN=159019306&amp;h=phb5z%2BJ9%2FKrPw%2BnRdL0UuBXbFrHS8Gub0CCOhYnF0YftHFvnvteM9dDFFlGX7CIG5y0iOKfdxJ6JvDUDwYNcpA%3D%3D&amp;crl=c</w:t>
          </w:r>
        </w:p>
        <w:p w14:paraId="33857630" w14:textId="77777777" w:rsidR="00C73D82" w:rsidRDefault="00C73D82" w:rsidP="00C73D82">
          <w:pPr>
            <w:pStyle w:val="Body"/>
            <w:spacing w:after="0"/>
            <w:rPr>
              <w:lang w:val="en-IN"/>
            </w:rPr>
          </w:pPr>
        </w:p>
        <w:p w14:paraId="1D2BBB73" w14:textId="7E44E155" w:rsidR="00CE5A1B" w:rsidRPr="00CE5A1B" w:rsidRDefault="00CE5A1B" w:rsidP="00C73D82">
          <w:pPr>
            <w:pStyle w:val="Body"/>
            <w:spacing w:after="0"/>
            <w:rPr>
              <w:lang w:val="en-IN"/>
            </w:rPr>
          </w:pPr>
          <w:r w:rsidRPr="00CE5A1B">
            <w:rPr>
              <w:lang w:val="en-IN"/>
            </w:rPr>
            <w:t xml:space="preserve">Mr. Chandan L, Mr. Kiran S, &amp; Mr. Prajwal A L. (2024). A Study on Impact of Merger on Performance of Selected Private Sector and Public Sector Banks. </w:t>
          </w:r>
          <w:r w:rsidRPr="00CE5A1B">
            <w:rPr>
              <w:i/>
              <w:iCs/>
              <w:lang w:val="en-IN"/>
            </w:rPr>
            <w:t>International Journal of Advanced Research in Science, Communication and Technology</w:t>
          </w:r>
          <w:r w:rsidRPr="00CE5A1B">
            <w:rPr>
              <w:lang w:val="en-IN"/>
            </w:rPr>
            <w:t>, 143–146. https://doi.org/10.48175/ijarsct-22717</w:t>
          </w:r>
        </w:p>
        <w:p w14:paraId="6DB53608" w14:textId="77777777" w:rsidR="00C73D82" w:rsidRDefault="00C73D82" w:rsidP="00C73D82">
          <w:pPr>
            <w:pStyle w:val="Body"/>
            <w:spacing w:after="0"/>
            <w:rPr>
              <w:lang w:val="en-IN"/>
            </w:rPr>
          </w:pPr>
        </w:p>
        <w:p w14:paraId="31C2FAF4" w14:textId="16793E29" w:rsidR="00CE5A1B" w:rsidRPr="00CE5A1B" w:rsidRDefault="00CE5A1B" w:rsidP="00C73D82">
          <w:pPr>
            <w:pStyle w:val="Body"/>
            <w:spacing w:after="0"/>
            <w:rPr>
              <w:lang w:val="en-IN"/>
            </w:rPr>
          </w:pPr>
          <w:r w:rsidRPr="00CE5A1B">
            <w:rPr>
              <w:lang w:val="en-IN"/>
            </w:rPr>
            <w:t xml:space="preserve">Nag J, Prof. V., &amp; B N, </w:t>
          </w:r>
          <w:proofErr w:type="spellStart"/>
          <w:r w:rsidRPr="00CE5A1B">
            <w:rPr>
              <w:lang w:val="en-IN"/>
            </w:rPr>
            <w:t>Dr.</w:t>
          </w:r>
          <w:proofErr w:type="spellEnd"/>
          <w:r w:rsidRPr="00CE5A1B">
            <w:rPr>
              <w:lang w:val="en-IN"/>
            </w:rPr>
            <w:t xml:space="preserve"> P. (2024). </w:t>
          </w:r>
          <w:proofErr w:type="spellStart"/>
          <w:r w:rsidRPr="00CE5A1B">
            <w:rPr>
              <w:lang w:val="en-IN"/>
            </w:rPr>
            <w:t>Analyzing</w:t>
          </w:r>
          <w:proofErr w:type="spellEnd"/>
          <w:r w:rsidRPr="00CE5A1B">
            <w:rPr>
              <w:lang w:val="en-IN"/>
            </w:rPr>
            <w:t xml:space="preserve"> The Merger Impact </w:t>
          </w:r>
          <w:r w:rsidR="000B7F04" w:rsidRPr="00CE5A1B">
            <w:rPr>
              <w:lang w:val="en-IN"/>
            </w:rPr>
            <w:t>on</w:t>
          </w:r>
          <w:r w:rsidRPr="00CE5A1B">
            <w:rPr>
              <w:lang w:val="en-IN"/>
            </w:rPr>
            <w:t xml:space="preserve"> Financial Performance </w:t>
          </w:r>
          <w:proofErr w:type="gramStart"/>
          <w:r w:rsidRPr="00CE5A1B">
            <w:rPr>
              <w:lang w:val="en-IN"/>
            </w:rPr>
            <w:t>Of</w:t>
          </w:r>
          <w:proofErr w:type="gramEnd"/>
          <w:r w:rsidRPr="00CE5A1B">
            <w:rPr>
              <w:lang w:val="en-IN"/>
            </w:rPr>
            <w:t xml:space="preserve"> Canara Bank: An Approach Based </w:t>
          </w:r>
          <w:r w:rsidR="000B7F04">
            <w:rPr>
              <w:lang w:val="en-IN"/>
            </w:rPr>
            <w:t>o</w:t>
          </w:r>
          <w:r w:rsidRPr="00CE5A1B">
            <w:rPr>
              <w:lang w:val="en-IN"/>
            </w:rPr>
            <w:t xml:space="preserve">n </w:t>
          </w:r>
          <w:r w:rsidR="000B7F04">
            <w:rPr>
              <w:lang w:val="en-IN"/>
            </w:rPr>
            <w:t>t</w:t>
          </w:r>
          <w:r w:rsidRPr="00CE5A1B">
            <w:rPr>
              <w:lang w:val="en-IN"/>
            </w:rPr>
            <w:t xml:space="preserve">he CAMELS Framework. </w:t>
          </w:r>
          <w:r w:rsidRPr="00CE5A1B">
            <w:rPr>
              <w:i/>
              <w:iCs/>
              <w:lang w:val="en-IN"/>
            </w:rPr>
            <w:t>Educational Administration Theory and Practices</w:t>
          </w:r>
          <w:r w:rsidRPr="00CE5A1B">
            <w:rPr>
              <w:lang w:val="en-IN"/>
            </w:rPr>
            <w:t>. https://doi.org/10.53555/kuey.v30i5.5230</w:t>
          </w:r>
        </w:p>
        <w:p w14:paraId="7166FA5A" w14:textId="77777777" w:rsidR="00C73D82" w:rsidRDefault="00C73D82" w:rsidP="00C73D82">
          <w:pPr>
            <w:pStyle w:val="Body"/>
            <w:spacing w:after="0"/>
            <w:rPr>
              <w:lang w:val="en-IN"/>
            </w:rPr>
          </w:pPr>
        </w:p>
        <w:p w14:paraId="202223C1" w14:textId="2808B726" w:rsidR="00CE5A1B" w:rsidRPr="00CE5A1B" w:rsidRDefault="00CE5A1B" w:rsidP="00C73D82">
          <w:pPr>
            <w:pStyle w:val="Body"/>
            <w:spacing w:after="0"/>
            <w:rPr>
              <w:lang w:val="en-IN"/>
            </w:rPr>
          </w:pPr>
          <w:proofErr w:type="spellStart"/>
          <w:r w:rsidRPr="00CE5A1B">
            <w:rPr>
              <w:lang w:val="en-IN"/>
            </w:rPr>
            <w:t>Nissa</w:t>
          </w:r>
          <w:proofErr w:type="spellEnd"/>
          <w:r w:rsidRPr="00CE5A1B">
            <w:rPr>
              <w:lang w:val="en-IN"/>
            </w:rPr>
            <w:t xml:space="preserve">, I. K. (2022). </w:t>
          </w:r>
          <w:proofErr w:type="spellStart"/>
          <w:r w:rsidRPr="00CE5A1B">
            <w:rPr>
              <w:lang w:val="en-IN"/>
            </w:rPr>
            <w:t>Analisis</w:t>
          </w:r>
          <w:proofErr w:type="spellEnd"/>
          <w:r w:rsidRPr="00CE5A1B">
            <w:rPr>
              <w:lang w:val="en-IN"/>
            </w:rPr>
            <w:t xml:space="preserve"> </w:t>
          </w:r>
          <w:proofErr w:type="spellStart"/>
          <w:r w:rsidRPr="00CE5A1B">
            <w:rPr>
              <w:lang w:val="en-IN"/>
            </w:rPr>
            <w:t>Dampak</w:t>
          </w:r>
          <w:proofErr w:type="spellEnd"/>
          <w:r w:rsidRPr="00CE5A1B">
            <w:rPr>
              <w:lang w:val="en-IN"/>
            </w:rPr>
            <w:t xml:space="preserve"> Merger </w:t>
          </w:r>
          <w:proofErr w:type="spellStart"/>
          <w:r w:rsidRPr="00CE5A1B">
            <w:rPr>
              <w:lang w:val="en-IN"/>
            </w:rPr>
            <w:t>Perbankan</w:t>
          </w:r>
          <w:proofErr w:type="spellEnd"/>
          <w:r w:rsidRPr="00CE5A1B">
            <w:rPr>
              <w:lang w:val="en-IN"/>
            </w:rPr>
            <w:t xml:space="preserve"> Syariah BUMN Pada </w:t>
          </w:r>
          <w:proofErr w:type="spellStart"/>
          <w:r w:rsidRPr="00CE5A1B">
            <w:rPr>
              <w:lang w:val="en-IN"/>
            </w:rPr>
            <w:t>Laba</w:t>
          </w:r>
          <w:proofErr w:type="spellEnd"/>
          <w:r w:rsidRPr="00CE5A1B">
            <w:rPr>
              <w:lang w:val="en-IN"/>
            </w:rPr>
            <w:t xml:space="preserve"> </w:t>
          </w:r>
          <w:proofErr w:type="spellStart"/>
          <w:r w:rsidRPr="00CE5A1B">
            <w:rPr>
              <w:lang w:val="en-IN"/>
            </w:rPr>
            <w:t>Bersih</w:t>
          </w:r>
          <w:proofErr w:type="spellEnd"/>
          <w:r w:rsidRPr="00CE5A1B">
            <w:rPr>
              <w:lang w:val="en-IN"/>
            </w:rPr>
            <w:t xml:space="preserve"> </w:t>
          </w:r>
          <w:proofErr w:type="spellStart"/>
          <w:r w:rsidRPr="00CE5A1B">
            <w:rPr>
              <w:lang w:val="en-IN"/>
            </w:rPr>
            <w:t>Terhadap</w:t>
          </w:r>
          <w:proofErr w:type="spellEnd"/>
          <w:r w:rsidRPr="00CE5A1B">
            <w:rPr>
              <w:lang w:val="en-IN"/>
            </w:rPr>
            <w:t xml:space="preserve"> </w:t>
          </w:r>
          <w:proofErr w:type="spellStart"/>
          <w:r w:rsidRPr="00CE5A1B">
            <w:rPr>
              <w:lang w:val="en-IN"/>
            </w:rPr>
            <w:t>Kinerja</w:t>
          </w:r>
          <w:proofErr w:type="spellEnd"/>
          <w:r w:rsidRPr="00CE5A1B">
            <w:rPr>
              <w:lang w:val="en-IN"/>
            </w:rPr>
            <w:t xml:space="preserve"> </w:t>
          </w:r>
          <w:proofErr w:type="spellStart"/>
          <w:r w:rsidRPr="00CE5A1B">
            <w:rPr>
              <w:lang w:val="en-IN"/>
            </w:rPr>
            <w:t>Keuangan</w:t>
          </w:r>
          <w:proofErr w:type="spellEnd"/>
          <w:r w:rsidRPr="00CE5A1B">
            <w:rPr>
              <w:lang w:val="en-IN"/>
            </w:rPr>
            <w:t xml:space="preserve">. </w:t>
          </w:r>
          <w:proofErr w:type="spellStart"/>
          <w:r w:rsidRPr="00CE5A1B">
            <w:rPr>
              <w:i/>
              <w:iCs/>
              <w:lang w:val="en-IN"/>
            </w:rPr>
            <w:t>Jurnal</w:t>
          </w:r>
          <w:proofErr w:type="spellEnd"/>
          <w:r w:rsidRPr="00CE5A1B">
            <w:rPr>
              <w:i/>
              <w:iCs/>
              <w:lang w:val="en-IN"/>
            </w:rPr>
            <w:t xml:space="preserve"> </w:t>
          </w:r>
          <w:proofErr w:type="spellStart"/>
          <w:r w:rsidRPr="00CE5A1B">
            <w:rPr>
              <w:i/>
              <w:iCs/>
              <w:lang w:val="en-IN"/>
            </w:rPr>
            <w:t>Ilmiah</w:t>
          </w:r>
          <w:proofErr w:type="spellEnd"/>
          <w:r w:rsidRPr="00CE5A1B">
            <w:rPr>
              <w:i/>
              <w:iCs/>
              <w:lang w:val="en-IN"/>
            </w:rPr>
            <w:t xml:space="preserve"> </w:t>
          </w:r>
          <w:proofErr w:type="spellStart"/>
          <w:r w:rsidRPr="00CE5A1B">
            <w:rPr>
              <w:i/>
              <w:iCs/>
              <w:lang w:val="en-IN"/>
            </w:rPr>
            <w:t>Ekonomi</w:t>
          </w:r>
          <w:proofErr w:type="spellEnd"/>
          <w:r w:rsidRPr="00CE5A1B">
            <w:rPr>
              <w:i/>
              <w:iCs/>
              <w:lang w:val="en-IN"/>
            </w:rPr>
            <w:t xml:space="preserve"> Islam</w:t>
          </w:r>
          <w:r w:rsidRPr="00CE5A1B">
            <w:rPr>
              <w:lang w:val="en-IN"/>
            </w:rPr>
            <w:t xml:space="preserve">, </w:t>
          </w:r>
          <w:r w:rsidRPr="00CE5A1B">
            <w:rPr>
              <w:i/>
              <w:iCs/>
              <w:lang w:val="en-IN"/>
            </w:rPr>
            <w:t>8</w:t>
          </w:r>
          <w:r w:rsidRPr="00CE5A1B">
            <w:rPr>
              <w:lang w:val="en-IN"/>
            </w:rPr>
            <w:t>(1), 397. https://doi.org/10.29040/jiei.v8i1.4300</w:t>
          </w:r>
        </w:p>
        <w:p w14:paraId="1E2D97E3" w14:textId="77777777" w:rsidR="00C73D82" w:rsidRDefault="00C73D82" w:rsidP="00C73D82">
          <w:pPr>
            <w:pStyle w:val="Body"/>
            <w:spacing w:after="0"/>
            <w:rPr>
              <w:lang w:val="en-IN"/>
            </w:rPr>
          </w:pPr>
        </w:p>
        <w:p w14:paraId="58C27708" w14:textId="653DC7C3" w:rsidR="00CE5A1B" w:rsidRPr="00CE5A1B" w:rsidRDefault="00CE5A1B" w:rsidP="00C73D82">
          <w:pPr>
            <w:pStyle w:val="Body"/>
            <w:spacing w:after="0"/>
            <w:rPr>
              <w:lang w:val="en-IN"/>
            </w:rPr>
          </w:pPr>
          <w:r w:rsidRPr="00CE5A1B">
            <w:rPr>
              <w:lang w:val="en-IN"/>
            </w:rPr>
            <w:t>Pandian K</w:t>
          </w:r>
          <w:r w:rsidR="001D3FEE">
            <w:rPr>
              <w:lang w:val="en-IN"/>
            </w:rPr>
            <w:t>.</w:t>
          </w:r>
          <w:r w:rsidRPr="00CE5A1B">
            <w:rPr>
              <w:lang w:val="en-IN"/>
            </w:rPr>
            <w:t xml:space="preserve"> S. (2020). PERFORMANCE OF MERGED NATIONALIZED COMMERCIAL BANKS IN INDIA-A COMPARATIVE ANALYSIS OF PRE-AND POST-MERGER. </w:t>
          </w:r>
          <w:proofErr w:type="spellStart"/>
          <w:r w:rsidRPr="00CE5A1B">
            <w:rPr>
              <w:i/>
              <w:iCs/>
              <w:lang w:val="en-IN"/>
            </w:rPr>
            <w:t>Primax</w:t>
          </w:r>
          <w:proofErr w:type="spellEnd"/>
          <w:r w:rsidRPr="00CE5A1B">
            <w:rPr>
              <w:i/>
              <w:iCs/>
              <w:lang w:val="en-IN"/>
            </w:rPr>
            <w:t xml:space="preserve"> International Journal of Commerce and Management Research</w:t>
          </w:r>
          <w:r w:rsidRPr="00CE5A1B">
            <w:rPr>
              <w:lang w:val="en-IN"/>
            </w:rPr>
            <w:t xml:space="preserve">, </w:t>
          </w:r>
          <w:r w:rsidRPr="00CE5A1B">
            <w:rPr>
              <w:i/>
              <w:iCs/>
              <w:lang w:val="en-IN"/>
            </w:rPr>
            <w:t>8</w:t>
          </w:r>
          <w:r w:rsidRPr="00CE5A1B">
            <w:rPr>
              <w:lang w:val="en-IN"/>
            </w:rPr>
            <w:t>(3), 100–114. https://doi.org/10.17605/OSF.IO/P4JBN</w:t>
          </w:r>
        </w:p>
        <w:p w14:paraId="60F6A82A" w14:textId="77777777" w:rsidR="00C73D82" w:rsidRDefault="00C73D82" w:rsidP="00C73D82">
          <w:pPr>
            <w:pStyle w:val="Body"/>
            <w:spacing w:after="0"/>
            <w:rPr>
              <w:lang w:val="en-IN"/>
            </w:rPr>
          </w:pPr>
        </w:p>
        <w:p w14:paraId="375D5888" w14:textId="2E03C057" w:rsidR="00CE5A1B" w:rsidRPr="00CE5A1B" w:rsidRDefault="00CE5A1B" w:rsidP="00C73D82">
          <w:pPr>
            <w:pStyle w:val="Body"/>
            <w:spacing w:after="0"/>
            <w:rPr>
              <w:lang w:val="en-IN"/>
            </w:rPr>
          </w:pPr>
          <w:r w:rsidRPr="00CE5A1B">
            <w:rPr>
              <w:lang w:val="en-IN"/>
            </w:rPr>
            <w:t xml:space="preserve">Patel, R. (2018). Pre &amp; Post-Merger Financial Performance: An Indian Perspective. In </w:t>
          </w:r>
          <w:r w:rsidRPr="00CE5A1B">
            <w:rPr>
              <w:i/>
              <w:iCs/>
              <w:lang w:val="en-IN"/>
            </w:rPr>
            <w:t>Journal of Central Banking Theory and Practice</w:t>
          </w:r>
          <w:r w:rsidRPr="00CE5A1B">
            <w:rPr>
              <w:lang w:val="en-IN"/>
            </w:rPr>
            <w:t xml:space="preserve"> (Vol. 7, Issue 3, pp. 181–200). </w:t>
          </w:r>
          <w:proofErr w:type="spellStart"/>
          <w:r w:rsidRPr="00CE5A1B">
            <w:rPr>
              <w:lang w:val="en-IN"/>
            </w:rPr>
            <w:t>Sciendo</w:t>
          </w:r>
          <w:proofErr w:type="spellEnd"/>
          <w:r w:rsidRPr="00CE5A1B">
            <w:rPr>
              <w:lang w:val="en-IN"/>
            </w:rPr>
            <w:t>. https://doi.org/10.2478/jcbtp-2018-0029</w:t>
          </w:r>
        </w:p>
        <w:p w14:paraId="660D2F97" w14:textId="77777777" w:rsidR="00C73D82" w:rsidRPr="00A16FC3" w:rsidRDefault="00C73D82" w:rsidP="00C73D82">
          <w:pPr>
            <w:pStyle w:val="Body"/>
            <w:spacing w:after="0"/>
            <w:rPr>
              <w:lang w:val="en-IN"/>
            </w:rPr>
          </w:pPr>
        </w:p>
        <w:p w14:paraId="131A1F18" w14:textId="5BBFBEF2" w:rsidR="00CE5A1B" w:rsidRPr="00CE5A1B" w:rsidRDefault="00CE5A1B" w:rsidP="00C73D82">
          <w:pPr>
            <w:pStyle w:val="Body"/>
            <w:spacing w:after="0"/>
            <w:rPr>
              <w:lang w:val="en-IN"/>
            </w:rPr>
          </w:pPr>
          <w:r w:rsidRPr="00A16FC3">
            <w:rPr>
              <w:lang w:val="en-IN"/>
            </w:rPr>
            <w:lastRenderedPageBreak/>
            <w:t xml:space="preserve">Prasanna P. Krishna, </w:t>
          </w:r>
          <w:proofErr w:type="spellStart"/>
          <w:r w:rsidRPr="00A16FC3">
            <w:rPr>
              <w:lang w:val="en-IN"/>
            </w:rPr>
            <w:t>Thenmozhi</w:t>
          </w:r>
          <w:proofErr w:type="spellEnd"/>
          <w:r w:rsidRPr="00A16FC3">
            <w:rPr>
              <w:lang w:val="en-IN"/>
            </w:rPr>
            <w:t xml:space="preserve"> M., &amp; Rana </w:t>
          </w:r>
          <w:proofErr w:type="spellStart"/>
          <w:r w:rsidRPr="00A16FC3">
            <w:rPr>
              <w:lang w:val="en-IN"/>
            </w:rPr>
            <w:t>Nimit</w:t>
          </w:r>
          <w:proofErr w:type="spellEnd"/>
          <w:r w:rsidRPr="00A16FC3">
            <w:rPr>
              <w:lang w:val="en-IN"/>
            </w:rPr>
            <w:t xml:space="preserve">. </w:t>
          </w:r>
          <w:r w:rsidRPr="00CE5A1B">
            <w:rPr>
              <w:lang w:val="en-IN"/>
            </w:rPr>
            <w:t xml:space="preserve">(2014). “Determinants of non-performing advances in Indian banking system.” </w:t>
          </w:r>
          <w:r w:rsidRPr="00CE5A1B">
            <w:rPr>
              <w:i/>
              <w:iCs/>
              <w:lang w:val="en-IN"/>
            </w:rPr>
            <w:t>Banks and Bank Systems</w:t>
          </w:r>
          <w:r w:rsidRPr="00CE5A1B">
            <w:rPr>
              <w:lang w:val="en-IN"/>
            </w:rPr>
            <w:t xml:space="preserve">, </w:t>
          </w:r>
          <w:r w:rsidRPr="00CE5A1B">
            <w:rPr>
              <w:i/>
              <w:iCs/>
              <w:lang w:val="en-IN"/>
            </w:rPr>
            <w:t>9</w:t>
          </w:r>
          <w:r w:rsidRPr="00CE5A1B">
            <w:rPr>
              <w:lang w:val="en-IN"/>
            </w:rPr>
            <w:t>(2), 65–77.</w:t>
          </w:r>
        </w:p>
        <w:p w14:paraId="6BA2CC2F" w14:textId="77777777" w:rsidR="00C73D82" w:rsidRDefault="00C73D82" w:rsidP="00C73D82">
          <w:pPr>
            <w:pStyle w:val="Body"/>
            <w:spacing w:after="0"/>
            <w:rPr>
              <w:lang w:val="en-IN"/>
            </w:rPr>
          </w:pPr>
        </w:p>
        <w:p w14:paraId="6C278C58" w14:textId="53FEA8E9" w:rsidR="00CE5A1B" w:rsidRPr="00CE5A1B" w:rsidRDefault="00CE5A1B" w:rsidP="00C73D82">
          <w:pPr>
            <w:pStyle w:val="Body"/>
            <w:spacing w:after="0"/>
            <w:rPr>
              <w:lang w:val="en-IN"/>
            </w:rPr>
          </w:pPr>
          <w:proofErr w:type="spellStart"/>
          <w:r w:rsidRPr="00CE5A1B">
            <w:rPr>
              <w:lang w:val="en-IN"/>
            </w:rPr>
            <w:t>Pratiwi</w:t>
          </w:r>
          <w:proofErr w:type="spellEnd"/>
          <w:r w:rsidRPr="00CE5A1B">
            <w:rPr>
              <w:lang w:val="en-IN"/>
            </w:rPr>
            <w:t xml:space="preserve"> </w:t>
          </w:r>
          <w:proofErr w:type="spellStart"/>
          <w:r w:rsidRPr="00CE5A1B">
            <w:rPr>
              <w:lang w:val="en-IN"/>
            </w:rPr>
            <w:t>Nila</w:t>
          </w:r>
          <w:proofErr w:type="spellEnd"/>
          <w:r w:rsidRPr="00CE5A1B">
            <w:rPr>
              <w:lang w:val="en-IN"/>
            </w:rPr>
            <w:t xml:space="preserve">, </w:t>
          </w:r>
          <w:proofErr w:type="spellStart"/>
          <w:r w:rsidRPr="00CE5A1B">
            <w:rPr>
              <w:lang w:val="en-IN"/>
            </w:rPr>
            <w:t>Fitri</w:t>
          </w:r>
          <w:proofErr w:type="spellEnd"/>
          <w:r w:rsidRPr="00CE5A1B">
            <w:rPr>
              <w:lang w:val="en-IN"/>
            </w:rPr>
            <w:t xml:space="preserve"> </w:t>
          </w:r>
          <w:proofErr w:type="spellStart"/>
          <w:r w:rsidRPr="00CE5A1B">
            <w:rPr>
              <w:lang w:val="en-IN"/>
            </w:rPr>
            <w:t>Hasmaynelis</w:t>
          </w:r>
          <w:proofErr w:type="spellEnd"/>
          <w:r w:rsidRPr="00CE5A1B">
            <w:rPr>
              <w:lang w:val="en-IN"/>
            </w:rPr>
            <w:t xml:space="preserve">, &amp; </w:t>
          </w:r>
          <w:proofErr w:type="spellStart"/>
          <w:r w:rsidRPr="00CE5A1B">
            <w:rPr>
              <w:lang w:val="en-IN"/>
            </w:rPr>
            <w:t>Murni</w:t>
          </w:r>
          <w:proofErr w:type="spellEnd"/>
          <w:r w:rsidRPr="00CE5A1B">
            <w:rPr>
              <w:lang w:val="en-IN"/>
            </w:rPr>
            <w:t xml:space="preserve"> </w:t>
          </w:r>
          <w:proofErr w:type="spellStart"/>
          <w:r w:rsidRPr="00CE5A1B">
            <w:rPr>
              <w:lang w:val="en-IN"/>
            </w:rPr>
            <w:t>Sastila</w:t>
          </w:r>
          <w:proofErr w:type="spellEnd"/>
          <w:r w:rsidRPr="00CE5A1B">
            <w:rPr>
              <w:lang w:val="en-IN"/>
            </w:rPr>
            <w:t xml:space="preserve"> dan. (2018). COMPARATIVE ANALYSIS OF FINANCIAL PERFORMANCE COMPANY BEFORE AND AFTER MERGER AND ACQUISITION TO ENTRANCHMENT MANAGEMENT. </w:t>
          </w:r>
          <w:proofErr w:type="spellStart"/>
          <w:r w:rsidRPr="00CE5A1B">
            <w:rPr>
              <w:i/>
              <w:iCs/>
              <w:lang w:val="en-IN"/>
            </w:rPr>
            <w:t>Jurnal</w:t>
          </w:r>
          <w:proofErr w:type="spellEnd"/>
          <w:r w:rsidRPr="00CE5A1B">
            <w:rPr>
              <w:i/>
              <w:iCs/>
              <w:lang w:val="en-IN"/>
            </w:rPr>
            <w:t xml:space="preserve"> </w:t>
          </w:r>
          <w:proofErr w:type="spellStart"/>
          <w:r w:rsidRPr="00CE5A1B">
            <w:rPr>
              <w:i/>
              <w:iCs/>
              <w:lang w:val="en-IN"/>
            </w:rPr>
            <w:t>Apresiasi</w:t>
          </w:r>
          <w:proofErr w:type="spellEnd"/>
          <w:r w:rsidRPr="00CE5A1B">
            <w:rPr>
              <w:i/>
              <w:iCs/>
              <w:lang w:val="en-IN"/>
            </w:rPr>
            <w:t xml:space="preserve"> </w:t>
          </w:r>
          <w:proofErr w:type="spellStart"/>
          <w:r w:rsidRPr="00CE5A1B">
            <w:rPr>
              <w:i/>
              <w:iCs/>
              <w:lang w:val="en-IN"/>
            </w:rPr>
            <w:t>Ekonomi</w:t>
          </w:r>
          <w:proofErr w:type="spellEnd"/>
          <w:r w:rsidRPr="00CE5A1B">
            <w:rPr>
              <w:lang w:val="en-IN"/>
            </w:rPr>
            <w:t xml:space="preserve">, </w:t>
          </w:r>
          <w:r w:rsidRPr="00CE5A1B">
            <w:rPr>
              <w:i/>
              <w:iCs/>
              <w:lang w:val="en-IN"/>
            </w:rPr>
            <w:t>6</w:t>
          </w:r>
          <w:r w:rsidRPr="00CE5A1B">
            <w:rPr>
              <w:lang w:val="en-IN"/>
            </w:rPr>
            <w:t>(2), 124–132.</w:t>
          </w:r>
        </w:p>
        <w:p w14:paraId="524CDEB8" w14:textId="77777777" w:rsidR="00C73D82" w:rsidRDefault="00C73D82" w:rsidP="00C73D82">
          <w:pPr>
            <w:pStyle w:val="Body"/>
            <w:spacing w:after="0"/>
            <w:rPr>
              <w:lang w:val="en-IN"/>
            </w:rPr>
          </w:pPr>
        </w:p>
        <w:p w14:paraId="444007C0" w14:textId="74F0BB43" w:rsidR="00CE5A1B" w:rsidRPr="00CE5A1B" w:rsidRDefault="00CE5A1B" w:rsidP="00C73D82">
          <w:pPr>
            <w:pStyle w:val="Body"/>
            <w:spacing w:after="0"/>
            <w:rPr>
              <w:lang w:val="en-IN"/>
            </w:rPr>
          </w:pPr>
          <w:proofErr w:type="spellStart"/>
          <w:r w:rsidRPr="00CE5A1B">
            <w:rPr>
              <w:lang w:val="en-IN"/>
            </w:rPr>
            <w:t>Radivojevic</w:t>
          </w:r>
          <w:proofErr w:type="spellEnd"/>
          <w:r w:rsidRPr="00CE5A1B">
            <w:rPr>
              <w:lang w:val="en-IN"/>
            </w:rPr>
            <w:t xml:space="preserve">, N., &amp; </w:t>
          </w:r>
          <w:proofErr w:type="spellStart"/>
          <w:r w:rsidRPr="00CE5A1B">
            <w:rPr>
              <w:lang w:val="en-IN"/>
            </w:rPr>
            <w:t>Jovovic</w:t>
          </w:r>
          <w:proofErr w:type="spellEnd"/>
          <w:r w:rsidRPr="00CE5A1B">
            <w:rPr>
              <w:lang w:val="en-IN"/>
            </w:rPr>
            <w:t xml:space="preserve">, J. (2017). Examining of determinants of non-performing loans. </w:t>
          </w:r>
          <w:r w:rsidRPr="00CE5A1B">
            <w:rPr>
              <w:i/>
              <w:iCs/>
              <w:lang w:val="en-IN"/>
            </w:rPr>
            <w:t>Prague Economic Papers</w:t>
          </w:r>
          <w:r w:rsidRPr="00CE5A1B">
            <w:rPr>
              <w:lang w:val="en-IN"/>
            </w:rPr>
            <w:t xml:space="preserve">, </w:t>
          </w:r>
          <w:r w:rsidRPr="00CE5A1B">
            <w:rPr>
              <w:i/>
              <w:iCs/>
              <w:lang w:val="en-IN"/>
            </w:rPr>
            <w:t>26</w:t>
          </w:r>
          <w:r w:rsidRPr="00CE5A1B">
            <w:rPr>
              <w:lang w:val="en-IN"/>
            </w:rPr>
            <w:t>(3), 300–316. https://doi.org/10.18267/j.pep.615</w:t>
          </w:r>
        </w:p>
        <w:p w14:paraId="5DE866F8" w14:textId="77777777" w:rsidR="00C73D82" w:rsidRDefault="00C73D82" w:rsidP="00C73D82">
          <w:pPr>
            <w:pStyle w:val="Body"/>
            <w:spacing w:after="0"/>
            <w:rPr>
              <w:lang w:val="en-IN"/>
            </w:rPr>
          </w:pPr>
        </w:p>
        <w:p w14:paraId="67762D49" w14:textId="1E848B80" w:rsidR="00CE5A1B" w:rsidRPr="00CE5A1B" w:rsidRDefault="00CE5A1B" w:rsidP="00C73D82">
          <w:pPr>
            <w:pStyle w:val="Body"/>
            <w:spacing w:after="0"/>
            <w:rPr>
              <w:lang w:val="en-IN"/>
            </w:rPr>
          </w:pPr>
          <w:r w:rsidRPr="00CE5A1B">
            <w:rPr>
              <w:lang w:val="en-IN"/>
            </w:rPr>
            <w:t xml:space="preserve">Rani, N., &amp; Sangeeta, </w:t>
          </w:r>
          <w:proofErr w:type="spellStart"/>
          <w:r w:rsidRPr="00CE5A1B">
            <w:rPr>
              <w:lang w:val="en-IN"/>
            </w:rPr>
            <w:t>Dr.</w:t>
          </w:r>
          <w:proofErr w:type="spellEnd"/>
          <w:r w:rsidRPr="00CE5A1B">
            <w:rPr>
              <w:lang w:val="en-IN"/>
            </w:rPr>
            <w:t xml:space="preserve"> (2023). Effect of Mergers on Bank of Baroda Before and After, a Study of the Banking Sector. </w:t>
          </w:r>
          <w:r w:rsidRPr="00CE5A1B">
            <w:rPr>
              <w:i/>
              <w:iCs/>
              <w:lang w:val="en-IN"/>
            </w:rPr>
            <w:t>Financial Engineering</w:t>
          </w:r>
          <w:r w:rsidRPr="00CE5A1B">
            <w:rPr>
              <w:lang w:val="en-IN"/>
            </w:rPr>
            <w:t xml:space="preserve">, </w:t>
          </w:r>
          <w:r w:rsidRPr="00CE5A1B">
            <w:rPr>
              <w:i/>
              <w:iCs/>
              <w:lang w:val="en-IN"/>
            </w:rPr>
            <w:t>1</w:t>
          </w:r>
          <w:r w:rsidRPr="00CE5A1B">
            <w:rPr>
              <w:lang w:val="en-IN"/>
            </w:rPr>
            <w:t>, 307–315. https://doi.org/10.37394/232032.2023.1.29</w:t>
          </w:r>
        </w:p>
        <w:p w14:paraId="54042858" w14:textId="77777777" w:rsidR="00C73D82" w:rsidRDefault="00C73D82" w:rsidP="00C73D82">
          <w:pPr>
            <w:pStyle w:val="Body"/>
            <w:spacing w:after="0"/>
            <w:rPr>
              <w:lang w:val="en-IN"/>
            </w:rPr>
          </w:pPr>
        </w:p>
        <w:p w14:paraId="3BB42FDF" w14:textId="72EEED08" w:rsidR="00CE5A1B" w:rsidRPr="00CE5A1B" w:rsidRDefault="00CE5A1B" w:rsidP="00C73D82">
          <w:pPr>
            <w:pStyle w:val="Body"/>
            <w:spacing w:after="0"/>
            <w:rPr>
              <w:lang w:val="en-IN"/>
            </w:rPr>
          </w:pPr>
          <w:proofErr w:type="spellStart"/>
          <w:r w:rsidRPr="00CE5A1B">
            <w:rPr>
              <w:lang w:val="en-IN"/>
            </w:rPr>
            <w:t>Rathee</w:t>
          </w:r>
          <w:proofErr w:type="spellEnd"/>
          <w:r w:rsidRPr="00CE5A1B">
            <w:rPr>
              <w:lang w:val="en-IN"/>
            </w:rPr>
            <w:t xml:space="preserve">, R., </w:t>
          </w:r>
          <w:proofErr w:type="spellStart"/>
          <w:r w:rsidRPr="00CE5A1B">
            <w:rPr>
              <w:lang w:val="en-IN"/>
            </w:rPr>
            <w:t>Kuhar</w:t>
          </w:r>
          <w:proofErr w:type="spellEnd"/>
          <w:r w:rsidRPr="00CE5A1B">
            <w:rPr>
              <w:lang w:val="en-IN"/>
            </w:rPr>
            <w:t xml:space="preserve">, D., &amp; </w:t>
          </w:r>
          <w:proofErr w:type="spellStart"/>
          <w:r w:rsidRPr="00CE5A1B">
            <w:rPr>
              <w:lang w:val="en-IN"/>
            </w:rPr>
            <w:t>Siwach</w:t>
          </w:r>
          <w:proofErr w:type="spellEnd"/>
          <w:r w:rsidRPr="00CE5A1B">
            <w:rPr>
              <w:lang w:val="en-IN"/>
            </w:rPr>
            <w:t>, P. (2015). Non</w:t>
          </w:r>
          <w:r w:rsidR="0003305F">
            <w:rPr>
              <w:lang w:val="en-IN"/>
            </w:rPr>
            <w:t>-</w:t>
          </w:r>
          <w:r w:rsidRPr="00CE5A1B">
            <w:rPr>
              <w:lang w:val="en-IN"/>
            </w:rPr>
            <w:t xml:space="preserve">Performing Assets in SBI (State Bank of India). </w:t>
          </w:r>
          <w:r w:rsidRPr="00CE5A1B">
            <w:rPr>
              <w:i/>
              <w:iCs/>
              <w:lang w:val="en-IN"/>
            </w:rPr>
            <w:t>Global Journal of Enterprise Information System</w:t>
          </w:r>
          <w:r w:rsidRPr="00CE5A1B">
            <w:rPr>
              <w:lang w:val="en-IN"/>
            </w:rPr>
            <w:t xml:space="preserve">, </w:t>
          </w:r>
          <w:r w:rsidRPr="00CE5A1B">
            <w:rPr>
              <w:i/>
              <w:iCs/>
              <w:lang w:val="en-IN"/>
            </w:rPr>
            <w:t>7</w:t>
          </w:r>
          <w:r w:rsidRPr="00CE5A1B">
            <w:rPr>
              <w:lang w:val="en-IN"/>
            </w:rPr>
            <w:t>(1), 56–58. www.gjeis.org</w:t>
          </w:r>
        </w:p>
        <w:p w14:paraId="469AFDDE" w14:textId="77777777" w:rsidR="00C73D82" w:rsidRDefault="00C73D82" w:rsidP="00C73D82">
          <w:pPr>
            <w:pStyle w:val="Body"/>
            <w:spacing w:after="0"/>
            <w:rPr>
              <w:lang w:val="en-IN"/>
            </w:rPr>
          </w:pPr>
        </w:p>
        <w:p w14:paraId="0A9D5C80" w14:textId="20931BB7" w:rsidR="00CE5A1B" w:rsidRPr="00CE5A1B" w:rsidRDefault="00CE5A1B" w:rsidP="00C73D82">
          <w:pPr>
            <w:pStyle w:val="Body"/>
            <w:spacing w:after="0"/>
            <w:rPr>
              <w:lang w:val="en-IN"/>
            </w:rPr>
          </w:pPr>
          <w:proofErr w:type="spellStart"/>
          <w:r w:rsidRPr="00CE5A1B">
            <w:rPr>
              <w:lang w:val="en-IN"/>
            </w:rPr>
            <w:t>Rehan</w:t>
          </w:r>
          <w:proofErr w:type="spellEnd"/>
          <w:r w:rsidRPr="00CE5A1B">
            <w:rPr>
              <w:lang w:val="en-IN"/>
            </w:rPr>
            <w:t xml:space="preserve">, M., Imran Khan, M., &amp; Kamran Khan, M. (2018). Effects of Merger and Acquisition on the Profitability of Banks. </w:t>
          </w:r>
          <w:r w:rsidRPr="00CE5A1B">
            <w:rPr>
              <w:i/>
              <w:iCs/>
              <w:lang w:val="en-IN"/>
            </w:rPr>
            <w:t>EUROPEAN ACADEMIC RESEARCH</w:t>
          </w:r>
          <w:r w:rsidRPr="00CE5A1B">
            <w:rPr>
              <w:lang w:val="en-IN"/>
            </w:rPr>
            <w:t xml:space="preserve">, </w:t>
          </w:r>
          <w:r w:rsidRPr="00CE5A1B">
            <w:rPr>
              <w:i/>
              <w:iCs/>
              <w:lang w:val="en-IN"/>
            </w:rPr>
            <w:t>6</w:t>
          </w:r>
          <w:r w:rsidRPr="00CE5A1B">
            <w:rPr>
              <w:lang w:val="en-IN"/>
            </w:rPr>
            <w:t>(8), 4029–4044. www.euacademic.org</w:t>
          </w:r>
        </w:p>
        <w:p w14:paraId="1850CD78" w14:textId="77777777" w:rsidR="00C73D82" w:rsidRDefault="00C73D82" w:rsidP="00C73D82">
          <w:pPr>
            <w:pStyle w:val="Body"/>
            <w:spacing w:after="0"/>
            <w:rPr>
              <w:lang w:val="en-IN"/>
            </w:rPr>
          </w:pPr>
        </w:p>
        <w:p w14:paraId="51F24FD9" w14:textId="320581C9" w:rsidR="00CE5A1B" w:rsidRPr="00CE5A1B" w:rsidRDefault="00CE5A1B" w:rsidP="00C73D82">
          <w:pPr>
            <w:pStyle w:val="Body"/>
            <w:spacing w:after="0"/>
            <w:rPr>
              <w:lang w:val="en-IN"/>
            </w:rPr>
          </w:pPr>
          <w:proofErr w:type="spellStart"/>
          <w:r w:rsidRPr="00CE5A1B">
            <w:rPr>
              <w:lang w:val="en-IN"/>
            </w:rPr>
            <w:t>Resti</w:t>
          </w:r>
          <w:proofErr w:type="spellEnd"/>
          <w:r w:rsidRPr="00CE5A1B">
            <w:rPr>
              <w:lang w:val="en-IN"/>
            </w:rPr>
            <w:t xml:space="preserve">, A. (1998). Regulation can foster </w:t>
          </w:r>
          <w:proofErr w:type="gramStart"/>
          <w:r w:rsidRPr="00CE5A1B">
            <w:rPr>
              <w:lang w:val="en-IN"/>
            </w:rPr>
            <w:t>mergers,</w:t>
          </w:r>
          <w:proofErr w:type="gramEnd"/>
          <w:r w:rsidRPr="00CE5A1B">
            <w:rPr>
              <w:lang w:val="en-IN"/>
            </w:rPr>
            <w:t xml:space="preserve"> can mergers foster efficiency? The Italian case. </w:t>
          </w:r>
          <w:r w:rsidRPr="00CE5A1B">
            <w:rPr>
              <w:i/>
              <w:iCs/>
              <w:lang w:val="en-IN"/>
            </w:rPr>
            <w:t>Journal of Economics and Business</w:t>
          </w:r>
          <w:r w:rsidRPr="00CE5A1B">
            <w:rPr>
              <w:lang w:val="en-IN"/>
            </w:rPr>
            <w:t xml:space="preserve">, </w:t>
          </w:r>
          <w:r w:rsidRPr="00CE5A1B">
            <w:rPr>
              <w:i/>
              <w:iCs/>
              <w:lang w:val="en-IN"/>
            </w:rPr>
            <w:t>50</w:t>
          </w:r>
          <w:r w:rsidRPr="00CE5A1B">
            <w:rPr>
              <w:lang w:val="en-IN"/>
            </w:rPr>
            <w:t>(2), 157–169. https://doi.org/10.1016/s0148-6195(97)00075-1</w:t>
          </w:r>
        </w:p>
        <w:p w14:paraId="5D0DEE89" w14:textId="77777777" w:rsidR="00C73D82" w:rsidRDefault="00C73D82" w:rsidP="00C73D82">
          <w:pPr>
            <w:pStyle w:val="Body"/>
            <w:spacing w:after="0"/>
            <w:rPr>
              <w:lang w:val="en-IN"/>
            </w:rPr>
          </w:pPr>
        </w:p>
        <w:p w14:paraId="57EE1E42" w14:textId="7353486A" w:rsidR="00CE5A1B" w:rsidRPr="00CE5A1B" w:rsidRDefault="00CE5A1B" w:rsidP="00C73D82">
          <w:pPr>
            <w:pStyle w:val="Body"/>
            <w:spacing w:after="0"/>
            <w:rPr>
              <w:lang w:val="en-IN"/>
            </w:rPr>
          </w:pPr>
          <w:r w:rsidRPr="00CE5A1B">
            <w:rPr>
              <w:lang w:val="en-IN"/>
            </w:rPr>
            <w:t xml:space="preserve">Sandeep, P., </w:t>
          </w:r>
          <w:proofErr w:type="spellStart"/>
          <w:r w:rsidRPr="00CE5A1B">
            <w:rPr>
              <w:lang w:val="en-IN"/>
            </w:rPr>
            <w:t>Khanwalker</w:t>
          </w:r>
          <w:proofErr w:type="spellEnd"/>
          <w:r w:rsidRPr="00CE5A1B">
            <w:rPr>
              <w:lang w:val="en-IN"/>
            </w:rPr>
            <w:t xml:space="preserve">, M., &amp; Gupta, A. (2018). Merger of Public Sector Banks in India-Synergies at Work. </w:t>
          </w:r>
          <w:proofErr w:type="spellStart"/>
          <w:r w:rsidRPr="00CE5A1B">
            <w:rPr>
              <w:i/>
              <w:iCs/>
              <w:lang w:val="en-IN"/>
            </w:rPr>
            <w:t>Pragyaan</w:t>
          </w:r>
          <w:proofErr w:type="spellEnd"/>
          <w:r w:rsidRPr="00CE5A1B">
            <w:rPr>
              <w:i/>
              <w:iCs/>
              <w:lang w:val="en-IN"/>
            </w:rPr>
            <w:t>: Journal of Management</w:t>
          </w:r>
          <w:r w:rsidRPr="00CE5A1B">
            <w:rPr>
              <w:lang w:val="en-IN"/>
            </w:rPr>
            <w:t xml:space="preserve">, </w:t>
          </w:r>
          <w:r w:rsidRPr="00CE5A1B">
            <w:rPr>
              <w:i/>
              <w:iCs/>
              <w:lang w:val="en-IN"/>
            </w:rPr>
            <w:t>16</w:t>
          </w:r>
          <w:r w:rsidRPr="00CE5A1B">
            <w:rPr>
              <w:lang w:val="en-IN"/>
            </w:rPr>
            <w:t>(2), 58–63. www.rbi.org.in</w:t>
          </w:r>
        </w:p>
        <w:p w14:paraId="15F58BB0" w14:textId="77777777" w:rsidR="00C73D82" w:rsidRDefault="00C73D82" w:rsidP="00C73D82">
          <w:pPr>
            <w:pStyle w:val="Body"/>
            <w:spacing w:after="0"/>
            <w:rPr>
              <w:lang w:val="en-IN"/>
            </w:rPr>
          </w:pPr>
        </w:p>
        <w:p w14:paraId="650BAF6D" w14:textId="02D3E49A" w:rsidR="00CE5A1B" w:rsidRPr="00CE5A1B" w:rsidRDefault="00CE5A1B" w:rsidP="00C73D82">
          <w:pPr>
            <w:pStyle w:val="Body"/>
            <w:spacing w:after="0"/>
            <w:rPr>
              <w:lang w:val="en-IN"/>
            </w:rPr>
          </w:pPr>
          <w:proofErr w:type="spellStart"/>
          <w:r w:rsidRPr="00CE5A1B">
            <w:rPr>
              <w:lang w:val="en-IN"/>
            </w:rPr>
            <w:t>Senan</w:t>
          </w:r>
          <w:proofErr w:type="spellEnd"/>
          <w:r w:rsidRPr="00CE5A1B">
            <w:rPr>
              <w:lang w:val="en-IN"/>
            </w:rPr>
            <w:t xml:space="preserve">, N. A. M., </w:t>
          </w:r>
          <w:proofErr w:type="spellStart"/>
          <w:r w:rsidRPr="00CE5A1B">
            <w:rPr>
              <w:lang w:val="en-IN"/>
            </w:rPr>
            <w:t>Belhaj</w:t>
          </w:r>
          <w:proofErr w:type="spellEnd"/>
          <w:r w:rsidRPr="00CE5A1B">
            <w:rPr>
              <w:lang w:val="en-IN"/>
            </w:rPr>
            <w:t>, F. A., Al-</w:t>
          </w:r>
          <w:proofErr w:type="spellStart"/>
          <w:r w:rsidRPr="00CE5A1B">
            <w:rPr>
              <w:lang w:val="en-IN"/>
            </w:rPr>
            <w:t>Matari</w:t>
          </w:r>
          <w:proofErr w:type="spellEnd"/>
          <w:r w:rsidRPr="00CE5A1B">
            <w:rPr>
              <w:lang w:val="en-IN"/>
            </w:rPr>
            <w:t>, E. M., Al-</w:t>
          </w:r>
          <w:proofErr w:type="spellStart"/>
          <w:r w:rsidRPr="00CE5A1B">
            <w:rPr>
              <w:lang w:val="en-IN"/>
            </w:rPr>
            <w:t>Faryan</w:t>
          </w:r>
          <w:proofErr w:type="spellEnd"/>
          <w:r w:rsidRPr="00CE5A1B">
            <w:rPr>
              <w:lang w:val="en-IN"/>
            </w:rPr>
            <w:t>, M. A. S., &amp; Al-</w:t>
          </w:r>
          <w:proofErr w:type="spellStart"/>
          <w:r w:rsidRPr="00CE5A1B">
            <w:rPr>
              <w:lang w:val="en-IN"/>
            </w:rPr>
            <w:t>Homaidi</w:t>
          </w:r>
          <w:proofErr w:type="spellEnd"/>
          <w:r w:rsidRPr="00CE5A1B">
            <w:rPr>
              <w:lang w:val="en-IN"/>
            </w:rPr>
            <w:t xml:space="preserve">, E. A. (2022). Capital adequacy determinants of Indian banks listed on the Bombay Stock Exchange. </w:t>
          </w:r>
          <w:r w:rsidRPr="00CE5A1B">
            <w:rPr>
              <w:i/>
              <w:iCs/>
              <w:lang w:val="en-IN"/>
            </w:rPr>
            <w:t>Investment Management and Financial Innovations</w:t>
          </w:r>
          <w:r w:rsidRPr="00CE5A1B">
            <w:rPr>
              <w:lang w:val="en-IN"/>
            </w:rPr>
            <w:t xml:space="preserve">, </w:t>
          </w:r>
          <w:r w:rsidRPr="00CE5A1B">
            <w:rPr>
              <w:i/>
              <w:iCs/>
              <w:lang w:val="en-IN"/>
            </w:rPr>
            <w:t>19</w:t>
          </w:r>
          <w:r w:rsidRPr="00CE5A1B">
            <w:rPr>
              <w:lang w:val="en-IN"/>
            </w:rPr>
            <w:t>(2), 167–179. https://doi.org/10.21511/imfi.19(2).2022.14</w:t>
          </w:r>
        </w:p>
        <w:p w14:paraId="349CB5E3" w14:textId="77777777" w:rsidR="00C73D82" w:rsidRDefault="00C73D82" w:rsidP="00C73D82">
          <w:pPr>
            <w:pStyle w:val="Body"/>
            <w:spacing w:after="0"/>
            <w:rPr>
              <w:lang w:val="en-IN"/>
            </w:rPr>
          </w:pPr>
        </w:p>
        <w:p w14:paraId="0C55E68E" w14:textId="32E920D1" w:rsidR="00CE5A1B" w:rsidRPr="00CE5A1B" w:rsidRDefault="00CE5A1B" w:rsidP="00C73D82">
          <w:pPr>
            <w:pStyle w:val="Body"/>
            <w:spacing w:after="0"/>
            <w:rPr>
              <w:lang w:val="en-IN"/>
            </w:rPr>
          </w:pPr>
          <w:r w:rsidRPr="00CE5A1B">
            <w:rPr>
              <w:lang w:val="en-IN"/>
            </w:rPr>
            <w:t xml:space="preserve">Sharma, A., &amp; </w:t>
          </w:r>
          <w:proofErr w:type="spellStart"/>
          <w:r w:rsidRPr="00CE5A1B">
            <w:rPr>
              <w:lang w:val="en-IN"/>
            </w:rPr>
            <w:t>Parasar</w:t>
          </w:r>
          <w:proofErr w:type="spellEnd"/>
          <w:r w:rsidRPr="00CE5A1B">
            <w:rPr>
              <w:lang w:val="en-IN"/>
            </w:rPr>
            <w:t xml:space="preserve">, A. (2020). A study on loan approval and non-performing asset—Segment identification. </w:t>
          </w:r>
          <w:r w:rsidRPr="00CE5A1B">
            <w:rPr>
              <w:i/>
              <w:iCs/>
              <w:lang w:val="en-IN"/>
            </w:rPr>
            <w:t>Journal of Public Affairs</w:t>
          </w:r>
          <w:r w:rsidRPr="00CE5A1B">
            <w:rPr>
              <w:lang w:val="en-IN"/>
            </w:rPr>
            <w:t xml:space="preserve">, </w:t>
          </w:r>
          <w:r w:rsidRPr="00CE5A1B">
            <w:rPr>
              <w:i/>
              <w:iCs/>
              <w:lang w:val="en-IN"/>
            </w:rPr>
            <w:t>20</w:t>
          </w:r>
          <w:r w:rsidRPr="00CE5A1B">
            <w:rPr>
              <w:lang w:val="en-IN"/>
            </w:rPr>
            <w:t>(2). https://doi.org/10.1002/pa.2015</w:t>
          </w:r>
        </w:p>
        <w:p w14:paraId="7893B44C" w14:textId="77777777" w:rsidR="00C73D82" w:rsidRPr="00A16FC3" w:rsidRDefault="00C73D82" w:rsidP="00C73D82">
          <w:pPr>
            <w:pStyle w:val="Body"/>
            <w:spacing w:after="0"/>
            <w:rPr>
              <w:lang w:val="en-IN"/>
            </w:rPr>
          </w:pPr>
        </w:p>
        <w:p w14:paraId="567A9606" w14:textId="4B362E1C" w:rsidR="00CE5A1B" w:rsidRPr="00CE5A1B" w:rsidRDefault="00CE5A1B" w:rsidP="00C73D82">
          <w:pPr>
            <w:pStyle w:val="Body"/>
            <w:spacing w:after="0"/>
            <w:rPr>
              <w:lang w:val="en-IN"/>
            </w:rPr>
          </w:pPr>
          <w:proofErr w:type="spellStart"/>
          <w:r w:rsidRPr="00A16FC3">
            <w:rPr>
              <w:lang w:val="en-IN"/>
            </w:rPr>
            <w:t>Utami</w:t>
          </w:r>
          <w:proofErr w:type="spellEnd"/>
          <w:r w:rsidRPr="00A16FC3">
            <w:rPr>
              <w:lang w:val="en-IN"/>
            </w:rPr>
            <w:t xml:space="preserve">, A. D., </w:t>
          </w:r>
          <w:proofErr w:type="spellStart"/>
          <w:r w:rsidRPr="00A16FC3">
            <w:rPr>
              <w:lang w:val="en-IN"/>
            </w:rPr>
            <w:t>Risfandy</w:t>
          </w:r>
          <w:proofErr w:type="spellEnd"/>
          <w:r w:rsidRPr="00A16FC3">
            <w:rPr>
              <w:lang w:val="en-IN"/>
            </w:rPr>
            <w:t xml:space="preserve">, T., &amp; </w:t>
          </w:r>
          <w:proofErr w:type="spellStart"/>
          <w:r w:rsidRPr="00A16FC3">
            <w:rPr>
              <w:lang w:val="en-IN"/>
            </w:rPr>
            <w:t>Rahardjoputri</w:t>
          </w:r>
          <w:proofErr w:type="spellEnd"/>
          <w:r w:rsidRPr="00A16FC3">
            <w:rPr>
              <w:lang w:val="en-IN"/>
            </w:rPr>
            <w:t xml:space="preserve">, R. (2022). </w:t>
          </w:r>
          <w:r w:rsidRPr="00CE5A1B">
            <w:rPr>
              <w:lang w:val="en-IN"/>
            </w:rPr>
            <w:t xml:space="preserve">Islamic banks’ merger: the case of Bank Syariah Indonesia. </w:t>
          </w:r>
          <w:r w:rsidRPr="00CE5A1B">
            <w:rPr>
              <w:i/>
              <w:iCs/>
              <w:lang w:val="en-IN"/>
            </w:rPr>
            <w:t>International Journal of Monetary Economics and Finance</w:t>
          </w:r>
          <w:r w:rsidRPr="00CE5A1B">
            <w:rPr>
              <w:lang w:val="en-IN"/>
            </w:rPr>
            <w:t xml:space="preserve">, </w:t>
          </w:r>
          <w:r w:rsidRPr="00CE5A1B">
            <w:rPr>
              <w:i/>
              <w:iCs/>
              <w:lang w:val="en-IN"/>
            </w:rPr>
            <w:t>15</w:t>
          </w:r>
          <w:r w:rsidRPr="00CE5A1B">
            <w:rPr>
              <w:lang w:val="en-IN"/>
            </w:rPr>
            <w:t>(3), 201–212. https://doi.org/10.1504/ijmef.2022.126904</w:t>
          </w:r>
        </w:p>
        <w:p w14:paraId="693E1E82" w14:textId="77777777" w:rsidR="00C73D82" w:rsidRDefault="00C73D82" w:rsidP="00C73D82">
          <w:pPr>
            <w:pStyle w:val="Body"/>
            <w:spacing w:after="0"/>
            <w:rPr>
              <w:lang w:val="en-IN"/>
            </w:rPr>
          </w:pPr>
        </w:p>
        <w:p w14:paraId="37DA461D" w14:textId="62335E71" w:rsidR="00CE5A1B" w:rsidRPr="00CE5A1B" w:rsidRDefault="00CE5A1B" w:rsidP="00C73D82">
          <w:pPr>
            <w:pStyle w:val="Body"/>
            <w:spacing w:after="0"/>
            <w:rPr>
              <w:lang w:val="en-IN"/>
            </w:rPr>
          </w:pPr>
          <w:r w:rsidRPr="00CE5A1B">
            <w:rPr>
              <w:lang w:val="en-IN"/>
            </w:rPr>
            <w:t xml:space="preserve">Yahya, A. T., Akhtar, A., &amp; </w:t>
          </w:r>
          <w:proofErr w:type="spellStart"/>
          <w:r w:rsidRPr="00CE5A1B">
            <w:rPr>
              <w:lang w:val="en-IN"/>
            </w:rPr>
            <w:t>Tabash</w:t>
          </w:r>
          <w:proofErr w:type="spellEnd"/>
          <w:r w:rsidRPr="00CE5A1B">
            <w:rPr>
              <w:lang w:val="en-IN"/>
            </w:rPr>
            <w:t xml:space="preserve">, M. I. (2017). The impact of political instability, macroeconomic and bank-specific factors on the profitability of Islamic banks: </w:t>
          </w:r>
          <w:r w:rsidR="000B7F04" w:rsidRPr="00CE5A1B">
            <w:rPr>
              <w:lang w:val="en-IN"/>
            </w:rPr>
            <w:t>Empirical evidence</w:t>
          </w:r>
          <w:r w:rsidRPr="00CE5A1B">
            <w:rPr>
              <w:lang w:val="en-IN"/>
            </w:rPr>
            <w:t xml:space="preserve">. </w:t>
          </w:r>
          <w:r w:rsidRPr="00CE5A1B">
            <w:rPr>
              <w:i/>
              <w:iCs/>
              <w:lang w:val="en-IN"/>
            </w:rPr>
            <w:t>Investment Management and Financial Innovations</w:t>
          </w:r>
          <w:r w:rsidRPr="00CE5A1B">
            <w:rPr>
              <w:lang w:val="en-IN"/>
            </w:rPr>
            <w:t xml:space="preserve">, </w:t>
          </w:r>
          <w:r w:rsidRPr="00CE5A1B">
            <w:rPr>
              <w:i/>
              <w:iCs/>
              <w:lang w:val="en-IN"/>
            </w:rPr>
            <w:t>14</w:t>
          </w:r>
          <w:r w:rsidRPr="00CE5A1B">
            <w:rPr>
              <w:lang w:val="en-IN"/>
            </w:rPr>
            <w:t>(4), 30–39. https://doi.org/10.21511/imfi.14(4).2017.04</w:t>
          </w:r>
        </w:p>
        <w:p w14:paraId="76EA6383" w14:textId="77777777" w:rsidR="00C73D82" w:rsidRPr="00A16FC3" w:rsidRDefault="00C73D82" w:rsidP="00C73D82">
          <w:pPr>
            <w:pStyle w:val="Body"/>
            <w:spacing w:after="0"/>
            <w:rPr>
              <w:lang w:val="en-IN"/>
            </w:rPr>
          </w:pPr>
        </w:p>
        <w:p w14:paraId="4BC08985" w14:textId="37B6B27E" w:rsidR="00CE5A1B" w:rsidRPr="00CE5A1B" w:rsidRDefault="00CE5A1B" w:rsidP="00C73D82">
          <w:pPr>
            <w:pStyle w:val="Body"/>
            <w:spacing w:after="0"/>
            <w:rPr>
              <w:lang w:val="en-IN"/>
            </w:rPr>
          </w:pPr>
          <w:r w:rsidRPr="00A16FC3">
            <w:rPr>
              <w:lang w:val="en-IN"/>
            </w:rPr>
            <w:t xml:space="preserve">Zaman, M. S., &amp; Bhandari, A. K. (2022). </w:t>
          </w:r>
          <w:r w:rsidRPr="00CE5A1B">
            <w:rPr>
              <w:lang w:val="en-IN"/>
            </w:rPr>
            <w:t xml:space="preserve">Stressed assets, off-balance sheet business activities and performance of Indian banking sector: a DEA double bootstrap approach. </w:t>
          </w:r>
          <w:r w:rsidRPr="00CE5A1B">
            <w:rPr>
              <w:i/>
              <w:iCs/>
              <w:lang w:val="en-IN"/>
            </w:rPr>
            <w:t>Studies in Economics and Finance</w:t>
          </w:r>
          <w:r w:rsidRPr="00CE5A1B">
            <w:rPr>
              <w:lang w:val="en-IN"/>
            </w:rPr>
            <w:t xml:space="preserve">, </w:t>
          </w:r>
          <w:r w:rsidRPr="00CE5A1B">
            <w:rPr>
              <w:i/>
              <w:iCs/>
              <w:lang w:val="en-IN"/>
            </w:rPr>
            <w:t>39</w:t>
          </w:r>
          <w:r w:rsidRPr="00CE5A1B">
            <w:rPr>
              <w:lang w:val="en-IN"/>
            </w:rPr>
            <w:t>(4), 572–592. https://doi.org/10.1108/SEF-09-2020-0369</w:t>
          </w:r>
        </w:p>
        <w:p w14:paraId="2F352B6B" w14:textId="34689BFE" w:rsidR="008B459E" w:rsidRPr="002C57D2" w:rsidRDefault="00BD1FFA" w:rsidP="00C73D82">
          <w:pPr>
            <w:pStyle w:val="Body"/>
            <w:spacing w:after="0"/>
            <w:rPr>
              <w:rFonts w:ascii="Arial" w:hAnsi="Arial" w:cs="Arial"/>
            </w:rPr>
          </w:pPr>
        </w:p>
      </w:sdtContent>
    </w:sdt>
    <w:p w14:paraId="7A429090" w14:textId="372B709E" w:rsidR="004D4277" w:rsidRPr="00C73D82" w:rsidRDefault="004D4277" w:rsidP="00C73D82">
      <w:pPr>
        <w:pStyle w:val="DefAcrHead"/>
        <w:spacing w:after="0"/>
        <w:jc w:val="both"/>
        <w:rPr>
          <w:rFonts w:ascii="Arial" w:hAnsi="Arial" w:cs="Arial"/>
        </w:rPr>
        <w:sectPr w:rsidR="004D4277" w:rsidRPr="00C73D82" w:rsidSect="00CC6988">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66B0DC92" w14:textId="77777777" w:rsidR="00B01FCD" w:rsidRPr="00FB3A86" w:rsidRDefault="00B01FCD" w:rsidP="00441B6F">
      <w:pPr>
        <w:pStyle w:val="Appendix"/>
        <w:spacing w:after="0"/>
        <w:jc w:val="both"/>
        <w:rPr>
          <w:rFonts w:ascii="Arial" w:hAnsi="Arial" w:cs="Arial"/>
          <w:b w:val="0"/>
        </w:rPr>
      </w:pPr>
    </w:p>
    <w:sectPr w:rsidR="00B01FCD" w:rsidRPr="00FB3A86" w:rsidSect="00CC698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4F929" w14:textId="77777777" w:rsidR="00BD1FFA" w:rsidRDefault="00BD1FFA" w:rsidP="00C37E61">
      <w:r>
        <w:separator/>
      </w:r>
    </w:p>
  </w:endnote>
  <w:endnote w:type="continuationSeparator" w:id="0">
    <w:p w14:paraId="05483F3A" w14:textId="77777777" w:rsidR="00BD1FFA" w:rsidRDefault="00BD1FF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01415" w14:textId="77777777" w:rsidR="00CC6988" w:rsidRDefault="00CC69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12243" w14:textId="77777777" w:rsidR="00CC6988" w:rsidRDefault="00CC69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95C8D" w14:textId="504FABDA" w:rsidR="00754C9A" w:rsidRPr="00CC6988" w:rsidRDefault="00754C9A" w:rsidP="00CC698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487A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FFDD26" w14:textId="77777777" w:rsidR="00BD1FFA" w:rsidRDefault="00BD1FFA" w:rsidP="00C37E61">
      <w:r>
        <w:separator/>
      </w:r>
    </w:p>
  </w:footnote>
  <w:footnote w:type="continuationSeparator" w:id="0">
    <w:p w14:paraId="02234F8C" w14:textId="77777777" w:rsidR="00BD1FFA" w:rsidRDefault="00BD1FF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C2D8C" w14:textId="4C036897" w:rsidR="00CC6988" w:rsidRDefault="00CC6988">
    <w:pPr>
      <w:pStyle w:val="Header"/>
    </w:pPr>
    <w:r>
      <w:rPr>
        <w:noProof/>
      </w:rPr>
      <w:pict w14:anchorId="3A683D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62742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46597" w14:textId="14164FE9" w:rsidR="00CC6988" w:rsidRDefault="00CC6988">
    <w:pPr>
      <w:pStyle w:val="Header"/>
    </w:pPr>
    <w:r>
      <w:rPr>
        <w:noProof/>
      </w:rPr>
      <w:pict w14:anchorId="213BF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62742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414FF" w14:textId="627DEEB6" w:rsidR="00296529" w:rsidRPr="00296529" w:rsidRDefault="00CC6988" w:rsidP="00296529">
    <w:pPr>
      <w:ind w:left="2160"/>
      <w:jc w:val="center"/>
      <w:rPr>
        <w:rFonts w:ascii="Times New Roman" w:eastAsia="Calibri" w:hAnsi="Times New Roman"/>
        <w:i/>
        <w:sz w:val="18"/>
        <w:szCs w:val="22"/>
      </w:rPr>
    </w:pPr>
    <w:r>
      <w:rPr>
        <w:noProof/>
      </w:rPr>
      <w:pict w14:anchorId="1D15A5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62742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7C6409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BA9E04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F0D55A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D9B2C4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4FD6B9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9155F9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8E6BF" w14:textId="4DD00165" w:rsidR="00CC6988" w:rsidRDefault="00CC6988">
    <w:pPr>
      <w:pStyle w:val="Header"/>
    </w:pPr>
    <w:r>
      <w:rPr>
        <w:noProof/>
      </w:rPr>
      <w:pict w14:anchorId="451EE8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62742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66A06" w14:textId="69F6B0D2" w:rsidR="00CC6988" w:rsidRDefault="00CC6988">
    <w:pPr>
      <w:pStyle w:val="Header"/>
    </w:pPr>
    <w:r>
      <w:rPr>
        <w:noProof/>
      </w:rPr>
      <w:pict w14:anchorId="37B65C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62742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0CB1A" w14:textId="3AD2B418" w:rsidR="00CC6988" w:rsidRDefault="00CC6988">
    <w:pPr>
      <w:pStyle w:val="Header"/>
    </w:pPr>
    <w:r>
      <w:rPr>
        <w:noProof/>
      </w:rPr>
      <w:pict w14:anchorId="66A74A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0962742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AAC0C8D"/>
    <w:multiLevelType w:val="hybridMultilevel"/>
    <w:tmpl w:val="75D278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9ED32EF"/>
    <w:multiLevelType w:val="hybridMultilevel"/>
    <w:tmpl w:val="71AEA662"/>
    <w:lvl w:ilvl="0" w:tplc="E24C4364">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FAF7AB6"/>
    <w:multiLevelType w:val="hybridMultilevel"/>
    <w:tmpl w:val="C5922EF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3ED4333"/>
    <w:multiLevelType w:val="hybridMultilevel"/>
    <w:tmpl w:val="801AE9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CF715FE"/>
    <w:multiLevelType w:val="hybridMultilevel"/>
    <w:tmpl w:val="EBD4EC5C"/>
    <w:lvl w:ilvl="0" w:tplc="7CBCBAC4">
      <w:start w:val="1"/>
      <w:numFmt w:val="decimal"/>
      <w:lvlText w:val="%1  "/>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84B92"/>
    <w:multiLevelType w:val="hybridMultilevel"/>
    <w:tmpl w:val="B12446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619077C"/>
    <w:multiLevelType w:val="hybridMultilevel"/>
    <w:tmpl w:val="82128C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72F47E5"/>
    <w:multiLevelType w:val="hybridMultilevel"/>
    <w:tmpl w:val="C824B5CA"/>
    <w:lvl w:ilvl="0" w:tplc="40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6CD91163"/>
    <w:multiLevelType w:val="hybridMultilevel"/>
    <w:tmpl w:val="55C6108A"/>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9"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1"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3"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5"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32"/>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4"/>
  </w:num>
  <w:num w:numId="9">
    <w:abstractNumId w:val="34"/>
  </w:num>
  <w:num w:numId="10">
    <w:abstractNumId w:val="2"/>
  </w:num>
  <w:num w:numId="11">
    <w:abstractNumId w:val="26"/>
  </w:num>
  <w:num w:numId="12">
    <w:abstractNumId w:val="3"/>
  </w:num>
  <w:num w:numId="13">
    <w:abstractNumId w:val="23"/>
  </w:num>
  <w:num w:numId="14">
    <w:abstractNumId w:val="9"/>
  </w:num>
  <w:num w:numId="15">
    <w:abstractNumId w:val="30"/>
  </w:num>
  <w:num w:numId="16">
    <w:abstractNumId w:val="5"/>
  </w:num>
  <w:num w:numId="17">
    <w:abstractNumId w:val="31"/>
  </w:num>
  <w:num w:numId="18">
    <w:abstractNumId w:val="17"/>
  </w:num>
  <w:num w:numId="19">
    <w:abstractNumId w:val="37"/>
  </w:num>
  <w:num w:numId="20">
    <w:abstractNumId w:val="12"/>
  </w:num>
  <w:num w:numId="21">
    <w:abstractNumId w:val="10"/>
  </w:num>
  <w:num w:numId="22">
    <w:abstractNumId w:val="15"/>
  </w:num>
  <w:num w:numId="23">
    <w:abstractNumId w:val="28"/>
  </w:num>
  <w:num w:numId="24">
    <w:abstractNumId w:val="35"/>
  </w:num>
  <w:num w:numId="25">
    <w:abstractNumId w:val="4"/>
  </w:num>
  <w:num w:numId="26">
    <w:abstractNumId w:val="21"/>
  </w:num>
  <w:num w:numId="27">
    <w:abstractNumId w:val="29"/>
  </w:num>
  <w:num w:numId="28">
    <w:abstractNumId w:val="36"/>
  </w:num>
  <w:num w:numId="29">
    <w:abstractNumId w:val="33"/>
  </w:num>
  <w:num w:numId="30">
    <w:abstractNumId w:val="11"/>
  </w:num>
  <w:num w:numId="31">
    <w:abstractNumId w:val="6"/>
  </w:num>
  <w:num w:numId="32">
    <w:abstractNumId w:val="13"/>
  </w:num>
  <w:num w:numId="33">
    <w:abstractNumId w:val="24"/>
  </w:num>
  <w:num w:numId="34">
    <w:abstractNumId w:val="19"/>
  </w:num>
  <w:num w:numId="35">
    <w:abstractNumId w:val="18"/>
  </w:num>
  <w:num w:numId="36">
    <w:abstractNumId w:val="22"/>
  </w:num>
  <w:num w:numId="37">
    <w:abstractNumId w:val="16"/>
  </w:num>
  <w:num w:numId="38">
    <w:abstractNumId w:val="27"/>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305F"/>
    <w:rsid w:val="00044DD8"/>
    <w:rsid w:val="0004579C"/>
    <w:rsid w:val="000548A3"/>
    <w:rsid w:val="00074737"/>
    <w:rsid w:val="00077C6E"/>
    <w:rsid w:val="000A47FA"/>
    <w:rsid w:val="000A65D3"/>
    <w:rsid w:val="000B0590"/>
    <w:rsid w:val="000B1E33"/>
    <w:rsid w:val="000B7F04"/>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D3FEE"/>
    <w:rsid w:val="001E10D2"/>
    <w:rsid w:val="001E25B4"/>
    <w:rsid w:val="001E44FE"/>
    <w:rsid w:val="00200595"/>
    <w:rsid w:val="00204835"/>
    <w:rsid w:val="00231920"/>
    <w:rsid w:val="0023195C"/>
    <w:rsid w:val="0024282C"/>
    <w:rsid w:val="002460DC"/>
    <w:rsid w:val="00250985"/>
    <w:rsid w:val="002556F6"/>
    <w:rsid w:val="00280E35"/>
    <w:rsid w:val="00283105"/>
    <w:rsid w:val="00284C4C"/>
    <w:rsid w:val="00287E68"/>
    <w:rsid w:val="00296529"/>
    <w:rsid w:val="002B27FB"/>
    <w:rsid w:val="002B685A"/>
    <w:rsid w:val="002C57D2"/>
    <w:rsid w:val="002E0D56"/>
    <w:rsid w:val="002F5301"/>
    <w:rsid w:val="00315186"/>
    <w:rsid w:val="0033343E"/>
    <w:rsid w:val="003512C2"/>
    <w:rsid w:val="00371FB6"/>
    <w:rsid w:val="003763C1"/>
    <w:rsid w:val="00376BBE"/>
    <w:rsid w:val="003876F1"/>
    <w:rsid w:val="0039224F"/>
    <w:rsid w:val="003A43A4"/>
    <w:rsid w:val="003A47BA"/>
    <w:rsid w:val="003A7E18"/>
    <w:rsid w:val="003C0E0B"/>
    <w:rsid w:val="003C4C86"/>
    <w:rsid w:val="003C6258"/>
    <w:rsid w:val="003E2904"/>
    <w:rsid w:val="00401927"/>
    <w:rsid w:val="0041027F"/>
    <w:rsid w:val="00412475"/>
    <w:rsid w:val="0042367C"/>
    <w:rsid w:val="00423789"/>
    <w:rsid w:val="00440F43"/>
    <w:rsid w:val="00441B6F"/>
    <w:rsid w:val="00446221"/>
    <w:rsid w:val="00450E62"/>
    <w:rsid w:val="004539DB"/>
    <w:rsid w:val="00471A80"/>
    <w:rsid w:val="004778A2"/>
    <w:rsid w:val="004D305E"/>
    <w:rsid w:val="004D4277"/>
    <w:rsid w:val="004F3591"/>
    <w:rsid w:val="00502516"/>
    <w:rsid w:val="00505F06"/>
    <w:rsid w:val="00506828"/>
    <w:rsid w:val="00515FB4"/>
    <w:rsid w:val="0053056E"/>
    <w:rsid w:val="00554FDA"/>
    <w:rsid w:val="00573AE1"/>
    <w:rsid w:val="00575C9E"/>
    <w:rsid w:val="00582809"/>
    <w:rsid w:val="005C784C"/>
    <w:rsid w:val="005D17F6"/>
    <w:rsid w:val="005E5539"/>
    <w:rsid w:val="00602BF5"/>
    <w:rsid w:val="00617FDD"/>
    <w:rsid w:val="00633614"/>
    <w:rsid w:val="00633F68"/>
    <w:rsid w:val="00636EB2"/>
    <w:rsid w:val="006375B8"/>
    <w:rsid w:val="00656183"/>
    <w:rsid w:val="0066510A"/>
    <w:rsid w:val="00673F9F"/>
    <w:rsid w:val="00686953"/>
    <w:rsid w:val="00687DEA"/>
    <w:rsid w:val="00687E67"/>
    <w:rsid w:val="006967F7"/>
    <w:rsid w:val="006A250C"/>
    <w:rsid w:val="006B21D3"/>
    <w:rsid w:val="006B57D0"/>
    <w:rsid w:val="006C68BD"/>
    <w:rsid w:val="006D30FF"/>
    <w:rsid w:val="006D6940"/>
    <w:rsid w:val="006E6EEC"/>
    <w:rsid w:val="006F11EC"/>
    <w:rsid w:val="0070082C"/>
    <w:rsid w:val="007051FB"/>
    <w:rsid w:val="00722E0F"/>
    <w:rsid w:val="00725414"/>
    <w:rsid w:val="007369E6"/>
    <w:rsid w:val="00746E59"/>
    <w:rsid w:val="0075115A"/>
    <w:rsid w:val="00754C9A"/>
    <w:rsid w:val="0075599A"/>
    <w:rsid w:val="00761D52"/>
    <w:rsid w:val="00775D09"/>
    <w:rsid w:val="0077749E"/>
    <w:rsid w:val="00790ADA"/>
    <w:rsid w:val="007C42B5"/>
    <w:rsid w:val="007D2288"/>
    <w:rsid w:val="007E088F"/>
    <w:rsid w:val="007F7B32"/>
    <w:rsid w:val="00800BA9"/>
    <w:rsid w:val="00801AF8"/>
    <w:rsid w:val="00804BC2"/>
    <w:rsid w:val="00810AA9"/>
    <w:rsid w:val="0081431A"/>
    <w:rsid w:val="00822CAA"/>
    <w:rsid w:val="00827AA0"/>
    <w:rsid w:val="0083216F"/>
    <w:rsid w:val="0084152E"/>
    <w:rsid w:val="00860000"/>
    <w:rsid w:val="00863BD3"/>
    <w:rsid w:val="008641ED"/>
    <w:rsid w:val="00866D66"/>
    <w:rsid w:val="008671C6"/>
    <w:rsid w:val="00875803"/>
    <w:rsid w:val="008B459E"/>
    <w:rsid w:val="008E13AE"/>
    <w:rsid w:val="008E1506"/>
    <w:rsid w:val="008E6324"/>
    <w:rsid w:val="008E710C"/>
    <w:rsid w:val="008F69D6"/>
    <w:rsid w:val="00902823"/>
    <w:rsid w:val="00905DAD"/>
    <w:rsid w:val="00915CA6"/>
    <w:rsid w:val="00927834"/>
    <w:rsid w:val="009500A6"/>
    <w:rsid w:val="00957C18"/>
    <w:rsid w:val="009659BA"/>
    <w:rsid w:val="00983040"/>
    <w:rsid w:val="009B3FB9"/>
    <w:rsid w:val="009C2465"/>
    <w:rsid w:val="009C586E"/>
    <w:rsid w:val="009D35A0"/>
    <w:rsid w:val="009D7EB7"/>
    <w:rsid w:val="009E048A"/>
    <w:rsid w:val="009E08E9"/>
    <w:rsid w:val="009E3DB9"/>
    <w:rsid w:val="009E6E35"/>
    <w:rsid w:val="009F0EDA"/>
    <w:rsid w:val="00A03B96"/>
    <w:rsid w:val="00A05B19"/>
    <w:rsid w:val="00A1134E"/>
    <w:rsid w:val="00A16FC3"/>
    <w:rsid w:val="00A24E7E"/>
    <w:rsid w:val="00A258C3"/>
    <w:rsid w:val="00A347C0"/>
    <w:rsid w:val="00A51431"/>
    <w:rsid w:val="00A539AD"/>
    <w:rsid w:val="00A55192"/>
    <w:rsid w:val="00A73339"/>
    <w:rsid w:val="00A84008"/>
    <w:rsid w:val="00A94063"/>
    <w:rsid w:val="00AA6219"/>
    <w:rsid w:val="00AA74E0"/>
    <w:rsid w:val="00AB703F"/>
    <w:rsid w:val="00AC6BB8"/>
    <w:rsid w:val="00AD5A18"/>
    <w:rsid w:val="00AE008F"/>
    <w:rsid w:val="00AE1D50"/>
    <w:rsid w:val="00B01FCD"/>
    <w:rsid w:val="00B1776C"/>
    <w:rsid w:val="00B52583"/>
    <w:rsid w:val="00B52896"/>
    <w:rsid w:val="00B769FB"/>
    <w:rsid w:val="00B832D8"/>
    <w:rsid w:val="00B95236"/>
    <w:rsid w:val="00B96BD9"/>
    <w:rsid w:val="00BA1B01"/>
    <w:rsid w:val="00BA2641"/>
    <w:rsid w:val="00BA5840"/>
    <w:rsid w:val="00BB37AA"/>
    <w:rsid w:val="00BC53A0"/>
    <w:rsid w:val="00BD1FFA"/>
    <w:rsid w:val="00BD7FAB"/>
    <w:rsid w:val="00BE2B97"/>
    <w:rsid w:val="00BE62AD"/>
    <w:rsid w:val="00BF121F"/>
    <w:rsid w:val="00BF1F80"/>
    <w:rsid w:val="00C10296"/>
    <w:rsid w:val="00C166EF"/>
    <w:rsid w:val="00C17EB0"/>
    <w:rsid w:val="00C27F5F"/>
    <w:rsid w:val="00C30A0F"/>
    <w:rsid w:val="00C37E61"/>
    <w:rsid w:val="00C5036A"/>
    <w:rsid w:val="00C70F1B"/>
    <w:rsid w:val="00C71A47"/>
    <w:rsid w:val="00C73D82"/>
    <w:rsid w:val="00C7464C"/>
    <w:rsid w:val="00C849F2"/>
    <w:rsid w:val="00C85588"/>
    <w:rsid w:val="00CB5B41"/>
    <w:rsid w:val="00CC3516"/>
    <w:rsid w:val="00CC6988"/>
    <w:rsid w:val="00CC6FCF"/>
    <w:rsid w:val="00CD3499"/>
    <w:rsid w:val="00CD6755"/>
    <w:rsid w:val="00CD6856"/>
    <w:rsid w:val="00CE0089"/>
    <w:rsid w:val="00CE5A1B"/>
    <w:rsid w:val="00CE793C"/>
    <w:rsid w:val="00CF193C"/>
    <w:rsid w:val="00CF7A77"/>
    <w:rsid w:val="00D0737A"/>
    <w:rsid w:val="00D173F1"/>
    <w:rsid w:val="00D74CB0"/>
    <w:rsid w:val="00D8295D"/>
    <w:rsid w:val="00DC2A65"/>
    <w:rsid w:val="00DE15F0"/>
    <w:rsid w:val="00DE5663"/>
    <w:rsid w:val="00DE78AA"/>
    <w:rsid w:val="00E053D0"/>
    <w:rsid w:val="00E14CAB"/>
    <w:rsid w:val="00E15994"/>
    <w:rsid w:val="00E3114E"/>
    <w:rsid w:val="00E31A70"/>
    <w:rsid w:val="00E35B02"/>
    <w:rsid w:val="00E448EE"/>
    <w:rsid w:val="00E66496"/>
    <w:rsid w:val="00E66B35"/>
    <w:rsid w:val="00E66E10"/>
    <w:rsid w:val="00E769F6"/>
    <w:rsid w:val="00E81C0B"/>
    <w:rsid w:val="00E8407C"/>
    <w:rsid w:val="00E84F3C"/>
    <w:rsid w:val="00EA012C"/>
    <w:rsid w:val="00EA0F84"/>
    <w:rsid w:val="00EC3788"/>
    <w:rsid w:val="00EC6A55"/>
    <w:rsid w:val="00ED0288"/>
    <w:rsid w:val="00EE52CB"/>
    <w:rsid w:val="00EF581D"/>
    <w:rsid w:val="00EF7FD8"/>
    <w:rsid w:val="00F01948"/>
    <w:rsid w:val="00F06F59"/>
    <w:rsid w:val="00F17988"/>
    <w:rsid w:val="00F4676D"/>
    <w:rsid w:val="00F469F0"/>
    <w:rsid w:val="00F53273"/>
    <w:rsid w:val="00F755E4"/>
    <w:rsid w:val="00F77D02"/>
    <w:rsid w:val="00F77ED2"/>
    <w:rsid w:val="00FB3A86"/>
    <w:rsid w:val="00FD36C8"/>
    <w:rsid w:val="00FF7A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6F252B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8E6324"/>
    <w:pPr>
      <w:ind w:left="720"/>
      <w:contextualSpacing/>
      <w:jc w:val="both"/>
    </w:pPr>
    <w:rPr>
      <w:rFonts w:ascii="Times New Roman" w:eastAsiaTheme="minorHAnsi" w:hAnsi="Times New Roman" w:cs="Mangal"/>
      <w:kern w:val="2"/>
      <w:sz w:val="24"/>
      <w:szCs w:val="22"/>
      <w:lang w:val="en-IN" w:bidi="hi-IN"/>
    </w:rPr>
  </w:style>
  <w:style w:type="paragraph" w:styleId="NormalWeb">
    <w:name w:val="Normal (Web)"/>
    <w:basedOn w:val="Normal"/>
    <w:uiPriority w:val="99"/>
    <w:unhideWhenUsed/>
    <w:rsid w:val="008E6324"/>
    <w:pPr>
      <w:spacing w:before="100" w:beforeAutospacing="1" w:after="100" w:afterAutospacing="1"/>
    </w:pPr>
    <w:rPr>
      <w:rFonts w:ascii="Times New Roman" w:hAnsi="Times New Roman"/>
      <w:sz w:val="24"/>
      <w:szCs w:val="24"/>
      <w:lang w:val="en-IN" w:eastAsia="en-IN"/>
    </w:rPr>
  </w:style>
  <w:style w:type="table" w:styleId="PlainTable2">
    <w:name w:val="Plain Table 2"/>
    <w:basedOn w:val="TableNormal"/>
    <w:uiPriority w:val="42"/>
    <w:rsid w:val="008E6324"/>
    <w:pPr>
      <w:jc w:val="both"/>
    </w:pPr>
    <w:rPr>
      <w:rFonts w:eastAsiaTheme="minorHAnsi"/>
      <w:kern w:val="2"/>
      <w:sz w:val="24"/>
      <w:szCs w:val="22"/>
      <w:lang w:val="en-I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59"/>
    <w:rsid w:val="006C68B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91F27DBBA444E6BCC2A76124867947"/>
        <w:category>
          <w:name w:val="General"/>
          <w:gallery w:val="placeholder"/>
        </w:category>
        <w:types>
          <w:type w:val="bbPlcHdr"/>
        </w:types>
        <w:behaviors>
          <w:behavior w:val="content"/>
        </w:behaviors>
        <w:guid w:val="{3ABD118A-E84F-40AC-8265-8BE7C7B8188E}"/>
      </w:docPartPr>
      <w:docPartBody>
        <w:p w:rsidR="003B5E36" w:rsidRDefault="009750AB" w:rsidP="009750AB">
          <w:pPr>
            <w:pStyle w:val="E191F27DBBA444E6BCC2A76124867947"/>
          </w:pPr>
          <w:r w:rsidRPr="004B3A8C">
            <w:rPr>
              <w:rStyle w:val="PlaceholderText"/>
            </w:rPr>
            <w:t>Click or tap here to enter text.</w:t>
          </w:r>
        </w:p>
      </w:docPartBody>
    </w:docPart>
    <w:docPart>
      <w:docPartPr>
        <w:name w:val="D75013F6C140463B888803474AA60427"/>
        <w:category>
          <w:name w:val="General"/>
          <w:gallery w:val="placeholder"/>
        </w:category>
        <w:types>
          <w:type w:val="bbPlcHdr"/>
        </w:types>
        <w:behaviors>
          <w:behavior w:val="content"/>
        </w:behaviors>
        <w:guid w:val="{779F5B7A-1300-4D9D-9E6F-F63CF25A1BAD}"/>
      </w:docPartPr>
      <w:docPartBody>
        <w:p w:rsidR="003B5E36" w:rsidRDefault="009750AB" w:rsidP="009750AB">
          <w:pPr>
            <w:pStyle w:val="D75013F6C140463B888803474AA60427"/>
          </w:pPr>
          <w:r w:rsidRPr="004B3A8C">
            <w:rPr>
              <w:rStyle w:val="PlaceholderText"/>
            </w:rPr>
            <w:t>Click or tap here to enter text.</w:t>
          </w:r>
        </w:p>
      </w:docPartBody>
    </w:docPart>
    <w:docPart>
      <w:docPartPr>
        <w:name w:val="05DE907070E141DE8EF4EC9485503493"/>
        <w:category>
          <w:name w:val="General"/>
          <w:gallery w:val="placeholder"/>
        </w:category>
        <w:types>
          <w:type w:val="bbPlcHdr"/>
        </w:types>
        <w:behaviors>
          <w:behavior w:val="content"/>
        </w:behaviors>
        <w:guid w:val="{6813727A-071F-49D7-9E3F-C5EEB0D4AC57}"/>
      </w:docPartPr>
      <w:docPartBody>
        <w:p w:rsidR="003B5E36" w:rsidRDefault="009750AB" w:rsidP="009750AB">
          <w:pPr>
            <w:pStyle w:val="05DE907070E141DE8EF4EC9485503493"/>
          </w:pPr>
          <w:r w:rsidRPr="004B3A8C">
            <w:rPr>
              <w:rStyle w:val="PlaceholderText"/>
            </w:rPr>
            <w:t>Click or tap here to enter text.</w:t>
          </w:r>
        </w:p>
      </w:docPartBody>
    </w:docPart>
    <w:docPart>
      <w:docPartPr>
        <w:name w:val="7E5A777ACD074DB2989304086C426CC9"/>
        <w:category>
          <w:name w:val="General"/>
          <w:gallery w:val="placeholder"/>
        </w:category>
        <w:types>
          <w:type w:val="bbPlcHdr"/>
        </w:types>
        <w:behaviors>
          <w:behavior w:val="content"/>
        </w:behaviors>
        <w:guid w:val="{A2B1C625-A3A3-426A-8BD5-81186A9DE5DA}"/>
      </w:docPartPr>
      <w:docPartBody>
        <w:p w:rsidR="003B5E36" w:rsidRDefault="009750AB" w:rsidP="009750AB">
          <w:pPr>
            <w:pStyle w:val="7E5A777ACD074DB2989304086C426CC9"/>
          </w:pPr>
          <w:r w:rsidRPr="000C6123">
            <w:rPr>
              <w:rStyle w:val="PlaceholderText"/>
            </w:rPr>
            <w:t>Click or tap here to enter text.</w:t>
          </w:r>
        </w:p>
      </w:docPartBody>
    </w:docPart>
    <w:docPart>
      <w:docPartPr>
        <w:name w:val="B30673BB8797488D8F55D8A367452C7B"/>
        <w:category>
          <w:name w:val="General"/>
          <w:gallery w:val="placeholder"/>
        </w:category>
        <w:types>
          <w:type w:val="bbPlcHdr"/>
        </w:types>
        <w:behaviors>
          <w:behavior w:val="content"/>
        </w:behaviors>
        <w:guid w:val="{92059BFB-DD12-409E-874A-481D99932674}"/>
      </w:docPartPr>
      <w:docPartBody>
        <w:p w:rsidR="003B5E36" w:rsidRDefault="009750AB" w:rsidP="009750AB">
          <w:pPr>
            <w:pStyle w:val="B30673BB8797488D8F55D8A367452C7B"/>
          </w:pPr>
          <w:r w:rsidRPr="004B3A8C">
            <w:rPr>
              <w:rStyle w:val="PlaceholderText"/>
            </w:rPr>
            <w:t>Click or tap here to enter text.</w:t>
          </w:r>
        </w:p>
      </w:docPartBody>
    </w:docPart>
    <w:docPart>
      <w:docPartPr>
        <w:name w:val="80D15265460F4F249007EBDC00A762EE"/>
        <w:category>
          <w:name w:val="General"/>
          <w:gallery w:val="placeholder"/>
        </w:category>
        <w:types>
          <w:type w:val="bbPlcHdr"/>
        </w:types>
        <w:behaviors>
          <w:behavior w:val="content"/>
        </w:behaviors>
        <w:guid w:val="{FC079F9E-D96D-4677-8312-96A0E78EF7E3}"/>
      </w:docPartPr>
      <w:docPartBody>
        <w:p w:rsidR="003B5E36" w:rsidRDefault="009750AB" w:rsidP="009750AB">
          <w:pPr>
            <w:pStyle w:val="80D15265460F4F249007EBDC00A762EE"/>
          </w:pPr>
          <w:r w:rsidRPr="000C6123">
            <w:rPr>
              <w:rStyle w:val="PlaceholderText"/>
            </w:rPr>
            <w:t>Click or tap here to enter text.</w:t>
          </w:r>
        </w:p>
      </w:docPartBody>
    </w:docPart>
    <w:docPart>
      <w:docPartPr>
        <w:name w:val="902A6A1DA12A45E98C5F376791DB506E"/>
        <w:category>
          <w:name w:val="General"/>
          <w:gallery w:val="placeholder"/>
        </w:category>
        <w:types>
          <w:type w:val="bbPlcHdr"/>
        </w:types>
        <w:behaviors>
          <w:behavior w:val="content"/>
        </w:behaviors>
        <w:guid w:val="{75CAA7AB-3688-40C1-B503-1A366B467219}"/>
      </w:docPartPr>
      <w:docPartBody>
        <w:p w:rsidR="003B5E36" w:rsidRDefault="009750AB" w:rsidP="009750AB">
          <w:pPr>
            <w:pStyle w:val="902A6A1DA12A45E98C5F376791DB506E"/>
          </w:pPr>
          <w:r w:rsidRPr="00B71CAC">
            <w:rPr>
              <w:rStyle w:val="PlaceholderText"/>
            </w:rPr>
            <w:t>Click or tap here to enter text.</w:t>
          </w:r>
        </w:p>
      </w:docPartBody>
    </w:docPart>
    <w:docPart>
      <w:docPartPr>
        <w:name w:val="EF40E857FDA34B6882447754EE20DAA7"/>
        <w:category>
          <w:name w:val="General"/>
          <w:gallery w:val="placeholder"/>
        </w:category>
        <w:types>
          <w:type w:val="bbPlcHdr"/>
        </w:types>
        <w:behaviors>
          <w:behavior w:val="content"/>
        </w:behaviors>
        <w:guid w:val="{BEB5B9D8-5FE4-448A-B60C-1EF202CD01A8}"/>
      </w:docPartPr>
      <w:docPartBody>
        <w:p w:rsidR="00BD5120" w:rsidRDefault="003B5E36" w:rsidP="003B5E36">
          <w:pPr>
            <w:pStyle w:val="EF40E857FDA34B6882447754EE20DAA7"/>
          </w:pPr>
          <w:r w:rsidRPr="004B3A8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0AB"/>
    <w:rsid w:val="00074737"/>
    <w:rsid w:val="00280E35"/>
    <w:rsid w:val="0035005B"/>
    <w:rsid w:val="003B5E36"/>
    <w:rsid w:val="005A1534"/>
    <w:rsid w:val="006E6EEC"/>
    <w:rsid w:val="007A094E"/>
    <w:rsid w:val="007D343B"/>
    <w:rsid w:val="00800BA9"/>
    <w:rsid w:val="009750AB"/>
    <w:rsid w:val="00AA140E"/>
    <w:rsid w:val="00AA62B4"/>
    <w:rsid w:val="00AD1ACD"/>
    <w:rsid w:val="00BB38EB"/>
    <w:rsid w:val="00BD5120"/>
    <w:rsid w:val="00C5036A"/>
    <w:rsid w:val="00CB5B41"/>
    <w:rsid w:val="00CE40B7"/>
    <w:rsid w:val="00F154C7"/>
    <w:rsid w:val="00FB5B1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5E36"/>
    <w:rPr>
      <w:color w:val="666666"/>
    </w:rPr>
  </w:style>
  <w:style w:type="paragraph" w:customStyle="1" w:styleId="E191F27DBBA444E6BCC2A76124867947">
    <w:name w:val="E191F27DBBA444E6BCC2A76124867947"/>
    <w:rsid w:val="009750AB"/>
  </w:style>
  <w:style w:type="paragraph" w:customStyle="1" w:styleId="D75013F6C140463B888803474AA60427">
    <w:name w:val="D75013F6C140463B888803474AA60427"/>
    <w:rsid w:val="009750AB"/>
  </w:style>
  <w:style w:type="paragraph" w:customStyle="1" w:styleId="05DE907070E141DE8EF4EC9485503493">
    <w:name w:val="05DE907070E141DE8EF4EC9485503493"/>
    <w:rsid w:val="009750AB"/>
  </w:style>
  <w:style w:type="paragraph" w:customStyle="1" w:styleId="7E5A777ACD074DB2989304086C426CC9">
    <w:name w:val="7E5A777ACD074DB2989304086C426CC9"/>
    <w:rsid w:val="009750AB"/>
  </w:style>
  <w:style w:type="paragraph" w:customStyle="1" w:styleId="B30673BB8797488D8F55D8A367452C7B">
    <w:name w:val="B30673BB8797488D8F55D8A367452C7B"/>
    <w:rsid w:val="009750AB"/>
  </w:style>
  <w:style w:type="paragraph" w:customStyle="1" w:styleId="80D15265460F4F249007EBDC00A762EE">
    <w:name w:val="80D15265460F4F249007EBDC00A762EE"/>
    <w:rsid w:val="009750AB"/>
  </w:style>
  <w:style w:type="paragraph" w:customStyle="1" w:styleId="902A6A1DA12A45E98C5F376791DB506E">
    <w:name w:val="902A6A1DA12A45E98C5F376791DB506E"/>
    <w:rsid w:val="009750AB"/>
  </w:style>
  <w:style w:type="paragraph" w:customStyle="1" w:styleId="EF40E857FDA34B6882447754EE20DAA7">
    <w:name w:val="EF40E857FDA34B6882447754EE20DAA7"/>
    <w:rsid w:val="003B5E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 dockstate="right" visibility="0" width="525"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6E39DE7-2312-4B0C-9DB4-BAFF6F7A8B1A}">
  <we:reference id="wa200001361" version="2.129.3.0" store="en-US" storeType="OMEX"/>
  <we:alternateReferences>
    <we:reference id="WA200001361" version="2.129.3.0" store="" storeType="OMEX"/>
  </we:alternateReferences>
  <we:properties>
    <we:property name="paperpal-document-id" value="&quot;fea6cf84-5f61-48b8-8828-f13f5f50c0ee&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7D1F8184-3E75-42B4-B0CA-A5F16D3482F7}">
  <we:reference id="wa200000368" version="1.0.0.0" store="en-US" storeType="OMEX"/>
  <we:alternateReferences>
    <we:reference id="WA200000368" version="1.0.0.0" store="" storeType="OMEX"/>
  </we:alternateReferences>
  <we:properties>
    <we:property name="documentId" value="&quot;cc800e0a8597c9f2&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B22D3-B445-42FC-8A4C-402B1D189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2655</TotalTime>
  <Pages>14</Pages>
  <Words>5914</Words>
  <Characters>33713</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39548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41</cp:revision>
  <cp:lastPrinted>1999-07-06T11:00:00Z</cp:lastPrinted>
  <dcterms:created xsi:type="dcterms:W3CDTF">2014-10-25T14:34:00Z</dcterms:created>
  <dcterms:modified xsi:type="dcterms:W3CDTF">2025-09-02T05:50:00Z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046d762e-27ea-4a7b-a407-72bcbeb521e9</vt:lpwstr>
  </property>
</Properties>
</file>