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C764C" w14:textId="77777777" w:rsidR="00C27B99" w:rsidRDefault="00713924" w:rsidP="00713924">
      <w:pPr>
        <w:jc w:val="center"/>
        <w:rPr>
          <w:rFonts w:ascii="Times New Roman" w:hAnsi="Times New Roman" w:cs="Times New Roman"/>
          <w:sz w:val="30"/>
          <w:szCs w:val="30"/>
        </w:rPr>
      </w:pPr>
      <w:r w:rsidRPr="00713924">
        <w:rPr>
          <w:rFonts w:ascii="Times New Roman" w:hAnsi="Times New Roman" w:cs="Times New Roman"/>
          <w:sz w:val="30"/>
          <w:szCs w:val="30"/>
        </w:rPr>
        <w:t xml:space="preserve">New-type </w:t>
      </w:r>
      <w:r w:rsidR="00127CE6">
        <w:rPr>
          <w:rFonts w:ascii="Times New Roman" w:hAnsi="Times New Roman" w:cs="Times New Roman" w:hint="eastAsia"/>
          <w:sz w:val="30"/>
          <w:szCs w:val="30"/>
        </w:rPr>
        <w:t>P</w:t>
      </w:r>
      <w:r w:rsidRPr="00713924">
        <w:rPr>
          <w:rFonts w:ascii="Times New Roman" w:hAnsi="Times New Roman" w:cs="Times New Roman"/>
          <w:sz w:val="30"/>
          <w:szCs w:val="30"/>
        </w:rPr>
        <w:t xml:space="preserve">roductive </w:t>
      </w:r>
      <w:r w:rsidR="00127CE6">
        <w:rPr>
          <w:rFonts w:ascii="Times New Roman" w:hAnsi="Times New Roman" w:cs="Times New Roman" w:hint="eastAsia"/>
          <w:sz w:val="30"/>
          <w:szCs w:val="30"/>
        </w:rPr>
        <w:t>F</w:t>
      </w:r>
      <w:r w:rsidRPr="00713924">
        <w:rPr>
          <w:rFonts w:ascii="Times New Roman" w:hAnsi="Times New Roman" w:cs="Times New Roman"/>
          <w:sz w:val="30"/>
          <w:szCs w:val="30"/>
        </w:rPr>
        <w:t xml:space="preserve">orces </w:t>
      </w:r>
      <w:r w:rsidR="00127CE6">
        <w:rPr>
          <w:rFonts w:ascii="Times New Roman" w:hAnsi="Times New Roman" w:cs="Times New Roman" w:hint="eastAsia"/>
          <w:sz w:val="30"/>
          <w:szCs w:val="30"/>
        </w:rPr>
        <w:t>P</w:t>
      </w:r>
      <w:r w:rsidRPr="00713924">
        <w:rPr>
          <w:rFonts w:ascii="Times New Roman" w:hAnsi="Times New Roman" w:cs="Times New Roman"/>
          <w:sz w:val="30"/>
          <w:szCs w:val="30"/>
        </w:rPr>
        <w:t xml:space="preserve">romote </w:t>
      </w:r>
      <w:r w:rsidR="00127CE6">
        <w:rPr>
          <w:rFonts w:ascii="Times New Roman" w:hAnsi="Times New Roman" w:cs="Times New Roman" w:hint="eastAsia"/>
          <w:sz w:val="30"/>
          <w:szCs w:val="30"/>
        </w:rPr>
        <w:t>T</w:t>
      </w:r>
      <w:r w:rsidRPr="00713924">
        <w:rPr>
          <w:rFonts w:ascii="Times New Roman" w:hAnsi="Times New Roman" w:cs="Times New Roman"/>
          <w:sz w:val="30"/>
          <w:szCs w:val="30"/>
        </w:rPr>
        <w:t xml:space="preserve">rade </w:t>
      </w:r>
      <w:r w:rsidR="00127CE6">
        <w:rPr>
          <w:rFonts w:ascii="Times New Roman" w:hAnsi="Times New Roman" w:cs="Times New Roman" w:hint="eastAsia"/>
          <w:sz w:val="30"/>
          <w:szCs w:val="30"/>
        </w:rPr>
        <w:t>D</w:t>
      </w:r>
      <w:r w:rsidRPr="00713924">
        <w:rPr>
          <w:rFonts w:ascii="Times New Roman" w:hAnsi="Times New Roman" w:cs="Times New Roman"/>
          <w:sz w:val="30"/>
          <w:szCs w:val="30"/>
        </w:rPr>
        <w:t>evelopment</w:t>
      </w:r>
    </w:p>
    <w:p w14:paraId="28FD419B" w14:textId="7B5A636F" w:rsidR="00E16628" w:rsidRDefault="00E16628" w:rsidP="00713924">
      <w:pPr>
        <w:jc w:val="center"/>
        <w:rPr>
          <w:rFonts w:ascii="Times New Roman" w:hAnsi="Times New Roman" w:cs="Times New Roman"/>
          <w:sz w:val="24"/>
        </w:rPr>
      </w:pPr>
    </w:p>
    <w:p w14:paraId="55A58E5C" w14:textId="77777777" w:rsidR="00D80C45" w:rsidRPr="00A41C16" w:rsidRDefault="00D80C45" w:rsidP="00713924">
      <w:pPr>
        <w:jc w:val="center"/>
        <w:rPr>
          <w:rFonts w:ascii="Times New Roman" w:hAnsi="Times New Roman" w:cs="Times New Roman"/>
          <w:sz w:val="24"/>
        </w:rPr>
      </w:pPr>
      <w:bookmarkStart w:id="0" w:name="_GoBack"/>
      <w:bookmarkEnd w:id="0"/>
    </w:p>
    <w:p w14:paraId="178514E9" w14:textId="77777777" w:rsidR="00AB335E" w:rsidRPr="00AB335E" w:rsidRDefault="00AB335E" w:rsidP="00AB335E">
      <w:pPr>
        <w:rPr>
          <w:rFonts w:ascii="Times New Roman" w:hAnsi="Times New Roman" w:cs="Times New Roman"/>
          <w:sz w:val="24"/>
        </w:rPr>
      </w:pPr>
      <w:r w:rsidRPr="00AF0039">
        <w:rPr>
          <w:rFonts w:ascii="Times New Roman" w:hAnsi="Times New Roman" w:cs="Times New Roman"/>
          <w:b/>
          <w:bCs/>
          <w:sz w:val="24"/>
        </w:rPr>
        <w:t>A</w:t>
      </w:r>
      <w:r w:rsidR="00DC6688" w:rsidRPr="00AF0039">
        <w:rPr>
          <w:rFonts w:ascii="Times New Roman" w:hAnsi="Times New Roman" w:cs="Times New Roman" w:hint="eastAsia"/>
          <w:b/>
          <w:bCs/>
          <w:sz w:val="24"/>
        </w:rPr>
        <w:t>BSTRACT</w:t>
      </w:r>
      <w:r w:rsidRPr="00AB335E">
        <w:rPr>
          <w:rFonts w:ascii="Times New Roman" w:hAnsi="Times New Roman" w:cs="Times New Roman"/>
          <w:sz w:val="24"/>
        </w:rPr>
        <w:t>: This paper examines the impact of new-quality productive forces on international trade development from three perspectives: enabling mechanisms, practical challenges, and policy responses. It first analyzes how new-quality productive forces profoundly reshape trade efficiency, structure, and boundaries through multiple pathways—optimizing global factor allocation, promoting technology-intensive trade, fostering new forms of digital trade, and intensifying rule competition—while advancing global value chain upgrading. It simultaneously highlights practical challenges in its enabling process, including regional development imbalances, conflicts in technical standards and rules, and disconnects between technological innovation and industrial structure, which constrain its potential realization. To address these challenges, the paper proposes policy recommendations such as establishing cross-regional technology-sharing mechanisms, participating in international standard-setting, and building industrial-technology matching platforms. These measures aim to deepen the integration of new-quality productive forces with the trade system, providing theoretical references and practical pathways for high-quality global trade development.</w:t>
      </w:r>
    </w:p>
    <w:p w14:paraId="677FEEB5" w14:textId="77777777" w:rsidR="00AB335E" w:rsidRDefault="00AB335E" w:rsidP="00AB335E">
      <w:pPr>
        <w:rPr>
          <w:rFonts w:ascii="Times New Roman" w:hAnsi="Times New Roman" w:cs="Times New Roman"/>
          <w:sz w:val="24"/>
        </w:rPr>
      </w:pPr>
      <w:r w:rsidRPr="00AB335E">
        <w:rPr>
          <w:rFonts w:ascii="Times New Roman" w:hAnsi="Times New Roman" w:cs="Times New Roman"/>
          <w:sz w:val="24"/>
        </w:rPr>
        <w:t>Keywords: New Quality Productivity; Trade; Technology; Industrial Structure</w:t>
      </w:r>
    </w:p>
    <w:p w14:paraId="31F57B35" w14:textId="77777777" w:rsidR="00F50D35" w:rsidRDefault="00F50D35" w:rsidP="00AB335E">
      <w:pPr>
        <w:rPr>
          <w:rFonts w:ascii="Times New Roman" w:hAnsi="Times New Roman" w:cs="Times New Roman"/>
          <w:sz w:val="24"/>
        </w:rPr>
      </w:pPr>
    </w:p>
    <w:p w14:paraId="318477D9" w14:textId="77777777" w:rsidR="00F50D35" w:rsidRPr="00692158" w:rsidRDefault="00D25744" w:rsidP="00D25744">
      <w:pPr>
        <w:rPr>
          <w:rFonts w:ascii="Times New Roman" w:hAnsi="Times New Roman" w:cs="Times New Roman"/>
          <w:b/>
          <w:bCs/>
          <w:sz w:val="24"/>
        </w:rPr>
      </w:pPr>
      <w:r w:rsidRPr="00692158">
        <w:rPr>
          <w:rFonts w:ascii="Times New Roman" w:hAnsi="Times New Roman" w:cs="Times New Roman"/>
          <w:b/>
          <w:bCs/>
          <w:sz w:val="24"/>
        </w:rPr>
        <w:t xml:space="preserve">1. </w:t>
      </w:r>
      <w:r w:rsidR="00F50D35" w:rsidRPr="00692158">
        <w:rPr>
          <w:rFonts w:ascii="Times New Roman" w:hAnsi="Times New Roman" w:cs="Times New Roman"/>
          <w:b/>
          <w:bCs/>
          <w:sz w:val="24"/>
        </w:rPr>
        <w:t>Introduction</w:t>
      </w:r>
    </w:p>
    <w:p w14:paraId="41F68045" w14:textId="77777777" w:rsidR="00F50D35" w:rsidRPr="00F50D35" w:rsidRDefault="00F50D35" w:rsidP="00F50D35">
      <w:pPr>
        <w:rPr>
          <w:rFonts w:ascii="Times New Roman" w:hAnsi="Times New Roman" w:cs="Times New Roman"/>
          <w:sz w:val="24"/>
        </w:rPr>
      </w:pPr>
      <w:r w:rsidRPr="00F50D35">
        <w:rPr>
          <w:rFonts w:ascii="Times New Roman" w:hAnsi="Times New Roman" w:cs="Times New Roman"/>
          <w:sz w:val="24"/>
        </w:rPr>
        <w:t>In September 2023, the Chinese government first introduced the concept of “new-quality productive forces,” defining it as follows: "New-quality productive forces represent an advanced state of productive capacity characterized by innovation as the primary driver, breaking away from traditional economic growth models and paths of productive force development. They embody high technology, high efficiency, and high quality, aligning with the new development philosophy. It emerges from revolutionary technological breakthroughs, innovative allocation of production factors, and deep industrial transformation and upgrading. Its fundamental essence lies in the leap forward of workers, means of production, objects of labor, and their optimized integration. Its core hallmark is a substantial increase in total factor productivity. Its defining characteristic is innovation, its key lies in quality excellence, and its essence is advanced productive forces." Subsequent meetings repeatedly addressed this concept to elaborate on the methodology for developing new-quality productive forces, thereby better integrating it with policy and realizing its practical value.</w:t>
      </w:r>
    </w:p>
    <w:p w14:paraId="28A3B900" w14:textId="77777777" w:rsidR="00F50D35" w:rsidRPr="00F50D35" w:rsidRDefault="00F50D35" w:rsidP="00F50D35">
      <w:pPr>
        <w:rPr>
          <w:rFonts w:ascii="Times New Roman" w:hAnsi="Times New Roman" w:cs="Times New Roman"/>
          <w:sz w:val="24"/>
        </w:rPr>
      </w:pPr>
      <w:r w:rsidRPr="00F50D35">
        <w:rPr>
          <w:rFonts w:ascii="Times New Roman" w:hAnsi="Times New Roman" w:cs="Times New Roman"/>
          <w:sz w:val="24"/>
        </w:rPr>
        <w:t xml:space="preserve">Trade, as a vital engine of economic growth, maintains a profoundly synergistic relationship with productivity development. Currently, the global trade landscape is undergoing profound transformation, facing multiple challenges such as rising protectionism, intensifying geopolitical conflicts, and frequent trade frictions, which have altered the dynamics between trade and productivity. Against the backdrop of economic transformation in some developing countries, new-quality productive forces can not only enhance nations' positions within global value chains by restructuring the </w:t>
      </w:r>
      <w:r w:rsidRPr="00F50D35">
        <w:rPr>
          <w:rFonts w:ascii="Times New Roman" w:hAnsi="Times New Roman" w:cs="Times New Roman"/>
          <w:sz w:val="24"/>
        </w:rPr>
        <w:lastRenderedPageBreak/>
        <w:t>factor composition, industrial forms, and competitive rules of international trade, but also inject new momentum into global economic growth. These forces are rewriting the foundational logic of international trade: shifting from competition over natural resources to competition for dominance in innovation ecosystems, and from price competition to competition over standards. For developing countries, this presents both a historic opportunity to break through the “middle-income trap” and a dual squeeze from technological blockades by developed nations and low-cost catch-up by other developing economies. Moving forward, persistently advancing the three-pronged strategy of “technological breakthroughs, scenario openness, and rule-making influence” will transform the advantages of new-quality productivity into institutional voice in international trade, providing a strategic fulcrum for building a new development paradigm.</w:t>
      </w:r>
    </w:p>
    <w:p w14:paraId="2BFCF7FD" w14:textId="77777777" w:rsidR="00F50D35" w:rsidRPr="00E86A7D" w:rsidRDefault="00F50D35" w:rsidP="00F50D35">
      <w:pPr>
        <w:rPr>
          <w:rFonts w:ascii="Times New Roman" w:hAnsi="Times New Roman" w:cs="Times New Roman"/>
          <w:b/>
          <w:bCs/>
          <w:sz w:val="24"/>
        </w:rPr>
      </w:pPr>
      <w:r w:rsidRPr="00E86A7D">
        <w:rPr>
          <w:rFonts w:ascii="Times New Roman" w:hAnsi="Times New Roman" w:cs="Times New Roman" w:hint="eastAsia"/>
          <w:b/>
          <w:bCs/>
          <w:sz w:val="24"/>
        </w:rPr>
        <w:t>2.</w:t>
      </w:r>
      <w:r w:rsidRPr="00E86A7D">
        <w:rPr>
          <w:b/>
          <w:bCs/>
        </w:rPr>
        <w:t xml:space="preserve"> </w:t>
      </w:r>
      <w:r w:rsidRPr="00E86A7D">
        <w:rPr>
          <w:rFonts w:ascii="Times New Roman" w:hAnsi="Times New Roman" w:cs="Times New Roman"/>
          <w:b/>
          <w:bCs/>
          <w:sz w:val="24"/>
        </w:rPr>
        <w:t>Literature Review</w:t>
      </w:r>
    </w:p>
    <w:p w14:paraId="22C26739" w14:textId="77777777" w:rsidR="00F50D35" w:rsidRPr="00F50D35" w:rsidRDefault="00F50D35" w:rsidP="00F50D35">
      <w:pPr>
        <w:rPr>
          <w:rFonts w:ascii="Times New Roman" w:hAnsi="Times New Roman" w:cs="Times New Roman"/>
          <w:sz w:val="24"/>
        </w:rPr>
      </w:pPr>
      <w:r w:rsidRPr="00F50D35">
        <w:rPr>
          <w:rFonts w:ascii="Times New Roman" w:hAnsi="Times New Roman" w:cs="Times New Roman"/>
          <w:sz w:val="24"/>
        </w:rPr>
        <w:t xml:space="preserve">Regarding the driving mechanisms of technological innovation, Perez argues that technological revolutions profoundly reshape production organization and global division of labor by triggering shifts in “technological-economic paradigms.” This restructuring not only enhances factor allocation efficiency but also gives rise to new trade forms represented by digital trade and smart manufacturing </w:t>
      </w:r>
      <w:r w:rsidRPr="00F50D35">
        <w:rPr>
          <w:rFonts w:ascii="Times New Roman" w:hAnsi="Times New Roman" w:cs="Times New Roman"/>
          <w:sz w:val="24"/>
          <w:vertAlign w:val="superscript"/>
        </w:rPr>
        <w:t>[1]</w:t>
      </w:r>
      <w:r w:rsidRPr="00F50D35">
        <w:rPr>
          <w:rFonts w:ascii="Times New Roman" w:hAnsi="Times New Roman" w:cs="Times New Roman"/>
          <w:sz w:val="24"/>
        </w:rPr>
        <w:t>. Feldman &amp; Yoon further emphasize that general-purpose technologies like big data and artificial intelligence significantly reduce coordination and transaction costs in cross-border trade, particularly facilitating the international expansion of service trade and digital platforms</w:t>
      </w:r>
      <w:r w:rsidRPr="00F50D35">
        <w:rPr>
          <w:rFonts w:ascii="Times New Roman" w:hAnsi="Times New Roman" w:cs="Times New Roman"/>
          <w:sz w:val="24"/>
          <w:vertAlign w:val="superscript"/>
        </w:rPr>
        <w:t xml:space="preserve"> [2]</w:t>
      </w:r>
      <w:r w:rsidRPr="00F50D35">
        <w:rPr>
          <w:rFonts w:ascii="Times New Roman" w:hAnsi="Times New Roman" w:cs="Times New Roman"/>
          <w:sz w:val="24"/>
        </w:rPr>
        <w:t>.</w:t>
      </w:r>
    </w:p>
    <w:p w14:paraId="16FEC608" w14:textId="77777777" w:rsidR="00F50D35" w:rsidRPr="00F50D35" w:rsidRDefault="00F50D35" w:rsidP="00F50D35">
      <w:pPr>
        <w:rPr>
          <w:rFonts w:ascii="Times New Roman" w:hAnsi="Times New Roman" w:cs="Times New Roman"/>
          <w:sz w:val="24"/>
        </w:rPr>
      </w:pPr>
      <w:r w:rsidRPr="00F50D35">
        <w:rPr>
          <w:rFonts w:ascii="Times New Roman" w:hAnsi="Times New Roman" w:cs="Times New Roman"/>
          <w:sz w:val="24"/>
        </w:rPr>
        <w:t xml:space="preserve">However, while technological innovation drives productivity growth, it also faces structural challenges. Autor &amp; Salomons found significant disparities in technology diffusion across countries and regions. Developed economies leverage technological accumulation and market mechanism advantages to dominate upstream segments of global value chains, while developing nations face risks of technological lock-in and structural disengagement </w:t>
      </w:r>
      <w:r w:rsidRPr="00F50D35">
        <w:rPr>
          <w:rFonts w:ascii="Times New Roman" w:hAnsi="Times New Roman" w:cs="Times New Roman"/>
          <w:sz w:val="24"/>
          <w:vertAlign w:val="superscript"/>
        </w:rPr>
        <w:t>[3</w:t>
      </w:r>
      <w:proofErr w:type="gramStart"/>
      <w:r w:rsidRPr="00F50D35">
        <w:rPr>
          <w:rFonts w:ascii="Times New Roman" w:hAnsi="Times New Roman" w:cs="Times New Roman"/>
          <w:sz w:val="24"/>
          <w:vertAlign w:val="superscript"/>
        </w:rPr>
        <w:t>]</w:t>
      </w:r>
      <w:r>
        <w:rPr>
          <w:rFonts w:ascii="Times New Roman" w:hAnsi="Times New Roman" w:cs="Times New Roman"/>
          <w:sz w:val="24"/>
        </w:rPr>
        <w:t>.K</w:t>
      </w:r>
      <w:r w:rsidRPr="00F50D35">
        <w:rPr>
          <w:rFonts w:ascii="Times New Roman" w:hAnsi="Times New Roman" w:cs="Times New Roman"/>
          <w:sz w:val="24"/>
        </w:rPr>
        <w:t>eller</w:t>
      </w:r>
      <w:proofErr w:type="gramEnd"/>
      <w:r w:rsidRPr="00F50D35">
        <w:rPr>
          <w:rFonts w:ascii="Times New Roman" w:hAnsi="Times New Roman" w:cs="Times New Roman"/>
          <w:sz w:val="24"/>
        </w:rPr>
        <w:t xml:space="preserve"> notes that ideological and institutional differences further exacerbate divergences in national technical standards, fueling digital trade barriers and technological nationalism that constitute substantial obstacles to technology diffusion </w:t>
      </w:r>
      <w:r w:rsidRPr="00D64B75">
        <w:rPr>
          <w:rFonts w:ascii="Times New Roman" w:hAnsi="Times New Roman" w:cs="Times New Roman"/>
          <w:sz w:val="24"/>
          <w:vertAlign w:val="superscript"/>
        </w:rPr>
        <w:t>[4]</w:t>
      </w:r>
      <w:r w:rsidRPr="00F50D35">
        <w:rPr>
          <w:rFonts w:ascii="Times New Roman" w:hAnsi="Times New Roman" w:cs="Times New Roman"/>
          <w:sz w:val="24"/>
        </w:rPr>
        <w:t xml:space="preserve">. To address these challenges, Stiglitz advocates promoting more inclusive technology diffusion through optimizing domestic innovation systems and strengthening interregional technological cooperation </w:t>
      </w:r>
      <w:r w:rsidRPr="00D64B75">
        <w:rPr>
          <w:rFonts w:ascii="Times New Roman" w:hAnsi="Times New Roman" w:cs="Times New Roman"/>
          <w:sz w:val="24"/>
          <w:vertAlign w:val="superscript"/>
        </w:rPr>
        <w:t>[5</w:t>
      </w:r>
      <w:proofErr w:type="gramStart"/>
      <w:r w:rsidRPr="00D64B75">
        <w:rPr>
          <w:rFonts w:ascii="Times New Roman" w:hAnsi="Times New Roman" w:cs="Times New Roman"/>
          <w:sz w:val="24"/>
          <w:vertAlign w:val="superscript"/>
        </w:rPr>
        <w:t>]</w:t>
      </w:r>
      <w:r w:rsidR="00D64B75">
        <w:rPr>
          <w:rFonts w:ascii="Times New Roman" w:hAnsi="Times New Roman" w:cs="Times New Roman"/>
          <w:sz w:val="24"/>
        </w:rPr>
        <w:t>.B</w:t>
      </w:r>
      <w:r w:rsidRPr="00F50D35">
        <w:rPr>
          <w:rFonts w:ascii="Times New Roman" w:hAnsi="Times New Roman" w:cs="Times New Roman"/>
          <w:sz w:val="24"/>
        </w:rPr>
        <w:t>aldwin</w:t>
      </w:r>
      <w:proofErr w:type="gramEnd"/>
      <w:r w:rsidRPr="00F50D35">
        <w:rPr>
          <w:rFonts w:ascii="Times New Roman" w:hAnsi="Times New Roman" w:cs="Times New Roman"/>
          <w:sz w:val="24"/>
        </w:rPr>
        <w:t xml:space="preserve"> proposes that future global trade rules must better adapt to the demands of digital economic development, ensuring data flow while enhancing international coordination on intellectual property and technical standards </w:t>
      </w:r>
      <w:r w:rsidR="00354802">
        <w:rPr>
          <w:rFonts w:ascii="Times New Roman" w:hAnsi="Times New Roman" w:cs="Times New Roman"/>
          <w:sz w:val="24"/>
          <w:vertAlign w:val="superscript"/>
        </w:rPr>
        <w:t>[6]</w:t>
      </w:r>
      <w:r w:rsidRPr="00F50D35">
        <w:rPr>
          <w:rFonts w:ascii="Times New Roman" w:hAnsi="Times New Roman" w:cs="Times New Roman"/>
          <w:sz w:val="24"/>
        </w:rPr>
        <w:t>.</w:t>
      </w:r>
    </w:p>
    <w:p w14:paraId="46FFEFF5" w14:textId="77777777" w:rsidR="003248BF" w:rsidRPr="00057A34" w:rsidRDefault="003248BF" w:rsidP="003248BF">
      <w:pPr>
        <w:rPr>
          <w:rFonts w:ascii="Times New Roman" w:hAnsi="Times New Roman" w:cs="Times New Roman"/>
          <w:b/>
          <w:bCs/>
          <w:sz w:val="24"/>
        </w:rPr>
      </w:pPr>
      <w:r w:rsidRPr="00057A34">
        <w:rPr>
          <w:rFonts w:ascii="Times New Roman" w:hAnsi="Times New Roman" w:cs="Times New Roman"/>
          <w:b/>
          <w:bCs/>
          <w:sz w:val="24"/>
        </w:rPr>
        <w:t>3.</w:t>
      </w:r>
      <w:r w:rsidRPr="00057A34">
        <w:rPr>
          <w:b/>
          <w:bCs/>
        </w:rPr>
        <w:t xml:space="preserve"> </w:t>
      </w:r>
      <w:r w:rsidRPr="00057A34">
        <w:rPr>
          <w:rFonts w:ascii="Times New Roman" w:hAnsi="Times New Roman" w:cs="Times New Roman"/>
          <w:b/>
          <w:bCs/>
          <w:sz w:val="24"/>
        </w:rPr>
        <w:t>The Logical Mechanism of New Quality Productivity Empowering Trade Development</w:t>
      </w:r>
    </w:p>
    <w:p w14:paraId="63A555AE" w14:textId="77777777" w:rsidR="003248BF" w:rsidRPr="00057A34" w:rsidRDefault="003248BF" w:rsidP="003248BF">
      <w:pPr>
        <w:rPr>
          <w:rFonts w:ascii="Times New Roman" w:hAnsi="Times New Roman" w:cs="Times New Roman"/>
          <w:b/>
          <w:bCs/>
          <w:sz w:val="24"/>
        </w:rPr>
      </w:pPr>
      <w:r w:rsidRPr="00057A34">
        <w:rPr>
          <w:rFonts w:ascii="Times New Roman" w:hAnsi="Times New Roman" w:cs="Times New Roman"/>
          <w:b/>
          <w:bCs/>
          <w:sz w:val="24"/>
        </w:rPr>
        <w:t>3.1 Optimizing Global Factor Allocation and Enhancing Fundamental Trade Efficiency</w:t>
      </w:r>
    </w:p>
    <w:p w14:paraId="58D4DF95" w14:textId="77777777" w:rsidR="003248BF" w:rsidRPr="003248BF" w:rsidRDefault="003248BF" w:rsidP="003248BF">
      <w:pPr>
        <w:rPr>
          <w:rFonts w:ascii="Times New Roman" w:hAnsi="Times New Roman" w:cs="Times New Roman"/>
          <w:sz w:val="24"/>
        </w:rPr>
      </w:pPr>
      <w:r w:rsidRPr="003248BF">
        <w:rPr>
          <w:rFonts w:ascii="Times New Roman" w:hAnsi="Times New Roman" w:cs="Times New Roman"/>
          <w:sz w:val="24"/>
        </w:rPr>
        <w:t xml:space="preserve">New quality productivity profoundly impacts the global trade system by restructuring factor allocation patterns and improving trade process efficiency. Its core mechanism lies in leveraging next-generation information technologies—including big data, artificial intelligence, the Internet of Things, and blockchain—to significantly reduce </w:t>
      </w:r>
      <w:r w:rsidRPr="003248BF">
        <w:rPr>
          <w:rFonts w:ascii="Times New Roman" w:hAnsi="Times New Roman" w:cs="Times New Roman"/>
          <w:sz w:val="24"/>
        </w:rPr>
        <w:lastRenderedPageBreak/>
        <w:t>information asymmetry and transaction costs. This enables more optimal identification, matching, and flow of production factors worldwide. For instance, intelligent algorithms dynamically optimize cross-border supply chain scheduling, digital platforms empower SMEs to integrate into global division of labor, and blockchain applications enhance the credibility and traceability of trade data. These advancements substantially boost the coordinated efficiency of logistics, capital flows, and information flows. This not only strengthens the practical realization of comparative advantages among nations but also propels trade modes toward digitalization, intelligence, and flexibility, ultimately laying both technological and institutional foundations for enhancing the fundamental efficiency of global trade.</w:t>
      </w:r>
    </w:p>
    <w:p w14:paraId="79923C21" w14:textId="77777777" w:rsidR="003248BF" w:rsidRPr="0028268A" w:rsidRDefault="003248BF" w:rsidP="003248BF">
      <w:pPr>
        <w:rPr>
          <w:rFonts w:ascii="Times New Roman" w:hAnsi="Times New Roman" w:cs="Times New Roman"/>
          <w:b/>
          <w:bCs/>
          <w:sz w:val="24"/>
        </w:rPr>
      </w:pPr>
      <w:r w:rsidRPr="0028268A">
        <w:rPr>
          <w:rFonts w:ascii="Times New Roman" w:hAnsi="Times New Roman" w:cs="Times New Roman"/>
          <w:b/>
          <w:bCs/>
          <w:sz w:val="24"/>
        </w:rPr>
        <w:t>3.2 Promoting Technology-Intensive Trade and Value Chain Upgrading</w:t>
      </w:r>
    </w:p>
    <w:p w14:paraId="7A19B87E" w14:textId="77777777" w:rsidR="003248BF" w:rsidRPr="003248BF" w:rsidRDefault="003248BF" w:rsidP="003248BF">
      <w:pPr>
        <w:rPr>
          <w:rFonts w:ascii="Times New Roman" w:hAnsi="Times New Roman" w:cs="Times New Roman"/>
          <w:sz w:val="24"/>
        </w:rPr>
      </w:pPr>
      <w:r w:rsidRPr="003248BF">
        <w:rPr>
          <w:rFonts w:ascii="Times New Roman" w:hAnsi="Times New Roman" w:cs="Times New Roman"/>
          <w:sz w:val="24"/>
        </w:rPr>
        <w:t>New-type productive forces drive technological innovation and knowledge spillovers, significantly propelling trade structures toward technology-intensive transformation and elevating nations' positions within global value chains. This process manifests in three key dimensions: First, centered on artificial intelligence, advanced manufacturing, and R&amp;D innovation, new-type productive forces generate demand for high-tech intermediate goods and final products. Cross-border flows of high-end equipment, critical components, and digital solutions are increasingly frequent, partially replacing traditional labor-intensive trade. Second, by enhancing domestic enterprises' capacity for technology absorption and re-innovation, it helps embed them into knowledge-intensive segments of global value chains, enabling a structural shift from processing and manufacturing toward higher-value-added activities like R&amp;D design and branded services. Finally, new-quality productive forces also promote the internationalization of intellectual property trade and technical services, making standard-setting, patent licensing, and key technology cooperation integral components of new trade forms. The outcome is not merely trade structural optimization but a substantive enhancement of a nation's influence and competitiveness within global innovation and value chain networks.</w:t>
      </w:r>
    </w:p>
    <w:p w14:paraId="47C7B960" w14:textId="77777777" w:rsidR="003248BF" w:rsidRPr="00F31518" w:rsidRDefault="003248BF" w:rsidP="003248BF">
      <w:pPr>
        <w:rPr>
          <w:rFonts w:ascii="Times New Roman" w:hAnsi="Times New Roman" w:cs="Times New Roman"/>
          <w:b/>
          <w:bCs/>
          <w:sz w:val="24"/>
        </w:rPr>
      </w:pPr>
      <w:r w:rsidRPr="00F31518">
        <w:rPr>
          <w:rFonts w:ascii="Times New Roman" w:hAnsi="Times New Roman" w:cs="Times New Roman"/>
          <w:b/>
          <w:bCs/>
          <w:sz w:val="24"/>
        </w:rPr>
        <w:t>3.3 Catalyzing New Forms of Digital Trade, Expanding Trade Boundaries</w:t>
      </w:r>
    </w:p>
    <w:p w14:paraId="541F7E9A" w14:textId="77777777" w:rsidR="00AB335E" w:rsidRDefault="003248BF" w:rsidP="003248BF">
      <w:pPr>
        <w:rPr>
          <w:rFonts w:ascii="Times New Roman" w:hAnsi="Times New Roman" w:cs="Times New Roman"/>
          <w:sz w:val="24"/>
        </w:rPr>
      </w:pPr>
      <w:r w:rsidRPr="003248BF">
        <w:rPr>
          <w:rFonts w:ascii="Times New Roman" w:hAnsi="Times New Roman" w:cs="Times New Roman"/>
          <w:sz w:val="24"/>
        </w:rPr>
        <w:t xml:space="preserve">Through digital technology innovation and application, new-quality productivity profoundly reshapes traditional trade forms and boundaries, giving rise to a new digital trade paradigm characterized by data-driven operations, platform-based management, and intelligent collaboration. The core mechanism of this transformation lies in how key technologies—including the Internet of Things, big data, artificial intelligence, and blockchain—have significantly reduced the costs of information acquisition, matching, and fulfillment. This enables services, knowledge, and data—previously difficult to transact across borders—to become vital trade commodities. For instance, cloud computing services, Software-as-a-Service (SaaS), digital content, and platform-based gig economies have achieved global supply-demand matching, vastly expanding the scope of tradable goods. Simultaneously, new infrastructure like smart contracts and digital currencies has enhanced the efficiency and security of cross-border payments, further reducing institutional transaction costs. The outcome is not merely an expansion in trade volume but a profound transformation in trade's substance, methods, and rules, propelling a paradigm shift in global trade from a primary focus on physical goods to </w:t>
      </w:r>
      <w:r w:rsidRPr="003248BF">
        <w:rPr>
          <w:rFonts w:ascii="Times New Roman" w:hAnsi="Times New Roman" w:cs="Times New Roman"/>
          <w:sz w:val="24"/>
        </w:rPr>
        <w:lastRenderedPageBreak/>
        <w:t>one that equally emphasizes digital goods and services.</w:t>
      </w:r>
    </w:p>
    <w:p w14:paraId="5748B4E8" w14:textId="77777777" w:rsidR="00D25744" w:rsidRPr="00D3028D" w:rsidRDefault="00D25744" w:rsidP="00D25744">
      <w:pPr>
        <w:rPr>
          <w:rFonts w:ascii="Times New Roman" w:hAnsi="Times New Roman" w:cs="Times New Roman"/>
          <w:b/>
          <w:bCs/>
          <w:sz w:val="24"/>
        </w:rPr>
      </w:pPr>
      <w:r w:rsidRPr="00D3028D">
        <w:rPr>
          <w:rFonts w:ascii="Times New Roman" w:hAnsi="Times New Roman" w:cs="Times New Roman"/>
          <w:b/>
          <w:bCs/>
          <w:sz w:val="24"/>
        </w:rPr>
        <w:t>4. The Practical Challenges of New Quality Productivity Empowering Trade Development</w:t>
      </w:r>
    </w:p>
    <w:p w14:paraId="1B5115C1" w14:textId="77777777" w:rsidR="00D25744" w:rsidRPr="00D3028D" w:rsidRDefault="00D25744" w:rsidP="00D25744">
      <w:pPr>
        <w:rPr>
          <w:rFonts w:ascii="Times New Roman" w:hAnsi="Times New Roman" w:cs="Times New Roman"/>
          <w:b/>
          <w:bCs/>
          <w:sz w:val="24"/>
        </w:rPr>
      </w:pPr>
      <w:r w:rsidRPr="00D3028D">
        <w:rPr>
          <w:rFonts w:ascii="Times New Roman" w:hAnsi="Times New Roman" w:cs="Times New Roman"/>
          <w:b/>
          <w:bCs/>
          <w:sz w:val="24"/>
        </w:rPr>
        <w:t>4.1 Regional Development Imbalances Constrain Overall Potential Release</w:t>
      </w:r>
    </w:p>
    <w:p w14:paraId="10BC4F0E" w14:textId="77777777" w:rsidR="00D25744" w:rsidRPr="00D25744" w:rsidRDefault="00D25744" w:rsidP="00D25744">
      <w:pPr>
        <w:rPr>
          <w:rFonts w:ascii="Times New Roman" w:hAnsi="Times New Roman" w:cs="Times New Roman"/>
          <w:sz w:val="24"/>
        </w:rPr>
      </w:pPr>
      <w:r w:rsidRPr="00D25744">
        <w:rPr>
          <w:rFonts w:ascii="Times New Roman" w:hAnsi="Times New Roman" w:cs="Times New Roman"/>
          <w:sz w:val="24"/>
        </w:rPr>
        <w:t>A key structural constraint facing new quality productivity in empowering global trade development is the imbalance in regional development. This imbalance profoundly limits the full realization of its overall potential. This issue manifests primarily across three dimensions: First, at the factor endowment level, developed nations and leading regions typically possess robust digital infrastructure, abundant R&amp;D resources, and pools of highly skilled talent. This enables them to rapidly absorb and apply cutting-edge technologies, forming self-reinforcing innovation cycles. In contrast, developing countries and peripheral regions struggle with inadequate network coverage, limited research investment, and talent drain. These constraints hinder their effective integration into new technology-driven global trade networks, further widening the “digital divide.” Second, at the industrial ecosystem level, advanced regions readily form high-tech industrial clusters and dynamic innovation ecosystems, while lagging areas face the dilemma of technological and industrial “</w:t>
      </w:r>
      <w:proofErr w:type="spellStart"/>
      <w:r w:rsidRPr="00D25744">
        <w:rPr>
          <w:rFonts w:ascii="Times New Roman" w:hAnsi="Times New Roman" w:cs="Times New Roman"/>
          <w:sz w:val="24"/>
        </w:rPr>
        <w:t>disembedding</w:t>
      </w:r>
      <w:proofErr w:type="spellEnd"/>
      <w:r w:rsidRPr="00D25744">
        <w:rPr>
          <w:rFonts w:ascii="Times New Roman" w:hAnsi="Times New Roman" w:cs="Times New Roman"/>
          <w:sz w:val="24"/>
        </w:rPr>
        <w:t>” due to weak industrial foundations and insufficient corporate transformation capabilities, preventing the conversion of general-purpose technologies into local trade competitiveness. Finally, at the policy and institutional level, some regions may struggle to implement effective policies supporting technology diffusion and business model innovation due to outdated governance systems or insufficient institutional flexibility, further widening development gaps between regions. This spatial asymmetry not only undermines the global trade gains that new productive forces should deliver but also hinders the formation of more inclusive and sustainable global value chains.</w:t>
      </w:r>
    </w:p>
    <w:p w14:paraId="23317992" w14:textId="77777777" w:rsidR="00D25744" w:rsidRPr="002735A8" w:rsidRDefault="00D25744" w:rsidP="00D25744">
      <w:pPr>
        <w:rPr>
          <w:rFonts w:ascii="Times New Roman" w:hAnsi="Times New Roman" w:cs="Times New Roman"/>
          <w:b/>
          <w:bCs/>
          <w:sz w:val="24"/>
        </w:rPr>
      </w:pPr>
      <w:r w:rsidRPr="002735A8">
        <w:rPr>
          <w:rFonts w:ascii="Times New Roman" w:hAnsi="Times New Roman" w:cs="Times New Roman"/>
          <w:b/>
          <w:bCs/>
          <w:sz w:val="24"/>
        </w:rPr>
        <w:t>4.2 Trade Frictions Arising from Conflicts in Technical Standards and Regulatory Systems</w:t>
      </w:r>
    </w:p>
    <w:p w14:paraId="3C119355" w14:textId="77777777" w:rsidR="00D25744" w:rsidRPr="00D25744" w:rsidRDefault="00D25744" w:rsidP="00D25744">
      <w:pPr>
        <w:rPr>
          <w:rFonts w:ascii="Times New Roman" w:hAnsi="Times New Roman" w:cs="Times New Roman"/>
          <w:sz w:val="24"/>
        </w:rPr>
      </w:pPr>
      <w:r w:rsidRPr="00D25744">
        <w:rPr>
          <w:rFonts w:ascii="Times New Roman" w:hAnsi="Times New Roman" w:cs="Times New Roman"/>
          <w:sz w:val="24"/>
        </w:rPr>
        <w:t xml:space="preserve">The development of new productive forces, particularly the rapid advancement of digital technology, artificial intelligence, and green technology, is intensifying conflicts between global technical standards and trade rule systems, thereby triggering new forms of trade friction. This challenge arises primarily from three dimensions: First, at the technical standards level, major economies are competing to dominate the formulation of emerging standards such as AI ethical guidelines, cross-border data flow rules, IoT protocols, and low-carbon certification systems, seeking to convert technological advantages into institutional power. For instance, in the digital sphere, the EU leverages the General Data Protection Regulation (GDPR) to strengthen its regulatory influence, while the US extends its long arm of jurisdiction through legislation like the Cloud Act. China is also actively participating in shaping digital governance frameworks. This standards competition directly results in businesses facing divergent compliance requirements and market access barriers across different jurisdictions, significantly increasing the institutional costs of trade. Second, at the rule coordination level, the existing multilateral trade system centered on the WTO struggles to effectively cover new issues like digital products, non-personal data flows, and algorithmic governance. The absence and lag in rules compel countries to build </w:t>
      </w:r>
      <w:r w:rsidRPr="00D25744">
        <w:rPr>
          <w:rFonts w:ascii="Times New Roman" w:hAnsi="Times New Roman" w:cs="Times New Roman"/>
          <w:sz w:val="24"/>
        </w:rPr>
        <w:lastRenderedPageBreak/>
        <w:t>exclusive “rule clubs” through regional agreements, leading to a fragmented trend in global digital trade governance. Finally, these rule conflicts often intersect with sensitive issues like national security, public morality, and industrial policy. Some nations instrumentalize them as new non-tariff barriers for technological protectionism, further escalating trade disputes.</w:t>
      </w:r>
    </w:p>
    <w:p w14:paraId="094DEDB0" w14:textId="77777777" w:rsidR="00D25744" w:rsidRPr="00D25744" w:rsidRDefault="00D25744" w:rsidP="00D25744">
      <w:pPr>
        <w:rPr>
          <w:rFonts w:ascii="Times New Roman" w:hAnsi="Times New Roman" w:cs="Times New Roman"/>
          <w:sz w:val="24"/>
        </w:rPr>
      </w:pPr>
      <w:r w:rsidRPr="00D25744">
        <w:rPr>
          <w:rFonts w:ascii="Times New Roman" w:hAnsi="Times New Roman" w:cs="Times New Roman"/>
          <w:sz w:val="24"/>
        </w:rPr>
        <w:t>Thus, while new-quality productive forces drive trade innovation, they also reshape global competition through standard and rule conflicts. Achieving effective international coordination and rule compatibility has become a core issue for future trade stability and sustainable development.</w:t>
      </w:r>
    </w:p>
    <w:p w14:paraId="0DA42932" w14:textId="77777777" w:rsidR="00D25744" w:rsidRPr="00B40747" w:rsidRDefault="00D25744" w:rsidP="00D25744">
      <w:pPr>
        <w:rPr>
          <w:rFonts w:ascii="Times New Roman" w:hAnsi="Times New Roman" w:cs="Times New Roman"/>
          <w:b/>
          <w:bCs/>
          <w:sz w:val="24"/>
        </w:rPr>
      </w:pPr>
      <w:r w:rsidRPr="00B40747">
        <w:rPr>
          <w:rFonts w:ascii="Times New Roman" w:hAnsi="Times New Roman" w:cs="Times New Roman"/>
          <w:b/>
          <w:bCs/>
          <w:sz w:val="24"/>
        </w:rPr>
        <w:t>4.3 Disconnect Between Technological Innovation and Existing Industrial Structures</w:t>
      </w:r>
    </w:p>
    <w:p w14:paraId="6DCD15BD" w14:textId="77777777" w:rsidR="00A32344" w:rsidRPr="00A32344" w:rsidRDefault="00A32344" w:rsidP="00A32344">
      <w:pPr>
        <w:rPr>
          <w:rFonts w:ascii="Times New Roman" w:hAnsi="Times New Roman" w:cs="Times New Roman"/>
          <w:sz w:val="24"/>
        </w:rPr>
      </w:pPr>
      <w:r w:rsidRPr="00A32344">
        <w:rPr>
          <w:rFonts w:ascii="Times New Roman" w:hAnsi="Times New Roman" w:cs="Times New Roman"/>
          <w:sz w:val="24"/>
        </w:rPr>
        <w:t>A significant practical challenge facing the development of new-quality productive forces is the pronounced disconnect between cutting-edge technological innovation and existing industrial structures. This structural contradiction manifests primarily in three dimensions: First, from the technology supply perspective, while disruptive technologies like artificial intelligence, big data, and advanced materials continue to emerge, their R&amp;D pathways often originate from lab-driven or idealized scenarios. This disconnect fails to adequately address the practical pain points and transformation cost constraints of traditional industries, leaving numerous innovations stranded at the “proof-of-concept” stage and hindering large-scale commercialization. Second, from the industrial demand side, many traditional manufacturing, agricultural, and small-to-medium-sized trading enterprises face transformation dilemmas due to constraints in capital strength, talent reserves, and organizational inertia. Their existing equipment, processes, and management systems struggle to directly integrate with high-tech solutions, creating a “fit gap” between technological supply and demand. Finally, the lagging development of intermediary services and common technology platforms within the innovation ecosystem further exacerbates the disconnect between industry, academia, and research. This prevents key production factors—such as knowledge, technology, and data—from efficiently permeating and circulating between innovation entities and industrial players.</w:t>
      </w:r>
    </w:p>
    <w:p w14:paraId="6FC7E4CD" w14:textId="77777777" w:rsidR="00AB335E" w:rsidRDefault="00A32344" w:rsidP="00A32344">
      <w:pPr>
        <w:rPr>
          <w:rFonts w:ascii="Times New Roman" w:hAnsi="Times New Roman" w:cs="Times New Roman"/>
          <w:sz w:val="24"/>
        </w:rPr>
      </w:pPr>
      <w:r w:rsidRPr="00A32344">
        <w:rPr>
          <w:rFonts w:ascii="Times New Roman" w:hAnsi="Times New Roman" w:cs="Times New Roman"/>
          <w:sz w:val="24"/>
        </w:rPr>
        <w:t>This disconnect not only leads to inefficient allocation of technological resources and delays the practical progress of empowering traditional industries with new productive forces, but also fundamentally constrains the depth and breadth of the national economy's digital transformation. It has become a critical bottleneck hindering the full release of the driving potential of new productive forces.</w:t>
      </w:r>
    </w:p>
    <w:p w14:paraId="62A17119" w14:textId="77777777" w:rsidR="0057006E" w:rsidRPr="00B40747" w:rsidRDefault="00A32344" w:rsidP="0057006E">
      <w:pPr>
        <w:rPr>
          <w:rFonts w:ascii="Times New Roman" w:hAnsi="Times New Roman" w:cs="Times New Roman"/>
          <w:b/>
          <w:bCs/>
          <w:sz w:val="24"/>
        </w:rPr>
      </w:pPr>
      <w:r w:rsidRPr="00B40747">
        <w:rPr>
          <w:rFonts w:ascii="Times New Roman" w:hAnsi="Times New Roman" w:cs="Times New Roman"/>
          <w:b/>
          <w:bCs/>
          <w:sz w:val="24"/>
        </w:rPr>
        <w:t xml:space="preserve">5. </w:t>
      </w:r>
      <w:r w:rsidR="0057006E" w:rsidRPr="00B40747">
        <w:rPr>
          <w:rFonts w:ascii="Times New Roman" w:hAnsi="Times New Roman" w:cs="Times New Roman"/>
          <w:b/>
          <w:bCs/>
          <w:sz w:val="24"/>
        </w:rPr>
        <w:t>Policy Recommendations for Empowering Trade Development through New Quality Productivity</w:t>
      </w:r>
    </w:p>
    <w:p w14:paraId="667CCA2F" w14:textId="77777777" w:rsidR="0057006E" w:rsidRPr="0057006E" w:rsidRDefault="0057006E" w:rsidP="0057006E">
      <w:pPr>
        <w:rPr>
          <w:rFonts w:ascii="Times New Roman" w:hAnsi="Times New Roman" w:cs="Times New Roman"/>
          <w:sz w:val="24"/>
        </w:rPr>
      </w:pPr>
      <w:r w:rsidRPr="00B40747">
        <w:rPr>
          <w:rFonts w:ascii="Times New Roman" w:hAnsi="Times New Roman" w:cs="Times New Roman"/>
          <w:b/>
          <w:bCs/>
          <w:sz w:val="24"/>
        </w:rPr>
        <w:t>5.1 Establishing Cross-Regional Technology Sharing and Capacity Building Mechanisms</w:t>
      </w:r>
    </w:p>
    <w:p w14:paraId="5C6561D0" w14:textId="77777777" w:rsidR="0057006E" w:rsidRPr="0057006E" w:rsidRDefault="0057006E" w:rsidP="0057006E">
      <w:pPr>
        <w:rPr>
          <w:rFonts w:ascii="Times New Roman" w:hAnsi="Times New Roman" w:cs="Times New Roman"/>
          <w:sz w:val="24"/>
        </w:rPr>
      </w:pPr>
      <w:r w:rsidRPr="0057006E">
        <w:rPr>
          <w:rFonts w:ascii="Times New Roman" w:hAnsi="Times New Roman" w:cs="Times New Roman"/>
          <w:sz w:val="24"/>
        </w:rPr>
        <w:t xml:space="preserve">To mitigate the constraints imposed by regional development disparities on trade development empowered by new quality productivity, a systematic cross-regional technology sharing and capacity building mechanism should be established through “digital enclaves + collaborative innovation platforms.” This approach aims to overcome geographical and resource constraints, facilitating the optimal spatial </w:t>
      </w:r>
      <w:r w:rsidRPr="0057006E">
        <w:rPr>
          <w:rFonts w:ascii="Times New Roman" w:hAnsi="Times New Roman" w:cs="Times New Roman"/>
          <w:sz w:val="24"/>
        </w:rPr>
        <w:lastRenderedPageBreak/>
        <w:t>reallocation of advanced productive factors. Specifically, under national leadership and with participation from leading enterprises and high-level research institutions, “digital enclaves” supported by cloud computing, edge computing, and 5G private networks should be embedded in underdeveloped regions with weak digital infrastructure but distinctive industrial strengths. This enables remote access to advanced computing power and industrial internet platforms without requiring redundant investments in heavy hardware. Simultaneously, collaborative innovation platforms integrating industry, academia, research, and application should be jointly developed around local competitive industries. Modular, low-code technical tools can lower the threshold for digital transformation, driving deep integration of general-purpose technologies like artificial intelligence and the Internet of Things with local industrial scenarios.</w:t>
      </w:r>
    </w:p>
    <w:p w14:paraId="38664241" w14:textId="77777777" w:rsidR="0057006E" w:rsidRPr="0057006E" w:rsidRDefault="0057006E" w:rsidP="0057006E">
      <w:pPr>
        <w:rPr>
          <w:rFonts w:ascii="Times New Roman" w:hAnsi="Times New Roman" w:cs="Times New Roman"/>
          <w:sz w:val="24"/>
        </w:rPr>
      </w:pPr>
      <w:r w:rsidRPr="0057006E">
        <w:rPr>
          <w:rFonts w:ascii="Times New Roman" w:hAnsi="Times New Roman" w:cs="Times New Roman"/>
          <w:sz w:val="24"/>
        </w:rPr>
        <w:t>This approach not only helps underdeveloped regions bypass traditional capital-intensive investment phases and access global digital trade networks at lower costs, but also enables them to leverage local characteristics for differentiated technological innovation and trade competitiveness. This comprehensively enhances the penetration breadth of new productive forces and trade-enabling efficiency, fostering coordinated regional development and complementary advantages within the unified national market framework.</w:t>
      </w:r>
    </w:p>
    <w:p w14:paraId="46087B59" w14:textId="77777777" w:rsidR="0057006E" w:rsidRPr="00996359" w:rsidRDefault="0057006E" w:rsidP="0057006E">
      <w:pPr>
        <w:rPr>
          <w:rFonts w:ascii="Times New Roman" w:hAnsi="Times New Roman" w:cs="Times New Roman"/>
          <w:b/>
          <w:bCs/>
          <w:sz w:val="24"/>
        </w:rPr>
      </w:pPr>
      <w:r w:rsidRPr="00996359">
        <w:rPr>
          <w:rFonts w:ascii="Times New Roman" w:hAnsi="Times New Roman" w:cs="Times New Roman"/>
          <w:b/>
          <w:bCs/>
          <w:sz w:val="24"/>
        </w:rPr>
        <w:t>5.2 Establishing a Dual-Track Governance Framework for Multilateral Participation in Standard Innovation</w:t>
      </w:r>
    </w:p>
    <w:p w14:paraId="4E70E6F7" w14:textId="77777777" w:rsidR="0057006E" w:rsidRPr="0057006E" w:rsidRDefault="0057006E" w:rsidP="0057006E">
      <w:pPr>
        <w:rPr>
          <w:rFonts w:ascii="Times New Roman" w:hAnsi="Times New Roman" w:cs="Times New Roman"/>
          <w:sz w:val="24"/>
        </w:rPr>
      </w:pPr>
      <w:r w:rsidRPr="0057006E">
        <w:rPr>
          <w:rFonts w:ascii="Times New Roman" w:hAnsi="Times New Roman" w:cs="Times New Roman"/>
          <w:sz w:val="24"/>
        </w:rPr>
        <w:t>To address conflicts over technical standards and rules arising from new productive forces and the resulting trade frictions, China should actively build a dual-track governance framework combining “inclusive multilateral participation” with “adaptive standard innovation.” This approach will strengthen China's voice in international rule-making while enhancing the adaptability of domestic industries to evolving global regulations.</w:t>
      </w:r>
    </w:p>
    <w:p w14:paraId="5C595F34" w14:textId="77777777" w:rsidR="00A32344" w:rsidRDefault="0057006E" w:rsidP="0057006E">
      <w:pPr>
        <w:rPr>
          <w:rFonts w:ascii="Times New Roman" w:hAnsi="Times New Roman" w:cs="Times New Roman"/>
          <w:sz w:val="24"/>
        </w:rPr>
      </w:pPr>
      <w:r w:rsidRPr="0057006E">
        <w:rPr>
          <w:rFonts w:ascii="Times New Roman" w:hAnsi="Times New Roman" w:cs="Times New Roman"/>
          <w:sz w:val="24"/>
        </w:rPr>
        <w:t>Specifically: First, China should proactively lead or deeply engage in international standard-setting for emerging fields such as AI governance, cross-border data flows, and green certification. Within multilateral frameworks like the WTO and ISO, it should collaborate with like-minded nations to propose solutions grounded in the concept of a community with a shared future for mankind. This will actively promote the formation of a highly compatible and inclusive international technical rules system, preventing global digital and green trade governance from fragmenting into blocs. Second, establish several “high-standard pressure testing zones” domestically. These zones would allow foreign-invested enterprises and domestic market entities to conduct compatibility trials between international advanced rules and existing domestic management measures under regulatory oversight, thereby enhancing the resilience and security of China's institutional opening-up. By combining proactive participation with adaptive innovation, China can not only effectively reduce enterprises' international compliance costs and trade friction risks but also achieve a strategic shift from passive acceptance to active shaping in the formation of new global trade rules driven by new productive forces.</w:t>
      </w:r>
    </w:p>
    <w:p w14:paraId="6BA6470C" w14:textId="77777777" w:rsidR="0057006E" w:rsidRPr="00996359" w:rsidRDefault="0057006E" w:rsidP="0057006E">
      <w:pPr>
        <w:rPr>
          <w:rFonts w:ascii="Times New Roman" w:hAnsi="Times New Roman" w:cs="Times New Roman"/>
          <w:b/>
          <w:bCs/>
          <w:sz w:val="24"/>
        </w:rPr>
      </w:pPr>
      <w:r w:rsidRPr="00996359">
        <w:rPr>
          <w:rFonts w:ascii="Times New Roman" w:hAnsi="Times New Roman" w:cs="Times New Roman"/>
          <w:b/>
          <w:bCs/>
          <w:sz w:val="24"/>
        </w:rPr>
        <w:t>5.3 Establishing a Dual-Drive Mechanism of Platforms and Ecosystems</w:t>
      </w:r>
    </w:p>
    <w:p w14:paraId="65008C8C" w14:textId="77777777" w:rsidR="0057006E" w:rsidRDefault="0057006E" w:rsidP="0057006E">
      <w:pPr>
        <w:rPr>
          <w:rFonts w:ascii="Times New Roman" w:hAnsi="Times New Roman" w:cs="Times New Roman"/>
          <w:sz w:val="24"/>
        </w:rPr>
      </w:pPr>
      <w:r w:rsidRPr="0057006E">
        <w:rPr>
          <w:rFonts w:ascii="Times New Roman" w:hAnsi="Times New Roman" w:cs="Times New Roman"/>
          <w:sz w:val="24"/>
        </w:rPr>
        <w:t xml:space="preserve">To address the disconnect between technological innovation and existing industrial </w:t>
      </w:r>
      <w:r w:rsidRPr="0057006E">
        <w:rPr>
          <w:rFonts w:ascii="Times New Roman" w:hAnsi="Times New Roman" w:cs="Times New Roman"/>
          <w:sz w:val="24"/>
        </w:rPr>
        <w:lastRenderedPageBreak/>
        <w:t>structures, efforts should focus on establishing a dual-drive mechanism comprising “industrial technology adaptation platforms + scenario-based innovation ecosystems.” This approach will effectively bridge the “last mile” gap between technological breakthroughs and industrial applications. Specifically, it is recommended that the government take the lead, with leading enterprises and new R&amp;D institutions jointly spearheading the establishment of a series of national-level “Industrial Technology Adaptation Platforms” across various sectors. These platforms should deeply explore specific application scenarios and transformation pain points in key areas such as traditional manufacturing, agriculture, and energy. They should proactively connect with cutting-edge technological achievements from universities and research institutions, conducting demand-driven secondary development and modular adaptation to significantly lower the barriers and risks for enterprises—especially SMEs—to adopt new technologies. Simultaneously, establishing a “scenario open fund” and publishing an “industrial demand list” should encourage local governments and industrial parks to open real production environments, providing scaled trial-and-error and iteration space for new productive forces like artificial intelligence and industrial internet. By promoting the efficient coupling of innovation supply with industrial demand in specific scenarios, this approach not only accelerates the commercial application and diffusion of new technologies but also guides technological innovation to genuinely serve the transformation and upgrading of the real economy. Ultimately, it fosters a new pattern of high-quality development driven by new productive forces, characterized by deep integration between technology and industry.</w:t>
      </w:r>
    </w:p>
    <w:p w14:paraId="611CB3FE" w14:textId="77777777" w:rsidR="00A21045" w:rsidRDefault="00A21045" w:rsidP="0057006E">
      <w:pPr>
        <w:rPr>
          <w:rFonts w:ascii="Times New Roman" w:hAnsi="Times New Roman" w:cs="Times New Roman"/>
          <w:sz w:val="24"/>
        </w:rPr>
      </w:pPr>
    </w:p>
    <w:p w14:paraId="25320F03" w14:textId="77777777" w:rsidR="00A21045" w:rsidRDefault="00A21045" w:rsidP="0057006E">
      <w:pPr>
        <w:rPr>
          <w:rFonts w:ascii="Times New Roman" w:hAnsi="Times New Roman" w:cs="Times New Roman"/>
          <w:sz w:val="24"/>
        </w:rPr>
      </w:pPr>
    </w:p>
    <w:p w14:paraId="0C76A39C" w14:textId="77777777" w:rsidR="00A21045" w:rsidRDefault="00A21045" w:rsidP="0057006E">
      <w:pPr>
        <w:rPr>
          <w:rFonts w:ascii="Times New Roman" w:hAnsi="Times New Roman" w:cs="Times New Roman"/>
          <w:sz w:val="24"/>
        </w:rPr>
      </w:pPr>
    </w:p>
    <w:p w14:paraId="3E6F5005" w14:textId="77777777" w:rsidR="00A21045" w:rsidRDefault="00A21045" w:rsidP="0057006E">
      <w:pPr>
        <w:rPr>
          <w:rFonts w:ascii="Times New Roman" w:hAnsi="Times New Roman" w:cs="Times New Roman"/>
          <w:sz w:val="24"/>
        </w:rPr>
      </w:pPr>
    </w:p>
    <w:p w14:paraId="4F5D9A12" w14:textId="77777777" w:rsidR="00C145E0" w:rsidRDefault="00C145E0" w:rsidP="0057006E">
      <w:pPr>
        <w:rPr>
          <w:rFonts w:ascii="Times New Roman" w:hAnsi="Times New Roman" w:cs="Times New Roman"/>
          <w:sz w:val="32"/>
          <w:szCs w:val="32"/>
        </w:rPr>
      </w:pPr>
    </w:p>
    <w:p w14:paraId="54EC7E9A" w14:textId="77777777" w:rsidR="00C145E0" w:rsidRDefault="00C145E0" w:rsidP="0057006E">
      <w:pPr>
        <w:rPr>
          <w:rFonts w:ascii="Times New Roman" w:hAnsi="Times New Roman" w:cs="Times New Roman"/>
          <w:sz w:val="32"/>
          <w:szCs w:val="32"/>
        </w:rPr>
      </w:pPr>
    </w:p>
    <w:p w14:paraId="0FC1C087" w14:textId="77777777" w:rsidR="00C145E0" w:rsidRDefault="00C145E0" w:rsidP="0057006E">
      <w:pPr>
        <w:rPr>
          <w:rFonts w:ascii="Times New Roman" w:hAnsi="Times New Roman" w:cs="Times New Roman"/>
          <w:sz w:val="32"/>
          <w:szCs w:val="32"/>
        </w:rPr>
      </w:pPr>
    </w:p>
    <w:p w14:paraId="1703A1B5" w14:textId="77777777" w:rsidR="00C145E0" w:rsidRDefault="00C145E0" w:rsidP="0057006E">
      <w:pPr>
        <w:rPr>
          <w:rFonts w:ascii="Times New Roman" w:hAnsi="Times New Roman" w:cs="Times New Roman"/>
          <w:sz w:val="32"/>
          <w:szCs w:val="32"/>
        </w:rPr>
      </w:pPr>
    </w:p>
    <w:p w14:paraId="015F6C1B" w14:textId="77777777" w:rsidR="00C145E0" w:rsidRDefault="00C145E0" w:rsidP="0057006E">
      <w:pPr>
        <w:rPr>
          <w:rFonts w:ascii="Times New Roman" w:hAnsi="Times New Roman" w:cs="Times New Roman"/>
          <w:sz w:val="32"/>
          <w:szCs w:val="32"/>
        </w:rPr>
      </w:pPr>
    </w:p>
    <w:p w14:paraId="44C308FF" w14:textId="77777777" w:rsidR="00C145E0" w:rsidRDefault="00C145E0" w:rsidP="0057006E">
      <w:pPr>
        <w:rPr>
          <w:rFonts w:ascii="Times New Roman" w:hAnsi="Times New Roman" w:cs="Times New Roman"/>
          <w:sz w:val="32"/>
          <w:szCs w:val="32"/>
        </w:rPr>
      </w:pPr>
    </w:p>
    <w:p w14:paraId="093CF988" w14:textId="77777777" w:rsidR="00C145E0" w:rsidRDefault="00C145E0" w:rsidP="0057006E">
      <w:pPr>
        <w:rPr>
          <w:rFonts w:ascii="Times New Roman" w:hAnsi="Times New Roman" w:cs="Times New Roman"/>
          <w:sz w:val="32"/>
          <w:szCs w:val="32"/>
        </w:rPr>
      </w:pPr>
    </w:p>
    <w:p w14:paraId="033D7BA6" w14:textId="77777777" w:rsidR="00C145E0" w:rsidRDefault="00C145E0" w:rsidP="0057006E">
      <w:pPr>
        <w:rPr>
          <w:rFonts w:ascii="Times New Roman" w:hAnsi="Times New Roman" w:cs="Times New Roman"/>
          <w:sz w:val="32"/>
          <w:szCs w:val="32"/>
        </w:rPr>
      </w:pPr>
    </w:p>
    <w:p w14:paraId="68BD4D58" w14:textId="77777777" w:rsidR="00C145E0" w:rsidRDefault="00C145E0" w:rsidP="0057006E">
      <w:pPr>
        <w:rPr>
          <w:rFonts w:ascii="Times New Roman" w:hAnsi="Times New Roman" w:cs="Times New Roman"/>
          <w:sz w:val="32"/>
          <w:szCs w:val="32"/>
        </w:rPr>
      </w:pPr>
    </w:p>
    <w:p w14:paraId="414D1219" w14:textId="77777777" w:rsidR="00A21045" w:rsidRDefault="00A21045" w:rsidP="0057006E">
      <w:pPr>
        <w:rPr>
          <w:rFonts w:ascii="Times New Roman" w:hAnsi="Times New Roman" w:cs="Times New Roman"/>
          <w:sz w:val="32"/>
          <w:szCs w:val="32"/>
        </w:rPr>
      </w:pPr>
      <w:r w:rsidRPr="00A21045">
        <w:rPr>
          <w:rFonts w:ascii="Times New Roman" w:hAnsi="Times New Roman" w:cs="Times New Roman"/>
          <w:sz w:val="32"/>
          <w:szCs w:val="32"/>
        </w:rPr>
        <w:lastRenderedPageBreak/>
        <w:t>References</w:t>
      </w:r>
      <w:r>
        <w:rPr>
          <w:rFonts w:ascii="Times New Roman" w:hAnsi="Times New Roman" w:cs="Times New Roman" w:hint="eastAsia"/>
          <w:sz w:val="32"/>
          <w:szCs w:val="32"/>
        </w:rPr>
        <w:t>：</w:t>
      </w:r>
    </w:p>
    <w:p w14:paraId="44BC0D7E" w14:textId="77777777" w:rsidR="00A21045" w:rsidRPr="00A21045" w:rsidRDefault="00A21045" w:rsidP="00A21045">
      <w:pPr>
        <w:rPr>
          <w:rFonts w:ascii="Times New Roman" w:hAnsi="Times New Roman" w:cs="Times New Roman"/>
          <w:sz w:val="24"/>
        </w:rPr>
      </w:pPr>
      <w:r w:rsidRPr="00A21045">
        <w:rPr>
          <w:rFonts w:ascii="Times New Roman" w:hAnsi="Times New Roman" w:cs="Times New Roman"/>
          <w:sz w:val="24"/>
        </w:rPr>
        <w:t>[1] Perez, C. Technological Revolutions and Financial Capital: The Dynamics of Bubbles and Golden Ages[M]. Edward Elgar,2002</w:t>
      </w:r>
    </w:p>
    <w:p w14:paraId="7D5E6E64" w14:textId="77777777" w:rsidR="00A21045" w:rsidRDefault="00A21045" w:rsidP="00A21045">
      <w:pPr>
        <w:rPr>
          <w:rFonts w:ascii="Times New Roman" w:hAnsi="Times New Roman" w:cs="Times New Roman"/>
          <w:sz w:val="24"/>
        </w:rPr>
      </w:pPr>
      <w:r w:rsidRPr="00A21045">
        <w:rPr>
          <w:rFonts w:ascii="Times New Roman" w:hAnsi="Times New Roman" w:cs="Times New Roman"/>
          <w:sz w:val="24"/>
        </w:rPr>
        <w:t>[2] Feldman, M. P., &amp; Yoon, J. W. The evolving roles of technology in global trade[J]. Research Policy, 2022,51(1), 104451.</w:t>
      </w:r>
    </w:p>
    <w:p w14:paraId="2ABDE771" w14:textId="77777777" w:rsidR="00C145E0" w:rsidRPr="00C145E0" w:rsidRDefault="00C145E0" w:rsidP="00C145E0">
      <w:pPr>
        <w:rPr>
          <w:rFonts w:ascii="Times New Roman" w:hAnsi="Times New Roman" w:cs="Times New Roman"/>
          <w:sz w:val="24"/>
        </w:rPr>
      </w:pPr>
      <w:r w:rsidRPr="00C145E0">
        <w:rPr>
          <w:rFonts w:ascii="Times New Roman" w:hAnsi="Times New Roman" w:cs="Times New Roman"/>
          <w:sz w:val="24"/>
        </w:rPr>
        <w:t>[3] Autor, D., &amp; Salomons, A. Is automation labor-displacing? Productivity growth, employment, and the labor share[J]. Brookings Papers on Economic Activity, 2018(Fall)</w:t>
      </w:r>
      <w:r w:rsidRPr="00C145E0">
        <w:rPr>
          <w:rFonts w:ascii="Times New Roman" w:hAnsi="Times New Roman" w:cs="Times New Roman"/>
          <w:sz w:val="24"/>
        </w:rPr>
        <w:t>：</w:t>
      </w:r>
      <w:r w:rsidRPr="00C145E0">
        <w:rPr>
          <w:rFonts w:ascii="Times New Roman" w:hAnsi="Times New Roman" w:cs="Times New Roman"/>
          <w:sz w:val="24"/>
        </w:rPr>
        <w:t>1-87.</w:t>
      </w:r>
    </w:p>
    <w:p w14:paraId="5264B04B" w14:textId="77777777" w:rsidR="00C145E0" w:rsidRPr="00C145E0" w:rsidRDefault="00C145E0" w:rsidP="00C145E0">
      <w:pPr>
        <w:spacing w:line="120" w:lineRule="atLeast"/>
        <w:rPr>
          <w:rFonts w:ascii="Times New Roman" w:hAnsi="Times New Roman" w:cs="Times New Roman"/>
          <w:sz w:val="24"/>
        </w:rPr>
      </w:pPr>
      <w:r w:rsidRPr="00C145E0">
        <w:rPr>
          <w:rFonts w:ascii="Times New Roman" w:hAnsi="Times New Roman" w:cs="Times New Roman"/>
          <w:sz w:val="24"/>
        </w:rPr>
        <w:t>[4] Keller, W. International Technology Diffusion[J</w:t>
      </w:r>
      <w:proofErr w:type="gramStart"/>
      <w:r w:rsidRPr="00C145E0">
        <w:rPr>
          <w:rFonts w:ascii="Times New Roman" w:hAnsi="Times New Roman" w:cs="Times New Roman"/>
          <w:sz w:val="24"/>
        </w:rPr>
        <w:t>].Journal</w:t>
      </w:r>
      <w:proofErr w:type="gramEnd"/>
      <w:r w:rsidRPr="00C145E0">
        <w:rPr>
          <w:rFonts w:ascii="Times New Roman" w:hAnsi="Times New Roman" w:cs="Times New Roman"/>
          <w:sz w:val="24"/>
        </w:rPr>
        <w:t xml:space="preserve"> of Economic Literature, 2020</w:t>
      </w:r>
      <w:r w:rsidRPr="00C145E0">
        <w:rPr>
          <w:rFonts w:ascii="Times New Roman" w:hAnsi="Times New Roman" w:cs="Times New Roman"/>
          <w:sz w:val="24"/>
        </w:rPr>
        <w:t>，</w:t>
      </w:r>
      <w:r w:rsidRPr="00C145E0">
        <w:rPr>
          <w:rFonts w:ascii="Times New Roman" w:hAnsi="Times New Roman" w:cs="Times New Roman"/>
          <w:sz w:val="24"/>
        </w:rPr>
        <w:t>58(3)</w:t>
      </w:r>
      <w:r w:rsidRPr="00C145E0">
        <w:rPr>
          <w:rFonts w:ascii="Times New Roman" w:hAnsi="Times New Roman" w:cs="Times New Roman"/>
          <w:sz w:val="24"/>
        </w:rPr>
        <w:t>：</w:t>
      </w:r>
      <w:r w:rsidRPr="00C145E0">
        <w:rPr>
          <w:rFonts w:ascii="Times New Roman" w:hAnsi="Times New Roman" w:cs="Times New Roman"/>
          <w:sz w:val="24"/>
        </w:rPr>
        <w:t>643-684.</w:t>
      </w:r>
    </w:p>
    <w:p w14:paraId="7BCC09B4" w14:textId="77777777" w:rsidR="00C145E0" w:rsidRPr="00C145E0" w:rsidRDefault="00C145E0" w:rsidP="00C145E0">
      <w:pPr>
        <w:spacing w:line="120" w:lineRule="atLeast"/>
        <w:rPr>
          <w:rFonts w:ascii="Times New Roman" w:hAnsi="Times New Roman" w:cs="Times New Roman"/>
          <w:sz w:val="24"/>
        </w:rPr>
      </w:pPr>
      <w:r w:rsidRPr="00C145E0">
        <w:rPr>
          <w:rFonts w:ascii="Times New Roman" w:hAnsi="Times New Roman" w:cs="Times New Roman"/>
          <w:sz w:val="24"/>
        </w:rPr>
        <w:t xml:space="preserve">[5] Stiglitz, </w:t>
      </w:r>
      <w:proofErr w:type="spellStart"/>
      <w:r w:rsidRPr="00C145E0">
        <w:rPr>
          <w:rFonts w:ascii="Times New Roman" w:hAnsi="Times New Roman" w:cs="Times New Roman"/>
          <w:sz w:val="24"/>
        </w:rPr>
        <w:t>J.</w:t>
      </w:r>
      <w:proofErr w:type="gramStart"/>
      <w:r w:rsidRPr="00C145E0">
        <w:rPr>
          <w:rFonts w:ascii="Times New Roman" w:hAnsi="Times New Roman" w:cs="Times New Roman"/>
          <w:sz w:val="24"/>
        </w:rPr>
        <w:t>E.People</w:t>
      </w:r>
      <w:proofErr w:type="spellEnd"/>
      <w:proofErr w:type="gramEnd"/>
      <w:r w:rsidRPr="00C145E0">
        <w:rPr>
          <w:rFonts w:ascii="Times New Roman" w:hAnsi="Times New Roman" w:cs="Times New Roman"/>
          <w:sz w:val="24"/>
        </w:rPr>
        <w:t>, Power, and Profits: Progressive Capitalism for an Age of Discontent[M]. W.W. Norton &amp; Company</w:t>
      </w:r>
      <w:r w:rsidRPr="00C145E0">
        <w:rPr>
          <w:rFonts w:ascii="Times New Roman" w:hAnsi="Times New Roman" w:cs="Times New Roman"/>
          <w:sz w:val="24"/>
        </w:rPr>
        <w:t>，</w:t>
      </w:r>
      <w:r w:rsidRPr="00C145E0">
        <w:rPr>
          <w:rFonts w:ascii="Times New Roman" w:hAnsi="Times New Roman" w:cs="Times New Roman"/>
          <w:sz w:val="24"/>
        </w:rPr>
        <w:t>2019</w:t>
      </w:r>
    </w:p>
    <w:p w14:paraId="5D9D4423" w14:textId="77777777" w:rsidR="00C145E0" w:rsidRPr="00A21045" w:rsidRDefault="00C145E0" w:rsidP="00C145E0">
      <w:pPr>
        <w:spacing w:line="120" w:lineRule="atLeast"/>
        <w:rPr>
          <w:rFonts w:ascii="Times New Roman" w:hAnsi="Times New Roman" w:cs="Times New Roman"/>
          <w:sz w:val="24"/>
        </w:rPr>
      </w:pPr>
      <w:r w:rsidRPr="00C145E0">
        <w:rPr>
          <w:rFonts w:ascii="Times New Roman" w:hAnsi="Times New Roman" w:cs="Times New Roman"/>
          <w:sz w:val="24"/>
        </w:rPr>
        <w:t xml:space="preserve">[6] Baldwin, </w:t>
      </w:r>
      <w:proofErr w:type="spellStart"/>
      <w:proofErr w:type="gramStart"/>
      <w:r w:rsidRPr="00C145E0">
        <w:rPr>
          <w:rFonts w:ascii="Times New Roman" w:hAnsi="Times New Roman" w:cs="Times New Roman"/>
          <w:sz w:val="24"/>
        </w:rPr>
        <w:t>R.The</w:t>
      </w:r>
      <w:proofErr w:type="spellEnd"/>
      <w:proofErr w:type="gramEnd"/>
      <w:r w:rsidRPr="00C145E0">
        <w:rPr>
          <w:rFonts w:ascii="Times New Roman" w:hAnsi="Times New Roman" w:cs="Times New Roman"/>
          <w:sz w:val="24"/>
        </w:rPr>
        <w:t xml:space="preserve"> Great Convergence: Information Technology and the New Globalization[M]. Harvard University Press</w:t>
      </w:r>
      <w:r w:rsidRPr="00C145E0">
        <w:rPr>
          <w:rFonts w:ascii="Times New Roman" w:hAnsi="Times New Roman" w:cs="Times New Roman"/>
          <w:sz w:val="24"/>
        </w:rPr>
        <w:t>，</w:t>
      </w:r>
      <w:r w:rsidRPr="00C145E0">
        <w:rPr>
          <w:rFonts w:ascii="Times New Roman" w:hAnsi="Times New Roman" w:cs="Times New Roman"/>
          <w:sz w:val="24"/>
        </w:rPr>
        <w:t>2016</w:t>
      </w:r>
    </w:p>
    <w:p w14:paraId="754BD564" w14:textId="77777777" w:rsidR="00A21045" w:rsidRPr="00C145E0" w:rsidRDefault="00A21045" w:rsidP="00A21045">
      <w:pPr>
        <w:rPr>
          <w:rFonts w:ascii="Times New Roman" w:hAnsi="Times New Roman" w:cs="Times New Roman"/>
          <w:sz w:val="24"/>
        </w:rPr>
      </w:pPr>
    </w:p>
    <w:sectPr w:rsidR="00A21045" w:rsidRPr="00C145E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5AF93" w14:textId="77777777" w:rsidR="00FC3026" w:rsidRDefault="00FC3026" w:rsidP="00D80C45">
      <w:r>
        <w:separator/>
      </w:r>
    </w:p>
  </w:endnote>
  <w:endnote w:type="continuationSeparator" w:id="0">
    <w:p w14:paraId="3B473199" w14:textId="77777777" w:rsidR="00FC3026" w:rsidRDefault="00FC3026" w:rsidP="00D8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871D" w14:textId="77777777" w:rsidR="00D80C45" w:rsidRDefault="00D80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B59B" w14:textId="77777777" w:rsidR="00D80C45" w:rsidRDefault="00D80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0AA47" w14:textId="77777777" w:rsidR="00D80C45" w:rsidRDefault="00D80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6A422" w14:textId="77777777" w:rsidR="00FC3026" w:rsidRDefault="00FC3026" w:rsidP="00D80C45">
      <w:r>
        <w:separator/>
      </w:r>
    </w:p>
  </w:footnote>
  <w:footnote w:type="continuationSeparator" w:id="0">
    <w:p w14:paraId="0FDDFAC4" w14:textId="77777777" w:rsidR="00FC3026" w:rsidRDefault="00FC3026" w:rsidP="00D80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93217" w14:textId="5943A890" w:rsidR="00D80C45" w:rsidRDefault="00D80C45">
    <w:pPr>
      <w:pStyle w:val="Header"/>
    </w:pPr>
    <w:r>
      <w:rPr>
        <w:noProof/>
      </w:rPr>
      <w:pict w14:anchorId="57DD2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751"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E31E" w14:textId="0BD74975" w:rsidR="00D80C45" w:rsidRDefault="00D80C45">
    <w:pPr>
      <w:pStyle w:val="Header"/>
    </w:pPr>
    <w:r>
      <w:rPr>
        <w:noProof/>
      </w:rPr>
      <w:pict w14:anchorId="03FC9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752"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528C2" w14:textId="6BADFC59" w:rsidR="00D80C45" w:rsidRDefault="00D80C45">
    <w:pPr>
      <w:pStyle w:val="Header"/>
    </w:pPr>
    <w:r>
      <w:rPr>
        <w:noProof/>
      </w:rPr>
      <w:pict w14:anchorId="3ECD7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750"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32729"/>
    <w:multiLevelType w:val="hybridMultilevel"/>
    <w:tmpl w:val="45B0D734"/>
    <w:lvl w:ilvl="0" w:tplc="30524A3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81746CC"/>
    <w:multiLevelType w:val="hybridMultilevel"/>
    <w:tmpl w:val="FAE245F2"/>
    <w:lvl w:ilvl="0" w:tplc="DE68D9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71"/>
    <w:rsid w:val="00057A34"/>
    <w:rsid w:val="00083B58"/>
    <w:rsid w:val="00127CE6"/>
    <w:rsid w:val="002735A8"/>
    <w:rsid w:val="0028268A"/>
    <w:rsid w:val="002E2C8F"/>
    <w:rsid w:val="003248BF"/>
    <w:rsid w:val="00354802"/>
    <w:rsid w:val="003C2A3E"/>
    <w:rsid w:val="003D187C"/>
    <w:rsid w:val="00414249"/>
    <w:rsid w:val="0057006E"/>
    <w:rsid w:val="005F5471"/>
    <w:rsid w:val="00692158"/>
    <w:rsid w:val="00713924"/>
    <w:rsid w:val="007D5F42"/>
    <w:rsid w:val="009457BF"/>
    <w:rsid w:val="00996359"/>
    <w:rsid w:val="00A21045"/>
    <w:rsid w:val="00A32344"/>
    <w:rsid w:val="00A41C16"/>
    <w:rsid w:val="00AB335E"/>
    <w:rsid w:val="00AF0039"/>
    <w:rsid w:val="00B40747"/>
    <w:rsid w:val="00B87FB8"/>
    <w:rsid w:val="00C145E0"/>
    <w:rsid w:val="00C27B99"/>
    <w:rsid w:val="00D25744"/>
    <w:rsid w:val="00D3028D"/>
    <w:rsid w:val="00D64B75"/>
    <w:rsid w:val="00D80C45"/>
    <w:rsid w:val="00DC6688"/>
    <w:rsid w:val="00E16628"/>
    <w:rsid w:val="00E35F40"/>
    <w:rsid w:val="00E86A7D"/>
    <w:rsid w:val="00EA6246"/>
    <w:rsid w:val="00EE0118"/>
    <w:rsid w:val="00F31518"/>
    <w:rsid w:val="00F50D35"/>
    <w:rsid w:val="00FC3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9960B"/>
  <w15:chartTrackingRefBased/>
  <w15:docId w15:val="{E28FCAA7-89F3-B046-A898-681BC7F3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5F54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5F54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5F54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5F5471"/>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5F5471"/>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5F5471"/>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5F5471"/>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5F5471"/>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5F5471"/>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471"/>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5F547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5F547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F5471"/>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5F5471"/>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5F5471"/>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5F5471"/>
    <w:rPr>
      <w:rFonts w:cstheme="majorBidi"/>
      <w:b/>
      <w:bCs/>
      <w:color w:val="595959" w:themeColor="text1" w:themeTint="A6"/>
    </w:rPr>
  </w:style>
  <w:style w:type="character" w:customStyle="1" w:styleId="Heading8Char">
    <w:name w:val="Heading 8 Char"/>
    <w:basedOn w:val="DefaultParagraphFont"/>
    <w:link w:val="Heading8"/>
    <w:uiPriority w:val="9"/>
    <w:semiHidden/>
    <w:rsid w:val="005F5471"/>
    <w:rPr>
      <w:rFonts w:cstheme="majorBidi"/>
      <w:color w:val="595959" w:themeColor="text1" w:themeTint="A6"/>
    </w:rPr>
  </w:style>
  <w:style w:type="character" w:customStyle="1" w:styleId="Heading9Char">
    <w:name w:val="Heading 9 Char"/>
    <w:basedOn w:val="DefaultParagraphFont"/>
    <w:link w:val="Heading9"/>
    <w:uiPriority w:val="9"/>
    <w:semiHidden/>
    <w:rsid w:val="005F5471"/>
    <w:rPr>
      <w:rFonts w:eastAsiaTheme="majorEastAsia" w:cstheme="majorBidi"/>
      <w:color w:val="595959" w:themeColor="text1" w:themeTint="A6"/>
    </w:rPr>
  </w:style>
  <w:style w:type="paragraph" w:styleId="Title">
    <w:name w:val="Title"/>
    <w:basedOn w:val="Normal"/>
    <w:next w:val="Normal"/>
    <w:link w:val="TitleChar"/>
    <w:uiPriority w:val="10"/>
    <w:qFormat/>
    <w:rsid w:val="005F5471"/>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4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47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F54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5471"/>
    <w:rPr>
      <w:i/>
      <w:iCs/>
      <w:color w:val="404040" w:themeColor="text1" w:themeTint="BF"/>
    </w:rPr>
  </w:style>
  <w:style w:type="paragraph" w:styleId="ListParagraph">
    <w:name w:val="List Paragraph"/>
    <w:basedOn w:val="Normal"/>
    <w:uiPriority w:val="34"/>
    <w:qFormat/>
    <w:rsid w:val="005F5471"/>
    <w:pPr>
      <w:ind w:left="720"/>
      <w:contextualSpacing/>
    </w:pPr>
  </w:style>
  <w:style w:type="character" w:styleId="IntenseEmphasis">
    <w:name w:val="Intense Emphasis"/>
    <w:basedOn w:val="DefaultParagraphFont"/>
    <w:uiPriority w:val="21"/>
    <w:qFormat/>
    <w:rsid w:val="005F5471"/>
    <w:rPr>
      <w:i/>
      <w:iCs/>
      <w:color w:val="2F5496" w:themeColor="accent1" w:themeShade="BF"/>
    </w:rPr>
  </w:style>
  <w:style w:type="paragraph" w:styleId="IntenseQuote">
    <w:name w:val="Intense Quote"/>
    <w:basedOn w:val="Normal"/>
    <w:next w:val="Normal"/>
    <w:link w:val="IntenseQuoteChar"/>
    <w:uiPriority w:val="30"/>
    <w:qFormat/>
    <w:rsid w:val="005F5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471"/>
    <w:rPr>
      <w:i/>
      <w:iCs/>
      <w:color w:val="2F5496" w:themeColor="accent1" w:themeShade="BF"/>
    </w:rPr>
  </w:style>
  <w:style w:type="character" w:styleId="IntenseReference">
    <w:name w:val="Intense Reference"/>
    <w:basedOn w:val="DefaultParagraphFont"/>
    <w:uiPriority w:val="32"/>
    <w:qFormat/>
    <w:rsid w:val="005F5471"/>
    <w:rPr>
      <w:b/>
      <w:bCs/>
      <w:smallCaps/>
      <w:color w:val="2F5496" w:themeColor="accent1" w:themeShade="BF"/>
      <w:spacing w:val="5"/>
    </w:rPr>
  </w:style>
  <w:style w:type="character" w:styleId="Hyperlink">
    <w:name w:val="Hyperlink"/>
    <w:basedOn w:val="DefaultParagraphFont"/>
    <w:uiPriority w:val="99"/>
    <w:unhideWhenUsed/>
    <w:rsid w:val="00B87FB8"/>
    <w:rPr>
      <w:color w:val="0563C1" w:themeColor="hyperlink"/>
      <w:u w:val="single"/>
    </w:rPr>
  </w:style>
  <w:style w:type="character" w:styleId="UnresolvedMention">
    <w:name w:val="Unresolved Mention"/>
    <w:basedOn w:val="DefaultParagraphFont"/>
    <w:uiPriority w:val="99"/>
    <w:semiHidden/>
    <w:unhideWhenUsed/>
    <w:rsid w:val="00B87FB8"/>
    <w:rPr>
      <w:color w:val="605E5C"/>
      <w:shd w:val="clear" w:color="auto" w:fill="E1DFDD"/>
    </w:rPr>
  </w:style>
  <w:style w:type="paragraph" w:styleId="Header">
    <w:name w:val="header"/>
    <w:basedOn w:val="Normal"/>
    <w:link w:val="HeaderChar"/>
    <w:uiPriority w:val="99"/>
    <w:unhideWhenUsed/>
    <w:rsid w:val="00D80C45"/>
    <w:pPr>
      <w:tabs>
        <w:tab w:val="center" w:pos="4680"/>
        <w:tab w:val="right" w:pos="9360"/>
      </w:tabs>
    </w:pPr>
  </w:style>
  <w:style w:type="character" w:customStyle="1" w:styleId="HeaderChar">
    <w:name w:val="Header Char"/>
    <w:basedOn w:val="DefaultParagraphFont"/>
    <w:link w:val="Header"/>
    <w:uiPriority w:val="99"/>
    <w:rsid w:val="00D80C45"/>
  </w:style>
  <w:style w:type="paragraph" w:styleId="Footer">
    <w:name w:val="footer"/>
    <w:basedOn w:val="Normal"/>
    <w:link w:val="FooterChar"/>
    <w:uiPriority w:val="99"/>
    <w:unhideWhenUsed/>
    <w:rsid w:val="00D80C45"/>
    <w:pPr>
      <w:tabs>
        <w:tab w:val="center" w:pos="4680"/>
        <w:tab w:val="right" w:pos="9360"/>
      </w:tabs>
    </w:pPr>
  </w:style>
  <w:style w:type="character" w:customStyle="1" w:styleId="FooterChar">
    <w:name w:val="Footer Char"/>
    <w:basedOn w:val="DefaultParagraphFont"/>
    <w:link w:val="Footer"/>
    <w:uiPriority w:val="99"/>
    <w:rsid w:val="00D80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3411</Words>
  <Characters>19449</Characters>
  <Application>Microsoft Office Word</Application>
  <DocSecurity>0</DocSecurity>
  <Lines>162</Lines>
  <Paragraphs>45</Paragraphs>
  <ScaleCrop>false</ScaleCrop>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李佩珊</dc:creator>
  <cp:keywords/>
  <dc:description/>
  <cp:lastModifiedBy>SDI 1084</cp:lastModifiedBy>
  <cp:revision>82</cp:revision>
  <dcterms:created xsi:type="dcterms:W3CDTF">2025-08-29T07:09:00Z</dcterms:created>
  <dcterms:modified xsi:type="dcterms:W3CDTF">2025-08-29T12:49:00Z</dcterms:modified>
</cp:coreProperties>
</file>