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506C0" w14:textId="77777777" w:rsidR="00DA4A8B" w:rsidRDefault="00DA4A8B" w:rsidP="00810EFA">
      <w:pPr>
        <w:spacing w:line="360" w:lineRule="auto"/>
        <w:jc w:val="center"/>
        <w:rPr>
          <w:rFonts w:ascii="Arial" w:hAnsi="Arial" w:cs="Arial"/>
          <w:b/>
          <w:bCs/>
        </w:rPr>
      </w:pPr>
      <w:r w:rsidRPr="00DA4A8B">
        <w:rPr>
          <w:rFonts w:ascii="Arial" w:hAnsi="Arial" w:cs="Arial"/>
          <w:b/>
          <w:bCs/>
        </w:rPr>
        <w:t>Exploring How Risk-Weighted Capital, Credit, and Liquidity Risks Shape Bank Performance</w:t>
      </w:r>
    </w:p>
    <w:p w14:paraId="6E4ED997" w14:textId="77777777" w:rsidR="004961D3" w:rsidRDefault="004961D3" w:rsidP="00810EFA">
      <w:pPr>
        <w:spacing w:line="360" w:lineRule="auto"/>
        <w:jc w:val="center"/>
        <w:rPr>
          <w:rFonts w:ascii="Arial" w:hAnsi="Arial" w:cs="Arial"/>
          <w:b/>
          <w:bCs/>
        </w:rPr>
      </w:pPr>
    </w:p>
    <w:p w14:paraId="3BD9B094" w14:textId="77777777" w:rsidR="004961D3" w:rsidRPr="00DA4A8B" w:rsidRDefault="004961D3" w:rsidP="00810EFA">
      <w:pPr>
        <w:spacing w:line="360" w:lineRule="auto"/>
        <w:jc w:val="center"/>
        <w:rPr>
          <w:rFonts w:ascii="Arial" w:hAnsi="Arial" w:cs="Arial"/>
          <w:b/>
        </w:rPr>
      </w:pPr>
    </w:p>
    <w:p w14:paraId="72609BC2" w14:textId="77777777" w:rsidR="00DA4A8B" w:rsidRPr="00B625A8" w:rsidRDefault="00DA4A8B" w:rsidP="00AC0043">
      <w:pPr>
        <w:spacing w:line="360" w:lineRule="auto"/>
        <w:jc w:val="center"/>
        <w:rPr>
          <w:rFonts w:ascii="Arial" w:hAnsi="Arial" w:cs="Arial"/>
          <w:b/>
        </w:rPr>
      </w:pPr>
    </w:p>
    <w:p w14:paraId="7F446187" w14:textId="77777777" w:rsidR="00AC0043" w:rsidRPr="00B625A8" w:rsidRDefault="00AC0043" w:rsidP="00AC0043">
      <w:pPr>
        <w:spacing w:after="0" w:line="240" w:lineRule="auto"/>
        <w:jc w:val="both"/>
        <w:rPr>
          <w:rFonts w:ascii="Arial" w:eastAsia="Times New Roman" w:hAnsi="Arial" w:cs="Arial"/>
          <w:b/>
          <w:bCs/>
        </w:rPr>
      </w:pPr>
      <w:r w:rsidRPr="00B625A8">
        <w:rPr>
          <w:rFonts w:ascii="Arial" w:eastAsia="Times New Roman" w:hAnsi="Arial" w:cs="Arial"/>
          <w:b/>
          <w:bCs/>
        </w:rPr>
        <w:t>Abstract</w:t>
      </w:r>
    </w:p>
    <w:p w14:paraId="7D5E6237" w14:textId="77777777" w:rsidR="0001666E" w:rsidRPr="00B625A8" w:rsidRDefault="0001666E" w:rsidP="00AC0043">
      <w:pPr>
        <w:spacing w:after="0" w:line="240" w:lineRule="auto"/>
        <w:jc w:val="both"/>
        <w:rPr>
          <w:rFonts w:ascii="Arial" w:eastAsia="Times New Roman" w:hAnsi="Arial" w:cs="Arial"/>
          <w:b/>
          <w:bCs/>
        </w:rPr>
      </w:pPr>
    </w:p>
    <w:p w14:paraId="28EAC0A8" w14:textId="77777777" w:rsidR="00E20FCE" w:rsidRDefault="0001666E" w:rsidP="00B625A8">
      <w:pPr>
        <w:spacing w:after="0" w:line="480" w:lineRule="auto"/>
        <w:jc w:val="both"/>
        <w:rPr>
          <w:rFonts w:ascii="Arial" w:hAnsi="Arial" w:cs="Arial"/>
          <w:color w:val="212529"/>
          <w:shd w:val="clear" w:color="auto" w:fill="FFFFFF"/>
        </w:rPr>
      </w:pPr>
      <w:r w:rsidRPr="00B625A8">
        <w:rPr>
          <w:rFonts w:ascii="Arial" w:eastAsia="Times New Roman" w:hAnsi="Arial" w:cs="Arial"/>
          <w:color w:val="222222"/>
        </w:rPr>
        <w:t>This study reinforces the pivotal role of banks in fostering economic development and financial stability. Utilizing robust panel estimation techniques, such as PCSE and FGLS, and analyzing a balanced panel dataset from 12 Nigerian banks spanning the years 2010 to 2023, the st</w:t>
      </w:r>
      <w:r w:rsidR="00835DB2">
        <w:rPr>
          <w:rFonts w:ascii="Arial" w:eastAsia="Times New Roman" w:hAnsi="Arial" w:cs="Arial"/>
          <w:color w:val="222222"/>
        </w:rPr>
        <w:t>udy demonstrates that risk-weig</w:t>
      </w:r>
      <w:r w:rsidR="00835DB2" w:rsidRPr="00B625A8">
        <w:rPr>
          <w:rFonts w:ascii="Arial" w:eastAsia="Times New Roman" w:hAnsi="Arial" w:cs="Arial"/>
          <w:color w:val="222222"/>
        </w:rPr>
        <w:t>hted</w:t>
      </w:r>
      <w:r w:rsidRPr="00B625A8">
        <w:rPr>
          <w:rFonts w:ascii="Arial" w:eastAsia="Times New Roman" w:hAnsi="Arial" w:cs="Arial"/>
          <w:color w:val="222222"/>
        </w:rPr>
        <w:t xml:space="preserve"> capital and liquidity risk negatively impact bank performance. Additionally, the analysis reveals that credit risk adversely affects bank profitability. The study also highlights the interdependence of different risk components, specifically capital adequacy, credit, and liquidity risks, which emphasizes the importance of integrated risk management frameworks. Furthermore, the study indicates that larger banks may experience diminishing returns to scale. Based on these findings, the study recommends that regulatory bodies, such as the Central Bank of Nigeria, strengthen real-time risk monitoring systems, enforce capital and loan quality standards, promote adequate liquidity buffers, and facilitate advanced analytics training for staff development. Moreover, the study emphasizes the necessity of enhanced transparency in risk disclosures to strengthen investor confidence. These policy measures are crucial for promoting a stable, efficient, and resilient banking sector in Nigeria</w:t>
      </w:r>
      <w:r w:rsidR="00EB7732" w:rsidRPr="00B625A8">
        <w:rPr>
          <w:rFonts w:ascii="Arial" w:hAnsi="Arial" w:cs="Arial"/>
          <w:color w:val="212529"/>
          <w:shd w:val="clear" w:color="auto" w:fill="FFFFFF"/>
        </w:rPr>
        <w:t>.</w:t>
      </w:r>
    </w:p>
    <w:p w14:paraId="50EDBD6E" w14:textId="77777777" w:rsidR="00B330CE" w:rsidRDefault="00B330CE" w:rsidP="00B330CE">
      <w:pPr>
        <w:spacing w:line="360" w:lineRule="auto"/>
        <w:rPr>
          <w:rFonts w:ascii="Arial" w:hAnsi="Arial" w:cs="Arial"/>
          <w:i/>
          <w:iCs/>
        </w:rPr>
      </w:pPr>
    </w:p>
    <w:p w14:paraId="4B88FAFA" w14:textId="77777777" w:rsidR="00B330CE" w:rsidRPr="00B625A8" w:rsidRDefault="00B330CE" w:rsidP="00B330CE">
      <w:pPr>
        <w:spacing w:line="360" w:lineRule="auto"/>
        <w:rPr>
          <w:rFonts w:ascii="Arial" w:hAnsi="Arial" w:cs="Arial"/>
          <w:b/>
        </w:rPr>
      </w:pPr>
      <w:r w:rsidRPr="00B625A8">
        <w:rPr>
          <w:rFonts w:ascii="Arial" w:hAnsi="Arial" w:cs="Arial"/>
          <w:i/>
          <w:iCs/>
        </w:rPr>
        <w:t xml:space="preserve">Keywords: </w:t>
      </w:r>
      <w:r w:rsidRPr="00B625A8">
        <w:rPr>
          <w:rFonts w:ascii="Arial" w:hAnsi="Arial" w:cs="Arial"/>
          <w:iCs/>
        </w:rPr>
        <w:t>Credit Risk, Liquidity R</w:t>
      </w:r>
      <w:r w:rsidR="00835DB2">
        <w:rPr>
          <w:rFonts w:ascii="Arial" w:hAnsi="Arial" w:cs="Arial"/>
          <w:iCs/>
        </w:rPr>
        <w:t>isk, Return on Asset, Risk-Weigh</w:t>
      </w:r>
      <w:r w:rsidRPr="00B625A8">
        <w:rPr>
          <w:rFonts w:ascii="Arial" w:hAnsi="Arial" w:cs="Arial"/>
          <w:iCs/>
        </w:rPr>
        <w:t>ted Capit</w:t>
      </w:r>
      <w:r w:rsidR="00835DB2">
        <w:rPr>
          <w:rFonts w:ascii="Arial" w:hAnsi="Arial" w:cs="Arial"/>
          <w:iCs/>
        </w:rPr>
        <w:t>al.</w:t>
      </w:r>
    </w:p>
    <w:p w14:paraId="611136BD" w14:textId="175E123E" w:rsidR="00B330CE" w:rsidRDefault="00B330CE" w:rsidP="00B625A8">
      <w:pPr>
        <w:spacing w:after="0" w:line="480" w:lineRule="auto"/>
        <w:jc w:val="both"/>
        <w:rPr>
          <w:rFonts w:ascii="Arial" w:hAnsi="Arial" w:cs="Arial"/>
          <w:color w:val="212529"/>
          <w:shd w:val="clear" w:color="auto" w:fill="FFFFFF"/>
        </w:rPr>
      </w:pPr>
    </w:p>
    <w:p w14:paraId="0EEE9989" w14:textId="7284DB68" w:rsidR="00E77C09" w:rsidRDefault="00E77C09" w:rsidP="00B625A8">
      <w:pPr>
        <w:spacing w:after="0" w:line="480" w:lineRule="auto"/>
        <w:jc w:val="both"/>
        <w:rPr>
          <w:rFonts w:ascii="Arial" w:hAnsi="Arial" w:cs="Arial"/>
          <w:color w:val="212529"/>
          <w:shd w:val="clear" w:color="auto" w:fill="FFFFFF"/>
        </w:rPr>
      </w:pPr>
    </w:p>
    <w:p w14:paraId="6DE21F49" w14:textId="77777777" w:rsidR="00E77C09" w:rsidRDefault="00E77C09" w:rsidP="00B625A8">
      <w:pPr>
        <w:spacing w:after="0" w:line="480" w:lineRule="auto"/>
        <w:jc w:val="both"/>
        <w:rPr>
          <w:rFonts w:ascii="Arial" w:hAnsi="Arial" w:cs="Arial"/>
          <w:color w:val="212529"/>
          <w:shd w:val="clear" w:color="auto" w:fill="FFFFFF"/>
        </w:rPr>
      </w:pPr>
      <w:bookmarkStart w:id="0" w:name="_GoBack"/>
      <w:bookmarkEnd w:id="0"/>
    </w:p>
    <w:p w14:paraId="3647F06F" w14:textId="77777777" w:rsidR="00B330CE" w:rsidRPr="00B625A8" w:rsidRDefault="00B330CE" w:rsidP="00B625A8">
      <w:pPr>
        <w:spacing w:after="0" w:line="480" w:lineRule="auto"/>
        <w:jc w:val="both"/>
        <w:rPr>
          <w:rFonts w:ascii="Arial" w:hAnsi="Arial" w:cs="Arial"/>
          <w:color w:val="212529"/>
          <w:shd w:val="clear" w:color="auto" w:fill="FFFFFF"/>
        </w:rPr>
      </w:pPr>
    </w:p>
    <w:p w14:paraId="00DF9C48" w14:textId="77777777" w:rsidR="00B625A8" w:rsidRPr="00F67C07" w:rsidRDefault="00BF4F20" w:rsidP="00F67C07">
      <w:pPr>
        <w:pStyle w:val="ListParagraph"/>
        <w:numPr>
          <w:ilvl w:val="0"/>
          <w:numId w:val="4"/>
        </w:numPr>
        <w:spacing w:before="100" w:beforeAutospacing="1" w:after="0" w:line="480" w:lineRule="auto"/>
        <w:rPr>
          <w:rFonts w:ascii="Arial" w:hAnsi="Arial" w:cs="Arial"/>
          <w:b/>
        </w:rPr>
      </w:pPr>
      <w:r w:rsidRPr="00F67C07">
        <w:rPr>
          <w:rFonts w:ascii="Arial" w:eastAsia="Times New Roman" w:hAnsi="Arial" w:cs="Arial"/>
          <w:b/>
        </w:rPr>
        <w:t>Introduction</w:t>
      </w:r>
    </w:p>
    <w:p w14:paraId="1D7B3459" w14:textId="77777777" w:rsidR="004F2741" w:rsidRDefault="0028284B" w:rsidP="00173A63">
      <w:pPr>
        <w:spacing w:after="0" w:line="480" w:lineRule="auto"/>
        <w:ind w:firstLine="720"/>
        <w:jc w:val="both"/>
        <w:rPr>
          <w:rFonts w:ascii="Arial" w:eastAsia="Times New Roman" w:hAnsi="Arial" w:cs="Arial"/>
        </w:rPr>
      </w:pPr>
      <w:r w:rsidRPr="00B625A8">
        <w:rPr>
          <w:rFonts w:ascii="Arial" w:eastAsia="Times New Roman" w:hAnsi="Arial" w:cs="Arial"/>
        </w:rPr>
        <w:t xml:space="preserve">Financial institutions, particularly banks, are fundamental to fostering economic </w:t>
      </w:r>
      <w:r w:rsidR="00864057" w:rsidRPr="00B625A8">
        <w:rPr>
          <w:rFonts w:ascii="Arial" w:eastAsia="Times New Roman" w:hAnsi="Arial" w:cs="Arial"/>
        </w:rPr>
        <w:t xml:space="preserve">growth and </w:t>
      </w:r>
      <w:r w:rsidRPr="00B625A8">
        <w:rPr>
          <w:rFonts w:ascii="Arial" w:eastAsia="Times New Roman" w:hAnsi="Arial" w:cs="Arial"/>
        </w:rPr>
        <w:t>development by serving as key agents in maintaining financial stability and facilitating the effective allocation of resources. Therefore, acknowledging the indispensable functions of banks critically enriches our comprehension of their significant contributions to economic growth. Acting as financial intermediaries, these institutions channel surplus funds from savers to investors in need of capital. This process of financial intermediation leverages market imperfections, particularly information asymmetry, allowing banks to take advantage of economies of scale to connect surplus and deficit sectors within the economy. Their informational advantages empower banks to evaluate and monitor potential investors, effectively bridging the maturity gap between savers and borrowers. By leveraging their expertise and innovative ideas, banks can drive investment activities that are crucial for fostering economic growth and enhancing the welfare of citizens</w:t>
      </w:r>
      <w:r w:rsidR="004F0ABE" w:rsidRPr="00B625A8">
        <w:rPr>
          <w:rFonts w:ascii="Arial" w:eastAsia="Times New Roman" w:hAnsi="Arial" w:cs="Arial"/>
        </w:rPr>
        <w:t xml:space="preserve"> </w:t>
      </w:r>
      <w:r w:rsidR="004F0ABE" w:rsidRPr="00B625A8">
        <w:rPr>
          <w:rFonts w:ascii="Arial" w:hAnsi="Arial" w:cs="Arial"/>
        </w:rPr>
        <w:t>(Adegbie &amp; Dada 2016).</w:t>
      </w:r>
      <w:r w:rsidRPr="00B625A8">
        <w:rPr>
          <w:rFonts w:ascii="Arial" w:eastAsia="Times New Roman" w:hAnsi="Arial" w:cs="Arial"/>
        </w:rPr>
        <w:t xml:space="preserve"> Therefore, a robust and efficient financial system is indispensable for any economy aiming for growth and development (Chai et al., 2022). The essential function of banks became especially evident during the global financial crisis of 2007-2009, which had profound effects on both developed and emerging economies.</w:t>
      </w:r>
    </w:p>
    <w:p w14:paraId="1A940B09" w14:textId="77777777" w:rsidR="004F2741" w:rsidRDefault="00FF4072" w:rsidP="00A65FF9">
      <w:pPr>
        <w:spacing w:after="0" w:line="480" w:lineRule="auto"/>
        <w:ind w:firstLine="720"/>
        <w:jc w:val="both"/>
        <w:rPr>
          <w:rFonts w:ascii="Arial" w:hAnsi="Arial" w:cs="Arial"/>
        </w:rPr>
      </w:pPr>
      <w:r w:rsidRPr="00B625A8">
        <w:rPr>
          <w:rFonts w:ascii="Arial" w:hAnsi="Arial" w:cs="Arial"/>
        </w:rPr>
        <w:t xml:space="preserve">During the financial crisis between 2007 and 2009, several prominent financial institutions approached the brink of collapse, necessitating significant intervention from the government through substantial public funding (Katata &amp; Nwaigwe, 2016). Many banks were forced to write off toxic assets and create significant loan loss provisions, which had a negative impact on their liquidity, profitability, and overall capital structure. </w:t>
      </w:r>
      <w:r w:rsidR="0028284B" w:rsidRPr="00B625A8">
        <w:rPr>
          <w:rFonts w:ascii="Arial" w:hAnsi="Arial" w:cs="Arial"/>
        </w:rPr>
        <w:t>In 2009, a significant intervention occurred when the Central Bank of Nigeria (CBN) allocated approximately 160.2 billion Naira as a bailout to assist eight banks facing imminent collapse</w:t>
      </w:r>
      <w:r w:rsidRPr="00B625A8">
        <w:rPr>
          <w:rFonts w:ascii="Arial" w:hAnsi="Arial" w:cs="Arial"/>
        </w:rPr>
        <w:t xml:space="preserve"> (Katata &amp; Nwaigwe, 2016). The imprudent lending practices of these distressed institutions led to significant loan losses that eroded their equity and </w:t>
      </w:r>
      <w:r w:rsidRPr="00B625A8">
        <w:rPr>
          <w:rFonts w:ascii="Arial" w:hAnsi="Arial" w:cs="Arial"/>
        </w:rPr>
        <w:lastRenderedPageBreak/>
        <w:t>shareholder funds. As their capital bases were severely weakened, these banks found it increasingly difficult to create new loans, which are crucial for generating income. This scenario resulted in a change in regulatory policy to a risk-based supervisory framework that prioritizes financial authorities' identification and assessment of risks. The COVID-19 pandemic exacerbated the challenges within the global banking sector, resulting in a sudden liquidity crisis and causing difficulties in recovering loans. In response to the rise in liquidity and credit risks, profitability suffered a further negative impact (Haris et al., 2024). Therefore, to foster a resilient financial system in both emerging and developed economies, the management of capital adequacy,</w:t>
      </w:r>
      <w:r w:rsidR="0028284B" w:rsidRPr="00B625A8">
        <w:rPr>
          <w:rFonts w:ascii="Arial" w:hAnsi="Arial" w:cs="Arial"/>
        </w:rPr>
        <w:t xml:space="preserve"> liquidity and credit risks</w:t>
      </w:r>
      <w:r w:rsidRPr="00B625A8">
        <w:rPr>
          <w:rFonts w:ascii="Arial" w:hAnsi="Arial" w:cs="Arial"/>
        </w:rPr>
        <w:t xml:space="preserve"> remain</w:t>
      </w:r>
      <w:r w:rsidR="0028284B" w:rsidRPr="00B625A8">
        <w:rPr>
          <w:rFonts w:ascii="Arial" w:hAnsi="Arial" w:cs="Arial"/>
        </w:rPr>
        <w:t>s</w:t>
      </w:r>
      <w:r w:rsidRPr="00B625A8">
        <w:rPr>
          <w:rFonts w:ascii="Arial" w:hAnsi="Arial" w:cs="Arial"/>
        </w:rPr>
        <w:t xml:space="preserve"> a crucial concern.</w:t>
      </w:r>
    </w:p>
    <w:p w14:paraId="3C7808F0" w14:textId="77777777" w:rsidR="00503C87" w:rsidRPr="00B625A8" w:rsidRDefault="004C6CEC" w:rsidP="00A65FF9">
      <w:pPr>
        <w:spacing w:after="0" w:line="480" w:lineRule="auto"/>
        <w:ind w:firstLine="720"/>
        <w:jc w:val="both"/>
        <w:rPr>
          <w:rFonts w:ascii="Arial" w:hAnsi="Arial" w:cs="Arial"/>
        </w:rPr>
      </w:pPr>
      <w:r w:rsidRPr="00B625A8">
        <w:rPr>
          <w:rFonts w:ascii="Arial" w:hAnsi="Arial" w:cs="Arial"/>
        </w:rPr>
        <w:t>The global financial crisis revealed notable deficiencies in the regulatory framework, particularly emphasizing the high volatility of banks' risk-weighted assets (RWAs) due to their dependence on internal models (</w:t>
      </w:r>
      <w:r w:rsidR="00D17AFA">
        <w:rPr>
          <w:rFonts w:ascii="Arial" w:hAnsi="Arial" w:cs="Arial"/>
          <w:color w:val="222222"/>
          <w:sz w:val="20"/>
          <w:szCs w:val="20"/>
          <w:shd w:val="clear" w:color="auto" w:fill="FFFFFF"/>
        </w:rPr>
        <w:t>Bastos e Santos</w:t>
      </w:r>
      <w:r w:rsidRPr="00B625A8">
        <w:rPr>
          <w:rFonts w:ascii="Arial" w:hAnsi="Arial" w:cs="Arial"/>
        </w:rPr>
        <w:t xml:space="preserve"> et al., 2020). In addressing this challenge, the Basel Committee on Banking Supervision instituted the Basel III reforms in 2017. As a result, there has been a shift toward a risk-based approach to evaluating capital adequacy among commercial banks, which considers the inherent risks associated with their operational activities. By incorporating risk-based capital, banks can determine their required regulatory capital based on their operational scale and risk exposure. The overarching aim is to formulate robust prudential standards that safeguard banks, depositors, investors, and the broader economy from the negative consequences of bank failures. This framework acknowledges that banks face various financial risks in their operations, making it essential to hold adequate capital reserves. Moreover, risk-weighted assets are expected to adjust in accordance with changes in the composition and quality of a bank's risk asset portfolio. During periods of economic downturn, an increase in credit risk is likely to result in a corresponding rise in risk-weighted assets. In such periods of heightened credit risk, a robust capital base capable of providing a buffer against potential losses is essential. A bank is considered to have sufficient capital when its reserves adequately support its operations, factoring in the risk associated with its assets while maintaining a buffer to absorb </w:t>
      </w:r>
      <w:r w:rsidRPr="00B625A8">
        <w:rPr>
          <w:rFonts w:ascii="Arial" w:hAnsi="Arial" w:cs="Arial"/>
        </w:rPr>
        <w:lastRenderedPageBreak/>
        <w:t xml:space="preserve">potential losses (Udenwa et al., 2023). The magnitude of a bank’s capital reflects its financial stability and acts as a safeguard against declines in asset value. </w:t>
      </w:r>
      <w:r w:rsidR="00DB565D" w:rsidRPr="00DB565D">
        <w:rPr>
          <w:rFonts w:ascii="Arial" w:hAnsi="Arial" w:cs="Arial"/>
        </w:rPr>
        <w:t>Higher capital levels can increase depositor confidence, indicating that banks are better positioned to navigate economic challenges</w:t>
      </w:r>
      <w:r w:rsidR="00FF4072" w:rsidRPr="00B625A8">
        <w:rPr>
          <w:rFonts w:ascii="Arial" w:hAnsi="Arial" w:cs="Arial"/>
        </w:rPr>
        <w:t>.</w:t>
      </w:r>
    </w:p>
    <w:p w14:paraId="63FBA4E8" w14:textId="77777777" w:rsidR="00FF4072" w:rsidRDefault="002D4D89" w:rsidP="00A65FF9">
      <w:pPr>
        <w:spacing w:after="0" w:line="480" w:lineRule="auto"/>
        <w:ind w:firstLine="720"/>
        <w:jc w:val="both"/>
        <w:rPr>
          <w:rFonts w:ascii="Arial" w:hAnsi="Arial" w:cs="Arial"/>
        </w:rPr>
      </w:pPr>
      <w:r w:rsidRPr="002D4D89">
        <w:rPr>
          <w:rFonts w:ascii="Arial" w:hAnsi="Arial" w:cs="Arial"/>
        </w:rPr>
        <w:t>Banks are integral to the economic landscape, performing the vital function of aggregating savings from both individuals and institutions to extend loans to businesses, thereby facilitating capital formation. This role is critical for financing large-scale projects that not only drive economic growth but also create job opportunities. As intermediaries, they are continuously exposed to credit risks associated with their lending activities</w:t>
      </w:r>
      <w:r w:rsidR="00622463" w:rsidRPr="00B625A8">
        <w:rPr>
          <w:rFonts w:ascii="Arial" w:hAnsi="Arial" w:cs="Arial"/>
        </w:rPr>
        <w:t xml:space="preserve">. This multifaceted risk significantly impacts a bank's overall performance (Abbas &amp; Ullah, 2023), as lending—along with its associated risks—remains a primary contributor to bank profitability. </w:t>
      </w:r>
      <w:r>
        <w:rPr>
          <w:rFonts w:ascii="Arial" w:hAnsi="Arial" w:cs="Arial"/>
        </w:rPr>
        <w:t>Thus, e</w:t>
      </w:r>
      <w:r w:rsidR="00622463" w:rsidRPr="00B625A8">
        <w:rPr>
          <w:rFonts w:ascii="Arial" w:hAnsi="Arial" w:cs="Arial"/>
        </w:rPr>
        <w:t>xposure to credit risk is an inevitable and fundamental aspect of banking, as these institutions are inherently engaged in risk-taking activities. Consequently, credit risk emerges as a paramount concern within a bank’s operational framework, influencing both profitability and long-term viability. According to the Central Bank of Nigeria (2008), credit risk is delineated as the prospect of loss that may occur when a borrower, counterparty, or obligor does not fulfill their contractual obligations. More succinctly, credit risk pertains to the likelihood of borrowers defaulting on loans or debts at maturity. The degree of exposure to credit risk is determined by the type of asset class involved, which includes segments like retail, corporate, financial institutions, or sovereign risk. Persistent default rates can result in considerable exposure to credit risk for financial institutions. In the absence of a solid capital base to mitigate potential losses, a bank may face insolvent risks, potentially prompting regulatory intervention and the threat of liquidation. Consequently, the implementation of effective credit risk management strategies is essential for ensuring the stability and viability of the global banking system (Ali &amp; Ahmed, 2024). Thus, it is evident that credit risk profoundly influences a bank's performance, potentially culminating in financial losses and reduced income.</w:t>
      </w:r>
    </w:p>
    <w:p w14:paraId="47F245FA" w14:textId="77777777" w:rsidR="00A74438" w:rsidRDefault="00D273D5" w:rsidP="00A74438">
      <w:pPr>
        <w:shd w:val="clear" w:color="auto" w:fill="FFFFFF"/>
        <w:spacing w:after="0" w:line="480" w:lineRule="auto"/>
        <w:ind w:firstLine="720"/>
        <w:jc w:val="both"/>
        <w:rPr>
          <w:rFonts w:ascii="Arial" w:hAnsi="Arial" w:cs="Arial"/>
          <w:color w:val="212529"/>
          <w:shd w:val="clear" w:color="auto" w:fill="FFFFFF"/>
        </w:rPr>
      </w:pPr>
      <w:r w:rsidRPr="00B625A8">
        <w:rPr>
          <w:rFonts w:ascii="Arial" w:eastAsia="Times New Roman" w:hAnsi="Arial" w:cs="Arial"/>
          <w:color w:val="212529"/>
        </w:rPr>
        <w:lastRenderedPageBreak/>
        <w:t xml:space="preserve">In addition to the implementation of effective credit risk management strategies, the maintenance of adequate liquidity within the financial system is imperative, as it plays a significant role in ensuring economic stability. Deposit money banks play </w:t>
      </w:r>
      <w:proofErr w:type="spellStart"/>
      <w:proofErr w:type="gramStart"/>
      <w:r w:rsidRPr="00B625A8">
        <w:rPr>
          <w:rFonts w:ascii="Arial" w:eastAsia="Times New Roman" w:hAnsi="Arial" w:cs="Arial"/>
          <w:color w:val="212529"/>
        </w:rPr>
        <w:t>a</w:t>
      </w:r>
      <w:proofErr w:type="spellEnd"/>
      <w:proofErr w:type="gramEnd"/>
      <w:r w:rsidRPr="00B625A8">
        <w:rPr>
          <w:rFonts w:ascii="Arial" w:eastAsia="Times New Roman" w:hAnsi="Arial" w:cs="Arial"/>
          <w:color w:val="212529"/>
        </w:rPr>
        <w:t xml:space="preserve"> </w:t>
      </w:r>
      <w:r w:rsidR="00A74438">
        <w:rPr>
          <w:rFonts w:ascii="Arial" w:eastAsia="Times New Roman" w:hAnsi="Arial" w:cs="Arial"/>
          <w:color w:val="212529"/>
        </w:rPr>
        <w:t>essential</w:t>
      </w:r>
      <w:r w:rsidRPr="00B625A8">
        <w:rPr>
          <w:rFonts w:ascii="Arial" w:eastAsia="Times New Roman" w:hAnsi="Arial" w:cs="Arial"/>
          <w:color w:val="212529"/>
        </w:rPr>
        <w:t xml:space="preserve"> role in executing the government's monetary policies and adhering to lending directives issued by the apex bank, which are vital for effectively managing the money supply. This is crucial for controlling inflation and promoting sustainable economic growth. Liquidity risk poses a significant challenge in the banking sector, potentially undermining a bank's performance and overall stability. Consequently, ensuring sufficient liquidity is fundamental to the seamless functioning of banking operations. Inadequate liquidity management was a key factor in the failure of numerous banks during the financial crisis, highlighting the necessity for financial institutions to adhere to the Basel III framework's guidelines regarding the maintenance of liquid asset reserves (Saleh &amp; Abu Afifa, 2020). Banks </w:t>
      </w:r>
      <w:r w:rsidR="00A74438" w:rsidRPr="00A74438">
        <w:rPr>
          <w:rFonts w:ascii="Arial" w:eastAsia="Times New Roman" w:hAnsi="Arial" w:cs="Arial"/>
          <w:color w:val="212529"/>
        </w:rPr>
        <w:t>predominantly depend</w:t>
      </w:r>
      <w:r w:rsidR="00A74438">
        <w:rPr>
          <w:rFonts w:ascii="Arial" w:eastAsia="Times New Roman" w:hAnsi="Arial" w:cs="Arial"/>
          <w:color w:val="212529"/>
        </w:rPr>
        <w:t xml:space="preserve"> </w:t>
      </w:r>
      <w:r w:rsidRPr="00B625A8">
        <w:rPr>
          <w:rFonts w:ascii="Arial" w:eastAsia="Times New Roman" w:hAnsi="Arial" w:cs="Arial"/>
          <w:color w:val="212529"/>
        </w:rPr>
        <w:t>on short-term deposits to finance risk-bearing assets; consequently, any mismatch between their assets and liabilities may lead to liquidity difficulties. A bank that encounters challenges in meeting its maturing obligations or securing short-term funding from the interbank market risks entering a liquidity crisis. When banks are unable to honour depositor requests or fulfill maturing obligations, the likelihood of a bank run increases significantly.</w:t>
      </w:r>
    </w:p>
    <w:p w14:paraId="34735EAA" w14:textId="77777777" w:rsidR="004863C2" w:rsidRPr="00B625A8" w:rsidRDefault="00493503" w:rsidP="00173A63">
      <w:pPr>
        <w:shd w:val="clear" w:color="auto" w:fill="FFFFFF"/>
        <w:spacing w:after="0" w:line="480" w:lineRule="auto"/>
        <w:ind w:firstLine="720"/>
        <w:jc w:val="both"/>
        <w:rPr>
          <w:rFonts w:ascii="Arial" w:hAnsi="Arial" w:cs="Arial"/>
          <w:color w:val="212529"/>
          <w:shd w:val="clear" w:color="auto" w:fill="FFFFFF"/>
        </w:rPr>
      </w:pPr>
      <w:r w:rsidRPr="00B625A8">
        <w:rPr>
          <w:rFonts w:ascii="Arial" w:hAnsi="Arial" w:cs="Arial"/>
          <w:color w:val="212529"/>
          <w:shd w:val="clear" w:color="auto" w:fill="FFFFFF"/>
        </w:rPr>
        <w:t xml:space="preserve">According to the Central Bank of Nigeria (CBN, 2013), liquidity risk stems from a financial institution's inability to secure necessary funding without incurring significant losses, either through generating liabilities or liquidating assets to meet maturing obligations. Liquidity risk fundamentally pertains to the possibility that a bank may lack sufficient liquid assets, such as cash or assets that can be readily converted into cash, to meet its short-term obligations. To address these risks, the CBN mandates that Nigerian banks maintain a specified percentage of their deposits in liquid assets that can be quickly converted into cash. However, the detrimental effects of liquidity risk extend beyond the deterioration of a bank’s capital and profitability; they can also result in the eventual failure of financial institutions. Consequently, the Central Bank of Nigeria </w:t>
      </w:r>
      <w:r w:rsidRPr="00B625A8">
        <w:rPr>
          <w:rFonts w:ascii="Arial" w:hAnsi="Arial" w:cs="Arial"/>
          <w:color w:val="212529"/>
          <w:shd w:val="clear" w:color="auto" w:fill="FFFFFF"/>
        </w:rPr>
        <w:lastRenderedPageBreak/>
        <w:t>plays a pivotal role in monitoring and establishing the required proportion of total customer deposits that banks must retain as cash and liquid assets, thereby facilitating effective liquidity management. This underscores the necessity of a robust framework for managing liquidity risk, which has significant implications for both the profitability and long-term sustainability of banks.</w:t>
      </w:r>
    </w:p>
    <w:p w14:paraId="4903673D" w14:textId="77777777" w:rsidR="00F67C07" w:rsidRDefault="00F67C07" w:rsidP="00F67C07">
      <w:pPr>
        <w:shd w:val="clear" w:color="auto" w:fill="FFFFFF"/>
        <w:spacing w:after="0" w:line="480" w:lineRule="auto"/>
        <w:rPr>
          <w:rFonts w:ascii="Arial" w:hAnsi="Arial" w:cs="Arial"/>
          <w:b/>
          <w:color w:val="1E1E1E"/>
          <w:shd w:val="clear" w:color="auto" w:fill="FFFFFF"/>
        </w:rPr>
      </w:pPr>
      <w:r>
        <w:rPr>
          <w:rFonts w:ascii="Arial" w:hAnsi="Arial" w:cs="Arial"/>
          <w:b/>
          <w:color w:val="1E1E1E"/>
          <w:shd w:val="clear" w:color="auto" w:fill="FFFFFF"/>
        </w:rPr>
        <w:t xml:space="preserve">1.1 </w:t>
      </w:r>
      <w:r w:rsidR="00427D87" w:rsidRPr="00B625A8">
        <w:rPr>
          <w:rFonts w:ascii="Arial" w:hAnsi="Arial" w:cs="Arial"/>
          <w:b/>
          <w:color w:val="1E1E1E"/>
          <w:shd w:val="clear" w:color="auto" w:fill="FFFFFF"/>
        </w:rPr>
        <w:t>Limitations of Previous Studies</w:t>
      </w:r>
    </w:p>
    <w:p w14:paraId="229C73F1" w14:textId="77777777" w:rsidR="002E3EFE" w:rsidRPr="002E3EFE" w:rsidRDefault="00F67C07" w:rsidP="002E3EFE">
      <w:pPr>
        <w:shd w:val="clear" w:color="auto" w:fill="FFFFFF"/>
        <w:spacing w:after="0" w:line="480" w:lineRule="auto"/>
        <w:ind w:firstLine="720"/>
        <w:rPr>
          <w:rFonts w:ascii="Arial" w:hAnsi="Arial" w:cs="Arial"/>
          <w:color w:val="1E1E1E"/>
          <w:shd w:val="clear" w:color="auto" w:fill="FFFFFF"/>
        </w:rPr>
      </w:pPr>
      <w:r w:rsidRPr="00F67C07">
        <w:rPr>
          <w:rFonts w:ascii="Arial" w:hAnsi="Arial" w:cs="Arial"/>
          <w:color w:val="1E1E1E"/>
          <w:shd w:val="clear" w:color="auto" w:fill="FFFFFF"/>
        </w:rPr>
        <w:t xml:space="preserve">A plethora of studies have investigated the relationships among bank capital, liquidity risk, credit risk, and their impacts on bank performance, resulting in a spectrum of conclusions. Certain studies (Abbas et al., 2019; </w:t>
      </w:r>
      <w:r w:rsidR="001D2C4E">
        <w:rPr>
          <w:rFonts w:ascii="Arial" w:hAnsi="Arial" w:cs="Arial"/>
          <w:color w:val="222222"/>
          <w:sz w:val="20"/>
          <w:szCs w:val="20"/>
          <w:shd w:val="clear" w:color="auto" w:fill="FFFFFF"/>
        </w:rPr>
        <w:t>Imani &amp; Pracoyo, 2018</w:t>
      </w:r>
      <w:r w:rsidRPr="00F67C07">
        <w:rPr>
          <w:rFonts w:ascii="Arial" w:hAnsi="Arial" w:cs="Arial"/>
          <w:color w:val="1E1E1E"/>
          <w:shd w:val="clear" w:color="auto" w:fill="FFFFFF"/>
        </w:rPr>
        <w:t>) have identified an insignificant relationship between these variables and bank performance. In contrast, other studies (Riyanto and Surjandari, 2018; Aluko et al., 2019;</w:t>
      </w:r>
      <w:r w:rsidR="002E3EFE" w:rsidRPr="002E3EFE">
        <w:rPr>
          <w:rFonts w:ascii="Arial" w:hAnsi="Arial" w:cs="Arial"/>
        </w:rPr>
        <w:t xml:space="preserve"> </w:t>
      </w:r>
      <w:r w:rsidR="002E3EFE" w:rsidRPr="002E3EFE">
        <w:rPr>
          <w:rFonts w:ascii="Arial" w:hAnsi="Arial" w:cs="Arial"/>
          <w:color w:val="1E1E1E"/>
          <w:shd w:val="clear" w:color="auto" w:fill="FFFFFF"/>
        </w:rPr>
        <w:t>Islam and Nishiyama, 2016; Susan and Nasieku, 2016;</w:t>
      </w:r>
    </w:p>
    <w:p w14:paraId="6718A3CA" w14:textId="77777777" w:rsidR="00E73ED6" w:rsidRPr="00B625A8" w:rsidRDefault="00F67C07" w:rsidP="002E3EFE">
      <w:pPr>
        <w:shd w:val="clear" w:color="auto" w:fill="FFFFFF"/>
        <w:spacing w:after="0" w:line="480" w:lineRule="auto"/>
        <w:rPr>
          <w:rFonts w:ascii="Arial" w:eastAsia="Times New Roman" w:hAnsi="Arial" w:cs="Arial"/>
        </w:rPr>
      </w:pPr>
      <w:r w:rsidRPr="00F67C07">
        <w:rPr>
          <w:rFonts w:ascii="Arial" w:hAnsi="Arial" w:cs="Arial"/>
          <w:color w:val="1E1E1E"/>
          <w:shd w:val="clear" w:color="auto" w:fill="FFFFFF"/>
        </w:rPr>
        <w:t>have established positive correlations, while additional studies (Mousa et al., 2018; Rifqah et al., 2019; Chai et al., 2022; Abdelaziz et al., 2022; Abba and Ullah, 2023) have indicated negative relationships. The existing variation in findings across different national contexts underscores the necessity for further investigation. Moreover, much of the prior research conducted in Nigeria has predominantly centered on specific relationships between individual variables and bank performance, often overlooking the inherent risks associated with banking activities</w:t>
      </w:r>
      <w:r>
        <w:rPr>
          <w:rFonts w:ascii="Arial" w:hAnsi="Arial" w:cs="Arial"/>
          <w:color w:val="1E1E1E"/>
          <w:shd w:val="clear" w:color="auto" w:fill="FFFFFF"/>
        </w:rPr>
        <w:t>.</w:t>
      </w:r>
      <w:r w:rsidR="0006717C" w:rsidRPr="00B625A8">
        <w:rPr>
          <w:rFonts w:ascii="Arial" w:eastAsia="Times New Roman" w:hAnsi="Arial" w:cs="Arial"/>
        </w:rPr>
        <w:t xml:space="preserve"> </w:t>
      </w:r>
    </w:p>
    <w:p w14:paraId="375061E9" w14:textId="77777777" w:rsidR="009F27EF" w:rsidRPr="00B625A8" w:rsidRDefault="00E73ED6" w:rsidP="00173A63">
      <w:pPr>
        <w:spacing w:after="0" w:line="480" w:lineRule="auto"/>
        <w:ind w:firstLine="720"/>
        <w:jc w:val="both"/>
        <w:rPr>
          <w:rFonts w:ascii="Arial" w:hAnsi="Arial" w:cs="Arial"/>
          <w:color w:val="2B2D38"/>
          <w:shd w:val="clear" w:color="auto" w:fill="FFFFFF"/>
        </w:rPr>
      </w:pPr>
      <w:r w:rsidRPr="00B625A8">
        <w:rPr>
          <w:rFonts w:ascii="Arial" w:hAnsi="Arial" w:cs="Arial"/>
          <w:color w:val="212529"/>
          <w:shd w:val="clear" w:color="auto" w:fill="FFFFFF"/>
        </w:rPr>
        <w:t xml:space="preserve">Recently, there has been a notable shift towards examining the intrinsic risks associated with banks' asset portfolios, which are paramount for capital adequacy assessments. Analyzing these inherent risks is essential for understanding the overall impact of asset holdings on bank capital. This study aims to fill this gap by incorporating risk-weighted capital into the evaluation of capital adequacy and its effects on bank performance. Distinct from prior research in Nigeria, this study utilizes the Z-score as an accounting-based measure for evaluating default risk, departing from conventional methods. The Z-score method offers a superior approach compared to other accounting indicators, such as non-performing loans (NPL) or leverage ratios, as it encompasses both bank returns and capital structures while mitigating international comparability challenges arising from differing NPL classification standards (Kabir et al., 2015). In addition, this research </w:t>
      </w:r>
      <w:r w:rsidRPr="00B625A8">
        <w:rPr>
          <w:rFonts w:ascii="Arial" w:hAnsi="Arial" w:cs="Arial"/>
          <w:color w:val="212529"/>
          <w:shd w:val="clear" w:color="auto" w:fill="FFFFFF"/>
        </w:rPr>
        <w:lastRenderedPageBreak/>
        <w:t>enriches the existing body of literature by investigating the interdependency among risk-adjusted capital, liquidity risk, and credit risk</w:t>
      </w:r>
      <w:r w:rsidR="0006717C" w:rsidRPr="00B625A8">
        <w:rPr>
          <w:rFonts w:ascii="Arial" w:eastAsia="Times New Roman" w:hAnsi="Arial" w:cs="Arial"/>
        </w:rPr>
        <w:t>.</w:t>
      </w:r>
    </w:p>
    <w:p w14:paraId="21C90635" w14:textId="77777777" w:rsidR="009F27EF" w:rsidRPr="00B625A8" w:rsidRDefault="00F67C07" w:rsidP="00B625A8">
      <w:pPr>
        <w:spacing w:after="0" w:line="480" w:lineRule="auto"/>
        <w:jc w:val="both"/>
        <w:rPr>
          <w:rFonts w:ascii="Arial" w:eastAsia="Times New Roman" w:hAnsi="Arial" w:cs="Arial"/>
        </w:rPr>
      </w:pPr>
      <w:r>
        <w:rPr>
          <w:rFonts w:ascii="Arial" w:eastAsia="Times New Roman" w:hAnsi="Arial" w:cs="Arial"/>
          <w:b/>
          <w:bCs/>
        </w:rPr>
        <w:t xml:space="preserve">1.2 </w:t>
      </w:r>
      <w:r w:rsidR="009F27EF" w:rsidRPr="00B625A8">
        <w:rPr>
          <w:rFonts w:ascii="Arial" w:eastAsia="Times New Roman" w:hAnsi="Arial" w:cs="Arial"/>
          <w:b/>
          <w:bCs/>
        </w:rPr>
        <w:t>Hypotheses</w:t>
      </w:r>
    </w:p>
    <w:p w14:paraId="37FFDB92" w14:textId="77777777" w:rsidR="009F27EF" w:rsidRPr="00B625A8" w:rsidRDefault="009F27EF" w:rsidP="00B625A8">
      <w:pPr>
        <w:spacing w:after="0" w:line="480" w:lineRule="auto"/>
        <w:ind w:left="720" w:hanging="720"/>
        <w:jc w:val="both"/>
        <w:rPr>
          <w:rFonts w:ascii="Arial" w:eastAsia="Times New Roman" w:hAnsi="Arial" w:cs="Arial"/>
        </w:rPr>
      </w:pPr>
      <w:r w:rsidRPr="00B625A8">
        <w:rPr>
          <w:rFonts w:ascii="Arial" w:hAnsi="Arial" w:cs="Arial"/>
          <w:i/>
          <w:iCs/>
        </w:rPr>
        <w:t>H</w:t>
      </w:r>
      <w:r w:rsidRPr="00B625A8">
        <w:rPr>
          <w:rFonts w:ascii="Arial" w:hAnsi="Arial" w:cs="Arial"/>
          <w:i/>
          <w:iCs/>
          <w:vertAlign w:val="subscript"/>
        </w:rPr>
        <w:t>1</w:t>
      </w:r>
      <w:r w:rsidRPr="00B625A8">
        <w:rPr>
          <w:rFonts w:ascii="Arial" w:eastAsia="Times New Roman" w:hAnsi="Arial" w:cs="Arial"/>
          <w:i/>
          <w:iCs/>
        </w:rPr>
        <w:t>:</w:t>
      </w:r>
      <w:r w:rsidRPr="00B625A8">
        <w:rPr>
          <w:rFonts w:ascii="Arial" w:eastAsia="Times New Roman" w:hAnsi="Arial" w:cs="Arial"/>
          <w:i/>
          <w:iCs/>
        </w:rPr>
        <w:tab/>
      </w:r>
      <w:r w:rsidR="00003F1A" w:rsidRPr="00B625A8">
        <w:rPr>
          <w:rFonts w:ascii="Arial" w:eastAsia="Times New Roman" w:hAnsi="Arial" w:cs="Arial"/>
        </w:rPr>
        <w:t>There is no</w:t>
      </w:r>
      <w:r w:rsidRPr="00B625A8">
        <w:rPr>
          <w:rFonts w:ascii="Arial" w:eastAsia="Times New Roman" w:hAnsi="Arial" w:cs="Arial"/>
        </w:rPr>
        <w:t xml:space="preserve"> significant relationship between risk-adjusted capital and the performance of </w:t>
      </w:r>
      <w:r w:rsidR="005E588C" w:rsidRPr="00B625A8">
        <w:rPr>
          <w:rFonts w:ascii="Arial" w:eastAsia="Times New Roman" w:hAnsi="Arial" w:cs="Arial"/>
        </w:rPr>
        <w:t>b</w:t>
      </w:r>
      <w:r w:rsidRPr="00B625A8">
        <w:rPr>
          <w:rFonts w:ascii="Arial" w:eastAsia="Times New Roman" w:hAnsi="Arial" w:cs="Arial"/>
        </w:rPr>
        <w:t>anks in Nigeria.</w:t>
      </w:r>
    </w:p>
    <w:p w14:paraId="6D975258" w14:textId="77777777" w:rsidR="009F27EF" w:rsidRPr="00B625A8" w:rsidRDefault="009F27EF" w:rsidP="00B625A8">
      <w:pPr>
        <w:spacing w:after="0" w:line="480" w:lineRule="auto"/>
        <w:ind w:left="720" w:hanging="720"/>
        <w:jc w:val="both"/>
        <w:rPr>
          <w:rFonts w:ascii="Arial" w:eastAsia="Times New Roman" w:hAnsi="Arial" w:cs="Arial"/>
        </w:rPr>
      </w:pPr>
      <w:r w:rsidRPr="00B625A8">
        <w:rPr>
          <w:rFonts w:ascii="Arial" w:hAnsi="Arial" w:cs="Arial"/>
          <w:i/>
          <w:iCs/>
        </w:rPr>
        <w:t>H</w:t>
      </w:r>
      <w:r w:rsidRPr="00B625A8">
        <w:rPr>
          <w:rFonts w:ascii="Arial" w:hAnsi="Arial" w:cs="Arial"/>
          <w:i/>
          <w:iCs/>
          <w:vertAlign w:val="subscript"/>
        </w:rPr>
        <w:t>2</w:t>
      </w:r>
      <w:r w:rsidRPr="00B625A8">
        <w:rPr>
          <w:rFonts w:ascii="Arial" w:eastAsia="Times New Roman" w:hAnsi="Arial" w:cs="Arial"/>
          <w:i/>
          <w:iCs/>
        </w:rPr>
        <w:t>:</w:t>
      </w:r>
      <w:r w:rsidRPr="00B625A8">
        <w:rPr>
          <w:rFonts w:ascii="Arial" w:eastAsia="Times New Roman" w:hAnsi="Arial" w:cs="Arial"/>
          <w:i/>
          <w:iCs/>
        </w:rPr>
        <w:tab/>
        <w:t> </w:t>
      </w:r>
      <w:r w:rsidR="00003F1A" w:rsidRPr="00B625A8">
        <w:rPr>
          <w:rFonts w:ascii="Arial" w:eastAsia="Times New Roman" w:hAnsi="Arial" w:cs="Arial"/>
        </w:rPr>
        <w:t>Liquidity risk has no</w:t>
      </w:r>
      <w:r w:rsidRPr="00B625A8">
        <w:rPr>
          <w:rFonts w:ascii="Arial" w:eastAsia="Times New Roman" w:hAnsi="Arial" w:cs="Arial"/>
        </w:rPr>
        <w:t xml:space="preserve"> significant impact on </w:t>
      </w:r>
      <w:r w:rsidR="005E588C" w:rsidRPr="00B625A8">
        <w:rPr>
          <w:rFonts w:ascii="Arial" w:eastAsia="Times New Roman" w:hAnsi="Arial" w:cs="Arial"/>
        </w:rPr>
        <w:t>b</w:t>
      </w:r>
      <w:r w:rsidRPr="00B625A8">
        <w:rPr>
          <w:rFonts w:ascii="Arial" w:eastAsia="Times New Roman" w:hAnsi="Arial" w:cs="Arial"/>
        </w:rPr>
        <w:t>anks’ performance in Nigeria.</w:t>
      </w:r>
    </w:p>
    <w:p w14:paraId="613EDFCB" w14:textId="77777777" w:rsidR="009F27EF" w:rsidRPr="00B625A8" w:rsidRDefault="009F27EF" w:rsidP="00B625A8">
      <w:pPr>
        <w:spacing w:after="0" w:line="480" w:lineRule="auto"/>
        <w:ind w:left="720" w:hanging="720"/>
        <w:jc w:val="both"/>
        <w:rPr>
          <w:rFonts w:ascii="Arial" w:eastAsia="Times New Roman" w:hAnsi="Arial" w:cs="Arial"/>
        </w:rPr>
      </w:pPr>
      <w:r w:rsidRPr="00B625A8">
        <w:rPr>
          <w:rFonts w:ascii="Arial" w:hAnsi="Arial" w:cs="Arial"/>
          <w:i/>
          <w:iCs/>
        </w:rPr>
        <w:t>H</w:t>
      </w:r>
      <w:r w:rsidRPr="00B625A8">
        <w:rPr>
          <w:rFonts w:ascii="Arial" w:hAnsi="Arial" w:cs="Arial"/>
          <w:i/>
          <w:iCs/>
          <w:vertAlign w:val="subscript"/>
        </w:rPr>
        <w:t>3</w:t>
      </w:r>
      <w:r w:rsidRPr="00B625A8">
        <w:rPr>
          <w:rFonts w:ascii="Arial" w:eastAsia="Times New Roman" w:hAnsi="Arial" w:cs="Arial"/>
          <w:i/>
          <w:iCs/>
        </w:rPr>
        <w:t>:</w:t>
      </w:r>
      <w:r w:rsidRPr="00B625A8">
        <w:rPr>
          <w:rFonts w:ascii="Arial" w:eastAsia="Times New Roman" w:hAnsi="Arial" w:cs="Arial"/>
          <w:i/>
          <w:iCs/>
        </w:rPr>
        <w:tab/>
      </w:r>
      <w:r w:rsidRPr="00B625A8">
        <w:rPr>
          <w:rFonts w:ascii="Arial" w:eastAsia="Times New Roman" w:hAnsi="Arial" w:cs="Arial"/>
        </w:rPr>
        <w:t xml:space="preserve">Credit risk has </w:t>
      </w:r>
      <w:r w:rsidR="00003F1A" w:rsidRPr="00B625A8">
        <w:rPr>
          <w:rFonts w:ascii="Arial" w:eastAsia="Times New Roman" w:hAnsi="Arial" w:cs="Arial"/>
        </w:rPr>
        <w:t>no</w:t>
      </w:r>
      <w:r w:rsidRPr="00B625A8">
        <w:rPr>
          <w:rFonts w:ascii="Arial" w:eastAsia="Times New Roman" w:hAnsi="Arial" w:cs="Arial"/>
        </w:rPr>
        <w:t xml:space="preserve"> significant impact on </w:t>
      </w:r>
      <w:r w:rsidR="005E588C" w:rsidRPr="00B625A8">
        <w:rPr>
          <w:rFonts w:ascii="Arial" w:eastAsia="Times New Roman" w:hAnsi="Arial" w:cs="Arial"/>
        </w:rPr>
        <w:t>b</w:t>
      </w:r>
      <w:r w:rsidRPr="00B625A8">
        <w:rPr>
          <w:rFonts w:ascii="Arial" w:eastAsia="Times New Roman" w:hAnsi="Arial" w:cs="Arial"/>
        </w:rPr>
        <w:t>anks’ performance in Nigeria.</w:t>
      </w:r>
    </w:p>
    <w:p w14:paraId="441C6941" w14:textId="77777777" w:rsidR="009F27EF" w:rsidRPr="00B625A8" w:rsidRDefault="009F27EF" w:rsidP="00B625A8">
      <w:pPr>
        <w:spacing w:after="0" w:line="480" w:lineRule="auto"/>
        <w:ind w:left="720" w:hanging="720"/>
        <w:jc w:val="both"/>
        <w:rPr>
          <w:rFonts w:ascii="Arial" w:eastAsia="Times New Roman" w:hAnsi="Arial" w:cs="Arial"/>
        </w:rPr>
      </w:pPr>
      <w:r w:rsidRPr="00B625A8">
        <w:rPr>
          <w:rFonts w:ascii="Arial" w:hAnsi="Arial" w:cs="Arial"/>
          <w:i/>
          <w:iCs/>
        </w:rPr>
        <w:t>H</w:t>
      </w:r>
      <w:r w:rsidRPr="00B625A8">
        <w:rPr>
          <w:rFonts w:ascii="Arial" w:hAnsi="Arial" w:cs="Arial"/>
          <w:i/>
          <w:iCs/>
          <w:vertAlign w:val="subscript"/>
        </w:rPr>
        <w:t>4</w:t>
      </w:r>
      <w:r w:rsidRPr="00B625A8">
        <w:rPr>
          <w:rFonts w:ascii="Arial" w:eastAsia="Times New Roman" w:hAnsi="Arial" w:cs="Arial"/>
          <w:i/>
          <w:iCs/>
        </w:rPr>
        <w:t>:</w:t>
      </w:r>
      <w:r w:rsidRPr="00B625A8">
        <w:rPr>
          <w:rFonts w:ascii="Arial" w:eastAsia="Times New Roman" w:hAnsi="Arial" w:cs="Arial"/>
          <w:i/>
          <w:iCs/>
        </w:rPr>
        <w:tab/>
      </w:r>
      <w:r w:rsidR="00003F1A" w:rsidRPr="00B625A8">
        <w:rPr>
          <w:rFonts w:ascii="Arial" w:eastAsia="Times New Roman" w:hAnsi="Arial" w:cs="Arial"/>
        </w:rPr>
        <w:t>There is no</w:t>
      </w:r>
      <w:r w:rsidRPr="00B625A8">
        <w:rPr>
          <w:rFonts w:ascii="Arial" w:eastAsia="Times New Roman" w:hAnsi="Arial" w:cs="Arial"/>
        </w:rPr>
        <w:t xml:space="preserve"> inter</w:t>
      </w:r>
      <w:r w:rsidR="0006717C" w:rsidRPr="00B625A8">
        <w:rPr>
          <w:rFonts w:ascii="Arial" w:eastAsia="Times New Roman" w:hAnsi="Arial" w:cs="Arial"/>
        </w:rPr>
        <w:t>dependency among</w:t>
      </w:r>
      <w:r w:rsidRPr="00B625A8">
        <w:rPr>
          <w:rFonts w:ascii="Arial" w:eastAsia="Times New Roman" w:hAnsi="Arial" w:cs="Arial"/>
        </w:rPr>
        <w:t xml:space="preserve"> risk-adjusted capital, liquidity risk, and credit risk.</w:t>
      </w:r>
    </w:p>
    <w:p w14:paraId="10FEBBC8" w14:textId="77777777" w:rsidR="009F27EF" w:rsidRPr="00B625A8" w:rsidRDefault="00F67C07" w:rsidP="00B625A8">
      <w:pPr>
        <w:spacing w:line="480" w:lineRule="auto"/>
        <w:jc w:val="both"/>
        <w:rPr>
          <w:rFonts w:ascii="Arial" w:hAnsi="Arial" w:cs="Arial"/>
          <w:b/>
        </w:rPr>
      </w:pPr>
      <w:r>
        <w:rPr>
          <w:rFonts w:ascii="Arial" w:hAnsi="Arial" w:cs="Arial"/>
          <w:b/>
        </w:rPr>
        <w:t xml:space="preserve">2.0 </w:t>
      </w:r>
      <w:r w:rsidR="009F27EF" w:rsidRPr="00B625A8">
        <w:rPr>
          <w:rFonts w:ascii="Arial" w:hAnsi="Arial" w:cs="Arial"/>
          <w:b/>
        </w:rPr>
        <w:t>Review of Previous Literature</w:t>
      </w:r>
    </w:p>
    <w:p w14:paraId="1776A0FB" w14:textId="77777777" w:rsidR="00E60239" w:rsidRPr="00B625A8" w:rsidRDefault="00C40282" w:rsidP="00173A63">
      <w:pPr>
        <w:spacing w:after="0" w:line="480" w:lineRule="auto"/>
        <w:ind w:firstLine="720"/>
        <w:jc w:val="both"/>
        <w:rPr>
          <w:rFonts w:ascii="Arial" w:hAnsi="Arial" w:cs="Arial"/>
        </w:rPr>
      </w:pPr>
      <w:r w:rsidRPr="00B625A8">
        <w:rPr>
          <w:rFonts w:ascii="Arial" w:hAnsi="Arial" w:cs="Arial"/>
        </w:rPr>
        <w:t>The banking sector is inherently laden with risk, primarily due to its role as an intermediary and reliance on high leverage, with funding predominantly sourced from depositors' funds (AlZoubi, 2021). Despite continuous revisions to regulatory frameworks aimed at mitigating these operational risks, bank failures continue to be a recurring problem, suggesting that the objectives of these regulations have not been fully achieved. Recently, the Central Bank of Nigeria revoked the license of a commercial bank following a sustained decline in its performance, despite prior interventions by the apex bank to provide temporary support. This decision aimed to avert potential systemic risks and protect the integrity of Nigeria's financial system. Consequently, due to the inherent risks associated with banking operations, this study uses the Buffer Theory of capital adequacy as its theoretical underpinning. The Buffer Theory posits that banks and financial institutions should maintain capital levels that exceed the regulatory minimum to effectively manage risks and avoid regulatory penalties (Septiarini et al., 2021)</w:t>
      </w:r>
      <w:r w:rsidR="00E60239" w:rsidRPr="00B625A8">
        <w:rPr>
          <w:rFonts w:ascii="Arial" w:hAnsi="Arial" w:cs="Arial"/>
        </w:rPr>
        <w:t xml:space="preserve">. This "buffer" serves as a safeguard against unforeseen asset losses, particularly those financed with depositors’ funds. Moreover, the buffer is vital for ensuring systemic stability during economic downturns (Muhammad, 2005). </w:t>
      </w:r>
      <w:r w:rsidR="0083772E" w:rsidRPr="00B625A8">
        <w:rPr>
          <w:rFonts w:ascii="Arial" w:hAnsi="Arial" w:cs="Arial"/>
        </w:rPr>
        <w:t xml:space="preserve">Consequently, banks should enhance their capital ratios as they approach the minimum required thresholds (Lotto, 2018). The theory further indicates that banks typically </w:t>
      </w:r>
      <w:r w:rsidR="0083772E" w:rsidRPr="00B625A8">
        <w:rPr>
          <w:rFonts w:ascii="Arial" w:hAnsi="Arial" w:cs="Arial"/>
        </w:rPr>
        <w:lastRenderedPageBreak/>
        <w:t>maintain capital levels above the mandated minimum due to both direct and indirect costs associated with falling below regulatory threshold. Indirect costs encompass regulatory restrictions designed to restrain a bank's risk-taking activities, while direct costs may involve penalties that could ultimately result in the revocation of the bank's operating license.</w:t>
      </w:r>
    </w:p>
    <w:p w14:paraId="3D0A6EF0" w14:textId="77777777" w:rsidR="00E60239" w:rsidRPr="00557B09" w:rsidRDefault="00F67C07" w:rsidP="00173A63">
      <w:pPr>
        <w:spacing w:after="0" w:line="480" w:lineRule="auto"/>
        <w:jc w:val="both"/>
        <w:rPr>
          <w:rFonts w:ascii="Arial" w:hAnsi="Arial" w:cs="Arial"/>
          <w:b/>
        </w:rPr>
      </w:pPr>
      <w:r>
        <w:rPr>
          <w:rFonts w:ascii="Arial" w:hAnsi="Arial" w:cs="Arial"/>
          <w:b/>
        </w:rPr>
        <w:t xml:space="preserve">2.1 </w:t>
      </w:r>
      <w:r w:rsidR="00E60239" w:rsidRPr="00557B09">
        <w:rPr>
          <w:rFonts w:ascii="Arial" w:hAnsi="Arial" w:cs="Arial"/>
          <w:b/>
        </w:rPr>
        <w:t>Empirical Review</w:t>
      </w:r>
    </w:p>
    <w:p w14:paraId="544EB80A" w14:textId="77777777" w:rsidR="00E60239" w:rsidRPr="00B625A8" w:rsidRDefault="00E60239" w:rsidP="00173A63">
      <w:pPr>
        <w:spacing w:after="0" w:line="480" w:lineRule="auto"/>
        <w:ind w:firstLine="720"/>
        <w:jc w:val="both"/>
        <w:rPr>
          <w:rFonts w:ascii="Arial" w:hAnsi="Arial" w:cs="Arial"/>
        </w:rPr>
      </w:pPr>
      <w:r w:rsidRPr="00B625A8">
        <w:rPr>
          <w:rFonts w:ascii="Arial" w:hAnsi="Arial" w:cs="Arial"/>
        </w:rPr>
        <w:t>The existing body of literature presents divergent findings regarding the effect of capital on bank performance. Certain studies suggest a positive correlation between capital and performance; conversely, others suggest a negative relationship or indicate that the influence is negligible. It is crucial, however, to recognize the essential role that a robust capital base plays in maintaining the stability of the financial system. In this vein, Aruwa and Mohammed (2011) investigated how capital adequacy affected the financial performance of Nigerian deposit money banks and found that it had a negligible impact. Echoing this finding, Onaolapo and Olufemi (2012) identified no significant correlation between capital adequacy and financial performance. Similarly, Olalekan and Adeyinka (2013) discovered an insignificant relationship between capital adequacy and the profitability of banks in Nigeria. Additionally, Francis (2013) observed a negative correlation between capital and bank profitability, while Berger and Bouwman (2013) highlighted the ambiguous nature of the relationship between bank capital and performance.</w:t>
      </w:r>
    </w:p>
    <w:p w14:paraId="6AF74314" w14:textId="77777777" w:rsidR="00E60239" w:rsidRPr="00B625A8" w:rsidRDefault="000B18BE" w:rsidP="00173A63">
      <w:pPr>
        <w:spacing w:after="0" w:line="480" w:lineRule="auto"/>
        <w:ind w:firstLine="720"/>
        <w:jc w:val="both"/>
        <w:rPr>
          <w:rFonts w:ascii="Arial" w:hAnsi="Arial" w:cs="Arial"/>
        </w:rPr>
      </w:pPr>
      <w:r w:rsidRPr="000B18BE">
        <w:rPr>
          <w:rFonts w:ascii="Arial" w:hAnsi="Arial" w:cs="Arial"/>
        </w:rPr>
        <w:t xml:space="preserve">The necessity of capital adequacy in the banking sector for ensuring financial stability remains critically important, as underscored by numerous studies. A resilient banking system fundamentally depends on adequate capital to safeguard depositors' assets, maintain public confidence, and foster overall economic stability. Research by Islam and Nishiyama (2016) identified a positive correlation between equity capital and profitability in a study of 259 banks across four Southeast Asian nations. Similarly, Lee and Hsieh (2013) observed a comparable positive relationship in their study of 48 Asian nations. Additionally, Susan and Nasieku (2016) reported a meaningful positive connection between capital and bank performance. Moreover, </w:t>
      </w:r>
      <w:r w:rsidRPr="000B18BE">
        <w:rPr>
          <w:rFonts w:ascii="Arial" w:hAnsi="Arial" w:cs="Arial"/>
        </w:rPr>
        <w:lastRenderedPageBreak/>
        <w:t>Ejoh and Iwara (2014) examined capital adequacy in five Nigerian banks and discovered a strong and statistically significant link between capital adequacy and return on assets</w:t>
      </w:r>
      <w:r w:rsidR="0083772E" w:rsidRPr="00B625A8">
        <w:rPr>
          <w:rFonts w:ascii="Arial" w:hAnsi="Arial" w:cs="Arial"/>
        </w:rPr>
        <w:t>.</w:t>
      </w:r>
    </w:p>
    <w:p w14:paraId="2AD5423D" w14:textId="77777777" w:rsidR="00E60239" w:rsidRPr="00B625A8" w:rsidRDefault="00E60239" w:rsidP="00173A63">
      <w:pPr>
        <w:spacing w:after="0" w:line="480" w:lineRule="auto"/>
        <w:ind w:firstLine="720"/>
        <w:jc w:val="both"/>
        <w:rPr>
          <w:rFonts w:ascii="Arial" w:hAnsi="Arial" w:cs="Arial"/>
        </w:rPr>
      </w:pPr>
      <w:r w:rsidRPr="00B625A8">
        <w:rPr>
          <w:rFonts w:ascii="Arial" w:hAnsi="Arial" w:cs="Arial"/>
        </w:rPr>
        <w:t xml:space="preserve">In a different context, Ahmad et al., (2019) examined the connection between liquidity and credit risks and their effects on bank performance in Pakistan, revealing no direct correlation between capital and either credit or liquidity risks. Nonetheless, they highlighted that each risk category independently impacts bank performance, and their combined effect significantly contributes to understanding instability within the banking sector. </w:t>
      </w:r>
      <w:r w:rsidR="00B733D8">
        <w:rPr>
          <w:rFonts w:ascii="Arial" w:hAnsi="Arial" w:cs="Arial"/>
        </w:rPr>
        <w:t>Corroborating</w:t>
      </w:r>
      <w:r w:rsidRPr="00B625A8">
        <w:rPr>
          <w:rFonts w:ascii="Arial" w:hAnsi="Arial" w:cs="Arial"/>
        </w:rPr>
        <w:t xml:space="preserve"> these findings, Khalid et al. (2019) examined the relationship between liquidity and bank performance in Bangladesh and observed no significant positive or negative impacts on return on assets or equity.  Ajibike and Aremu (2015) identified a positive link between liquidity and bank performance in Nigeria, whereas Ly (2015) reported a negative relationship.</w:t>
      </w:r>
    </w:p>
    <w:p w14:paraId="525AEE42" w14:textId="77777777" w:rsidR="00B871F7" w:rsidRPr="00B871F7" w:rsidRDefault="00D17AFA" w:rsidP="00B871F7">
      <w:pPr>
        <w:spacing w:after="0" w:line="480" w:lineRule="auto"/>
        <w:ind w:firstLine="720"/>
        <w:jc w:val="both"/>
        <w:rPr>
          <w:rFonts w:ascii="Arial" w:hAnsi="Arial" w:cs="Arial"/>
        </w:rPr>
      </w:pPr>
      <w:r w:rsidRPr="00D17AFA">
        <w:rPr>
          <w:rFonts w:ascii="Arial" w:hAnsi="Arial" w:cs="Arial"/>
        </w:rPr>
        <w:t xml:space="preserve">Mendoza and Rivera (2017) analyzed the relationship between capital adequacy and credit risk by investigating 567 rural banks in the Philippines. Their findings indicate that credit risk exerts a significant adverse impact on profitability. Nevertheless, the authors found that capital adequacy did not exert a significant impact on profitability. Mousa et al. (2018) also reported a negative relationship between credit risk and performance in Syrian private banks, contrasting with Kargi's (2011) finding of a significant correlation between credit risk and profitability in Nigeria. Chai et al. (2022) underscored the detrimental effects of bank-specific risks, particularly credit and liquidity risks, on the stability of banking institutions. Furthermore, Abba and Ullah (2023) identified a significant correlation between credit and liquidity risks and the performance of banks in South Asia, specifically highlighting the negative effects of credit risk. In a post-COVID-19 context, Haris et al. (2024) established a significant positive relationship between liquidity risk and return on assets, while simultaneously identifying a negative effect of credit risk on profitability. Abdelaziz et al. (2022) highlighted a significant negative sensitivity of profitability among MENA banks to increases in credit and/or liquidity risks. Conversely, Aluko et al. (2019) established a positive correlation between bank profitability and both credit and liquidity </w:t>
      </w:r>
      <w:r w:rsidRPr="00D17AFA">
        <w:rPr>
          <w:rFonts w:ascii="Arial" w:hAnsi="Arial" w:cs="Arial"/>
        </w:rPr>
        <w:lastRenderedPageBreak/>
        <w:t>risks. Corroborating this divergence, Owusu-Boafo et al. (2020) reported a positive and significant link between credit risk and profitability in Ghanaian banks</w:t>
      </w:r>
      <w:r w:rsidR="00B871F7" w:rsidRPr="00B871F7">
        <w:rPr>
          <w:rFonts w:ascii="Arial" w:hAnsi="Arial" w:cs="Arial"/>
        </w:rPr>
        <w:t>.</w:t>
      </w:r>
    </w:p>
    <w:p w14:paraId="05733A7D" w14:textId="77777777" w:rsidR="00DC6910" w:rsidRPr="00B625A8" w:rsidRDefault="00DC6910" w:rsidP="00173A63">
      <w:pPr>
        <w:spacing w:after="0" w:line="480" w:lineRule="auto"/>
        <w:ind w:firstLine="720"/>
        <w:jc w:val="both"/>
        <w:rPr>
          <w:rFonts w:ascii="Arial" w:hAnsi="Arial" w:cs="Arial"/>
        </w:rPr>
      </w:pPr>
      <w:r w:rsidRPr="00B625A8">
        <w:rPr>
          <w:rFonts w:ascii="Arial" w:hAnsi="Arial" w:cs="Arial"/>
        </w:rPr>
        <w:t xml:space="preserve">In their 2018 study, Riyanto and Surjandari examined the effects of capital, credit, and liquidity risks on the performance of banks listed on the Jakarta Stock Exchange. Their findings indicated that credit risk and capital individually affect profitability, whereas liquidity risk does not exhibit a similar influence. Complementary research by Rifqah et al. (2019) identified a significant negative correlation between credit risk, liquidity, capital adequacy, and profitability across four Indonesian banks. Conversely, </w:t>
      </w:r>
      <w:r w:rsidR="001D2C4E" w:rsidRPr="00B625A8">
        <w:rPr>
          <w:rFonts w:ascii="Arial" w:hAnsi="Arial" w:cs="Arial"/>
        </w:rPr>
        <w:t xml:space="preserve">Imani </w:t>
      </w:r>
      <w:r w:rsidR="001D2C4E">
        <w:rPr>
          <w:rFonts w:ascii="Arial" w:hAnsi="Arial" w:cs="Arial"/>
        </w:rPr>
        <w:t xml:space="preserve">and </w:t>
      </w:r>
      <w:r w:rsidRPr="00B625A8">
        <w:rPr>
          <w:rFonts w:ascii="Arial" w:hAnsi="Arial" w:cs="Arial"/>
        </w:rPr>
        <w:t>Pracoyo (2018) reported a significant effect of credit risk on profitability, whereas capital and liquidity risks showed no substantial influence. In contrast to the detrimental effects of credit risk</w:t>
      </w:r>
      <w:r w:rsidR="009F5E53" w:rsidRPr="00B625A8">
        <w:rPr>
          <w:rFonts w:ascii="Arial" w:hAnsi="Arial" w:cs="Arial"/>
        </w:rPr>
        <w:t>,</w:t>
      </w:r>
      <w:r w:rsidRPr="00B625A8">
        <w:rPr>
          <w:rFonts w:ascii="Arial" w:hAnsi="Arial" w:cs="Arial"/>
        </w:rPr>
        <w:t xml:space="preserve"> Abbas et al. (2019) established a positive influence of bank capital and liquidity w</w:t>
      </w:r>
      <w:r w:rsidR="000B18BE">
        <w:rPr>
          <w:rFonts w:ascii="Arial" w:hAnsi="Arial" w:cs="Arial"/>
        </w:rPr>
        <w:t>ithin the Asian banking sector.</w:t>
      </w:r>
    </w:p>
    <w:p w14:paraId="30977F17" w14:textId="77777777" w:rsidR="006C0D53" w:rsidRPr="00B625A8" w:rsidRDefault="00DC6910" w:rsidP="000B18BE">
      <w:pPr>
        <w:spacing w:line="480" w:lineRule="auto"/>
        <w:ind w:firstLine="720"/>
        <w:jc w:val="both"/>
        <w:rPr>
          <w:rFonts w:ascii="Arial" w:hAnsi="Arial" w:cs="Arial"/>
        </w:rPr>
      </w:pPr>
      <w:r w:rsidRPr="00B625A8">
        <w:rPr>
          <w:rFonts w:ascii="Arial" w:hAnsi="Arial" w:cs="Arial"/>
        </w:rPr>
        <w:t>Furthermore, Eyalsalman et al. (2024) underscored the positive contributions of liquidity risk and capital to bank performance, positing that liquidity enhances a bank's ability to generate income through increased risk assets, despite the observed negative impact of credit risk. Razermera et al. (2024) found a significant negative correlation between nonperforming loans and return on assets (ROA) in South Africa, with capital adequacy and loan-to-deposit ratios exhibiting a non-significant negative association with ROA. Additionally, Saleh and Abu Afifa (2020) discovered that risks related to capital, credit, and liquidity have a substantial impact on profitability. Their analysis revealed that although capital positively influences return on assets, credit and liquidity risks exert a negative effect.</w:t>
      </w:r>
    </w:p>
    <w:p w14:paraId="3EF3593E" w14:textId="77777777" w:rsidR="00AC0043" w:rsidRPr="00F67C07" w:rsidRDefault="00D17AFA" w:rsidP="00B625A8">
      <w:pPr>
        <w:pStyle w:val="Heading1"/>
        <w:spacing w:line="480" w:lineRule="auto"/>
        <w:rPr>
          <w:rFonts w:ascii="Arial" w:hAnsi="Arial" w:cs="Arial"/>
          <w:b/>
          <w:color w:val="auto"/>
          <w:sz w:val="22"/>
          <w:szCs w:val="22"/>
        </w:rPr>
      </w:pPr>
      <w:r>
        <w:rPr>
          <w:rFonts w:ascii="Arial" w:hAnsi="Arial" w:cs="Arial"/>
          <w:b/>
          <w:color w:val="auto"/>
          <w:sz w:val="22"/>
          <w:szCs w:val="22"/>
        </w:rPr>
        <w:t>3</w:t>
      </w:r>
      <w:r w:rsidR="00F67C07">
        <w:rPr>
          <w:rFonts w:ascii="Arial" w:hAnsi="Arial" w:cs="Arial"/>
          <w:b/>
          <w:color w:val="auto"/>
          <w:sz w:val="22"/>
          <w:szCs w:val="22"/>
        </w:rPr>
        <w:t xml:space="preserve">.0 </w:t>
      </w:r>
      <w:r w:rsidR="00AC0043" w:rsidRPr="00F67C07">
        <w:rPr>
          <w:rFonts w:ascii="Arial" w:hAnsi="Arial" w:cs="Arial"/>
          <w:b/>
          <w:color w:val="auto"/>
          <w:sz w:val="22"/>
          <w:szCs w:val="22"/>
        </w:rPr>
        <w:t>Methods and Model</w:t>
      </w:r>
    </w:p>
    <w:p w14:paraId="18B368BB" w14:textId="77777777" w:rsidR="00AC0043" w:rsidRPr="00B625A8" w:rsidRDefault="00AC0043" w:rsidP="00B625A8">
      <w:pPr>
        <w:autoSpaceDE w:val="0"/>
        <w:autoSpaceDN w:val="0"/>
        <w:adjustRightInd w:val="0"/>
        <w:spacing w:line="480" w:lineRule="auto"/>
        <w:jc w:val="both"/>
        <w:rPr>
          <w:rFonts w:ascii="Arial" w:hAnsi="Arial" w:cs="Arial"/>
          <w:b/>
          <w:bCs/>
          <w:lang w:val="en-AE"/>
        </w:rPr>
      </w:pPr>
      <w:r w:rsidRPr="00B625A8">
        <w:rPr>
          <w:rFonts w:ascii="Arial" w:hAnsi="Arial" w:cs="Arial"/>
          <w:b/>
          <w:bCs/>
          <w:lang w:val="en-AE"/>
        </w:rPr>
        <w:t>3.1 Data and sources</w:t>
      </w:r>
    </w:p>
    <w:p w14:paraId="35C5932B" w14:textId="77777777" w:rsidR="00AC0043" w:rsidRPr="00B625A8" w:rsidRDefault="00E35E0C" w:rsidP="00173A63">
      <w:pPr>
        <w:autoSpaceDE w:val="0"/>
        <w:autoSpaceDN w:val="0"/>
        <w:adjustRightInd w:val="0"/>
        <w:spacing w:after="0" w:line="480" w:lineRule="auto"/>
        <w:jc w:val="both"/>
        <w:rPr>
          <w:rFonts w:ascii="Arial" w:hAnsi="Arial" w:cs="Arial"/>
          <w:b/>
          <w:bCs/>
          <w:lang w:val="en-AE"/>
        </w:rPr>
      </w:pPr>
      <w:r w:rsidRPr="00B625A8">
        <w:rPr>
          <w:rFonts w:ascii="Arial" w:eastAsia="Times New Roman" w:hAnsi="Arial" w:cs="Arial"/>
        </w:rPr>
        <w:t xml:space="preserve">The study employed secondary data spanning 14 years from 2010 to 2023, focusing on commercial banks listed on the Nigerian Stock Exchange that remained operational and were not </w:t>
      </w:r>
      <w:r w:rsidRPr="00B625A8">
        <w:rPr>
          <w:rFonts w:ascii="Arial" w:eastAsia="Times New Roman" w:hAnsi="Arial" w:cs="Arial"/>
        </w:rPr>
        <w:lastRenderedPageBreak/>
        <w:t>delisted during the time frame examined. The data utilized for this analysis was sourced from the annual report and Factbook publicati</w:t>
      </w:r>
      <w:r w:rsidR="009F5E53" w:rsidRPr="00B625A8">
        <w:rPr>
          <w:rFonts w:ascii="Arial" w:eastAsia="Times New Roman" w:hAnsi="Arial" w:cs="Arial"/>
        </w:rPr>
        <w:t>ons of the Nigerian Stock Exchange</w:t>
      </w:r>
      <w:r w:rsidRPr="00B625A8">
        <w:rPr>
          <w:rFonts w:ascii="Arial" w:eastAsia="Times New Roman" w:hAnsi="Arial" w:cs="Arial"/>
        </w:rPr>
        <w:t xml:space="preserve"> (NSE), Central Bank of Nigeria statistical bulletins and annual reports, various annual financial statements of the listed banks, and other relevant materials. The variables and models adopted were underpinned by </w:t>
      </w:r>
      <w:r w:rsidR="001D2C4E">
        <w:rPr>
          <w:rFonts w:ascii="Arial" w:hAnsi="Arial" w:cs="Arial"/>
          <w:color w:val="222222"/>
          <w:sz w:val="20"/>
          <w:szCs w:val="20"/>
          <w:shd w:val="clear" w:color="auto" w:fill="FFFFFF"/>
        </w:rPr>
        <w:t>Imani and Pracoyo (2018</w:t>
      </w:r>
      <w:r w:rsidRPr="00B625A8">
        <w:rPr>
          <w:rFonts w:ascii="Arial" w:eastAsia="Times New Roman" w:hAnsi="Arial" w:cs="Arial"/>
        </w:rPr>
        <w:t>) in his study "</w:t>
      </w:r>
      <w:r w:rsidR="001D2C4E">
        <w:rPr>
          <w:rFonts w:ascii="Arial" w:hAnsi="Arial" w:cs="Arial"/>
          <w:color w:val="222222"/>
          <w:sz w:val="20"/>
          <w:szCs w:val="20"/>
          <w:shd w:val="clear" w:color="auto" w:fill="FFFFFF"/>
        </w:rPr>
        <w:t>Analysis of the effect of capital, credit risk, and liquidity risk on profitability in banks</w:t>
      </w:r>
      <w:r w:rsidRPr="00B625A8">
        <w:rPr>
          <w:rFonts w:ascii="Arial" w:eastAsia="Times New Roman" w:hAnsi="Arial" w:cs="Arial"/>
        </w:rPr>
        <w:t>." The study measured profitability with Return on Asset (ROA) as a function of the ratio of profit before taxes to total assets, the total loans to total deposits ratio (LDR) served as a measure of liquidity risk, while the ratio of qualifying capital to risk-weighted assets (RAC) was used as a measure of risk-adjusted capital. In contrast to previous research, this study enhanced the model by integrating financial stability Z-score techniques to assess bank soundness as a proxy for credit risk, as noted in Abbas and Ullah (2023). Below, Table 1 presents the details of the variables, their proxies, and the corresponding measures</w:t>
      </w:r>
      <w:r w:rsidR="0089014A" w:rsidRPr="00B625A8">
        <w:rPr>
          <w:rFonts w:ascii="Arial" w:eastAsia="Times New Roman" w:hAnsi="Arial" w:cs="Arial"/>
        </w:rPr>
        <w:t>.</w:t>
      </w:r>
    </w:p>
    <w:p w14:paraId="77ABAC2A" w14:textId="77777777" w:rsidR="006457BE" w:rsidRPr="00B625A8" w:rsidRDefault="00AC0043" w:rsidP="006432F9">
      <w:pPr>
        <w:spacing w:after="0" w:line="276" w:lineRule="auto"/>
        <w:jc w:val="both"/>
        <w:rPr>
          <w:rFonts w:ascii="Arial" w:hAnsi="Arial" w:cs="Arial"/>
          <w:b/>
          <w:bCs/>
          <w:iCs/>
          <w:shd w:val="clear" w:color="auto" w:fill="FFFFFF"/>
        </w:rPr>
      </w:pPr>
      <w:r w:rsidRPr="00B625A8">
        <w:rPr>
          <w:rFonts w:ascii="Arial" w:hAnsi="Arial" w:cs="Arial"/>
          <w:b/>
          <w:bCs/>
          <w:iCs/>
          <w:shd w:val="clear" w:color="auto" w:fill="FFFFFF"/>
        </w:rPr>
        <w:t>Table 1</w:t>
      </w:r>
    </w:p>
    <w:p w14:paraId="0FF8B568" w14:textId="77777777" w:rsidR="00AC0043" w:rsidRPr="00B625A8" w:rsidRDefault="00AC0043" w:rsidP="006432F9">
      <w:pPr>
        <w:spacing w:after="0" w:line="276" w:lineRule="auto"/>
        <w:jc w:val="both"/>
        <w:rPr>
          <w:rFonts w:ascii="Arial" w:hAnsi="Arial" w:cs="Arial"/>
          <w:b/>
          <w:bCs/>
          <w:iCs/>
          <w:shd w:val="clear" w:color="auto" w:fill="FFFFFF"/>
        </w:rPr>
      </w:pPr>
      <w:r w:rsidRPr="00B625A8">
        <w:rPr>
          <w:rFonts w:ascii="Arial" w:hAnsi="Arial" w:cs="Arial"/>
          <w:b/>
          <w:bCs/>
          <w:iCs/>
          <w:shd w:val="clear" w:color="auto" w:fill="FFFFFF"/>
        </w:rPr>
        <w:t>Description of Variables</w:t>
      </w:r>
    </w:p>
    <w:tbl>
      <w:tblPr>
        <w:tblStyle w:val="TableGrid"/>
        <w:tblW w:w="9355" w:type="dxa"/>
        <w:tblLook w:val="04A0" w:firstRow="1" w:lastRow="0" w:firstColumn="1" w:lastColumn="0" w:noHBand="0" w:noVBand="1"/>
      </w:tblPr>
      <w:tblGrid>
        <w:gridCol w:w="590"/>
        <w:gridCol w:w="3365"/>
        <w:gridCol w:w="2340"/>
        <w:gridCol w:w="3060"/>
      </w:tblGrid>
      <w:tr w:rsidR="00AC0043" w:rsidRPr="00B625A8" w14:paraId="4657F788" w14:textId="77777777" w:rsidTr="00B625A8">
        <w:trPr>
          <w:trHeight w:val="218"/>
        </w:trPr>
        <w:tc>
          <w:tcPr>
            <w:tcW w:w="590" w:type="dxa"/>
          </w:tcPr>
          <w:p w14:paraId="53540ADB" w14:textId="77777777" w:rsidR="00AC0043" w:rsidRPr="00B625A8" w:rsidRDefault="00AC0043" w:rsidP="006432F9">
            <w:pPr>
              <w:spacing w:line="276" w:lineRule="auto"/>
              <w:jc w:val="both"/>
              <w:rPr>
                <w:rFonts w:ascii="Arial" w:hAnsi="Arial" w:cs="Arial"/>
                <w:b/>
                <w:iCs/>
                <w:color w:val="000000" w:themeColor="text1"/>
                <w:sz w:val="22"/>
                <w:szCs w:val="22"/>
                <w:shd w:val="clear" w:color="auto" w:fill="FFFFFF"/>
              </w:rPr>
            </w:pPr>
          </w:p>
        </w:tc>
        <w:tc>
          <w:tcPr>
            <w:tcW w:w="3365" w:type="dxa"/>
          </w:tcPr>
          <w:p w14:paraId="5A31569D" w14:textId="77777777" w:rsidR="00AC0043" w:rsidRPr="00B625A8" w:rsidRDefault="00AC0043" w:rsidP="006432F9">
            <w:pPr>
              <w:spacing w:line="276" w:lineRule="auto"/>
              <w:jc w:val="both"/>
              <w:rPr>
                <w:rFonts w:ascii="Arial" w:hAnsi="Arial" w:cs="Arial"/>
                <w:b/>
                <w:iCs/>
                <w:color w:val="000000" w:themeColor="text1"/>
                <w:sz w:val="22"/>
                <w:szCs w:val="22"/>
                <w:shd w:val="clear" w:color="auto" w:fill="FFFFFF"/>
              </w:rPr>
            </w:pPr>
            <w:r w:rsidRPr="00B625A8">
              <w:rPr>
                <w:rFonts w:ascii="Arial" w:hAnsi="Arial" w:cs="Arial"/>
                <w:b/>
                <w:iCs/>
                <w:color w:val="000000" w:themeColor="text1"/>
                <w:sz w:val="22"/>
                <w:szCs w:val="22"/>
                <w:shd w:val="clear" w:color="auto" w:fill="FFFFFF"/>
              </w:rPr>
              <w:t>Proxy</w:t>
            </w:r>
          </w:p>
        </w:tc>
        <w:tc>
          <w:tcPr>
            <w:tcW w:w="2340" w:type="dxa"/>
          </w:tcPr>
          <w:p w14:paraId="31D4A3D2" w14:textId="77777777" w:rsidR="00AC0043" w:rsidRPr="00B625A8" w:rsidRDefault="00AC0043" w:rsidP="006432F9">
            <w:pPr>
              <w:spacing w:line="276" w:lineRule="auto"/>
              <w:jc w:val="both"/>
              <w:rPr>
                <w:rFonts w:ascii="Arial" w:hAnsi="Arial" w:cs="Arial"/>
                <w:b/>
                <w:iCs/>
                <w:color w:val="000000" w:themeColor="text1"/>
                <w:sz w:val="22"/>
                <w:szCs w:val="22"/>
                <w:shd w:val="clear" w:color="auto" w:fill="FFFFFF"/>
              </w:rPr>
            </w:pPr>
            <w:r w:rsidRPr="00B625A8">
              <w:rPr>
                <w:rFonts w:ascii="Arial" w:hAnsi="Arial" w:cs="Arial"/>
                <w:b/>
                <w:iCs/>
                <w:color w:val="000000" w:themeColor="text1"/>
                <w:sz w:val="22"/>
                <w:szCs w:val="22"/>
                <w:shd w:val="clear" w:color="auto" w:fill="FFFFFF"/>
              </w:rPr>
              <w:t>Variable</w:t>
            </w:r>
          </w:p>
        </w:tc>
        <w:tc>
          <w:tcPr>
            <w:tcW w:w="3060" w:type="dxa"/>
          </w:tcPr>
          <w:p w14:paraId="459D8083" w14:textId="77777777" w:rsidR="00AC0043" w:rsidRPr="00B625A8" w:rsidRDefault="00AC0043" w:rsidP="006432F9">
            <w:pPr>
              <w:spacing w:line="276" w:lineRule="auto"/>
              <w:jc w:val="both"/>
              <w:rPr>
                <w:rFonts w:ascii="Arial" w:hAnsi="Arial" w:cs="Arial"/>
                <w:b/>
                <w:iCs/>
                <w:color w:val="000000" w:themeColor="text1"/>
                <w:sz w:val="22"/>
                <w:szCs w:val="22"/>
                <w:shd w:val="clear" w:color="auto" w:fill="FFFFFF"/>
              </w:rPr>
            </w:pPr>
            <w:r w:rsidRPr="00B625A8">
              <w:rPr>
                <w:rFonts w:ascii="Arial" w:hAnsi="Arial" w:cs="Arial"/>
                <w:b/>
                <w:iCs/>
                <w:color w:val="000000" w:themeColor="text1"/>
                <w:sz w:val="22"/>
                <w:szCs w:val="22"/>
                <w:shd w:val="clear" w:color="auto" w:fill="FFFFFF"/>
              </w:rPr>
              <w:t>Measurement</w:t>
            </w:r>
          </w:p>
        </w:tc>
      </w:tr>
      <w:tr w:rsidR="00AC0043" w:rsidRPr="00B625A8" w14:paraId="3772EAB5" w14:textId="77777777" w:rsidTr="00B625A8">
        <w:trPr>
          <w:trHeight w:val="218"/>
        </w:trPr>
        <w:tc>
          <w:tcPr>
            <w:tcW w:w="590" w:type="dxa"/>
          </w:tcPr>
          <w:p w14:paraId="37C0035C"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1</w:t>
            </w:r>
          </w:p>
        </w:tc>
        <w:tc>
          <w:tcPr>
            <w:tcW w:w="3365" w:type="dxa"/>
          </w:tcPr>
          <w:p w14:paraId="5C4DA9ED"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ROA (</w:t>
            </w:r>
            <w:r w:rsidRPr="00B625A8">
              <w:rPr>
                <w:rFonts w:ascii="Arial" w:hAnsi="Arial" w:cs="Arial"/>
                <w:color w:val="000000" w:themeColor="text1"/>
                <w:sz w:val="22"/>
                <w:szCs w:val="22"/>
              </w:rPr>
              <w:t>Return on Assets)</w:t>
            </w:r>
          </w:p>
        </w:tc>
        <w:tc>
          <w:tcPr>
            <w:tcW w:w="2340" w:type="dxa"/>
          </w:tcPr>
          <w:p w14:paraId="2A7CCA35"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Banks performance</w:t>
            </w:r>
          </w:p>
        </w:tc>
        <w:tc>
          <w:tcPr>
            <w:tcW w:w="3060" w:type="dxa"/>
          </w:tcPr>
          <w:p w14:paraId="10661651"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Equity/Total asset</w:t>
            </w:r>
          </w:p>
        </w:tc>
      </w:tr>
      <w:tr w:rsidR="00AC0043" w:rsidRPr="00B625A8" w14:paraId="2F44C0A3" w14:textId="77777777" w:rsidTr="00B625A8">
        <w:trPr>
          <w:trHeight w:val="218"/>
        </w:trPr>
        <w:tc>
          <w:tcPr>
            <w:tcW w:w="590" w:type="dxa"/>
          </w:tcPr>
          <w:p w14:paraId="4EA2EDF5"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2</w:t>
            </w:r>
          </w:p>
        </w:tc>
        <w:tc>
          <w:tcPr>
            <w:tcW w:w="3365" w:type="dxa"/>
          </w:tcPr>
          <w:p w14:paraId="5B8F9F6D"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RAC (</w:t>
            </w:r>
            <w:r w:rsidRPr="00B625A8">
              <w:rPr>
                <w:rFonts w:ascii="Arial" w:hAnsi="Arial" w:cs="Arial"/>
                <w:color w:val="000000" w:themeColor="text1"/>
                <w:sz w:val="22"/>
                <w:szCs w:val="22"/>
              </w:rPr>
              <w:t>Risk Adjusted Capital)</w:t>
            </w:r>
          </w:p>
        </w:tc>
        <w:tc>
          <w:tcPr>
            <w:tcW w:w="2340" w:type="dxa"/>
          </w:tcPr>
          <w:p w14:paraId="2FE4071E"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Capital adequacy</w:t>
            </w:r>
          </w:p>
        </w:tc>
        <w:tc>
          <w:tcPr>
            <w:tcW w:w="3060" w:type="dxa"/>
          </w:tcPr>
          <w:p w14:paraId="59F1E0AA"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p>
        </w:tc>
      </w:tr>
      <w:tr w:rsidR="00AC0043" w:rsidRPr="00B625A8" w14:paraId="22A07943" w14:textId="77777777" w:rsidTr="00B625A8">
        <w:trPr>
          <w:trHeight w:val="218"/>
        </w:trPr>
        <w:tc>
          <w:tcPr>
            <w:tcW w:w="590" w:type="dxa"/>
          </w:tcPr>
          <w:p w14:paraId="7B9EEFBF"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3</w:t>
            </w:r>
          </w:p>
        </w:tc>
        <w:tc>
          <w:tcPr>
            <w:tcW w:w="3365" w:type="dxa"/>
          </w:tcPr>
          <w:p w14:paraId="1B607DFB"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LDR (</w:t>
            </w:r>
            <w:r w:rsidRPr="00B625A8">
              <w:rPr>
                <w:rFonts w:ascii="Arial" w:hAnsi="Arial" w:cs="Arial"/>
                <w:color w:val="000000" w:themeColor="text1"/>
                <w:sz w:val="22"/>
                <w:szCs w:val="22"/>
              </w:rPr>
              <w:t>Loan to Deposit Ratio)</w:t>
            </w:r>
          </w:p>
        </w:tc>
        <w:tc>
          <w:tcPr>
            <w:tcW w:w="2340" w:type="dxa"/>
          </w:tcPr>
          <w:p w14:paraId="5FCDC8F1"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Liquidity risk</w:t>
            </w:r>
          </w:p>
        </w:tc>
        <w:tc>
          <w:tcPr>
            <w:tcW w:w="3060" w:type="dxa"/>
          </w:tcPr>
          <w:p w14:paraId="74A2BFAE"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p>
        </w:tc>
      </w:tr>
      <w:tr w:rsidR="00AC0043" w:rsidRPr="00B625A8" w14:paraId="7071FF29" w14:textId="77777777" w:rsidTr="00B625A8">
        <w:trPr>
          <w:trHeight w:val="218"/>
        </w:trPr>
        <w:tc>
          <w:tcPr>
            <w:tcW w:w="590" w:type="dxa"/>
          </w:tcPr>
          <w:p w14:paraId="0158CD58"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4</w:t>
            </w:r>
          </w:p>
        </w:tc>
        <w:tc>
          <w:tcPr>
            <w:tcW w:w="3365" w:type="dxa"/>
          </w:tcPr>
          <w:p w14:paraId="46CA5FD1"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Zscore</w:t>
            </w:r>
          </w:p>
        </w:tc>
        <w:tc>
          <w:tcPr>
            <w:tcW w:w="2340" w:type="dxa"/>
          </w:tcPr>
          <w:p w14:paraId="5CCAAD44"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Credit risk</w:t>
            </w:r>
          </w:p>
        </w:tc>
        <w:tc>
          <w:tcPr>
            <w:tcW w:w="3060" w:type="dxa"/>
          </w:tcPr>
          <w:p w14:paraId="6665F4EC"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(ROA+Equity/Total asset)/σ(ROA)</w:t>
            </w:r>
          </w:p>
        </w:tc>
      </w:tr>
      <w:tr w:rsidR="00AC0043" w:rsidRPr="00B625A8" w14:paraId="7DF8A4EE" w14:textId="77777777" w:rsidTr="00B625A8">
        <w:trPr>
          <w:trHeight w:val="218"/>
        </w:trPr>
        <w:tc>
          <w:tcPr>
            <w:tcW w:w="590" w:type="dxa"/>
          </w:tcPr>
          <w:p w14:paraId="6056CAA5"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5</w:t>
            </w:r>
          </w:p>
        </w:tc>
        <w:tc>
          <w:tcPr>
            <w:tcW w:w="3365" w:type="dxa"/>
          </w:tcPr>
          <w:p w14:paraId="7CA8F46E"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Bank Size</w:t>
            </w:r>
          </w:p>
        </w:tc>
        <w:tc>
          <w:tcPr>
            <w:tcW w:w="2340" w:type="dxa"/>
          </w:tcPr>
          <w:p w14:paraId="78B60DA7"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p>
        </w:tc>
        <w:tc>
          <w:tcPr>
            <w:tcW w:w="3060" w:type="dxa"/>
          </w:tcPr>
          <w:p w14:paraId="7B36BCDF" w14:textId="77777777" w:rsidR="00AC0043" w:rsidRPr="00B625A8" w:rsidRDefault="00AC0043" w:rsidP="006432F9">
            <w:pPr>
              <w:spacing w:line="276" w:lineRule="auto"/>
              <w:jc w:val="both"/>
              <w:rPr>
                <w:rFonts w:ascii="Arial" w:hAnsi="Arial" w:cs="Arial"/>
                <w:iCs/>
                <w:color w:val="000000" w:themeColor="text1"/>
                <w:sz w:val="22"/>
                <w:szCs w:val="22"/>
                <w:shd w:val="clear" w:color="auto" w:fill="FFFFFF"/>
              </w:rPr>
            </w:pPr>
            <w:r w:rsidRPr="00B625A8">
              <w:rPr>
                <w:rFonts w:ascii="Arial" w:hAnsi="Arial" w:cs="Arial"/>
                <w:iCs/>
                <w:color w:val="000000" w:themeColor="text1"/>
                <w:sz w:val="22"/>
                <w:szCs w:val="22"/>
                <w:shd w:val="clear" w:color="auto" w:fill="FFFFFF"/>
              </w:rPr>
              <w:t>Log(Total asset)</w:t>
            </w:r>
          </w:p>
        </w:tc>
      </w:tr>
    </w:tbl>
    <w:p w14:paraId="46DC2A48" w14:textId="77777777" w:rsidR="00D17AFA" w:rsidRDefault="00D17AFA" w:rsidP="006432F9">
      <w:pPr>
        <w:autoSpaceDE w:val="0"/>
        <w:autoSpaceDN w:val="0"/>
        <w:adjustRightInd w:val="0"/>
        <w:spacing w:after="0" w:line="480" w:lineRule="auto"/>
        <w:jc w:val="both"/>
        <w:rPr>
          <w:rFonts w:ascii="Arial" w:hAnsi="Arial" w:cs="Arial"/>
          <w:b/>
          <w:bCs/>
          <w:lang w:val="en-AE"/>
        </w:rPr>
      </w:pPr>
    </w:p>
    <w:p w14:paraId="074EF4AF" w14:textId="77777777" w:rsidR="00AC0043" w:rsidRPr="00B625A8" w:rsidRDefault="00AC0043" w:rsidP="006432F9">
      <w:pPr>
        <w:autoSpaceDE w:val="0"/>
        <w:autoSpaceDN w:val="0"/>
        <w:adjustRightInd w:val="0"/>
        <w:spacing w:after="0" w:line="480" w:lineRule="auto"/>
        <w:jc w:val="both"/>
        <w:rPr>
          <w:rFonts w:ascii="Arial" w:hAnsi="Arial" w:cs="Arial"/>
          <w:b/>
          <w:bCs/>
          <w:lang w:val="en-AE"/>
        </w:rPr>
      </w:pPr>
      <w:r w:rsidRPr="00B625A8">
        <w:rPr>
          <w:rFonts w:ascii="Arial" w:hAnsi="Arial" w:cs="Arial"/>
          <w:b/>
          <w:bCs/>
          <w:lang w:val="en-AE"/>
        </w:rPr>
        <w:t>3.2 Model Specification</w:t>
      </w:r>
    </w:p>
    <w:p w14:paraId="7B0D9FF5" w14:textId="77777777" w:rsidR="00AC0043" w:rsidRPr="00B625A8" w:rsidRDefault="006457BE" w:rsidP="00173A63">
      <w:pPr>
        <w:autoSpaceDE w:val="0"/>
        <w:autoSpaceDN w:val="0"/>
        <w:adjustRightInd w:val="0"/>
        <w:spacing w:after="0" w:line="360" w:lineRule="auto"/>
        <w:jc w:val="both"/>
        <w:rPr>
          <w:rFonts w:ascii="Arial" w:hAnsi="Arial" w:cs="Arial"/>
          <w:lang w:val="en-AE"/>
        </w:rPr>
      </w:pPr>
      <w:r w:rsidRPr="00B625A8">
        <w:rPr>
          <w:rFonts w:ascii="Arial" w:hAnsi="Arial" w:cs="Arial"/>
          <w:lang w:val="en-AE"/>
        </w:rPr>
        <w:t>In line with the research</w:t>
      </w:r>
      <w:r w:rsidR="00AC0043" w:rsidRPr="00B625A8">
        <w:rPr>
          <w:rFonts w:ascii="Arial" w:hAnsi="Arial" w:cs="Arial"/>
          <w:lang w:val="en-AE"/>
        </w:rPr>
        <w:t xml:space="preserve"> objec</w:t>
      </w:r>
      <w:r w:rsidRPr="00B625A8">
        <w:rPr>
          <w:rFonts w:ascii="Arial" w:hAnsi="Arial" w:cs="Arial"/>
          <w:lang w:val="en-AE"/>
        </w:rPr>
        <w:t>tives and hypothesis, this sudy</w:t>
      </w:r>
      <w:r w:rsidR="00AC0043" w:rsidRPr="00B625A8">
        <w:rPr>
          <w:rFonts w:ascii="Arial" w:hAnsi="Arial" w:cs="Arial"/>
          <w:lang w:val="en-AE"/>
        </w:rPr>
        <w:t xml:space="preserve"> starts by specifying a baseline model with bank performance expressed as a linear combination of bank size, and of course while also accounting for years dummy to control for yearly inflation and interest rates. </w:t>
      </w:r>
    </w:p>
    <w:p w14:paraId="54BE77A8" w14:textId="77777777" w:rsidR="00AC0043" w:rsidRPr="00B625A8" w:rsidRDefault="00AC0043" w:rsidP="00173A63">
      <w:pPr>
        <w:autoSpaceDE w:val="0"/>
        <w:autoSpaceDN w:val="0"/>
        <w:adjustRightInd w:val="0"/>
        <w:spacing w:after="0" w:line="360" w:lineRule="auto"/>
        <w:jc w:val="both"/>
        <w:rPr>
          <w:rFonts w:ascii="Arial" w:hAnsi="Arial" w:cs="Arial"/>
          <w:lang w:val="en-AE"/>
        </w:rPr>
      </w:pPr>
      <m:oMath>
        <m:r>
          <w:rPr>
            <w:rFonts w:ascii="Cambria Math" w:hAnsi="Cambria Math" w:cs="Arial"/>
            <w:lang w:val="en-AE"/>
          </w:rPr>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0</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1</m:t>
            </m:r>
          </m:sub>
        </m:sSub>
        <m:r>
          <w:rPr>
            <w:rFonts w:ascii="Cambria Math" w:hAnsi="Cambria Math" w:cs="Arial"/>
            <w:lang w:val="en-AE"/>
          </w:rPr>
          <m:t>Bsiz</m:t>
        </m:r>
        <m:sSub>
          <m:sSubPr>
            <m:ctrlPr>
              <w:rPr>
                <w:rFonts w:ascii="Cambria Math" w:hAnsi="Cambria Math" w:cs="Arial"/>
                <w:i/>
                <w:lang w:val="en-AE"/>
              </w:rPr>
            </m:ctrlPr>
          </m:sSubPr>
          <m:e>
            <m:r>
              <w:rPr>
                <w:rFonts w:ascii="Cambria Math" w:hAnsi="Cambria Math" w:cs="Arial"/>
                <w:lang w:val="en-AE"/>
              </w:rPr>
              <m:t>e</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r>
          <w:rPr>
            <w:rFonts w:ascii="Cambria Math" w:hAnsi="Cambria Math" w:cs="Arial"/>
            <w:lang w:val="en-AE"/>
          </w:rPr>
          <m:t xml:space="preserve">Year+ </m:t>
        </m:r>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t>(1)</w:t>
      </w:r>
    </w:p>
    <w:p w14:paraId="2A015966" w14:textId="77777777" w:rsidR="00AC0043" w:rsidRPr="00B625A8" w:rsidRDefault="00AC0043" w:rsidP="00173A63">
      <w:pPr>
        <w:autoSpaceDE w:val="0"/>
        <w:autoSpaceDN w:val="0"/>
        <w:adjustRightInd w:val="0"/>
        <w:spacing w:after="0" w:line="480" w:lineRule="auto"/>
        <w:jc w:val="both"/>
        <w:rPr>
          <w:rFonts w:ascii="Arial" w:hAnsi="Arial" w:cs="Arial"/>
          <w:lang w:val="en-AE"/>
        </w:rPr>
      </w:pPr>
      <w:r w:rsidRPr="00B625A8">
        <w:rPr>
          <w:rFonts w:ascii="Arial" w:hAnsi="Arial" w:cs="Arial"/>
          <w:lang w:val="en-AE"/>
        </w:rPr>
        <w:t>To achieve the first, second, and third hypothesis of investigating whether risk adjusted capita, liquidity risk, and credit risk has a significant effect on bank performance, RAC, LDR, and Z-score was each included into Equation (1).</w:t>
      </w:r>
    </w:p>
    <w:p w14:paraId="10CF7114" w14:textId="77777777" w:rsidR="00AC0043" w:rsidRPr="00B625A8" w:rsidRDefault="00AC0043" w:rsidP="00173A63">
      <w:pPr>
        <w:autoSpaceDE w:val="0"/>
        <w:autoSpaceDN w:val="0"/>
        <w:adjustRightInd w:val="0"/>
        <w:spacing w:after="0" w:line="480" w:lineRule="auto"/>
        <w:jc w:val="both"/>
        <w:rPr>
          <w:rFonts w:ascii="Arial" w:hAnsi="Arial" w:cs="Arial"/>
          <w:lang w:val="en-AE"/>
        </w:rPr>
      </w:pPr>
      <m:oMath>
        <m:r>
          <w:rPr>
            <w:rFonts w:ascii="Cambria Math" w:hAnsi="Cambria Math" w:cs="Arial"/>
            <w:lang w:val="en-AE"/>
          </w:rPr>
          <w:lastRenderedPageBreak/>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0</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1</m:t>
            </m:r>
          </m:sub>
        </m:sSub>
        <m:r>
          <w:rPr>
            <w:rFonts w:ascii="Cambria Math" w:hAnsi="Cambria Math" w:cs="Arial"/>
            <w:lang w:val="en-AE"/>
          </w:rPr>
          <m:t>Bsiz</m:t>
        </m:r>
        <m:sSub>
          <m:sSubPr>
            <m:ctrlPr>
              <w:rPr>
                <w:rFonts w:ascii="Cambria Math" w:hAnsi="Cambria Math" w:cs="Arial"/>
                <w:i/>
                <w:lang w:val="en-AE"/>
              </w:rPr>
            </m:ctrlPr>
          </m:sSubPr>
          <m:e>
            <m:r>
              <w:rPr>
                <w:rFonts w:ascii="Cambria Math" w:hAnsi="Cambria Math" w:cs="Arial"/>
                <w:lang w:val="en-AE"/>
              </w:rPr>
              <m:t>e</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2</m:t>
            </m:r>
          </m:sub>
        </m:sSub>
        <m:r>
          <w:rPr>
            <w:rFonts w:ascii="Cambria Math" w:hAnsi="Cambria Math" w:cs="Arial"/>
            <w:lang w:val="en-AE"/>
          </w:rPr>
          <m:t>RA</m:t>
        </m:r>
        <m:sSub>
          <m:sSubPr>
            <m:ctrlPr>
              <w:rPr>
                <w:rFonts w:ascii="Cambria Math" w:hAnsi="Cambria Math" w:cs="Arial"/>
                <w:i/>
                <w:lang w:val="en-AE"/>
              </w:rPr>
            </m:ctrlPr>
          </m:sSubPr>
          <m:e>
            <m:r>
              <w:rPr>
                <w:rFonts w:ascii="Cambria Math" w:hAnsi="Cambria Math" w:cs="Arial"/>
                <w:lang w:val="en-AE"/>
              </w:rPr>
              <m:t>C</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r>
          <w:rPr>
            <w:rFonts w:ascii="Cambria Math" w:hAnsi="Cambria Math" w:cs="Arial"/>
            <w:lang w:val="en-AE"/>
          </w:rPr>
          <m:t xml:space="preserve">Year+ </m:t>
        </m:r>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006432F9">
        <w:rPr>
          <w:rFonts w:ascii="Arial" w:hAnsi="Arial" w:cs="Arial"/>
          <w:lang w:val="en-AE"/>
        </w:rPr>
        <w:tab/>
      </w:r>
      <w:r w:rsidRPr="00B625A8">
        <w:rPr>
          <w:rFonts w:ascii="Arial" w:hAnsi="Arial" w:cs="Arial"/>
          <w:lang w:val="en-AE"/>
        </w:rPr>
        <w:t>(2)</w:t>
      </w:r>
    </w:p>
    <w:p w14:paraId="0131C9A3" w14:textId="77777777" w:rsidR="00AC0043" w:rsidRPr="00B625A8" w:rsidRDefault="00AC0043" w:rsidP="00173A63">
      <w:pPr>
        <w:autoSpaceDE w:val="0"/>
        <w:autoSpaceDN w:val="0"/>
        <w:adjustRightInd w:val="0"/>
        <w:spacing w:after="0" w:line="480" w:lineRule="auto"/>
        <w:jc w:val="both"/>
        <w:rPr>
          <w:rFonts w:ascii="Arial" w:hAnsi="Arial" w:cs="Arial"/>
          <w:lang w:val="en-AE"/>
        </w:rPr>
      </w:pPr>
      <m:oMath>
        <m:r>
          <w:rPr>
            <w:rFonts w:ascii="Cambria Math" w:hAnsi="Cambria Math" w:cs="Arial"/>
            <w:lang w:val="en-AE"/>
          </w:rPr>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0</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1</m:t>
            </m:r>
          </m:sub>
        </m:sSub>
        <m:r>
          <w:rPr>
            <w:rFonts w:ascii="Cambria Math" w:hAnsi="Cambria Math" w:cs="Arial"/>
            <w:lang w:val="en-AE"/>
          </w:rPr>
          <m:t>Bsize+</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2</m:t>
            </m:r>
          </m:sub>
        </m:sSub>
        <m:r>
          <w:rPr>
            <w:rFonts w:ascii="Cambria Math" w:hAnsi="Cambria Math" w:cs="Arial"/>
            <w:lang w:val="en-AE"/>
          </w:rPr>
          <m:t>LD</m:t>
        </m:r>
        <m:sSub>
          <m:sSubPr>
            <m:ctrlPr>
              <w:rPr>
                <w:rFonts w:ascii="Cambria Math" w:hAnsi="Cambria Math" w:cs="Arial"/>
                <w:i/>
                <w:lang w:val="en-AE"/>
              </w:rPr>
            </m:ctrlPr>
          </m:sSubPr>
          <m:e>
            <m:r>
              <w:rPr>
                <w:rFonts w:ascii="Cambria Math" w:hAnsi="Cambria Math" w:cs="Arial"/>
                <w:lang w:val="en-AE"/>
              </w:rPr>
              <m:t>R</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r>
          <w:rPr>
            <w:rFonts w:ascii="Cambria Math" w:hAnsi="Cambria Math" w:cs="Arial"/>
            <w:lang w:val="en-AE"/>
          </w:rPr>
          <m:t xml:space="preserve">Year+ </m:t>
        </m:r>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t>(3)</w:t>
      </w:r>
    </w:p>
    <w:p w14:paraId="6E111C9F" w14:textId="77777777" w:rsidR="00AC0043" w:rsidRPr="00B625A8" w:rsidRDefault="00AC0043" w:rsidP="00173A63">
      <w:pPr>
        <w:autoSpaceDE w:val="0"/>
        <w:autoSpaceDN w:val="0"/>
        <w:adjustRightInd w:val="0"/>
        <w:spacing w:after="0" w:line="480" w:lineRule="auto"/>
        <w:jc w:val="both"/>
        <w:rPr>
          <w:rFonts w:ascii="Arial" w:hAnsi="Arial" w:cs="Arial"/>
          <w:lang w:val="en-AE"/>
        </w:rPr>
      </w:pPr>
      <m:oMath>
        <m:r>
          <w:rPr>
            <w:rFonts w:ascii="Cambria Math" w:hAnsi="Cambria Math" w:cs="Arial"/>
            <w:lang w:val="en-AE"/>
          </w:rPr>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0</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1</m:t>
            </m:r>
          </m:sub>
        </m:sSub>
        <m:r>
          <w:rPr>
            <w:rFonts w:ascii="Cambria Math" w:hAnsi="Cambria Math" w:cs="Arial"/>
            <w:lang w:val="en-AE"/>
          </w:rPr>
          <m:t>Bsize+</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2</m:t>
            </m:r>
          </m:sub>
        </m:sSub>
        <m:sSub>
          <m:sSubPr>
            <m:ctrlPr>
              <w:rPr>
                <w:rFonts w:ascii="Cambria Math" w:hAnsi="Cambria Math" w:cs="Arial"/>
                <w:i/>
                <w:lang w:val="en-AE"/>
              </w:rPr>
            </m:ctrlPr>
          </m:sSubPr>
          <m:e>
            <m:r>
              <w:rPr>
                <w:rFonts w:ascii="Cambria Math" w:hAnsi="Cambria Math" w:cs="Arial"/>
                <w:lang w:val="en-AE"/>
              </w:rPr>
              <m:t>Zscore</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r>
          <w:rPr>
            <w:rFonts w:ascii="Cambria Math" w:hAnsi="Cambria Math" w:cs="Arial"/>
            <w:lang w:val="en-AE"/>
          </w:rPr>
          <m:t xml:space="preserve">Year+ </m:t>
        </m:r>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Pr="00B625A8">
        <w:rPr>
          <w:rFonts w:ascii="Arial" w:hAnsi="Arial" w:cs="Arial"/>
          <w:lang w:val="en-AE"/>
        </w:rPr>
        <w:tab/>
      </w:r>
      <w:r w:rsidR="006432F9">
        <w:rPr>
          <w:rFonts w:ascii="Arial" w:hAnsi="Arial" w:cs="Arial"/>
          <w:lang w:val="en-AE"/>
        </w:rPr>
        <w:tab/>
      </w:r>
      <w:r w:rsidRPr="00B625A8">
        <w:rPr>
          <w:rFonts w:ascii="Arial" w:hAnsi="Arial" w:cs="Arial"/>
          <w:lang w:val="en-AE"/>
        </w:rPr>
        <w:t>(4)</w:t>
      </w:r>
    </w:p>
    <w:p w14:paraId="2183F8A0" w14:textId="77777777" w:rsidR="00AC0043" w:rsidRPr="00B625A8" w:rsidRDefault="00AC0043" w:rsidP="00173A63">
      <w:pPr>
        <w:autoSpaceDE w:val="0"/>
        <w:autoSpaceDN w:val="0"/>
        <w:adjustRightInd w:val="0"/>
        <w:spacing w:after="0" w:line="480" w:lineRule="auto"/>
        <w:jc w:val="both"/>
        <w:rPr>
          <w:rFonts w:ascii="Arial" w:hAnsi="Arial" w:cs="Arial"/>
          <w:lang w:val="en-AE"/>
        </w:rPr>
      </w:pPr>
      <w:r w:rsidRPr="00B625A8">
        <w:rPr>
          <w:rFonts w:ascii="Arial" w:hAnsi="Arial" w:cs="Arial"/>
          <w:lang w:val="en-AE"/>
        </w:rPr>
        <w:t xml:space="preserve">To achieve the interdependence hypothesis of checking whether there is a joint significant effect of risk adjusted capita, liquidity risk, and credit risk on bank performance, this study infused these three variables simultaneously into Equation 1 and then we have the following final model specified. </w:t>
      </w:r>
    </w:p>
    <w:p w14:paraId="5EE5D0B0" w14:textId="77777777" w:rsidR="00AC0043" w:rsidRPr="00B625A8" w:rsidRDefault="00AC0043" w:rsidP="00173A63">
      <w:pPr>
        <w:autoSpaceDE w:val="0"/>
        <w:autoSpaceDN w:val="0"/>
        <w:adjustRightInd w:val="0"/>
        <w:spacing w:after="0" w:line="480" w:lineRule="auto"/>
        <w:jc w:val="both"/>
        <w:rPr>
          <w:rFonts w:ascii="Arial" w:hAnsi="Arial" w:cs="Arial"/>
          <w:lang w:val="en-AE"/>
        </w:rPr>
      </w:pPr>
      <w:r w:rsidRPr="00B625A8">
        <w:rPr>
          <w:rFonts w:ascii="Arial" w:hAnsi="Arial" w:cs="Arial"/>
          <w:lang w:val="en-AE"/>
        </w:rPr>
        <w:t xml:space="preserve"> </w:t>
      </w:r>
      <m:oMath>
        <m:r>
          <w:rPr>
            <w:rFonts w:ascii="Cambria Math" w:hAnsi="Cambria Math" w:cs="Arial"/>
            <w:lang w:val="en-AE"/>
          </w:rPr>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0</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1</m:t>
            </m:r>
          </m:sub>
        </m:sSub>
        <m:r>
          <w:rPr>
            <w:rFonts w:ascii="Cambria Math" w:hAnsi="Cambria Math" w:cs="Arial"/>
            <w:lang w:val="en-AE"/>
          </w:rPr>
          <m:t>Bsize+</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2</m:t>
            </m:r>
          </m:sub>
        </m:sSub>
        <m:r>
          <w:rPr>
            <w:rFonts w:ascii="Cambria Math" w:hAnsi="Cambria Math" w:cs="Arial"/>
            <w:lang w:val="en-AE"/>
          </w:rPr>
          <m:t>RACit+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3</m:t>
            </m:r>
          </m:sub>
        </m:sSub>
        <m:r>
          <w:rPr>
            <w:rFonts w:ascii="Cambria Math" w:hAnsi="Cambria Math" w:cs="Arial"/>
            <w:lang w:val="en-AE"/>
          </w:rPr>
          <m:t>LDRit+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4</m:t>
            </m:r>
          </m:sub>
        </m:sSub>
        <m:r>
          <w:rPr>
            <w:rFonts w:ascii="Cambria Math" w:hAnsi="Cambria Math" w:cs="Arial"/>
            <w:lang w:val="en-AE"/>
          </w:rPr>
          <m:t>Zscor</m:t>
        </m:r>
        <m:sSub>
          <m:sSubPr>
            <m:ctrlPr>
              <w:rPr>
                <w:rFonts w:ascii="Cambria Math" w:hAnsi="Cambria Math" w:cs="Arial"/>
                <w:i/>
                <w:lang w:val="en-AE"/>
              </w:rPr>
            </m:ctrlPr>
          </m:sSubPr>
          <m:e>
            <m:r>
              <w:rPr>
                <w:rFonts w:ascii="Cambria Math" w:hAnsi="Cambria Math" w:cs="Arial"/>
                <w:lang w:val="en-AE"/>
              </w:rPr>
              <m:t>e</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r>
          <w:rPr>
            <w:rFonts w:ascii="Cambria Math" w:hAnsi="Cambria Math" w:cs="Arial"/>
            <w:lang w:val="en-AE"/>
          </w:rPr>
          <m:t xml:space="preserve">Year+ </m:t>
        </m:r>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Pr="00B625A8">
        <w:rPr>
          <w:rFonts w:ascii="Arial" w:hAnsi="Arial" w:cs="Arial"/>
          <w:lang w:val="en-AE"/>
        </w:rPr>
        <w:tab/>
      </w:r>
      <w:r w:rsidRPr="00B625A8">
        <w:rPr>
          <w:rFonts w:ascii="Arial" w:hAnsi="Arial" w:cs="Arial"/>
          <w:lang w:val="en-AE"/>
        </w:rPr>
        <w:tab/>
      </w:r>
      <w:r w:rsidR="006432F9">
        <w:rPr>
          <w:rFonts w:ascii="Arial" w:hAnsi="Arial" w:cs="Arial"/>
          <w:lang w:val="en-AE"/>
        </w:rPr>
        <w:tab/>
      </w:r>
      <w:r w:rsidRPr="00B625A8">
        <w:rPr>
          <w:rFonts w:ascii="Arial" w:hAnsi="Arial" w:cs="Arial"/>
          <w:lang w:val="en-AE"/>
        </w:rPr>
        <w:t>(5)</w:t>
      </w:r>
    </w:p>
    <w:p w14:paraId="3183E37A" w14:textId="77777777" w:rsidR="00AC0043" w:rsidRPr="00B625A8" w:rsidRDefault="00AC0043" w:rsidP="00173A63">
      <w:pPr>
        <w:autoSpaceDE w:val="0"/>
        <w:autoSpaceDN w:val="0"/>
        <w:adjustRightInd w:val="0"/>
        <w:spacing w:after="0" w:line="480" w:lineRule="auto"/>
        <w:jc w:val="both"/>
        <w:rPr>
          <w:rFonts w:ascii="Arial" w:hAnsi="Arial" w:cs="Arial"/>
          <w:lang w:val="en-AE"/>
        </w:rPr>
      </w:pPr>
      <w:r w:rsidRPr="00B625A8">
        <w:rPr>
          <w:rFonts w:ascii="Arial" w:hAnsi="Arial" w:cs="Arial"/>
          <w:lang w:val="en-AE"/>
        </w:rPr>
        <w:t>Where:</w:t>
      </w:r>
    </w:p>
    <w:p w14:paraId="2BBA9C9C" w14:textId="77777777" w:rsidR="00AC0043" w:rsidRPr="00B625A8" w:rsidRDefault="00AC0043" w:rsidP="00173A63">
      <w:pPr>
        <w:autoSpaceDE w:val="0"/>
        <w:autoSpaceDN w:val="0"/>
        <w:adjustRightInd w:val="0"/>
        <w:spacing w:after="0" w:line="480" w:lineRule="auto"/>
        <w:ind w:left="360"/>
        <w:jc w:val="both"/>
        <w:rPr>
          <w:rFonts w:ascii="Arial" w:hAnsi="Arial" w:cs="Arial"/>
          <w:lang w:val="en-AE"/>
        </w:rPr>
      </w:pPr>
      <m:oMath>
        <m:r>
          <w:rPr>
            <w:rFonts w:ascii="Cambria Math" w:hAnsi="Cambria Math" w:cs="Arial"/>
            <w:lang w:val="en-AE"/>
          </w:rPr>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oMath>
      <w:r w:rsidRPr="00B625A8">
        <w:rPr>
          <w:rFonts w:ascii="Arial" w:hAnsi="Arial" w:cs="Arial"/>
          <w:lang w:val="en-AE"/>
        </w:rPr>
        <w:t xml:space="preserve"> is the return on assets (performance) of bank </w:t>
      </w:r>
      <m:oMath>
        <m:r>
          <w:rPr>
            <w:rFonts w:ascii="Cambria Math" w:hAnsi="Cambria Math" w:cs="Arial"/>
            <w:lang w:val="en-AE"/>
          </w:rPr>
          <m:t>i</m:t>
        </m:r>
      </m:oMath>
      <w:r w:rsidRPr="00B625A8">
        <w:rPr>
          <w:rFonts w:ascii="Arial" w:hAnsi="Arial" w:cs="Arial"/>
          <w:lang w:val="en-AE"/>
        </w:rPr>
        <w:t xml:space="preserve"> at time </w:t>
      </w:r>
      <m:oMath>
        <m:r>
          <w:rPr>
            <w:rFonts w:ascii="Cambria Math" w:hAnsi="Cambria Math" w:cs="Arial"/>
            <w:lang w:val="en-AE"/>
          </w:rPr>
          <m:t>t</m:t>
        </m:r>
      </m:oMath>
    </w:p>
    <w:p w14:paraId="3116C59E" w14:textId="77777777" w:rsidR="00AC0043" w:rsidRPr="00B625A8" w:rsidRDefault="00AC0043" w:rsidP="00173A63">
      <w:pPr>
        <w:autoSpaceDE w:val="0"/>
        <w:autoSpaceDN w:val="0"/>
        <w:adjustRightInd w:val="0"/>
        <w:spacing w:after="0" w:line="480" w:lineRule="auto"/>
        <w:ind w:left="360"/>
        <w:jc w:val="both"/>
        <w:rPr>
          <w:rFonts w:ascii="Arial" w:hAnsi="Arial" w:cs="Arial"/>
          <w:lang w:val="en-AE"/>
        </w:rPr>
      </w:pPr>
      <m:oMath>
        <m:r>
          <w:rPr>
            <w:rFonts w:ascii="Cambria Math" w:hAnsi="Cambria Math" w:cs="Arial"/>
            <w:lang w:val="en-AE"/>
          </w:rPr>
          <m:t>R</m:t>
        </m:r>
        <m:sSub>
          <m:sSubPr>
            <m:ctrlPr>
              <w:rPr>
                <w:rFonts w:ascii="Cambria Math" w:hAnsi="Cambria Math" w:cs="Arial"/>
                <w:i/>
                <w:lang w:val="en-AE"/>
              </w:rPr>
            </m:ctrlPr>
          </m:sSubPr>
          <m:e>
            <m:r>
              <w:rPr>
                <w:rFonts w:ascii="Cambria Math" w:hAnsi="Cambria Math" w:cs="Arial"/>
                <w:lang w:val="en-AE"/>
              </w:rPr>
              <m:t>AC</m:t>
            </m:r>
          </m:e>
          <m:sub>
            <m:r>
              <w:rPr>
                <w:rFonts w:ascii="Cambria Math" w:hAnsi="Cambria Math" w:cs="Arial"/>
                <w:lang w:val="en-AE"/>
              </w:rPr>
              <m:t>it</m:t>
            </m:r>
          </m:sub>
        </m:sSub>
      </m:oMath>
      <w:r w:rsidRPr="00B625A8">
        <w:rPr>
          <w:rFonts w:ascii="Arial" w:hAnsi="Arial" w:cs="Arial"/>
          <w:lang w:val="en-AE"/>
        </w:rPr>
        <w:t xml:space="preserve"> is Risk-Adjusted Capital</w:t>
      </w:r>
    </w:p>
    <w:p w14:paraId="51A81A09" w14:textId="77777777" w:rsidR="00AC0043" w:rsidRPr="00B625A8" w:rsidRDefault="007639CA" w:rsidP="00173A63">
      <w:pPr>
        <w:autoSpaceDE w:val="0"/>
        <w:autoSpaceDN w:val="0"/>
        <w:adjustRightInd w:val="0"/>
        <w:spacing w:after="0" w:line="480" w:lineRule="auto"/>
        <w:ind w:left="360"/>
        <w:jc w:val="both"/>
        <w:rPr>
          <w:rFonts w:ascii="Arial" w:hAnsi="Arial" w:cs="Arial"/>
          <w:lang w:val="en-AE"/>
        </w:rPr>
      </w:pPr>
      <m:oMath>
        <m:sSub>
          <m:sSubPr>
            <m:ctrlPr>
              <w:rPr>
                <w:rFonts w:ascii="Cambria Math" w:hAnsi="Cambria Math" w:cs="Arial"/>
                <w:i/>
                <w:lang w:val="en-AE"/>
              </w:rPr>
            </m:ctrlPr>
          </m:sSubPr>
          <m:e>
            <m:r>
              <w:rPr>
                <w:rFonts w:ascii="Cambria Math" w:hAnsi="Cambria Math" w:cs="Arial"/>
                <w:lang w:val="en-AE"/>
              </w:rPr>
              <m:t>LDR</m:t>
            </m:r>
          </m:e>
          <m:sub>
            <m:r>
              <w:rPr>
                <w:rFonts w:ascii="Cambria Math" w:hAnsi="Cambria Math" w:cs="Arial"/>
                <w:lang w:val="en-AE"/>
              </w:rPr>
              <m:t>it</m:t>
            </m:r>
          </m:sub>
        </m:sSub>
      </m:oMath>
      <w:r w:rsidR="00AC0043" w:rsidRPr="00B625A8">
        <w:rPr>
          <w:rFonts w:ascii="Arial" w:hAnsi="Arial" w:cs="Arial"/>
          <w:lang w:val="en-AE"/>
        </w:rPr>
        <w:t xml:space="preserve"> Loan-to-Deposit Ratio </w:t>
      </w:r>
    </w:p>
    <w:p w14:paraId="38FBAABB" w14:textId="77777777" w:rsidR="00AC0043" w:rsidRPr="00B625A8" w:rsidRDefault="007639CA" w:rsidP="00173A63">
      <w:pPr>
        <w:autoSpaceDE w:val="0"/>
        <w:autoSpaceDN w:val="0"/>
        <w:adjustRightInd w:val="0"/>
        <w:spacing w:after="0" w:line="480" w:lineRule="auto"/>
        <w:ind w:left="360"/>
        <w:jc w:val="both"/>
        <w:rPr>
          <w:rFonts w:ascii="Arial" w:hAnsi="Arial" w:cs="Arial"/>
          <w:lang w:val="en-AE"/>
        </w:rPr>
      </w:pPr>
      <m:oMath>
        <m:sSub>
          <m:sSubPr>
            <m:ctrlPr>
              <w:rPr>
                <w:rFonts w:ascii="Cambria Math" w:hAnsi="Cambria Math" w:cs="Arial"/>
                <w:i/>
                <w:lang w:val="en-AE"/>
              </w:rPr>
            </m:ctrlPr>
          </m:sSubPr>
          <m:e>
            <m:r>
              <w:rPr>
                <w:rFonts w:ascii="Cambria Math" w:hAnsi="Cambria Math" w:cs="Arial"/>
                <w:lang w:val="en-AE"/>
              </w:rPr>
              <m:t>BSIZE</m:t>
            </m:r>
          </m:e>
          <m:sub>
            <m:r>
              <w:rPr>
                <w:rFonts w:ascii="Cambria Math" w:hAnsi="Cambria Math" w:cs="Arial"/>
                <w:lang w:val="en-AE"/>
              </w:rPr>
              <m:t>it</m:t>
            </m:r>
          </m:sub>
        </m:sSub>
      </m:oMath>
      <w:r w:rsidR="00AC0043" w:rsidRPr="00B625A8">
        <w:rPr>
          <w:rFonts w:ascii="Arial" w:hAnsi="Arial" w:cs="Arial"/>
          <w:lang w:val="en-AE"/>
        </w:rPr>
        <w:t>: Bank Size (control variable)</w:t>
      </w:r>
    </w:p>
    <w:p w14:paraId="29D18B25" w14:textId="77777777" w:rsidR="00AC0043" w:rsidRPr="00B625A8" w:rsidRDefault="00AC0043" w:rsidP="00173A63">
      <w:pPr>
        <w:autoSpaceDE w:val="0"/>
        <w:autoSpaceDN w:val="0"/>
        <w:adjustRightInd w:val="0"/>
        <w:spacing w:after="0" w:line="480" w:lineRule="auto"/>
        <w:ind w:left="360"/>
        <w:jc w:val="both"/>
        <w:rPr>
          <w:rFonts w:ascii="Arial" w:hAnsi="Arial" w:cs="Arial"/>
          <w:lang w:val="en-AE"/>
        </w:rPr>
      </w:pPr>
      <w:r w:rsidRPr="00B625A8">
        <w:rPr>
          <w:rFonts w:ascii="Arial" w:hAnsi="Arial" w:cs="Arial"/>
          <w:lang w:val="en-AE"/>
        </w:rPr>
        <w:t xml:space="preserve"> </w:t>
      </w:r>
      <m:oMath>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oMath>
      <w:r w:rsidRPr="00B625A8">
        <w:rPr>
          <w:rFonts w:ascii="Arial" w:hAnsi="Arial" w:cs="Arial"/>
          <w:lang w:val="en-AE"/>
        </w:rPr>
        <w:t xml:space="preserve"> is the coefficient of years effect in the model</w:t>
      </w:r>
    </w:p>
    <w:p w14:paraId="66D3E1A8" w14:textId="77777777" w:rsidR="00AC0043" w:rsidRPr="00B625A8" w:rsidRDefault="007639CA" w:rsidP="006432F9">
      <w:pPr>
        <w:autoSpaceDE w:val="0"/>
        <w:autoSpaceDN w:val="0"/>
        <w:adjustRightInd w:val="0"/>
        <w:spacing w:after="0" w:line="480" w:lineRule="auto"/>
        <w:ind w:left="360"/>
        <w:jc w:val="both"/>
        <w:rPr>
          <w:rFonts w:ascii="Arial" w:hAnsi="Arial" w:cs="Arial"/>
          <w:lang w:val="en-AE"/>
        </w:rPr>
      </w:pPr>
      <m:oMath>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00AC0043" w:rsidRPr="00B625A8">
        <w:rPr>
          <w:rFonts w:ascii="Arial" w:hAnsi="Arial" w:cs="Arial"/>
          <w:lang w:val="en-AE"/>
        </w:rPr>
        <w:t xml:space="preserve"> Idiosyncratic error term</w:t>
      </w:r>
    </w:p>
    <w:p w14:paraId="6984D45A" w14:textId="77777777" w:rsidR="00AC0043" w:rsidRPr="00B625A8" w:rsidRDefault="00AC0043" w:rsidP="00173A63">
      <w:pPr>
        <w:autoSpaceDE w:val="0"/>
        <w:autoSpaceDN w:val="0"/>
        <w:adjustRightInd w:val="0"/>
        <w:spacing w:after="0" w:line="480" w:lineRule="auto"/>
        <w:jc w:val="both"/>
        <w:rPr>
          <w:rFonts w:ascii="Arial" w:hAnsi="Arial" w:cs="Arial"/>
          <w:b/>
          <w:bCs/>
          <w:lang w:val="en-AE"/>
        </w:rPr>
      </w:pPr>
      <w:r w:rsidRPr="00B625A8">
        <w:rPr>
          <w:rFonts w:ascii="Arial" w:hAnsi="Arial" w:cs="Arial"/>
          <w:b/>
          <w:bCs/>
          <w:lang w:val="en-AE"/>
        </w:rPr>
        <w:t>3.3 Estimation approach</w:t>
      </w:r>
    </w:p>
    <w:p w14:paraId="27D3773C" w14:textId="77777777" w:rsidR="006457BE" w:rsidRPr="00B625A8" w:rsidRDefault="002375D2" w:rsidP="00173A63">
      <w:pPr>
        <w:autoSpaceDE w:val="0"/>
        <w:autoSpaceDN w:val="0"/>
        <w:adjustRightInd w:val="0"/>
        <w:spacing w:after="0" w:line="480" w:lineRule="auto"/>
        <w:ind w:firstLine="720"/>
        <w:jc w:val="both"/>
        <w:rPr>
          <w:rFonts w:ascii="Arial" w:hAnsi="Arial" w:cs="Arial"/>
          <w:bCs/>
          <w:lang w:val="en-AE"/>
        </w:rPr>
      </w:pPr>
      <w:r w:rsidRPr="00B625A8">
        <w:rPr>
          <w:rFonts w:ascii="Arial" w:hAnsi="Arial" w:cs="Arial"/>
          <w:bCs/>
          <w:lang w:val="en-AE"/>
        </w:rPr>
        <w:t xml:space="preserve">This study adopts a robust panel econometric framework to examine the impact of risk-adjusted capital, credit risk, and liquidity risk on the performance of Nigerian banks. Considering the nature of the data and the underlying econometric challenges, the empirical analysis started by examining the cross-sectional dependence (CD) among the banks to determine suitable estimation techniques. Since the banks are within the same country, there is a high risk of CD from the plausible shared common features, such as spillover effects of shocks, which could lead to biased estimates and inferences regarding the parameters (Pesaran, 2004). Thus, this study utilized Pesaran's (2007) CD test because it is applicable to both small </w:t>
      </w:r>
      <w:r w:rsidRPr="00B625A8">
        <w:rPr>
          <w:rFonts w:ascii="Arial" w:hAnsi="Arial" w:cs="Arial"/>
          <w:bCs/>
          <w:lang w:val="en-AE"/>
        </w:rPr>
        <w:lastRenderedPageBreak/>
        <w:t>and large panels. The CD tests for the null hypothesis of no CD in the data were rejected at the 1%, 5%, and 10% levels of significance.</w:t>
      </w:r>
    </w:p>
    <w:p w14:paraId="7691F9E8" w14:textId="77777777" w:rsidR="00AC0043" w:rsidRPr="00B625A8" w:rsidRDefault="00AC0043" w:rsidP="00173A63">
      <w:pPr>
        <w:autoSpaceDE w:val="0"/>
        <w:autoSpaceDN w:val="0"/>
        <w:adjustRightInd w:val="0"/>
        <w:spacing w:line="480" w:lineRule="auto"/>
        <w:jc w:val="both"/>
        <w:rPr>
          <w:rFonts w:ascii="Arial" w:hAnsi="Arial" w:cs="Arial"/>
          <w:lang w:val="en-AE"/>
        </w:rPr>
      </w:pPr>
      <m:oMathPara>
        <m:oMath>
          <m:r>
            <w:rPr>
              <w:rFonts w:ascii="Cambria Math" w:hAnsi="Cambria Math" w:cs="Arial"/>
              <w:lang w:val="en-AE"/>
            </w:rPr>
            <m:t>CD=</m:t>
          </m:r>
          <m:rad>
            <m:radPr>
              <m:degHide m:val="1"/>
              <m:ctrlPr>
                <w:rPr>
                  <w:rFonts w:ascii="Cambria Math" w:hAnsi="Cambria Math" w:cs="Arial"/>
                  <w:i/>
                  <w:lang w:val="en-AE"/>
                </w:rPr>
              </m:ctrlPr>
            </m:radPr>
            <m:deg/>
            <m:e>
              <m:f>
                <m:fPr>
                  <m:ctrlPr>
                    <w:rPr>
                      <w:rFonts w:ascii="Cambria Math" w:hAnsi="Cambria Math" w:cs="Arial"/>
                      <w:i/>
                      <w:lang w:val="en-AE"/>
                    </w:rPr>
                  </m:ctrlPr>
                </m:fPr>
                <m:num>
                  <m:r>
                    <w:rPr>
                      <w:rFonts w:ascii="Cambria Math" w:hAnsi="Cambria Math" w:cs="Arial"/>
                      <w:lang w:val="en-AE"/>
                    </w:rPr>
                    <m:t>2T</m:t>
                  </m:r>
                </m:num>
                <m:den>
                  <m:r>
                    <w:rPr>
                      <w:rFonts w:ascii="Cambria Math" w:hAnsi="Cambria Math" w:cs="Arial"/>
                      <w:lang w:val="en-AE"/>
                    </w:rPr>
                    <m:t>N(N-1)</m:t>
                  </m:r>
                </m:den>
              </m:f>
              <m:nary>
                <m:naryPr>
                  <m:chr m:val="∑"/>
                  <m:limLoc m:val="undOvr"/>
                  <m:ctrlPr>
                    <w:rPr>
                      <w:rFonts w:ascii="Cambria Math" w:hAnsi="Cambria Math" w:cs="Arial"/>
                      <w:i/>
                      <w:lang w:val="en-AE"/>
                    </w:rPr>
                  </m:ctrlPr>
                </m:naryPr>
                <m:sub>
                  <m:r>
                    <w:rPr>
                      <w:rFonts w:ascii="Cambria Math" w:hAnsi="Cambria Math" w:cs="Arial"/>
                      <w:lang w:val="en-AE"/>
                    </w:rPr>
                    <m:t>i=1</m:t>
                  </m:r>
                </m:sub>
                <m:sup>
                  <m:r>
                    <w:rPr>
                      <w:rFonts w:ascii="Cambria Math" w:hAnsi="Cambria Math" w:cs="Arial"/>
                      <w:lang w:val="en-AE"/>
                    </w:rPr>
                    <m:t>N-1</m:t>
                  </m:r>
                </m:sup>
                <m:e>
                  <m:nary>
                    <m:naryPr>
                      <m:chr m:val="∑"/>
                      <m:limLoc m:val="undOvr"/>
                      <m:ctrlPr>
                        <w:rPr>
                          <w:rFonts w:ascii="Cambria Math" w:hAnsi="Cambria Math" w:cs="Arial"/>
                          <w:i/>
                          <w:lang w:val="en-AE"/>
                        </w:rPr>
                      </m:ctrlPr>
                    </m:naryPr>
                    <m:sub>
                      <m:r>
                        <w:rPr>
                          <w:rFonts w:ascii="Cambria Math" w:hAnsi="Cambria Math" w:cs="Arial"/>
                          <w:lang w:val="en-AE"/>
                        </w:rPr>
                        <m:t>k=i+1</m:t>
                      </m:r>
                    </m:sub>
                    <m:sup>
                      <m:r>
                        <w:rPr>
                          <w:rFonts w:ascii="Cambria Math" w:hAnsi="Cambria Math" w:cs="Arial"/>
                          <w:lang w:val="en-AE"/>
                        </w:rPr>
                        <m:t>N</m:t>
                      </m:r>
                    </m:sup>
                    <m:e>
                      <m:sSub>
                        <m:sSubPr>
                          <m:ctrlPr>
                            <w:rPr>
                              <w:rFonts w:ascii="Cambria Math" w:hAnsi="Cambria Math" w:cs="Arial"/>
                              <w:i/>
                              <w:lang w:val="en-AE"/>
                            </w:rPr>
                          </m:ctrlPr>
                        </m:sSubPr>
                        <m:e>
                          <m:acc>
                            <m:accPr>
                              <m:ctrlPr>
                                <w:rPr>
                                  <w:rFonts w:ascii="Cambria Math" w:hAnsi="Cambria Math" w:cs="Arial"/>
                                  <w:i/>
                                  <w:lang w:val="en-AE"/>
                                </w:rPr>
                              </m:ctrlPr>
                            </m:accPr>
                            <m:e>
                              <m:r>
                                <w:rPr>
                                  <w:rFonts w:ascii="Cambria Math" w:hAnsi="Cambria Math" w:cs="Arial"/>
                                  <w:lang w:val="en-AE"/>
                                </w:rPr>
                                <m:t>ρ</m:t>
                              </m:r>
                            </m:e>
                          </m:acc>
                        </m:e>
                        <m:sub>
                          <m:r>
                            <w:rPr>
                              <w:rFonts w:ascii="Cambria Math" w:hAnsi="Cambria Math" w:cs="Arial"/>
                              <w:lang w:val="en-AE"/>
                            </w:rPr>
                            <m:t>i,k</m:t>
                          </m:r>
                        </m:sub>
                      </m:sSub>
                    </m:e>
                  </m:nary>
                </m:e>
              </m:nary>
            </m:e>
          </m:rad>
          <m:r>
            <w:rPr>
              <w:rFonts w:ascii="Cambria Math" w:hAnsi="Cambria Math" w:cs="Arial"/>
              <w:lang w:val="en-AE"/>
            </w:rPr>
            <m:t xml:space="preserve">                                                       (6)</m:t>
          </m:r>
        </m:oMath>
      </m:oMathPara>
    </w:p>
    <w:p w14:paraId="592D3390" w14:textId="77777777" w:rsidR="00AC0043" w:rsidRPr="00B625A8" w:rsidRDefault="00E87AFC" w:rsidP="00173A63">
      <w:pPr>
        <w:autoSpaceDE w:val="0"/>
        <w:autoSpaceDN w:val="0"/>
        <w:adjustRightInd w:val="0"/>
        <w:spacing w:line="480" w:lineRule="auto"/>
        <w:ind w:firstLine="720"/>
        <w:jc w:val="both"/>
        <w:rPr>
          <w:rFonts w:ascii="Arial" w:hAnsi="Arial" w:cs="Arial"/>
          <w:lang w:val="en-AE"/>
        </w:rPr>
      </w:pPr>
      <w:r w:rsidRPr="00B625A8">
        <w:rPr>
          <w:rFonts w:ascii="Arial" w:hAnsi="Arial" w:cs="Arial"/>
        </w:rPr>
        <w:t xml:space="preserve">After testing </w:t>
      </w:r>
      <w:r w:rsidR="002375D2" w:rsidRPr="00B625A8">
        <w:rPr>
          <w:rFonts w:ascii="Arial" w:hAnsi="Arial" w:cs="Arial"/>
        </w:rPr>
        <w:t>for the existence of the CD</w:t>
      </w:r>
      <w:r w:rsidRPr="00B625A8">
        <w:rPr>
          <w:rFonts w:ascii="Arial" w:hAnsi="Arial" w:cs="Arial"/>
        </w:rPr>
        <w:t xml:space="preserve">, the data </w:t>
      </w:r>
      <w:r w:rsidR="002375D2" w:rsidRPr="00B625A8">
        <w:rPr>
          <w:rFonts w:ascii="Arial" w:hAnsi="Arial" w:cs="Arial"/>
        </w:rPr>
        <w:t>wa</w:t>
      </w:r>
      <w:r w:rsidRPr="00B625A8">
        <w:rPr>
          <w:rFonts w:ascii="Arial" w:hAnsi="Arial" w:cs="Arial"/>
        </w:rPr>
        <w:t>s subjected to a unit root test. This test examines whether the variables are stationary. If they are not stationary, a difference is applied to the data to make them stationary before proceeding with further analysis. This study used Pesaran's (2007) Im, Pesaran, and Shin's (CIPS) second-generation unit root test that accounts for CD in the variables. The null hypothesis is that the variable has a unit root, which is rejected if the test is significant at the 1%, 5%, or 10% level</w:t>
      </w:r>
      <w:r w:rsidR="00AC0043" w:rsidRPr="00B625A8">
        <w:rPr>
          <w:rFonts w:ascii="Arial" w:hAnsi="Arial" w:cs="Arial"/>
          <w:lang w:val="en-AE"/>
        </w:rPr>
        <w:t xml:space="preserve">. </w:t>
      </w:r>
    </w:p>
    <w:p w14:paraId="362005F0" w14:textId="77777777" w:rsidR="00AC0043" w:rsidRPr="00B625A8" w:rsidRDefault="00AC0043" w:rsidP="00173A63">
      <w:pPr>
        <w:autoSpaceDE w:val="0"/>
        <w:autoSpaceDN w:val="0"/>
        <w:adjustRightInd w:val="0"/>
        <w:spacing w:line="480" w:lineRule="auto"/>
        <w:jc w:val="both"/>
        <w:rPr>
          <w:rFonts w:ascii="Arial" w:hAnsi="Arial" w:cs="Arial"/>
          <w:lang w:val="en-AE"/>
        </w:rPr>
      </w:pPr>
      <m:oMathPara>
        <m:oMath>
          <m:r>
            <w:rPr>
              <w:rFonts w:ascii="Cambria Math" w:hAnsi="Cambria Math" w:cs="Arial"/>
              <w:lang w:val="en-AE"/>
            </w:rPr>
            <m:t>CIPS</m:t>
          </m:r>
          <m:d>
            <m:dPr>
              <m:ctrlPr>
                <w:rPr>
                  <w:rFonts w:ascii="Cambria Math" w:hAnsi="Cambria Math" w:cs="Arial"/>
                  <w:i/>
                  <w:lang w:val="en-AE"/>
                </w:rPr>
              </m:ctrlPr>
            </m:dPr>
            <m:e>
              <m:r>
                <w:rPr>
                  <w:rFonts w:ascii="Cambria Math" w:hAnsi="Cambria Math" w:cs="Arial"/>
                  <w:lang w:val="en-AE"/>
                </w:rPr>
                <m:t>N,T</m:t>
              </m:r>
            </m:e>
          </m:d>
          <m:r>
            <w:rPr>
              <w:rFonts w:ascii="Cambria Math" w:hAnsi="Cambria Math" w:cs="Arial"/>
              <w:lang w:val="en-AE"/>
            </w:rPr>
            <m:t xml:space="preserve">= </m:t>
          </m:r>
          <m:acc>
            <m:accPr>
              <m:chr m:val="̅"/>
              <m:ctrlPr>
                <w:rPr>
                  <w:rFonts w:ascii="Cambria Math" w:hAnsi="Cambria Math" w:cs="Arial"/>
                  <w:i/>
                  <w:lang w:val="en-AE"/>
                </w:rPr>
              </m:ctrlPr>
            </m:accPr>
            <m:e>
              <m:r>
                <w:rPr>
                  <w:rFonts w:ascii="Cambria Math" w:hAnsi="Cambria Math" w:cs="Arial"/>
                  <w:lang w:val="en-AE"/>
                </w:rPr>
                <m:t>T</m:t>
              </m:r>
            </m:e>
          </m:acc>
          <m:r>
            <w:rPr>
              <w:rFonts w:ascii="Cambria Math" w:hAnsi="Cambria Math" w:cs="Arial"/>
              <w:lang w:val="en-AE"/>
            </w:rPr>
            <m:t xml:space="preserve">=  </m:t>
          </m:r>
          <m:sSup>
            <m:sSupPr>
              <m:ctrlPr>
                <w:rPr>
                  <w:rFonts w:ascii="Cambria Math" w:hAnsi="Cambria Math" w:cs="Arial"/>
                  <w:i/>
                  <w:lang w:val="en-AE"/>
                </w:rPr>
              </m:ctrlPr>
            </m:sSupPr>
            <m:e>
              <m:r>
                <w:rPr>
                  <w:rFonts w:ascii="Cambria Math" w:hAnsi="Cambria Math" w:cs="Arial"/>
                  <w:lang w:val="en-AE"/>
                </w:rPr>
                <m:t>N</m:t>
              </m:r>
            </m:e>
            <m:sup>
              <m:r>
                <w:rPr>
                  <w:rFonts w:ascii="Cambria Math" w:hAnsi="Cambria Math" w:cs="Arial"/>
                  <w:lang w:val="en-AE"/>
                </w:rPr>
                <m:t>-1</m:t>
              </m:r>
            </m:sup>
          </m:sSup>
          <m:nary>
            <m:naryPr>
              <m:chr m:val="∑"/>
              <m:limLoc m:val="undOvr"/>
              <m:ctrlPr>
                <w:rPr>
                  <w:rFonts w:ascii="Cambria Math" w:hAnsi="Cambria Math" w:cs="Arial"/>
                  <w:i/>
                  <w:lang w:val="en-AE"/>
                </w:rPr>
              </m:ctrlPr>
            </m:naryPr>
            <m:sub>
              <m:r>
                <w:rPr>
                  <w:rFonts w:ascii="Cambria Math" w:hAnsi="Cambria Math" w:cs="Arial"/>
                  <w:lang w:val="en-AE"/>
                </w:rPr>
                <m:t>i=1</m:t>
              </m:r>
            </m:sub>
            <m:sup>
              <m:r>
                <w:rPr>
                  <w:rFonts w:ascii="Cambria Math" w:hAnsi="Cambria Math" w:cs="Arial"/>
                  <w:lang w:val="en-AE"/>
                </w:rPr>
                <m:t>N</m:t>
              </m:r>
            </m:sup>
            <m:e>
              <m:sSub>
                <m:sSubPr>
                  <m:ctrlPr>
                    <w:rPr>
                      <w:rFonts w:ascii="Cambria Math" w:hAnsi="Cambria Math" w:cs="Arial"/>
                      <w:i/>
                      <w:lang w:val="en-AE"/>
                    </w:rPr>
                  </m:ctrlPr>
                </m:sSubPr>
                <m:e>
                  <m:r>
                    <w:rPr>
                      <w:rFonts w:ascii="Cambria Math" w:hAnsi="Cambria Math" w:cs="Arial"/>
                      <w:lang w:val="en-AE"/>
                    </w:rPr>
                    <m:t>t</m:t>
                  </m:r>
                </m:e>
                <m:sub>
                  <m:r>
                    <w:rPr>
                      <w:rFonts w:ascii="Cambria Math" w:hAnsi="Cambria Math" w:cs="Arial"/>
                      <w:lang w:val="en-AE"/>
                    </w:rPr>
                    <m:t>i</m:t>
                  </m:r>
                </m:sub>
              </m:sSub>
              <m:d>
                <m:dPr>
                  <m:ctrlPr>
                    <w:rPr>
                      <w:rFonts w:ascii="Cambria Math" w:hAnsi="Cambria Math" w:cs="Arial"/>
                      <w:i/>
                      <w:lang w:val="en-AE"/>
                    </w:rPr>
                  </m:ctrlPr>
                </m:dPr>
                <m:e>
                  <m:r>
                    <w:rPr>
                      <w:rFonts w:ascii="Cambria Math" w:hAnsi="Cambria Math" w:cs="Arial"/>
                      <w:lang w:val="en-AE"/>
                    </w:rPr>
                    <m:t>N,T</m:t>
                  </m:r>
                </m:e>
              </m:d>
              <m:r>
                <w:rPr>
                  <w:rFonts w:ascii="Cambria Math" w:hAnsi="Cambria Math" w:cs="Arial"/>
                  <w:lang w:val="en-AE"/>
                </w:rPr>
                <m:t xml:space="preserve">                                         (7)</m:t>
              </m:r>
            </m:e>
          </m:nary>
        </m:oMath>
      </m:oMathPara>
    </w:p>
    <w:p w14:paraId="05908DE0" w14:textId="77777777" w:rsidR="00AC0043" w:rsidRPr="00B625A8" w:rsidRDefault="00AC0043" w:rsidP="00173A63">
      <w:pPr>
        <w:autoSpaceDE w:val="0"/>
        <w:autoSpaceDN w:val="0"/>
        <w:adjustRightInd w:val="0"/>
        <w:spacing w:after="0" w:line="480" w:lineRule="auto"/>
        <w:jc w:val="both"/>
        <w:rPr>
          <w:rFonts w:ascii="Arial" w:hAnsi="Arial" w:cs="Arial"/>
          <w:lang w:val="en-AE"/>
        </w:rPr>
      </w:pPr>
      <w:r w:rsidRPr="00B625A8">
        <w:rPr>
          <w:rFonts w:ascii="Arial" w:hAnsi="Arial" w:cs="Arial"/>
          <w:lang w:val="en-AE"/>
        </w:rPr>
        <w:t xml:space="preserve">Where N is the number of cross-sections (banks), and T is years (2010-2023). </w:t>
      </w:r>
      <m:oMath>
        <m:sSub>
          <m:sSubPr>
            <m:ctrlPr>
              <w:rPr>
                <w:rFonts w:ascii="Cambria Math" w:hAnsi="Cambria Math" w:cs="Arial"/>
                <w:i/>
                <w:lang w:val="en-AE"/>
              </w:rPr>
            </m:ctrlPr>
          </m:sSubPr>
          <m:e>
            <m:r>
              <w:rPr>
                <w:rFonts w:ascii="Cambria Math" w:hAnsi="Cambria Math" w:cs="Arial"/>
                <w:lang w:val="en-AE"/>
              </w:rPr>
              <m:t>t</m:t>
            </m:r>
          </m:e>
          <m:sub>
            <m:r>
              <w:rPr>
                <w:rFonts w:ascii="Cambria Math" w:hAnsi="Cambria Math" w:cs="Arial"/>
                <w:lang w:val="en-AE"/>
              </w:rPr>
              <m:t>i</m:t>
            </m:r>
          </m:sub>
        </m:sSub>
      </m:oMath>
      <w:r w:rsidRPr="00B625A8">
        <w:rPr>
          <w:rFonts w:ascii="Arial" w:hAnsi="Arial" w:cs="Arial"/>
          <w:lang w:val="en-AE"/>
        </w:rPr>
        <w:t xml:space="preserve"> cross-sectional averaged gotten from the OLS augmented Dickey-Fuller (ADF) regression.</w:t>
      </w:r>
    </w:p>
    <w:p w14:paraId="159F7B02" w14:textId="77777777" w:rsidR="00AC0043" w:rsidRPr="00B625A8" w:rsidRDefault="00E87AFC" w:rsidP="00173A63">
      <w:pPr>
        <w:autoSpaceDE w:val="0"/>
        <w:autoSpaceDN w:val="0"/>
        <w:adjustRightInd w:val="0"/>
        <w:spacing w:after="0" w:line="480" w:lineRule="auto"/>
        <w:ind w:firstLine="720"/>
        <w:jc w:val="both"/>
        <w:rPr>
          <w:rFonts w:ascii="Arial" w:hAnsi="Arial" w:cs="Arial"/>
          <w:lang w:val="en-AE"/>
        </w:rPr>
      </w:pPr>
      <w:r w:rsidRPr="00B625A8">
        <w:rPr>
          <w:rFonts w:ascii="Arial" w:hAnsi="Arial" w:cs="Arial"/>
        </w:rPr>
        <w:t xml:space="preserve">Thereafter, this study used Westerlund's (2007) cointegration techniques to assess and confirm the existence of a long-run equilibrium relationship among the variables. While there are three techniques to check for cointegration, Westerlund (2007) is suitable in the presence of cross-dependence (CD). It has the null hypothesis of no long-run equilibrium (no cointegration), which can be rejected significantly at either the 1%, 5%, or 10% level. Finally, after confirming that the variables are cointegrated, the study proceeded to adopt a Panel-Corrected Standard Errors (PCSE) estimator, which is the Prais-Winsten model developed to control not only for heteroscedasticity of errors in the model but also for serial correlation in the presence of CD (Beck and Katz, 2010). To ascertain the consistency of the output, this study also employed the Feasible Generalized Least Squares (FGLS) technique to validate the parameters. These methodological </w:t>
      </w:r>
      <w:r w:rsidRPr="00B625A8">
        <w:rPr>
          <w:rFonts w:ascii="Arial" w:hAnsi="Arial" w:cs="Arial"/>
        </w:rPr>
        <w:lastRenderedPageBreak/>
        <w:t>processes are more comprehensive than just diving into fixed-effect or random-effect panel techniques, and they ensure the credibility and econometric accuracy of the estimated results, providing a reliable basis for policy inference and practical implications in the Nigerian banking sector</w:t>
      </w:r>
      <w:r w:rsidR="00C9034D" w:rsidRPr="00B625A8">
        <w:rPr>
          <w:rFonts w:ascii="Arial" w:hAnsi="Arial" w:cs="Arial"/>
        </w:rPr>
        <w:t>.</w:t>
      </w:r>
    </w:p>
    <w:p w14:paraId="223EAAC9" w14:textId="77777777" w:rsidR="00AC0043" w:rsidRPr="00F67C07" w:rsidRDefault="00AC0043" w:rsidP="00D17AFA">
      <w:pPr>
        <w:pStyle w:val="Heading1"/>
        <w:spacing w:before="0" w:after="0" w:line="480" w:lineRule="auto"/>
        <w:rPr>
          <w:rFonts w:ascii="Arial" w:hAnsi="Arial" w:cs="Arial"/>
          <w:b/>
          <w:color w:val="auto"/>
          <w:sz w:val="22"/>
          <w:szCs w:val="22"/>
        </w:rPr>
      </w:pPr>
      <w:r w:rsidRPr="00F67C07">
        <w:rPr>
          <w:rFonts w:ascii="Arial" w:hAnsi="Arial" w:cs="Arial"/>
          <w:b/>
          <w:color w:val="auto"/>
          <w:sz w:val="22"/>
          <w:szCs w:val="22"/>
        </w:rPr>
        <w:t>4.0 Estimation and Analysis</w:t>
      </w:r>
    </w:p>
    <w:p w14:paraId="592A9731" w14:textId="77777777" w:rsidR="00AC0043" w:rsidRPr="00B625A8" w:rsidRDefault="003243F1" w:rsidP="00173A63">
      <w:pPr>
        <w:spacing w:after="0" w:line="480" w:lineRule="auto"/>
        <w:rPr>
          <w:rFonts w:ascii="Arial" w:hAnsi="Arial" w:cs="Arial"/>
          <w:b/>
          <w:bCs/>
        </w:rPr>
      </w:pPr>
      <w:r>
        <w:rPr>
          <w:rFonts w:ascii="Arial" w:hAnsi="Arial" w:cs="Arial"/>
          <w:b/>
          <w:bCs/>
        </w:rPr>
        <w:t xml:space="preserve">4.1.1 </w:t>
      </w:r>
      <w:r w:rsidR="00081357" w:rsidRPr="00B625A8">
        <w:rPr>
          <w:rFonts w:ascii="Arial" w:hAnsi="Arial" w:cs="Arial"/>
          <w:b/>
          <w:bCs/>
        </w:rPr>
        <w:t>Exploratory Analysis</w:t>
      </w:r>
      <w:r w:rsidR="00081357">
        <w:rPr>
          <w:rFonts w:ascii="Arial" w:hAnsi="Arial" w:cs="Arial"/>
          <w:b/>
          <w:bCs/>
        </w:rPr>
        <w:t xml:space="preserve">: </w:t>
      </w:r>
      <w:r w:rsidR="00AC0043" w:rsidRPr="00B625A8">
        <w:rPr>
          <w:rFonts w:ascii="Arial" w:hAnsi="Arial" w:cs="Arial"/>
          <w:b/>
          <w:bCs/>
        </w:rPr>
        <w:t>Summary statistics</w:t>
      </w:r>
    </w:p>
    <w:p w14:paraId="51F71927" w14:textId="77777777" w:rsidR="00AC0043" w:rsidRPr="00B625A8" w:rsidRDefault="00A71CA8" w:rsidP="003243F1">
      <w:pPr>
        <w:spacing w:after="0" w:line="480" w:lineRule="auto"/>
        <w:ind w:firstLine="720"/>
        <w:jc w:val="both"/>
        <w:rPr>
          <w:rFonts w:ascii="Arial" w:hAnsi="Arial" w:cs="Arial"/>
        </w:rPr>
      </w:pPr>
      <w:r w:rsidRPr="00B625A8">
        <w:rPr>
          <w:rFonts w:ascii="Arial" w:hAnsi="Arial" w:cs="Arial"/>
        </w:rPr>
        <w:t>Table 2 presents the comprehensive descriptive statistics regarding the financial information and risk exposure of Nigerian banks from 2010 to 2013, utilizing the relevant variables of interest</w:t>
      </w:r>
      <w:r w:rsidR="00E87AFC" w:rsidRPr="00B625A8">
        <w:rPr>
          <w:rFonts w:ascii="Arial" w:hAnsi="Arial" w:cs="Arial"/>
        </w:rPr>
        <w:t xml:space="preserve">. Firstly, </w:t>
      </w:r>
      <w:r w:rsidR="003243F1" w:rsidRPr="00B625A8">
        <w:rPr>
          <w:rFonts w:ascii="Arial" w:hAnsi="Arial" w:cs="Arial"/>
        </w:rPr>
        <w:t>return</w:t>
      </w:r>
      <w:r w:rsidR="003243F1">
        <w:rPr>
          <w:rFonts w:ascii="Arial" w:hAnsi="Arial" w:cs="Arial"/>
        </w:rPr>
        <w:t xml:space="preserve"> on a</w:t>
      </w:r>
      <w:r w:rsidR="00E87AFC" w:rsidRPr="00B625A8">
        <w:rPr>
          <w:rFonts w:ascii="Arial" w:hAnsi="Arial" w:cs="Arial"/>
        </w:rPr>
        <w:t xml:space="preserve">ssets (ROA) averaged 4.1%, indicating reasonable profitability across the banking sector, though there was significant volatility in earnings as indicated by the standard deviation of 12.5%. Also, the negative minimum ROA of -14% suggests some banks incurred losses during this period, and the high maximum ROA of 135.5% may reflect </w:t>
      </w:r>
      <w:r w:rsidRPr="00B625A8">
        <w:rPr>
          <w:rFonts w:ascii="Arial" w:hAnsi="Arial" w:cs="Arial"/>
        </w:rPr>
        <w:t>reporting anomalies. Regarding Z</w:t>
      </w:r>
      <w:r w:rsidR="00E87AFC" w:rsidRPr="00B625A8">
        <w:rPr>
          <w:rFonts w:ascii="Arial" w:hAnsi="Arial" w:cs="Arial"/>
        </w:rPr>
        <w:t>-scores as a proxy for credit risk, the mean of 2.69, log-transformed, shows moderate stability on average, but the standard deviation of 1.04 and minimum value of -2.65 indicate insolvency that endangers the operational performance of some banks, probably due to significant vulnerability to financial distress.</w:t>
      </w:r>
      <w:r w:rsidR="00D8651A" w:rsidRPr="00B625A8">
        <w:rPr>
          <w:rFonts w:ascii="Arial" w:hAnsi="Arial" w:cs="Arial"/>
        </w:rPr>
        <w:t xml:space="preserve"> </w:t>
      </w:r>
      <w:r w:rsidR="00E87AFC" w:rsidRPr="00B625A8">
        <w:rPr>
          <w:rFonts w:ascii="Arial" w:hAnsi="Arial" w:cs="Arial"/>
        </w:rPr>
        <w:t>On the Risk-Adjusted Capital (RAC), the average is 14.7% with a large standard deviation of 29.8% and a wider range of -198.4% minimum and 52.4% maximum values. The Loan-to-Deposit Ratio (LDR) averaged 63.4%. However, the range from 17.8% to 108.8% signals divergent liquidity strategies, with some banks potentially over-lending relative to their deposit base. Lastly, bank size, measured by log assets, shows moderate variation with a mean of 14.34 and a standard deviation of 1.07, indicating a mix of large, medium, and smaller banks in the sample</w:t>
      </w:r>
      <w:r w:rsidR="00AC0043" w:rsidRPr="00B625A8">
        <w:rPr>
          <w:rFonts w:ascii="Arial" w:hAnsi="Arial" w:cs="Arial"/>
        </w:rPr>
        <w:t>.</w:t>
      </w:r>
    </w:p>
    <w:p w14:paraId="0F8CCBA8" w14:textId="77777777" w:rsidR="00F44E88" w:rsidRPr="00B625A8" w:rsidRDefault="00AC0043" w:rsidP="00B625A8">
      <w:pPr>
        <w:spacing w:after="0" w:line="480" w:lineRule="auto"/>
        <w:jc w:val="both"/>
        <w:rPr>
          <w:rFonts w:ascii="Arial" w:hAnsi="Arial" w:cs="Arial"/>
          <w:b/>
          <w:bCs/>
        </w:rPr>
      </w:pPr>
      <w:r w:rsidRPr="00B625A8">
        <w:rPr>
          <w:rFonts w:ascii="Arial" w:hAnsi="Arial" w:cs="Arial"/>
          <w:b/>
          <w:bCs/>
        </w:rPr>
        <w:t xml:space="preserve">Table 2 </w:t>
      </w:r>
    </w:p>
    <w:p w14:paraId="276DA162" w14:textId="77777777" w:rsidR="00AC0043" w:rsidRPr="00B625A8" w:rsidRDefault="00AC0043" w:rsidP="00B625A8">
      <w:pPr>
        <w:spacing w:after="0" w:line="480" w:lineRule="auto"/>
        <w:jc w:val="both"/>
        <w:rPr>
          <w:rFonts w:ascii="Arial" w:hAnsi="Arial" w:cs="Arial"/>
          <w:b/>
          <w:bCs/>
        </w:rPr>
      </w:pPr>
      <w:r w:rsidRPr="00B625A8">
        <w:rPr>
          <w:rFonts w:ascii="Arial" w:hAnsi="Arial" w:cs="Arial"/>
          <w:b/>
          <w:bCs/>
        </w:rPr>
        <w:t>Summary statistics</w:t>
      </w:r>
    </w:p>
    <w:tbl>
      <w:tblPr>
        <w:tblW w:w="5784" w:type="dxa"/>
        <w:tblBorders>
          <w:top w:val="single" w:sz="4" w:space="0" w:color="auto"/>
          <w:bottom w:val="single" w:sz="4" w:space="0" w:color="auto"/>
        </w:tblBorders>
        <w:tblLook w:val="04A0" w:firstRow="1" w:lastRow="0" w:firstColumn="1" w:lastColumn="0" w:noHBand="0" w:noVBand="1"/>
      </w:tblPr>
      <w:tblGrid>
        <w:gridCol w:w="1024"/>
        <w:gridCol w:w="960"/>
        <w:gridCol w:w="966"/>
        <w:gridCol w:w="966"/>
        <w:gridCol w:w="966"/>
        <w:gridCol w:w="966"/>
      </w:tblGrid>
      <w:tr w:rsidR="00AC0043" w:rsidRPr="00B625A8" w14:paraId="51B22404" w14:textId="77777777" w:rsidTr="00DD5A7B">
        <w:trPr>
          <w:trHeight w:val="288"/>
        </w:trPr>
        <w:tc>
          <w:tcPr>
            <w:tcW w:w="960" w:type="dxa"/>
            <w:tcBorders>
              <w:top w:val="single" w:sz="4" w:space="0" w:color="auto"/>
              <w:bottom w:val="single" w:sz="4" w:space="0" w:color="auto"/>
            </w:tcBorders>
            <w:noWrap/>
            <w:vAlign w:val="bottom"/>
            <w:hideMark/>
          </w:tcPr>
          <w:p w14:paraId="33D4ECAB" w14:textId="77777777" w:rsidR="00AC0043" w:rsidRPr="00B625A8" w:rsidRDefault="00AC0043" w:rsidP="006323CB">
            <w:pPr>
              <w:spacing w:after="0" w:line="276" w:lineRule="auto"/>
              <w:rPr>
                <w:rFonts w:ascii="Arial" w:eastAsia="Times New Roman" w:hAnsi="Arial" w:cs="Arial"/>
                <w:color w:val="000000"/>
                <w:lang w:val="en-AE" w:eastAsia="en-AE"/>
              </w:rPr>
            </w:pPr>
            <w:r w:rsidRPr="00B625A8">
              <w:rPr>
                <w:rFonts w:ascii="Arial" w:eastAsia="Times New Roman" w:hAnsi="Arial" w:cs="Arial"/>
                <w:color w:val="000000"/>
                <w:lang w:val="en-AE" w:eastAsia="en-AE"/>
              </w:rPr>
              <w:t>Variable</w:t>
            </w:r>
          </w:p>
        </w:tc>
        <w:tc>
          <w:tcPr>
            <w:tcW w:w="960" w:type="dxa"/>
            <w:tcBorders>
              <w:top w:val="single" w:sz="4" w:space="0" w:color="auto"/>
              <w:bottom w:val="single" w:sz="4" w:space="0" w:color="auto"/>
            </w:tcBorders>
            <w:noWrap/>
            <w:vAlign w:val="bottom"/>
            <w:hideMark/>
          </w:tcPr>
          <w:p w14:paraId="0A881B37"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Obs</w:t>
            </w:r>
          </w:p>
        </w:tc>
        <w:tc>
          <w:tcPr>
            <w:tcW w:w="966" w:type="dxa"/>
            <w:tcBorders>
              <w:top w:val="single" w:sz="4" w:space="0" w:color="auto"/>
              <w:bottom w:val="single" w:sz="4" w:space="0" w:color="auto"/>
            </w:tcBorders>
            <w:noWrap/>
            <w:vAlign w:val="bottom"/>
            <w:hideMark/>
          </w:tcPr>
          <w:p w14:paraId="2288BE36"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Mean</w:t>
            </w:r>
          </w:p>
        </w:tc>
        <w:tc>
          <w:tcPr>
            <w:tcW w:w="966" w:type="dxa"/>
            <w:tcBorders>
              <w:top w:val="single" w:sz="4" w:space="0" w:color="auto"/>
              <w:bottom w:val="single" w:sz="4" w:space="0" w:color="auto"/>
            </w:tcBorders>
            <w:noWrap/>
            <w:vAlign w:val="bottom"/>
            <w:hideMark/>
          </w:tcPr>
          <w:p w14:paraId="72F5DE0E"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Std. Dev.</w:t>
            </w:r>
          </w:p>
        </w:tc>
        <w:tc>
          <w:tcPr>
            <w:tcW w:w="966" w:type="dxa"/>
            <w:tcBorders>
              <w:top w:val="single" w:sz="4" w:space="0" w:color="auto"/>
              <w:bottom w:val="single" w:sz="4" w:space="0" w:color="auto"/>
            </w:tcBorders>
            <w:noWrap/>
            <w:vAlign w:val="bottom"/>
            <w:hideMark/>
          </w:tcPr>
          <w:p w14:paraId="5D54A104"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Min</w:t>
            </w:r>
          </w:p>
        </w:tc>
        <w:tc>
          <w:tcPr>
            <w:tcW w:w="966" w:type="dxa"/>
            <w:tcBorders>
              <w:top w:val="single" w:sz="4" w:space="0" w:color="auto"/>
              <w:bottom w:val="single" w:sz="4" w:space="0" w:color="auto"/>
            </w:tcBorders>
            <w:noWrap/>
            <w:vAlign w:val="bottom"/>
            <w:hideMark/>
          </w:tcPr>
          <w:p w14:paraId="12B1FFE1"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Max</w:t>
            </w:r>
          </w:p>
        </w:tc>
      </w:tr>
      <w:tr w:rsidR="00AC0043" w:rsidRPr="00B625A8" w14:paraId="408C31BE" w14:textId="77777777" w:rsidTr="00DD5A7B">
        <w:trPr>
          <w:trHeight w:val="288"/>
        </w:trPr>
        <w:tc>
          <w:tcPr>
            <w:tcW w:w="960" w:type="dxa"/>
            <w:tcBorders>
              <w:top w:val="single" w:sz="4" w:space="0" w:color="auto"/>
            </w:tcBorders>
            <w:noWrap/>
            <w:vAlign w:val="bottom"/>
            <w:hideMark/>
          </w:tcPr>
          <w:p w14:paraId="3A1CA005" w14:textId="77777777" w:rsidR="00AC0043" w:rsidRPr="00B625A8" w:rsidRDefault="00AC0043" w:rsidP="006323CB">
            <w:pPr>
              <w:spacing w:after="0" w:line="276" w:lineRule="auto"/>
              <w:rPr>
                <w:rFonts w:ascii="Arial" w:eastAsia="Times New Roman" w:hAnsi="Arial" w:cs="Arial"/>
                <w:color w:val="000000"/>
                <w:lang w:val="en-AE" w:eastAsia="en-AE"/>
              </w:rPr>
            </w:pPr>
            <w:r w:rsidRPr="00B625A8">
              <w:rPr>
                <w:rFonts w:ascii="Arial" w:eastAsia="Times New Roman" w:hAnsi="Arial" w:cs="Arial"/>
                <w:color w:val="000000"/>
                <w:lang w:val="en-AE" w:eastAsia="en-AE"/>
              </w:rPr>
              <w:lastRenderedPageBreak/>
              <w:t>ROA</w:t>
            </w:r>
          </w:p>
        </w:tc>
        <w:tc>
          <w:tcPr>
            <w:tcW w:w="960" w:type="dxa"/>
            <w:tcBorders>
              <w:top w:val="single" w:sz="4" w:space="0" w:color="auto"/>
            </w:tcBorders>
            <w:noWrap/>
            <w:vAlign w:val="bottom"/>
            <w:hideMark/>
          </w:tcPr>
          <w:p w14:paraId="7733AF3D"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168</w:t>
            </w:r>
          </w:p>
        </w:tc>
        <w:tc>
          <w:tcPr>
            <w:tcW w:w="966" w:type="dxa"/>
            <w:tcBorders>
              <w:top w:val="single" w:sz="4" w:space="0" w:color="auto"/>
            </w:tcBorders>
            <w:noWrap/>
            <w:vAlign w:val="bottom"/>
            <w:hideMark/>
          </w:tcPr>
          <w:p w14:paraId="14D6A5AF"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0.04</w:t>
            </w:r>
          </w:p>
        </w:tc>
        <w:tc>
          <w:tcPr>
            <w:tcW w:w="966" w:type="dxa"/>
            <w:tcBorders>
              <w:top w:val="single" w:sz="4" w:space="0" w:color="auto"/>
            </w:tcBorders>
            <w:noWrap/>
            <w:vAlign w:val="bottom"/>
            <w:hideMark/>
          </w:tcPr>
          <w:p w14:paraId="099EDB0E"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0.13</w:t>
            </w:r>
          </w:p>
        </w:tc>
        <w:tc>
          <w:tcPr>
            <w:tcW w:w="966" w:type="dxa"/>
            <w:tcBorders>
              <w:top w:val="single" w:sz="4" w:space="0" w:color="auto"/>
            </w:tcBorders>
            <w:noWrap/>
            <w:vAlign w:val="bottom"/>
            <w:hideMark/>
          </w:tcPr>
          <w:p w14:paraId="2E466F92"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-0.14</w:t>
            </w:r>
          </w:p>
        </w:tc>
        <w:tc>
          <w:tcPr>
            <w:tcW w:w="966" w:type="dxa"/>
            <w:tcBorders>
              <w:top w:val="single" w:sz="4" w:space="0" w:color="auto"/>
            </w:tcBorders>
            <w:noWrap/>
            <w:vAlign w:val="bottom"/>
            <w:hideMark/>
          </w:tcPr>
          <w:p w14:paraId="5F32F274"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1.36</w:t>
            </w:r>
          </w:p>
        </w:tc>
      </w:tr>
      <w:tr w:rsidR="00AC0043" w:rsidRPr="00B625A8" w14:paraId="1E44CD13" w14:textId="77777777" w:rsidTr="00DD5A7B">
        <w:trPr>
          <w:trHeight w:val="288"/>
        </w:trPr>
        <w:tc>
          <w:tcPr>
            <w:tcW w:w="960" w:type="dxa"/>
            <w:noWrap/>
            <w:vAlign w:val="bottom"/>
            <w:hideMark/>
          </w:tcPr>
          <w:p w14:paraId="5D5D2B8D" w14:textId="77777777" w:rsidR="00AC0043" w:rsidRPr="00B625A8" w:rsidRDefault="00AC0043" w:rsidP="006323CB">
            <w:pPr>
              <w:spacing w:after="0" w:line="276" w:lineRule="auto"/>
              <w:rPr>
                <w:rFonts w:ascii="Arial" w:eastAsia="Times New Roman" w:hAnsi="Arial" w:cs="Arial"/>
                <w:color w:val="000000"/>
                <w:lang w:val="en-AE" w:eastAsia="en-AE"/>
              </w:rPr>
            </w:pPr>
            <w:r w:rsidRPr="00B625A8">
              <w:rPr>
                <w:rFonts w:ascii="Arial" w:eastAsia="Times New Roman" w:hAnsi="Arial" w:cs="Arial"/>
                <w:color w:val="000000"/>
                <w:lang w:val="en-AE" w:eastAsia="en-AE"/>
              </w:rPr>
              <w:t>Z-score</w:t>
            </w:r>
          </w:p>
        </w:tc>
        <w:tc>
          <w:tcPr>
            <w:tcW w:w="960" w:type="dxa"/>
            <w:noWrap/>
            <w:vAlign w:val="bottom"/>
            <w:hideMark/>
          </w:tcPr>
          <w:p w14:paraId="5A5C9EC8"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159</w:t>
            </w:r>
          </w:p>
        </w:tc>
        <w:tc>
          <w:tcPr>
            <w:tcW w:w="966" w:type="dxa"/>
            <w:noWrap/>
            <w:vAlign w:val="bottom"/>
            <w:hideMark/>
          </w:tcPr>
          <w:p w14:paraId="2E444157"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2.69</w:t>
            </w:r>
          </w:p>
        </w:tc>
        <w:tc>
          <w:tcPr>
            <w:tcW w:w="966" w:type="dxa"/>
            <w:noWrap/>
            <w:vAlign w:val="bottom"/>
            <w:hideMark/>
          </w:tcPr>
          <w:p w14:paraId="0B8B628D"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1.04</w:t>
            </w:r>
          </w:p>
        </w:tc>
        <w:tc>
          <w:tcPr>
            <w:tcW w:w="966" w:type="dxa"/>
            <w:noWrap/>
            <w:vAlign w:val="bottom"/>
            <w:hideMark/>
          </w:tcPr>
          <w:p w14:paraId="7D507AAF"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-2.65</w:t>
            </w:r>
          </w:p>
        </w:tc>
        <w:tc>
          <w:tcPr>
            <w:tcW w:w="966" w:type="dxa"/>
            <w:noWrap/>
            <w:vAlign w:val="bottom"/>
            <w:hideMark/>
          </w:tcPr>
          <w:p w14:paraId="137F8603"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4.94</w:t>
            </w:r>
          </w:p>
        </w:tc>
      </w:tr>
      <w:tr w:rsidR="00AC0043" w:rsidRPr="00B625A8" w14:paraId="428ED011" w14:textId="77777777" w:rsidTr="00DD5A7B">
        <w:trPr>
          <w:trHeight w:val="288"/>
        </w:trPr>
        <w:tc>
          <w:tcPr>
            <w:tcW w:w="960" w:type="dxa"/>
            <w:noWrap/>
            <w:vAlign w:val="bottom"/>
            <w:hideMark/>
          </w:tcPr>
          <w:p w14:paraId="507C1D48" w14:textId="77777777" w:rsidR="00AC0043" w:rsidRPr="00B625A8" w:rsidRDefault="00AC0043" w:rsidP="006323CB">
            <w:pPr>
              <w:spacing w:after="0" w:line="276" w:lineRule="auto"/>
              <w:rPr>
                <w:rFonts w:ascii="Arial" w:eastAsia="Times New Roman" w:hAnsi="Arial" w:cs="Arial"/>
                <w:color w:val="000000"/>
                <w:lang w:val="en-AE" w:eastAsia="en-AE"/>
              </w:rPr>
            </w:pPr>
            <w:r w:rsidRPr="00B625A8">
              <w:rPr>
                <w:rFonts w:ascii="Arial" w:eastAsia="Times New Roman" w:hAnsi="Arial" w:cs="Arial"/>
                <w:color w:val="000000"/>
                <w:lang w:val="en-AE" w:eastAsia="en-AE"/>
              </w:rPr>
              <w:t>RAC</w:t>
            </w:r>
          </w:p>
        </w:tc>
        <w:tc>
          <w:tcPr>
            <w:tcW w:w="960" w:type="dxa"/>
            <w:noWrap/>
            <w:vAlign w:val="bottom"/>
            <w:hideMark/>
          </w:tcPr>
          <w:p w14:paraId="447C22A8"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168</w:t>
            </w:r>
          </w:p>
        </w:tc>
        <w:tc>
          <w:tcPr>
            <w:tcW w:w="966" w:type="dxa"/>
            <w:noWrap/>
            <w:vAlign w:val="bottom"/>
            <w:hideMark/>
          </w:tcPr>
          <w:p w14:paraId="694A5627"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14.68</w:t>
            </w:r>
          </w:p>
        </w:tc>
        <w:tc>
          <w:tcPr>
            <w:tcW w:w="966" w:type="dxa"/>
            <w:noWrap/>
            <w:vAlign w:val="bottom"/>
            <w:hideMark/>
          </w:tcPr>
          <w:p w14:paraId="63D80F2D"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29.85</w:t>
            </w:r>
          </w:p>
        </w:tc>
        <w:tc>
          <w:tcPr>
            <w:tcW w:w="966" w:type="dxa"/>
            <w:noWrap/>
            <w:vAlign w:val="bottom"/>
            <w:hideMark/>
          </w:tcPr>
          <w:p w14:paraId="72CB1899"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-198.40</w:t>
            </w:r>
          </w:p>
        </w:tc>
        <w:tc>
          <w:tcPr>
            <w:tcW w:w="966" w:type="dxa"/>
            <w:noWrap/>
            <w:vAlign w:val="bottom"/>
            <w:hideMark/>
          </w:tcPr>
          <w:p w14:paraId="747B8AF5"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52.44</w:t>
            </w:r>
          </w:p>
        </w:tc>
      </w:tr>
      <w:tr w:rsidR="00AC0043" w:rsidRPr="00B625A8" w14:paraId="31CBB14B" w14:textId="77777777" w:rsidTr="00DD5A7B">
        <w:trPr>
          <w:trHeight w:val="288"/>
        </w:trPr>
        <w:tc>
          <w:tcPr>
            <w:tcW w:w="960" w:type="dxa"/>
            <w:noWrap/>
            <w:vAlign w:val="bottom"/>
            <w:hideMark/>
          </w:tcPr>
          <w:p w14:paraId="7BD0E7C6" w14:textId="77777777" w:rsidR="00AC0043" w:rsidRPr="00B625A8" w:rsidRDefault="00AC0043" w:rsidP="006323CB">
            <w:pPr>
              <w:spacing w:after="0" w:line="276" w:lineRule="auto"/>
              <w:rPr>
                <w:rFonts w:ascii="Arial" w:eastAsia="Times New Roman" w:hAnsi="Arial" w:cs="Arial"/>
                <w:color w:val="000000"/>
                <w:lang w:val="en-AE" w:eastAsia="en-AE"/>
              </w:rPr>
            </w:pPr>
            <w:r w:rsidRPr="00B625A8">
              <w:rPr>
                <w:rFonts w:ascii="Arial" w:eastAsia="Times New Roman" w:hAnsi="Arial" w:cs="Arial"/>
                <w:color w:val="000000"/>
                <w:lang w:val="en-AE" w:eastAsia="en-AE"/>
              </w:rPr>
              <w:t>LDR</w:t>
            </w:r>
          </w:p>
        </w:tc>
        <w:tc>
          <w:tcPr>
            <w:tcW w:w="960" w:type="dxa"/>
            <w:noWrap/>
            <w:vAlign w:val="bottom"/>
            <w:hideMark/>
          </w:tcPr>
          <w:p w14:paraId="1858A1B3"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168</w:t>
            </w:r>
          </w:p>
        </w:tc>
        <w:tc>
          <w:tcPr>
            <w:tcW w:w="966" w:type="dxa"/>
            <w:noWrap/>
            <w:vAlign w:val="bottom"/>
            <w:hideMark/>
          </w:tcPr>
          <w:p w14:paraId="1B4012CB"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0.63</w:t>
            </w:r>
          </w:p>
        </w:tc>
        <w:tc>
          <w:tcPr>
            <w:tcW w:w="966" w:type="dxa"/>
            <w:noWrap/>
            <w:vAlign w:val="bottom"/>
            <w:hideMark/>
          </w:tcPr>
          <w:p w14:paraId="041DA328"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0.18</w:t>
            </w:r>
          </w:p>
        </w:tc>
        <w:tc>
          <w:tcPr>
            <w:tcW w:w="966" w:type="dxa"/>
            <w:noWrap/>
            <w:vAlign w:val="bottom"/>
            <w:hideMark/>
          </w:tcPr>
          <w:p w14:paraId="0008EBDC"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0.18</w:t>
            </w:r>
          </w:p>
        </w:tc>
        <w:tc>
          <w:tcPr>
            <w:tcW w:w="966" w:type="dxa"/>
            <w:noWrap/>
            <w:vAlign w:val="bottom"/>
            <w:hideMark/>
          </w:tcPr>
          <w:p w14:paraId="714CFE7B"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1.09</w:t>
            </w:r>
          </w:p>
        </w:tc>
      </w:tr>
      <w:tr w:rsidR="00AC0043" w:rsidRPr="00B625A8" w14:paraId="01DD00FD" w14:textId="77777777" w:rsidTr="00DD5A7B">
        <w:trPr>
          <w:trHeight w:val="288"/>
        </w:trPr>
        <w:tc>
          <w:tcPr>
            <w:tcW w:w="960" w:type="dxa"/>
            <w:noWrap/>
            <w:vAlign w:val="bottom"/>
            <w:hideMark/>
          </w:tcPr>
          <w:p w14:paraId="6E5D4E0E" w14:textId="77777777" w:rsidR="00AC0043" w:rsidRPr="00B625A8" w:rsidRDefault="00AC0043" w:rsidP="006323CB">
            <w:pPr>
              <w:spacing w:after="0" w:line="276" w:lineRule="auto"/>
              <w:rPr>
                <w:rFonts w:ascii="Arial" w:eastAsia="Times New Roman" w:hAnsi="Arial" w:cs="Arial"/>
                <w:color w:val="000000"/>
                <w:lang w:val="en-AE" w:eastAsia="en-AE"/>
              </w:rPr>
            </w:pPr>
            <w:r w:rsidRPr="00B625A8">
              <w:rPr>
                <w:rFonts w:ascii="Arial" w:eastAsia="Times New Roman" w:hAnsi="Arial" w:cs="Arial"/>
                <w:color w:val="000000"/>
                <w:lang w:val="en-AE" w:eastAsia="en-AE"/>
              </w:rPr>
              <w:t>BSIZE</w:t>
            </w:r>
          </w:p>
        </w:tc>
        <w:tc>
          <w:tcPr>
            <w:tcW w:w="960" w:type="dxa"/>
            <w:noWrap/>
            <w:vAlign w:val="bottom"/>
            <w:hideMark/>
          </w:tcPr>
          <w:p w14:paraId="0C8857B0"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168</w:t>
            </w:r>
          </w:p>
        </w:tc>
        <w:tc>
          <w:tcPr>
            <w:tcW w:w="966" w:type="dxa"/>
            <w:noWrap/>
            <w:vAlign w:val="bottom"/>
            <w:hideMark/>
          </w:tcPr>
          <w:p w14:paraId="6598C44A"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14.34</w:t>
            </w:r>
          </w:p>
        </w:tc>
        <w:tc>
          <w:tcPr>
            <w:tcW w:w="966" w:type="dxa"/>
            <w:noWrap/>
            <w:vAlign w:val="bottom"/>
            <w:hideMark/>
          </w:tcPr>
          <w:p w14:paraId="30AF446B"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1.07</w:t>
            </w:r>
          </w:p>
        </w:tc>
        <w:tc>
          <w:tcPr>
            <w:tcW w:w="966" w:type="dxa"/>
            <w:noWrap/>
            <w:vAlign w:val="bottom"/>
            <w:hideMark/>
          </w:tcPr>
          <w:p w14:paraId="4EE0882C"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11.81</w:t>
            </w:r>
          </w:p>
        </w:tc>
        <w:tc>
          <w:tcPr>
            <w:tcW w:w="966" w:type="dxa"/>
            <w:noWrap/>
            <w:vAlign w:val="bottom"/>
            <w:hideMark/>
          </w:tcPr>
          <w:p w14:paraId="16D4EEE2" w14:textId="77777777" w:rsidR="00AC0043" w:rsidRPr="00B625A8" w:rsidRDefault="00AC0043" w:rsidP="006323CB">
            <w:pPr>
              <w:spacing w:after="0" w:line="276" w:lineRule="auto"/>
              <w:jc w:val="right"/>
              <w:rPr>
                <w:rFonts w:ascii="Arial" w:eastAsia="Times New Roman" w:hAnsi="Arial" w:cs="Arial"/>
                <w:color w:val="000000"/>
                <w:lang w:val="en-AE" w:eastAsia="en-AE"/>
              </w:rPr>
            </w:pPr>
            <w:r w:rsidRPr="00B625A8">
              <w:rPr>
                <w:rFonts w:ascii="Arial" w:hAnsi="Arial" w:cs="Arial"/>
                <w:color w:val="000000"/>
              </w:rPr>
              <w:t>17.10</w:t>
            </w:r>
          </w:p>
        </w:tc>
      </w:tr>
    </w:tbl>
    <w:p w14:paraId="167B95D2" w14:textId="77777777" w:rsidR="006323CB" w:rsidRDefault="006323CB" w:rsidP="00B625A8">
      <w:pPr>
        <w:spacing w:after="0" w:line="480" w:lineRule="auto"/>
        <w:jc w:val="both"/>
        <w:rPr>
          <w:rFonts w:ascii="Arial" w:hAnsi="Arial" w:cs="Arial"/>
          <w:b/>
          <w:bCs/>
        </w:rPr>
      </w:pPr>
    </w:p>
    <w:p w14:paraId="1E2F5DB4" w14:textId="77777777" w:rsidR="00AC0043" w:rsidRPr="00B625A8" w:rsidRDefault="003243F1" w:rsidP="00B625A8">
      <w:pPr>
        <w:spacing w:after="0" w:line="480" w:lineRule="auto"/>
        <w:jc w:val="both"/>
        <w:rPr>
          <w:rFonts w:ascii="Arial" w:hAnsi="Arial" w:cs="Arial"/>
          <w:b/>
          <w:bCs/>
        </w:rPr>
      </w:pPr>
      <w:r>
        <w:rPr>
          <w:rFonts w:ascii="Arial" w:hAnsi="Arial" w:cs="Arial"/>
          <w:b/>
          <w:bCs/>
        </w:rPr>
        <w:t xml:space="preserve">4.1.2 </w:t>
      </w:r>
      <w:r w:rsidR="00AC0043" w:rsidRPr="00B625A8">
        <w:rPr>
          <w:rFonts w:ascii="Arial" w:hAnsi="Arial" w:cs="Arial"/>
          <w:b/>
          <w:bCs/>
        </w:rPr>
        <w:t>Correlation matrix</w:t>
      </w:r>
    </w:p>
    <w:p w14:paraId="1A2A86A7" w14:textId="77777777" w:rsidR="00AC0043" w:rsidRPr="00B625A8" w:rsidRDefault="00054144" w:rsidP="00B625A8">
      <w:pPr>
        <w:spacing w:after="0" w:line="480" w:lineRule="auto"/>
        <w:jc w:val="both"/>
        <w:rPr>
          <w:rFonts w:ascii="Arial" w:hAnsi="Arial" w:cs="Arial"/>
          <w:i/>
          <w:iCs/>
        </w:rPr>
      </w:pPr>
      <w:r w:rsidRPr="00B625A8">
        <w:rPr>
          <w:rFonts w:ascii="Arial" w:hAnsi="Arial" w:cs="Arial"/>
        </w:rPr>
        <w:t>The ROA, as shown in Table 3, revealed a negative correlation with all the independen</w:t>
      </w:r>
      <w:r w:rsidR="00A94DA5" w:rsidRPr="00B625A8">
        <w:rPr>
          <w:rFonts w:ascii="Arial" w:hAnsi="Arial" w:cs="Arial"/>
        </w:rPr>
        <w:t>t variables. Firstly, with the Z</w:t>
      </w:r>
      <w:r w:rsidRPr="00B625A8">
        <w:rPr>
          <w:rFonts w:ascii="Arial" w:hAnsi="Arial" w:cs="Arial"/>
        </w:rPr>
        <w:t>-score, which is a measure of credit risk, the correlation is weak but significant (r=-0.197, p&lt;.05), meaning that banks with higher credit risk are less profitable. The correlation between ROA and RAC is moderately strong and significant (r=-0.490, p&lt;.001), indicating that lower profitability is linked to banks with higher RAC. This correlation is counterintuitive, but it may reflect a lack of regulatory constraints where overcapitalization may limit revenue-generating activities. The model analysis will shed more light on this ROA-RAC relationship. Regarding LDR and ROA, the correlation is not significant (r=-0.116, p&gt;.05), and for ROA and bank size, the relationship is significant (r=-0.251, p&lt; 0.05), indicating that larger banks may face profitability challenges due to scale inefficiencies or regulatory burdens. Furthermore, the correlation matrix shows that no pairwise correlation coefficient exceeds |0.5|, indicating the absence of multicollinearity among the independent variables</w:t>
      </w:r>
      <w:r w:rsidR="00C9034D" w:rsidRPr="00B625A8">
        <w:rPr>
          <w:rFonts w:ascii="Arial" w:hAnsi="Arial" w:cs="Arial"/>
        </w:rPr>
        <w:t>.</w:t>
      </w:r>
    </w:p>
    <w:p w14:paraId="6C7C7A59" w14:textId="77777777" w:rsidR="00A94DA5" w:rsidRPr="00B625A8" w:rsidRDefault="00AC0043" w:rsidP="00B625A8">
      <w:pPr>
        <w:spacing w:after="0" w:line="480" w:lineRule="auto"/>
        <w:rPr>
          <w:rFonts w:ascii="Arial" w:hAnsi="Arial" w:cs="Arial"/>
          <w:b/>
          <w:bCs/>
        </w:rPr>
      </w:pPr>
      <w:r w:rsidRPr="00B625A8">
        <w:rPr>
          <w:rFonts w:ascii="Arial" w:hAnsi="Arial" w:cs="Arial"/>
          <w:b/>
          <w:bCs/>
        </w:rPr>
        <w:t>Table 3</w:t>
      </w:r>
    </w:p>
    <w:p w14:paraId="7E6EA5AF" w14:textId="77777777" w:rsidR="00AC0043" w:rsidRDefault="00AC0043" w:rsidP="006323CB">
      <w:pPr>
        <w:spacing w:after="0" w:line="240" w:lineRule="auto"/>
        <w:rPr>
          <w:rFonts w:ascii="Arial" w:hAnsi="Arial" w:cs="Arial"/>
          <w:b/>
          <w:bCs/>
        </w:rPr>
      </w:pPr>
      <w:r w:rsidRPr="00B625A8">
        <w:rPr>
          <w:rFonts w:ascii="Arial" w:hAnsi="Arial" w:cs="Arial"/>
          <w:b/>
          <w:bCs/>
        </w:rPr>
        <w:t>Correlation matrix</w:t>
      </w:r>
    </w:p>
    <w:p w14:paraId="75D7266D" w14:textId="77777777" w:rsidR="006323CB" w:rsidRPr="00604C87" w:rsidRDefault="006323CB" w:rsidP="006323CB">
      <w:pPr>
        <w:spacing w:after="0" w:line="240" w:lineRule="auto"/>
        <w:rPr>
          <w:rFonts w:ascii="Times New Roman" w:hAnsi="Times New Roman" w:cs="Times New Roman"/>
          <w:b/>
          <w:bCs/>
          <w:sz w:val="24"/>
          <w:szCs w:val="24"/>
        </w:rPr>
      </w:pPr>
    </w:p>
    <w:tbl>
      <w:tblPr>
        <w:tblW w:w="0" w:type="auto"/>
        <w:tblLayout w:type="fixed"/>
        <w:tblLook w:val="0000" w:firstRow="0" w:lastRow="0" w:firstColumn="0" w:lastColumn="0" w:noHBand="0" w:noVBand="0"/>
      </w:tblPr>
      <w:tblGrid>
        <w:gridCol w:w="1450"/>
        <w:gridCol w:w="854"/>
        <w:gridCol w:w="854"/>
        <w:gridCol w:w="854"/>
        <w:gridCol w:w="854"/>
        <w:gridCol w:w="854"/>
      </w:tblGrid>
      <w:tr w:rsidR="006323CB" w:rsidRPr="00604C87" w14:paraId="72AA668C" w14:textId="77777777" w:rsidTr="00173A63">
        <w:tc>
          <w:tcPr>
            <w:tcW w:w="1450" w:type="dxa"/>
            <w:tcBorders>
              <w:top w:val="single" w:sz="4" w:space="0" w:color="auto"/>
              <w:left w:val="nil"/>
              <w:bottom w:val="single" w:sz="6" w:space="0" w:color="auto"/>
              <w:right w:val="nil"/>
            </w:tcBorders>
          </w:tcPr>
          <w:p w14:paraId="59EA2D8A" w14:textId="77777777" w:rsidR="006323CB" w:rsidRPr="00604C87" w:rsidRDefault="006323CB" w:rsidP="00173A63">
            <w:pPr>
              <w:widowControl w:val="0"/>
              <w:autoSpaceDE w:val="0"/>
              <w:autoSpaceDN w:val="0"/>
              <w:adjustRightInd w:val="0"/>
              <w:spacing w:after="0" w:line="240" w:lineRule="auto"/>
              <w:rPr>
                <w:rFonts w:ascii="Times New Roman" w:hAnsi="Times New Roman" w:cs="Times New Roman"/>
                <w:sz w:val="20"/>
                <w:szCs w:val="20"/>
              </w:rPr>
            </w:pPr>
            <w:r w:rsidRPr="00604C87">
              <w:rPr>
                <w:rFonts w:ascii="Times New Roman" w:hAnsi="Times New Roman" w:cs="Times New Roman"/>
                <w:sz w:val="20"/>
                <w:szCs w:val="20"/>
              </w:rPr>
              <w:t>Variables</w:t>
            </w:r>
          </w:p>
        </w:tc>
        <w:tc>
          <w:tcPr>
            <w:tcW w:w="854" w:type="dxa"/>
            <w:tcBorders>
              <w:top w:val="single" w:sz="4" w:space="0" w:color="auto"/>
              <w:left w:val="nil"/>
              <w:bottom w:val="single" w:sz="6" w:space="0" w:color="auto"/>
              <w:right w:val="nil"/>
            </w:tcBorders>
          </w:tcPr>
          <w:p w14:paraId="07E1F069" w14:textId="77777777" w:rsidR="006323CB" w:rsidRPr="00604C87" w:rsidRDefault="006323CB" w:rsidP="00173A63">
            <w:pPr>
              <w:widowControl w:val="0"/>
              <w:autoSpaceDE w:val="0"/>
              <w:autoSpaceDN w:val="0"/>
              <w:adjustRightInd w:val="0"/>
              <w:spacing w:after="0" w:line="240" w:lineRule="auto"/>
              <w:jc w:val="center"/>
              <w:rPr>
                <w:rFonts w:ascii="Times New Roman" w:hAnsi="Times New Roman" w:cs="Times New Roman"/>
                <w:sz w:val="20"/>
                <w:szCs w:val="20"/>
              </w:rPr>
            </w:pPr>
            <w:r w:rsidRPr="00604C87">
              <w:rPr>
                <w:rFonts w:ascii="Times New Roman" w:hAnsi="Times New Roman" w:cs="Times New Roman"/>
                <w:sz w:val="20"/>
                <w:szCs w:val="20"/>
              </w:rPr>
              <w:t>ROA</w:t>
            </w:r>
          </w:p>
        </w:tc>
        <w:tc>
          <w:tcPr>
            <w:tcW w:w="854" w:type="dxa"/>
            <w:tcBorders>
              <w:top w:val="single" w:sz="4" w:space="0" w:color="auto"/>
              <w:left w:val="nil"/>
              <w:bottom w:val="single" w:sz="6" w:space="0" w:color="auto"/>
              <w:right w:val="nil"/>
            </w:tcBorders>
          </w:tcPr>
          <w:p w14:paraId="01D0A77E"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Z-score</w:t>
            </w:r>
          </w:p>
        </w:tc>
        <w:tc>
          <w:tcPr>
            <w:tcW w:w="854" w:type="dxa"/>
            <w:tcBorders>
              <w:top w:val="single" w:sz="4" w:space="0" w:color="auto"/>
              <w:left w:val="nil"/>
              <w:bottom w:val="single" w:sz="6" w:space="0" w:color="auto"/>
              <w:right w:val="nil"/>
            </w:tcBorders>
          </w:tcPr>
          <w:p w14:paraId="3CB63ADB"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RAC</w:t>
            </w:r>
          </w:p>
        </w:tc>
        <w:tc>
          <w:tcPr>
            <w:tcW w:w="854" w:type="dxa"/>
            <w:tcBorders>
              <w:top w:val="single" w:sz="4" w:space="0" w:color="auto"/>
              <w:left w:val="nil"/>
              <w:bottom w:val="single" w:sz="6" w:space="0" w:color="auto"/>
              <w:right w:val="nil"/>
            </w:tcBorders>
          </w:tcPr>
          <w:p w14:paraId="35FCB23D"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LDR</w:t>
            </w:r>
          </w:p>
        </w:tc>
        <w:tc>
          <w:tcPr>
            <w:tcW w:w="854" w:type="dxa"/>
            <w:tcBorders>
              <w:top w:val="single" w:sz="4" w:space="0" w:color="auto"/>
              <w:left w:val="nil"/>
              <w:bottom w:val="single" w:sz="6" w:space="0" w:color="auto"/>
              <w:right w:val="nil"/>
            </w:tcBorders>
          </w:tcPr>
          <w:p w14:paraId="3A4E8E00"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BSIZE</w:t>
            </w:r>
          </w:p>
        </w:tc>
      </w:tr>
      <w:tr w:rsidR="006323CB" w:rsidRPr="00604C87" w14:paraId="70BC16CB" w14:textId="77777777" w:rsidTr="00173A63">
        <w:tc>
          <w:tcPr>
            <w:tcW w:w="1450" w:type="dxa"/>
            <w:tcBorders>
              <w:top w:val="nil"/>
              <w:left w:val="nil"/>
              <w:bottom w:val="nil"/>
              <w:right w:val="nil"/>
            </w:tcBorders>
          </w:tcPr>
          <w:p w14:paraId="0E2CECD1" w14:textId="77777777" w:rsidR="006323CB" w:rsidRPr="00604C87" w:rsidRDefault="006323CB" w:rsidP="00173A63">
            <w:pPr>
              <w:widowControl w:val="0"/>
              <w:autoSpaceDE w:val="0"/>
              <w:autoSpaceDN w:val="0"/>
              <w:adjustRightInd w:val="0"/>
              <w:spacing w:after="0" w:line="240" w:lineRule="auto"/>
              <w:rPr>
                <w:rFonts w:ascii="Times New Roman" w:hAnsi="Times New Roman" w:cs="Times New Roman"/>
                <w:sz w:val="20"/>
                <w:szCs w:val="20"/>
              </w:rPr>
            </w:pPr>
            <w:r w:rsidRPr="00604C87">
              <w:rPr>
                <w:rFonts w:ascii="Times New Roman" w:hAnsi="Times New Roman" w:cs="Times New Roman"/>
                <w:sz w:val="20"/>
                <w:szCs w:val="20"/>
              </w:rPr>
              <w:t>Z-score</w:t>
            </w:r>
          </w:p>
        </w:tc>
        <w:tc>
          <w:tcPr>
            <w:tcW w:w="854" w:type="dxa"/>
            <w:tcBorders>
              <w:top w:val="nil"/>
              <w:left w:val="nil"/>
              <w:bottom w:val="nil"/>
              <w:right w:val="nil"/>
            </w:tcBorders>
          </w:tcPr>
          <w:p w14:paraId="6C85CD63"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-0.197*</w:t>
            </w:r>
          </w:p>
        </w:tc>
        <w:tc>
          <w:tcPr>
            <w:tcW w:w="854" w:type="dxa"/>
            <w:tcBorders>
              <w:top w:val="nil"/>
              <w:left w:val="nil"/>
              <w:bottom w:val="nil"/>
              <w:right w:val="nil"/>
            </w:tcBorders>
          </w:tcPr>
          <w:p w14:paraId="64254965"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1.000</w:t>
            </w:r>
          </w:p>
        </w:tc>
        <w:tc>
          <w:tcPr>
            <w:tcW w:w="854" w:type="dxa"/>
            <w:tcBorders>
              <w:top w:val="nil"/>
              <w:left w:val="nil"/>
              <w:bottom w:val="nil"/>
              <w:right w:val="nil"/>
            </w:tcBorders>
          </w:tcPr>
          <w:p w14:paraId="057DA068"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c>
          <w:tcPr>
            <w:tcW w:w="854" w:type="dxa"/>
            <w:tcBorders>
              <w:top w:val="nil"/>
              <w:left w:val="nil"/>
              <w:bottom w:val="nil"/>
              <w:right w:val="nil"/>
            </w:tcBorders>
          </w:tcPr>
          <w:p w14:paraId="3F7F5ACC"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c>
          <w:tcPr>
            <w:tcW w:w="854" w:type="dxa"/>
            <w:tcBorders>
              <w:top w:val="nil"/>
              <w:left w:val="nil"/>
              <w:bottom w:val="nil"/>
              <w:right w:val="nil"/>
            </w:tcBorders>
          </w:tcPr>
          <w:p w14:paraId="13CB139C"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r>
      <w:tr w:rsidR="006323CB" w:rsidRPr="00604C87" w14:paraId="2208B05B" w14:textId="77777777" w:rsidTr="00173A63">
        <w:tc>
          <w:tcPr>
            <w:tcW w:w="1450" w:type="dxa"/>
            <w:tcBorders>
              <w:top w:val="nil"/>
              <w:left w:val="nil"/>
              <w:bottom w:val="nil"/>
              <w:right w:val="nil"/>
            </w:tcBorders>
          </w:tcPr>
          <w:p w14:paraId="7AC362C1" w14:textId="77777777" w:rsidR="006323CB" w:rsidRPr="00604C87" w:rsidRDefault="006323CB" w:rsidP="00173A63">
            <w:pPr>
              <w:widowControl w:val="0"/>
              <w:autoSpaceDE w:val="0"/>
              <w:autoSpaceDN w:val="0"/>
              <w:adjustRightInd w:val="0"/>
              <w:spacing w:after="0" w:line="240" w:lineRule="auto"/>
              <w:rPr>
                <w:rFonts w:ascii="Times New Roman" w:hAnsi="Times New Roman" w:cs="Times New Roman"/>
                <w:sz w:val="20"/>
                <w:szCs w:val="20"/>
              </w:rPr>
            </w:pPr>
          </w:p>
        </w:tc>
        <w:tc>
          <w:tcPr>
            <w:tcW w:w="854" w:type="dxa"/>
            <w:tcBorders>
              <w:top w:val="nil"/>
              <w:left w:val="nil"/>
              <w:bottom w:val="nil"/>
              <w:right w:val="nil"/>
            </w:tcBorders>
          </w:tcPr>
          <w:p w14:paraId="34B06D71"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(0.013)</w:t>
            </w:r>
          </w:p>
        </w:tc>
        <w:tc>
          <w:tcPr>
            <w:tcW w:w="854" w:type="dxa"/>
            <w:tcBorders>
              <w:top w:val="nil"/>
              <w:left w:val="nil"/>
              <w:bottom w:val="nil"/>
              <w:right w:val="nil"/>
            </w:tcBorders>
          </w:tcPr>
          <w:p w14:paraId="6F634E1B"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c>
          <w:tcPr>
            <w:tcW w:w="854" w:type="dxa"/>
            <w:tcBorders>
              <w:top w:val="nil"/>
              <w:left w:val="nil"/>
              <w:bottom w:val="nil"/>
              <w:right w:val="nil"/>
            </w:tcBorders>
          </w:tcPr>
          <w:p w14:paraId="4FB85BA4"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c>
          <w:tcPr>
            <w:tcW w:w="854" w:type="dxa"/>
            <w:tcBorders>
              <w:top w:val="nil"/>
              <w:left w:val="nil"/>
              <w:bottom w:val="nil"/>
              <w:right w:val="nil"/>
            </w:tcBorders>
          </w:tcPr>
          <w:p w14:paraId="6EA089E7"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c>
          <w:tcPr>
            <w:tcW w:w="854" w:type="dxa"/>
            <w:tcBorders>
              <w:top w:val="nil"/>
              <w:left w:val="nil"/>
              <w:bottom w:val="nil"/>
              <w:right w:val="nil"/>
            </w:tcBorders>
          </w:tcPr>
          <w:p w14:paraId="1FD74F44"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r>
      <w:tr w:rsidR="006323CB" w:rsidRPr="00604C87" w14:paraId="44DEBC58" w14:textId="77777777" w:rsidTr="00173A63">
        <w:tc>
          <w:tcPr>
            <w:tcW w:w="1450" w:type="dxa"/>
            <w:tcBorders>
              <w:top w:val="nil"/>
              <w:left w:val="nil"/>
              <w:bottom w:val="nil"/>
              <w:right w:val="nil"/>
            </w:tcBorders>
          </w:tcPr>
          <w:p w14:paraId="426265EE" w14:textId="77777777" w:rsidR="006323CB" w:rsidRPr="00604C87" w:rsidRDefault="006323CB" w:rsidP="00173A63">
            <w:pPr>
              <w:widowControl w:val="0"/>
              <w:autoSpaceDE w:val="0"/>
              <w:autoSpaceDN w:val="0"/>
              <w:adjustRightInd w:val="0"/>
              <w:spacing w:after="0" w:line="240" w:lineRule="auto"/>
              <w:rPr>
                <w:rFonts w:ascii="Times New Roman" w:hAnsi="Times New Roman" w:cs="Times New Roman"/>
                <w:sz w:val="20"/>
                <w:szCs w:val="20"/>
              </w:rPr>
            </w:pPr>
            <w:r w:rsidRPr="00604C87">
              <w:rPr>
                <w:rFonts w:ascii="Times New Roman" w:hAnsi="Times New Roman" w:cs="Times New Roman"/>
                <w:sz w:val="20"/>
                <w:szCs w:val="20"/>
              </w:rPr>
              <w:t>RAC</w:t>
            </w:r>
          </w:p>
        </w:tc>
        <w:tc>
          <w:tcPr>
            <w:tcW w:w="854" w:type="dxa"/>
            <w:tcBorders>
              <w:top w:val="nil"/>
              <w:left w:val="nil"/>
              <w:bottom w:val="nil"/>
              <w:right w:val="nil"/>
            </w:tcBorders>
          </w:tcPr>
          <w:p w14:paraId="53ED3141"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-0.490*</w:t>
            </w:r>
          </w:p>
        </w:tc>
        <w:tc>
          <w:tcPr>
            <w:tcW w:w="854" w:type="dxa"/>
            <w:tcBorders>
              <w:top w:val="nil"/>
              <w:left w:val="nil"/>
              <w:bottom w:val="nil"/>
              <w:right w:val="nil"/>
            </w:tcBorders>
          </w:tcPr>
          <w:p w14:paraId="4D8763A1" w14:textId="77777777" w:rsidR="006323CB" w:rsidRPr="00604C87" w:rsidRDefault="006323CB" w:rsidP="00173A63">
            <w:pPr>
              <w:widowControl w:val="0"/>
              <w:autoSpaceDE w:val="0"/>
              <w:autoSpaceDN w:val="0"/>
              <w:adjustRightInd w:val="0"/>
              <w:spacing w:after="0" w:line="240" w:lineRule="auto"/>
              <w:jc w:val="center"/>
              <w:rPr>
                <w:rFonts w:ascii="Times New Roman" w:hAnsi="Times New Roman" w:cs="Times New Roman"/>
                <w:sz w:val="20"/>
                <w:szCs w:val="20"/>
              </w:rPr>
            </w:pPr>
            <w:r w:rsidRPr="00604C87">
              <w:rPr>
                <w:rFonts w:ascii="Times New Roman" w:hAnsi="Times New Roman" w:cs="Times New Roman"/>
                <w:sz w:val="20"/>
                <w:szCs w:val="20"/>
              </w:rPr>
              <w:t>0.071</w:t>
            </w:r>
          </w:p>
        </w:tc>
        <w:tc>
          <w:tcPr>
            <w:tcW w:w="854" w:type="dxa"/>
            <w:tcBorders>
              <w:top w:val="nil"/>
              <w:left w:val="nil"/>
              <w:bottom w:val="nil"/>
              <w:right w:val="nil"/>
            </w:tcBorders>
          </w:tcPr>
          <w:p w14:paraId="5E05E93C"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1.000</w:t>
            </w:r>
          </w:p>
        </w:tc>
        <w:tc>
          <w:tcPr>
            <w:tcW w:w="854" w:type="dxa"/>
            <w:tcBorders>
              <w:top w:val="nil"/>
              <w:left w:val="nil"/>
              <w:bottom w:val="nil"/>
              <w:right w:val="nil"/>
            </w:tcBorders>
          </w:tcPr>
          <w:p w14:paraId="23D18328"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c>
          <w:tcPr>
            <w:tcW w:w="854" w:type="dxa"/>
            <w:tcBorders>
              <w:top w:val="nil"/>
              <w:left w:val="nil"/>
              <w:bottom w:val="nil"/>
              <w:right w:val="nil"/>
            </w:tcBorders>
          </w:tcPr>
          <w:p w14:paraId="37A15FA3"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r>
      <w:tr w:rsidR="006323CB" w:rsidRPr="00604C87" w14:paraId="5D5C75A0" w14:textId="77777777" w:rsidTr="00173A63">
        <w:tc>
          <w:tcPr>
            <w:tcW w:w="1450" w:type="dxa"/>
            <w:tcBorders>
              <w:top w:val="nil"/>
              <w:left w:val="nil"/>
              <w:bottom w:val="nil"/>
              <w:right w:val="nil"/>
            </w:tcBorders>
          </w:tcPr>
          <w:p w14:paraId="2FEC446D" w14:textId="77777777" w:rsidR="006323CB" w:rsidRPr="00604C87" w:rsidRDefault="006323CB" w:rsidP="00173A63">
            <w:pPr>
              <w:widowControl w:val="0"/>
              <w:autoSpaceDE w:val="0"/>
              <w:autoSpaceDN w:val="0"/>
              <w:adjustRightInd w:val="0"/>
              <w:spacing w:after="0" w:line="240" w:lineRule="auto"/>
              <w:rPr>
                <w:rFonts w:ascii="Times New Roman" w:hAnsi="Times New Roman" w:cs="Times New Roman"/>
                <w:sz w:val="20"/>
                <w:szCs w:val="20"/>
              </w:rPr>
            </w:pPr>
          </w:p>
        </w:tc>
        <w:tc>
          <w:tcPr>
            <w:tcW w:w="854" w:type="dxa"/>
            <w:tcBorders>
              <w:top w:val="nil"/>
              <w:left w:val="nil"/>
              <w:bottom w:val="nil"/>
              <w:right w:val="nil"/>
            </w:tcBorders>
          </w:tcPr>
          <w:p w14:paraId="1609D5E1"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(0.000)</w:t>
            </w:r>
          </w:p>
        </w:tc>
        <w:tc>
          <w:tcPr>
            <w:tcW w:w="854" w:type="dxa"/>
            <w:tcBorders>
              <w:top w:val="nil"/>
              <w:left w:val="nil"/>
              <w:bottom w:val="nil"/>
              <w:right w:val="nil"/>
            </w:tcBorders>
          </w:tcPr>
          <w:p w14:paraId="125EC8C5"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(0.372)</w:t>
            </w:r>
          </w:p>
        </w:tc>
        <w:tc>
          <w:tcPr>
            <w:tcW w:w="854" w:type="dxa"/>
            <w:tcBorders>
              <w:top w:val="nil"/>
              <w:left w:val="nil"/>
              <w:bottom w:val="nil"/>
              <w:right w:val="nil"/>
            </w:tcBorders>
          </w:tcPr>
          <w:p w14:paraId="5948F19A"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c>
          <w:tcPr>
            <w:tcW w:w="854" w:type="dxa"/>
            <w:tcBorders>
              <w:top w:val="nil"/>
              <w:left w:val="nil"/>
              <w:bottom w:val="nil"/>
              <w:right w:val="nil"/>
            </w:tcBorders>
          </w:tcPr>
          <w:p w14:paraId="5E697816"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c>
          <w:tcPr>
            <w:tcW w:w="854" w:type="dxa"/>
            <w:tcBorders>
              <w:top w:val="nil"/>
              <w:left w:val="nil"/>
              <w:bottom w:val="nil"/>
              <w:right w:val="nil"/>
            </w:tcBorders>
          </w:tcPr>
          <w:p w14:paraId="0F30C75A"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r>
      <w:tr w:rsidR="006323CB" w:rsidRPr="00604C87" w14:paraId="7C00DFB4" w14:textId="77777777" w:rsidTr="00173A63">
        <w:tc>
          <w:tcPr>
            <w:tcW w:w="1450" w:type="dxa"/>
            <w:tcBorders>
              <w:top w:val="nil"/>
              <w:left w:val="nil"/>
              <w:bottom w:val="nil"/>
              <w:right w:val="nil"/>
            </w:tcBorders>
          </w:tcPr>
          <w:p w14:paraId="3F19623A" w14:textId="77777777" w:rsidR="006323CB" w:rsidRPr="00604C87" w:rsidRDefault="006323CB" w:rsidP="00173A63">
            <w:pPr>
              <w:widowControl w:val="0"/>
              <w:autoSpaceDE w:val="0"/>
              <w:autoSpaceDN w:val="0"/>
              <w:adjustRightInd w:val="0"/>
              <w:spacing w:after="0" w:line="240" w:lineRule="auto"/>
              <w:rPr>
                <w:rFonts w:ascii="Times New Roman" w:hAnsi="Times New Roman" w:cs="Times New Roman"/>
                <w:sz w:val="20"/>
                <w:szCs w:val="20"/>
              </w:rPr>
            </w:pPr>
            <w:r w:rsidRPr="00604C87">
              <w:rPr>
                <w:rFonts w:ascii="Times New Roman" w:hAnsi="Times New Roman" w:cs="Times New Roman"/>
                <w:sz w:val="20"/>
                <w:szCs w:val="20"/>
              </w:rPr>
              <w:t>LDR</w:t>
            </w:r>
          </w:p>
        </w:tc>
        <w:tc>
          <w:tcPr>
            <w:tcW w:w="854" w:type="dxa"/>
            <w:tcBorders>
              <w:top w:val="nil"/>
              <w:left w:val="nil"/>
              <w:bottom w:val="nil"/>
              <w:right w:val="nil"/>
            </w:tcBorders>
          </w:tcPr>
          <w:p w14:paraId="4BDA2283"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-0.116</w:t>
            </w:r>
          </w:p>
        </w:tc>
        <w:tc>
          <w:tcPr>
            <w:tcW w:w="854" w:type="dxa"/>
            <w:tcBorders>
              <w:top w:val="nil"/>
              <w:left w:val="nil"/>
              <w:bottom w:val="nil"/>
              <w:right w:val="nil"/>
            </w:tcBorders>
          </w:tcPr>
          <w:p w14:paraId="0A6AD475"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0.236*</w:t>
            </w:r>
          </w:p>
        </w:tc>
        <w:tc>
          <w:tcPr>
            <w:tcW w:w="854" w:type="dxa"/>
            <w:tcBorders>
              <w:top w:val="nil"/>
              <w:left w:val="nil"/>
              <w:bottom w:val="nil"/>
              <w:right w:val="nil"/>
            </w:tcBorders>
          </w:tcPr>
          <w:p w14:paraId="3F655050"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-0.087</w:t>
            </w:r>
          </w:p>
        </w:tc>
        <w:tc>
          <w:tcPr>
            <w:tcW w:w="854" w:type="dxa"/>
            <w:tcBorders>
              <w:top w:val="nil"/>
              <w:left w:val="nil"/>
              <w:bottom w:val="nil"/>
              <w:right w:val="nil"/>
            </w:tcBorders>
          </w:tcPr>
          <w:p w14:paraId="2CC6F5AA"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1.000</w:t>
            </w:r>
          </w:p>
        </w:tc>
        <w:tc>
          <w:tcPr>
            <w:tcW w:w="854" w:type="dxa"/>
            <w:tcBorders>
              <w:top w:val="nil"/>
              <w:left w:val="nil"/>
              <w:bottom w:val="nil"/>
              <w:right w:val="nil"/>
            </w:tcBorders>
          </w:tcPr>
          <w:p w14:paraId="67CB441C"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r>
      <w:tr w:rsidR="006323CB" w:rsidRPr="00604C87" w14:paraId="0D0DD809" w14:textId="77777777" w:rsidTr="00173A63">
        <w:tc>
          <w:tcPr>
            <w:tcW w:w="1450" w:type="dxa"/>
            <w:tcBorders>
              <w:top w:val="nil"/>
              <w:left w:val="nil"/>
              <w:right w:val="nil"/>
            </w:tcBorders>
          </w:tcPr>
          <w:p w14:paraId="4892EE0F" w14:textId="77777777" w:rsidR="006323CB" w:rsidRPr="00604C87" w:rsidRDefault="006323CB" w:rsidP="00173A63">
            <w:pPr>
              <w:widowControl w:val="0"/>
              <w:autoSpaceDE w:val="0"/>
              <w:autoSpaceDN w:val="0"/>
              <w:adjustRightInd w:val="0"/>
              <w:spacing w:after="0" w:line="240" w:lineRule="auto"/>
              <w:rPr>
                <w:rFonts w:ascii="Times New Roman" w:hAnsi="Times New Roman" w:cs="Times New Roman"/>
                <w:sz w:val="20"/>
                <w:szCs w:val="20"/>
              </w:rPr>
            </w:pPr>
          </w:p>
        </w:tc>
        <w:tc>
          <w:tcPr>
            <w:tcW w:w="854" w:type="dxa"/>
            <w:tcBorders>
              <w:top w:val="nil"/>
              <w:left w:val="nil"/>
              <w:right w:val="nil"/>
            </w:tcBorders>
          </w:tcPr>
          <w:p w14:paraId="47C37E0E"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(0.135)</w:t>
            </w:r>
          </w:p>
        </w:tc>
        <w:tc>
          <w:tcPr>
            <w:tcW w:w="854" w:type="dxa"/>
            <w:tcBorders>
              <w:top w:val="nil"/>
              <w:left w:val="nil"/>
              <w:right w:val="nil"/>
            </w:tcBorders>
          </w:tcPr>
          <w:p w14:paraId="31C7B94D"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(0.002)</w:t>
            </w:r>
          </w:p>
        </w:tc>
        <w:tc>
          <w:tcPr>
            <w:tcW w:w="854" w:type="dxa"/>
            <w:tcBorders>
              <w:top w:val="nil"/>
              <w:left w:val="nil"/>
              <w:right w:val="nil"/>
            </w:tcBorders>
          </w:tcPr>
          <w:p w14:paraId="561C8D1F"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(0.262)</w:t>
            </w:r>
          </w:p>
        </w:tc>
        <w:tc>
          <w:tcPr>
            <w:tcW w:w="854" w:type="dxa"/>
            <w:tcBorders>
              <w:top w:val="nil"/>
              <w:left w:val="nil"/>
              <w:right w:val="nil"/>
            </w:tcBorders>
          </w:tcPr>
          <w:p w14:paraId="205EC969"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c>
          <w:tcPr>
            <w:tcW w:w="854" w:type="dxa"/>
            <w:tcBorders>
              <w:top w:val="nil"/>
              <w:left w:val="nil"/>
              <w:right w:val="nil"/>
            </w:tcBorders>
          </w:tcPr>
          <w:p w14:paraId="6F61913E"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r>
      <w:tr w:rsidR="006323CB" w:rsidRPr="00604C87" w14:paraId="5BA12B31" w14:textId="77777777" w:rsidTr="00173A63">
        <w:tc>
          <w:tcPr>
            <w:tcW w:w="1450" w:type="dxa"/>
            <w:tcBorders>
              <w:top w:val="nil"/>
              <w:left w:val="nil"/>
              <w:bottom w:val="nil"/>
              <w:right w:val="nil"/>
            </w:tcBorders>
          </w:tcPr>
          <w:p w14:paraId="672582F2" w14:textId="77777777" w:rsidR="006323CB" w:rsidRPr="00604C87" w:rsidRDefault="006323CB" w:rsidP="00173A63">
            <w:pPr>
              <w:widowControl w:val="0"/>
              <w:autoSpaceDE w:val="0"/>
              <w:autoSpaceDN w:val="0"/>
              <w:adjustRightInd w:val="0"/>
              <w:spacing w:after="0" w:line="240" w:lineRule="auto"/>
              <w:rPr>
                <w:rFonts w:ascii="Times New Roman" w:hAnsi="Times New Roman" w:cs="Times New Roman"/>
                <w:sz w:val="20"/>
                <w:szCs w:val="20"/>
              </w:rPr>
            </w:pPr>
            <w:r w:rsidRPr="00604C87">
              <w:rPr>
                <w:rFonts w:ascii="Times New Roman" w:hAnsi="Times New Roman" w:cs="Times New Roman"/>
                <w:sz w:val="20"/>
                <w:szCs w:val="20"/>
              </w:rPr>
              <w:t>BSIZE</w:t>
            </w:r>
          </w:p>
        </w:tc>
        <w:tc>
          <w:tcPr>
            <w:tcW w:w="854" w:type="dxa"/>
            <w:tcBorders>
              <w:top w:val="nil"/>
              <w:left w:val="nil"/>
              <w:bottom w:val="nil"/>
              <w:right w:val="nil"/>
            </w:tcBorders>
          </w:tcPr>
          <w:p w14:paraId="251D682A"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-0.251*</w:t>
            </w:r>
          </w:p>
        </w:tc>
        <w:tc>
          <w:tcPr>
            <w:tcW w:w="854" w:type="dxa"/>
            <w:tcBorders>
              <w:top w:val="nil"/>
              <w:left w:val="nil"/>
              <w:bottom w:val="nil"/>
              <w:right w:val="nil"/>
            </w:tcBorders>
          </w:tcPr>
          <w:p w14:paraId="7431DC76"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0.281*</w:t>
            </w:r>
          </w:p>
        </w:tc>
        <w:tc>
          <w:tcPr>
            <w:tcW w:w="854" w:type="dxa"/>
            <w:tcBorders>
              <w:top w:val="nil"/>
              <w:left w:val="nil"/>
              <w:bottom w:val="nil"/>
              <w:right w:val="nil"/>
            </w:tcBorders>
          </w:tcPr>
          <w:p w14:paraId="37E38677"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-0.174*</w:t>
            </w:r>
          </w:p>
        </w:tc>
        <w:tc>
          <w:tcPr>
            <w:tcW w:w="854" w:type="dxa"/>
            <w:tcBorders>
              <w:top w:val="nil"/>
              <w:left w:val="nil"/>
              <w:bottom w:val="nil"/>
              <w:right w:val="nil"/>
            </w:tcBorders>
          </w:tcPr>
          <w:p w14:paraId="2EAA56C7"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-0.059</w:t>
            </w:r>
          </w:p>
        </w:tc>
        <w:tc>
          <w:tcPr>
            <w:tcW w:w="854" w:type="dxa"/>
            <w:tcBorders>
              <w:top w:val="nil"/>
              <w:left w:val="nil"/>
              <w:bottom w:val="nil"/>
              <w:right w:val="nil"/>
            </w:tcBorders>
          </w:tcPr>
          <w:p w14:paraId="57CFD813"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1.000</w:t>
            </w:r>
          </w:p>
        </w:tc>
      </w:tr>
      <w:tr w:rsidR="006323CB" w:rsidRPr="00604C87" w14:paraId="3055BEAE" w14:textId="77777777" w:rsidTr="00173A63">
        <w:tc>
          <w:tcPr>
            <w:tcW w:w="1450" w:type="dxa"/>
            <w:tcBorders>
              <w:top w:val="nil"/>
              <w:left w:val="nil"/>
              <w:bottom w:val="single" w:sz="4" w:space="0" w:color="auto"/>
              <w:right w:val="nil"/>
            </w:tcBorders>
          </w:tcPr>
          <w:p w14:paraId="5102CBEB" w14:textId="77777777" w:rsidR="006323CB" w:rsidRPr="00604C87" w:rsidRDefault="006323CB" w:rsidP="00173A63">
            <w:pPr>
              <w:widowControl w:val="0"/>
              <w:autoSpaceDE w:val="0"/>
              <w:autoSpaceDN w:val="0"/>
              <w:adjustRightInd w:val="0"/>
              <w:spacing w:after="0" w:line="240" w:lineRule="auto"/>
              <w:rPr>
                <w:rFonts w:ascii="Times New Roman" w:hAnsi="Times New Roman" w:cs="Times New Roman"/>
                <w:sz w:val="20"/>
                <w:szCs w:val="20"/>
              </w:rPr>
            </w:pPr>
          </w:p>
        </w:tc>
        <w:tc>
          <w:tcPr>
            <w:tcW w:w="854" w:type="dxa"/>
            <w:tcBorders>
              <w:top w:val="nil"/>
              <w:left w:val="nil"/>
              <w:bottom w:val="single" w:sz="4" w:space="0" w:color="auto"/>
              <w:right w:val="nil"/>
            </w:tcBorders>
          </w:tcPr>
          <w:p w14:paraId="7355DD65"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(0.001)</w:t>
            </w:r>
          </w:p>
        </w:tc>
        <w:tc>
          <w:tcPr>
            <w:tcW w:w="854" w:type="dxa"/>
            <w:tcBorders>
              <w:top w:val="nil"/>
              <w:left w:val="nil"/>
              <w:bottom w:val="single" w:sz="4" w:space="0" w:color="auto"/>
              <w:right w:val="nil"/>
            </w:tcBorders>
          </w:tcPr>
          <w:p w14:paraId="401B6287"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(0.000)</w:t>
            </w:r>
          </w:p>
        </w:tc>
        <w:tc>
          <w:tcPr>
            <w:tcW w:w="854" w:type="dxa"/>
            <w:tcBorders>
              <w:top w:val="nil"/>
              <w:left w:val="nil"/>
              <w:bottom w:val="single" w:sz="4" w:space="0" w:color="auto"/>
              <w:right w:val="nil"/>
            </w:tcBorders>
          </w:tcPr>
          <w:p w14:paraId="759FB22D"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(0.024)</w:t>
            </w:r>
          </w:p>
        </w:tc>
        <w:tc>
          <w:tcPr>
            <w:tcW w:w="854" w:type="dxa"/>
            <w:tcBorders>
              <w:top w:val="nil"/>
              <w:left w:val="nil"/>
              <w:bottom w:val="single" w:sz="4" w:space="0" w:color="auto"/>
              <w:right w:val="nil"/>
            </w:tcBorders>
          </w:tcPr>
          <w:p w14:paraId="0A836016"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r w:rsidRPr="00604C87">
              <w:rPr>
                <w:rFonts w:ascii="Times New Roman" w:hAnsi="Times New Roman" w:cs="Times New Roman"/>
                <w:sz w:val="20"/>
                <w:szCs w:val="20"/>
              </w:rPr>
              <w:t>(0.450)</w:t>
            </w:r>
          </w:p>
        </w:tc>
        <w:tc>
          <w:tcPr>
            <w:tcW w:w="854" w:type="dxa"/>
            <w:tcBorders>
              <w:top w:val="nil"/>
              <w:left w:val="nil"/>
              <w:bottom w:val="single" w:sz="4" w:space="0" w:color="auto"/>
              <w:right w:val="nil"/>
            </w:tcBorders>
          </w:tcPr>
          <w:p w14:paraId="6D09E9A8" w14:textId="77777777" w:rsidR="006323CB" w:rsidRPr="00604C87" w:rsidRDefault="006323CB" w:rsidP="00173A63">
            <w:pPr>
              <w:widowControl w:val="0"/>
              <w:autoSpaceDE w:val="0"/>
              <w:autoSpaceDN w:val="0"/>
              <w:adjustRightInd w:val="0"/>
              <w:spacing w:after="0" w:line="240" w:lineRule="auto"/>
              <w:jc w:val="right"/>
              <w:rPr>
                <w:rFonts w:ascii="Times New Roman" w:hAnsi="Times New Roman" w:cs="Times New Roman"/>
                <w:sz w:val="20"/>
                <w:szCs w:val="20"/>
              </w:rPr>
            </w:pPr>
          </w:p>
        </w:tc>
      </w:tr>
    </w:tbl>
    <w:p w14:paraId="6480DB5F" w14:textId="77777777" w:rsidR="006323CB" w:rsidRPr="006323CB" w:rsidRDefault="006323CB" w:rsidP="006323CB">
      <w:pPr>
        <w:spacing w:line="278" w:lineRule="auto"/>
        <w:jc w:val="center"/>
        <w:rPr>
          <w:rFonts w:ascii="Arial" w:hAnsi="Arial" w:cs="Arial"/>
          <w:i/>
          <w:iCs/>
          <w:sz w:val="20"/>
          <w:szCs w:val="20"/>
        </w:rPr>
      </w:pPr>
      <w:r w:rsidRPr="006323CB">
        <w:rPr>
          <w:rFonts w:ascii="Arial" w:hAnsi="Arial" w:cs="Arial"/>
          <w:i/>
          <w:iCs/>
          <w:sz w:val="20"/>
          <w:szCs w:val="20"/>
        </w:rPr>
        <w:t>* shows significance at p&lt;.05. ROA – Return on Asset, z-score – Credit Risk, RAC - Risk-Adjusted Capital, LDL – Liquidity Deposit Ratio, BSIZE – Bank Size.</w:t>
      </w:r>
    </w:p>
    <w:p w14:paraId="3E6CB443" w14:textId="77777777" w:rsidR="00D17AFA" w:rsidRDefault="00D17AFA" w:rsidP="00173A63">
      <w:pPr>
        <w:spacing w:after="0" w:line="480" w:lineRule="auto"/>
        <w:rPr>
          <w:rFonts w:ascii="Arial" w:hAnsi="Arial" w:cs="Arial"/>
          <w:b/>
          <w:bCs/>
        </w:rPr>
      </w:pPr>
    </w:p>
    <w:p w14:paraId="6B4C45A1" w14:textId="77777777" w:rsidR="00D17AFA" w:rsidRDefault="00D17AFA" w:rsidP="00173A63">
      <w:pPr>
        <w:spacing w:after="0" w:line="480" w:lineRule="auto"/>
        <w:rPr>
          <w:rFonts w:ascii="Arial" w:hAnsi="Arial" w:cs="Arial"/>
          <w:b/>
          <w:bCs/>
        </w:rPr>
      </w:pPr>
    </w:p>
    <w:p w14:paraId="681822C7" w14:textId="77777777" w:rsidR="00D17AFA" w:rsidRDefault="00D17AFA" w:rsidP="00173A63">
      <w:pPr>
        <w:spacing w:after="0" w:line="480" w:lineRule="auto"/>
        <w:rPr>
          <w:rFonts w:ascii="Arial" w:hAnsi="Arial" w:cs="Arial"/>
          <w:b/>
          <w:bCs/>
        </w:rPr>
      </w:pPr>
    </w:p>
    <w:p w14:paraId="00FB1EB6" w14:textId="77777777" w:rsidR="006323CB" w:rsidRDefault="00AC0043" w:rsidP="00173A63">
      <w:pPr>
        <w:spacing w:after="0" w:line="480" w:lineRule="auto"/>
        <w:rPr>
          <w:rFonts w:ascii="Arial" w:hAnsi="Arial" w:cs="Arial"/>
          <w:b/>
          <w:bCs/>
        </w:rPr>
      </w:pPr>
      <w:r w:rsidRPr="00B625A8">
        <w:rPr>
          <w:rFonts w:ascii="Arial" w:hAnsi="Arial" w:cs="Arial"/>
          <w:b/>
          <w:bCs/>
        </w:rPr>
        <w:t xml:space="preserve">4.2 Model estimation </w:t>
      </w:r>
    </w:p>
    <w:p w14:paraId="3CD5ED9B" w14:textId="77777777" w:rsidR="00AC0043" w:rsidRPr="00B625A8" w:rsidRDefault="006323CB" w:rsidP="00173A63">
      <w:pPr>
        <w:spacing w:after="0" w:line="480" w:lineRule="auto"/>
        <w:rPr>
          <w:rFonts w:ascii="Arial" w:hAnsi="Arial" w:cs="Arial"/>
          <w:b/>
          <w:bCs/>
        </w:rPr>
      </w:pPr>
      <w:r>
        <w:rPr>
          <w:rFonts w:ascii="Arial" w:hAnsi="Arial" w:cs="Arial"/>
          <w:b/>
          <w:bCs/>
        </w:rPr>
        <w:t xml:space="preserve">4.2.1 </w:t>
      </w:r>
      <w:r w:rsidR="00AC0043" w:rsidRPr="00B625A8">
        <w:rPr>
          <w:rFonts w:ascii="Arial" w:hAnsi="Arial" w:cs="Arial"/>
          <w:b/>
          <w:bCs/>
        </w:rPr>
        <w:t>Pre-estimation tests</w:t>
      </w:r>
    </w:p>
    <w:p w14:paraId="760923B4" w14:textId="77777777" w:rsidR="00AC0043" w:rsidRPr="00B625A8" w:rsidRDefault="00054144" w:rsidP="003243F1">
      <w:pPr>
        <w:spacing w:line="480" w:lineRule="auto"/>
        <w:ind w:firstLine="720"/>
        <w:jc w:val="both"/>
        <w:rPr>
          <w:rFonts w:ascii="Arial" w:hAnsi="Arial" w:cs="Arial"/>
        </w:rPr>
      </w:pPr>
      <w:r w:rsidRPr="00B625A8">
        <w:rPr>
          <w:rFonts w:ascii="Arial" w:hAnsi="Arial" w:cs="Arial"/>
        </w:rPr>
        <w:t>As explained under the method of estimation, this part presents the pre-estimation analysis to determine whether the PCSE is the right and valid approach. To start with, this study used the Pesaran CD test to check the presence of cross-sectional dependence (CD) in the panel. The results in Table 4 show that all variables, including ROA, Z-score, bank size, and LDR, indicate a statistically significant CD across the panel (p&lt;.001). The widespread presence of CD among core variables justifies the need for estimators that are robust to such dependence. Given this result, second-generation panel unit root tests were used to check the stationarity of the variables. The test results in Table 5 indicate that all variables are stationary at levels (p&lt;.05), thus suggesting that the data series are mean-reverting and do not require differencing, which retains long-run information in the panel. Finally, with stationarity established, a Westerlund cointegration test was performed to determine whether a long-run equilibrium relationship exists among the variables in the model. As reported in Table 6, the test was significant (variance ratio statistic = 2.65, p&lt;0.05), thus providing strong evidence in favor of panel cointegration. This implies that although individual series may fluctuate over time, there is a stable long-run association between the explanatory variables and bank performance. Given these diagnostic outcomes, particularly the presence of CD, stationarity at the level, and evidence of cointegration, the Panel-Corrected Standard Error (PCSE) estimator emerges as a fitting modeling approach. With PCSE, the analysis will automatically account for long-run relationships without requiring differencing, and assumes no autocorrelation or heteroskedasticity of error terms. Additionally, the PCSE estimator provides more efficient and consistent standard errors compared to traditional fixed effects or random effects models when CD is present, which justifies its use in estimating the parameters of interest</w:t>
      </w:r>
      <w:r w:rsidR="00AB1B79" w:rsidRPr="00B625A8">
        <w:rPr>
          <w:rFonts w:ascii="Arial" w:hAnsi="Arial" w:cs="Arial"/>
        </w:rPr>
        <w:t>.</w:t>
      </w:r>
    </w:p>
    <w:p w14:paraId="57ABB83C" w14:textId="77777777" w:rsidR="00D17AFA" w:rsidRDefault="00D17AFA" w:rsidP="00B625A8">
      <w:pPr>
        <w:spacing w:after="0" w:line="480" w:lineRule="auto"/>
        <w:rPr>
          <w:rFonts w:ascii="Arial" w:hAnsi="Arial" w:cs="Arial"/>
          <w:b/>
          <w:bCs/>
        </w:rPr>
      </w:pPr>
    </w:p>
    <w:p w14:paraId="71C7BBC6" w14:textId="77777777" w:rsidR="00D8651A" w:rsidRPr="00B625A8" w:rsidRDefault="00AC0043" w:rsidP="00B625A8">
      <w:pPr>
        <w:spacing w:after="0" w:line="480" w:lineRule="auto"/>
        <w:rPr>
          <w:rFonts w:ascii="Arial" w:hAnsi="Arial" w:cs="Arial"/>
          <w:b/>
          <w:bCs/>
        </w:rPr>
      </w:pPr>
      <w:r w:rsidRPr="00B625A8">
        <w:rPr>
          <w:rFonts w:ascii="Arial" w:hAnsi="Arial" w:cs="Arial"/>
          <w:b/>
          <w:bCs/>
        </w:rPr>
        <w:t xml:space="preserve">Table 4. </w:t>
      </w:r>
    </w:p>
    <w:p w14:paraId="167B7CF0" w14:textId="77777777" w:rsidR="00AC0043" w:rsidRPr="00B625A8" w:rsidRDefault="00AC0043" w:rsidP="00B625A8">
      <w:pPr>
        <w:spacing w:after="0" w:line="480" w:lineRule="auto"/>
        <w:rPr>
          <w:rFonts w:ascii="Arial" w:hAnsi="Arial" w:cs="Arial"/>
          <w:b/>
          <w:bCs/>
        </w:rPr>
      </w:pPr>
      <w:r w:rsidRPr="00B625A8">
        <w:rPr>
          <w:rFonts w:ascii="Arial" w:hAnsi="Arial" w:cs="Arial"/>
          <w:b/>
          <w:bCs/>
        </w:rPr>
        <w:t>Result of Cross-sectional dependence</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856"/>
        <w:gridCol w:w="1670"/>
      </w:tblGrid>
      <w:tr w:rsidR="00AC0043" w:rsidRPr="00B625A8" w14:paraId="6CB599BF" w14:textId="77777777" w:rsidTr="00DD5A7B">
        <w:trPr>
          <w:trHeight w:val="249"/>
        </w:trPr>
        <w:tc>
          <w:tcPr>
            <w:tcW w:w="1856" w:type="dxa"/>
            <w:noWrap/>
            <w:vAlign w:val="bottom"/>
            <w:hideMark/>
          </w:tcPr>
          <w:p w14:paraId="1A74CD25" w14:textId="77777777" w:rsidR="00AC0043" w:rsidRPr="00B625A8" w:rsidRDefault="00AC0043" w:rsidP="006323CB">
            <w:pPr>
              <w:spacing w:after="0" w:line="240" w:lineRule="auto"/>
              <w:rPr>
                <w:rFonts w:ascii="Arial" w:eastAsia="Times New Roman" w:hAnsi="Arial" w:cs="Arial"/>
                <w:color w:val="000000"/>
                <w:lang w:val="en-AE" w:eastAsia="en-AE"/>
              </w:rPr>
            </w:pPr>
            <w:r w:rsidRPr="00B625A8">
              <w:rPr>
                <w:rFonts w:ascii="Arial" w:eastAsia="Times New Roman" w:hAnsi="Arial" w:cs="Arial"/>
                <w:color w:val="000000"/>
                <w:lang w:val="en-AE" w:eastAsia="en-AE"/>
              </w:rPr>
              <w:t>Variable</w:t>
            </w:r>
          </w:p>
        </w:tc>
        <w:tc>
          <w:tcPr>
            <w:tcW w:w="1856" w:type="dxa"/>
            <w:noWrap/>
            <w:vAlign w:val="bottom"/>
            <w:hideMark/>
          </w:tcPr>
          <w:p w14:paraId="0DEEC2A3" w14:textId="77777777" w:rsidR="00AC0043" w:rsidRPr="00B625A8" w:rsidRDefault="00AC0043" w:rsidP="006323CB">
            <w:pPr>
              <w:spacing w:after="0" w:line="240" w:lineRule="auto"/>
              <w:jc w:val="center"/>
              <w:rPr>
                <w:rFonts w:ascii="Arial" w:eastAsia="Times New Roman" w:hAnsi="Arial" w:cs="Arial"/>
                <w:color w:val="000000"/>
                <w:lang w:val="en-AE" w:eastAsia="en-AE"/>
              </w:rPr>
            </w:pPr>
            <w:r w:rsidRPr="00B625A8">
              <w:rPr>
                <w:rFonts w:ascii="Arial" w:eastAsia="Times New Roman" w:hAnsi="Arial" w:cs="Arial"/>
                <w:color w:val="000000"/>
                <w:lang w:val="en-AE" w:eastAsia="en-AE"/>
              </w:rPr>
              <w:t>CD-test</w:t>
            </w:r>
          </w:p>
        </w:tc>
        <w:tc>
          <w:tcPr>
            <w:tcW w:w="1670" w:type="dxa"/>
            <w:noWrap/>
            <w:vAlign w:val="bottom"/>
            <w:hideMark/>
          </w:tcPr>
          <w:p w14:paraId="1BAD918D" w14:textId="77777777" w:rsidR="00AC0043" w:rsidRPr="00B625A8" w:rsidRDefault="00AC0043" w:rsidP="006323CB">
            <w:pPr>
              <w:spacing w:after="0" w:line="240" w:lineRule="auto"/>
              <w:jc w:val="center"/>
              <w:rPr>
                <w:rFonts w:ascii="Arial" w:eastAsia="Times New Roman" w:hAnsi="Arial" w:cs="Arial"/>
                <w:color w:val="000000"/>
                <w:lang w:val="en-AE" w:eastAsia="en-AE"/>
              </w:rPr>
            </w:pPr>
            <w:r w:rsidRPr="00B625A8">
              <w:rPr>
                <w:rFonts w:ascii="Arial" w:eastAsia="Times New Roman" w:hAnsi="Arial" w:cs="Arial"/>
                <w:color w:val="000000"/>
                <w:lang w:val="en-AE" w:eastAsia="en-AE"/>
              </w:rPr>
              <w:t>p-value</w:t>
            </w:r>
          </w:p>
        </w:tc>
      </w:tr>
      <w:tr w:rsidR="00AC0043" w:rsidRPr="00B625A8" w14:paraId="7D86AE2B" w14:textId="77777777" w:rsidTr="00DD5A7B">
        <w:trPr>
          <w:trHeight w:val="249"/>
        </w:trPr>
        <w:tc>
          <w:tcPr>
            <w:tcW w:w="1856" w:type="dxa"/>
            <w:noWrap/>
            <w:vAlign w:val="bottom"/>
            <w:hideMark/>
          </w:tcPr>
          <w:p w14:paraId="0DD83830" w14:textId="77777777" w:rsidR="00AC0043" w:rsidRPr="00B625A8" w:rsidRDefault="00AC0043" w:rsidP="006323CB">
            <w:pPr>
              <w:spacing w:after="0" w:line="240" w:lineRule="auto"/>
              <w:rPr>
                <w:rFonts w:ascii="Arial" w:eastAsia="Times New Roman" w:hAnsi="Arial" w:cs="Arial"/>
                <w:color w:val="000000"/>
                <w:lang w:val="en-AE" w:eastAsia="en-AE"/>
              </w:rPr>
            </w:pPr>
            <w:r w:rsidRPr="00B625A8">
              <w:rPr>
                <w:rFonts w:ascii="Arial" w:eastAsia="Times New Roman" w:hAnsi="Arial" w:cs="Arial"/>
                <w:color w:val="000000"/>
                <w:lang w:val="en-AE" w:eastAsia="en-AE"/>
              </w:rPr>
              <w:t>ROA</w:t>
            </w:r>
          </w:p>
        </w:tc>
        <w:tc>
          <w:tcPr>
            <w:tcW w:w="1856" w:type="dxa"/>
            <w:noWrap/>
            <w:vAlign w:val="bottom"/>
            <w:hideMark/>
          </w:tcPr>
          <w:p w14:paraId="3AF05065" w14:textId="77777777" w:rsidR="00AC0043" w:rsidRPr="00B625A8" w:rsidRDefault="00AC0043" w:rsidP="006323CB">
            <w:pPr>
              <w:spacing w:after="0" w:line="240" w:lineRule="auto"/>
              <w:jc w:val="center"/>
              <w:rPr>
                <w:rFonts w:ascii="Arial" w:eastAsia="Times New Roman" w:hAnsi="Arial" w:cs="Arial"/>
                <w:color w:val="000000"/>
                <w:lang w:val="en-AE" w:eastAsia="en-AE"/>
              </w:rPr>
            </w:pPr>
            <w:r w:rsidRPr="00B625A8">
              <w:rPr>
                <w:rFonts w:ascii="Arial" w:eastAsia="Times New Roman" w:hAnsi="Arial" w:cs="Arial"/>
                <w:color w:val="000000"/>
                <w:lang w:val="en-AE" w:eastAsia="en-AE"/>
              </w:rPr>
              <w:t>8.953</w:t>
            </w:r>
          </w:p>
        </w:tc>
        <w:tc>
          <w:tcPr>
            <w:tcW w:w="1670" w:type="dxa"/>
            <w:noWrap/>
            <w:vAlign w:val="bottom"/>
            <w:hideMark/>
          </w:tcPr>
          <w:p w14:paraId="30490D0E" w14:textId="77777777" w:rsidR="00AC0043" w:rsidRPr="00B625A8" w:rsidRDefault="00AC0043" w:rsidP="006323CB">
            <w:pPr>
              <w:spacing w:after="0" w:line="240" w:lineRule="auto"/>
              <w:jc w:val="center"/>
              <w:rPr>
                <w:rFonts w:ascii="Arial" w:eastAsia="Times New Roman" w:hAnsi="Arial" w:cs="Arial"/>
                <w:color w:val="000000"/>
                <w:lang w:val="en-AE" w:eastAsia="en-AE"/>
              </w:rPr>
            </w:pPr>
            <w:r w:rsidRPr="00B625A8">
              <w:rPr>
                <w:rFonts w:ascii="Arial" w:eastAsia="Times New Roman" w:hAnsi="Arial" w:cs="Arial"/>
                <w:color w:val="000000"/>
                <w:lang w:val="en-AE" w:eastAsia="en-AE"/>
              </w:rPr>
              <w:t>0.000</w:t>
            </w:r>
          </w:p>
        </w:tc>
      </w:tr>
      <w:tr w:rsidR="00AC0043" w:rsidRPr="00B625A8" w14:paraId="3D6C4342" w14:textId="77777777" w:rsidTr="00DD5A7B">
        <w:trPr>
          <w:trHeight w:val="249"/>
        </w:trPr>
        <w:tc>
          <w:tcPr>
            <w:tcW w:w="1856" w:type="dxa"/>
            <w:noWrap/>
            <w:vAlign w:val="bottom"/>
            <w:hideMark/>
          </w:tcPr>
          <w:p w14:paraId="32D4B0E4" w14:textId="77777777" w:rsidR="00AC0043" w:rsidRPr="00B625A8" w:rsidRDefault="00AC0043" w:rsidP="006323CB">
            <w:pPr>
              <w:spacing w:after="0" w:line="240" w:lineRule="auto"/>
              <w:rPr>
                <w:rFonts w:ascii="Arial" w:eastAsia="Times New Roman" w:hAnsi="Arial" w:cs="Arial"/>
                <w:lang w:val="en-AE" w:eastAsia="en-AE"/>
              </w:rPr>
            </w:pPr>
            <w:r w:rsidRPr="00B625A8">
              <w:rPr>
                <w:rFonts w:ascii="Arial" w:eastAsia="Times New Roman" w:hAnsi="Arial" w:cs="Arial"/>
                <w:lang w:val="en-AE" w:eastAsia="en-AE"/>
              </w:rPr>
              <w:t>Z-score</w:t>
            </w:r>
          </w:p>
        </w:tc>
        <w:tc>
          <w:tcPr>
            <w:tcW w:w="1856" w:type="dxa"/>
            <w:noWrap/>
            <w:vAlign w:val="bottom"/>
            <w:hideMark/>
          </w:tcPr>
          <w:p w14:paraId="2492EBAE"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7.261</w:t>
            </w:r>
          </w:p>
        </w:tc>
        <w:tc>
          <w:tcPr>
            <w:tcW w:w="1670" w:type="dxa"/>
            <w:noWrap/>
            <w:vAlign w:val="bottom"/>
            <w:hideMark/>
          </w:tcPr>
          <w:p w14:paraId="33682550"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0.000</w:t>
            </w:r>
          </w:p>
        </w:tc>
      </w:tr>
      <w:tr w:rsidR="00AC0043" w:rsidRPr="00B625A8" w14:paraId="5417AA5B" w14:textId="77777777" w:rsidTr="00DD5A7B">
        <w:trPr>
          <w:trHeight w:val="249"/>
        </w:trPr>
        <w:tc>
          <w:tcPr>
            <w:tcW w:w="1856" w:type="dxa"/>
            <w:noWrap/>
            <w:vAlign w:val="bottom"/>
            <w:hideMark/>
          </w:tcPr>
          <w:p w14:paraId="7D5D029B" w14:textId="77777777" w:rsidR="00AC0043" w:rsidRPr="00B625A8" w:rsidRDefault="00AC0043" w:rsidP="006323CB">
            <w:pPr>
              <w:spacing w:after="0" w:line="240" w:lineRule="auto"/>
              <w:rPr>
                <w:rFonts w:ascii="Arial" w:eastAsia="Times New Roman" w:hAnsi="Arial" w:cs="Arial"/>
                <w:lang w:val="en-AE" w:eastAsia="en-AE"/>
              </w:rPr>
            </w:pPr>
            <w:r w:rsidRPr="00B625A8">
              <w:rPr>
                <w:rFonts w:ascii="Arial" w:eastAsia="Times New Roman" w:hAnsi="Arial" w:cs="Arial"/>
                <w:lang w:val="en-AE" w:eastAsia="en-AE"/>
              </w:rPr>
              <w:t>RAC</w:t>
            </w:r>
          </w:p>
        </w:tc>
        <w:tc>
          <w:tcPr>
            <w:tcW w:w="1856" w:type="dxa"/>
            <w:noWrap/>
            <w:vAlign w:val="bottom"/>
            <w:hideMark/>
          </w:tcPr>
          <w:p w14:paraId="7439E705"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1.4</w:t>
            </w:r>
          </w:p>
        </w:tc>
        <w:tc>
          <w:tcPr>
            <w:tcW w:w="1670" w:type="dxa"/>
            <w:noWrap/>
            <w:vAlign w:val="bottom"/>
            <w:hideMark/>
          </w:tcPr>
          <w:p w14:paraId="6C60AE9D"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0.162</w:t>
            </w:r>
          </w:p>
        </w:tc>
      </w:tr>
      <w:tr w:rsidR="00AC0043" w:rsidRPr="00B625A8" w14:paraId="4FF1A7B7" w14:textId="77777777" w:rsidTr="00DD5A7B">
        <w:trPr>
          <w:trHeight w:val="249"/>
        </w:trPr>
        <w:tc>
          <w:tcPr>
            <w:tcW w:w="1856" w:type="dxa"/>
            <w:noWrap/>
            <w:vAlign w:val="bottom"/>
            <w:hideMark/>
          </w:tcPr>
          <w:p w14:paraId="2AEF3F80" w14:textId="77777777" w:rsidR="00AC0043" w:rsidRPr="00B625A8" w:rsidRDefault="00AC0043" w:rsidP="006323CB">
            <w:pPr>
              <w:spacing w:after="0" w:line="240" w:lineRule="auto"/>
              <w:rPr>
                <w:rFonts w:ascii="Arial" w:eastAsia="Times New Roman" w:hAnsi="Arial" w:cs="Arial"/>
                <w:lang w:val="en-AE" w:eastAsia="en-AE"/>
              </w:rPr>
            </w:pPr>
            <w:r w:rsidRPr="00B625A8">
              <w:rPr>
                <w:rFonts w:ascii="Arial" w:eastAsia="Times New Roman" w:hAnsi="Arial" w:cs="Arial"/>
                <w:lang w:val="en-AE" w:eastAsia="en-AE"/>
              </w:rPr>
              <w:t>LDR</w:t>
            </w:r>
          </w:p>
        </w:tc>
        <w:tc>
          <w:tcPr>
            <w:tcW w:w="1856" w:type="dxa"/>
            <w:noWrap/>
            <w:vAlign w:val="bottom"/>
            <w:hideMark/>
          </w:tcPr>
          <w:p w14:paraId="3763CE31"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28.144</w:t>
            </w:r>
          </w:p>
        </w:tc>
        <w:tc>
          <w:tcPr>
            <w:tcW w:w="1670" w:type="dxa"/>
            <w:noWrap/>
            <w:vAlign w:val="bottom"/>
            <w:hideMark/>
          </w:tcPr>
          <w:p w14:paraId="0AEA0C97"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0.000</w:t>
            </w:r>
          </w:p>
        </w:tc>
      </w:tr>
      <w:tr w:rsidR="00AC0043" w:rsidRPr="00B625A8" w14:paraId="5576B7A8" w14:textId="77777777" w:rsidTr="00DD5A7B">
        <w:trPr>
          <w:trHeight w:val="249"/>
        </w:trPr>
        <w:tc>
          <w:tcPr>
            <w:tcW w:w="1856" w:type="dxa"/>
            <w:noWrap/>
            <w:vAlign w:val="bottom"/>
            <w:hideMark/>
          </w:tcPr>
          <w:p w14:paraId="04BBED6D" w14:textId="77777777" w:rsidR="00AC0043" w:rsidRPr="00B625A8" w:rsidRDefault="00AC0043" w:rsidP="006323CB">
            <w:pPr>
              <w:spacing w:after="0" w:line="240" w:lineRule="auto"/>
              <w:rPr>
                <w:rFonts w:ascii="Arial" w:eastAsia="Times New Roman" w:hAnsi="Arial" w:cs="Arial"/>
                <w:lang w:val="en-AE" w:eastAsia="en-AE"/>
              </w:rPr>
            </w:pPr>
            <w:r w:rsidRPr="00B625A8">
              <w:rPr>
                <w:rFonts w:ascii="Arial" w:eastAsia="Times New Roman" w:hAnsi="Arial" w:cs="Arial"/>
                <w:lang w:val="en-AE" w:eastAsia="en-AE"/>
              </w:rPr>
              <w:t>BSIZE</w:t>
            </w:r>
          </w:p>
        </w:tc>
        <w:tc>
          <w:tcPr>
            <w:tcW w:w="1856" w:type="dxa"/>
            <w:noWrap/>
            <w:vAlign w:val="bottom"/>
            <w:hideMark/>
          </w:tcPr>
          <w:p w14:paraId="38902F30"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8.342</w:t>
            </w:r>
          </w:p>
        </w:tc>
        <w:tc>
          <w:tcPr>
            <w:tcW w:w="1670" w:type="dxa"/>
            <w:noWrap/>
            <w:vAlign w:val="bottom"/>
            <w:hideMark/>
          </w:tcPr>
          <w:p w14:paraId="0E6F0DF2"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0.000</w:t>
            </w:r>
          </w:p>
        </w:tc>
      </w:tr>
    </w:tbl>
    <w:p w14:paraId="46709175" w14:textId="77777777" w:rsidR="00AC0043" w:rsidRPr="00B625A8" w:rsidRDefault="00AC0043" w:rsidP="006323CB">
      <w:pPr>
        <w:spacing w:line="240" w:lineRule="auto"/>
        <w:jc w:val="center"/>
        <w:rPr>
          <w:rFonts w:ascii="Arial" w:hAnsi="Arial" w:cs="Arial"/>
          <w:i/>
          <w:iCs/>
        </w:rPr>
      </w:pPr>
      <w:r w:rsidRPr="00B625A8">
        <w:rPr>
          <w:rFonts w:ascii="Arial" w:hAnsi="Arial" w:cs="Arial"/>
          <w:i/>
          <w:iCs/>
        </w:rPr>
        <w:t>ROA – Return on Asset, z-score – Credit Risk, RAC - Risk-Adjusted Capital, LDL – Liquidity Deposit Ratio, BSIZE – Bank Size.</w:t>
      </w:r>
    </w:p>
    <w:p w14:paraId="6788FEC8" w14:textId="77777777" w:rsidR="00D8651A" w:rsidRPr="00B625A8" w:rsidRDefault="00AC0043" w:rsidP="00B625A8">
      <w:pPr>
        <w:spacing w:after="0" w:line="480" w:lineRule="auto"/>
        <w:rPr>
          <w:rFonts w:ascii="Arial" w:hAnsi="Arial" w:cs="Arial"/>
          <w:b/>
          <w:bCs/>
        </w:rPr>
      </w:pPr>
      <w:r w:rsidRPr="00B625A8">
        <w:rPr>
          <w:rFonts w:ascii="Arial" w:hAnsi="Arial" w:cs="Arial"/>
          <w:b/>
          <w:bCs/>
        </w:rPr>
        <w:t xml:space="preserve">Table 5. </w:t>
      </w:r>
    </w:p>
    <w:p w14:paraId="0DA3313A" w14:textId="77777777" w:rsidR="00AC0043" w:rsidRPr="00B625A8" w:rsidRDefault="00AC0043" w:rsidP="00B625A8">
      <w:pPr>
        <w:spacing w:after="0" w:line="480" w:lineRule="auto"/>
        <w:rPr>
          <w:rFonts w:ascii="Arial" w:hAnsi="Arial" w:cs="Arial"/>
          <w:b/>
          <w:bCs/>
        </w:rPr>
      </w:pPr>
      <w:r w:rsidRPr="00B625A8">
        <w:rPr>
          <w:rFonts w:ascii="Arial" w:hAnsi="Arial" w:cs="Arial"/>
          <w:b/>
          <w:bCs/>
        </w:rPr>
        <w:t xml:space="preserve">Result of Unit </w:t>
      </w:r>
      <w:r w:rsidR="00D8651A" w:rsidRPr="00B625A8">
        <w:rPr>
          <w:rFonts w:ascii="Arial" w:hAnsi="Arial" w:cs="Arial"/>
          <w:b/>
          <w:bCs/>
        </w:rPr>
        <w:t>Root</w:t>
      </w:r>
      <w:r w:rsidRPr="00B625A8">
        <w:rPr>
          <w:rFonts w:ascii="Arial" w:hAnsi="Arial" w:cs="Arial"/>
          <w:b/>
          <w:bCs/>
        </w:rPr>
        <w:t xml:space="preserve"> Test</w:t>
      </w:r>
    </w:p>
    <w:tbl>
      <w:tblPr>
        <w:tblW w:w="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06"/>
        <w:gridCol w:w="1606"/>
      </w:tblGrid>
      <w:tr w:rsidR="00AC0043" w:rsidRPr="00B625A8" w14:paraId="240C0727" w14:textId="77777777" w:rsidTr="00DD5A7B">
        <w:trPr>
          <w:trHeight w:val="229"/>
        </w:trPr>
        <w:tc>
          <w:tcPr>
            <w:tcW w:w="1606" w:type="dxa"/>
            <w:noWrap/>
            <w:vAlign w:val="bottom"/>
            <w:hideMark/>
          </w:tcPr>
          <w:p w14:paraId="48A42721" w14:textId="77777777" w:rsidR="00AC0043" w:rsidRPr="00B625A8" w:rsidRDefault="00AC0043" w:rsidP="006323CB">
            <w:pPr>
              <w:spacing w:after="0" w:line="240" w:lineRule="auto"/>
              <w:rPr>
                <w:rFonts w:ascii="Arial" w:eastAsia="Times New Roman" w:hAnsi="Arial" w:cs="Arial"/>
                <w:lang w:val="en-AE" w:eastAsia="en-AE"/>
              </w:rPr>
            </w:pPr>
            <w:r w:rsidRPr="00B625A8">
              <w:rPr>
                <w:rFonts w:ascii="Arial" w:eastAsia="Times New Roman" w:hAnsi="Arial" w:cs="Arial"/>
                <w:lang w:val="en-AE" w:eastAsia="en-AE"/>
              </w:rPr>
              <w:t>Variable</w:t>
            </w:r>
          </w:p>
        </w:tc>
        <w:tc>
          <w:tcPr>
            <w:tcW w:w="1606" w:type="dxa"/>
            <w:noWrap/>
            <w:vAlign w:val="bottom"/>
            <w:hideMark/>
          </w:tcPr>
          <w:p w14:paraId="5C7E0B82"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Statistic</w:t>
            </w:r>
          </w:p>
        </w:tc>
        <w:tc>
          <w:tcPr>
            <w:tcW w:w="1606" w:type="dxa"/>
            <w:noWrap/>
            <w:vAlign w:val="bottom"/>
            <w:hideMark/>
          </w:tcPr>
          <w:p w14:paraId="6A8C50FE"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p-value</w:t>
            </w:r>
          </w:p>
        </w:tc>
      </w:tr>
      <w:tr w:rsidR="00AC0043" w:rsidRPr="00B625A8" w14:paraId="6B326D72" w14:textId="77777777" w:rsidTr="00DD5A7B">
        <w:trPr>
          <w:trHeight w:val="229"/>
        </w:trPr>
        <w:tc>
          <w:tcPr>
            <w:tcW w:w="1606" w:type="dxa"/>
            <w:noWrap/>
            <w:vAlign w:val="bottom"/>
            <w:hideMark/>
          </w:tcPr>
          <w:p w14:paraId="7C7B25B3" w14:textId="77777777" w:rsidR="00AC0043" w:rsidRPr="00B625A8" w:rsidRDefault="00AC0043" w:rsidP="006323CB">
            <w:pPr>
              <w:spacing w:after="0" w:line="240" w:lineRule="auto"/>
              <w:rPr>
                <w:rFonts w:ascii="Arial" w:eastAsia="Times New Roman" w:hAnsi="Arial" w:cs="Arial"/>
                <w:lang w:val="en-AE" w:eastAsia="en-AE"/>
              </w:rPr>
            </w:pPr>
            <w:r w:rsidRPr="00B625A8">
              <w:rPr>
                <w:rFonts w:ascii="Arial" w:eastAsia="Times New Roman" w:hAnsi="Arial" w:cs="Arial"/>
                <w:lang w:val="en-AE" w:eastAsia="en-AE"/>
              </w:rPr>
              <w:t>ROA</w:t>
            </w:r>
          </w:p>
        </w:tc>
        <w:tc>
          <w:tcPr>
            <w:tcW w:w="1606" w:type="dxa"/>
            <w:noWrap/>
            <w:vAlign w:val="bottom"/>
            <w:hideMark/>
          </w:tcPr>
          <w:p w14:paraId="1B624F9F"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-3.9170</w:t>
            </w:r>
          </w:p>
        </w:tc>
        <w:tc>
          <w:tcPr>
            <w:tcW w:w="1606" w:type="dxa"/>
            <w:noWrap/>
            <w:vAlign w:val="bottom"/>
            <w:hideMark/>
          </w:tcPr>
          <w:p w14:paraId="25954986"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0.000</w:t>
            </w:r>
          </w:p>
        </w:tc>
      </w:tr>
      <w:tr w:rsidR="00AC0043" w:rsidRPr="00B625A8" w14:paraId="71816647" w14:textId="77777777" w:rsidTr="00DD5A7B">
        <w:trPr>
          <w:trHeight w:val="229"/>
        </w:trPr>
        <w:tc>
          <w:tcPr>
            <w:tcW w:w="1606" w:type="dxa"/>
            <w:noWrap/>
            <w:vAlign w:val="bottom"/>
            <w:hideMark/>
          </w:tcPr>
          <w:p w14:paraId="089DB178" w14:textId="77777777" w:rsidR="00AC0043" w:rsidRPr="00B625A8" w:rsidRDefault="00AC0043" w:rsidP="006323CB">
            <w:pPr>
              <w:spacing w:after="0" w:line="240" w:lineRule="auto"/>
              <w:rPr>
                <w:rFonts w:ascii="Arial" w:eastAsia="Times New Roman" w:hAnsi="Arial" w:cs="Arial"/>
                <w:b/>
                <w:bCs/>
                <w:lang w:val="en-AE" w:eastAsia="en-AE"/>
              </w:rPr>
            </w:pPr>
            <w:r w:rsidRPr="00B625A8">
              <w:rPr>
                <w:rFonts w:ascii="Arial" w:eastAsia="Times New Roman" w:hAnsi="Arial" w:cs="Arial"/>
                <w:lang w:val="en-AE" w:eastAsia="en-AE"/>
              </w:rPr>
              <w:t>Z-score</w:t>
            </w:r>
          </w:p>
        </w:tc>
        <w:tc>
          <w:tcPr>
            <w:tcW w:w="1606" w:type="dxa"/>
            <w:noWrap/>
            <w:vAlign w:val="bottom"/>
            <w:hideMark/>
          </w:tcPr>
          <w:p w14:paraId="24ADF03C"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7.261</w:t>
            </w:r>
          </w:p>
        </w:tc>
        <w:tc>
          <w:tcPr>
            <w:tcW w:w="1606" w:type="dxa"/>
            <w:noWrap/>
            <w:vAlign w:val="bottom"/>
            <w:hideMark/>
          </w:tcPr>
          <w:p w14:paraId="3FE5E4A5"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0.000</w:t>
            </w:r>
          </w:p>
        </w:tc>
      </w:tr>
      <w:tr w:rsidR="00AC0043" w:rsidRPr="00B625A8" w14:paraId="50B78161" w14:textId="77777777" w:rsidTr="00DD5A7B">
        <w:trPr>
          <w:trHeight w:val="229"/>
        </w:trPr>
        <w:tc>
          <w:tcPr>
            <w:tcW w:w="1606" w:type="dxa"/>
            <w:noWrap/>
            <w:vAlign w:val="bottom"/>
            <w:hideMark/>
          </w:tcPr>
          <w:p w14:paraId="0C3DB7EB" w14:textId="77777777" w:rsidR="00AC0043" w:rsidRPr="00B625A8" w:rsidRDefault="00AC0043" w:rsidP="006323CB">
            <w:pPr>
              <w:spacing w:after="0" w:line="240" w:lineRule="auto"/>
              <w:rPr>
                <w:rFonts w:ascii="Arial" w:eastAsia="Times New Roman" w:hAnsi="Arial" w:cs="Arial"/>
                <w:lang w:val="en-AE" w:eastAsia="en-AE"/>
              </w:rPr>
            </w:pPr>
            <w:r w:rsidRPr="00B625A8">
              <w:rPr>
                <w:rFonts w:ascii="Arial" w:eastAsia="Times New Roman" w:hAnsi="Arial" w:cs="Arial"/>
                <w:lang w:val="en-AE" w:eastAsia="en-AE"/>
              </w:rPr>
              <w:t>RAC</w:t>
            </w:r>
          </w:p>
        </w:tc>
        <w:tc>
          <w:tcPr>
            <w:tcW w:w="1606" w:type="dxa"/>
            <w:noWrap/>
            <w:vAlign w:val="bottom"/>
            <w:hideMark/>
          </w:tcPr>
          <w:p w14:paraId="36C56B3E"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-3.8305</w:t>
            </w:r>
          </w:p>
        </w:tc>
        <w:tc>
          <w:tcPr>
            <w:tcW w:w="1606" w:type="dxa"/>
            <w:noWrap/>
            <w:vAlign w:val="bottom"/>
            <w:hideMark/>
          </w:tcPr>
          <w:p w14:paraId="4EAFFE31"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0.001</w:t>
            </w:r>
          </w:p>
        </w:tc>
      </w:tr>
      <w:tr w:rsidR="00AC0043" w:rsidRPr="00B625A8" w14:paraId="5B6D558E" w14:textId="77777777" w:rsidTr="00DD5A7B">
        <w:trPr>
          <w:trHeight w:val="229"/>
        </w:trPr>
        <w:tc>
          <w:tcPr>
            <w:tcW w:w="1606" w:type="dxa"/>
            <w:noWrap/>
            <w:vAlign w:val="bottom"/>
            <w:hideMark/>
          </w:tcPr>
          <w:p w14:paraId="2AEB4F70" w14:textId="77777777" w:rsidR="00AC0043" w:rsidRPr="00B625A8" w:rsidRDefault="00AC0043" w:rsidP="006323CB">
            <w:pPr>
              <w:spacing w:after="0" w:line="240" w:lineRule="auto"/>
              <w:rPr>
                <w:rFonts w:ascii="Arial" w:eastAsia="Times New Roman" w:hAnsi="Arial" w:cs="Arial"/>
                <w:b/>
                <w:bCs/>
                <w:lang w:val="en-AE" w:eastAsia="en-AE"/>
              </w:rPr>
            </w:pPr>
            <w:r w:rsidRPr="00B625A8">
              <w:rPr>
                <w:rFonts w:ascii="Arial" w:eastAsia="Times New Roman" w:hAnsi="Arial" w:cs="Arial"/>
                <w:lang w:val="en-AE" w:eastAsia="en-AE"/>
              </w:rPr>
              <w:t>LDR</w:t>
            </w:r>
          </w:p>
        </w:tc>
        <w:tc>
          <w:tcPr>
            <w:tcW w:w="1606" w:type="dxa"/>
            <w:noWrap/>
            <w:vAlign w:val="bottom"/>
            <w:hideMark/>
          </w:tcPr>
          <w:p w14:paraId="2053566E"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-3.9065</w:t>
            </w:r>
          </w:p>
        </w:tc>
        <w:tc>
          <w:tcPr>
            <w:tcW w:w="1606" w:type="dxa"/>
            <w:noWrap/>
            <w:vAlign w:val="bottom"/>
            <w:hideMark/>
          </w:tcPr>
          <w:p w14:paraId="38276C2A"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0.000</w:t>
            </w:r>
          </w:p>
        </w:tc>
      </w:tr>
      <w:tr w:rsidR="00AC0043" w:rsidRPr="00B625A8" w14:paraId="5190146F" w14:textId="77777777" w:rsidTr="00DD5A7B">
        <w:trPr>
          <w:trHeight w:val="229"/>
        </w:trPr>
        <w:tc>
          <w:tcPr>
            <w:tcW w:w="1606" w:type="dxa"/>
            <w:noWrap/>
            <w:vAlign w:val="bottom"/>
            <w:hideMark/>
          </w:tcPr>
          <w:p w14:paraId="0C7821AC" w14:textId="77777777" w:rsidR="00AC0043" w:rsidRPr="00B625A8" w:rsidRDefault="00AC0043" w:rsidP="006323CB">
            <w:pPr>
              <w:spacing w:after="0" w:line="240" w:lineRule="auto"/>
              <w:rPr>
                <w:rFonts w:ascii="Arial" w:eastAsia="Times New Roman" w:hAnsi="Arial" w:cs="Arial"/>
                <w:lang w:val="en-AE" w:eastAsia="en-AE"/>
              </w:rPr>
            </w:pPr>
            <w:r w:rsidRPr="00B625A8">
              <w:rPr>
                <w:rFonts w:ascii="Arial" w:eastAsia="Times New Roman" w:hAnsi="Arial" w:cs="Arial"/>
                <w:lang w:val="en-AE" w:eastAsia="en-AE"/>
              </w:rPr>
              <w:t>BSIZE</w:t>
            </w:r>
          </w:p>
        </w:tc>
        <w:tc>
          <w:tcPr>
            <w:tcW w:w="1606" w:type="dxa"/>
            <w:noWrap/>
            <w:vAlign w:val="bottom"/>
            <w:hideMark/>
          </w:tcPr>
          <w:p w14:paraId="77B08B56"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-2.3909</w:t>
            </w:r>
          </w:p>
        </w:tc>
        <w:tc>
          <w:tcPr>
            <w:tcW w:w="1606" w:type="dxa"/>
            <w:noWrap/>
            <w:vAlign w:val="bottom"/>
            <w:hideMark/>
          </w:tcPr>
          <w:p w14:paraId="4ADE69DD" w14:textId="77777777" w:rsidR="00AC0043" w:rsidRPr="00B625A8" w:rsidRDefault="00AC0043" w:rsidP="006323CB">
            <w:pPr>
              <w:spacing w:after="0" w:line="240" w:lineRule="auto"/>
              <w:jc w:val="center"/>
              <w:rPr>
                <w:rFonts w:ascii="Arial" w:eastAsia="Times New Roman" w:hAnsi="Arial" w:cs="Arial"/>
                <w:lang w:val="en-AE" w:eastAsia="en-AE"/>
              </w:rPr>
            </w:pPr>
            <w:r w:rsidRPr="00B625A8">
              <w:rPr>
                <w:rFonts w:ascii="Arial" w:eastAsia="Times New Roman" w:hAnsi="Arial" w:cs="Arial"/>
                <w:lang w:val="en-AE" w:eastAsia="en-AE"/>
              </w:rPr>
              <w:t>0.0084</w:t>
            </w:r>
          </w:p>
        </w:tc>
      </w:tr>
    </w:tbl>
    <w:p w14:paraId="1F6CB54D" w14:textId="77777777" w:rsidR="00AC0043" w:rsidRPr="00B625A8" w:rsidRDefault="00AC0043" w:rsidP="006323CB">
      <w:pPr>
        <w:spacing w:line="240" w:lineRule="auto"/>
        <w:jc w:val="center"/>
        <w:rPr>
          <w:rFonts w:ascii="Arial" w:hAnsi="Arial" w:cs="Arial"/>
          <w:i/>
          <w:iCs/>
        </w:rPr>
      </w:pPr>
      <w:r w:rsidRPr="00B625A8">
        <w:rPr>
          <w:rFonts w:ascii="Arial" w:hAnsi="Arial" w:cs="Arial"/>
          <w:i/>
          <w:iCs/>
        </w:rPr>
        <w:t>ROA – Return on Asset, z-score – Credit Risk, RAC - Risk-Adjusted Capital, LDL – Liquidity Deposit Ratio, BSIZE – Bank Size.</w:t>
      </w:r>
    </w:p>
    <w:p w14:paraId="28740FAF" w14:textId="77777777" w:rsidR="00D8651A" w:rsidRPr="00B625A8" w:rsidRDefault="00AC0043" w:rsidP="00B625A8">
      <w:pPr>
        <w:spacing w:after="0" w:line="480" w:lineRule="auto"/>
        <w:rPr>
          <w:rFonts w:ascii="Arial" w:hAnsi="Arial" w:cs="Arial"/>
          <w:b/>
          <w:bCs/>
        </w:rPr>
      </w:pPr>
      <w:r w:rsidRPr="00B625A8">
        <w:rPr>
          <w:rFonts w:ascii="Arial" w:hAnsi="Arial" w:cs="Arial"/>
          <w:b/>
          <w:bCs/>
        </w:rPr>
        <w:t xml:space="preserve">Table 6. </w:t>
      </w:r>
    </w:p>
    <w:p w14:paraId="078A75B5" w14:textId="77777777" w:rsidR="00D8651A" w:rsidRPr="00B625A8" w:rsidRDefault="00AC0043" w:rsidP="00B625A8">
      <w:pPr>
        <w:spacing w:after="0" w:line="480" w:lineRule="auto"/>
        <w:rPr>
          <w:rFonts w:ascii="Arial" w:hAnsi="Arial" w:cs="Arial"/>
          <w:b/>
          <w:bCs/>
        </w:rPr>
      </w:pPr>
      <w:r w:rsidRPr="00B625A8">
        <w:rPr>
          <w:rFonts w:ascii="Arial" w:hAnsi="Arial" w:cs="Arial"/>
          <w:b/>
          <w:bCs/>
        </w:rPr>
        <w:t>Westerlund test for cointegration</w:t>
      </w:r>
    </w:p>
    <w:tbl>
      <w:tblPr>
        <w:tblpPr w:leftFromText="180" w:rightFromText="180" w:vertAnchor="text" w:horzAnchor="margin" w:tblpY="-38"/>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992"/>
      </w:tblGrid>
      <w:tr w:rsidR="00AC0043" w:rsidRPr="00B625A8" w14:paraId="30A515F4" w14:textId="77777777" w:rsidTr="00DD5A7B">
        <w:trPr>
          <w:trHeight w:val="218"/>
        </w:trPr>
        <w:tc>
          <w:tcPr>
            <w:tcW w:w="1980" w:type="dxa"/>
            <w:noWrap/>
            <w:vAlign w:val="bottom"/>
            <w:hideMark/>
          </w:tcPr>
          <w:p w14:paraId="65D25F04" w14:textId="77777777" w:rsidR="00AC0043" w:rsidRPr="00B625A8" w:rsidRDefault="00AC0043" w:rsidP="00B625A8">
            <w:pPr>
              <w:spacing w:after="0" w:line="480" w:lineRule="auto"/>
              <w:rPr>
                <w:rFonts w:ascii="Arial" w:eastAsia="Times New Roman" w:hAnsi="Arial" w:cs="Arial"/>
                <w:lang w:val="en-AE" w:eastAsia="en-AE"/>
              </w:rPr>
            </w:pPr>
          </w:p>
        </w:tc>
        <w:tc>
          <w:tcPr>
            <w:tcW w:w="1276" w:type="dxa"/>
            <w:noWrap/>
            <w:vAlign w:val="bottom"/>
            <w:hideMark/>
          </w:tcPr>
          <w:p w14:paraId="52941A7B" w14:textId="77777777" w:rsidR="00AC0043" w:rsidRPr="00B625A8" w:rsidRDefault="00AC0043" w:rsidP="00B625A8">
            <w:pPr>
              <w:spacing w:after="0" w:line="480" w:lineRule="auto"/>
              <w:rPr>
                <w:rFonts w:ascii="Arial" w:eastAsia="Times New Roman" w:hAnsi="Arial" w:cs="Arial"/>
                <w:color w:val="000000"/>
                <w:lang w:val="en-AE" w:eastAsia="en-AE"/>
              </w:rPr>
            </w:pPr>
            <w:r w:rsidRPr="00B625A8">
              <w:rPr>
                <w:rFonts w:ascii="Arial" w:eastAsia="Times New Roman" w:hAnsi="Arial" w:cs="Arial"/>
                <w:color w:val="000000"/>
                <w:lang w:val="en-AE" w:eastAsia="en-AE"/>
              </w:rPr>
              <w:t>Statistic</w:t>
            </w:r>
          </w:p>
        </w:tc>
        <w:tc>
          <w:tcPr>
            <w:tcW w:w="992" w:type="dxa"/>
            <w:noWrap/>
            <w:vAlign w:val="bottom"/>
            <w:hideMark/>
          </w:tcPr>
          <w:p w14:paraId="16C8CE75" w14:textId="77777777" w:rsidR="00AC0043" w:rsidRPr="00B625A8" w:rsidRDefault="00AC0043" w:rsidP="00B625A8">
            <w:pPr>
              <w:spacing w:after="0" w:line="480" w:lineRule="auto"/>
              <w:rPr>
                <w:rFonts w:ascii="Arial" w:eastAsia="Times New Roman" w:hAnsi="Arial" w:cs="Arial"/>
                <w:color w:val="000000"/>
                <w:lang w:val="en-AE" w:eastAsia="en-AE"/>
              </w:rPr>
            </w:pPr>
            <w:r w:rsidRPr="00B625A8">
              <w:rPr>
                <w:rFonts w:ascii="Arial" w:eastAsia="Times New Roman" w:hAnsi="Arial" w:cs="Arial"/>
                <w:color w:val="000000"/>
                <w:lang w:val="en-AE" w:eastAsia="en-AE"/>
              </w:rPr>
              <w:t>p-value</w:t>
            </w:r>
          </w:p>
        </w:tc>
      </w:tr>
      <w:tr w:rsidR="00AC0043" w:rsidRPr="00B625A8" w14:paraId="6580902C" w14:textId="77777777" w:rsidTr="00DD5A7B">
        <w:trPr>
          <w:trHeight w:val="218"/>
        </w:trPr>
        <w:tc>
          <w:tcPr>
            <w:tcW w:w="1980" w:type="dxa"/>
            <w:noWrap/>
            <w:vAlign w:val="bottom"/>
            <w:hideMark/>
          </w:tcPr>
          <w:p w14:paraId="4847F500" w14:textId="77777777" w:rsidR="00AC0043" w:rsidRPr="00B625A8" w:rsidRDefault="00AC0043" w:rsidP="00B625A8">
            <w:pPr>
              <w:spacing w:after="0" w:line="480" w:lineRule="auto"/>
              <w:rPr>
                <w:rFonts w:ascii="Arial" w:eastAsia="Times New Roman" w:hAnsi="Arial" w:cs="Arial"/>
                <w:color w:val="000000"/>
                <w:lang w:val="en-AE" w:eastAsia="en-AE"/>
              </w:rPr>
            </w:pPr>
            <w:r w:rsidRPr="00B625A8">
              <w:rPr>
                <w:rFonts w:ascii="Arial" w:eastAsia="Times New Roman" w:hAnsi="Arial" w:cs="Arial"/>
                <w:color w:val="000000"/>
                <w:lang w:val="en-AE" w:eastAsia="en-AE"/>
              </w:rPr>
              <w:t>Variance ratio</w:t>
            </w:r>
          </w:p>
        </w:tc>
        <w:tc>
          <w:tcPr>
            <w:tcW w:w="1276" w:type="dxa"/>
            <w:noWrap/>
            <w:vAlign w:val="bottom"/>
            <w:hideMark/>
          </w:tcPr>
          <w:p w14:paraId="0B8EE628" w14:textId="77777777" w:rsidR="00AC0043" w:rsidRPr="00B625A8" w:rsidRDefault="00AC0043" w:rsidP="00B625A8">
            <w:pPr>
              <w:spacing w:after="0" w:line="480"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2.6512</w:t>
            </w:r>
          </w:p>
        </w:tc>
        <w:tc>
          <w:tcPr>
            <w:tcW w:w="992" w:type="dxa"/>
            <w:noWrap/>
            <w:vAlign w:val="bottom"/>
            <w:hideMark/>
          </w:tcPr>
          <w:p w14:paraId="04204841" w14:textId="77777777" w:rsidR="00AC0043" w:rsidRPr="00B625A8" w:rsidRDefault="00AC0043" w:rsidP="00B625A8">
            <w:pPr>
              <w:spacing w:after="0" w:line="480" w:lineRule="auto"/>
              <w:jc w:val="right"/>
              <w:rPr>
                <w:rFonts w:ascii="Arial" w:eastAsia="Times New Roman" w:hAnsi="Arial" w:cs="Arial"/>
                <w:color w:val="000000"/>
                <w:lang w:val="en-AE" w:eastAsia="en-AE"/>
              </w:rPr>
            </w:pPr>
            <w:r w:rsidRPr="00B625A8">
              <w:rPr>
                <w:rFonts w:ascii="Arial" w:eastAsia="Times New Roman" w:hAnsi="Arial" w:cs="Arial"/>
                <w:color w:val="000000"/>
                <w:lang w:val="en-AE" w:eastAsia="en-AE"/>
              </w:rPr>
              <w:t>0.004</w:t>
            </w:r>
          </w:p>
        </w:tc>
      </w:tr>
    </w:tbl>
    <w:p w14:paraId="1027C86C" w14:textId="77777777" w:rsidR="00AC0043" w:rsidRPr="00B625A8" w:rsidRDefault="00AC0043" w:rsidP="00B625A8">
      <w:pPr>
        <w:spacing w:line="480" w:lineRule="auto"/>
        <w:rPr>
          <w:rFonts w:ascii="Arial" w:hAnsi="Arial" w:cs="Arial"/>
          <w:b/>
          <w:bCs/>
        </w:rPr>
      </w:pPr>
    </w:p>
    <w:p w14:paraId="614081F1" w14:textId="77777777" w:rsidR="00AC0043" w:rsidRPr="00B625A8" w:rsidRDefault="00AC0043" w:rsidP="00B625A8">
      <w:pPr>
        <w:spacing w:after="0" w:line="480" w:lineRule="auto"/>
        <w:rPr>
          <w:rFonts w:ascii="Arial" w:hAnsi="Arial" w:cs="Arial"/>
        </w:rPr>
      </w:pPr>
    </w:p>
    <w:p w14:paraId="02C5E8ED" w14:textId="77777777" w:rsidR="00D17AFA" w:rsidRDefault="00D17AFA" w:rsidP="00173A63">
      <w:pPr>
        <w:spacing w:after="0" w:line="480" w:lineRule="auto"/>
        <w:rPr>
          <w:rFonts w:ascii="Arial" w:hAnsi="Arial" w:cs="Arial"/>
          <w:b/>
          <w:bCs/>
        </w:rPr>
      </w:pPr>
    </w:p>
    <w:p w14:paraId="7D856E90" w14:textId="77777777" w:rsidR="00AC0043" w:rsidRPr="00B625A8" w:rsidRDefault="006323CB" w:rsidP="00173A63">
      <w:pPr>
        <w:spacing w:after="0" w:line="480" w:lineRule="auto"/>
        <w:rPr>
          <w:rFonts w:ascii="Arial" w:hAnsi="Arial" w:cs="Arial"/>
          <w:b/>
          <w:bCs/>
        </w:rPr>
      </w:pPr>
      <w:r>
        <w:rPr>
          <w:rFonts w:ascii="Arial" w:hAnsi="Arial" w:cs="Arial"/>
          <w:b/>
          <w:bCs/>
        </w:rPr>
        <w:t xml:space="preserve">4.2.2 </w:t>
      </w:r>
      <w:r w:rsidR="00AC0043" w:rsidRPr="00B625A8">
        <w:rPr>
          <w:rFonts w:ascii="Arial" w:hAnsi="Arial" w:cs="Arial"/>
          <w:b/>
          <w:bCs/>
        </w:rPr>
        <w:t>Main Estimation</w:t>
      </w:r>
    </w:p>
    <w:p w14:paraId="02EF7970" w14:textId="77777777" w:rsidR="00614138" w:rsidRPr="00B625A8" w:rsidRDefault="00614138" w:rsidP="00173A63">
      <w:pPr>
        <w:spacing w:after="0" w:line="480" w:lineRule="auto"/>
        <w:ind w:firstLine="720"/>
        <w:jc w:val="both"/>
        <w:rPr>
          <w:rFonts w:ascii="Arial" w:hAnsi="Arial" w:cs="Arial"/>
        </w:rPr>
      </w:pPr>
      <w:r w:rsidRPr="00B625A8">
        <w:rPr>
          <w:rFonts w:ascii="Arial" w:hAnsi="Arial" w:cs="Arial"/>
        </w:rPr>
        <w:t xml:space="preserve">The regression results based on the Panel-Corrected Standard Errors (PCSE) estimator for the baseline control model and subsequent hypothesis-specific specifications are presented in Table 7. In addition to bank size being the sole control variable, the models also incorporate year dummies to adjust for macroeconomic effects such as inflation and interest rate fluctuations over time. As a robustness check, we estimated the same models using the Feasible Generalized </w:t>
      </w:r>
      <w:r w:rsidRPr="00B625A8">
        <w:rPr>
          <w:rFonts w:ascii="Arial" w:hAnsi="Arial" w:cs="Arial"/>
        </w:rPr>
        <w:lastRenderedPageBreak/>
        <w:t xml:space="preserve">Least Squares (FGLS) approach. The results, shown in Table 8, largely corroborate the PCSE findings by preserving both the signs and statistical significance of the key parameters. This consistency affirms the reliability and robustness of our primary estimation strategy. Accordingly, we focus our interpretation and discussion on the results obtained from the PCSE estimator. The baseline model shows that bank size has a statistically significant negative effect on ROA (β = -0.0458, p &lt; 0.01), suggesting that larger banks may experience diminishing marginal returns to scale, possibly due to inefficiencies associated with size. </w:t>
      </w:r>
    </w:p>
    <w:p w14:paraId="3812701D" w14:textId="77777777" w:rsidR="00AC0043" w:rsidRPr="00B625A8" w:rsidRDefault="00614138" w:rsidP="00173A63">
      <w:pPr>
        <w:spacing w:after="0" w:line="480" w:lineRule="auto"/>
        <w:ind w:firstLine="720"/>
        <w:jc w:val="both"/>
        <w:rPr>
          <w:rFonts w:ascii="Arial" w:eastAsia="Times New Roman" w:hAnsi="Arial" w:cs="Arial"/>
        </w:rPr>
      </w:pPr>
      <w:r w:rsidRPr="00B625A8">
        <w:rPr>
          <w:rFonts w:ascii="Arial" w:hAnsi="Arial" w:cs="Arial"/>
        </w:rPr>
        <w:t>The first hypothesis is justified by the negative and significant impact of risk-adjusted capital on ROA (β = -0.00124, p &lt; 0.01). This suggests that higher regulatory capital buffers might be associated with a trade-off in profitability, potentially due to the cost of holding excess capital or risk-averse lending practices. This result is consistent with the findings of Francis (2013), who found a negative relationship between capital and banks’ profitability, and contradicts the findings of Ejoh and Iwara (2014), who revealed that capital adequacy has a positive impact on ROA among Nigerian Banks from 1981 to 2011. Our study shows that while regulatory capital is essential for stability, excessive capitalization may dampen short-term performance if not balanced with revenue-generating activities</w:t>
      </w:r>
      <w:r w:rsidR="00AC0043" w:rsidRPr="00B625A8">
        <w:rPr>
          <w:rFonts w:ascii="Arial" w:hAnsi="Arial" w:cs="Arial"/>
          <w:lang w:val="en-AE"/>
        </w:rPr>
        <w:t xml:space="preserve">.   </w:t>
      </w:r>
      <w:r w:rsidR="00AC0043" w:rsidRPr="00B625A8">
        <w:rPr>
          <w:rFonts w:ascii="Arial" w:eastAsia="Times New Roman" w:hAnsi="Arial" w:cs="Arial"/>
        </w:rPr>
        <w:t xml:space="preserve"> </w:t>
      </w:r>
    </w:p>
    <w:p w14:paraId="3663EBBE" w14:textId="77777777" w:rsidR="00614138" w:rsidRPr="00B625A8" w:rsidRDefault="00614138" w:rsidP="0003443A">
      <w:pPr>
        <w:spacing w:after="0" w:line="480" w:lineRule="auto"/>
        <w:ind w:firstLine="720"/>
        <w:jc w:val="both"/>
        <w:rPr>
          <w:rFonts w:ascii="Arial" w:hAnsi="Arial" w:cs="Arial"/>
        </w:rPr>
      </w:pPr>
      <w:r w:rsidRPr="00B625A8">
        <w:rPr>
          <w:rFonts w:ascii="Arial" w:hAnsi="Arial" w:cs="Arial"/>
        </w:rPr>
        <w:t>Also, testing the second hypothesis, liquidity risk is found to be significantly negative (β = -0.0797, p &lt; 0.01), implying that increased liquidity risk, such as excessive illiquid assets or unstable funding, adversely affects bank performance. This supports the hypothesis that managing liquidity effectively is crucial for sustaining profitability. The outcome aligns with the study by Ly (2015) and Saleh and Abu Afifa (2020), who also showed that liquidity risk is negatively associated with bank performance. We derived that liquidity risk may be detrimental to a bank’s profitability and conforms with Chai et al. (2022), who suggested that granting customers secured loans could put appropriate measures in place to ensure prompt repayment.</w:t>
      </w:r>
    </w:p>
    <w:p w14:paraId="3257B563" w14:textId="77777777" w:rsidR="00AC0043" w:rsidRPr="00B625A8" w:rsidRDefault="00FD2E12" w:rsidP="0003443A">
      <w:pPr>
        <w:spacing w:after="0" w:line="480" w:lineRule="auto"/>
        <w:ind w:firstLine="720"/>
        <w:jc w:val="both"/>
        <w:rPr>
          <w:rFonts w:ascii="Arial" w:hAnsi="Arial" w:cs="Arial"/>
        </w:rPr>
      </w:pPr>
      <w:r w:rsidRPr="00C91509">
        <w:rPr>
          <w:rFonts w:ascii="Roboto" w:hAnsi="Roboto"/>
          <w:color w:val="131314"/>
          <w:sz w:val="21"/>
          <w:szCs w:val="21"/>
          <w:shd w:val="clear" w:color="auto" w:fill="FFFFFF"/>
        </w:rPr>
        <w:t xml:space="preserve">In evaluating the third hypothesis, the results indicate a statistically significant negative relationship between credit risk—measured by the Z-score—and return on assets (ROA), with a </w:t>
      </w:r>
      <w:r w:rsidRPr="00C91509">
        <w:rPr>
          <w:rFonts w:ascii="Roboto" w:hAnsi="Roboto"/>
          <w:color w:val="131314"/>
          <w:sz w:val="21"/>
          <w:szCs w:val="21"/>
          <w:shd w:val="clear" w:color="auto" w:fill="FFFFFF"/>
        </w:rPr>
        <w:lastRenderedPageBreak/>
        <w:t xml:space="preserve">coefficient of β = -0.00895 (p &lt; 0.05). This implies that higher credit risk is associated with lower bank profitability, consistent with theoretical expectations and prior empirical studies, including those by Chai et al. (2022), Abdelaziz et al. (2022), Abba and Ullah (2023), Mousa et al. (2018), and Kargi (2011). Although </w:t>
      </w:r>
      <w:r>
        <w:rPr>
          <w:rFonts w:ascii="Roboto" w:hAnsi="Roboto"/>
          <w:color w:val="131314"/>
          <w:sz w:val="21"/>
          <w:szCs w:val="21"/>
          <w:shd w:val="clear" w:color="auto" w:fill="FFFFFF"/>
        </w:rPr>
        <w:t>Owusu</w:t>
      </w:r>
      <w:r w:rsidRPr="00C91509">
        <w:rPr>
          <w:rFonts w:ascii="Roboto" w:hAnsi="Roboto"/>
          <w:color w:val="131314"/>
          <w:sz w:val="21"/>
          <w:szCs w:val="21"/>
          <w:shd w:val="clear" w:color="auto" w:fill="FFFFFF"/>
        </w:rPr>
        <w:t xml:space="preserve">-Boafo et al. (2020) reported a positive association between credit risk and ROA, the present findings reinforce the critical role of effective credit risk management in enhancing </w:t>
      </w:r>
      <w:r>
        <w:rPr>
          <w:rFonts w:ascii="Roboto" w:hAnsi="Roboto"/>
          <w:color w:val="131314"/>
          <w:sz w:val="21"/>
          <w:szCs w:val="21"/>
          <w:shd w:val="clear" w:color="auto" w:fill="FFFFFF"/>
        </w:rPr>
        <w:t xml:space="preserve">financial performance. This </w:t>
      </w:r>
      <w:r w:rsidRPr="00C91509">
        <w:rPr>
          <w:rFonts w:ascii="Roboto" w:hAnsi="Roboto"/>
          <w:color w:val="131314"/>
          <w:sz w:val="21"/>
          <w:szCs w:val="21"/>
          <w:shd w:val="clear" w:color="auto" w:fill="FFFFFF"/>
        </w:rPr>
        <w:t>underscore</w:t>
      </w:r>
      <w:r>
        <w:rPr>
          <w:rFonts w:ascii="Roboto" w:hAnsi="Roboto"/>
          <w:color w:val="131314"/>
          <w:sz w:val="21"/>
          <w:szCs w:val="21"/>
          <w:shd w:val="clear" w:color="auto" w:fill="FFFFFF"/>
        </w:rPr>
        <w:t>s</w:t>
      </w:r>
      <w:r w:rsidRPr="00C91509">
        <w:rPr>
          <w:rFonts w:ascii="Roboto" w:hAnsi="Roboto"/>
          <w:color w:val="131314"/>
          <w:sz w:val="21"/>
          <w:szCs w:val="21"/>
          <w:shd w:val="clear" w:color="auto" w:fill="FFFFFF"/>
        </w:rPr>
        <w:t xml:space="preserve"> that banks with sound credit portfolios and rigorous loan evaluation frameworks are better positioned to </w:t>
      </w:r>
      <w:r w:rsidRPr="00B625A8">
        <w:rPr>
          <w:rFonts w:ascii="Arial" w:hAnsi="Arial" w:cs="Arial"/>
        </w:rPr>
        <w:t xml:space="preserve">sustain </w:t>
      </w:r>
      <w:r w:rsidRPr="00C91509">
        <w:rPr>
          <w:rFonts w:ascii="Roboto" w:hAnsi="Roboto"/>
          <w:color w:val="131314"/>
          <w:sz w:val="21"/>
          <w:szCs w:val="21"/>
          <w:shd w:val="clear" w:color="auto" w:fill="FFFFFF"/>
        </w:rPr>
        <w:t>profitability over time</w:t>
      </w:r>
      <w:r w:rsidR="00AC0043" w:rsidRPr="00B625A8">
        <w:rPr>
          <w:rFonts w:ascii="Arial" w:hAnsi="Arial" w:cs="Arial"/>
        </w:rPr>
        <w:t>.</w:t>
      </w:r>
      <w:r w:rsidR="00AC0043" w:rsidRPr="00B625A8">
        <w:rPr>
          <w:rFonts w:ascii="Arial" w:hAnsi="Arial" w:cs="Arial"/>
          <w:lang w:val="en-AE"/>
        </w:rPr>
        <w:t xml:space="preserve"> </w:t>
      </w:r>
    </w:p>
    <w:p w14:paraId="69D656E0" w14:textId="77777777" w:rsidR="00AC0043" w:rsidRPr="00B625A8" w:rsidRDefault="00614138" w:rsidP="00173A63">
      <w:pPr>
        <w:spacing w:after="0" w:line="480" w:lineRule="auto"/>
        <w:ind w:firstLine="720"/>
        <w:jc w:val="both"/>
        <w:rPr>
          <w:rFonts w:ascii="Arial" w:hAnsi="Arial" w:cs="Arial"/>
          <w:shd w:val="clear" w:color="auto" w:fill="FFFFFF"/>
        </w:rPr>
      </w:pPr>
      <w:r w:rsidRPr="00B625A8">
        <w:rPr>
          <w:rFonts w:ascii="Arial" w:hAnsi="Arial" w:cs="Arial"/>
        </w:rPr>
        <w:t>Additionally, regarding the interdependence relationship stated in the fourth hypothesis, the joint significance test for the three variables — Credit Risk, RAC, and LDR — yields a χ² of 34.47 (p &lt; 0.01), confirming that credit risk, capital adequacy, and liquidity risk are collectively important in explaining variations in bank performance. Moreover, R-squared values improve across models, with the highest explanatory power observed in Hypotheses 2 and 3 (H</w:t>
      </w:r>
      <w:r w:rsidRPr="00B625A8">
        <w:rPr>
          <w:rFonts w:ascii="Cambria Math" w:hAnsi="Cambria Math" w:cs="Cambria Math"/>
        </w:rPr>
        <w:t>₂</w:t>
      </w:r>
      <w:r w:rsidRPr="00B625A8">
        <w:rPr>
          <w:rFonts w:ascii="Arial" w:hAnsi="Arial" w:cs="Arial"/>
        </w:rPr>
        <w:t xml:space="preserve"> and H</w:t>
      </w:r>
      <w:r w:rsidRPr="00B625A8">
        <w:rPr>
          <w:rFonts w:ascii="Cambria Math" w:hAnsi="Cambria Math" w:cs="Cambria Math"/>
        </w:rPr>
        <w:t>₃</w:t>
      </w:r>
      <w:r w:rsidRPr="00B625A8">
        <w:rPr>
          <w:rFonts w:ascii="Arial" w:hAnsi="Arial" w:cs="Arial"/>
        </w:rPr>
        <w:t>). To be specific on individual effects, credit risk (β = -0.0135, p &lt; 0.01) and risk-adjusted capital (β = -0.00201, p &lt; 0.01) remain negatively significant, while liquidity risk becomes positively significant (β = 0.0630, p &lt; 0.05). This unexpected positive effect of liquidity risk may indicate the presence of simultaneous interactions, such as increased risk-taking behavior when liquidity positions are strong, as revealed by Haris et al. (2024), Abbas et al. (2019), and Aluko et al. (2019), who found that liquidity risk fosters banks' performance. As Eyalsalman et al. (2024) observed, liquidity may enhance a bank’s ability to create more risk assets and earn more income, but it is essential to manage credit risk and capital adequacy as found in this hypothesis. This suggests that Nigerian banks' profitability may not be fully understood in isolation from individual risk factors; rather, it is the integrated risk management approach that shapes outcomes</w:t>
      </w:r>
      <w:r w:rsidR="00AC0043" w:rsidRPr="00B625A8">
        <w:rPr>
          <w:rFonts w:ascii="Arial" w:hAnsi="Arial" w:cs="Arial"/>
          <w:lang w:val="en-AE"/>
        </w:rPr>
        <w:t>.</w:t>
      </w:r>
    </w:p>
    <w:p w14:paraId="5ECFCD41" w14:textId="77777777" w:rsidR="00224BD8" w:rsidRDefault="00224BD8" w:rsidP="00B625A8">
      <w:pPr>
        <w:spacing w:after="0" w:line="480" w:lineRule="auto"/>
        <w:rPr>
          <w:rFonts w:ascii="Arial" w:hAnsi="Arial" w:cs="Arial"/>
          <w:b/>
          <w:bCs/>
        </w:rPr>
      </w:pPr>
    </w:p>
    <w:p w14:paraId="65021672" w14:textId="77777777" w:rsidR="00224BD8" w:rsidRDefault="00224BD8" w:rsidP="00B625A8">
      <w:pPr>
        <w:spacing w:after="0" w:line="480" w:lineRule="auto"/>
        <w:rPr>
          <w:rFonts w:ascii="Arial" w:hAnsi="Arial" w:cs="Arial"/>
          <w:b/>
          <w:bCs/>
        </w:rPr>
      </w:pPr>
    </w:p>
    <w:p w14:paraId="1C23F978" w14:textId="77777777" w:rsidR="00D17AFA" w:rsidRDefault="00D17AFA" w:rsidP="00B625A8">
      <w:pPr>
        <w:spacing w:after="0" w:line="480" w:lineRule="auto"/>
        <w:rPr>
          <w:rFonts w:ascii="Arial" w:hAnsi="Arial" w:cs="Arial"/>
          <w:b/>
          <w:bCs/>
        </w:rPr>
      </w:pPr>
    </w:p>
    <w:p w14:paraId="2B263335" w14:textId="77777777" w:rsidR="00D17AFA" w:rsidRDefault="00D17AFA" w:rsidP="00B625A8">
      <w:pPr>
        <w:spacing w:after="0" w:line="480" w:lineRule="auto"/>
        <w:rPr>
          <w:rFonts w:ascii="Arial" w:hAnsi="Arial" w:cs="Arial"/>
          <w:b/>
          <w:bCs/>
        </w:rPr>
      </w:pPr>
    </w:p>
    <w:p w14:paraId="73873E16" w14:textId="77777777" w:rsidR="00D17AFA" w:rsidRDefault="00D17AFA" w:rsidP="00B625A8">
      <w:pPr>
        <w:spacing w:after="0" w:line="480" w:lineRule="auto"/>
        <w:rPr>
          <w:rFonts w:ascii="Arial" w:hAnsi="Arial" w:cs="Arial"/>
          <w:b/>
          <w:bCs/>
        </w:rPr>
      </w:pPr>
    </w:p>
    <w:p w14:paraId="2665B6EC" w14:textId="77777777" w:rsidR="007F054C" w:rsidRPr="00B625A8" w:rsidRDefault="007F054C" w:rsidP="00B625A8">
      <w:pPr>
        <w:spacing w:after="0" w:line="480" w:lineRule="auto"/>
        <w:rPr>
          <w:rFonts w:ascii="Arial" w:hAnsi="Arial" w:cs="Arial"/>
          <w:b/>
          <w:bCs/>
        </w:rPr>
      </w:pPr>
      <w:r w:rsidRPr="00B625A8">
        <w:rPr>
          <w:rFonts w:ascii="Arial" w:hAnsi="Arial" w:cs="Arial"/>
          <w:b/>
          <w:bCs/>
        </w:rPr>
        <w:t>Table 7</w:t>
      </w:r>
    </w:p>
    <w:p w14:paraId="272748FD" w14:textId="77777777" w:rsidR="00AC0043" w:rsidRDefault="00AC0043" w:rsidP="00B625A8">
      <w:pPr>
        <w:spacing w:after="0" w:line="480" w:lineRule="auto"/>
        <w:rPr>
          <w:rFonts w:ascii="Arial" w:hAnsi="Arial" w:cs="Arial"/>
          <w:b/>
          <w:bCs/>
        </w:rPr>
      </w:pPr>
      <w:r w:rsidRPr="00B625A8">
        <w:rPr>
          <w:rFonts w:ascii="Arial" w:hAnsi="Arial" w:cs="Arial"/>
          <w:b/>
          <w:bCs/>
        </w:rPr>
        <w:t xml:space="preserve">Result of the Panel-Corrected Standard Error (PCSE) estimator (Dep. </w:t>
      </w:r>
      <w:r w:rsidR="007F054C" w:rsidRPr="00B625A8">
        <w:rPr>
          <w:rFonts w:ascii="Arial" w:hAnsi="Arial" w:cs="Arial"/>
          <w:b/>
          <w:bCs/>
        </w:rPr>
        <w:t>var</w:t>
      </w:r>
      <w:r w:rsidRPr="00B625A8">
        <w:rPr>
          <w:rFonts w:ascii="Arial" w:hAnsi="Arial" w:cs="Arial"/>
          <w:b/>
          <w:bCs/>
        </w:rPr>
        <w:t xml:space="preserve"> is ROA)</w:t>
      </w:r>
    </w:p>
    <w:tbl>
      <w:tblPr>
        <w:tblW w:w="9029" w:type="dxa"/>
        <w:tblLook w:val="04A0" w:firstRow="1" w:lastRow="0" w:firstColumn="1" w:lastColumn="0" w:noHBand="0" w:noVBand="1"/>
      </w:tblPr>
      <w:tblGrid>
        <w:gridCol w:w="2442"/>
        <w:gridCol w:w="1311"/>
        <w:gridCol w:w="1311"/>
        <w:gridCol w:w="1327"/>
        <w:gridCol w:w="1311"/>
        <w:gridCol w:w="1327"/>
      </w:tblGrid>
      <w:tr w:rsidR="00F67C07" w:rsidRPr="00604C87" w14:paraId="45C91475" w14:textId="77777777" w:rsidTr="00173A63">
        <w:trPr>
          <w:trHeight w:val="277"/>
        </w:trPr>
        <w:tc>
          <w:tcPr>
            <w:tcW w:w="2442" w:type="dxa"/>
            <w:tcBorders>
              <w:top w:val="single" w:sz="4" w:space="0" w:color="auto"/>
              <w:left w:val="nil"/>
              <w:bottom w:val="single" w:sz="4" w:space="0" w:color="auto"/>
              <w:right w:val="nil"/>
            </w:tcBorders>
            <w:noWrap/>
            <w:vAlign w:val="bottom"/>
            <w:hideMark/>
          </w:tcPr>
          <w:p w14:paraId="2927CFCD"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VARIABLES</w:t>
            </w:r>
          </w:p>
        </w:tc>
        <w:tc>
          <w:tcPr>
            <w:tcW w:w="1311" w:type="dxa"/>
            <w:tcBorders>
              <w:top w:val="single" w:sz="4" w:space="0" w:color="auto"/>
              <w:left w:val="nil"/>
              <w:bottom w:val="single" w:sz="4" w:space="0" w:color="auto"/>
              <w:right w:val="nil"/>
            </w:tcBorders>
            <w:noWrap/>
            <w:vAlign w:val="bottom"/>
            <w:hideMark/>
          </w:tcPr>
          <w:p w14:paraId="775BC6A8"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Control</w:t>
            </w:r>
          </w:p>
        </w:tc>
        <w:tc>
          <w:tcPr>
            <w:tcW w:w="1311" w:type="dxa"/>
            <w:tcBorders>
              <w:top w:val="single" w:sz="4" w:space="0" w:color="auto"/>
              <w:left w:val="nil"/>
              <w:bottom w:val="single" w:sz="4" w:space="0" w:color="auto"/>
              <w:right w:val="nil"/>
            </w:tcBorders>
            <w:noWrap/>
            <w:vAlign w:val="bottom"/>
            <w:hideMark/>
          </w:tcPr>
          <w:p w14:paraId="16E11D69"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H1</w:t>
            </w:r>
          </w:p>
        </w:tc>
        <w:tc>
          <w:tcPr>
            <w:tcW w:w="1327" w:type="dxa"/>
            <w:tcBorders>
              <w:top w:val="single" w:sz="4" w:space="0" w:color="auto"/>
              <w:left w:val="nil"/>
              <w:bottom w:val="single" w:sz="4" w:space="0" w:color="auto"/>
              <w:right w:val="nil"/>
            </w:tcBorders>
            <w:noWrap/>
            <w:vAlign w:val="bottom"/>
            <w:hideMark/>
          </w:tcPr>
          <w:p w14:paraId="5531FAB8"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H2</w:t>
            </w:r>
          </w:p>
        </w:tc>
        <w:tc>
          <w:tcPr>
            <w:tcW w:w="1311" w:type="dxa"/>
            <w:tcBorders>
              <w:top w:val="single" w:sz="4" w:space="0" w:color="auto"/>
              <w:left w:val="nil"/>
              <w:bottom w:val="single" w:sz="4" w:space="0" w:color="auto"/>
              <w:right w:val="nil"/>
            </w:tcBorders>
            <w:noWrap/>
            <w:vAlign w:val="bottom"/>
            <w:hideMark/>
          </w:tcPr>
          <w:p w14:paraId="796C39CF"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H3</w:t>
            </w:r>
          </w:p>
        </w:tc>
        <w:tc>
          <w:tcPr>
            <w:tcW w:w="1327" w:type="dxa"/>
            <w:tcBorders>
              <w:top w:val="single" w:sz="4" w:space="0" w:color="auto"/>
              <w:left w:val="nil"/>
              <w:bottom w:val="single" w:sz="4" w:space="0" w:color="auto"/>
              <w:right w:val="nil"/>
            </w:tcBorders>
            <w:noWrap/>
            <w:vAlign w:val="bottom"/>
            <w:hideMark/>
          </w:tcPr>
          <w:p w14:paraId="47F2B9A7"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H4</w:t>
            </w:r>
          </w:p>
        </w:tc>
      </w:tr>
      <w:tr w:rsidR="00F67C07" w:rsidRPr="00604C87" w14:paraId="077D040A" w14:textId="77777777" w:rsidTr="00173A63">
        <w:trPr>
          <w:trHeight w:val="277"/>
        </w:trPr>
        <w:tc>
          <w:tcPr>
            <w:tcW w:w="2442" w:type="dxa"/>
            <w:tcBorders>
              <w:top w:val="nil"/>
              <w:left w:val="nil"/>
              <w:bottom w:val="nil"/>
              <w:right w:val="nil"/>
            </w:tcBorders>
            <w:noWrap/>
            <w:vAlign w:val="center"/>
            <w:hideMark/>
          </w:tcPr>
          <w:p w14:paraId="4E22AFB5"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Bank size</w:t>
            </w:r>
          </w:p>
        </w:tc>
        <w:tc>
          <w:tcPr>
            <w:tcW w:w="1311" w:type="dxa"/>
            <w:tcBorders>
              <w:top w:val="nil"/>
              <w:left w:val="nil"/>
              <w:bottom w:val="nil"/>
              <w:right w:val="nil"/>
            </w:tcBorders>
            <w:noWrap/>
            <w:vAlign w:val="bottom"/>
            <w:hideMark/>
          </w:tcPr>
          <w:p w14:paraId="23BB9F7A" w14:textId="77777777" w:rsidR="00F67C07" w:rsidRPr="00604C87" w:rsidRDefault="00F67C07" w:rsidP="00173A63">
            <w:pPr>
              <w:spacing w:after="0" w:line="240" w:lineRule="auto"/>
              <w:jc w:val="center"/>
              <w:rPr>
                <w:rFonts w:ascii="Times New Roman" w:eastAsia="Times New Roman" w:hAnsi="Times New Roman" w:cs="Times New Roman"/>
                <w:color w:val="0F9ED5"/>
                <w:sz w:val="20"/>
                <w:szCs w:val="20"/>
                <w:lang w:val="en-AE" w:eastAsia="en-AE"/>
              </w:rPr>
            </w:pPr>
            <w:r w:rsidRPr="00604C87">
              <w:rPr>
                <w:rFonts w:ascii="Times New Roman" w:hAnsi="Times New Roman" w:cs="Times New Roman"/>
                <w:color w:val="00B0F0"/>
                <w:sz w:val="20"/>
                <w:szCs w:val="20"/>
              </w:rPr>
              <w:t>-0.0458***</w:t>
            </w:r>
          </w:p>
        </w:tc>
        <w:tc>
          <w:tcPr>
            <w:tcW w:w="1311" w:type="dxa"/>
            <w:tcBorders>
              <w:top w:val="nil"/>
              <w:left w:val="nil"/>
              <w:bottom w:val="nil"/>
              <w:right w:val="nil"/>
            </w:tcBorders>
            <w:noWrap/>
            <w:vAlign w:val="bottom"/>
            <w:hideMark/>
          </w:tcPr>
          <w:p w14:paraId="6FE1D44C" w14:textId="77777777" w:rsidR="00F67C07" w:rsidRPr="00604C87" w:rsidRDefault="00F67C07" w:rsidP="00173A63">
            <w:pPr>
              <w:spacing w:after="0" w:line="240" w:lineRule="auto"/>
              <w:jc w:val="center"/>
              <w:rPr>
                <w:rFonts w:ascii="Times New Roman" w:eastAsia="Times New Roman" w:hAnsi="Times New Roman" w:cs="Times New Roman"/>
                <w:color w:val="0F9ED5"/>
                <w:sz w:val="20"/>
                <w:szCs w:val="20"/>
                <w:lang w:val="en-AE" w:eastAsia="en-AE"/>
              </w:rPr>
            </w:pPr>
            <w:r w:rsidRPr="00604C87">
              <w:rPr>
                <w:rFonts w:ascii="Times New Roman" w:hAnsi="Times New Roman" w:cs="Times New Roman"/>
                <w:color w:val="00B0F0"/>
                <w:sz w:val="20"/>
                <w:szCs w:val="20"/>
              </w:rPr>
              <w:t>-0.0269***</w:t>
            </w:r>
          </w:p>
        </w:tc>
        <w:tc>
          <w:tcPr>
            <w:tcW w:w="1327" w:type="dxa"/>
            <w:tcBorders>
              <w:top w:val="nil"/>
              <w:left w:val="nil"/>
              <w:bottom w:val="nil"/>
              <w:right w:val="nil"/>
            </w:tcBorders>
            <w:noWrap/>
            <w:vAlign w:val="bottom"/>
            <w:hideMark/>
          </w:tcPr>
          <w:p w14:paraId="459A64AA" w14:textId="77777777" w:rsidR="00F67C07" w:rsidRPr="00604C87" w:rsidRDefault="00F67C07" w:rsidP="00173A63">
            <w:pPr>
              <w:spacing w:after="0" w:line="240" w:lineRule="auto"/>
              <w:jc w:val="center"/>
              <w:rPr>
                <w:rFonts w:ascii="Times New Roman" w:eastAsia="Times New Roman" w:hAnsi="Times New Roman" w:cs="Times New Roman"/>
                <w:color w:val="0F9ED5"/>
                <w:sz w:val="20"/>
                <w:szCs w:val="20"/>
                <w:lang w:val="en-AE" w:eastAsia="en-AE"/>
              </w:rPr>
            </w:pPr>
            <w:r w:rsidRPr="00604C87">
              <w:rPr>
                <w:rFonts w:ascii="Times New Roman" w:hAnsi="Times New Roman" w:cs="Times New Roman"/>
                <w:color w:val="00B0F0"/>
                <w:sz w:val="20"/>
                <w:szCs w:val="20"/>
              </w:rPr>
              <w:t>-0.0991***</w:t>
            </w:r>
          </w:p>
        </w:tc>
        <w:tc>
          <w:tcPr>
            <w:tcW w:w="1311" w:type="dxa"/>
            <w:tcBorders>
              <w:top w:val="nil"/>
              <w:left w:val="nil"/>
              <w:bottom w:val="nil"/>
              <w:right w:val="nil"/>
            </w:tcBorders>
            <w:noWrap/>
            <w:vAlign w:val="bottom"/>
            <w:hideMark/>
          </w:tcPr>
          <w:p w14:paraId="4F14ADBE" w14:textId="77777777" w:rsidR="00F67C07" w:rsidRPr="00604C87" w:rsidRDefault="00F67C07" w:rsidP="00173A63">
            <w:pPr>
              <w:spacing w:after="0" w:line="240" w:lineRule="auto"/>
              <w:jc w:val="center"/>
              <w:rPr>
                <w:rFonts w:ascii="Times New Roman" w:eastAsia="Times New Roman" w:hAnsi="Times New Roman" w:cs="Times New Roman"/>
                <w:color w:val="0F9ED5"/>
                <w:sz w:val="20"/>
                <w:szCs w:val="20"/>
                <w:lang w:val="en-AE" w:eastAsia="en-AE"/>
              </w:rPr>
            </w:pPr>
            <w:r w:rsidRPr="00604C87">
              <w:rPr>
                <w:rFonts w:ascii="Times New Roman" w:hAnsi="Times New Roman" w:cs="Times New Roman"/>
                <w:color w:val="00B0F0"/>
                <w:sz w:val="20"/>
                <w:szCs w:val="20"/>
              </w:rPr>
              <w:t>-0.0148***</w:t>
            </w:r>
          </w:p>
        </w:tc>
        <w:tc>
          <w:tcPr>
            <w:tcW w:w="1327" w:type="dxa"/>
            <w:tcBorders>
              <w:top w:val="nil"/>
              <w:left w:val="nil"/>
              <w:bottom w:val="nil"/>
              <w:right w:val="nil"/>
            </w:tcBorders>
            <w:noWrap/>
            <w:vAlign w:val="bottom"/>
            <w:hideMark/>
          </w:tcPr>
          <w:p w14:paraId="675A1FA6" w14:textId="77777777" w:rsidR="00F67C07" w:rsidRPr="00604C87" w:rsidRDefault="00F67C07" w:rsidP="00173A63">
            <w:pPr>
              <w:spacing w:after="0" w:line="240" w:lineRule="auto"/>
              <w:jc w:val="center"/>
              <w:rPr>
                <w:rFonts w:ascii="Times New Roman" w:eastAsia="Times New Roman" w:hAnsi="Times New Roman" w:cs="Times New Roman"/>
                <w:color w:val="0F9ED5"/>
                <w:sz w:val="20"/>
                <w:szCs w:val="20"/>
                <w:lang w:val="en-AE" w:eastAsia="en-AE"/>
              </w:rPr>
            </w:pPr>
            <w:r w:rsidRPr="00604C87">
              <w:rPr>
                <w:rFonts w:ascii="Times New Roman" w:hAnsi="Times New Roman" w:cs="Times New Roman"/>
                <w:color w:val="00B0F0"/>
                <w:sz w:val="20"/>
                <w:szCs w:val="20"/>
              </w:rPr>
              <w:t>-0.00329</w:t>
            </w:r>
          </w:p>
        </w:tc>
      </w:tr>
      <w:tr w:rsidR="00F67C07" w:rsidRPr="00604C87" w14:paraId="0271815F" w14:textId="77777777" w:rsidTr="00173A63">
        <w:trPr>
          <w:trHeight w:val="277"/>
        </w:trPr>
        <w:tc>
          <w:tcPr>
            <w:tcW w:w="2442" w:type="dxa"/>
            <w:tcBorders>
              <w:top w:val="nil"/>
              <w:left w:val="nil"/>
              <w:bottom w:val="nil"/>
              <w:right w:val="nil"/>
            </w:tcBorders>
            <w:noWrap/>
            <w:vAlign w:val="bottom"/>
            <w:hideMark/>
          </w:tcPr>
          <w:p w14:paraId="6210BA37" w14:textId="77777777" w:rsidR="00F67C07" w:rsidRPr="00604C87" w:rsidRDefault="00F67C07" w:rsidP="00173A63">
            <w:pPr>
              <w:spacing w:after="0" w:line="240" w:lineRule="auto"/>
              <w:jc w:val="center"/>
              <w:rPr>
                <w:rFonts w:ascii="Times New Roman" w:eastAsia="Times New Roman" w:hAnsi="Times New Roman" w:cs="Times New Roman"/>
                <w:color w:val="0F9ED5"/>
                <w:sz w:val="20"/>
                <w:szCs w:val="20"/>
                <w:lang w:val="en-AE" w:eastAsia="en-AE"/>
              </w:rPr>
            </w:pPr>
          </w:p>
        </w:tc>
        <w:tc>
          <w:tcPr>
            <w:tcW w:w="1311" w:type="dxa"/>
            <w:tcBorders>
              <w:top w:val="nil"/>
              <w:left w:val="nil"/>
              <w:bottom w:val="nil"/>
              <w:right w:val="nil"/>
            </w:tcBorders>
            <w:noWrap/>
            <w:vAlign w:val="bottom"/>
            <w:hideMark/>
          </w:tcPr>
          <w:p w14:paraId="36C4ADDE"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(-7.452)</w:t>
            </w:r>
          </w:p>
        </w:tc>
        <w:tc>
          <w:tcPr>
            <w:tcW w:w="1311" w:type="dxa"/>
            <w:tcBorders>
              <w:top w:val="nil"/>
              <w:left w:val="nil"/>
              <w:bottom w:val="nil"/>
              <w:right w:val="nil"/>
            </w:tcBorders>
            <w:noWrap/>
            <w:vAlign w:val="bottom"/>
            <w:hideMark/>
          </w:tcPr>
          <w:p w14:paraId="324EE7FA"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(-4.339)</w:t>
            </w:r>
          </w:p>
        </w:tc>
        <w:tc>
          <w:tcPr>
            <w:tcW w:w="1327" w:type="dxa"/>
            <w:tcBorders>
              <w:top w:val="nil"/>
              <w:left w:val="nil"/>
              <w:bottom w:val="nil"/>
              <w:right w:val="nil"/>
            </w:tcBorders>
            <w:noWrap/>
            <w:vAlign w:val="bottom"/>
            <w:hideMark/>
          </w:tcPr>
          <w:p w14:paraId="182642DB"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(-6.881)</w:t>
            </w:r>
          </w:p>
        </w:tc>
        <w:tc>
          <w:tcPr>
            <w:tcW w:w="1311" w:type="dxa"/>
            <w:tcBorders>
              <w:top w:val="nil"/>
              <w:left w:val="nil"/>
              <w:bottom w:val="nil"/>
              <w:right w:val="nil"/>
            </w:tcBorders>
            <w:noWrap/>
            <w:vAlign w:val="bottom"/>
            <w:hideMark/>
          </w:tcPr>
          <w:p w14:paraId="0EDF87A8"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(-2.669)</w:t>
            </w:r>
          </w:p>
        </w:tc>
        <w:tc>
          <w:tcPr>
            <w:tcW w:w="1327" w:type="dxa"/>
            <w:tcBorders>
              <w:top w:val="nil"/>
              <w:left w:val="nil"/>
              <w:bottom w:val="nil"/>
              <w:right w:val="nil"/>
            </w:tcBorders>
            <w:noWrap/>
            <w:vAlign w:val="bottom"/>
            <w:hideMark/>
          </w:tcPr>
          <w:p w14:paraId="3063DF12"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(-0.595)</w:t>
            </w:r>
          </w:p>
        </w:tc>
      </w:tr>
      <w:tr w:rsidR="00F67C07" w:rsidRPr="00604C87" w14:paraId="706ED519" w14:textId="77777777" w:rsidTr="00173A63">
        <w:trPr>
          <w:trHeight w:val="277"/>
        </w:trPr>
        <w:tc>
          <w:tcPr>
            <w:tcW w:w="2442" w:type="dxa"/>
            <w:tcBorders>
              <w:top w:val="nil"/>
              <w:left w:val="nil"/>
              <w:bottom w:val="nil"/>
              <w:right w:val="nil"/>
            </w:tcBorders>
            <w:noWrap/>
            <w:vAlign w:val="center"/>
            <w:hideMark/>
          </w:tcPr>
          <w:p w14:paraId="577CC618"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Risk-Adjusted Capital</w:t>
            </w:r>
          </w:p>
        </w:tc>
        <w:tc>
          <w:tcPr>
            <w:tcW w:w="1311" w:type="dxa"/>
            <w:tcBorders>
              <w:top w:val="nil"/>
              <w:left w:val="nil"/>
              <w:bottom w:val="nil"/>
              <w:right w:val="nil"/>
            </w:tcBorders>
            <w:noWrap/>
            <w:vAlign w:val="bottom"/>
            <w:hideMark/>
          </w:tcPr>
          <w:p w14:paraId="68C8637B"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hideMark/>
          </w:tcPr>
          <w:p w14:paraId="6A9D5194" w14:textId="77777777" w:rsidR="00F67C07" w:rsidRPr="00604C87" w:rsidRDefault="00F67C07" w:rsidP="00173A63">
            <w:pPr>
              <w:spacing w:after="0" w:line="240" w:lineRule="auto"/>
              <w:jc w:val="center"/>
              <w:rPr>
                <w:rFonts w:ascii="Times New Roman" w:eastAsia="Times New Roman" w:hAnsi="Times New Roman" w:cs="Times New Roman"/>
                <w:color w:val="0F9ED5"/>
                <w:sz w:val="20"/>
                <w:szCs w:val="20"/>
                <w:lang w:val="en-AE" w:eastAsia="en-AE"/>
              </w:rPr>
            </w:pPr>
            <w:r w:rsidRPr="00604C87">
              <w:rPr>
                <w:rFonts w:ascii="Times New Roman" w:hAnsi="Times New Roman" w:cs="Times New Roman"/>
                <w:color w:val="00B0F0"/>
                <w:sz w:val="20"/>
                <w:szCs w:val="20"/>
              </w:rPr>
              <w:t>-0.00124***</w:t>
            </w:r>
          </w:p>
        </w:tc>
        <w:tc>
          <w:tcPr>
            <w:tcW w:w="1327" w:type="dxa"/>
            <w:tcBorders>
              <w:top w:val="nil"/>
              <w:left w:val="nil"/>
              <w:bottom w:val="nil"/>
              <w:right w:val="nil"/>
            </w:tcBorders>
            <w:noWrap/>
            <w:vAlign w:val="bottom"/>
            <w:hideMark/>
          </w:tcPr>
          <w:p w14:paraId="304F8A2F" w14:textId="77777777" w:rsidR="00F67C07" w:rsidRPr="00604C87" w:rsidRDefault="00F67C07" w:rsidP="00173A63">
            <w:pPr>
              <w:spacing w:after="0" w:line="240" w:lineRule="auto"/>
              <w:jc w:val="center"/>
              <w:rPr>
                <w:rFonts w:ascii="Times New Roman" w:eastAsia="Times New Roman" w:hAnsi="Times New Roman" w:cs="Times New Roman"/>
                <w:color w:val="0F9ED5"/>
                <w:sz w:val="20"/>
                <w:szCs w:val="20"/>
                <w:lang w:val="en-AE" w:eastAsia="en-AE"/>
              </w:rPr>
            </w:pPr>
          </w:p>
        </w:tc>
        <w:tc>
          <w:tcPr>
            <w:tcW w:w="1311" w:type="dxa"/>
            <w:tcBorders>
              <w:top w:val="nil"/>
              <w:left w:val="nil"/>
              <w:bottom w:val="nil"/>
              <w:right w:val="nil"/>
            </w:tcBorders>
            <w:noWrap/>
            <w:vAlign w:val="bottom"/>
            <w:hideMark/>
          </w:tcPr>
          <w:p w14:paraId="76750ABB" w14:textId="77777777" w:rsidR="00F67C07" w:rsidRPr="00604C87" w:rsidRDefault="00F67C07" w:rsidP="00173A63">
            <w:pPr>
              <w:spacing w:after="0" w:line="240" w:lineRule="auto"/>
              <w:jc w:val="center"/>
              <w:rPr>
                <w:rFonts w:ascii="Times New Roman" w:eastAsia="Times New Roman" w:hAnsi="Times New Roman" w:cs="Times New Roman"/>
                <w:color w:val="0F9ED5"/>
                <w:sz w:val="20"/>
                <w:szCs w:val="20"/>
                <w:lang w:val="en-AE" w:eastAsia="en-AE"/>
              </w:rPr>
            </w:pPr>
          </w:p>
        </w:tc>
        <w:tc>
          <w:tcPr>
            <w:tcW w:w="1327" w:type="dxa"/>
            <w:tcBorders>
              <w:top w:val="nil"/>
              <w:left w:val="nil"/>
              <w:bottom w:val="nil"/>
              <w:right w:val="nil"/>
            </w:tcBorders>
            <w:noWrap/>
            <w:vAlign w:val="bottom"/>
            <w:hideMark/>
          </w:tcPr>
          <w:p w14:paraId="0329AA17" w14:textId="77777777" w:rsidR="00F67C07" w:rsidRPr="00604C87" w:rsidRDefault="00F67C07" w:rsidP="00173A63">
            <w:pPr>
              <w:spacing w:after="0" w:line="240" w:lineRule="auto"/>
              <w:jc w:val="center"/>
              <w:rPr>
                <w:rFonts w:ascii="Times New Roman" w:eastAsia="Times New Roman" w:hAnsi="Times New Roman" w:cs="Times New Roman"/>
                <w:color w:val="0F9ED5"/>
                <w:sz w:val="20"/>
                <w:szCs w:val="20"/>
                <w:lang w:val="en-AE" w:eastAsia="en-AE"/>
              </w:rPr>
            </w:pPr>
            <w:r w:rsidRPr="00604C87">
              <w:rPr>
                <w:rFonts w:ascii="Times New Roman" w:hAnsi="Times New Roman" w:cs="Times New Roman"/>
                <w:color w:val="00B0F0"/>
                <w:sz w:val="20"/>
                <w:szCs w:val="20"/>
              </w:rPr>
              <w:t>-0.00201***</w:t>
            </w:r>
          </w:p>
        </w:tc>
      </w:tr>
      <w:tr w:rsidR="00F67C07" w:rsidRPr="00604C87" w14:paraId="28662DB2" w14:textId="77777777" w:rsidTr="00173A63">
        <w:trPr>
          <w:trHeight w:val="277"/>
        </w:trPr>
        <w:tc>
          <w:tcPr>
            <w:tcW w:w="2442" w:type="dxa"/>
            <w:tcBorders>
              <w:top w:val="nil"/>
              <w:left w:val="nil"/>
              <w:bottom w:val="nil"/>
              <w:right w:val="nil"/>
            </w:tcBorders>
            <w:noWrap/>
            <w:vAlign w:val="center"/>
            <w:hideMark/>
          </w:tcPr>
          <w:p w14:paraId="66F20862"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 </w:t>
            </w:r>
          </w:p>
        </w:tc>
        <w:tc>
          <w:tcPr>
            <w:tcW w:w="1311" w:type="dxa"/>
            <w:tcBorders>
              <w:top w:val="nil"/>
              <w:left w:val="nil"/>
              <w:bottom w:val="nil"/>
              <w:right w:val="nil"/>
            </w:tcBorders>
            <w:noWrap/>
            <w:vAlign w:val="bottom"/>
            <w:hideMark/>
          </w:tcPr>
          <w:p w14:paraId="6E388286"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hideMark/>
          </w:tcPr>
          <w:p w14:paraId="08F4303D"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(-6.547)</w:t>
            </w:r>
          </w:p>
        </w:tc>
        <w:tc>
          <w:tcPr>
            <w:tcW w:w="1327" w:type="dxa"/>
            <w:tcBorders>
              <w:top w:val="nil"/>
              <w:left w:val="nil"/>
              <w:bottom w:val="nil"/>
              <w:right w:val="nil"/>
            </w:tcBorders>
            <w:noWrap/>
            <w:vAlign w:val="bottom"/>
            <w:hideMark/>
          </w:tcPr>
          <w:p w14:paraId="1AEB5AD2"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hideMark/>
          </w:tcPr>
          <w:p w14:paraId="5207E8C7"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27" w:type="dxa"/>
            <w:tcBorders>
              <w:top w:val="nil"/>
              <w:left w:val="nil"/>
              <w:bottom w:val="nil"/>
              <w:right w:val="nil"/>
            </w:tcBorders>
            <w:noWrap/>
            <w:vAlign w:val="bottom"/>
            <w:hideMark/>
          </w:tcPr>
          <w:p w14:paraId="147A06DE"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(-5.048)</w:t>
            </w:r>
          </w:p>
        </w:tc>
      </w:tr>
      <w:tr w:rsidR="00F67C07" w:rsidRPr="00604C87" w14:paraId="0A861601" w14:textId="77777777" w:rsidTr="00173A63">
        <w:trPr>
          <w:trHeight w:val="277"/>
        </w:trPr>
        <w:tc>
          <w:tcPr>
            <w:tcW w:w="2442" w:type="dxa"/>
            <w:tcBorders>
              <w:top w:val="nil"/>
              <w:left w:val="nil"/>
              <w:bottom w:val="nil"/>
              <w:right w:val="nil"/>
            </w:tcBorders>
            <w:noWrap/>
            <w:vAlign w:val="center"/>
            <w:hideMark/>
          </w:tcPr>
          <w:p w14:paraId="72F3BE3B"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Liquidity Risk</w:t>
            </w:r>
          </w:p>
        </w:tc>
        <w:tc>
          <w:tcPr>
            <w:tcW w:w="1311" w:type="dxa"/>
            <w:tcBorders>
              <w:top w:val="nil"/>
              <w:left w:val="nil"/>
              <w:bottom w:val="nil"/>
              <w:right w:val="nil"/>
            </w:tcBorders>
            <w:noWrap/>
            <w:vAlign w:val="bottom"/>
            <w:hideMark/>
          </w:tcPr>
          <w:p w14:paraId="0BD5E2F6"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hideMark/>
          </w:tcPr>
          <w:p w14:paraId="27709EDB"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27" w:type="dxa"/>
            <w:tcBorders>
              <w:top w:val="nil"/>
              <w:left w:val="nil"/>
              <w:bottom w:val="nil"/>
              <w:right w:val="nil"/>
            </w:tcBorders>
            <w:noWrap/>
            <w:vAlign w:val="bottom"/>
            <w:hideMark/>
          </w:tcPr>
          <w:p w14:paraId="268B06D6" w14:textId="77777777" w:rsidR="00F67C07" w:rsidRPr="00604C87" w:rsidRDefault="00F67C07" w:rsidP="00173A63">
            <w:pPr>
              <w:spacing w:after="0" w:line="240" w:lineRule="auto"/>
              <w:jc w:val="center"/>
              <w:rPr>
                <w:rFonts w:ascii="Times New Roman" w:eastAsia="Times New Roman" w:hAnsi="Times New Roman" w:cs="Times New Roman"/>
                <w:color w:val="00B0F0"/>
                <w:sz w:val="20"/>
                <w:szCs w:val="20"/>
                <w:lang w:val="en-AE" w:eastAsia="en-AE"/>
              </w:rPr>
            </w:pPr>
            <w:r w:rsidRPr="00604C87">
              <w:rPr>
                <w:rFonts w:ascii="Times New Roman" w:hAnsi="Times New Roman" w:cs="Times New Roman"/>
                <w:color w:val="00B0F0"/>
                <w:sz w:val="20"/>
                <w:szCs w:val="20"/>
              </w:rPr>
              <w:t>-0.0797***</w:t>
            </w:r>
          </w:p>
        </w:tc>
        <w:tc>
          <w:tcPr>
            <w:tcW w:w="1311" w:type="dxa"/>
            <w:tcBorders>
              <w:top w:val="nil"/>
              <w:left w:val="nil"/>
              <w:bottom w:val="nil"/>
              <w:right w:val="nil"/>
            </w:tcBorders>
            <w:noWrap/>
            <w:vAlign w:val="bottom"/>
            <w:hideMark/>
          </w:tcPr>
          <w:p w14:paraId="3E91F9F6" w14:textId="77777777" w:rsidR="00F67C07" w:rsidRPr="00604C87" w:rsidRDefault="00F67C07" w:rsidP="00173A63">
            <w:pPr>
              <w:spacing w:after="0" w:line="240" w:lineRule="auto"/>
              <w:jc w:val="center"/>
              <w:rPr>
                <w:rFonts w:ascii="Times New Roman" w:eastAsia="Times New Roman" w:hAnsi="Times New Roman" w:cs="Times New Roman"/>
                <w:color w:val="00B0F0"/>
                <w:sz w:val="20"/>
                <w:szCs w:val="20"/>
                <w:lang w:val="en-AE" w:eastAsia="en-AE"/>
              </w:rPr>
            </w:pPr>
          </w:p>
        </w:tc>
        <w:tc>
          <w:tcPr>
            <w:tcW w:w="1327" w:type="dxa"/>
            <w:tcBorders>
              <w:top w:val="nil"/>
              <w:left w:val="nil"/>
              <w:bottom w:val="nil"/>
              <w:right w:val="nil"/>
            </w:tcBorders>
            <w:noWrap/>
            <w:vAlign w:val="bottom"/>
            <w:hideMark/>
          </w:tcPr>
          <w:p w14:paraId="012F3161" w14:textId="77777777" w:rsidR="00F67C07" w:rsidRPr="00604C87" w:rsidRDefault="00F67C07" w:rsidP="00173A63">
            <w:pPr>
              <w:spacing w:after="0" w:line="240" w:lineRule="auto"/>
              <w:jc w:val="center"/>
              <w:rPr>
                <w:rFonts w:ascii="Times New Roman" w:eastAsia="Times New Roman" w:hAnsi="Times New Roman" w:cs="Times New Roman"/>
                <w:color w:val="00B0F0"/>
                <w:sz w:val="20"/>
                <w:szCs w:val="20"/>
                <w:lang w:val="en-AE" w:eastAsia="en-AE"/>
              </w:rPr>
            </w:pPr>
            <w:r w:rsidRPr="00604C87">
              <w:rPr>
                <w:rFonts w:ascii="Times New Roman" w:hAnsi="Times New Roman" w:cs="Times New Roman"/>
                <w:color w:val="FF0000"/>
                <w:sz w:val="20"/>
                <w:szCs w:val="20"/>
              </w:rPr>
              <w:t>0.0630**</w:t>
            </w:r>
          </w:p>
        </w:tc>
      </w:tr>
      <w:tr w:rsidR="00F67C07" w:rsidRPr="00604C87" w14:paraId="2F612DAC" w14:textId="77777777" w:rsidTr="00173A63">
        <w:trPr>
          <w:trHeight w:val="277"/>
        </w:trPr>
        <w:tc>
          <w:tcPr>
            <w:tcW w:w="2442" w:type="dxa"/>
            <w:tcBorders>
              <w:top w:val="nil"/>
              <w:left w:val="nil"/>
              <w:bottom w:val="nil"/>
              <w:right w:val="nil"/>
            </w:tcBorders>
            <w:noWrap/>
            <w:vAlign w:val="bottom"/>
            <w:hideMark/>
          </w:tcPr>
          <w:p w14:paraId="5506EDF1" w14:textId="77777777" w:rsidR="00F67C07" w:rsidRPr="00604C87" w:rsidRDefault="00F67C07" w:rsidP="00173A63">
            <w:pPr>
              <w:spacing w:after="0" w:line="240" w:lineRule="auto"/>
              <w:jc w:val="center"/>
              <w:rPr>
                <w:rFonts w:ascii="Times New Roman" w:eastAsia="Times New Roman" w:hAnsi="Times New Roman" w:cs="Times New Roman"/>
                <w:color w:val="00B0F0"/>
                <w:sz w:val="20"/>
                <w:szCs w:val="20"/>
                <w:lang w:val="en-AE" w:eastAsia="en-AE"/>
              </w:rPr>
            </w:pPr>
          </w:p>
        </w:tc>
        <w:tc>
          <w:tcPr>
            <w:tcW w:w="1311" w:type="dxa"/>
            <w:tcBorders>
              <w:top w:val="nil"/>
              <w:left w:val="nil"/>
              <w:bottom w:val="nil"/>
              <w:right w:val="nil"/>
            </w:tcBorders>
            <w:noWrap/>
            <w:vAlign w:val="bottom"/>
            <w:hideMark/>
          </w:tcPr>
          <w:p w14:paraId="05E32A22"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hideMark/>
          </w:tcPr>
          <w:p w14:paraId="76D4019C"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27" w:type="dxa"/>
            <w:tcBorders>
              <w:top w:val="nil"/>
              <w:left w:val="nil"/>
              <w:bottom w:val="nil"/>
              <w:right w:val="nil"/>
            </w:tcBorders>
            <w:noWrap/>
            <w:vAlign w:val="bottom"/>
            <w:hideMark/>
          </w:tcPr>
          <w:p w14:paraId="3E4EC4C5"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(-3.027)</w:t>
            </w:r>
          </w:p>
        </w:tc>
        <w:tc>
          <w:tcPr>
            <w:tcW w:w="1311" w:type="dxa"/>
            <w:tcBorders>
              <w:top w:val="nil"/>
              <w:left w:val="nil"/>
              <w:bottom w:val="nil"/>
              <w:right w:val="nil"/>
            </w:tcBorders>
            <w:noWrap/>
            <w:vAlign w:val="bottom"/>
            <w:hideMark/>
          </w:tcPr>
          <w:p w14:paraId="6EDF8039"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27" w:type="dxa"/>
            <w:tcBorders>
              <w:top w:val="nil"/>
              <w:left w:val="nil"/>
              <w:bottom w:val="nil"/>
              <w:right w:val="nil"/>
            </w:tcBorders>
            <w:noWrap/>
            <w:vAlign w:val="bottom"/>
            <w:hideMark/>
          </w:tcPr>
          <w:p w14:paraId="0F46EF90"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(2.462)</w:t>
            </w:r>
          </w:p>
        </w:tc>
      </w:tr>
      <w:tr w:rsidR="00F67C07" w:rsidRPr="00604C87" w14:paraId="44E0587D" w14:textId="77777777" w:rsidTr="00173A63">
        <w:trPr>
          <w:trHeight w:val="277"/>
        </w:trPr>
        <w:tc>
          <w:tcPr>
            <w:tcW w:w="2442" w:type="dxa"/>
            <w:tcBorders>
              <w:top w:val="nil"/>
              <w:left w:val="nil"/>
              <w:bottom w:val="nil"/>
              <w:right w:val="nil"/>
            </w:tcBorders>
            <w:noWrap/>
            <w:vAlign w:val="bottom"/>
            <w:hideMark/>
          </w:tcPr>
          <w:p w14:paraId="3E21E877"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Credit Risk</w:t>
            </w:r>
          </w:p>
        </w:tc>
        <w:tc>
          <w:tcPr>
            <w:tcW w:w="1311" w:type="dxa"/>
            <w:tcBorders>
              <w:top w:val="nil"/>
              <w:left w:val="nil"/>
              <w:bottom w:val="nil"/>
              <w:right w:val="nil"/>
            </w:tcBorders>
            <w:noWrap/>
            <w:vAlign w:val="bottom"/>
            <w:hideMark/>
          </w:tcPr>
          <w:p w14:paraId="35DFF3EC"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hideMark/>
          </w:tcPr>
          <w:p w14:paraId="6B9D84A4"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27" w:type="dxa"/>
            <w:tcBorders>
              <w:top w:val="nil"/>
              <w:left w:val="nil"/>
              <w:bottom w:val="nil"/>
              <w:right w:val="nil"/>
            </w:tcBorders>
            <w:noWrap/>
            <w:vAlign w:val="bottom"/>
            <w:hideMark/>
          </w:tcPr>
          <w:p w14:paraId="14F6749A"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hideMark/>
          </w:tcPr>
          <w:p w14:paraId="4DE3F683" w14:textId="77777777" w:rsidR="00F67C07" w:rsidRPr="00604C87" w:rsidRDefault="00F67C07" w:rsidP="00173A63">
            <w:pPr>
              <w:spacing w:after="0" w:line="240" w:lineRule="auto"/>
              <w:jc w:val="center"/>
              <w:rPr>
                <w:rFonts w:ascii="Times New Roman" w:eastAsia="Times New Roman" w:hAnsi="Times New Roman" w:cs="Times New Roman"/>
                <w:color w:val="0F9ED5"/>
                <w:sz w:val="20"/>
                <w:szCs w:val="20"/>
                <w:lang w:val="en-AE" w:eastAsia="en-AE"/>
              </w:rPr>
            </w:pPr>
            <w:r w:rsidRPr="00604C87">
              <w:rPr>
                <w:rFonts w:ascii="Times New Roman" w:hAnsi="Times New Roman" w:cs="Times New Roman"/>
                <w:color w:val="00B0F0"/>
                <w:sz w:val="20"/>
                <w:szCs w:val="20"/>
              </w:rPr>
              <w:t>-0.00895**</w:t>
            </w:r>
          </w:p>
        </w:tc>
        <w:tc>
          <w:tcPr>
            <w:tcW w:w="1327" w:type="dxa"/>
            <w:tcBorders>
              <w:top w:val="nil"/>
              <w:left w:val="nil"/>
              <w:bottom w:val="nil"/>
              <w:right w:val="nil"/>
            </w:tcBorders>
            <w:noWrap/>
            <w:vAlign w:val="bottom"/>
            <w:hideMark/>
          </w:tcPr>
          <w:p w14:paraId="3D74CCC4" w14:textId="77777777" w:rsidR="00F67C07" w:rsidRPr="00604C87" w:rsidRDefault="00F67C07" w:rsidP="00173A63">
            <w:pPr>
              <w:spacing w:after="0" w:line="240" w:lineRule="auto"/>
              <w:jc w:val="center"/>
              <w:rPr>
                <w:rFonts w:ascii="Times New Roman" w:eastAsia="Times New Roman" w:hAnsi="Times New Roman" w:cs="Times New Roman"/>
                <w:color w:val="FF0000"/>
                <w:sz w:val="20"/>
                <w:szCs w:val="20"/>
                <w:lang w:val="en-AE" w:eastAsia="en-AE"/>
              </w:rPr>
            </w:pPr>
            <w:r w:rsidRPr="00604C87">
              <w:rPr>
                <w:rFonts w:ascii="Times New Roman" w:hAnsi="Times New Roman" w:cs="Times New Roman"/>
                <w:color w:val="00B0F0"/>
                <w:sz w:val="20"/>
                <w:szCs w:val="20"/>
              </w:rPr>
              <w:t>-0.0135***</w:t>
            </w:r>
          </w:p>
        </w:tc>
      </w:tr>
      <w:tr w:rsidR="00F67C07" w:rsidRPr="00604C87" w14:paraId="068A5604" w14:textId="77777777" w:rsidTr="00173A63">
        <w:trPr>
          <w:trHeight w:val="277"/>
        </w:trPr>
        <w:tc>
          <w:tcPr>
            <w:tcW w:w="2442" w:type="dxa"/>
            <w:tcBorders>
              <w:top w:val="nil"/>
              <w:left w:val="nil"/>
              <w:bottom w:val="nil"/>
              <w:right w:val="nil"/>
            </w:tcBorders>
            <w:noWrap/>
            <w:vAlign w:val="bottom"/>
            <w:hideMark/>
          </w:tcPr>
          <w:p w14:paraId="6DAF92B7" w14:textId="77777777" w:rsidR="00F67C07" w:rsidRPr="00604C87" w:rsidRDefault="00F67C07" w:rsidP="00173A63">
            <w:pPr>
              <w:spacing w:after="0" w:line="240" w:lineRule="auto"/>
              <w:jc w:val="center"/>
              <w:rPr>
                <w:rFonts w:ascii="Times New Roman" w:eastAsia="Times New Roman" w:hAnsi="Times New Roman" w:cs="Times New Roman"/>
                <w:color w:val="FF0000"/>
                <w:sz w:val="20"/>
                <w:szCs w:val="20"/>
                <w:lang w:val="en-AE" w:eastAsia="en-AE"/>
              </w:rPr>
            </w:pPr>
          </w:p>
        </w:tc>
        <w:tc>
          <w:tcPr>
            <w:tcW w:w="1311" w:type="dxa"/>
            <w:tcBorders>
              <w:top w:val="nil"/>
              <w:left w:val="nil"/>
              <w:bottom w:val="nil"/>
              <w:right w:val="nil"/>
            </w:tcBorders>
            <w:noWrap/>
            <w:vAlign w:val="bottom"/>
            <w:hideMark/>
          </w:tcPr>
          <w:p w14:paraId="039C787C"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hideMark/>
          </w:tcPr>
          <w:p w14:paraId="24C6E638"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27" w:type="dxa"/>
            <w:tcBorders>
              <w:top w:val="nil"/>
              <w:left w:val="nil"/>
              <w:bottom w:val="nil"/>
              <w:right w:val="nil"/>
            </w:tcBorders>
            <w:noWrap/>
            <w:vAlign w:val="bottom"/>
            <w:hideMark/>
          </w:tcPr>
          <w:p w14:paraId="7D7ABC85"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hideMark/>
          </w:tcPr>
          <w:p w14:paraId="689F33C6"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(-2.094)</w:t>
            </w:r>
          </w:p>
        </w:tc>
        <w:tc>
          <w:tcPr>
            <w:tcW w:w="1327" w:type="dxa"/>
            <w:tcBorders>
              <w:top w:val="nil"/>
              <w:left w:val="nil"/>
              <w:bottom w:val="nil"/>
              <w:right w:val="nil"/>
            </w:tcBorders>
            <w:noWrap/>
            <w:vAlign w:val="bottom"/>
            <w:hideMark/>
          </w:tcPr>
          <w:p w14:paraId="3E921DB4"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(-3.332)</w:t>
            </w:r>
          </w:p>
        </w:tc>
      </w:tr>
      <w:tr w:rsidR="00F67C07" w:rsidRPr="00604C87" w14:paraId="502AE2A1" w14:textId="77777777" w:rsidTr="00173A63">
        <w:trPr>
          <w:trHeight w:val="277"/>
        </w:trPr>
        <w:tc>
          <w:tcPr>
            <w:tcW w:w="2442" w:type="dxa"/>
            <w:tcBorders>
              <w:top w:val="nil"/>
              <w:left w:val="nil"/>
              <w:bottom w:val="nil"/>
              <w:right w:val="nil"/>
            </w:tcBorders>
            <w:noWrap/>
            <w:vAlign w:val="center"/>
            <w:hideMark/>
          </w:tcPr>
          <w:p w14:paraId="04127FD8"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Constant</w:t>
            </w:r>
          </w:p>
        </w:tc>
        <w:tc>
          <w:tcPr>
            <w:tcW w:w="1311" w:type="dxa"/>
            <w:tcBorders>
              <w:top w:val="nil"/>
              <w:left w:val="nil"/>
              <w:bottom w:val="nil"/>
              <w:right w:val="nil"/>
            </w:tcBorders>
            <w:noWrap/>
            <w:vAlign w:val="bottom"/>
            <w:hideMark/>
          </w:tcPr>
          <w:p w14:paraId="54BF3146"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0.628***</w:t>
            </w:r>
          </w:p>
        </w:tc>
        <w:tc>
          <w:tcPr>
            <w:tcW w:w="1311" w:type="dxa"/>
            <w:tcBorders>
              <w:top w:val="nil"/>
              <w:left w:val="nil"/>
              <w:bottom w:val="nil"/>
              <w:right w:val="nil"/>
            </w:tcBorders>
            <w:noWrap/>
            <w:vAlign w:val="bottom"/>
            <w:hideMark/>
          </w:tcPr>
          <w:p w14:paraId="45D21FEC"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0.404***</w:t>
            </w:r>
          </w:p>
        </w:tc>
        <w:tc>
          <w:tcPr>
            <w:tcW w:w="1327" w:type="dxa"/>
            <w:tcBorders>
              <w:top w:val="nil"/>
              <w:left w:val="nil"/>
              <w:bottom w:val="nil"/>
              <w:right w:val="nil"/>
            </w:tcBorders>
            <w:noWrap/>
            <w:vAlign w:val="bottom"/>
            <w:hideMark/>
          </w:tcPr>
          <w:p w14:paraId="291F843E"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1.396***</w:t>
            </w:r>
          </w:p>
        </w:tc>
        <w:tc>
          <w:tcPr>
            <w:tcW w:w="1311" w:type="dxa"/>
            <w:tcBorders>
              <w:top w:val="nil"/>
              <w:left w:val="nil"/>
              <w:bottom w:val="nil"/>
              <w:right w:val="nil"/>
            </w:tcBorders>
            <w:noWrap/>
            <w:vAlign w:val="bottom"/>
            <w:hideMark/>
          </w:tcPr>
          <w:p w14:paraId="3920FA64"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0.243***</w:t>
            </w:r>
          </w:p>
        </w:tc>
        <w:tc>
          <w:tcPr>
            <w:tcW w:w="1327" w:type="dxa"/>
            <w:tcBorders>
              <w:top w:val="nil"/>
              <w:left w:val="nil"/>
              <w:bottom w:val="nil"/>
              <w:right w:val="nil"/>
            </w:tcBorders>
            <w:noWrap/>
            <w:vAlign w:val="bottom"/>
            <w:hideMark/>
          </w:tcPr>
          <w:p w14:paraId="4132AD30"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0.113</w:t>
            </w:r>
          </w:p>
        </w:tc>
      </w:tr>
      <w:tr w:rsidR="00F67C07" w:rsidRPr="00604C87" w14:paraId="390DF3EC" w14:textId="77777777" w:rsidTr="00173A63">
        <w:trPr>
          <w:trHeight w:val="277"/>
        </w:trPr>
        <w:tc>
          <w:tcPr>
            <w:tcW w:w="2442" w:type="dxa"/>
            <w:tcBorders>
              <w:top w:val="nil"/>
              <w:left w:val="nil"/>
              <w:bottom w:val="nil"/>
              <w:right w:val="nil"/>
            </w:tcBorders>
            <w:noWrap/>
            <w:vAlign w:val="bottom"/>
            <w:hideMark/>
          </w:tcPr>
          <w:p w14:paraId="18450C50"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hideMark/>
          </w:tcPr>
          <w:p w14:paraId="2BF61A07"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(7.426)</w:t>
            </w:r>
          </w:p>
        </w:tc>
        <w:tc>
          <w:tcPr>
            <w:tcW w:w="1311" w:type="dxa"/>
            <w:tcBorders>
              <w:top w:val="nil"/>
              <w:left w:val="nil"/>
              <w:bottom w:val="nil"/>
              <w:right w:val="nil"/>
            </w:tcBorders>
            <w:noWrap/>
            <w:vAlign w:val="bottom"/>
            <w:hideMark/>
          </w:tcPr>
          <w:p w14:paraId="1B514487"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(4.875)</w:t>
            </w:r>
          </w:p>
        </w:tc>
        <w:tc>
          <w:tcPr>
            <w:tcW w:w="1327" w:type="dxa"/>
            <w:tcBorders>
              <w:top w:val="nil"/>
              <w:left w:val="nil"/>
              <w:bottom w:val="nil"/>
              <w:right w:val="nil"/>
            </w:tcBorders>
            <w:noWrap/>
            <w:vAlign w:val="bottom"/>
            <w:hideMark/>
          </w:tcPr>
          <w:p w14:paraId="17BEBB8C"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(7.242)</w:t>
            </w:r>
          </w:p>
        </w:tc>
        <w:tc>
          <w:tcPr>
            <w:tcW w:w="1311" w:type="dxa"/>
            <w:tcBorders>
              <w:top w:val="nil"/>
              <w:left w:val="nil"/>
              <w:bottom w:val="nil"/>
              <w:right w:val="nil"/>
            </w:tcBorders>
            <w:noWrap/>
            <w:vAlign w:val="bottom"/>
            <w:hideMark/>
          </w:tcPr>
          <w:p w14:paraId="0B2DAECC"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(3.418)</w:t>
            </w:r>
          </w:p>
        </w:tc>
        <w:tc>
          <w:tcPr>
            <w:tcW w:w="1327" w:type="dxa"/>
            <w:tcBorders>
              <w:top w:val="nil"/>
              <w:left w:val="nil"/>
              <w:bottom w:val="nil"/>
              <w:right w:val="nil"/>
            </w:tcBorders>
            <w:noWrap/>
            <w:vAlign w:val="bottom"/>
            <w:hideMark/>
          </w:tcPr>
          <w:p w14:paraId="72977FC7"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hAnsi="Times New Roman" w:cs="Times New Roman"/>
                <w:color w:val="000000"/>
                <w:sz w:val="20"/>
                <w:szCs w:val="20"/>
              </w:rPr>
              <w:t>(1.595)</w:t>
            </w:r>
          </w:p>
        </w:tc>
      </w:tr>
      <w:tr w:rsidR="00F67C07" w:rsidRPr="00604C87" w14:paraId="3B37D2C0" w14:textId="77777777" w:rsidTr="00173A63">
        <w:trPr>
          <w:trHeight w:val="277"/>
        </w:trPr>
        <w:tc>
          <w:tcPr>
            <w:tcW w:w="2442" w:type="dxa"/>
            <w:tcBorders>
              <w:top w:val="nil"/>
              <w:left w:val="nil"/>
              <w:bottom w:val="nil"/>
              <w:right w:val="nil"/>
            </w:tcBorders>
            <w:noWrap/>
            <w:vAlign w:val="bottom"/>
            <w:hideMark/>
          </w:tcPr>
          <w:p w14:paraId="67537DAC"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Year dummy</w:t>
            </w:r>
          </w:p>
        </w:tc>
        <w:tc>
          <w:tcPr>
            <w:tcW w:w="1311" w:type="dxa"/>
            <w:tcBorders>
              <w:top w:val="nil"/>
              <w:left w:val="nil"/>
              <w:bottom w:val="nil"/>
              <w:right w:val="nil"/>
            </w:tcBorders>
            <w:noWrap/>
            <w:vAlign w:val="bottom"/>
            <w:hideMark/>
          </w:tcPr>
          <w:p w14:paraId="090920A1"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Yes</w:t>
            </w:r>
          </w:p>
        </w:tc>
        <w:tc>
          <w:tcPr>
            <w:tcW w:w="1311" w:type="dxa"/>
            <w:tcBorders>
              <w:top w:val="nil"/>
              <w:left w:val="nil"/>
              <w:bottom w:val="nil"/>
              <w:right w:val="nil"/>
            </w:tcBorders>
            <w:noWrap/>
            <w:vAlign w:val="bottom"/>
            <w:hideMark/>
          </w:tcPr>
          <w:p w14:paraId="3E357E9B"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Yes</w:t>
            </w:r>
          </w:p>
        </w:tc>
        <w:tc>
          <w:tcPr>
            <w:tcW w:w="1327" w:type="dxa"/>
            <w:tcBorders>
              <w:top w:val="nil"/>
              <w:left w:val="nil"/>
              <w:bottom w:val="nil"/>
              <w:right w:val="nil"/>
            </w:tcBorders>
            <w:noWrap/>
            <w:vAlign w:val="bottom"/>
            <w:hideMark/>
          </w:tcPr>
          <w:p w14:paraId="2546CA0A"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Yes</w:t>
            </w:r>
          </w:p>
        </w:tc>
        <w:tc>
          <w:tcPr>
            <w:tcW w:w="1311" w:type="dxa"/>
            <w:tcBorders>
              <w:top w:val="nil"/>
              <w:left w:val="nil"/>
              <w:bottom w:val="nil"/>
              <w:right w:val="nil"/>
            </w:tcBorders>
            <w:noWrap/>
            <w:vAlign w:val="bottom"/>
            <w:hideMark/>
          </w:tcPr>
          <w:p w14:paraId="27C1B149"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Yes</w:t>
            </w:r>
          </w:p>
        </w:tc>
        <w:tc>
          <w:tcPr>
            <w:tcW w:w="1327" w:type="dxa"/>
            <w:tcBorders>
              <w:top w:val="nil"/>
              <w:left w:val="nil"/>
              <w:bottom w:val="nil"/>
              <w:right w:val="nil"/>
            </w:tcBorders>
            <w:noWrap/>
            <w:vAlign w:val="bottom"/>
            <w:hideMark/>
          </w:tcPr>
          <w:p w14:paraId="4CBAF437"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Yes</w:t>
            </w:r>
          </w:p>
        </w:tc>
      </w:tr>
      <w:tr w:rsidR="00F67C07" w:rsidRPr="00604C87" w14:paraId="2C35161B" w14:textId="77777777" w:rsidTr="00173A63">
        <w:trPr>
          <w:trHeight w:val="277"/>
        </w:trPr>
        <w:tc>
          <w:tcPr>
            <w:tcW w:w="2442" w:type="dxa"/>
            <w:tcBorders>
              <w:top w:val="nil"/>
              <w:left w:val="nil"/>
              <w:bottom w:val="nil"/>
              <w:right w:val="nil"/>
            </w:tcBorders>
            <w:noWrap/>
            <w:vAlign w:val="bottom"/>
          </w:tcPr>
          <w:p w14:paraId="679CD163"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Joint test</w:t>
            </w:r>
          </w:p>
        </w:tc>
        <w:tc>
          <w:tcPr>
            <w:tcW w:w="1311" w:type="dxa"/>
            <w:tcBorders>
              <w:top w:val="nil"/>
              <w:left w:val="nil"/>
              <w:bottom w:val="nil"/>
              <w:right w:val="nil"/>
            </w:tcBorders>
            <w:noWrap/>
            <w:vAlign w:val="bottom"/>
          </w:tcPr>
          <w:p w14:paraId="0619A14E"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tcPr>
          <w:p w14:paraId="204DD4C0"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27" w:type="dxa"/>
            <w:tcBorders>
              <w:top w:val="nil"/>
              <w:left w:val="nil"/>
              <w:bottom w:val="nil"/>
              <w:right w:val="nil"/>
            </w:tcBorders>
            <w:noWrap/>
            <w:vAlign w:val="bottom"/>
          </w:tcPr>
          <w:p w14:paraId="64E7920E"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11" w:type="dxa"/>
            <w:tcBorders>
              <w:top w:val="nil"/>
              <w:left w:val="nil"/>
              <w:bottom w:val="nil"/>
              <w:right w:val="nil"/>
            </w:tcBorders>
            <w:noWrap/>
            <w:vAlign w:val="bottom"/>
          </w:tcPr>
          <w:p w14:paraId="22DB07CB"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p>
        </w:tc>
        <w:tc>
          <w:tcPr>
            <w:tcW w:w="1327" w:type="dxa"/>
            <w:tcBorders>
              <w:top w:val="nil"/>
              <w:left w:val="nil"/>
              <w:bottom w:val="nil"/>
              <w:right w:val="nil"/>
            </w:tcBorders>
            <w:noWrap/>
            <w:vAlign w:val="bottom"/>
          </w:tcPr>
          <w:p w14:paraId="47C6AF04"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color w:val="00B0F0"/>
                <w:sz w:val="20"/>
                <w:szCs w:val="20"/>
                <w:lang w:val="en-AE" w:eastAsia="en-AE"/>
              </w:rPr>
              <w:t>34.47***</w:t>
            </w:r>
          </w:p>
        </w:tc>
      </w:tr>
      <w:tr w:rsidR="00F67C07" w:rsidRPr="00604C87" w14:paraId="5DA93D34" w14:textId="77777777" w:rsidTr="00173A63">
        <w:trPr>
          <w:trHeight w:val="277"/>
        </w:trPr>
        <w:tc>
          <w:tcPr>
            <w:tcW w:w="2442" w:type="dxa"/>
            <w:tcBorders>
              <w:top w:val="nil"/>
              <w:left w:val="nil"/>
              <w:bottom w:val="nil"/>
              <w:right w:val="nil"/>
            </w:tcBorders>
            <w:noWrap/>
            <w:vAlign w:val="bottom"/>
            <w:hideMark/>
          </w:tcPr>
          <w:p w14:paraId="0B9DC1A2"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Observations</w:t>
            </w:r>
          </w:p>
        </w:tc>
        <w:tc>
          <w:tcPr>
            <w:tcW w:w="1311" w:type="dxa"/>
            <w:tcBorders>
              <w:top w:val="nil"/>
              <w:left w:val="nil"/>
              <w:bottom w:val="nil"/>
              <w:right w:val="nil"/>
            </w:tcBorders>
            <w:noWrap/>
            <w:vAlign w:val="bottom"/>
            <w:hideMark/>
          </w:tcPr>
          <w:p w14:paraId="3E1A23B1"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168</w:t>
            </w:r>
          </w:p>
        </w:tc>
        <w:tc>
          <w:tcPr>
            <w:tcW w:w="1311" w:type="dxa"/>
            <w:tcBorders>
              <w:top w:val="nil"/>
              <w:left w:val="nil"/>
              <w:bottom w:val="nil"/>
              <w:right w:val="nil"/>
            </w:tcBorders>
            <w:noWrap/>
            <w:vAlign w:val="bottom"/>
            <w:hideMark/>
          </w:tcPr>
          <w:p w14:paraId="0BD80DDA"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159</w:t>
            </w:r>
          </w:p>
        </w:tc>
        <w:tc>
          <w:tcPr>
            <w:tcW w:w="1327" w:type="dxa"/>
            <w:tcBorders>
              <w:top w:val="nil"/>
              <w:left w:val="nil"/>
              <w:bottom w:val="nil"/>
              <w:right w:val="nil"/>
            </w:tcBorders>
            <w:noWrap/>
            <w:vAlign w:val="bottom"/>
            <w:hideMark/>
          </w:tcPr>
          <w:p w14:paraId="7A9821C8"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168</w:t>
            </w:r>
          </w:p>
        </w:tc>
        <w:tc>
          <w:tcPr>
            <w:tcW w:w="1311" w:type="dxa"/>
            <w:tcBorders>
              <w:top w:val="nil"/>
              <w:left w:val="nil"/>
              <w:bottom w:val="nil"/>
              <w:right w:val="nil"/>
            </w:tcBorders>
            <w:noWrap/>
            <w:vAlign w:val="bottom"/>
            <w:hideMark/>
          </w:tcPr>
          <w:p w14:paraId="395501B3"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168</w:t>
            </w:r>
          </w:p>
        </w:tc>
        <w:tc>
          <w:tcPr>
            <w:tcW w:w="1327" w:type="dxa"/>
            <w:tcBorders>
              <w:top w:val="nil"/>
              <w:left w:val="nil"/>
              <w:bottom w:val="nil"/>
              <w:right w:val="nil"/>
            </w:tcBorders>
            <w:noWrap/>
            <w:vAlign w:val="bottom"/>
            <w:hideMark/>
          </w:tcPr>
          <w:p w14:paraId="0D2EF63D"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159</w:t>
            </w:r>
          </w:p>
        </w:tc>
      </w:tr>
      <w:tr w:rsidR="00F67C07" w:rsidRPr="00604C87" w14:paraId="019ADDCE" w14:textId="77777777" w:rsidTr="00173A63">
        <w:trPr>
          <w:trHeight w:val="277"/>
        </w:trPr>
        <w:tc>
          <w:tcPr>
            <w:tcW w:w="2442" w:type="dxa"/>
            <w:tcBorders>
              <w:top w:val="nil"/>
              <w:left w:val="nil"/>
              <w:right w:val="nil"/>
            </w:tcBorders>
            <w:noWrap/>
            <w:vAlign w:val="bottom"/>
            <w:hideMark/>
          </w:tcPr>
          <w:p w14:paraId="409DD2D3"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R-squared</w:t>
            </w:r>
          </w:p>
        </w:tc>
        <w:tc>
          <w:tcPr>
            <w:tcW w:w="1311" w:type="dxa"/>
            <w:tcBorders>
              <w:top w:val="nil"/>
              <w:left w:val="nil"/>
              <w:right w:val="nil"/>
            </w:tcBorders>
            <w:noWrap/>
            <w:vAlign w:val="bottom"/>
            <w:hideMark/>
          </w:tcPr>
          <w:p w14:paraId="01ADC7D1"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0.289</w:t>
            </w:r>
          </w:p>
        </w:tc>
        <w:tc>
          <w:tcPr>
            <w:tcW w:w="1311" w:type="dxa"/>
            <w:tcBorders>
              <w:top w:val="nil"/>
              <w:left w:val="nil"/>
              <w:right w:val="nil"/>
            </w:tcBorders>
            <w:noWrap/>
            <w:vAlign w:val="bottom"/>
            <w:hideMark/>
          </w:tcPr>
          <w:p w14:paraId="02D74444"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0.201</w:t>
            </w:r>
          </w:p>
        </w:tc>
        <w:tc>
          <w:tcPr>
            <w:tcW w:w="1327" w:type="dxa"/>
            <w:tcBorders>
              <w:top w:val="nil"/>
              <w:left w:val="nil"/>
              <w:right w:val="nil"/>
            </w:tcBorders>
            <w:noWrap/>
            <w:vAlign w:val="bottom"/>
            <w:hideMark/>
          </w:tcPr>
          <w:p w14:paraId="1762A60C"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0.434</w:t>
            </w:r>
          </w:p>
        </w:tc>
        <w:tc>
          <w:tcPr>
            <w:tcW w:w="1311" w:type="dxa"/>
            <w:tcBorders>
              <w:top w:val="nil"/>
              <w:left w:val="nil"/>
              <w:right w:val="nil"/>
            </w:tcBorders>
            <w:noWrap/>
            <w:vAlign w:val="bottom"/>
            <w:hideMark/>
          </w:tcPr>
          <w:p w14:paraId="3E88CD75"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0.372</w:t>
            </w:r>
          </w:p>
        </w:tc>
        <w:tc>
          <w:tcPr>
            <w:tcW w:w="1327" w:type="dxa"/>
            <w:tcBorders>
              <w:top w:val="nil"/>
              <w:left w:val="nil"/>
              <w:right w:val="nil"/>
            </w:tcBorders>
            <w:noWrap/>
            <w:vAlign w:val="bottom"/>
            <w:hideMark/>
          </w:tcPr>
          <w:p w14:paraId="213ECF13"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0.325</w:t>
            </w:r>
          </w:p>
        </w:tc>
      </w:tr>
      <w:tr w:rsidR="00F67C07" w:rsidRPr="00604C87" w14:paraId="38DAE90E" w14:textId="77777777" w:rsidTr="00173A63">
        <w:trPr>
          <w:trHeight w:val="277"/>
        </w:trPr>
        <w:tc>
          <w:tcPr>
            <w:tcW w:w="2442" w:type="dxa"/>
            <w:tcBorders>
              <w:top w:val="nil"/>
              <w:left w:val="nil"/>
              <w:bottom w:val="single" w:sz="4" w:space="0" w:color="auto"/>
              <w:right w:val="nil"/>
            </w:tcBorders>
            <w:noWrap/>
            <w:vAlign w:val="bottom"/>
            <w:hideMark/>
          </w:tcPr>
          <w:p w14:paraId="2D3BC968" w14:textId="77777777" w:rsidR="00F67C07" w:rsidRPr="00604C87" w:rsidRDefault="00F67C07" w:rsidP="00173A63">
            <w:pPr>
              <w:spacing w:after="0" w:line="240" w:lineRule="auto"/>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Number of id_banks</w:t>
            </w:r>
          </w:p>
        </w:tc>
        <w:tc>
          <w:tcPr>
            <w:tcW w:w="1311" w:type="dxa"/>
            <w:tcBorders>
              <w:top w:val="nil"/>
              <w:left w:val="nil"/>
              <w:bottom w:val="single" w:sz="4" w:space="0" w:color="auto"/>
              <w:right w:val="nil"/>
            </w:tcBorders>
            <w:noWrap/>
            <w:vAlign w:val="bottom"/>
            <w:hideMark/>
          </w:tcPr>
          <w:p w14:paraId="69AA5CA4"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12</w:t>
            </w:r>
          </w:p>
        </w:tc>
        <w:tc>
          <w:tcPr>
            <w:tcW w:w="1311" w:type="dxa"/>
            <w:tcBorders>
              <w:top w:val="nil"/>
              <w:left w:val="nil"/>
              <w:bottom w:val="single" w:sz="4" w:space="0" w:color="auto"/>
              <w:right w:val="nil"/>
            </w:tcBorders>
            <w:noWrap/>
            <w:vAlign w:val="bottom"/>
            <w:hideMark/>
          </w:tcPr>
          <w:p w14:paraId="47B0FE52"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12</w:t>
            </w:r>
          </w:p>
        </w:tc>
        <w:tc>
          <w:tcPr>
            <w:tcW w:w="1327" w:type="dxa"/>
            <w:tcBorders>
              <w:top w:val="nil"/>
              <w:left w:val="nil"/>
              <w:bottom w:val="single" w:sz="4" w:space="0" w:color="auto"/>
              <w:right w:val="nil"/>
            </w:tcBorders>
            <w:noWrap/>
            <w:vAlign w:val="bottom"/>
            <w:hideMark/>
          </w:tcPr>
          <w:p w14:paraId="6C195FCF"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12</w:t>
            </w:r>
          </w:p>
        </w:tc>
        <w:tc>
          <w:tcPr>
            <w:tcW w:w="1311" w:type="dxa"/>
            <w:tcBorders>
              <w:top w:val="nil"/>
              <w:left w:val="nil"/>
              <w:bottom w:val="single" w:sz="4" w:space="0" w:color="auto"/>
              <w:right w:val="nil"/>
            </w:tcBorders>
            <w:noWrap/>
            <w:vAlign w:val="bottom"/>
            <w:hideMark/>
          </w:tcPr>
          <w:p w14:paraId="247D881B"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12</w:t>
            </w:r>
          </w:p>
        </w:tc>
        <w:tc>
          <w:tcPr>
            <w:tcW w:w="1327" w:type="dxa"/>
            <w:tcBorders>
              <w:top w:val="nil"/>
              <w:left w:val="nil"/>
              <w:bottom w:val="single" w:sz="4" w:space="0" w:color="auto"/>
              <w:right w:val="nil"/>
            </w:tcBorders>
            <w:noWrap/>
            <w:vAlign w:val="bottom"/>
            <w:hideMark/>
          </w:tcPr>
          <w:p w14:paraId="7EDB29AE" w14:textId="77777777" w:rsidR="00F67C07" w:rsidRPr="00604C87" w:rsidRDefault="00F67C07" w:rsidP="00173A63">
            <w:pPr>
              <w:spacing w:after="0" w:line="240" w:lineRule="auto"/>
              <w:jc w:val="center"/>
              <w:rPr>
                <w:rFonts w:ascii="Times New Roman" w:eastAsia="Times New Roman" w:hAnsi="Times New Roman" w:cs="Times New Roman"/>
                <w:sz w:val="20"/>
                <w:szCs w:val="20"/>
                <w:lang w:val="en-AE" w:eastAsia="en-AE"/>
              </w:rPr>
            </w:pPr>
            <w:r w:rsidRPr="00604C87">
              <w:rPr>
                <w:rFonts w:ascii="Times New Roman" w:eastAsia="Times New Roman" w:hAnsi="Times New Roman" w:cs="Times New Roman"/>
                <w:sz w:val="20"/>
                <w:szCs w:val="20"/>
                <w:lang w:val="en-AE" w:eastAsia="en-AE"/>
              </w:rPr>
              <w:t>12</w:t>
            </w:r>
          </w:p>
        </w:tc>
      </w:tr>
    </w:tbl>
    <w:p w14:paraId="412B86D7" w14:textId="77777777" w:rsidR="00AC0043" w:rsidRPr="00B625A8" w:rsidRDefault="00AC0043" w:rsidP="00B625A8">
      <w:pPr>
        <w:spacing w:line="480" w:lineRule="auto"/>
        <w:jc w:val="center"/>
        <w:rPr>
          <w:rFonts w:ascii="Arial" w:hAnsi="Arial" w:cs="Arial"/>
          <w:i/>
          <w:iCs/>
        </w:rPr>
      </w:pPr>
      <w:r w:rsidRPr="00B625A8">
        <w:rPr>
          <w:rFonts w:ascii="Arial" w:hAnsi="Arial" w:cs="Arial"/>
          <w:i/>
          <w:iCs/>
        </w:rPr>
        <w:t>z-statistics in parentheses. *** p&lt;0.01, ** p&lt;0.05, * p&lt;0.1</w:t>
      </w:r>
    </w:p>
    <w:p w14:paraId="3DE0CE42" w14:textId="77777777" w:rsidR="007F054C" w:rsidRPr="00B625A8" w:rsidRDefault="007F054C" w:rsidP="00B625A8">
      <w:pPr>
        <w:spacing w:after="0" w:line="480" w:lineRule="auto"/>
        <w:rPr>
          <w:rFonts w:ascii="Arial" w:hAnsi="Arial" w:cs="Arial"/>
          <w:b/>
          <w:bCs/>
        </w:rPr>
      </w:pPr>
      <w:r w:rsidRPr="00B625A8">
        <w:rPr>
          <w:rFonts w:ascii="Arial" w:hAnsi="Arial" w:cs="Arial"/>
          <w:b/>
          <w:bCs/>
        </w:rPr>
        <w:t>Table 8</w:t>
      </w:r>
    </w:p>
    <w:p w14:paraId="74557FE2" w14:textId="77777777" w:rsidR="00AC0043" w:rsidRDefault="00AC0043" w:rsidP="00B625A8">
      <w:pPr>
        <w:spacing w:after="0" w:line="480" w:lineRule="auto"/>
        <w:rPr>
          <w:rFonts w:ascii="Arial" w:hAnsi="Arial" w:cs="Arial"/>
          <w:b/>
          <w:bCs/>
          <w:sz w:val="20"/>
        </w:rPr>
      </w:pPr>
      <w:r w:rsidRPr="0003443A">
        <w:rPr>
          <w:rFonts w:ascii="Arial" w:hAnsi="Arial" w:cs="Arial"/>
          <w:b/>
          <w:bCs/>
          <w:sz w:val="20"/>
        </w:rPr>
        <w:t>Robustness check, Feasible Generalized Least Square (FGLS) estimator (Dep. var is ROA)</w:t>
      </w:r>
    </w:p>
    <w:tbl>
      <w:tblPr>
        <w:tblW w:w="9143" w:type="dxa"/>
        <w:tblLook w:val="04A0" w:firstRow="1" w:lastRow="0" w:firstColumn="1" w:lastColumn="0" w:noHBand="0" w:noVBand="1"/>
      </w:tblPr>
      <w:tblGrid>
        <w:gridCol w:w="2407"/>
        <w:gridCol w:w="1293"/>
        <w:gridCol w:w="1308"/>
        <w:gridCol w:w="1293"/>
        <w:gridCol w:w="1421"/>
        <w:gridCol w:w="1421"/>
      </w:tblGrid>
      <w:tr w:rsidR="008F7A0E" w:rsidRPr="0074537B" w14:paraId="30C91F02" w14:textId="77777777" w:rsidTr="00173A63">
        <w:trPr>
          <w:trHeight w:val="277"/>
        </w:trPr>
        <w:tc>
          <w:tcPr>
            <w:tcW w:w="2407" w:type="dxa"/>
            <w:tcBorders>
              <w:top w:val="single" w:sz="4" w:space="0" w:color="auto"/>
              <w:left w:val="nil"/>
              <w:bottom w:val="single" w:sz="4" w:space="0" w:color="auto"/>
              <w:right w:val="nil"/>
            </w:tcBorders>
            <w:noWrap/>
            <w:vAlign w:val="bottom"/>
            <w:hideMark/>
          </w:tcPr>
          <w:p w14:paraId="0F17ED00" w14:textId="77777777" w:rsidR="008F7A0E" w:rsidRPr="0074537B" w:rsidRDefault="008F7A0E" w:rsidP="00173A63">
            <w:pPr>
              <w:spacing w:after="0" w:line="240" w:lineRule="auto"/>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VARIABLES</w:t>
            </w:r>
          </w:p>
        </w:tc>
        <w:tc>
          <w:tcPr>
            <w:tcW w:w="1293" w:type="dxa"/>
            <w:tcBorders>
              <w:top w:val="single" w:sz="4" w:space="0" w:color="auto"/>
              <w:left w:val="nil"/>
              <w:bottom w:val="single" w:sz="4" w:space="0" w:color="auto"/>
              <w:right w:val="nil"/>
            </w:tcBorders>
            <w:noWrap/>
            <w:vAlign w:val="center"/>
            <w:hideMark/>
          </w:tcPr>
          <w:p w14:paraId="23EBE20F"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Control</w:t>
            </w:r>
          </w:p>
        </w:tc>
        <w:tc>
          <w:tcPr>
            <w:tcW w:w="1308" w:type="dxa"/>
            <w:tcBorders>
              <w:top w:val="single" w:sz="4" w:space="0" w:color="auto"/>
              <w:left w:val="nil"/>
              <w:bottom w:val="single" w:sz="4" w:space="0" w:color="auto"/>
              <w:right w:val="nil"/>
            </w:tcBorders>
            <w:noWrap/>
            <w:vAlign w:val="center"/>
            <w:hideMark/>
          </w:tcPr>
          <w:p w14:paraId="2B4C10BF"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H1</w:t>
            </w:r>
          </w:p>
        </w:tc>
        <w:tc>
          <w:tcPr>
            <w:tcW w:w="1293" w:type="dxa"/>
            <w:tcBorders>
              <w:top w:val="single" w:sz="4" w:space="0" w:color="auto"/>
              <w:left w:val="nil"/>
              <w:bottom w:val="single" w:sz="4" w:space="0" w:color="auto"/>
              <w:right w:val="nil"/>
            </w:tcBorders>
            <w:noWrap/>
            <w:vAlign w:val="center"/>
            <w:hideMark/>
          </w:tcPr>
          <w:p w14:paraId="202B4B2D"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H2</w:t>
            </w:r>
          </w:p>
        </w:tc>
        <w:tc>
          <w:tcPr>
            <w:tcW w:w="1421" w:type="dxa"/>
            <w:tcBorders>
              <w:top w:val="single" w:sz="4" w:space="0" w:color="auto"/>
              <w:left w:val="nil"/>
              <w:bottom w:val="single" w:sz="4" w:space="0" w:color="auto"/>
              <w:right w:val="nil"/>
            </w:tcBorders>
            <w:noWrap/>
            <w:vAlign w:val="center"/>
            <w:hideMark/>
          </w:tcPr>
          <w:p w14:paraId="37EFC461"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H3</w:t>
            </w:r>
          </w:p>
        </w:tc>
        <w:tc>
          <w:tcPr>
            <w:tcW w:w="1421" w:type="dxa"/>
            <w:tcBorders>
              <w:top w:val="single" w:sz="4" w:space="0" w:color="auto"/>
              <w:left w:val="nil"/>
              <w:bottom w:val="single" w:sz="4" w:space="0" w:color="auto"/>
              <w:right w:val="nil"/>
            </w:tcBorders>
            <w:noWrap/>
            <w:vAlign w:val="center"/>
            <w:hideMark/>
          </w:tcPr>
          <w:p w14:paraId="044D9E93"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H4</w:t>
            </w:r>
          </w:p>
        </w:tc>
      </w:tr>
      <w:tr w:rsidR="008F7A0E" w:rsidRPr="0074537B" w14:paraId="108D6BCA" w14:textId="77777777" w:rsidTr="00173A63">
        <w:trPr>
          <w:trHeight w:val="277"/>
        </w:trPr>
        <w:tc>
          <w:tcPr>
            <w:tcW w:w="2407" w:type="dxa"/>
            <w:tcBorders>
              <w:top w:val="nil"/>
              <w:left w:val="nil"/>
              <w:bottom w:val="nil"/>
              <w:right w:val="nil"/>
            </w:tcBorders>
            <w:noWrap/>
            <w:vAlign w:val="center"/>
            <w:hideMark/>
          </w:tcPr>
          <w:p w14:paraId="2EB74CA5" w14:textId="77777777" w:rsidR="008F7A0E" w:rsidRPr="0074537B" w:rsidRDefault="008F7A0E" w:rsidP="00173A63">
            <w:pPr>
              <w:spacing w:after="0" w:line="240" w:lineRule="auto"/>
              <w:rPr>
                <w:rFonts w:ascii="Times New Roman" w:eastAsia="Times New Roman" w:hAnsi="Times New Roman" w:cs="Times New Roman"/>
                <w:color w:val="000000"/>
                <w:sz w:val="20"/>
                <w:szCs w:val="20"/>
                <w:lang w:val="en-AE" w:eastAsia="en-AE"/>
              </w:rPr>
            </w:pPr>
            <w:r w:rsidRPr="0074537B">
              <w:rPr>
                <w:rFonts w:ascii="Times New Roman" w:eastAsia="Times New Roman" w:hAnsi="Times New Roman" w:cs="Times New Roman"/>
                <w:color w:val="000000"/>
                <w:sz w:val="20"/>
                <w:szCs w:val="20"/>
                <w:lang w:val="en-AE" w:eastAsia="en-AE"/>
              </w:rPr>
              <w:t>Bank size</w:t>
            </w:r>
          </w:p>
        </w:tc>
        <w:tc>
          <w:tcPr>
            <w:tcW w:w="1293" w:type="dxa"/>
            <w:tcBorders>
              <w:top w:val="nil"/>
              <w:left w:val="nil"/>
              <w:bottom w:val="nil"/>
              <w:right w:val="nil"/>
            </w:tcBorders>
            <w:noWrap/>
            <w:vAlign w:val="bottom"/>
            <w:hideMark/>
          </w:tcPr>
          <w:p w14:paraId="49042344"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r w:rsidRPr="0074537B">
              <w:rPr>
                <w:rFonts w:ascii="Times New Roman" w:eastAsia="Times New Roman" w:hAnsi="Times New Roman" w:cs="Times New Roman"/>
                <w:color w:val="0F9ED5"/>
                <w:sz w:val="20"/>
                <w:szCs w:val="20"/>
                <w:lang w:val="en-AE" w:eastAsia="en-AE"/>
              </w:rPr>
              <w:t>-0.0546***</w:t>
            </w:r>
          </w:p>
        </w:tc>
        <w:tc>
          <w:tcPr>
            <w:tcW w:w="1308" w:type="dxa"/>
            <w:tcBorders>
              <w:top w:val="nil"/>
              <w:left w:val="nil"/>
              <w:bottom w:val="nil"/>
              <w:right w:val="nil"/>
            </w:tcBorders>
            <w:noWrap/>
            <w:vAlign w:val="bottom"/>
            <w:hideMark/>
          </w:tcPr>
          <w:p w14:paraId="3EC9D2ED"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r w:rsidRPr="0074537B">
              <w:rPr>
                <w:rFonts w:ascii="Times New Roman" w:eastAsia="Times New Roman" w:hAnsi="Times New Roman" w:cs="Times New Roman"/>
                <w:color w:val="0F9ED5"/>
                <w:sz w:val="20"/>
                <w:szCs w:val="20"/>
                <w:lang w:val="en-AE" w:eastAsia="en-AE"/>
              </w:rPr>
              <w:t>-0.0338***</w:t>
            </w:r>
          </w:p>
        </w:tc>
        <w:tc>
          <w:tcPr>
            <w:tcW w:w="1293" w:type="dxa"/>
            <w:tcBorders>
              <w:top w:val="nil"/>
              <w:left w:val="nil"/>
              <w:bottom w:val="nil"/>
              <w:right w:val="nil"/>
            </w:tcBorders>
            <w:noWrap/>
            <w:vAlign w:val="bottom"/>
            <w:hideMark/>
          </w:tcPr>
          <w:p w14:paraId="5FADA52A"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r w:rsidRPr="0074537B">
              <w:rPr>
                <w:rFonts w:ascii="Times New Roman" w:eastAsia="Times New Roman" w:hAnsi="Times New Roman" w:cs="Times New Roman"/>
                <w:color w:val="0F9ED5"/>
                <w:sz w:val="20"/>
                <w:szCs w:val="20"/>
                <w:lang w:val="en-AE" w:eastAsia="en-AE"/>
              </w:rPr>
              <w:t>-0.0472***</w:t>
            </w:r>
          </w:p>
        </w:tc>
        <w:tc>
          <w:tcPr>
            <w:tcW w:w="1421" w:type="dxa"/>
            <w:tcBorders>
              <w:top w:val="nil"/>
              <w:left w:val="nil"/>
              <w:bottom w:val="nil"/>
              <w:right w:val="nil"/>
            </w:tcBorders>
            <w:noWrap/>
            <w:vAlign w:val="bottom"/>
            <w:hideMark/>
          </w:tcPr>
          <w:p w14:paraId="23A618A5"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r w:rsidRPr="0074537B">
              <w:rPr>
                <w:rFonts w:ascii="Times New Roman" w:eastAsia="Times New Roman" w:hAnsi="Times New Roman" w:cs="Times New Roman"/>
                <w:color w:val="0F9ED5"/>
                <w:sz w:val="20"/>
                <w:szCs w:val="20"/>
                <w:lang w:val="en-AE" w:eastAsia="en-AE"/>
              </w:rPr>
              <w:t>-0.0517***</w:t>
            </w:r>
          </w:p>
        </w:tc>
        <w:tc>
          <w:tcPr>
            <w:tcW w:w="1421" w:type="dxa"/>
            <w:tcBorders>
              <w:top w:val="nil"/>
              <w:left w:val="nil"/>
              <w:bottom w:val="nil"/>
              <w:right w:val="nil"/>
            </w:tcBorders>
            <w:noWrap/>
            <w:vAlign w:val="bottom"/>
            <w:hideMark/>
          </w:tcPr>
          <w:p w14:paraId="360C4A5C"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r w:rsidRPr="0074537B">
              <w:rPr>
                <w:rFonts w:ascii="Times New Roman" w:eastAsia="Times New Roman" w:hAnsi="Times New Roman" w:cs="Times New Roman"/>
                <w:color w:val="0F9ED5"/>
                <w:sz w:val="20"/>
                <w:szCs w:val="20"/>
                <w:lang w:val="en-AE" w:eastAsia="en-AE"/>
              </w:rPr>
              <w:t>-0.0323***</w:t>
            </w:r>
          </w:p>
        </w:tc>
      </w:tr>
      <w:tr w:rsidR="008F7A0E" w:rsidRPr="0074537B" w14:paraId="0D5A1F0D" w14:textId="77777777" w:rsidTr="00173A63">
        <w:trPr>
          <w:trHeight w:val="314"/>
        </w:trPr>
        <w:tc>
          <w:tcPr>
            <w:tcW w:w="2407" w:type="dxa"/>
            <w:tcBorders>
              <w:top w:val="nil"/>
              <w:left w:val="nil"/>
              <w:bottom w:val="nil"/>
              <w:right w:val="nil"/>
            </w:tcBorders>
            <w:noWrap/>
            <w:vAlign w:val="bottom"/>
            <w:hideMark/>
          </w:tcPr>
          <w:p w14:paraId="1C6CD8FC"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p>
        </w:tc>
        <w:tc>
          <w:tcPr>
            <w:tcW w:w="1293" w:type="dxa"/>
            <w:tcBorders>
              <w:top w:val="nil"/>
              <w:left w:val="nil"/>
              <w:bottom w:val="nil"/>
              <w:right w:val="nil"/>
            </w:tcBorders>
            <w:noWrap/>
            <w:vAlign w:val="bottom"/>
            <w:hideMark/>
          </w:tcPr>
          <w:p w14:paraId="16CD02A8"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(-24.23)</w:t>
            </w:r>
          </w:p>
        </w:tc>
        <w:tc>
          <w:tcPr>
            <w:tcW w:w="1308" w:type="dxa"/>
            <w:tcBorders>
              <w:top w:val="nil"/>
              <w:left w:val="nil"/>
              <w:bottom w:val="nil"/>
              <w:right w:val="nil"/>
            </w:tcBorders>
            <w:noWrap/>
            <w:vAlign w:val="bottom"/>
            <w:hideMark/>
          </w:tcPr>
          <w:p w14:paraId="51EBA8F8"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(-20.14)</w:t>
            </w:r>
          </w:p>
        </w:tc>
        <w:tc>
          <w:tcPr>
            <w:tcW w:w="1293" w:type="dxa"/>
            <w:tcBorders>
              <w:top w:val="nil"/>
              <w:left w:val="nil"/>
              <w:bottom w:val="nil"/>
              <w:right w:val="nil"/>
            </w:tcBorders>
            <w:noWrap/>
            <w:vAlign w:val="bottom"/>
            <w:hideMark/>
          </w:tcPr>
          <w:p w14:paraId="58BE05F0"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(-15.16)</w:t>
            </w:r>
          </w:p>
        </w:tc>
        <w:tc>
          <w:tcPr>
            <w:tcW w:w="1421" w:type="dxa"/>
            <w:tcBorders>
              <w:top w:val="nil"/>
              <w:left w:val="nil"/>
              <w:bottom w:val="nil"/>
              <w:right w:val="nil"/>
            </w:tcBorders>
            <w:noWrap/>
            <w:vAlign w:val="bottom"/>
            <w:hideMark/>
          </w:tcPr>
          <w:p w14:paraId="0CF6ABD8"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(-19.86)</w:t>
            </w:r>
          </w:p>
        </w:tc>
        <w:tc>
          <w:tcPr>
            <w:tcW w:w="1421" w:type="dxa"/>
            <w:tcBorders>
              <w:top w:val="nil"/>
              <w:left w:val="nil"/>
              <w:bottom w:val="nil"/>
              <w:right w:val="nil"/>
            </w:tcBorders>
            <w:noWrap/>
            <w:vAlign w:val="bottom"/>
            <w:hideMark/>
          </w:tcPr>
          <w:p w14:paraId="6E2B4745"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(-17.14)</w:t>
            </w:r>
          </w:p>
        </w:tc>
      </w:tr>
      <w:tr w:rsidR="008F7A0E" w:rsidRPr="0074537B" w14:paraId="56C63C5F" w14:textId="77777777" w:rsidTr="00173A63">
        <w:trPr>
          <w:trHeight w:val="277"/>
        </w:trPr>
        <w:tc>
          <w:tcPr>
            <w:tcW w:w="2407" w:type="dxa"/>
            <w:tcBorders>
              <w:top w:val="nil"/>
              <w:left w:val="nil"/>
              <w:bottom w:val="nil"/>
              <w:right w:val="nil"/>
            </w:tcBorders>
            <w:noWrap/>
            <w:vAlign w:val="center"/>
            <w:hideMark/>
          </w:tcPr>
          <w:p w14:paraId="5565E84C" w14:textId="77777777" w:rsidR="008F7A0E" w:rsidRPr="0074537B" w:rsidRDefault="008F7A0E" w:rsidP="00173A63">
            <w:pPr>
              <w:spacing w:after="0" w:line="240" w:lineRule="auto"/>
              <w:rPr>
                <w:rFonts w:ascii="Times New Roman" w:eastAsia="Times New Roman" w:hAnsi="Times New Roman" w:cs="Times New Roman"/>
                <w:color w:val="000000"/>
                <w:sz w:val="20"/>
                <w:szCs w:val="20"/>
                <w:lang w:val="en-AE" w:eastAsia="en-AE"/>
              </w:rPr>
            </w:pPr>
            <w:r w:rsidRPr="0074537B">
              <w:rPr>
                <w:rFonts w:ascii="Times New Roman" w:eastAsia="Times New Roman" w:hAnsi="Times New Roman" w:cs="Times New Roman"/>
                <w:color w:val="000000"/>
                <w:sz w:val="20"/>
                <w:szCs w:val="20"/>
                <w:lang w:val="en-AE" w:eastAsia="en-AE"/>
              </w:rPr>
              <w:t>Risk-Adjusted Capital</w:t>
            </w:r>
          </w:p>
        </w:tc>
        <w:tc>
          <w:tcPr>
            <w:tcW w:w="1293" w:type="dxa"/>
            <w:tcBorders>
              <w:top w:val="nil"/>
              <w:left w:val="nil"/>
              <w:bottom w:val="nil"/>
              <w:right w:val="nil"/>
            </w:tcBorders>
            <w:noWrap/>
            <w:vAlign w:val="bottom"/>
            <w:hideMark/>
          </w:tcPr>
          <w:p w14:paraId="418D9CC0" w14:textId="77777777" w:rsidR="008F7A0E" w:rsidRPr="0074537B" w:rsidRDefault="008F7A0E" w:rsidP="00173A63">
            <w:pPr>
              <w:spacing w:after="0" w:line="240" w:lineRule="auto"/>
              <w:rPr>
                <w:rFonts w:ascii="Times New Roman" w:eastAsia="Times New Roman" w:hAnsi="Times New Roman" w:cs="Times New Roman"/>
                <w:color w:val="000000"/>
                <w:sz w:val="20"/>
                <w:szCs w:val="20"/>
                <w:lang w:val="en-AE" w:eastAsia="en-AE"/>
              </w:rPr>
            </w:pPr>
          </w:p>
        </w:tc>
        <w:tc>
          <w:tcPr>
            <w:tcW w:w="1308" w:type="dxa"/>
            <w:tcBorders>
              <w:top w:val="nil"/>
              <w:left w:val="nil"/>
              <w:bottom w:val="nil"/>
              <w:right w:val="nil"/>
            </w:tcBorders>
            <w:noWrap/>
            <w:vAlign w:val="bottom"/>
            <w:hideMark/>
          </w:tcPr>
          <w:p w14:paraId="70C3563A"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r w:rsidRPr="0074537B">
              <w:rPr>
                <w:rFonts w:ascii="Times New Roman" w:eastAsia="Times New Roman" w:hAnsi="Times New Roman" w:cs="Times New Roman"/>
                <w:color w:val="0F9ED5"/>
                <w:sz w:val="20"/>
                <w:szCs w:val="20"/>
                <w:lang w:val="en-AE" w:eastAsia="en-AE"/>
              </w:rPr>
              <w:t>-0.00124***</w:t>
            </w:r>
          </w:p>
        </w:tc>
        <w:tc>
          <w:tcPr>
            <w:tcW w:w="1293" w:type="dxa"/>
            <w:tcBorders>
              <w:top w:val="nil"/>
              <w:left w:val="nil"/>
              <w:bottom w:val="nil"/>
              <w:right w:val="nil"/>
            </w:tcBorders>
            <w:noWrap/>
            <w:vAlign w:val="bottom"/>
            <w:hideMark/>
          </w:tcPr>
          <w:p w14:paraId="10CFDF2B"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p>
        </w:tc>
        <w:tc>
          <w:tcPr>
            <w:tcW w:w="1421" w:type="dxa"/>
            <w:tcBorders>
              <w:top w:val="nil"/>
              <w:left w:val="nil"/>
              <w:bottom w:val="nil"/>
              <w:right w:val="nil"/>
            </w:tcBorders>
            <w:noWrap/>
            <w:vAlign w:val="bottom"/>
            <w:hideMark/>
          </w:tcPr>
          <w:p w14:paraId="11B11DE9"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421" w:type="dxa"/>
            <w:tcBorders>
              <w:top w:val="nil"/>
              <w:left w:val="nil"/>
              <w:bottom w:val="nil"/>
              <w:right w:val="nil"/>
            </w:tcBorders>
            <w:noWrap/>
            <w:vAlign w:val="bottom"/>
            <w:hideMark/>
          </w:tcPr>
          <w:p w14:paraId="52D52A57"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r w:rsidRPr="0074537B">
              <w:rPr>
                <w:rFonts w:ascii="Times New Roman" w:eastAsia="Times New Roman" w:hAnsi="Times New Roman" w:cs="Times New Roman"/>
                <w:color w:val="0F9ED5"/>
                <w:sz w:val="20"/>
                <w:szCs w:val="20"/>
                <w:lang w:val="en-AE" w:eastAsia="en-AE"/>
              </w:rPr>
              <w:t>-0.00113***</w:t>
            </w:r>
          </w:p>
        </w:tc>
      </w:tr>
      <w:tr w:rsidR="008F7A0E" w:rsidRPr="0074537B" w14:paraId="3FC28A1E" w14:textId="77777777" w:rsidTr="00173A63">
        <w:trPr>
          <w:trHeight w:val="277"/>
        </w:trPr>
        <w:tc>
          <w:tcPr>
            <w:tcW w:w="2407" w:type="dxa"/>
            <w:tcBorders>
              <w:top w:val="nil"/>
              <w:left w:val="nil"/>
              <w:bottom w:val="nil"/>
              <w:right w:val="nil"/>
            </w:tcBorders>
            <w:noWrap/>
            <w:vAlign w:val="center"/>
            <w:hideMark/>
          </w:tcPr>
          <w:p w14:paraId="0E06F084"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p>
        </w:tc>
        <w:tc>
          <w:tcPr>
            <w:tcW w:w="1293" w:type="dxa"/>
            <w:tcBorders>
              <w:top w:val="nil"/>
              <w:left w:val="nil"/>
              <w:bottom w:val="nil"/>
              <w:right w:val="nil"/>
            </w:tcBorders>
            <w:noWrap/>
            <w:vAlign w:val="bottom"/>
            <w:hideMark/>
          </w:tcPr>
          <w:p w14:paraId="3B45AFED" w14:textId="77777777" w:rsidR="008F7A0E" w:rsidRPr="0074537B" w:rsidRDefault="008F7A0E" w:rsidP="00173A63">
            <w:pPr>
              <w:spacing w:after="0" w:line="240" w:lineRule="auto"/>
              <w:rPr>
                <w:rFonts w:ascii="Times New Roman" w:eastAsia="Times New Roman" w:hAnsi="Times New Roman" w:cs="Times New Roman"/>
                <w:sz w:val="20"/>
                <w:szCs w:val="20"/>
                <w:lang w:val="en-AE" w:eastAsia="en-AE"/>
              </w:rPr>
            </w:pPr>
          </w:p>
        </w:tc>
        <w:tc>
          <w:tcPr>
            <w:tcW w:w="1308" w:type="dxa"/>
            <w:tcBorders>
              <w:top w:val="nil"/>
              <w:left w:val="nil"/>
              <w:bottom w:val="nil"/>
              <w:right w:val="nil"/>
            </w:tcBorders>
            <w:noWrap/>
            <w:vAlign w:val="bottom"/>
            <w:hideMark/>
          </w:tcPr>
          <w:p w14:paraId="7B7AE4DF"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(-12.24)</w:t>
            </w:r>
          </w:p>
        </w:tc>
        <w:tc>
          <w:tcPr>
            <w:tcW w:w="1293" w:type="dxa"/>
            <w:tcBorders>
              <w:top w:val="nil"/>
              <w:left w:val="nil"/>
              <w:bottom w:val="nil"/>
              <w:right w:val="nil"/>
            </w:tcBorders>
            <w:noWrap/>
            <w:vAlign w:val="bottom"/>
            <w:hideMark/>
          </w:tcPr>
          <w:p w14:paraId="34AB2DAF"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421" w:type="dxa"/>
            <w:tcBorders>
              <w:top w:val="nil"/>
              <w:left w:val="nil"/>
              <w:bottom w:val="nil"/>
              <w:right w:val="nil"/>
            </w:tcBorders>
            <w:noWrap/>
            <w:vAlign w:val="bottom"/>
            <w:hideMark/>
          </w:tcPr>
          <w:p w14:paraId="260450FE"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421" w:type="dxa"/>
            <w:tcBorders>
              <w:top w:val="nil"/>
              <w:left w:val="nil"/>
              <w:bottom w:val="nil"/>
              <w:right w:val="nil"/>
            </w:tcBorders>
            <w:noWrap/>
            <w:vAlign w:val="bottom"/>
            <w:hideMark/>
          </w:tcPr>
          <w:p w14:paraId="0EA3DF84"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(-10.01)</w:t>
            </w:r>
          </w:p>
        </w:tc>
      </w:tr>
      <w:tr w:rsidR="008F7A0E" w:rsidRPr="0074537B" w14:paraId="2C75DE6F" w14:textId="77777777" w:rsidTr="00173A63">
        <w:trPr>
          <w:trHeight w:val="277"/>
        </w:trPr>
        <w:tc>
          <w:tcPr>
            <w:tcW w:w="2407" w:type="dxa"/>
            <w:tcBorders>
              <w:top w:val="nil"/>
              <w:left w:val="nil"/>
              <w:bottom w:val="nil"/>
              <w:right w:val="nil"/>
            </w:tcBorders>
            <w:noWrap/>
            <w:vAlign w:val="center"/>
            <w:hideMark/>
          </w:tcPr>
          <w:p w14:paraId="25397F76" w14:textId="77777777" w:rsidR="008F7A0E" w:rsidRPr="0074537B" w:rsidRDefault="008F7A0E" w:rsidP="00173A63">
            <w:pPr>
              <w:spacing w:after="0" w:line="240" w:lineRule="auto"/>
              <w:rPr>
                <w:rFonts w:ascii="Times New Roman" w:eastAsia="Times New Roman" w:hAnsi="Times New Roman" w:cs="Times New Roman"/>
                <w:color w:val="000000"/>
                <w:sz w:val="20"/>
                <w:szCs w:val="20"/>
                <w:lang w:val="en-AE" w:eastAsia="en-AE"/>
              </w:rPr>
            </w:pPr>
            <w:r w:rsidRPr="0074537B">
              <w:rPr>
                <w:rFonts w:ascii="Times New Roman" w:eastAsia="Times New Roman" w:hAnsi="Times New Roman" w:cs="Times New Roman"/>
                <w:color w:val="000000"/>
                <w:sz w:val="20"/>
                <w:szCs w:val="20"/>
                <w:lang w:val="en-AE" w:eastAsia="en-AE"/>
              </w:rPr>
              <w:t>Liquidity Risk</w:t>
            </w:r>
          </w:p>
        </w:tc>
        <w:tc>
          <w:tcPr>
            <w:tcW w:w="1293" w:type="dxa"/>
            <w:tcBorders>
              <w:top w:val="nil"/>
              <w:left w:val="nil"/>
              <w:bottom w:val="nil"/>
              <w:right w:val="nil"/>
            </w:tcBorders>
            <w:noWrap/>
            <w:vAlign w:val="bottom"/>
            <w:hideMark/>
          </w:tcPr>
          <w:p w14:paraId="29DB8E30" w14:textId="77777777" w:rsidR="008F7A0E" w:rsidRPr="0074537B" w:rsidRDefault="008F7A0E" w:rsidP="00173A63">
            <w:pPr>
              <w:spacing w:after="0" w:line="240" w:lineRule="auto"/>
              <w:rPr>
                <w:rFonts w:ascii="Times New Roman" w:eastAsia="Times New Roman" w:hAnsi="Times New Roman" w:cs="Times New Roman"/>
                <w:color w:val="000000"/>
                <w:sz w:val="20"/>
                <w:szCs w:val="20"/>
                <w:lang w:val="en-AE" w:eastAsia="en-AE"/>
              </w:rPr>
            </w:pPr>
          </w:p>
        </w:tc>
        <w:tc>
          <w:tcPr>
            <w:tcW w:w="1308" w:type="dxa"/>
            <w:tcBorders>
              <w:top w:val="nil"/>
              <w:left w:val="nil"/>
              <w:bottom w:val="nil"/>
              <w:right w:val="nil"/>
            </w:tcBorders>
            <w:noWrap/>
            <w:vAlign w:val="bottom"/>
            <w:hideMark/>
          </w:tcPr>
          <w:p w14:paraId="66EA8361"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293" w:type="dxa"/>
            <w:tcBorders>
              <w:top w:val="nil"/>
              <w:left w:val="nil"/>
              <w:bottom w:val="nil"/>
              <w:right w:val="nil"/>
            </w:tcBorders>
            <w:noWrap/>
            <w:vAlign w:val="bottom"/>
            <w:hideMark/>
          </w:tcPr>
          <w:p w14:paraId="4DBF0611"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r w:rsidRPr="0074537B">
              <w:rPr>
                <w:rFonts w:ascii="Times New Roman" w:eastAsia="Times New Roman" w:hAnsi="Times New Roman" w:cs="Times New Roman"/>
                <w:color w:val="0F9ED5"/>
                <w:sz w:val="20"/>
                <w:szCs w:val="20"/>
                <w:lang w:val="en-AE" w:eastAsia="en-AE"/>
              </w:rPr>
              <w:t>-0.0268***</w:t>
            </w:r>
          </w:p>
        </w:tc>
        <w:tc>
          <w:tcPr>
            <w:tcW w:w="1421" w:type="dxa"/>
            <w:tcBorders>
              <w:top w:val="nil"/>
              <w:left w:val="nil"/>
              <w:bottom w:val="nil"/>
              <w:right w:val="nil"/>
            </w:tcBorders>
            <w:noWrap/>
            <w:vAlign w:val="bottom"/>
            <w:hideMark/>
          </w:tcPr>
          <w:p w14:paraId="34588E3F"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p>
        </w:tc>
        <w:tc>
          <w:tcPr>
            <w:tcW w:w="1421" w:type="dxa"/>
            <w:tcBorders>
              <w:top w:val="nil"/>
              <w:left w:val="nil"/>
              <w:bottom w:val="nil"/>
              <w:right w:val="nil"/>
            </w:tcBorders>
            <w:noWrap/>
            <w:vAlign w:val="bottom"/>
            <w:hideMark/>
          </w:tcPr>
          <w:p w14:paraId="4455D915" w14:textId="77777777" w:rsidR="008F7A0E" w:rsidRPr="0074537B" w:rsidRDefault="008F7A0E" w:rsidP="00173A63">
            <w:pPr>
              <w:spacing w:after="0" w:line="240" w:lineRule="auto"/>
              <w:jc w:val="center"/>
              <w:rPr>
                <w:rFonts w:ascii="Times New Roman" w:eastAsia="Times New Roman" w:hAnsi="Times New Roman" w:cs="Times New Roman"/>
                <w:color w:val="FF0000"/>
                <w:sz w:val="20"/>
                <w:szCs w:val="20"/>
                <w:lang w:val="en-AE" w:eastAsia="en-AE"/>
              </w:rPr>
            </w:pPr>
            <w:r w:rsidRPr="0074537B">
              <w:rPr>
                <w:rFonts w:ascii="Times New Roman" w:eastAsia="Times New Roman" w:hAnsi="Times New Roman" w:cs="Times New Roman"/>
                <w:color w:val="FF0000"/>
                <w:sz w:val="20"/>
                <w:szCs w:val="20"/>
                <w:lang w:val="en-AE" w:eastAsia="en-AE"/>
              </w:rPr>
              <w:t>0.0102***</w:t>
            </w:r>
          </w:p>
        </w:tc>
      </w:tr>
      <w:tr w:rsidR="008F7A0E" w:rsidRPr="0074537B" w14:paraId="4F507A06" w14:textId="77777777" w:rsidTr="00173A63">
        <w:trPr>
          <w:trHeight w:val="314"/>
        </w:trPr>
        <w:tc>
          <w:tcPr>
            <w:tcW w:w="2407" w:type="dxa"/>
            <w:tcBorders>
              <w:top w:val="nil"/>
              <w:left w:val="nil"/>
              <w:bottom w:val="nil"/>
              <w:right w:val="nil"/>
            </w:tcBorders>
            <w:noWrap/>
            <w:vAlign w:val="bottom"/>
            <w:hideMark/>
          </w:tcPr>
          <w:p w14:paraId="40E32011" w14:textId="77777777" w:rsidR="008F7A0E" w:rsidRPr="0074537B" w:rsidRDefault="008F7A0E" w:rsidP="00173A63">
            <w:pPr>
              <w:spacing w:after="0" w:line="240" w:lineRule="auto"/>
              <w:jc w:val="center"/>
              <w:rPr>
                <w:rFonts w:ascii="Times New Roman" w:eastAsia="Times New Roman" w:hAnsi="Times New Roman" w:cs="Times New Roman"/>
                <w:color w:val="FF0000"/>
                <w:sz w:val="20"/>
                <w:szCs w:val="20"/>
                <w:lang w:val="en-AE" w:eastAsia="en-AE"/>
              </w:rPr>
            </w:pPr>
          </w:p>
        </w:tc>
        <w:tc>
          <w:tcPr>
            <w:tcW w:w="1293" w:type="dxa"/>
            <w:tcBorders>
              <w:top w:val="nil"/>
              <w:left w:val="nil"/>
              <w:bottom w:val="nil"/>
              <w:right w:val="nil"/>
            </w:tcBorders>
            <w:noWrap/>
            <w:vAlign w:val="bottom"/>
            <w:hideMark/>
          </w:tcPr>
          <w:p w14:paraId="6451FA8D" w14:textId="77777777" w:rsidR="008F7A0E" w:rsidRPr="0074537B" w:rsidRDefault="008F7A0E" w:rsidP="00173A63">
            <w:pPr>
              <w:spacing w:after="0" w:line="240" w:lineRule="auto"/>
              <w:rPr>
                <w:rFonts w:ascii="Times New Roman" w:eastAsia="Times New Roman" w:hAnsi="Times New Roman" w:cs="Times New Roman"/>
                <w:sz w:val="20"/>
                <w:szCs w:val="20"/>
                <w:lang w:val="en-AE" w:eastAsia="en-AE"/>
              </w:rPr>
            </w:pPr>
          </w:p>
        </w:tc>
        <w:tc>
          <w:tcPr>
            <w:tcW w:w="1308" w:type="dxa"/>
            <w:tcBorders>
              <w:top w:val="nil"/>
              <w:left w:val="nil"/>
              <w:bottom w:val="nil"/>
              <w:right w:val="nil"/>
            </w:tcBorders>
            <w:noWrap/>
            <w:vAlign w:val="bottom"/>
            <w:hideMark/>
          </w:tcPr>
          <w:p w14:paraId="3805CCEA"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293" w:type="dxa"/>
            <w:tcBorders>
              <w:top w:val="nil"/>
              <w:left w:val="nil"/>
              <w:bottom w:val="nil"/>
              <w:right w:val="nil"/>
            </w:tcBorders>
            <w:noWrap/>
            <w:vAlign w:val="bottom"/>
            <w:hideMark/>
          </w:tcPr>
          <w:p w14:paraId="5192F0BE"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(-6.163)</w:t>
            </w:r>
          </w:p>
        </w:tc>
        <w:tc>
          <w:tcPr>
            <w:tcW w:w="1421" w:type="dxa"/>
            <w:tcBorders>
              <w:top w:val="nil"/>
              <w:left w:val="nil"/>
              <w:bottom w:val="nil"/>
              <w:right w:val="nil"/>
            </w:tcBorders>
            <w:noWrap/>
            <w:vAlign w:val="bottom"/>
            <w:hideMark/>
          </w:tcPr>
          <w:p w14:paraId="0D2A8AA9"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421" w:type="dxa"/>
            <w:tcBorders>
              <w:top w:val="nil"/>
              <w:left w:val="nil"/>
              <w:bottom w:val="nil"/>
              <w:right w:val="nil"/>
            </w:tcBorders>
            <w:noWrap/>
            <w:vAlign w:val="bottom"/>
            <w:hideMark/>
          </w:tcPr>
          <w:p w14:paraId="34161C82"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(3.381)</w:t>
            </w:r>
          </w:p>
        </w:tc>
      </w:tr>
      <w:tr w:rsidR="008F7A0E" w:rsidRPr="0074537B" w14:paraId="651D8407" w14:textId="77777777" w:rsidTr="00173A63">
        <w:trPr>
          <w:trHeight w:val="277"/>
        </w:trPr>
        <w:tc>
          <w:tcPr>
            <w:tcW w:w="2407" w:type="dxa"/>
            <w:tcBorders>
              <w:top w:val="nil"/>
              <w:left w:val="nil"/>
              <w:bottom w:val="nil"/>
              <w:right w:val="nil"/>
            </w:tcBorders>
            <w:noWrap/>
            <w:vAlign w:val="center"/>
            <w:hideMark/>
          </w:tcPr>
          <w:p w14:paraId="5D660701" w14:textId="77777777" w:rsidR="008F7A0E" w:rsidRPr="0074537B" w:rsidRDefault="008F7A0E" w:rsidP="00173A63">
            <w:pPr>
              <w:spacing w:after="0" w:line="240" w:lineRule="auto"/>
              <w:rPr>
                <w:rFonts w:ascii="Times New Roman" w:eastAsia="Times New Roman" w:hAnsi="Times New Roman" w:cs="Times New Roman"/>
                <w:color w:val="000000"/>
                <w:sz w:val="20"/>
                <w:szCs w:val="20"/>
                <w:lang w:val="en-AE" w:eastAsia="en-AE"/>
              </w:rPr>
            </w:pPr>
            <w:r w:rsidRPr="0074537B">
              <w:rPr>
                <w:rFonts w:ascii="Times New Roman" w:eastAsia="Times New Roman" w:hAnsi="Times New Roman" w:cs="Times New Roman"/>
                <w:color w:val="000000"/>
                <w:sz w:val="20"/>
                <w:szCs w:val="20"/>
                <w:lang w:val="en-AE" w:eastAsia="en-AE"/>
              </w:rPr>
              <w:t>Credit Risk</w:t>
            </w:r>
          </w:p>
        </w:tc>
        <w:tc>
          <w:tcPr>
            <w:tcW w:w="1293" w:type="dxa"/>
            <w:tcBorders>
              <w:top w:val="nil"/>
              <w:left w:val="nil"/>
              <w:bottom w:val="nil"/>
              <w:right w:val="nil"/>
            </w:tcBorders>
            <w:noWrap/>
            <w:vAlign w:val="bottom"/>
            <w:hideMark/>
          </w:tcPr>
          <w:p w14:paraId="2E278E80" w14:textId="77777777" w:rsidR="008F7A0E" w:rsidRPr="0074537B" w:rsidRDefault="008F7A0E" w:rsidP="00173A63">
            <w:pPr>
              <w:spacing w:after="0" w:line="240" w:lineRule="auto"/>
              <w:rPr>
                <w:rFonts w:ascii="Times New Roman" w:eastAsia="Times New Roman" w:hAnsi="Times New Roman" w:cs="Times New Roman"/>
                <w:color w:val="000000"/>
                <w:sz w:val="20"/>
                <w:szCs w:val="20"/>
                <w:lang w:val="en-AE" w:eastAsia="en-AE"/>
              </w:rPr>
            </w:pPr>
          </w:p>
        </w:tc>
        <w:tc>
          <w:tcPr>
            <w:tcW w:w="1308" w:type="dxa"/>
            <w:tcBorders>
              <w:top w:val="nil"/>
              <w:left w:val="nil"/>
              <w:bottom w:val="nil"/>
              <w:right w:val="nil"/>
            </w:tcBorders>
            <w:noWrap/>
            <w:vAlign w:val="bottom"/>
            <w:hideMark/>
          </w:tcPr>
          <w:p w14:paraId="3E9295DF"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293" w:type="dxa"/>
            <w:tcBorders>
              <w:top w:val="nil"/>
              <w:left w:val="nil"/>
              <w:bottom w:val="nil"/>
              <w:right w:val="nil"/>
            </w:tcBorders>
            <w:noWrap/>
            <w:vAlign w:val="bottom"/>
            <w:hideMark/>
          </w:tcPr>
          <w:p w14:paraId="188C6FE5"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421" w:type="dxa"/>
            <w:tcBorders>
              <w:top w:val="nil"/>
              <w:left w:val="nil"/>
              <w:bottom w:val="nil"/>
              <w:right w:val="nil"/>
            </w:tcBorders>
            <w:noWrap/>
            <w:vAlign w:val="bottom"/>
            <w:hideMark/>
          </w:tcPr>
          <w:p w14:paraId="5EAD5C89"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r w:rsidRPr="0074537B">
              <w:rPr>
                <w:rFonts w:ascii="Times New Roman" w:eastAsia="Times New Roman" w:hAnsi="Times New Roman" w:cs="Times New Roman"/>
                <w:color w:val="0F9ED5"/>
                <w:sz w:val="20"/>
                <w:szCs w:val="20"/>
                <w:lang w:val="en-AE" w:eastAsia="en-AE"/>
              </w:rPr>
              <w:t>-0.000281***</w:t>
            </w:r>
          </w:p>
        </w:tc>
        <w:tc>
          <w:tcPr>
            <w:tcW w:w="1421" w:type="dxa"/>
            <w:tcBorders>
              <w:top w:val="nil"/>
              <w:left w:val="nil"/>
              <w:bottom w:val="nil"/>
              <w:right w:val="nil"/>
            </w:tcBorders>
            <w:noWrap/>
            <w:vAlign w:val="bottom"/>
            <w:hideMark/>
          </w:tcPr>
          <w:p w14:paraId="3BC3E463"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r w:rsidRPr="0074537B">
              <w:rPr>
                <w:rFonts w:ascii="Times New Roman" w:eastAsia="Times New Roman" w:hAnsi="Times New Roman" w:cs="Times New Roman"/>
                <w:color w:val="0F9ED5"/>
                <w:sz w:val="20"/>
                <w:szCs w:val="20"/>
                <w:lang w:val="en-AE" w:eastAsia="en-AE"/>
              </w:rPr>
              <w:t>-0.000101***</w:t>
            </w:r>
          </w:p>
        </w:tc>
      </w:tr>
      <w:tr w:rsidR="008F7A0E" w:rsidRPr="0074537B" w14:paraId="07379614" w14:textId="77777777" w:rsidTr="00173A63">
        <w:trPr>
          <w:trHeight w:val="314"/>
        </w:trPr>
        <w:tc>
          <w:tcPr>
            <w:tcW w:w="2407" w:type="dxa"/>
            <w:tcBorders>
              <w:top w:val="nil"/>
              <w:left w:val="nil"/>
              <w:bottom w:val="nil"/>
              <w:right w:val="nil"/>
            </w:tcBorders>
            <w:noWrap/>
            <w:vAlign w:val="bottom"/>
            <w:hideMark/>
          </w:tcPr>
          <w:p w14:paraId="385EE71F" w14:textId="77777777" w:rsidR="008F7A0E" w:rsidRPr="0074537B" w:rsidRDefault="008F7A0E" w:rsidP="00173A63">
            <w:pPr>
              <w:spacing w:after="0" w:line="240" w:lineRule="auto"/>
              <w:jc w:val="center"/>
              <w:rPr>
                <w:rFonts w:ascii="Times New Roman" w:eastAsia="Times New Roman" w:hAnsi="Times New Roman" w:cs="Times New Roman"/>
                <w:color w:val="0F9ED5"/>
                <w:sz w:val="20"/>
                <w:szCs w:val="20"/>
                <w:lang w:val="en-AE" w:eastAsia="en-AE"/>
              </w:rPr>
            </w:pPr>
          </w:p>
        </w:tc>
        <w:tc>
          <w:tcPr>
            <w:tcW w:w="1293" w:type="dxa"/>
            <w:tcBorders>
              <w:top w:val="nil"/>
              <w:left w:val="nil"/>
              <w:bottom w:val="nil"/>
              <w:right w:val="nil"/>
            </w:tcBorders>
            <w:noWrap/>
            <w:vAlign w:val="bottom"/>
            <w:hideMark/>
          </w:tcPr>
          <w:p w14:paraId="2BD55D4A" w14:textId="77777777" w:rsidR="008F7A0E" w:rsidRPr="0074537B" w:rsidRDefault="008F7A0E" w:rsidP="00173A63">
            <w:pPr>
              <w:spacing w:after="0" w:line="240" w:lineRule="auto"/>
              <w:rPr>
                <w:rFonts w:ascii="Times New Roman" w:eastAsia="Times New Roman" w:hAnsi="Times New Roman" w:cs="Times New Roman"/>
                <w:sz w:val="20"/>
                <w:szCs w:val="20"/>
                <w:lang w:val="en-AE" w:eastAsia="en-AE"/>
              </w:rPr>
            </w:pPr>
          </w:p>
        </w:tc>
        <w:tc>
          <w:tcPr>
            <w:tcW w:w="1308" w:type="dxa"/>
            <w:tcBorders>
              <w:top w:val="nil"/>
              <w:left w:val="nil"/>
              <w:bottom w:val="nil"/>
              <w:right w:val="nil"/>
            </w:tcBorders>
            <w:noWrap/>
            <w:vAlign w:val="bottom"/>
            <w:hideMark/>
          </w:tcPr>
          <w:p w14:paraId="3368AF3C"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293" w:type="dxa"/>
            <w:tcBorders>
              <w:top w:val="nil"/>
              <w:left w:val="nil"/>
              <w:bottom w:val="nil"/>
              <w:right w:val="nil"/>
            </w:tcBorders>
            <w:noWrap/>
            <w:vAlign w:val="bottom"/>
            <w:hideMark/>
          </w:tcPr>
          <w:p w14:paraId="521751FC"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421" w:type="dxa"/>
            <w:tcBorders>
              <w:top w:val="nil"/>
              <w:left w:val="nil"/>
              <w:bottom w:val="nil"/>
              <w:right w:val="nil"/>
            </w:tcBorders>
            <w:noWrap/>
            <w:vAlign w:val="bottom"/>
            <w:hideMark/>
          </w:tcPr>
          <w:p w14:paraId="63B10B6F"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(-8.148)</w:t>
            </w:r>
          </w:p>
        </w:tc>
        <w:tc>
          <w:tcPr>
            <w:tcW w:w="1421" w:type="dxa"/>
            <w:tcBorders>
              <w:top w:val="nil"/>
              <w:left w:val="nil"/>
              <w:bottom w:val="nil"/>
              <w:right w:val="nil"/>
            </w:tcBorders>
            <w:noWrap/>
            <w:vAlign w:val="bottom"/>
            <w:hideMark/>
          </w:tcPr>
          <w:p w14:paraId="1A1087D4"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(-2.582)</w:t>
            </w:r>
          </w:p>
        </w:tc>
      </w:tr>
      <w:tr w:rsidR="008F7A0E" w:rsidRPr="0074537B" w14:paraId="3DE2350A" w14:textId="77777777" w:rsidTr="00173A63">
        <w:trPr>
          <w:trHeight w:val="277"/>
        </w:trPr>
        <w:tc>
          <w:tcPr>
            <w:tcW w:w="2407" w:type="dxa"/>
            <w:tcBorders>
              <w:top w:val="nil"/>
              <w:left w:val="nil"/>
              <w:bottom w:val="nil"/>
              <w:right w:val="nil"/>
            </w:tcBorders>
            <w:noWrap/>
            <w:vAlign w:val="center"/>
            <w:hideMark/>
          </w:tcPr>
          <w:p w14:paraId="7A852A5F" w14:textId="77777777" w:rsidR="008F7A0E" w:rsidRPr="0074537B" w:rsidRDefault="008F7A0E" w:rsidP="00173A63">
            <w:pPr>
              <w:spacing w:after="0" w:line="240" w:lineRule="auto"/>
              <w:rPr>
                <w:rFonts w:ascii="Times New Roman" w:eastAsia="Times New Roman" w:hAnsi="Times New Roman" w:cs="Times New Roman"/>
                <w:color w:val="000000"/>
                <w:sz w:val="20"/>
                <w:szCs w:val="20"/>
                <w:lang w:val="en-AE" w:eastAsia="en-AE"/>
              </w:rPr>
            </w:pPr>
            <w:r w:rsidRPr="0074537B">
              <w:rPr>
                <w:rFonts w:ascii="Times New Roman" w:eastAsia="Times New Roman" w:hAnsi="Times New Roman" w:cs="Times New Roman"/>
                <w:color w:val="000000"/>
                <w:sz w:val="20"/>
                <w:szCs w:val="20"/>
                <w:lang w:val="en-AE" w:eastAsia="en-AE"/>
              </w:rPr>
              <w:t>Constant</w:t>
            </w:r>
          </w:p>
        </w:tc>
        <w:tc>
          <w:tcPr>
            <w:tcW w:w="1293" w:type="dxa"/>
            <w:tcBorders>
              <w:top w:val="nil"/>
              <w:left w:val="nil"/>
              <w:bottom w:val="nil"/>
              <w:right w:val="nil"/>
            </w:tcBorders>
            <w:noWrap/>
            <w:vAlign w:val="bottom"/>
            <w:hideMark/>
          </w:tcPr>
          <w:p w14:paraId="61B765B0"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0.745***</w:t>
            </w:r>
          </w:p>
        </w:tc>
        <w:tc>
          <w:tcPr>
            <w:tcW w:w="1308" w:type="dxa"/>
            <w:tcBorders>
              <w:top w:val="nil"/>
              <w:left w:val="nil"/>
              <w:bottom w:val="nil"/>
              <w:right w:val="nil"/>
            </w:tcBorders>
            <w:noWrap/>
            <w:vAlign w:val="bottom"/>
            <w:hideMark/>
          </w:tcPr>
          <w:p w14:paraId="53C4EF6C"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0.496***</w:t>
            </w:r>
          </w:p>
        </w:tc>
        <w:tc>
          <w:tcPr>
            <w:tcW w:w="1293" w:type="dxa"/>
            <w:tcBorders>
              <w:top w:val="nil"/>
              <w:left w:val="nil"/>
              <w:bottom w:val="nil"/>
              <w:right w:val="nil"/>
            </w:tcBorders>
            <w:noWrap/>
            <w:vAlign w:val="bottom"/>
            <w:hideMark/>
          </w:tcPr>
          <w:p w14:paraId="4521DDF2"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0.666***</w:t>
            </w:r>
          </w:p>
        </w:tc>
        <w:tc>
          <w:tcPr>
            <w:tcW w:w="1421" w:type="dxa"/>
            <w:tcBorders>
              <w:top w:val="nil"/>
              <w:left w:val="nil"/>
              <w:bottom w:val="nil"/>
              <w:right w:val="nil"/>
            </w:tcBorders>
            <w:noWrap/>
            <w:vAlign w:val="bottom"/>
            <w:hideMark/>
          </w:tcPr>
          <w:p w14:paraId="3F4C7357"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0.715***</w:t>
            </w:r>
          </w:p>
        </w:tc>
        <w:tc>
          <w:tcPr>
            <w:tcW w:w="1421" w:type="dxa"/>
            <w:tcBorders>
              <w:top w:val="nil"/>
              <w:left w:val="nil"/>
              <w:bottom w:val="nil"/>
              <w:right w:val="nil"/>
            </w:tcBorders>
            <w:noWrap/>
            <w:vAlign w:val="bottom"/>
            <w:hideMark/>
          </w:tcPr>
          <w:p w14:paraId="72F1B60E"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0.469***</w:t>
            </w:r>
          </w:p>
        </w:tc>
      </w:tr>
      <w:tr w:rsidR="008F7A0E" w:rsidRPr="0074537B" w14:paraId="6ACD08EF" w14:textId="77777777" w:rsidTr="00173A63">
        <w:trPr>
          <w:trHeight w:val="277"/>
        </w:trPr>
        <w:tc>
          <w:tcPr>
            <w:tcW w:w="2407" w:type="dxa"/>
            <w:tcBorders>
              <w:top w:val="nil"/>
              <w:left w:val="nil"/>
              <w:bottom w:val="nil"/>
              <w:right w:val="nil"/>
            </w:tcBorders>
            <w:noWrap/>
            <w:vAlign w:val="bottom"/>
            <w:hideMark/>
          </w:tcPr>
          <w:p w14:paraId="2A19A783"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293" w:type="dxa"/>
            <w:tcBorders>
              <w:top w:val="nil"/>
              <w:left w:val="nil"/>
              <w:bottom w:val="nil"/>
              <w:right w:val="nil"/>
            </w:tcBorders>
            <w:noWrap/>
            <w:vAlign w:val="bottom"/>
            <w:hideMark/>
          </w:tcPr>
          <w:p w14:paraId="353C0F21"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(24.75)</w:t>
            </w:r>
          </w:p>
        </w:tc>
        <w:tc>
          <w:tcPr>
            <w:tcW w:w="1308" w:type="dxa"/>
            <w:tcBorders>
              <w:top w:val="nil"/>
              <w:left w:val="nil"/>
              <w:bottom w:val="nil"/>
              <w:right w:val="nil"/>
            </w:tcBorders>
            <w:noWrap/>
            <w:vAlign w:val="bottom"/>
            <w:hideMark/>
          </w:tcPr>
          <w:p w14:paraId="5C1D23DA"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(22.06)</w:t>
            </w:r>
          </w:p>
        </w:tc>
        <w:tc>
          <w:tcPr>
            <w:tcW w:w="1293" w:type="dxa"/>
            <w:tcBorders>
              <w:top w:val="nil"/>
              <w:left w:val="nil"/>
              <w:bottom w:val="nil"/>
              <w:right w:val="nil"/>
            </w:tcBorders>
            <w:noWrap/>
            <w:vAlign w:val="bottom"/>
            <w:hideMark/>
          </w:tcPr>
          <w:p w14:paraId="64F54B3E"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(15.15)</w:t>
            </w:r>
          </w:p>
        </w:tc>
        <w:tc>
          <w:tcPr>
            <w:tcW w:w="1421" w:type="dxa"/>
            <w:tcBorders>
              <w:top w:val="nil"/>
              <w:left w:val="nil"/>
              <w:bottom w:val="nil"/>
              <w:right w:val="nil"/>
            </w:tcBorders>
            <w:noWrap/>
            <w:vAlign w:val="bottom"/>
            <w:hideMark/>
          </w:tcPr>
          <w:p w14:paraId="31547CB0"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(20.58)</w:t>
            </w:r>
          </w:p>
        </w:tc>
        <w:tc>
          <w:tcPr>
            <w:tcW w:w="1421" w:type="dxa"/>
            <w:tcBorders>
              <w:top w:val="nil"/>
              <w:left w:val="nil"/>
              <w:bottom w:val="nil"/>
              <w:right w:val="nil"/>
            </w:tcBorders>
            <w:noWrap/>
            <w:vAlign w:val="bottom"/>
            <w:hideMark/>
          </w:tcPr>
          <w:p w14:paraId="11404CBF"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(18.21)</w:t>
            </w:r>
          </w:p>
        </w:tc>
      </w:tr>
      <w:tr w:rsidR="008F7A0E" w:rsidRPr="0074537B" w14:paraId="4EAA2FFE" w14:textId="77777777" w:rsidTr="00173A63">
        <w:trPr>
          <w:trHeight w:val="277"/>
        </w:trPr>
        <w:tc>
          <w:tcPr>
            <w:tcW w:w="2407" w:type="dxa"/>
            <w:tcBorders>
              <w:top w:val="nil"/>
              <w:left w:val="nil"/>
              <w:bottom w:val="nil"/>
              <w:right w:val="nil"/>
            </w:tcBorders>
            <w:noWrap/>
            <w:vAlign w:val="bottom"/>
            <w:hideMark/>
          </w:tcPr>
          <w:p w14:paraId="56DCB8F3" w14:textId="77777777" w:rsidR="008F7A0E" w:rsidRPr="0074537B" w:rsidRDefault="008F7A0E" w:rsidP="00173A63">
            <w:pPr>
              <w:spacing w:after="0" w:line="240" w:lineRule="auto"/>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Year Dummy</w:t>
            </w:r>
          </w:p>
        </w:tc>
        <w:tc>
          <w:tcPr>
            <w:tcW w:w="1293" w:type="dxa"/>
            <w:tcBorders>
              <w:top w:val="nil"/>
              <w:left w:val="nil"/>
              <w:bottom w:val="nil"/>
              <w:right w:val="nil"/>
            </w:tcBorders>
            <w:noWrap/>
            <w:vAlign w:val="bottom"/>
            <w:hideMark/>
          </w:tcPr>
          <w:p w14:paraId="6CB0337E"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Yes</w:t>
            </w:r>
          </w:p>
        </w:tc>
        <w:tc>
          <w:tcPr>
            <w:tcW w:w="1308" w:type="dxa"/>
            <w:tcBorders>
              <w:top w:val="nil"/>
              <w:left w:val="nil"/>
              <w:bottom w:val="nil"/>
              <w:right w:val="nil"/>
            </w:tcBorders>
            <w:noWrap/>
            <w:vAlign w:val="bottom"/>
            <w:hideMark/>
          </w:tcPr>
          <w:p w14:paraId="3EB45439"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Yes</w:t>
            </w:r>
          </w:p>
        </w:tc>
        <w:tc>
          <w:tcPr>
            <w:tcW w:w="1293" w:type="dxa"/>
            <w:tcBorders>
              <w:top w:val="nil"/>
              <w:left w:val="nil"/>
              <w:bottom w:val="nil"/>
              <w:right w:val="nil"/>
            </w:tcBorders>
            <w:noWrap/>
            <w:vAlign w:val="bottom"/>
            <w:hideMark/>
          </w:tcPr>
          <w:p w14:paraId="270FD478"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Yes</w:t>
            </w:r>
          </w:p>
        </w:tc>
        <w:tc>
          <w:tcPr>
            <w:tcW w:w="1421" w:type="dxa"/>
            <w:tcBorders>
              <w:top w:val="nil"/>
              <w:left w:val="nil"/>
              <w:bottom w:val="nil"/>
              <w:right w:val="nil"/>
            </w:tcBorders>
            <w:noWrap/>
            <w:vAlign w:val="bottom"/>
            <w:hideMark/>
          </w:tcPr>
          <w:p w14:paraId="2556B731"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Yes</w:t>
            </w:r>
          </w:p>
        </w:tc>
        <w:tc>
          <w:tcPr>
            <w:tcW w:w="1421" w:type="dxa"/>
            <w:tcBorders>
              <w:top w:val="nil"/>
              <w:left w:val="nil"/>
              <w:bottom w:val="nil"/>
              <w:right w:val="nil"/>
            </w:tcBorders>
            <w:noWrap/>
            <w:vAlign w:val="bottom"/>
            <w:hideMark/>
          </w:tcPr>
          <w:p w14:paraId="0ABEA41A"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Yes</w:t>
            </w:r>
          </w:p>
        </w:tc>
      </w:tr>
      <w:tr w:rsidR="008F7A0E" w:rsidRPr="0074537B" w14:paraId="0313E523" w14:textId="77777777" w:rsidTr="00173A63">
        <w:trPr>
          <w:trHeight w:val="277"/>
        </w:trPr>
        <w:tc>
          <w:tcPr>
            <w:tcW w:w="2407" w:type="dxa"/>
            <w:tcBorders>
              <w:top w:val="nil"/>
              <w:left w:val="nil"/>
              <w:bottom w:val="nil"/>
              <w:right w:val="nil"/>
            </w:tcBorders>
            <w:noWrap/>
            <w:vAlign w:val="bottom"/>
            <w:hideMark/>
          </w:tcPr>
          <w:p w14:paraId="7200061A" w14:textId="77777777" w:rsidR="008F7A0E" w:rsidRPr="0074537B" w:rsidRDefault="008F7A0E" w:rsidP="00173A63">
            <w:pPr>
              <w:spacing w:after="0" w:line="240" w:lineRule="auto"/>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Joint effect</w:t>
            </w:r>
          </w:p>
        </w:tc>
        <w:tc>
          <w:tcPr>
            <w:tcW w:w="1293" w:type="dxa"/>
            <w:tcBorders>
              <w:top w:val="nil"/>
              <w:left w:val="nil"/>
              <w:bottom w:val="nil"/>
              <w:right w:val="nil"/>
            </w:tcBorders>
            <w:noWrap/>
            <w:vAlign w:val="bottom"/>
            <w:hideMark/>
          </w:tcPr>
          <w:p w14:paraId="05F703B1" w14:textId="77777777" w:rsidR="008F7A0E" w:rsidRPr="0074537B" w:rsidRDefault="008F7A0E" w:rsidP="00173A63">
            <w:pPr>
              <w:spacing w:after="0" w:line="240" w:lineRule="auto"/>
              <w:rPr>
                <w:rFonts w:ascii="Times New Roman" w:eastAsia="Times New Roman" w:hAnsi="Times New Roman" w:cs="Times New Roman"/>
                <w:sz w:val="20"/>
                <w:szCs w:val="20"/>
                <w:lang w:val="en-AE" w:eastAsia="en-AE"/>
              </w:rPr>
            </w:pPr>
          </w:p>
        </w:tc>
        <w:tc>
          <w:tcPr>
            <w:tcW w:w="1308" w:type="dxa"/>
            <w:tcBorders>
              <w:top w:val="nil"/>
              <w:left w:val="nil"/>
              <w:bottom w:val="nil"/>
              <w:right w:val="nil"/>
            </w:tcBorders>
            <w:noWrap/>
            <w:vAlign w:val="bottom"/>
            <w:hideMark/>
          </w:tcPr>
          <w:p w14:paraId="705554AC"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293" w:type="dxa"/>
            <w:tcBorders>
              <w:top w:val="nil"/>
              <w:left w:val="nil"/>
              <w:bottom w:val="nil"/>
              <w:right w:val="nil"/>
            </w:tcBorders>
            <w:noWrap/>
            <w:vAlign w:val="bottom"/>
            <w:hideMark/>
          </w:tcPr>
          <w:p w14:paraId="149E2D3E"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421" w:type="dxa"/>
            <w:tcBorders>
              <w:top w:val="nil"/>
              <w:left w:val="nil"/>
              <w:bottom w:val="nil"/>
              <w:right w:val="nil"/>
            </w:tcBorders>
            <w:noWrap/>
            <w:vAlign w:val="bottom"/>
            <w:hideMark/>
          </w:tcPr>
          <w:p w14:paraId="133A6696"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p>
        </w:tc>
        <w:tc>
          <w:tcPr>
            <w:tcW w:w="1421" w:type="dxa"/>
            <w:tcBorders>
              <w:top w:val="nil"/>
              <w:left w:val="nil"/>
              <w:bottom w:val="nil"/>
              <w:right w:val="nil"/>
            </w:tcBorders>
            <w:noWrap/>
            <w:vAlign w:val="bottom"/>
            <w:hideMark/>
          </w:tcPr>
          <w:p w14:paraId="427E51C6" w14:textId="77777777" w:rsidR="008F7A0E" w:rsidRPr="0074537B" w:rsidRDefault="008F7A0E" w:rsidP="00173A63">
            <w:pPr>
              <w:spacing w:after="0" w:line="240" w:lineRule="auto"/>
              <w:jc w:val="center"/>
              <w:rPr>
                <w:rFonts w:ascii="Times New Roman" w:eastAsia="Times New Roman" w:hAnsi="Times New Roman" w:cs="Times New Roman"/>
                <w:color w:val="00B0F0"/>
                <w:sz w:val="20"/>
                <w:szCs w:val="20"/>
                <w:lang w:val="en-AE" w:eastAsia="en-AE"/>
              </w:rPr>
            </w:pPr>
            <w:r w:rsidRPr="0074537B">
              <w:rPr>
                <w:rFonts w:ascii="Times New Roman" w:eastAsia="Times New Roman" w:hAnsi="Times New Roman" w:cs="Times New Roman"/>
                <w:color w:val="00B0F0"/>
                <w:sz w:val="20"/>
                <w:szCs w:val="20"/>
                <w:lang w:val="en-AE" w:eastAsia="en-AE"/>
              </w:rPr>
              <w:t>140.18***</w:t>
            </w:r>
          </w:p>
        </w:tc>
      </w:tr>
      <w:tr w:rsidR="008F7A0E" w:rsidRPr="0074537B" w14:paraId="47BB38D8" w14:textId="77777777" w:rsidTr="00173A63">
        <w:trPr>
          <w:trHeight w:val="277"/>
        </w:trPr>
        <w:tc>
          <w:tcPr>
            <w:tcW w:w="2407" w:type="dxa"/>
            <w:tcBorders>
              <w:top w:val="nil"/>
              <w:left w:val="nil"/>
              <w:bottom w:val="nil"/>
              <w:right w:val="nil"/>
            </w:tcBorders>
            <w:noWrap/>
            <w:vAlign w:val="bottom"/>
            <w:hideMark/>
          </w:tcPr>
          <w:p w14:paraId="2D4A18C7" w14:textId="77777777" w:rsidR="008F7A0E" w:rsidRPr="0074537B" w:rsidRDefault="008F7A0E" w:rsidP="00173A63">
            <w:pPr>
              <w:spacing w:after="0" w:line="240" w:lineRule="auto"/>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Observations</w:t>
            </w:r>
          </w:p>
        </w:tc>
        <w:tc>
          <w:tcPr>
            <w:tcW w:w="1293" w:type="dxa"/>
            <w:tcBorders>
              <w:top w:val="nil"/>
              <w:left w:val="nil"/>
              <w:bottom w:val="nil"/>
              <w:right w:val="nil"/>
            </w:tcBorders>
            <w:noWrap/>
            <w:vAlign w:val="bottom"/>
            <w:hideMark/>
          </w:tcPr>
          <w:p w14:paraId="0EA55274"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168</w:t>
            </w:r>
          </w:p>
        </w:tc>
        <w:tc>
          <w:tcPr>
            <w:tcW w:w="1308" w:type="dxa"/>
            <w:tcBorders>
              <w:top w:val="nil"/>
              <w:left w:val="nil"/>
              <w:bottom w:val="nil"/>
              <w:right w:val="nil"/>
            </w:tcBorders>
            <w:noWrap/>
            <w:vAlign w:val="bottom"/>
            <w:hideMark/>
          </w:tcPr>
          <w:p w14:paraId="7758F38B"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168</w:t>
            </w:r>
          </w:p>
        </w:tc>
        <w:tc>
          <w:tcPr>
            <w:tcW w:w="1293" w:type="dxa"/>
            <w:tcBorders>
              <w:top w:val="nil"/>
              <w:left w:val="nil"/>
              <w:bottom w:val="nil"/>
              <w:right w:val="nil"/>
            </w:tcBorders>
            <w:noWrap/>
            <w:vAlign w:val="bottom"/>
            <w:hideMark/>
          </w:tcPr>
          <w:p w14:paraId="2A841FAC"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168</w:t>
            </w:r>
          </w:p>
        </w:tc>
        <w:tc>
          <w:tcPr>
            <w:tcW w:w="1421" w:type="dxa"/>
            <w:tcBorders>
              <w:top w:val="nil"/>
              <w:left w:val="nil"/>
              <w:bottom w:val="nil"/>
              <w:right w:val="nil"/>
            </w:tcBorders>
            <w:noWrap/>
            <w:vAlign w:val="bottom"/>
            <w:hideMark/>
          </w:tcPr>
          <w:p w14:paraId="29BFCCD9"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168</w:t>
            </w:r>
          </w:p>
        </w:tc>
        <w:tc>
          <w:tcPr>
            <w:tcW w:w="1421" w:type="dxa"/>
            <w:tcBorders>
              <w:top w:val="nil"/>
              <w:left w:val="nil"/>
              <w:bottom w:val="nil"/>
              <w:right w:val="nil"/>
            </w:tcBorders>
            <w:noWrap/>
            <w:vAlign w:val="bottom"/>
            <w:hideMark/>
          </w:tcPr>
          <w:p w14:paraId="3E225F9F"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168</w:t>
            </w:r>
          </w:p>
        </w:tc>
      </w:tr>
      <w:tr w:rsidR="008F7A0E" w:rsidRPr="0074537B" w14:paraId="7D18D161" w14:textId="77777777" w:rsidTr="00173A63">
        <w:trPr>
          <w:trHeight w:val="277"/>
        </w:trPr>
        <w:tc>
          <w:tcPr>
            <w:tcW w:w="2407" w:type="dxa"/>
            <w:tcBorders>
              <w:top w:val="nil"/>
              <w:left w:val="nil"/>
              <w:bottom w:val="single" w:sz="4" w:space="0" w:color="auto"/>
              <w:right w:val="nil"/>
            </w:tcBorders>
            <w:noWrap/>
            <w:vAlign w:val="bottom"/>
            <w:hideMark/>
          </w:tcPr>
          <w:p w14:paraId="74808763" w14:textId="77777777" w:rsidR="008F7A0E" w:rsidRPr="0074537B" w:rsidRDefault="008F7A0E" w:rsidP="00173A63">
            <w:pPr>
              <w:spacing w:after="0" w:line="240" w:lineRule="auto"/>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Number of id_banks</w:t>
            </w:r>
          </w:p>
        </w:tc>
        <w:tc>
          <w:tcPr>
            <w:tcW w:w="1293" w:type="dxa"/>
            <w:tcBorders>
              <w:top w:val="nil"/>
              <w:left w:val="nil"/>
              <w:bottom w:val="single" w:sz="4" w:space="0" w:color="auto"/>
              <w:right w:val="nil"/>
            </w:tcBorders>
            <w:noWrap/>
            <w:vAlign w:val="bottom"/>
            <w:hideMark/>
          </w:tcPr>
          <w:p w14:paraId="01D6E7C4"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12</w:t>
            </w:r>
          </w:p>
        </w:tc>
        <w:tc>
          <w:tcPr>
            <w:tcW w:w="1308" w:type="dxa"/>
            <w:tcBorders>
              <w:top w:val="nil"/>
              <w:left w:val="nil"/>
              <w:bottom w:val="single" w:sz="4" w:space="0" w:color="auto"/>
              <w:right w:val="nil"/>
            </w:tcBorders>
            <w:noWrap/>
            <w:vAlign w:val="bottom"/>
            <w:hideMark/>
          </w:tcPr>
          <w:p w14:paraId="2C85F4FD"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12</w:t>
            </w:r>
          </w:p>
        </w:tc>
        <w:tc>
          <w:tcPr>
            <w:tcW w:w="1293" w:type="dxa"/>
            <w:tcBorders>
              <w:top w:val="nil"/>
              <w:left w:val="nil"/>
              <w:bottom w:val="single" w:sz="4" w:space="0" w:color="auto"/>
              <w:right w:val="nil"/>
            </w:tcBorders>
            <w:noWrap/>
            <w:vAlign w:val="bottom"/>
            <w:hideMark/>
          </w:tcPr>
          <w:p w14:paraId="2A145CE3"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12</w:t>
            </w:r>
          </w:p>
        </w:tc>
        <w:tc>
          <w:tcPr>
            <w:tcW w:w="1421" w:type="dxa"/>
            <w:tcBorders>
              <w:top w:val="nil"/>
              <w:left w:val="nil"/>
              <w:bottom w:val="single" w:sz="4" w:space="0" w:color="auto"/>
              <w:right w:val="nil"/>
            </w:tcBorders>
            <w:noWrap/>
            <w:vAlign w:val="bottom"/>
            <w:hideMark/>
          </w:tcPr>
          <w:p w14:paraId="6A3C4C2D"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12</w:t>
            </w:r>
          </w:p>
        </w:tc>
        <w:tc>
          <w:tcPr>
            <w:tcW w:w="1421" w:type="dxa"/>
            <w:tcBorders>
              <w:top w:val="nil"/>
              <w:left w:val="nil"/>
              <w:bottom w:val="single" w:sz="4" w:space="0" w:color="auto"/>
              <w:right w:val="nil"/>
            </w:tcBorders>
            <w:noWrap/>
            <w:vAlign w:val="bottom"/>
            <w:hideMark/>
          </w:tcPr>
          <w:p w14:paraId="264340C7" w14:textId="77777777" w:rsidR="008F7A0E" w:rsidRPr="0074537B" w:rsidRDefault="008F7A0E" w:rsidP="00173A63">
            <w:pPr>
              <w:spacing w:after="0" w:line="240" w:lineRule="auto"/>
              <w:jc w:val="center"/>
              <w:rPr>
                <w:rFonts w:ascii="Times New Roman" w:eastAsia="Times New Roman" w:hAnsi="Times New Roman" w:cs="Times New Roman"/>
                <w:sz w:val="20"/>
                <w:szCs w:val="20"/>
                <w:lang w:val="en-AE" w:eastAsia="en-AE"/>
              </w:rPr>
            </w:pPr>
            <w:r w:rsidRPr="0074537B">
              <w:rPr>
                <w:rFonts w:ascii="Times New Roman" w:eastAsia="Times New Roman" w:hAnsi="Times New Roman" w:cs="Times New Roman"/>
                <w:sz w:val="20"/>
                <w:szCs w:val="20"/>
                <w:lang w:val="en-AE" w:eastAsia="en-AE"/>
              </w:rPr>
              <w:t>12</w:t>
            </w:r>
          </w:p>
        </w:tc>
      </w:tr>
    </w:tbl>
    <w:p w14:paraId="3C257431" w14:textId="77777777" w:rsidR="00AC0043" w:rsidRPr="00B625A8" w:rsidRDefault="00AC0043" w:rsidP="00B625A8">
      <w:pPr>
        <w:spacing w:line="480" w:lineRule="auto"/>
        <w:jc w:val="center"/>
        <w:rPr>
          <w:rFonts w:ascii="Arial" w:hAnsi="Arial" w:cs="Arial"/>
          <w:i/>
          <w:iCs/>
        </w:rPr>
      </w:pPr>
      <w:r w:rsidRPr="00B625A8">
        <w:rPr>
          <w:rFonts w:ascii="Arial" w:hAnsi="Arial" w:cs="Arial"/>
          <w:i/>
          <w:iCs/>
        </w:rPr>
        <w:t>z-statistics in parentheses. *** p&lt;0.01, ** p&lt;0.05, * p&lt;0.1</w:t>
      </w:r>
    </w:p>
    <w:p w14:paraId="03E762AE" w14:textId="77777777" w:rsidR="00AC0043" w:rsidRPr="00173A63" w:rsidRDefault="0003443A" w:rsidP="00173A63">
      <w:pPr>
        <w:pStyle w:val="Heading1"/>
        <w:spacing w:after="0" w:line="480" w:lineRule="auto"/>
        <w:rPr>
          <w:rFonts w:ascii="Arial" w:hAnsi="Arial" w:cs="Arial"/>
          <w:b/>
          <w:bCs/>
          <w:color w:val="auto"/>
          <w:sz w:val="22"/>
          <w:szCs w:val="22"/>
        </w:rPr>
      </w:pPr>
      <w:r w:rsidRPr="00173A63">
        <w:rPr>
          <w:rFonts w:ascii="Arial" w:hAnsi="Arial" w:cs="Arial"/>
          <w:b/>
          <w:bCs/>
          <w:color w:val="auto"/>
          <w:sz w:val="22"/>
          <w:szCs w:val="22"/>
        </w:rPr>
        <w:lastRenderedPageBreak/>
        <w:t xml:space="preserve">5.0 </w:t>
      </w:r>
      <w:r w:rsidR="00AC0043" w:rsidRPr="00173A63">
        <w:rPr>
          <w:rFonts w:ascii="Arial" w:hAnsi="Arial" w:cs="Arial"/>
          <w:b/>
          <w:bCs/>
          <w:color w:val="auto"/>
          <w:sz w:val="22"/>
          <w:szCs w:val="22"/>
        </w:rPr>
        <w:t>Conclusion</w:t>
      </w:r>
      <w:r w:rsidR="00E10D70" w:rsidRPr="00173A63">
        <w:rPr>
          <w:rFonts w:ascii="Arial" w:hAnsi="Arial" w:cs="Arial"/>
          <w:b/>
          <w:bCs/>
          <w:color w:val="auto"/>
          <w:sz w:val="22"/>
          <w:szCs w:val="22"/>
        </w:rPr>
        <w:t xml:space="preserve"> and Recommendations</w:t>
      </w:r>
    </w:p>
    <w:p w14:paraId="5EC16FBF" w14:textId="77777777" w:rsidR="00E10D70" w:rsidRPr="008F7A0E" w:rsidRDefault="00E10D70" w:rsidP="00E10D70">
      <w:pPr>
        <w:rPr>
          <w:rFonts w:ascii="Arial" w:hAnsi="Arial" w:cs="Arial"/>
        </w:rPr>
      </w:pPr>
      <w:r w:rsidRPr="008F7A0E">
        <w:rPr>
          <w:rFonts w:ascii="Arial" w:hAnsi="Arial" w:cs="Arial"/>
          <w:b/>
        </w:rPr>
        <w:t>5.1</w:t>
      </w:r>
      <w:r w:rsidRPr="008F7A0E">
        <w:rPr>
          <w:rFonts w:ascii="Arial" w:hAnsi="Arial" w:cs="Arial"/>
        </w:rPr>
        <w:t xml:space="preserve"> </w:t>
      </w:r>
      <w:r w:rsidRPr="008F7A0E">
        <w:rPr>
          <w:rFonts w:ascii="Arial" w:hAnsi="Arial" w:cs="Arial"/>
          <w:b/>
        </w:rPr>
        <w:t>Conclusion</w:t>
      </w:r>
    </w:p>
    <w:p w14:paraId="3DE8D79E" w14:textId="77777777" w:rsidR="006E36F3" w:rsidRPr="00B625A8" w:rsidRDefault="006E36F3" w:rsidP="00173A63">
      <w:pPr>
        <w:spacing w:after="0" w:line="480" w:lineRule="auto"/>
        <w:ind w:firstLine="720"/>
        <w:jc w:val="both"/>
        <w:rPr>
          <w:rFonts w:ascii="Arial" w:eastAsia="Times New Roman" w:hAnsi="Arial" w:cs="Arial"/>
        </w:rPr>
      </w:pPr>
      <w:r w:rsidRPr="00B625A8">
        <w:rPr>
          <w:rFonts w:ascii="Arial" w:eastAsia="Times New Roman" w:hAnsi="Arial" w:cs="Arial"/>
        </w:rPr>
        <w:t>Financial institutions, particularly banks, are fundamental to fostering economic growth and development. They serve as a stabilizing force in the financial sector and facilitate the optimal allocation of resources. Recognizing the vital functions of banks helps governments appreciate their contributions to the overall economic health and prosperity of a nation. Numerous studies have e</w:t>
      </w:r>
      <w:r w:rsidR="0003443A">
        <w:rPr>
          <w:rFonts w:ascii="Arial" w:eastAsia="Times New Roman" w:hAnsi="Arial" w:cs="Arial"/>
        </w:rPr>
        <w:t>xplored the relationship among</w:t>
      </w:r>
      <w:r w:rsidRPr="00B625A8">
        <w:rPr>
          <w:rFonts w:ascii="Arial" w:eastAsia="Times New Roman" w:hAnsi="Arial" w:cs="Arial"/>
        </w:rPr>
        <w:t xml:space="preserve"> capital </w:t>
      </w:r>
      <w:r w:rsidR="0003443A">
        <w:rPr>
          <w:rFonts w:ascii="Arial" w:eastAsia="Times New Roman" w:hAnsi="Arial" w:cs="Arial"/>
        </w:rPr>
        <w:t xml:space="preserve">adequacy, liquidity risk, credit risk, and </w:t>
      </w:r>
      <w:r w:rsidRPr="00B625A8">
        <w:rPr>
          <w:rFonts w:ascii="Arial" w:eastAsia="Times New Roman" w:hAnsi="Arial" w:cs="Arial"/>
        </w:rPr>
        <w:t xml:space="preserve">bank performance across various economies, yielding diverse results. This study contributes to the existing discourse by analyzing a balanced panel dataset of 12 Nigerian banks from 2010 to 2023. Utilizing a combination of static panel data methodologies, including </w:t>
      </w:r>
      <w:r w:rsidR="00E10D70" w:rsidRPr="00B625A8">
        <w:rPr>
          <w:rFonts w:ascii="Arial" w:eastAsia="Times New Roman" w:hAnsi="Arial" w:cs="Arial"/>
        </w:rPr>
        <w:t>Panel-Corrected Standard Errors</w:t>
      </w:r>
      <w:r w:rsidRPr="00B625A8">
        <w:rPr>
          <w:rFonts w:ascii="Arial" w:eastAsia="Times New Roman" w:hAnsi="Arial" w:cs="Arial"/>
        </w:rPr>
        <w:t xml:space="preserve"> (PCSE) and </w:t>
      </w:r>
      <w:r w:rsidR="00E10D70" w:rsidRPr="00B625A8">
        <w:rPr>
          <w:rFonts w:ascii="Arial" w:eastAsia="Times New Roman" w:hAnsi="Arial" w:cs="Arial"/>
        </w:rPr>
        <w:t xml:space="preserve">Feasible Generalized Least Squares </w:t>
      </w:r>
      <w:r w:rsidRPr="00B625A8">
        <w:rPr>
          <w:rFonts w:ascii="Arial" w:eastAsia="Times New Roman" w:hAnsi="Arial" w:cs="Arial"/>
        </w:rPr>
        <w:t xml:space="preserve">(FGLS), our analysis provides strong statistical evidence to support the study's hypotheses. </w:t>
      </w:r>
    </w:p>
    <w:p w14:paraId="28A48B16" w14:textId="77777777" w:rsidR="00E10D70" w:rsidRDefault="006E36F3" w:rsidP="00173A63">
      <w:pPr>
        <w:spacing w:after="0" w:line="480" w:lineRule="auto"/>
        <w:ind w:firstLine="720"/>
        <w:jc w:val="both"/>
        <w:rPr>
          <w:rFonts w:ascii="Arial" w:eastAsia="Times New Roman" w:hAnsi="Arial" w:cs="Arial"/>
        </w:rPr>
      </w:pPr>
      <w:r w:rsidRPr="00B625A8">
        <w:rPr>
          <w:rFonts w:ascii="Arial" w:eastAsia="Times New Roman" w:hAnsi="Arial" w:cs="Arial"/>
        </w:rPr>
        <w:t xml:space="preserve">First, our findings indicate a negative and significant relationship between risk-adjusted capital and the performance of Nigerian banks. This suggests that maintaining high regulatory capital buffers may negatively impact profitability, potentially due to the costs associated with holding excess capital or conservative lending practices. Second, our results indicate that liquidity risk adversely affects bank performance, underscoring the importance of effective liquidity management for sustaining profitability. </w:t>
      </w:r>
      <w:r w:rsidR="0001666E" w:rsidRPr="00B625A8">
        <w:rPr>
          <w:rFonts w:ascii="Arial" w:eastAsia="Times New Roman" w:hAnsi="Arial" w:cs="Arial"/>
          <w:color w:val="222222"/>
        </w:rPr>
        <w:t>Third, our analysis demonstrates that credit risk, as indicated by the Z-score, exerts a negative influence on bank performance. This finding corroborates previous empirical evidence</w:t>
      </w:r>
      <w:r w:rsidR="00FA7DE1">
        <w:rPr>
          <w:rFonts w:ascii="Arial" w:eastAsia="Times New Roman" w:hAnsi="Arial" w:cs="Arial"/>
          <w:color w:val="222222"/>
        </w:rPr>
        <w:t>s</w:t>
      </w:r>
      <w:r w:rsidR="0001666E" w:rsidRPr="00B625A8">
        <w:rPr>
          <w:rFonts w:ascii="Arial" w:eastAsia="Times New Roman" w:hAnsi="Arial" w:cs="Arial"/>
          <w:color w:val="222222"/>
        </w:rPr>
        <w:t xml:space="preserve"> and underscores that banks with suboptimal credit portfolios and poorly managed loan assessment systems are less likely to sustain profitability over time.</w:t>
      </w:r>
      <w:r w:rsidRPr="00B625A8">
        <w:rPr>
          <w:rFonts w:ascii="Arial" w:eastAsia="Times New Roman" w:hAnsi="Arial" w:cs="Arial"/>
        </w:rPr>
        <w:t xml:space="preserve"> Finally, addressing the interdependence hypothesis, our results show that credit risk, capital adequacy, and liquidity risk collectively play a significant role in explaining variations in bank performance. Interestingly, our findings reveal that liquidity risk, rather than hindering performance, appears to promote it. This suggests that Nigerian banks may engage in increased risk-taking behavior when their liquidity positions are robust, indicating that understanding </w:t>
      </w:r>
      <w:r w:rsidRPr="00B625A8">
        <w:rPr>
          <w:rFonts w:ascii="Arial" w:eastAsia="Times New Roman" w:hAnsi="Arial" w:cs="Arial"/>
        </w:rPr>
        <w:lastRenderedPageBreak/>
        <w:t xml:space="preserve">profitability may require considering multiple interrelated risk factors. Additionally, we controlled for year-on-year effects to account for fluctuations in inflation and interest rates throughout the study period, and included bank size as a control variable. Our analysis indicates that larger banks may face diminishing marginal returns due to potential inefficiencies linked to their size. </w:t>
      </w:r>
    </w:p>
    <w:p w14:paraId="4B7897CB" w14:textId="77777777" w:rsidR="008F7A0E" w:rsidRPr="008F7A0E" w:rsidRDefault="008F7A0E" w:rsidP="008F7A0E">
      <w:pPr>
        <w:spacing w:after="0" w:line="480" w:lineRule="auto"/>
        <w:jc w:val="both"/>
        <w:rPr>
          <w:rFonts w:ascii="Arial" w:eastAsia="Times New Roman" w:hAnsi="Arial" w:cs="Arial"/>
          <w:b/>
        </w:rPr>
      </w:pPr>
      <w:r w:rsidRPr="008F7A0E">
        <w:rPr>
          <w:rFonts w:ascii="Arial" w:eastAsia="Times New Roman" w:hAnsi="Arial" w:cs="Arial"/>
          <w:b/>
        </w:rPr>
        <w:t>5.2 Recommendations</w:t>
      </w:r>
    </w:p>
    <w:p w14:paraId="6C64278D" w14:textId="77777777" w:rsidR="00AC0043" w:rsidRPr="00B625A8" w:rsidRDefault="008F7A0E" w:rsidP="00E10D70">
      <w:pPr>
        <w:spacing w:line="480" w:lineRule="auto"/>
        <w:ind w:firstLine="720"/>
        <w:jc w:val="both"/>
        <w:rPr>
          <w:rFonts w:ascii="Arial" w:hAnsi="Arial" w:cs="Arial"/>
        </w:rPr>
      </w:pPr>
      <w:r w:rsidRPr="008F7A0E">
        <w:rPr>
          <w:rFonts w:ascii="Arial" w:eastAsia="Times New Roman" w:hAnsi="Arial" w:cs="Arial"/>
        </w:rPr>
        <w:t>In light of the preceding findings, we propose several policy recommendations for governments, financial institutions, and other stakeholders in the economy. First, regulatory bodies like the Central Bank of Nigeria (CBN) should mandate that banks adopt more comprehensive risk management strategies, which incorporate real-time monitoring of credit and liquidity risks.</w:t>
      </w:r>
      <w:r w:rsidR="006E36F3" w:rsidRPr="00B625A8">
        <w:rPr>
          <w:rFonts w:ascii="Arial" w:eastAsia="Times New Roman" w:hAnsi="Arial" w:cs="Arial"/>
        </w:rPr>
        <w:t xml:space="preserve"> This would involve enhancing internal control systems and regularly conducting stress tests to evaluate resilience in adverse conditions. Banks should be encouraged to maintain capital levels above the minimum required thresholds, particularly by bolstering their Tier 1 capital base to better absorb shocks. Moreover, the CBN should implement stricter prudential guidelines to manage credit risk behaviors and prevent excessive risk exposure. To address liquidity risk, banks ought to hold sufficient buffers of high-quality liquid assets consistent with Basel III recommendations and establish contingency funding strategies to manage short-term liquidity challenges. Moreover, capacity-building initiatives should be intensified to equip bank staff with the skills necessary to implement advanced risk detection tools, including data analytics and artificial intelligence. Finally, improving transparency through enhanced disclosure of risk exposures and capital positions will foster market discipline and boost investor confidence. Collectively, these measures will strengthen the stability and performance of Nigerian banks, ensuring their ongoing contribution to the country’s economic and financial development.</w:t>
      </w:r>
    </w:p>
    <w:p w14:paraId="594E4023" w14:textId="77777777" w:rsidR="00AC0043" w:rsidRDefault="00AC0043" w:rsidP="00B625A8">
      <w:pPr>
        <w:spacing w:line="480" w:lineRule="auto"/>
        <w:rPr>
          <w:rFonts w:ascii="Arial" w:hAnsi="Arial" w:cs="Arial"/>
        </w:rPr>
      </w:pPr>
    </w:p>
    <w:p w14:paraId="29FF588E" w14:textId="77777777" w:rsidR="00173A63" w:rsidRDefault="00173A63" w:rsidP="00B625A8">
      <w:pPr>
        <w:spacing w:line="480" w:lineRule="auto"/>
        <w:rPr>
          <w:rFonts w:ascii="Arial" w:hAnsi="Arial" w:cs="Arial"/>
        </w:rPr>
      </w:pPr>
    </w:p>
    <w:p w14:paraId="43F51142" w14:textId="77777777" w:rsidR="00173A63" w:rsidRPr="00B625A8" w:rsidRDefault="00173A63" w:rsidP="00B625A8">
      <w:pPr>
        <w:spacing w:line="480" w:lineRule="auto"/>
        <w:rPr>
          <w:rFonts w:ascii="Arial" w:hAnsi="Arial" w:cs="Arial"/>
        </w:rPr>
      </w:pPr>
    </w:p>
    <w:p w14:paraId="2BA3EA5E" w14:textId="77777777" w:rsidR="00AC0043" w:rsidRPr="00B625A8" w:rsidRDefault="00864057" w:rsidP="00B625A8">
      <w:pPr>
        <w:spacing w:line="480" w:lineRule="auto"/>
        <w:rPr>
          <w:rFonts w:ascii="Arial" w:hAnsi="Arial" w:cs="Arial"/>
          <w:b/>
          <w:bCs/>
        </w:rPr>
      </w:pPr>
      <w:r w:rsidRPr="00B625A8">
        <w:rPr>
          <w:rFonts w:ascii="Arial" w:hAnsi="Arial" w:cs="Arial"/>
          <w:b/>
          <w:bCs/>
        </w:rPr>
        <w:lastRenderedPageBreak/>
        <w:t>References</w:t>
      </w:r>
    </w:p>
    <w:p w14:paraId="4A62E660"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 xml:space="preserve">Abbas, F., Iqbal, S., &amp; Aziz, B. (2019). The impact of bank capital, bank liquidity, and credit risk on profitability in post-crisis </w:t>
      </w:r>
      <w:r w:rsidR="00D17AFA" w:rsidRPr="00D17AFA">
        <w:rPr>
          <w:rFonts w:ascii="Arial" w:hAnsi="Arial" w:cs="Arial"/>
          <w:shd w:val="clear" w:color="auto" w:fill="FFFFFF"/>
        </w:rPr>
        <w:t>period: ‎</w:t>
      </w:r>
      <w:r w:rsidRPr="00D17AFA">
        <w:rPr>
          <w:rFonts w:ascii="Arial" w:hAnsi="Arial" w:cs="Arial"/>
          <w:shd w:val="clear" w:color="auto" w:fill="FFFFFF"/>
        </w:rPr>
        <w:t xml:space="preserve"> A comparative study of US and Asia. </w:t>
      </w:r>
      <w:r w:rsidRPr="00D17AFA">
        <w:rPr>
          <w:rFonts w:ascii="Arial" w:hAnsi="Arial" w:cs="Arial"/>
          <w:i/>
          <w:iCs/>
          <w:shd w:val="clear" w:color="auto" w:fill="FFFFFF"/>
        </w:rPr>
        <w:t>Cogent Economics &amp; Finance</w:t>
      </w:r>
      <w:r w:rsidRPr="00D17AFA">
        <w:rPr>
          <w:rFonts w:ascii="Arial" w:hAnsi="Arial" w:cs="Arial"/>
          <w:shd w:val="clear" w:color="auto" w:fill="FFFFFF"/>
        </w:rPr>
        <w:t>, </w:t>
      </w:r>
      <w:r w:rsidRPr="00D17AFA">
        <w:rPr>
          <w:rFonts w:ascii="Arial" w:hAnsi="Arial" w:cs="Arial"/>
          <w:i/>
          <w:iCs/>
          <w:shd w:val="clear" w:color="auto" w:fill="FFFFFF"/>
        </w:rPr>
        <w:t>7</w:t>
      </w:r>
      <w:r w:rsidRPr="00D17AFA">
        <w:rPr>
          <w:rFonts w:ascii="Arial" w:hAnsi="Arial" w:cs="Arial"/>
          <w:shd w:val="clear" w:color="auto" w:fill="FFFFFF"/>
        </w:rPr>
        <w:t>(1), 1605683.</w:t>
      </w:r>
    </w:p>
    <w:p w14:paraId="4F2CBCA0"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Abbas, M. R., &amp; Ullah, B. (2023). The Impact of Credit and Liquidity Risk on Bank Performance. </w:t>
      </w:r>
      <w:r w:rsidRPr="00D17AFA">
        <w:rPr>
          <w:rFonts w:ascii="Arial" w:hAnsi="Arial" w:cs="Arial"/>
          <w:i/>
          <w:iCs/>
          <w:shd w:val="clear" w:color="auto" w:fill="FFFFFF"/>
        </w:rPr>
        <w:t>Bulletin of Business and Economics (BBE)</w:t>
      </w:r>
      <w:r w:rsidRPr="00D17AFA">
        <w:rPr>
          <w:rFonts w:ascii="Arial" w:hAnsi="Arial" w:cs="Arial"/>
          <w:shd w:val="clear" w:color="auto" w:fill="FFFFFF"/>
        </w:rPr>
        <w:t>, </w:t>
      </w:r>
      <w:r w:rsidRPr="00D17AFA">
        <w:rPr>
          <w:rFonts w:ascii="Arial" w:hAnsi="Arial" w:cs="Arial"/>
          <w:i/>
          <w:iCs/>
          <w:shd w:val="clear" w:color="auto" w:fill="FFFFFF"/>
        </w:rPr>
        <w:t>12</w:t>
      </w:r>
      <w:r w:rsidRPr="00D17AFA">
        <w:rPr>
          <w:rFonts w:ascii="Arial" w:hAnsi="Arial" w:cs="Arial"/>
          <w:shd w:val="clear" w:color="auto" w:fill="FFFFFF"/>
        </w:rPr>
        <w:t>(4), 205-218.</w:t>
      </w:r>
    </w:p>
    <w:p w14:paraId="024D3878"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Abdelaziz, H., Rim, B., &amp; Helmi, H. (2022). The interactional relationships between credit risk, liquidity risk and bank profitability in MENA region. </w:t>
      </w:r>
      <w:r w:rsidRPr="00D17AFA">
        <w:rPr>
          <w:rFonts w:ascii="Arial" w:hAnsi="Arial" w:cs="Arial"/>
          <w:i/>
          <w:iCs/>
          <w:shd w:val="clear" w:color="auto" w:fill="FFFFFF"/>
        </w:rPr>
        <w:t>Global business review</w:t>
      </w:r>
      <w:r w:rsidRPr="00D17AFA">
        <w:rPr>
          <w:rFonts w:ascii="Arial" w:hAnsi="Arial" w:cs="Arial"/>
          <w:shd w:val="clear" w:color="auto" w:fill="FFFFFF"/>
        </w:rPr>
        <w:t>, </w:t>
      </w:r>
      <w:r w:rsidRPr="00D17AFA">
        <w:rPr>
          <w:rFonts w:ascii="Arial" w:hAnsi="Arial" w:cs="Arial"/>
          <w:i/>
          <w:iCs/>
          <w:shd w:val="clear" w:color="auto" w:fill="FFFFFF"/>
        </w:rPr>
        <w:t>23</w:t>
      </w:r>
      <w:r w:rsidRPr="00D17AFA">
        <w:rPr>
          <w:rFonts w:ascii="Arial" w:hAnsi="Arial" w:cs="Arial"/>
          <w:shd w:val="clear" w:color="auto" w:fill="FFFFFF"/>
        </w:rPr>
        <w:t>(3), 561-583.</w:t>
      </w:r>
    </w:p>
    <w:p w14:paraId="677C0E1C" w14:textId="77777777" w:rsidR="00864057" w:rsidRPr="00D17AFA" w:rsidRDefault="00864057" w:rsidP="00B625A8">
      <w:pPr>
        <w:spacing w:after="0" w:line="480" w:lineRule="auto"/>
        <w:ind w:hanging="720"/>
        <w:jc w:val="both"/>
        <w:rPr>
          <w:rFonts w:ascii="Arial" w:hAnsi="Arial" w:cs="Arial"/>
          <w:shd w:val="clear" w:color="auto" w:fill="FFFFFF"/>
        </w:rPr>
      </w:pPr>
      <w:r w:rsidRPr="00D17AFA">
        <w:rPr>
          <w:rFonts w:ascii="Arial" w:hAnsi="Arial" w:cs="Arial"/>
          <w:shd w:val="clear" w:color="auto" w:fill="FFFFFF"/>
        </w:rPr>
        <w:t>Ahmad, I., Salam, S., Ahmad, A., &amp; Abbas, S. (2019). The nexus between credit risk and liquidity risk and their impact on banks financial performance: Evidence from Pakistan. </w:t>
      </w:r>
      <w:r w:rsidRPr="00D17AFA">
        <w:rPr>
          <w:rFonts w:ascii="Arial" w:hAnsi="Arial" w:cs="Arial"/>
          <w:i/>
          <w:iCs/>
          <w:shd w:val="clear" w:color="auto" w:fill="FFFFFF"/>
        </w:rPr>
        <w:t>Sarhad Journal of Management Sciences</w:t>
      </w:r>
      <w:r w:rsidRPr="00D17AFA">
        <w:rPr>
          <w:rFonts w:ascii="Arial" w:hAnsi="Arial" w:cs="Arial"/>
          <w:shd w:val="clear" w:color="auto" w:fill="FFFFFF"/>
        </w:rPr>
        <w:t>, </w:t>
      </w:r>
      <w:r w:rsidRPr="00D17AFA">
        <w:rPr>
          <w:rFonts w:ascii="Arial" w:hAnsi="Arial" w:cs="Arial"/>
          <w:i/>
          <w:iCs/>
          <w:shd w:val="clear" w:color="auto" w:fill="FFFFFF"/>
        </w:rPr>
        <w:t>5</w:t>
      </w:r>
      <w:r w:rsidRPr="00D17AFA">
        <w:rPr>
          <w:rFonts w:ascii="Arial" w:hAnsi="Arial" w:cs="Arial"/>
          <w:shd w:val="clear" w:color="auto" w:fill="FFFFFF"/>
        </w:rPr>
        <w:t>(1), 67-86.</w:t>
      </w:r>
    </w:p>
    <w:p w14:paraId="1D36430F" w14:textId="77777777" w:rsidR="00864057" w:rsidRPr="00D17AFA" w:rsidRDefault="00864057" w:rsidP="00B625A8">
      <w:pPr>
        <w:spacing w:after="0" w:line="480" w:lineRule="auto"/>
        <w:ind w:hanging="720"/>
        <w:jc w:val="both"/>
        <w:rPr>
          <w:rFonts w:ascii="Arial" w:hAnsi="Arial" w:cs="Arial"/>
          <w:shd w:val="clear" w:color="auto" w:fill="FFFFFF"/>
        </w:rPr>
      </w:pPr>
      <w:r w:rsidRPr="00D17AFA">
        <w:rPr>
          <w:rFonts w:ascii="Arial" w:hAnsi="Arial" w:cs="Arial"/>
          <w:shd w:val="clear" w:color="auto" w:fill="FFFFFF"/>
        </w:rPr>
        <w:t>Adegbie, F. F., &amp; Dada, O. T. (2018). Risk assets management, liquidity management and sustainable performance in Nigeria deposit money banks. </w:t>
      </w:r>
      <w:r w:rsidRPr="00D17AFA">
        <w:rPr>
          <w:rFonts w:ascii="Arial" w:hAnsi="Arial" w:cs="Arial"/>
          <w:i/>
          <w:iCs/>
          <w:shd w:val="clear" w:color="auto" w:fill="FFFFFF"/>
        </w:rPr>
        <w:t>International Journal of Accounting Research</w:t>
      </w:r>
      <w:r w:rsidRPr="00D17AFA">
        <w:rPr>
          <w:rFonts w:ascii="Arial" w:hAnsi="Arial" w:cs="Arial"/>
          <w:shd w:val="clear" w:color="auto" w:fill="FFFFFF"/>
        </w:rPr>
        <w:t>, </w:t>
      </w:r>
      <w:r w:rsidRPr="00D17AFA">
        <w:rPr>
          <w:rFonts w:ascii="Arial" w:hAnsi="Arial" w:cs="Arial"/>
          <w:i/>
          <w:iCs/>
          <w:shd w:val="clear" w:color="auto" w:fill="FFFFFF"/>
        </w:rPr>
        <w:t>6</w:t>
      </w:r>
      <w:r w:rsidRPr="00D17AFA">
        <w:rPr>
          <w:rFonts w:ascii="Arial" w:hAnsi="Arial" w:cs="Arial"/>
          <w:shd w:val="clear" w:color="auto" w:fill="FFFFFF"/>
        </w:rPr>
        <w:t>(2), 1-10.</w:t>
      </w:r>
    </w:p>
    <w:p w14:paraId="45B75CBB" w14:textId="77777777" w:rsidR="00864057" w:rsidRPr="00D17AFA" w:rsidRDefault="00864057" w:rsidP="00B625A8">
      <w:pPr>
        <w:spacing w:after="0" w:line="480" w:lineRule="auto"/>
        <w:ind w:hanging="720"/>
        <w:jc w:val="both"/>
        <w:rPr>
          <w:rFonts w:ascii="Arial" w:hAnsi="Arial" w:cs="Arial"/>
          <w:shd w:val="clear" w:color="auto" w:fill="FFFFFF"/>
        </w:rPr>
      </w:pPr>
      <w:r w:rsidRPr="00D17AFA">
        <w:rPr>
          <w:rFonts w:ascii="Arial" w:hAnsi="Arial" w:cs="Arial"/>
          <w:shd w:val="clear" w:color="auto" w:fill="FFFFFF"/>
        </w:rPr>
        <w:t>Ajibike, J. O., &amp; Aremu, O. S. (2015). The Impact of Liquidity on Nigerian Bank Performance: A Dynamic Panel Approach. </w:t>
      </w:r>
      <w:r w:rsidRPr="00D17AFA">
        <w:rPr>
          <w:rFonts w:ascii="Arial" w:hAnsi="Arial" w:cs="Arial"/>
          <w:i/>
          <w:iCs/>
          <w:shd w:val="clear" w:color="auto" w:fill="FFFFFF"/>
        </w:rPr>
        <w:t>Journal of African Macroeconomic Review</w:t>
      </w:r>
      <w:r w:rsidRPr="00D17AFA">
        <w:rPr>
          <w:rFonts w:ascii="Arial" w:hAnsi="Arial" w:cs="Arial"/>
          <w:shd w:val="clear" w:color="auto" w:fill="FFFFFF"/>
        </w:rPr>
        <w:t>, </w:t>
      </w:r>
      <w:r w:rsidRPr="00D17AFA">
        <w:rPr>
          <w:rFonts w:ascii="Arial" w:hAnsi="Arial" w:cs="Arial"/>
          <w:i/>
          <w:iCs/>
          <w:shd w:val="clear" w:color="auto" w:fill="FFFFFF"/>
        </w:rPr>
        <w:t>5</w:t>
      </w:r>
      <w:r w:rsidRPr="00D17AFA">
        <w:rPr>
          <w:rFonts w:ascii="Arial" w:hAnsi="Arial" w:cs="Arial"/>
          <w:shd w:val="clear" w:color="auto" w:fill="FFFFFF"/>
        </w:rPr>
        <w:t>(2), 6-9.</w:t>
      </w:r>
    </w:p>
    <w:p w14:paraId="266D5A50" w14:textId="77777777" w:rsidR="00864057" w:rsidRPr="00D17AFA" w:rsidRDefault="00864057" w:rsidP="00B625A8">
      <w:pPr>
        <w:spacing w:after="0" w:line="480" w:lineRule="auto"/>
        <w:ind w:hanging="720"/>
        <w:jc w:val="both"/>
        <w:rPr>
          <w:rFonts w:ascii="Arial" w:hAnsi="Arial" w:cs="Arial"/>
          <w:shd w:val="clear" w:color="auto" w:fill="FFFFFF"/>
        </w:rPr>
      </w:pPr>
      <w:r w:rsidRPr="00D17AFA">
        <w:rPr>
          <w:rFonts w:ascii="Arial" w:hAnsi="Arial" w:cs="Arial"/>
          <w:shd w:val="clear" w:color="auto" w:fill="FFFFFF"/>
        </w:rPr>
        <w:t>Ali, R., &amp; Ahmed, J. (2024). Venturing into risk management: Examining credit risk and performance in Pakistani commercial banks through panel VAR analysis from a business perspective. </w:t>
      </w:r>
      <w:r w:rsidRPr="00D17AFA">
        <w:rPr>
          <w:rFonts w:ascii="Arial" w:hAnsi="Arial" w:cs="Arial"/>
          <w:i/>
          <w:iCs/>
          <w:shd w:val="clear" w:color="auto" w:fill="FFFFFF"/>
        </w:rPr>
        <w:t>Journal of Entrepreneurship and Business Venturing</w:t>
      </w:r>
      <w:r w:rsidRPr="00D17AFA">
        <w:rPr>
          <w:rFonts w:ascii="Arial" w:hAnsi="Arial" w:cs="Arial"/>
          <w:shd w:val="clear" w:color="auto" w:fill="FFFFFF"/>
        </w:rPr>
        <w:t>, </w:t>
      </w:r>
      <w:r w:rsidRPr="00D17AFA">
        <w:rPr>
          <w:rFonts w:ascii="Arial" w:hAnsi="Arial" w:cs="Arial"/>
          <w:i/>
          <w:iCs/>
          <w:shd w:val="clear" w:color="auto" w:fill="FFFFFF"/>
        </w:rPr>
        <w:t>4</w:t>
      </w:r>
      <w:r w:rsidRPr="00D17AFA">
        <w:rPr>
          <w:rFonts w:ascii="Arial" w:hAnsi="Arial" w:cs="Arial"/>
          <w:shd w:val="clear" w:color="auto" w:fill="FFFFFF"/>
        </w:rPr>
        <w:t>(1).</w:t>
      </w:r>
    </w:p>
    <w:p w14:paraId="4C2E6383" w14:textId="77777777" w:rsidR="00864057" w:rsidRPr="00D17AFA" w:rsidRDefault="00864057" w:rsidP="00B625A8">
      <w:pPr>
        <w:spacing w:after="0" w:line="480" w:lineRule="auto"/>
        <w:ind w:hanging="720"/>
        <w:jc w:val="both"/>
        <w:rPr>
          <w:rFonts w:ascii="Arial" w:hAnsi="Arial" w:cs="Arial"/>
          <w:shd w:val="clear" w:color="auto" w:fill="FFFFFF"/>
        </w:rPr>
      </w:pPr>
      <w:r w:rsidRPr="00D17AFA">
        <w:rPr>
          <w:rFonts w:ascii="Arial" w:hAnsi="Arial" w:cs="Arial"/>
          <w:shd w:val="clear" w:color="auto" w:fill="FFFFFF"/>
        </w:rPr>
        <w:t>Aluko, O. A., Kolapo, F. T., Adeyeye, P. O., &amp; Oladele, P. O. (2019). Impact of financial risks on the profitability of systematically important banks in Nigeria. </w:t>
      </w:r>
      <w:r w:rsidRPr="00D17AFA">
        <w:rPr>
          <w:rFonts w:ascii="Arial" w:hAnsi="Arial" w:cs="Arial"/>
          <w:i/>
          <w:iCs/>
          <w:shd w:val="clear" w:color="auto" w:fill="FFFFFF"/>
        </w:rPr>
        <w:t>Paradigm</w:t>
      </w:r>
      <w:r w:rsidRPr="00D17AFA">
        <w:rPr>
          <w:rFonts w:ascii="Arial" w:hAnsi="Arial" w:cs="Arial"/>
          <w:shd w:val="clear" w:color="auto" w:fill="FFFFFF"/>
        </w:rPr>
        <w:t>, </w:t>
      </w:r>
      <w:r w:rsidRPr="00D17AFA">
        <w:rPr>
          <w:rFonts w:ascii="Arial" w:hAnsi="Arial" w:cs="Arial"/>
          <w:i/>
          <w:iCs/>
          <w:shd w:val="clear" w:color="auto" w:fill="FFFFFF"/>
        </w:rPr>
        <w:t>23</w:t>
      </w:r>
      <w:r w:rsidRPr="00D17AFA">
        <w:rPr>
          <w:rFonts w:ascii="Arial" w:hAnsi="Arial" w:cs="Arial"/>
          <w:shd w:val="clear" w:color="auto" w:fill="FFFFFF"/>
        </w:rPr>
        <w:t>(2), 117-129.</w:t>
      </w:r>
    </w:p>
    <w:p w14:paraId="2AAC7820" w14:textId="77777777" w:rsidR="00864057" w:rsidRPr="00D17AFA" w:rsidRDefault="00864057" w:rsidP="00B625A8">
      <w:pPr>
        <w:spacing w:after="0" w:line="480" w:lineRule="auto"/>
        <w:ind w:hanging="720"/>
        <w:jc w:val="both"/>
        <w:rPr>
          <w:rFonts w:ascii="Arial" w:hAnsi="Arial" w:cs="Arial"/>
          <w:shd w:val="clear" w:color="auto" w:fill="FFFFFF"/>
        </w:rPr>
      </w:pPr>
      <w:r w:rsidRPr="00D17AFA">
        <w:rPr>
          <w:rFonts w:ascii="Arial" w:hAnsi="Arial" w:cs="Arial"/>
          <w:shd w:val="clear" w:color="auto" w:fill="FFFFFF"/>
        </w:rPr>
        <w:t>AlZoubi, M. (2021). Bank capital adequacy: The impact of fundamental and regulatory factors in a developing country. </w:t>
      </w:r>
      <w:r w:rsidRPr="00D17AFA">
        <w:rPr>
          <w:rFonts w:ascii="Arial" w:hAnsi="Arial" w:cs="Arial"/>
          <w:i/>
          <w:iCs/>
          <w:shd w:val="clear" w:color="auto" w:fill="FFFFFF"/>
        </w:rPr>
        <w:t>Journal of Applied Business Research</w:t>
      </w:r>
      <w:r w:rsidRPr="00D17AFA">
        <w:rPr>
          <w:rFonts w:ascii="Arial" w:hAnsi="Arial" w:cs="Arial"/>
          <w:shd w:val="clear" w:color="auto" w:fill="FFFFFF"/>
        </w:rPr>
        <w:t>, </w:t>
      </w:r>
      <w:r w:rsidRPr="00D17AFA">
        <w:rPr>
          <w:rFonts w:ascii="Arial" w:hAnsi="Arial" w:cs="Arial"/>
          <w:i/>
          <w:iCs/>
          <w:shd w:val="clear" w:color="auto" w:fill="FFFFFF"/>
        </w:rPr>
        <w:t>37</w:t>
      </w:r>
      <w:r w:rsidRPr="00D17AFA">
        <w:rPr>
          <w:rFonts w:ascii="Arial" w:hAnsi="Arial" w:cs="Arial"/>
          <w:shd w:val="clear" w:color="auto" w:fill="FFFFFF"/>
        </w:rPr>
        <w:t>(6).</w:t>
      </w:r>
    </w:p>
    <w:p w14:paraId="35892DCE" w14:textId="77777777" w:rsidR="00864057"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Aruwa, S., &amp; Mohammed, N. (2011). Impact of capital adequacy on the financial performance of quoted deposit money banks in Nigeria.”</w:t>
      </w:r>
    </w:p>
    <w:p w14:paraId="6AAF0AEE" w14:textId="77777777" w:rsidR="00D17AFA" w:rsidRPr="00D17AFA" w:rsidRDefault="00D17AFA" w:rsidP="00B625A8">
      <w:pPr>
        <w:autoSpaceDE w:val="0"/>
        <w:autoSpaceDN w:val="0"/>
        <w:adjustRightInd w:val="0"/>
        <w:spacing w:after="0" w:line="480" w:lineRule="auto"/>
        <w:ind w:hanging="720"/>
        <w:jc w:val="both"/>
        <w:rPr>
          <w:rFonts w:ascii="Arial" w:hAnsi="Arial" w:cs="Arial"/>
          <w:shd w:val="clear" w:color="auto" w:fill="FFFFFF"/>
        </w:rPr>
      </w:pPr>
      <w:r>
        <w:rPr>
          <w:rFonts w:ascii="Arial" w:hAnsi="Arial" w:cs="Arial"/>
          <w:color w:val="222222"/>
          <w:sz w:val="20"/>
          <w:szCs w:val="20"/>
          <w:shd w:val="clear" w:color="auto" w:fill="FFFFFF"/>
        </w:rPr>
        <w:lastRenderedPageBreak/>
        <w:t>Bastos e Santos, E., Esho, N., Farag, M., &amp; Zuin, C. (2020). </w:t>
      </w:r>
      <w:r>
        <w:rPr>
          <w:rFonts w:ascii="Arial" w:hAnsi="Arial" w:cs="Arial"/>
          <w:i/>
          <w:iCs/>
          <w:color w:val="222222"/>
          <w:sz w:val="20"/>
          <w:szCs w:val="20"/>
          <w:shd w:val="clear" w:color="auto" w:fill="FFFFFF"/>
        </w:rPr>
        <w:t>Variability in risk-weighted assets: what does the market think?</w:t>
      </w:r>
      <w:r>
        <w:rPr>
          <w:rFonts w:ascii="Arial" w:hAnsi="Arial" w:cs="Arial"/>
          <w:color w:val="222222"/>
          <w:sz w:val="20"/>
          <w:szCs w:val="20"/>
          <w:shd w:val="clear" w:color="auto" w:fill="FFFFFF"/>
        </w:rPr>
        <w:t> (No. 844). Bank for International Settlements.</w:t>
      </w:r>
    </w:p>
    <w:p w14:paraId="58433728"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lang w:val="en-AE"/>
        </w:rPr>
        <w:t>Beck, N., &amp; Katz, J. N. (2010). What to do (and not do) with time-series Criss-section data. </w:t>
      </w:r>
      <w:r w:rsidRPr="00D17AFA">
        <w:rPr>
          <w:rFonts w:ascii="Arial" w:hAnsi="Arial" w:cs="Arial"/>
          <w:i/>
          <w:iCs/>
          <w:lang w:val="en-AE"/>
        </w:rPr>
        <w:t>SSRN Electronic Journal</w:t>
      </w:r>
      <w:r w:rsidRPr="00D17AFA">
        <w:rPr>
          <w:rFonts w:ascii="Arial" w:hAnsi="Arial" w:cs="Arial"/>
          <w:lang w:val="en-AE"/>
        </w:rPr>
        <w:t>. https://doi.org/10.2139/ssrn.1658640</w:t>
      </w:r>
    </w:p>
    <w:p w14:paraId="25A7EC8C"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 xml:space="preserve">Berger, A. N., &amp; Bouwman, C. H. (2013). How does capital affect bank performance during financial </w:t>
      </w:r>
      <w:proofErr w:type="gramStart"/>
      <w:r w:rsidRPr="00D17AFA">
        <w:rPr>
          <w:rFonts w:ascii="Arial" w:hAnsi="Arial" w:cs="Arial"/>
          <w:shd w:val="clear" w:color="auto" w:fill="FFFFFF"/>
        </w:rPr>
        <w:t>crises?.</w:t>
      </w:r>
      <w:proofErr w:type="gramEnd"/>
      <w:r w:rsidRPr="00D17AFA">
        <w:rPr>
          <w:rFonts w:ascii="Arial" w:hAnsi="Arial" w:cs="Arial"/>
          <w:shd w:val="clear" w:color="auto" w:fill="FFFFFF"/>
        </w:rPr>
        <w:t> </w:t>
      </w:r>
      <w:r w:rsidRPr="00D17AFA">
        <w:rPr>
          <w:rFonts w:ascii="Arial" w:hAnsi="Arial" w:cs="Arial"/>
          <w:i/>
          <w:iCs/>
          <w:shd w:val="clear" w:color="auto" w:fill="FFFFFF"/>
        </w:rPr>
        <w:t>Journal of financial economics</w:t>
      </w:r>
      <w:r w:rsidRPr="00D17AFA">
        <w:rPr>
          <w:rFonts w:ascii="Arial" w:hAnsi="Arial" w:cs="Arial"/>
          <w:shd w:val="clear" w:color="auto" w:fill="FFFFFF"/>
        </w:rPr>
        <w:t>, </w:t>
      </w:r>
      <w:r w:rsidRPr="00D17AFA">
        <w:rPr>
          <w:rFonts w:ascii="Arial" w:hAnsi="Arial" w:cs="Arial"/>
          <w:i/>
          <w:iCs/>
          <w:shd w:val="clear" w:color="auto" w:fill="FFFFFF"/>
        </w:rPr>
        <w:t>109</w:t>
      </w:r>
      <w:r w:rsidRPr="00D17AFA">
        <w:rPr>
          <w:rFonts w:ascii="Arial" w:hAnsi="Arial" w:cs="Arial"/>
          <w:shd w:val="clear" w:color="auto" w:fill="FFFFFF"/>
        </w:rPr>
        <w:t>(1), 146-176.</w:t>
      </w:r>
    </w:p>
    <w:p w14:paraId="362A89BB" w14:textId="77777777" w:rsidR="00864057" w:rsidRPr="00D17AFA" w:rsidRDefault="00864057" w:rsidP="00B625A8">
      <w:pPr>
        <w:autoSpaceDE w:val="0"/>
        <w:autoSpaceDN w:val="0"/>
        <w:adjustRightInd w:val="0"/>
        <w:spacing w:after="0" w:line="480" w:lineRule="auto"/>
        <w:ind w:hanging="720"/>
        <w:jc w:val="both"/>
        <w:rPr>
          <w:rFonts w:ascii="Arial" w:hAnsi="Arial" w:cs="Arial"/>
          <w:bCs/>
        </w:rPr>
      </w:pPr>
      <w:r w:rsidRPr="00D17AFA">
        <w:rPr>
          <w:rFonts w:ascii="Arial" w:hAnsi="Arial" w:cs="Arial"/>
        </w:rPr>
        <w:t>Central Bank of Nigeria (2008). Guidance Notes on Regulatory Capital.</w:t>
      </w:r>
    </w:p>
    <w:p w14:paraId="18F2A0BB" w14:textId="77777777" w:rsidR="00864057" w:rsidRPr="00D17AFA" w:rsidRDefault="00864057" w:rsidP="00B625A8">
      <w:pPr>
        <w:autoSpaceDE w:val="0"/>
        <w:autoSpaceDN w:val="0"/>
        <w:adjustRightInd w:val="0"/>
        <w:spacing w:after="0" w:line="480" w:lineRule="auto"/>
        <w:ind w:hanging="720"/>
        <w:jc w:val="both"/>
        <w:rPr>
          <w:rFonts w:ascii="Arial" w:hAnsi="Arial" w:cs="Arial"/>
          <w:bCs/>
        </w:rPr>
      </w:pPr>
      <w:r w:rsidRPr="00D17AFA">
        <w:rPr>
          <w:rFonts w:ascii="Arial" w:hAnsi="Arial" w:cs="Arial"/>
        </w:rPr>
        <w:t xml:space="preserve">Central Bank of Nigeria (2008). </w:t>
      </w:r>
      <w:r w:rsidRPr="00D17AFA">
        <w:rPr>
          <w:rFonts w:ascii="Arial" w:hAnsi="Arial" w:cs="Arial"/>
          <w:bCs/>
        </w:rPr>
        <w:t>Supervisory Framework for Banks and Other Financial Institutions in Nigeria.</w:t>
      </w:r>
    </w:p>
    <w:p w14:paraId="2F0CD896" w14:textId="77777777" w:rsidR="00864057" w:rsidRPr="00D17AFA" w:rsidRDefault="00864057" w:rsidP="00B625A8">
      <w:pPr>
        <w:autoSpaceDE w:val="0"/>
        <w:autoSpaceDN w:val="0"/>
        <w:adjustRightInd w:val="0"/>
        <w:spacing w:after="0" w:line="480" w:lineRule="auto"/>
        <w:ind w:hanging="720"/>
        <w:jc w:val="both"/>
        <w:rPr>
          <w:rFonts w:ascii="Arial" w:hAnsi="Arial" w:cs="Arial"/>
        </w:rPr>
      </w:pPr>
      <w:r w:rsidRPr="00D17AFA">
        <w:rPr>
          <w:rFonts w:ascii="Arial" w:hAnsi="Arial" w:cs="Arial"/>
        </w:rPr>
        <w:t xml:space="preserve">Central Bank of Nigeria (2013). Understanding Monetary Policy </w:t>
      </w:r>
      <w:proofErr w:type="gramStart"/>
      <w:r w:rsidRPr="00D17AFA">
        <w:rPr>
          <w:rFonts w:ascii="Arial" w:hAnsi="Arial" w:cs="Arial"/>
        </w:rPr>
        <w:t>Series</w:t>
      </w:r>
      <w:proofErr w:type="gramEnd"/>
      <w:r w:rsidRPr="00D17AFA">
        <w:rPr>
          <w:rFonts w:ascii="Arial" w:hAnsi="Arial" w:cs="Arial"/>
        </w:rPr>
        <w:t xml:space="preserve"> No 34: Banking System Liquidity, </w:t>
      </w:r>
      <w:r w:rsidRPr="00D17AFA">
        <w:rPr>
          <w:rFonts w:ascii="Arial" w:hAnsi="Arial" w:cs="Arial"/>
          <w:i/>
        </w:rPr>
        <w:t>Monetary Policy Department 10</w:t>
      </w:r>
      <w:r w:rsidRPr="00D17AFA">
        <w:rPr>
          <w:rFonts w:ascii="Arial" w:hAnsi="Arial" w:cs="Arial"/>
          <w:i/>
          <w:vertAlign w:val="superscript"/>
        </w:rPr>
        <w:t>th</w:t>
      </w:r>
      <w:r w:rsidRPr="00D17AFA">
        <w:rPr>
          <w:rFonts w:ascii="Arial" w:hAnsi="Arial" w:cs="Arial"/>
          <w:i/>
        </w:rPr>
        <w:t xml:space="preserve"> anniversary commemorative edition</w:t>
      </w:r>
      <w:r w:rsidRPr="00D17AFA">
        <w:rPr>
          <w:rFonts w:ascii="Arial" w:hAnsi="Arial" w:cs="Arial"/>
        </w:rPr>
        <w:t>.</w:t>
      </w:r>
    </w:p>
    <w:p w14:paraId="1ADDC43E" w14:textId="77777777" w:rsidR="00864057" w:rsidRPr="00D17AFA" w:rsidRDefault="00864057" w:rsidP="00B625A8">
      <w:pPr>
        <w:pStyle w:val="Heading1"/>
        <w:shd w:val="clear" w:color="auto" w:fill="FFFFFF"/>
        <w:spacing w:before="0" w:after="0" w:line="480" w:lineRule="auto"/>
        <w:ind w:hanging="720"/>
        <w:jc w:val="both"/>
        <w:rPr>
          <w:rFonts w:ascii="Arial" w:hAnsi="Arial" w:cs="Arial"/>
          <w:color w:val="auto"/>
          <w:sz w:val="22"/>
          <w:szCs w:val="22"/>
        </w:rPr>
      </w:pPr>
      <w:r w:rsidRPr="00D17AFA">
        <w:rPr>
          <w:rFonts w:ascii="Arial" w:hAnsi="Arial" w:cs="Arial"/>
          <w:color w:val="auto"/>
          <w:sz w:val="22"/>
          <w:szCs w:val="22"/>
          <w:shd w:val="clear" w:color="auto" w:fill="FFFFFF"/>
        </w:rPr>
        <w:t>Chai, Z., Sadiq, M. N., Ali, N., Malik, M., &amp; Hamid, S. A. R. (2022). Bank specific risks and financial stability nexus: Evidence from Pakistan. </w:t>
      </w:r>
      <w:r w:rsidRPr="00D17AFA">
        <w:rPr>
          <w:rFonts w:ascii="Arial" w:hAnsi="Arial" w:cs="Arial"/>
          <w:i/>
          <w:iCs/>
          <w:color w:val="auto"/>
          <w:sz w:val="22"/>
          <w:szCs w:val="22"/>
          <w:shd w:val="clear" w:color="auto" w:fill="FFFFFF"/>
        </w:rPr>
        <w:t>Frontiers in Psychology</w:t>
      </w:r>
      <w:r w:rsidRPr="00D17AFA">
        <w:rPr>
          <w:rFonts w:ascii="Arial" w:hAnsi="Arial" w:cs="Arial"/>
          <w:color w:val="auto"/>
          <w:sz w:val="22"/>
          <w:szCs w:val="22"/>
          <w:shd w:val="clear" w:color="auto" w:fill="FFFFFF"/>
        </w:rPr>
        <w:t>, </w:t>
      </w:r>
      <w:r w:rsidRPr="00D17AFA">
        <w:rPr>
          <w:rFonts w:ascii="Arial" w:hAnsi="Arial" w:cs="Arial"/>
          <w:i/>
          <w:iCs/>
          <w:color w:val="auto"/>
          <w:sz w:val="22"/>
          <w:szCs w:val="22"/>
          <w:shd w:val="clear" w:color="auto" w:fill="FFFFFF"/>
        </w:rPr>
        <w:t>13</w:t>
      </w:r>
      <w:r w:rsidRPr="00D17AFA">
        <w:rPr>
          <w:rFonts w:ascii="Arial" w:hAnsi="Arial" w:cs="Arial"/>
          <w:color w:val="auto"/>
          <w:sz w:val="22"/>
          <w:szCs w:val="22"/>
          <w:shd w:val="clear" w:color="auto" w:fill="FFFFFF"/>
        </w:rPr>
        <w:t>, 909141.</w:t>
      </w:r>
    </w:p>
    <w:p w14:paraId="48BE3885"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Ejoh, N. O., &amp; Iwara, U. U. (2014). The impact of capital adequacy on deposit money banks’ profitability in Nigeria. </w:t>
      </w:r>
      <w:r w:rsidRPr="00D17AFA">
        <w:rPr>
          <w:rFonts w:ascii="Arial" w:hAnsi="Arial" w:cs="Arial"/>
          <w:i/>
          <w:iCs/>
          <w:shd w:val="clear" w:color="auto" w:fill="FFFFFF"/>
        </w:rPr>
        <w:t>Research Journal of Finance and Accounting</w:t>
      </w:r>
      <w:r w:rsidRPr="00D17AFA">
        <w:rPr>
          <w:rFonts w:ascii="Arial" w:hAnsi="Arial" w:cs="Arial"/>
          <w:shd w:val="clear" w:color="auto" w:fill="FFFFFF"/>
        </w:rPr>
        <w:t>, </w:t>
      </w:r>
      <w:r w:rsidRPr="00D17AFA">
        <w:rPr>
          <w:rFonts w:ascii="Arial" w:hAnsi="Arial" w:cs="Arial"/>
          <w:i/>
          <w:iCs/>
          <w:shd w:val="clear" w:color="auto" w:fill="FFFFFF"/>
        </w:rPr>
        <w:t>5</w:t>
      </w:r>
      <w:r w:rsidRPr="00D17AFA">
        <w:rPr>
          <w:rFonts w:ascii="Arial" w:hAnsi="Arial" w:cs="Arial"/>
          <w:shd w:val="clear" w:color="auto" w:fill="FFFFFF"/>
        </w:rPr>
        <w:t>(12), 7-15.</w:t>
      </w:r>
    </w:p>
    <w:p w14:paraId="448B106C"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Eyalsalman, S., Alzubi, K., &amp; Marashdeh, Z. (2024). The impact of IFRS 9, liquidity risk, credit risk and capital on banks’ performance. </w:t>
      </w:r>
      <w:r w:rsidRPr="00D17AFA">
        <w:rPr>
          <w:rFonts w:ascii="Arial" w:hAnsi="Arial" w:cs="Arial"/>
          <w:i/>
          <w:iCs/>
          <w:shd w:val="clear" w:color="auto" w:fill="FFFFFF"/>
        </w:rPr>
        <w:t>Journal of Governance and Regulation/Volume</w:t>
      </w:r>
      <w:r w:rsidRPr="00D17AFA">
        <w:rPr>
          <w:rFonts w:ascii="Arial" w:hAnsi="Arial" w:cs="Arial"/>
          <w:shd w:val="clear" w:color="auto" w:fill="FFFFFF"/>
        </w:rPr>
        <w:t>, </w:t>
      </w:r>
      <w:r w:rsidRPr="00D17AFA">
        <w:rPr>
          <w:rFonts w:ascii="Arial" w:hAnsi="Arial" w:cs="Arial"/>
          <w:i/>
          <w:iCs/>
          <w:shd w:val="clear" w:color="auto" w:fill="FFFFFF"/>
        </w:rPr>
        <w:t>13</w:t>
      </w:r>
      <w:r w:rsidRPr="00D17AFA">
        <w:rPr>
          <w:rFonts w:ascii="Arial" w:hAnsi="Arial" w:cs="Arial"/>
          <w:shd w:val="clear" w:color="auto" w:fill="FFFFFF"/>
        </w:rPr>
        <w:t>(1), 396-404.</w:t>
      </w:r>
    </w:p>
    <w:p w14:paraId="2601CB5D"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Francis, M. E. (2013). Determinants of commercial bank profitability in Sub-Saharan Africa. </w:t>
      </w:r>
      <w:r w:rsidRPr="00D17AFA">
        <w:rPr>
          <w:rFonts w:ascii="Arial" w:hAnsi="Arial" w:cs="Arial"/>
          <w:i/>
          <w:iCs/>
          <w:shd w:val="clear" w:color="auto" w:fill="FFFFFF"/>
        </w:rPr>
        <w:t>International journal of economics and finance</w:t>
      </w:r>
      <w:r w:rsidRPr="00D17AFA">
        <w:rPr>
          <w:rFonts w:ascii="Arial" w:hAnsi="Arial" w:cs="Arial"/>
          <w:shd w:val="clear" w:color="auto" w:fill="FFFFFF"/>
        </w:rPr>
        <w:t>, </w:t>
      </w:r>
      <w:r w:rsidRPr="00D17AFA">
        <w:rPr>
          <w:rFonts w:ascii="Arial" w:hAnsi="Arial" w:cs="Arial"/>
          <w:i/>
          <w:iCs/>
          <w:shd w:val="clear" w:color="auto" w:fill="FFFFFF"/>
        </w:rPr>
        <w:t>5</w:t>
      </w:r>
      <w:r w:rsidRPr="00D17AFA">
        <w:rPr>
          <w:rFonts w:ascii="Arial" w:hAnsi="Arial" w:cs="Arial"/>
          <w:shd w:val="clear" w:color="auto" w:fill="FFFFFF"/>
        </w:rPr>
        <w:t>(9), 134-147.</w:t>
      </w:r>
    </w:p>
    <w:p w14:paraId="2DE3773E"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Haris, M., Yao, H., &amp; Fatima, H. (2024). The impact of liquidity risk and credit risk on bank profitability during COVID-19. </w:t>
      </w:r>
      <w:r w:rsidRPr="00D17AFA">
        <w:rPr>
          <w:rFonts w:ascii="Arial" w:hAnsi="Arial" w:cs="Arial"/>
          <w:i/>
          <w:iCs/>
          <w:shd w:val="clear" w:color="auto" w:fill="FFFFFF"/>
        </w:rPr>
        <w:t>Plos one</w:t>
      </w:r>
      <w:r w:rsidRPr="00D17AFA">
        <w:rPr>
          <w:rFonts w:ascii="Arial" w:hAnsi="Arial" w:cs="Arial"/>
          <w:shd w:val="clear" w:color="auto" w:fill="FFFFFF"/>
        </w:rPr>
        <w:t>, </w:t>
      </w:r>
      <w:r w:rsidRPr="00D17AFA">
        <w:rPr>
          <w:rFonts w:ascii="Arial" w:hAnsi="Arial" w:cs="Arial"/>
          <w:i/>
          <w:iCs/>
          <w:shd w:val="clear" w:color="auto" w:fill="FFFFFF"/>
        </w:rPr>
        <w:t>19</w:t>
      </w:r>
      <w:r w:rsidRPr="00D17AFA">
        <w:rPr>
          <w:rFonts w:ascii="Arial" w:hAnsi="Arial" w:cs="Arial"/>
          <w:shd w:val="clear" w:color="auto" w:fill="FFFFFF"/>
        </w:rPr>
        <w:t>(9), e0308356.</w:t>
      </w:r>
    </w:p>
    <w:p w14:paraId="0A6251CE"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Islam, M. S., &amp; Nishiyama, S. I. (2016). The determinants of bank profitability: dynamic panel evidence from South Asian countries. </w:t>
      </w:r>
      <w:r w:rsidRPr="00D17AFA">
        <w:rPr>
          <w:rFonts w:ascii="Arial" w:hAnsi="Arial" w:cs="Arial"/>
          <w:i/>
          <w:iCs/>
          <w:shd w:val="clear" w:color="auto" w:fill="FFFFFF"/>
        </w:rPr>
        <w:t>Journal of Applied Finance and Banking</w:t>
      </w:r>
      <w:r w:rsidRPr="00D17AFA">
        <w:rPr>
          <w:rFonts w:ascii="Arial" w:hAnsi="Arial" w:cs="Arial"/>
          <w:shd w:val="clear" w:color="auto" w:fill="FFFFFF"/>
        </w:rPr>
        <w:t>, </w:t>
      </w:r>
      <w:r w:rsidRPr="00D17AFA">
        <w:rPr>
          <w:rFonts w:ascii="Arial" w:hAnsi="Arial" w:cs="Arial"/>
          <w:i/>
          <w:iCs/>
          <w:shd w:val="clear" w:color="auto" w:fill="FFFFFF"/>
        </w:rPr>
        <w:t>6</w:t>
      </w:r>
      <w:r w:rsidRPr="00D17AFA">
        <w:rPr>
          <w:rFonts w:ascii="Arial" w:hAnsi="Arial" w:cs="Arial"/>
          <w:shd w:val="clear" w:color="auto" w:fill="FFFFFF"/>
        </w:rPr>
        <w:t>(3), 77.</w:t>
      </w:r>
    </w:p>
    <w:p w14:paraId="78E8FBDD"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Kabir, M. N., Worthington, A., &amp; Gupta, R. (2015). Comparative credit risk in Islamic and conventional bank. </w:t>
      </w:r>
      <w:r w:rsidRPr="00D17AFA">
        <w:rPr>
          <w:rFonts w:ascii="Arial" w:hAnsi="Arial" w:cs="Arial"/>
          <w:i/>
          <w:iCs/>
          <w:shd w:val="clear" w:color="auto" w:fill="FFFFFF"/>
        </w:rPr>
        <w:t>Pacific-Basin Finance Journal</w:t>
      </w:r>
      <w:r w:rsidRPr="00D17AFA">
        <w:rPr>
          <w:rFonts w:ascii="Arial" w:hAnsi="Arial" w:cs="Arial"/>
          <w:shd w:val="clear" w:color="auto" w:fill="FFFFFF"/>
        </w:rPr>
        <w:t>, </w:t>
      </w:r>
      <w:r w:rsidRPr="00D17AFA">
        <w:rPr>
          <w:rFonts w:ascii="Arial" w:hAnsi="Arial" w:cs="Arial"/>
          <w:i/>
          <w:iCs/>
          <w:shd w:val="clear" w:color="auto" w:fill="FFFFFF"/>
        </w:rPr>
        <w:t>34</w:t>
      </w:r>
      <w:r w:rsidRPr="00D17AFA">
        <w:rPr>
          <w:rFonts w:ascii="Arial" w:hAnsi="Arial" w:cs="Arial"/>
          <w:shd w:val="clear" w:color="auto" w:fill="FFFFFF"/>
        </w:rPr>
        <w:t>, 327-353.</w:t>
      </w:r>
    </w:p>
    <w:p w14:paraId="1D1337B0" w14:textId="77777777" w:rsidR="00864057" w:rsidRPr="00D17AFA" w:rsidRDefault="00864057" w:rsidP="00B625A8">
      <w:pPr>
        <w:spacing w:after="0" w:line="480" w:lineRule="auto"/>
        <w:ind w:hanging="720"/>
        <w:jc w:val="both"/>
        <w:rPr>
          <w:rFonts w:ascii="Arial" w:hAnsi="Arial" w:cs="Arial"/>
          <w:shd w:val="clear" w:color="auto" w:fill="FFFFFF"/>
        </w:rPr>
      </w:pPr>
      <w:r w:rsidRPr="00D17AFA">
        <w:rPr>
          <w:rFonts w:ascii="Arial" w:hAnsi="Arial" w:cs="Arial"/>
          <w:shd w:val="clear" w:color="auto" w:fill="FFFFFF"/>
        </w:rPr>
        <w:t>Kargi, H. S. (2011). Credit risk and the performance of Nigerian banks. </w:t>
      </w:r>
      <w:r w:rsidRPr="00D17AFA">
        <w:rPr>
          <w:rFonts w:ascii="Arial" w:hAnsi="Arial" w:cs="Arial"/>
          <w:i/>
          <w:iCs/>
          <w:shd w:val="clear" w:color="auto" w:fill="FFFFFF"/>
        </w:rPr>
        <w:t>Ahmadu Bello University, Zaria</w:t>
      </w:r>
      <w:r w:rsidRPr="00D17AFA">
        <w:rPr>
          <w:rFonts w:ascii="Arial" w:hAnsi="Arial" w:cs="Arial"/>
          <w:shd w:val="clear" w:color="auto" w:fill="FFFFFF"/>
        </w:rPr>
        <w:t>.</w:t>
      </w:r>
    </w:p>
    <w:p w14:paraId="054C0BB8" w14:textId="77777777" w:rsidR="00864057" w:rsidRPr="00D17AFA" w:rsidRDefault="00864057" w:rsidP="00B625A8">
      <w:pPr>
        <w:spacing w:after="0" w:line="480" w:lineRule="auto"/>
        <w:ind w:hanging="720"/>
        <w:jc w:val="both"/>
        <w:rPr>
          <w:rFonts w:ascii="Arial" w:hAnsi="Arial" w:cs="Arial"/>
          <w:shd w:val="clear" w:color="auto" w:fill="FFFFFF"/>
        </w:rPr>
      </w:pPr>
      <w:r w:rsidRPr="00D17AFA">
        <w:rPr>
          <w:rFonts w:ascii="Arial" w:hAnsi="Arial" w:cs="Arial"/>
          <w:shd w:val="clear" w:color="auto" w:fill="FFFFFF"/>
        </w:rPr>
        <w:lastRenderedPageBreak/>
        <w:t>Khalid, M. S., Rashed, M., &amp; Hossain, A. (2019). The Impact of Liquidity Risk on Banking Performance: Evidence from the Emerging Market. </w:t>
      </w:r>
      <w:r w:rsidRPr="00D17AFA">
        <w:rPr>
          <w:rFonts w:ascii="Arial" w:hAnsi="Arial" w:cs="Arial"/>
          <w:i/>
          <w:iCs/>
          <w:shd w:val="clear" w:color="auto" w:fill="FFFFFF"/>
        </w:rPr>
        <w:t>Global Journal of Management and Business Research</w:t>
      </w:r>
      <w:r w:rsidRPr="00D17AFA">
        <w:rPr>
          <w:rFonts w:ascii="Arial" w:hAnsi="Arial" w:cs="Arial"/>
          <w:shd w:val="clear" w:color="auto" w:fill="FFFFFF"/>
        </w:rPr>
        <w:t>.</w:t>
      </w:r>
    </w:p>
    <w:p w14:paraId="516A4ED6"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Katata, K. S., &amp; Nwaigwe, K. O. (2016). Nigerian Deposit Insurance Corporation (NDIC) Quarterly vol. 30 no. 4 2016 articles.</w:t>
      </w:r>
    </w:p>
    <w:p w14:paraId="765F3C09"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Lee, C. C., &amp; Hsieh, M. F. (2013). The impact of bank capital on profitability and risk in Asian banking. </w:t>
      </w:r>
      <w:r w:rsidRPr="00D17AFA">
        <w:rPr>
          <w:rFonts w:ascii="Arial" w:hAnsi="Arial" w:cs="Arial"/>
          <w:i/>
          <w:iCs/>
          <w:shd w:val="clear" w:color="auto" w:fill="FFFFFF"/>
        </w:rPr>
        <w:t>Journal of international money and finance</w:t>
      </w:r>
      <w:r w:rsidRPr="00D17AFA">
        <w:rPr>
          <w:rFonts w:ascii="Arial" w:hAnsi="Arial" w:cs="Arial"/>
          <w:shd w:val="clear" w:color="auto" w:fill="FFFFFF"/>
        </w:rPr>
        <w:t>, </w:t>
      </w:r>
      <w:r w:rsidRPr="00D17AFA">
        <w:rPr>
          <w:rFonts w:ascii="Arial" w:hAnsi="Arial" w:cs="Arial"/>
          <w:i/>
          <w:iCs/>
          <w:shd w:val="clear" w:color="auto" w:fill="FFFFFF"/>
        </w:rPr>
        <w:t>32</w:t>
      </w:r>
      <w:r w:rsidRPr="00D17AFA">
        <w:rPr>
          <w:rFonts w:ascii="Arial" w:hAnsi="Arial" w:cs="Arial"/>
          <w:shd w:val="clear" w:color="auto" w:fill="FFFFFF"/>
        </w:rPr>
        <w:t>, 251-281.</w:t>
      </w:r>
    </w:p>
    <w:p w14:paraId="3E8F0C5F" w14:textId="77777777" w:rsidR="00864057" w:rsidRPr="00D17AFA" w:rsidRDefault="00864057" w:rsidP="00B625A8">
      <w:pPr>
        <w:pStyle w:val="Heading1"/>
        <w:spacing w:before="0" w:after="0" w:line="480" w:lineRule="auto"/>
        <w:ind w:hanging="720"/>
        <w:jc w:val="both"/>
        <w:rPr>
          <w:rFonts w:ascii="Arial" w:hAnsi="Arial" w:cs="Arial"/>
          <w:b/>
          <w:color w:val="auto"/>
          <w:sz w:val="22"/>
          <w:szCs w:val="22"/>
          <w:shd w:val="clear" w:color="auto" w:fill="FFFFFF"/>
        </w:rPr>
      </w:pPr>
      <w:r w:rsidRPr="00D17AFA">
        <w:rPr>
          <w:rFonts w:ascii="Arial" w:hAnsi="Arial" w:cs="Arial"/>
          <w:color w:val="auto"/>
          <w:sz w:val="22"/>
          <w:szCs w:val="22"/>
          <w:shd w:val="clear" w:color="auto" w:fill="FFFFFF"/>
        </w:rPr>
        <w:t>Ly, K. C. (2015). Liquidity risk, regulation, and bank performance: Evidence from European banks. </w:t>
      </w:r>
      <w:r w:rsidRPr="00D17AFA">
        <w:rPr>
          <w:rFonts w:ascii="Arial" w:hAnsi="Arial" w:cs="Arial"/>
          <w:i/>
          <w:iCs/>
          <w:color w:val="auto"/>
          <w:sz w:val="22"/>
          <w:szCs w:val="22"/>
          <w:shd w:val="clear" w:color="auto" w:fill="FFFFFF"/>
        </w:rPr>
        <w:t>Global Economy and Finance Journal</w:t>
      </w:r>
      <w:r w:rsidRPr="00D17AFA">
        <w:rPr>
          <w:rFonts w:ascii="Arial" w:hAnsi="Arial" w:cs="Arial"/>
          <w:color w:val="auto"/>
          <w:sz w:val="22"/>
          <w:szCs w:val="22"/>
          <w:shd w:val="clear" w:color="auto" w:fill="FFFFFF"/>
        </w:rPr>
        <w:t>, </w:t>
      </w:r>
      <w:r w:rsidRPr="00D17AFA">
        <w:rPr>
          <w:rFonts w:ascii="Arial" w:hAnsi="Arial" w:cs="Arial"/>
          <w:i/>
          <w:iCs/>
          <w:color w:val="auto"/>
          <w:sz w:val="22"/>
          <w:szCs w:val="22"/>
          <w:shd w:val="clear" w:color="auto" w:fill="FFFFFF"/>
        </w:rPr>
        <w:t>8</w:t>
      </w:r>
      <w:r w:rsidRPr="00D17AFA">
        <w:rPr>
          <w:rFonts w:ascii="Arial" w:hAnsi="Arial" w:cs="Arial"/>
          <w:color w:val="auto"/>
          <w:sz w:val="22"/>
          <w:szCs w:val="22"/>
          <w:shd w:val="clear" w:color="auto" w:fill="FFFFFF"/>
        </w:rPr>
        <w:t>(1), 11-33.</w:t>
      </w:r>
    </w:p>
    <w:p w14:paraId="10DA6FF5"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Mendoza, R., &amp; Rivera, J. P. R. (2017). The effect of credit risk and capital adequacy on the profitability of rural banks in the Philippines. </w:t>
      </w:r>
      <w:r w:rsidRPr="00D17AFA">
        <w:rPr>
          <w:rFonts w:ascii="Arial" w:hAnsi="Arial" w:cs="Arial"/>
          <w:i/>
          <w:iCs/>
          <w:shd w:val="clear" w:color="auto" w:fill="FFFFFF"/>
        </w:rPr>
        <w:t>Annals of the Alexandru Ioan Cuza University-Economics</w:t>
      </w:r>
      <w:r w:rsidRPr="00D17AFA">
        <w:rPr>
          <w:rFonts w:ascii="Arial" w:hAnsi="Arial" w:cs="Arial"/>
          <w:shd w:val="clear" w:color="auto" w:fill="FFFFFF"/>
        </w:rPr>
        <w:t>, </w:t>
      </w:r>
      <w:r w:rsidRPr="00D17AFA">
        <w:rPr>
          <w:rFonts w:ascii="Arial" w:hAnsi="Arial" w:cs="Arial"/>
          <w:i/>
          <w:iCs/>
          <w:shd w:val="clear" w:color="auto" w:fill="FFFFFF"/>
        </w:rPr>
        <w:t>64</w:t>
      </w:r>
      <w:r w:rsidRPr="00D17AFA">
        <w:rPr>
          <w:rFonts w:ascii="Arial" w:hAnsi="Arial" w:cs="Arial"/>
          <w:shd w:val="clear" w:color="auto" w:fill="FFFFFF"/>
        </w:rPr>
        <w:t>(1), 83-96.</w:t>
      </w:r>
    </w:p>
    <w:p w14:paraId="2705BC82"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Mousa, M., Judit, S., &amp; Zeman, Z. (2018). THE IMPACT OF CREDIT AND CAPITAL RISK ON THE BANKING PERFORMANCE: EVIDENCE FROM SYRIA. </w:t>
      </w:r>
      <w:r w:rsidRPr="00D17AFA">
        <w:rPr>
          <w:rFonts w:ascii="Arial" w:hAnsi="Arial" w:cs="Arial"/>
          <w:i/>
          <w:iCs/>
          <w:shd w:val="clear" w:color="auto" w:fill="FFFFFF"/>
        </w:rPr>
        <w:t>Management (16487974)</w:t>
      </w:r>
      <w:r w:rsidRPr="00D17AFA">
        <w:rPr>
          <w:rFonts w:ascii="Arial" w:hAnsi="Arial" w:cs="Arial"/>
          <w:shd w:val="clear" w:color="auto" w:fill="FFFFFF"/>
        </w:rPr>
        <w:t>, </w:t>
      </w:r>
      <w:r w:rsidRPr="00D17AFA">
        <w:rPr>
          <w:rFonts w:ascii="Arial" w:hAnsi="Arial" w:cs="Arial"/>
          <w:i/>
          <w:iCs/>
          <w:shd w:val="clear" w:color="auto" w:fill="FFFFFF"/>
        </w:rPr>
        <w:t>32</w:t>
      </w:r>
      <w:r w:rsidRPr="00D17AFA">
        <w:rPr>
          <w:rFonts w:ascii="Arial" w:hAnsi="Arial" w:cs="Arial"/>
          <w:shd w:val="clear" w:color="auto" w:fill="FFFFFF"/>
        </w:rPr>
        <w:t>(1).</w:t>
      </w:r>
    </w:p>
    <w:p w14:paraId="221D8B0A"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Olalekan, A., &amp; Adeyinka, S. (2013). Capital adequacy and banks’ profitability: an empirical evidence from Nigeria. </w:t>
      </w:r>
      <w:r w:rsidRPr="00D17AFA">
        <w:rPr>
          <w:rFonts w:ascii="Arial" w:hAnsi="Arial" w:cs="Arial"/>
          <w:i/>
          <w:iCs/>
          <w:shd w:val="clear" w:color="auto" w:fill="FFFFFF"/>
        </w:rPr>
        <w:t>American International Journal of Contemporary Research</w:t>
      </w:r>
      <w:r w:rsidRPr="00D17AFA">
        <w:rPr>
          <w:rFonts w:ascii="Arial" w:hAnsi="Arial" w:cs="Arial"/>
          <w:shd w:val="clear" w:color="auto" w:fill="FFFFFF"/>
        </w:rPr>
        <w:t>, </w:t>
      </w:r>
      <w:r w:rsidRPr="00D17AFA">
        <w:rPr>
          <w:rFonts w:ascii="Arial" w:hAnsi="Arial" w:cs="Arial"/>
          <w:i/>
          <w:iCs/>
          <w:shd w:val="clear" w:color="auto" w:fill="FFFFFF"/>
        </w:rPr>
        <w:t>3</w:t>
      </w:r>
      <w:r w:rsidRPr="00D17AFA">
        <w:rPr>
          <w:rFonts w:ascii="Arial" w:hAnsi="Arial" w:cs="Arial"/>
          <w:shd w:val="clear" w:color="auto" w:fill="FFFFFF"/>
        </w:rPr>
        <w:t>(10), 87-93.</w:t>
      </w:r>
    </w:p>
    <w:p w14:paraId="626BC0DE" w14:textId="77777777" w:rsidR="00864057"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Onaolapo, A. A., &amp; Olufemi, A. E. (2012). Effect of capital adequacy on the profitability of the Nigerian banking sector. </w:t>
      </w:r>
      <w:r w:rsidRPr="00D17AFA">
        <w:rPr>
          <w:rFonts w:ascii="Arial" w:hAnsi="Arial" w:cs="Arial"/>
          <w:i/>
          <w:iCs/>
          <w:shd w:val="clear" w:color="auto" w:fill="FFFFFF"/>
        </w:rPr>
        <w:t>Journal of money, investment and banking</w:t>
      </w:r>
      <w:r w:rsidRPr="00D17AFA">
        <w:rPr>
          <w:rFonts w:ascii="Arial" w:hAnsi="Arial" w:cs="Arial"/>
          <w:shd w:val="clear" w:color="auto" w:fill="FFFFFF"/>
        </w:rPr>
        <w:t>, </w:t>
      </w:r>
      <w:r w:rsidRPr="00D17AFA">
        <w:rPr>
          <w:rFonts w:ascii="Arial" w:hAnsi="Arial" w:cs="Arial"/>
          <w:i/>
          <w:iCs/>
          <w:shd w:val="clear" w:color="auto" w:fill="FFFFFF"/>
        </w:rPr>
        <w:t>24</w:t>
      </w:r>
      <w:r w:rsidRPr="00D17AFA">
        <w:rPr>
          <w:rFonts w:ascii="Arial" w:hAnsi="Arial" w:cs="Arial"/>
          <w:shd w:val="clear" w:color="auto" w:fill="FFFFFF"/>
        </w:rPr>
        <w:t>, 62-72.</w:t>
      </w:r>
    </w:p>
    <w:p w14:paraId="5AD2F45D" w14:textId="77777777" w:rsidR="00D17AFA" w:rsidRPr="00D17AFA" w:rsidRDefault="00D17AFA" w:rsidP="00B625A8">
      <w:pPr>
        <w:autoSpaceDE w:val="0"/>
        <w:autoSpaceDN w:val="0"/>
        <w:adjustRightInd w:val="0"/>
        <w:spacing w:after="0" w:line="480" w:lineRule="auto"/>
        <w:ind w:hanging="720"/>
        <w:jc w:val="both"/>
        <w:rPr>
          <w:rFonts w:ascii="Arial" w:hAnsi="Arial" w:cs="Arial"/>
          <w:shd w:val="clear" w:color="auto" w:fill="FFFFFF"/>
        </w:rPr>
      </w:pPr>
      <w:r>
        <w:rPr>
          <w:rFonts w:ascii="Arial" w:hAnsi="Arial" w:cs="Arial"/>
          <w:color w:val="222222"/>
          <w:sz w:val="20"/>
          <w:szCs w:val="20"/>
          <w:shd w:val="clear" w:color="auto" w:fill="FFFFFF"/>
        </w:rPr>
        <w:t>Owusu-Boafo, R., Obeng, E., &amp; ADDO, J. Y. (2020). The Relationship Between Credit Risk Management and the Profitability of Banks in Ghana. </w:t>
      </w:r>
      <w:r>
        <w:rPr>
          <w:rFonts w:ascii="Arial" w:hAnsi="Arial" w:cs="Arial"/>
          <w:i/>
          <w:iCs/>
          <w:color w:val="222222"/>
          <w:sz w:val="20"/>
          <w:szCs w:val="20"/>
          <w:shd w:val="clear" w:color="auto" w:fill="FFFFFF"/>
        </w:rPr>
        <w:t>Economic Studies &amp; Analyses/Acta VSFS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(2)</w:t>
      </w:r>
    </w:p>
    <w:p w14:paraId="69F58D51"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lang w:val="en-AE"/>
        </w:rPr>
        <w:t>Pesaran, M. Hashem. (2004). General diagnostic tests for cross section dependence in panels. </w:t>
      </w:r>
      <w:r w:rsidRPr="00D17AFA">
        <w:rPr>
          <w:rFonts w:ascii="Arial" w:hAnsi="Arial" w:cs="Arial"/>
          <w:i/>
          <w:iCs/>
          <w:lang w:val="en-AE"/>
        </w:rPr>
        <w:t>SSRN Electronic Journal</w:t>
      </w:r>
      <w:r w:rsidRPr="00D17AFA">
        <w:rPr>
          <w:rFonts w:ascii="Arial" w:hAnsi="Arial" w:cs="Arial"/>
          <w:lang w:val="en-AE"/>
        </w:rPr>
        <w:t>. https://doi.org/10.2139/ssrn.572504</w:t>
      </w:r>
    </w:p>
    <w:p w14:paraId="0C3B4E18"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lang w:val="en-AE"/>
        </w:rPr>
        <w:t>Pesaran, M. H. (2007). </w:t>
      </w:r>
      <w:r w:rsidRPr="00D17AFA">
        <w:rPr>
          <w:rFonts w:ascii="Arial" w:hAnsi="Arial" w:cs="Arial"/>
          <w:i/>
          <w:iCs/>
          <w:lang w:val="en-AE"/>
        </w:rPr>
        <w:t>A Simple unit root test in the presence of crosssection dependence</w:t>
      </w:r>
      <w:r w:rsidRPr="00D17AFA">
        <w:rPr>
          <w:rFonts w:ascii="Arial" w:hAnsi="Arial" w:cs="Arial"/>
          <w:lang w:val="en-AE"/>
        </w:rPr>
        <w:t>.</w:t>
      </w:r>
    </w:p>
    <w:p w14:paraId="5A2FB740" w14:textId="77777777" w:rsidR="001D2C4E" w:rsidRPr="00D17AFA" w:rsidRDefault="001D2C4E" w:rsidP="00B625A8">
      <w:pPr>
        <w:pStyle w:val="Default"/>
        <w:spacing w:line="480" w:lineRule="auto"/>
        <w:ind w:hanging="720"/>
        <w:jc w:val="both"/>
        <w:rPr>
          <w:rFonts w:ascii="Arial" w:hAnsi="Arial" w:cs="Arial"/>
          <w:color w:val="auto"/>
          <w:sz w:val="22"/>
          <w:szCs w:val="22"/>
          <w:shd w:val="clear" w:color="auto" w:fill="FFFFFF"/>
        </w:rPr>
      </w:pPr>
      <w:r w:rsidRPr="00D17AFA">
        <w:rPr>
          <w:rFonts w:ascii="Arial" w:hAnsi="Arial" w:cs="Arial"/>
          <w:color w:val="auto"/>
          <w:sz w:val="20"/>
          <w:szCs w:val="20"/>
          <w:shd w:val="clear" w:color="auto" w:fill="FFFFFF"/>
        </w:rPr>
        <w:t>Imani, A., &amp; Pracoyo, A. (2018). Analysis of the effect of capital, credit risk, and liquidity risk on profitability in banks. </w:t>
      </w:r>
      <w:r w:rsidRPr="00D17AFA">
        <w:rPr>
          <w:rFonts w:ascii="Arial" w:hAnsi="Arial" w:cs="Arial"/>
          <w:i/>
          <w:iCs/>
          <w:color w:val="auto"/>
          <w:sz w:val="20"/>
          <w:szCs w:val="20"/>
          <w:shd w:val="clear" w:color="auto" w:fill="FFFFFF"/>
        </w:rPr>
        <w:t>Jurnal Ilmu Manajemen &amp; Ekonomika</w:t>
      </w:r>
      <w:r w:rsidRPr="00D17AFA">
        <w:rPr>
          <w:rFonts w:ascii="Arial" w:hAnsi="Arial" w:cs="Arial"/>
          <w:color w:val="auto"/>
          <w:sz w:val="20"/>
          <w:szCs w:val="20"/>
          <w:shd w:val="clear" w:color="auto" w:fill="FFFFFF"/>
        </w:rPr>
        <w:t>, </w:t>
      </w:r>
      <w:r w:rsidRPr="00D17AFA">
        <w:rPr>
          <w:rFonts w:ascii="Arial" w:hAnsi="Arial" w:cs="Arial"/>
          <w:i/>
          <w:iCs/>
          <w:color w:val="auto"/>
          <w:sz w:val="20"/>
          <w:szCs w:val="20"/>
          <w:shd w:val="clear" w:color="auto" w:fill="FFFFFF"/>
        </w:rPr>
        <w:t>10</w:t>
      </w:r>
      <w:r w:rsidRPr="00D17AFA">
        <w:rPr>
          <w:rFonts w:ascii="Arial" w:hAnsi="Arial" w:cs="Arial"/>
          <w:color w:val="auto"/>
          <w:sz w:val="20"/>
          <w:szCs w:val="20"/>
          <w:shd w:val="clear" w:color="auto" w:fill="FFFFFF"/>
        </w:rPr>
        <w:t>(2), 44-50.</w:t>
      </w:r>
    </w:p>
    <w:p w14:paraId="7395E57E" w14:textId="77777777" w:rsidR="00864057" w:rsidRPr="00D17AFA" w:rsidRDefault="00864057" w:rsidP="00B625A8">
      <w:pPr>
        <w:pStyle w:val="Default"/>
        <w:spacing w:line="480" w:lineRule="auto"/>
        <w:ind w:hanging="720"/>
        <w:jc w:val="both"/>
        <w:rPr>
          <w:rFonts w:ascii="Arial" w:hAnsi="Arial" w:cs="Arial"/>
          <w:color w:val="auto"/>
          <w:sz w:val="22"/>
          <w:szCs w:val="22"/>
          <w:shd w:val="clear" w:color="auto" w:fill="FFFFFF"/>
        </w:rPr>
      </w:pPr>
      <w:r w:rsidRPr="00D17AFA">
        <w:rPr>
          <w:rFonts w:ascii="Arial" w:hAnsi="Arial" w:cs="Arial"/>
          <w:color w:val="auto"/>
          <w:sz w:val="22"/>
          <w:szCs w:val="22"/>
          <w:shd w:val="clear" w:color="auto" w:fill="FFFFFF"/>
        </w:rPr>
        <w:lastRenderedPageBreak/>
        <w:t>Razermera, T., Brijlal, P., &amp; Jwara, N. (2024). The Impact of Risk Management on Banks’ Profitability: A South African Perspective. </w:t>
      </w:r>
      <w:r w:rsidRPr="00D17AFA">
        <w:rPr>
          <w:rFonts w:ascii="Arial" w:hAnsi="Arial" w:cs="Arial"/>
          <w:i/>
          <w:iCs/>
          <w:color w:val="auto"/>
          <w:sz w:val="22"/>
          <w:szCs w:val="22"/>
          <w:shd w:val="clear" w:color="auto" w:fill="FFFFFF"/>
        </w:rPr>
        <w:t>International Journal of Economics and Financial Issues</w:t>
      </w:r>
      <w:r w:rsidRPr="00D17AFA">
        <w:rPr>
          <w:rFonts w:ascii="Arial" w:hAnsi="Arial" w:cs="Arial"/>
          <w:color w:val="auto"/>
          <w:sz w:val="22"/>
          <w:szCs w:val="22"/>
          <w:shd w:val="clear" w:color="auto" w:fill="FFFFFF"/>
        </w:rPr>
        <w:t>, </w:t>
      </w:r>
      <w:r w:rsidRPr="00D17AFA">
        <w:rPr>
          <w:rFonts w:ascii="Arial" w:hAnsi="Arial" w:cs="Arial"/>
          <w:i/>
          <w:iCs/>
          <w:color w:val="auto"/>
          <w:sz w:val="22"/>
          <w:szCs w:val="22"/>
          <w:shd w:val="clear" w:color="auto" w:fill="FFFFFF"/>
        </w:rPr>
        <w:t>14</w:t>
      </w:r>
      <w:r w:rsidRPr="00D17AFA">
        <w:rPr>
          <w:rFonts w:ascii="Arial" w:hAnsi="Arial" w:cs="Arial"/>
          <w:color w:val="auto"/>
          <w:sz w:val="22"/>
          <w:szCs w:val="22"/>
          <w:shd w:val="clear" w:color="auto" w:fill="FFFFFF"/>
        </w:rPr>
        <w:t>(4), 56-65.</w:t>
      </w:r>
    </w:p>
    <w:p w14:paraId="58920B68" w14:textId="77777777" w:rsidR="00864057" w:rsidRPr="00D17AFA" w:rsidRDefault="00864057" w:rsidP="00173A63">
      <w:pPr>
        <w:pStyle w:val="Heading2"/>
        <w:pBdr>
          <w:bottom w:val="single" w:sz="6" w:space="7" w:color="EEEEEE"/>
        </w:pBdr>
        <w:shd w:val="clear" w:color="auto" w:fill="FFFFFF"/>
        <w:spacing w:line="480" w:lineRule="auto"/>
        <w:ind w:hanging="720"/>
        <w:jc w:val="both"/>
        <w:rPr>
          <w:rFonts w:ascii="Arial" w:hAnsi="Arial" w:cs="Arial"/>
          <w:color w:val="auto"/>
          <w:sz w:val="22"/>
          <w:szCs w:val="22"/>
          <w:shd w:val="clear" w:color="auto" w:fill="FFFFFF"/>
        </w:rPr>
      </w:pPr>
      <w:r w:rsidRPr="00D17AFA">
        <w:rPr>
          <w:rFonts w:ascii="Arial" w:hAnsi="Arial" w:cs="Arial"/>
          <w:color w:val="auto"/>
          <w:sz w:val="22"/>
          <w:szCs w:val="22"/>
          <w:shd w:val="clear" w:color="auto" w:fill="FFFFFF"/>
        </w:rPr>
        <w:t>Rifqah, A. S., &amp; Hassan, H. H. (2019). The relationship between bank’s credit risk, liquidity, and capital adequacy towards its profitability in Indonesia. </w:t>
      </w:r>
      <w:r w:rsidRPr="00D17AFA">
        <w:rPr>
          <w:rFonts w:ascii="Arial" w:hAnsi="Arial" w:cs="Arial"/>
          <w:i/>
          <w:iCs/>
          <w:color w:val="auto"/>
          <w:sz w:val="22"/>
          <w:szCs w:val="22"/>
          <w:shd w:val="clear" w:color="auto" w:fill="FFFFFF"/>
        </w:rPr>
        <w:t>International Journal of Recent Technology and Engineering</w:t>
      </w:r>
      <w:r w:rsidRPr="00D17AFA">
        <w:rPr>
          <w:rFonts w:ascii="Arial" w:hAnsi="Arial" w:cs="Arial"/>
          <w:color w:val="auto"/>
          <w:sz w:val="22"/>
          <w:szCs w:val="22"/>
          <w:shd w:val="clear" w:color="auto" w:fill="FFFFFF"/>
        </w:rPr>
        <w:t>, </w:t>
      </w:r>
      <w:r w:rsidRPr="00D17AFA">
        <w:rPr>
          <w:rFonts w:ascii="Arial" w:hAnsi="Arial" w:cs="Arial"/>
          <w:i/>
          <w:iCs/>
          <w:color w:val="auto"/>
          <w:sz w:val="22"/>
          <w:szCs w:val="22"/>
          <w:shd w:val="clear" w:color="auto" w:fill="FFFFFF"/>
        </w:rPr>
        <w:t>7</w:t>
      </w:r>
      <w:r w:rsidRPr="00D17AFA">
        <w:rPr>
          <w:rFonts w:ascii="Arial" w:hAnsi="Arial" w:cs="Arial"/>
          <w:color w:val="auto"/>
          <w:sz w:val="22"/>
          <w:szCs w:val="22"/>
          <w:shd w:val="clear" w:color="auto" w:fill="FFFFFF"/>
        </w:rPr>
        <w:t>(5), 225-237.</w:t>
      </w:r>
    </w:p>
    <w:p w14:paraId="75CC7FB3"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Riyanto, D., &amp; Surjandari, D. A. (2018). The Effect Analysis Risk of Credit, Liquidity, and Capital on Banking Profitability. </w:t>
      </w:r>
      <w:r w:rsidRPr="00D17AFA">
        <w:rPr>
          <w:rFonts w:ascii="Arial" w:hAnsi="Arial" w:cs="Arial"/>
          <w:i/>
          <w:iCs/>
          <w:shd w:val="clear" w:color="auto" w:fill="FFFFFF"/>
        </w:rPr>
        <w:t>Global Journal of Management and Business Research</w:t>
      </w:r>
      <w:r w:rsidRPr="00D17AFA">
        <w:rPr>
          <w:rFonts w:ascii="Arial" w:hAnsi="Arial" w:cs="Arial"/>
          <w:shd w:val="clear" w:color="auto" w:fill="FFFFFF"/>
        </w:rPr>
        <w:t>.</w:t>
      </w:r>
    </w:p>
    <w:p w14:paraId="414BFDF3"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Saleh, I., &amp; Abu Afifa, M. (2020). The effect of credit risk, liquidity risk and bank capital on bank profitability: Evidence from an emerging market. </w:t>
      </w:r>
      <w:r w:rsidRPr="00D17AFA">
        <w:rPr>
          <w:rFonts w:ascii="Arial" w:hAnsi="Arial" w:cs="Arial"/>
          <w:i/>
          <w:iCs/>
          <w:shd w:val="clear" w:color="auto" w:fill="FFFFFF"/>
        </w:rPr>
        <w:t>Cogent Economics &amp; Finance</w:t>
      </w:r>
      <w:r w:rsidRPr="00D17AFA">
        <w:rPr>
          <w:rFonts w:ascii="Arial" w:hAnsi="Arial" w:cs="Arial"/>
          <w:shd w:val="clear" w:color="auto" w:fill="FFFFFF"/>
        </w:rPr>
        <w:t>, </w:t>
      </w:r>
      <w:r w:rsidRPr="00D17AFA">
        <w:rPr>
          <w:rFonts w:ascii="Arial" w:hAnsi="Arial" w:cs="Arial"/>
          <w:i/>
          <w:iCs/>
          <w:shd w:val="clear" w:color="auto" w:fill="FFFFFF"/>
        </w:rPr>
        <w:t>8</w:t>
      </w:r>
      <w:r w:rsidRPr="00D17AFA">
        <w:rPr>
          <w:rFonts w:ascii="Arial" w:hAnsi="Arial" w:cs="Arial"/>
          <w:shd w:val="clear" w:color="auto" w:fill="FFFFFF"/>
        </w:rPr>
        <w:t>(1), 1814509.</w:t>
      </w:r>
    </w:p>
    <w:p w14:paraId="1B5A19F0"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Septiarini, D. F., Hisan, U. C., Matsahri, D. F., &amp; Filianti, D. (2021). Capital Buffer, Risk, Profitability, Size, and Macroeconomics: Empirical Study on Islamic Banks. </w:t>
      </w:r>
      <w:r w:rsidRPr="00D17AFA">
        <w:rPr>
          <w:rFonts w:ascii="Arial" w:hAnsi="Arial" w:cs="Arial"/>
          <w:i/>
          <w:iCs/>
          <w:shd w:val="clear" w:color="auto" w:fill="FFFFFF"/>
        </w:rPr>
        <w:t>Al-Iqtishad: Jurnal Ilmu Ekonomi Syariah (Journal of Islamic Economics)</w:t>
      </w:r>
      <w:r w:rsidRPr="00D17AFA">
        <w:rPr>
          <w:rFonts w:ascii="Arial" w:hAnsi="Arial" w:cs="Arial"/>
          <w:shd w:val="clear" w:color="auto" w:fill="FFFFFF"/>
        </w:rPr>
        <w:t>, </w:t>
      </w:r>
      <w:r w:rsidRPr="00D17AFA">
        <w:rPr>
          <w:rFonts w:ascii="Arial" w:hAnsi="Arial" w:cs="Arial"/>
          <w:i/>
          <w:iCs/>
          <w:shd w:val="clear" w:color="auto" w:fill="FFFFFF"/>
        </w:rPr>
        <w:t>13</w:t>
      </w:r>
      <w:r w:rsidRPr="00D17AFA">
        <w:rPr>
          <w:rFonts w:ascii="Arial" w:hAnsi="Arial" w:cs="Arial"/>
          <w:shd w:val="clear" w:color="auto" w:fill="FFFFFF"/>
        </w:rPr>
        <w:t>(1), 171-190.</w:t>
      </w:r>
    </w:p>
    <w:p w14:paraId="6AA1CAAD" w14:textId="77777777" w:rsidR="00864057" w:rsidRPr="00D17AFA" w:rsidRDefault="00864057" w:rsidP="00B625A8">
      <w:pPr>
        <w:spacing w:after="0" w:line="480" w:lineRule="auto"/>
        <w:ind w:hanging="720"/>
        <w:jc w:val="both"/>
        <w:rPr>
          <w:rFonts w:ascii="Arial" w:hAnsi="Arial" w:cs="Arial"/>
          <w:shd w:val="clear" w:color="auto" w:fill="FFFFFF"/>
        </w:rPr>
      </w:pPr>
      <w:r w:rsidRPr="00D17AFA">
        <w:rPr>
          <w:rFonts w:ascii="Arial" w:hAnsi="Arial" w:cs="Arial"/>
          <w:shd w:val="clear" w:color="auto" w:fill="FFFFFF"/>
        </w:rPr>
        <w:t>Susan, J. K., &amp; Nasieku, T. (2016). Effect of Capital on the Financial Performance of Commercial Banks in Kenya. </w:t>
      </w:r>
      <w:r w:rsidRPr="00D17AFA">
        <w:rPr>
          <w:rFonts w:ascii="Arial" w:hAnsi="Arial" w:cs="Arial"/>
          <w:i/>
          <w:iCs/>
          <w:shd w:val="clear" w:color="auto" w:fill="FFFFFF"/>
        </w:rPr>
        <w:t>Asian Journal of Business and Management</w:t>
      </w:r>
      <w:r w:rsidRPr="00D17AFA">
        <w:rPr>
          <w:rFonts w:ascii="Arial" w:hAnsi="Arial" w:cs="Arial"/>
          <w:shd w:val="clear" w:color="auto" w:fill="FFFFFF"/>
        </w:rPr>
        <w:t>, </w:t>
      </w:r>
      <w:r w:rsidRPr="00D17AFA">
        <w:rPr>
          <w:rFonts w:ascii="Arial" w:hAnsi="Arial" w:cs="Arial"/>
          <w:i/>
          <w:iCs/>
          <w:shd w:val="clear" w:color="auto" w:fill="FFFFFF"/>
        </w:rPr>
        <w:t>4</w:t>
      </w:r>
      <w:r w:rsidRPr="00D17AFA">
        <w:rPr>
          <w:rFonts w:ascii="Arial" w:hAnsi="Arial" w:cs="Arial"/>
          <w:shd w:val="clear" w:color="auto" w:fill="FFFFFF"/>
        </w:rPr>
        <w:t>(5).</w:t>
      </w:r>
    </w:p>
    <w:p w14:paraId="5BE93B6B" w14:textId="77777777" w:rsidR="00864057" w:rsidRPr="00D17AFA" w:rsidRDefault="00864057" w:rsidP="00B625A8">
      <w:pPr>
        <w:spacing w:after="0" w:line="480" w:lineRule="auto"/>
        <w:ind w:hanging="720"/>
        <w:jc w:val="both"/>
        <w:rPr>
          <w:rFonts w:ascii="Arial" w:hAnsi="Arial" w:cs="Arial"/>
          <w:shd w:val="clear" w:color="auto" w:fill="FFFFFF"/>
        </w:rPr>
      </w:pPr>
      <w:r w:rsidRPr="00D17AFA">
        <w:rPr>
          <w:rFonts w:ascii="Arial" w:hAnsi="Arial" w:cs="Arial"/>
          <w:shd w:val="clear" w:color="auto" w:fill="FFFFFF"/>
        </w:rPr>
        <w:t>Udenwa, T. A., Abdul, Z. H., &amp; Oyinaka, A. D. (2023). Effect of Prudency Guidelines on Nigeria Deposit Money Banks Performance. </w:t>
      </w:r>
      <w:r w:rsidRPr="00D17AFA">
        <w:rPr>
          <w:rFonts w:ascii="Arial" w:hAnsi="Arial" w:cs="Arial"/>
          <w:i/>
          <w:iCs/>
          <w:shd w:val="clear" w:color="auto" w:fill="FFFFFF"/>
        </w:rPr>
        <w:t>Journal of Business Development and Management Research</w:t>
      </w:r>
      <w:r w:rsidRPr="00D17AFA">
        <w:rPr>
          <w:rFonts w:ascii="Arial" w:hAnsi="Arial" w:cs="Arial"/>
          <w:shd w:val="clear" w:color="auto" w:fill="FFFFFF"/>
        </w:rPr>
        <w:t>.</w:t>
      </w:r>
    </w:p>
    <w:p w14:paraId="1D995948" w14:textId="77777777" w:rsidR="00864057" w:rsidRPr="00D17AFA" w:rsidRDefault="00864057" w:rsidP="00B625A8">
      <w:pPr>
        <w:autoSpaceDE w:val="0"/>
        <w:autoSpaceDN w:val="0"/>
        <w:adjustRightInd w:val="0"/>
        <w:spacing w:after="0" w:line="480" w:lineRule="auto"/>
        <w:ind w:hanging="720"/>
        <w:jc w:val="both"/>
        <w:rPr>
          <w:rFonts w:ascii="Arial" w:hAnsi="Arial" w:cs="Arial"/>
          <w:shd w:val="clear" w:color="auto" w:fill="FFFFFF"/>
        </w:rPr>
      </w:pPr>
      <w:r w:rsidRPr="00D17AFA">
        <w:rPr>
          <w:rFonts w:ascii="Arial" w:hAnsi="Arial" w:cs="Arial"/>
          <w:shd w:val="clear" w:color="auto" w:fill="FFFFFF"/>
        </w:rPr>
        <w:t>Westerlund, J. (2007). Testing for error correction in panel data. </w:t>
      </w:r>
      <w:r w:rsidRPr="00D17AFA">
        <w:rPr>
          <w:rFonts w:ascii="Arial" w:hAnsi="Arial" w:cs="Arial"/>
          <w:i/>
          <w:iCs/>
          <w:shd w:val="clear" w:color="auto" w:fill="FFFFFF"/>
        </w:rPr>
        <w:t>Oxford Bulletin of Economics and statistics</w:t>
      </w:r>
      <w:r w:rsidRPr="00D17AFA">
        <w:rPr>
          <w:rFonts w:ascii="Arial" w:hAnsi="Arial" w:cs="Arial"/>
          <w:shd w:val="clear" w:color="auto" w:fill="FFFFFF"/>
        </w:rPr>
        <w:t>, </w:t>
      </w:r>
      <w:r w:rsidRPr="00D17AFA">
        <w:rPr>
          <w:rFonts w:ascii="Arial" w:hAnsi="Arial" w:cs="Arial"/>
          <w:i/>
          <w:iCs/>
          <w:shd w:val="clear" w:color="auto" w:fill="FFFFFF"/>
        </w:rPr>
        <w:t>69</w:t>
      </w:r>
      <w:r w:rsidRPr="00D17AFA">
        <w:rPr>
          <w:rFonts w:ascii="Arial" w:hAnsi="Arial" w:cs="Arial"/>
          <w:shd w:val="clear" w:color="auto" w:fill="FFFFFF"/>
        </w:rPr>
        <w:t>(6), 709-748.</w:t>
      </w:r>
    </w:p>
    <w:p w14:paraId="1F02D7BB" w14:textId="77777777" w:rsidR="00864057" w:rsidRPr="00D17AFA" w:rsidRDefault="00864057" w:rsidP="00B625A8">
      <w:pPr>
        <w:spacing w:line="480" w:lineRule="auto"/>
        <w:rPr>
          <w:rFonts w:ascii="Arial" w:hAnsi="Arial" w:cs="Arial"/>
          <w:b/>
          <w:bCs/>
        </w:rPr>
      </w:pPr>
    </w:p>
    <w:sectPr w:rsidR="00864057" w:rsidRPr="00D17A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40A43" w14:textId="77777777" w:rsidR="007639CA" w:rsidRDefault="007639CA" w:rsidP="00E77C09">
      <w:pPr>
        <w:spacing w:after="0" w:line="240" w:lineRule="auto"/>
      </w:pPr>
      <w:r>
        <w:separator/>
      </w:r>
    </w:p>
  </w:endnote>
  <w:endnote w:type="continuationSeparator" w:id="0">
    <w:p w14:paraId="74A131C2" w14:textId="77777777" w:rsidR="007639CA" w:rsidRDefault="007639CA" w:rsidP="00E7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RWQMXQ+TimesNewRomanPSMT">
    <w:altName w:val="Times New Roman"/>
    <w:charset w:val="A2"/>
    <w:family w:val="roman"/>
    <w:pitch w:val="default"/>
    <w:sig w:usb0="00000005" w:usb1="00000000" w:usb2="00000000" w:usb3="00000000" w:csb0="0000001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3617" w14:textId="77777777" w:rsidR="00E77C09" w:rsidRDefault="00E77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37FB" w14:textId="77777777" w:rsidR="00E77C09" w:rsidRDefault="00E77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753F3" w14:textId="77777777" w:rsidR="00E77C09" w:rsidRDefault="00E77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B390" w14:textId="77777777" w:rsidR="007639CA" w:rsidRDefault="007639CA" w:rsidP="00E77C09">
      <w:pPr>
        <w:spacing w:after="0" w:line="240" w:lineRule="auto"/>
      </w:pPr>
      <w:r>
        <w:separator/>
      </w:r>
    </w:p>
  </w:footnote>
  <w:footnote w:type="continuationSeparator" w:id="0">
    <w:p w14:paraId="3E3ECB6E" w14:textId="77777777" w:rsidR="007639CA" w:rsidRDefault="007639CA" w:rsidP="00E77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A9ED" w14:textId="1C90F720" w:rsidR="00E77C09" w:rsidRDefault="00E77C09">
    <w:pPr>
      <w:pStyle w:val="Header"/>
    </w:pPr>
    <w:r>
      <w:rPr>
        <w:noProof/>
      </w:rPr>
      <w:pict w14:anchorId="2E08A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15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26ED" w14:textId="3D55AD2A" w:rsidR="00E77C09" w:rsidRDefault="00E77C09">
    <w:pPr>
      <w:pStyle w:val="Header"/>
    </w:pPr>
    <w:r>
      <w:rPr>
        <w:noProof/>
      </w:rPr>
      <w:pict w14:anchorId="079A1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15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3DBB" w14:textId="6BED3666" w:rsidR="00E77C09" w:rsidRDefault="00E77C09">
    <w:pPr>
      <w:pStyle w:val="Header"/>
    </w:pPr>
    <w:r>
      <w:rPr>
        <w:noProof/>
      </w:rPr>
      <w:pict w14:anchorId="028CB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15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11B08"/>
    <w:multiLevelType w:val="multilevel"/>
    <w:tmpl w:val="8A3C80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28375F"/>
    <w:multiLevelType w:val="multilevel"/>
    <w:tmpl w:val="DD5CB9B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45D53612"/>
    <w:multiLevelType w:val="multilevel"/>
    <w:tmpl w:val="FD2E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761D81"/>
    <w:multiLevelType w:val="multilevel"/>
    <w:tmpl w:val="3A5EBC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9317727"/>
    <w:multiLevelType w:val="multilevel"/>
    <w:tmpl w:val="C798A83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41"/>
    <w:rsid w:val="00003F1A"/>
    <w:rsid w:val="0001666E"/>
    <w:rsid w:val="0003443A"/>
    <w:rsid w:val="0004666F"/>
    <w:rsid w:val="0004791D"/>
    <w:rsid w:val="00054144"/>
    <w:rsid w:val="000578A7"/>
    <w:rsid w:val="00063CA8"/>
    <w:rsid w:val="000644BE"/>
    <w:rsid w:val="0006717C"/>
    <w:rsid w:val="00081357"/>
    <w:rsid w:val="00087240"/>
    <w:rsid w:val="000976FC"/>
    <w:rsid w:val="000B18BE"/>
    <w:rsid w:val="000C1B78"/>
    <w:rsid w:val="00173A63"/>
    <w:rsid w:val="001951B1"/>
    <w:rsid w:val="001B38E0"/>
    <w:rsid w:val="001B6BAD"/>
    <w:rsid w:val="001D2C4E"/>
    <w:rsid w:val="00204DFC"/>
    <w:rsid w:val="00224BD8"/>
    <w:rsid w:val="0023385A"/>
    <w:rsid w:val="00234A07"/>
    <w:rsid w:val="00236A6A"/>
    <w:rsid w:val="002375D2"/>
    <w:rsid w:val="002546EB"/>
    <w:rsid w:val="0028284B"/>
    <w:rsid w:val="0029651B"/>
    <w:rsid w:val="002D4D89"/>
    <w:rsid w:val="002E3EFE"/>
    <w:rsid w:val="002E436C"/>
    <w:rsid w:val="003024B5"/>
    <w:rsid w:val="00322031"/>
    <w:rsid w:val="003243F1"/>
    <w:rsid w:val="00326EF6"/>
    <w:rsid w:val="00355763"/>
    <w:rsid w:val="0037406E"/>
    <w:rsid w:val="00377C7E"/>
    <w:rsid w:val="003941A8"/>
    <w:rsid w:val="003B06C5"/>
    <w:rsid w:val="003C13FF"/>
    <w:rsid w:val="003C1488"/>
    <w:rsid w:val="003C5D41"/>
    <w:rsid w:val="003D708B"/>
    <w:rsid w:val="003E4DE7"/>
    <w:rsid w:val="003F5241"/>
    <w:rsid w:val="00421800"/>
    <w:rsid w:val="00427D87"/>
    <w:rsid w:val="004863C2"/>
    <w:rsid w:val="00493503"/>
    <w:rsid w:val="004961D3"/>
    <w:rsid w:val="004C6CEC"/>
    <w:rsid w:val="004D1CAF"/>
    <w:rsid w:val="004F0ABE"/>
    <w:rsid w:val="004F2741"/>
    <w:rsid w:val="00503C87"/>
    <w:rsid w:val="00555185"/>
    <w:rsid w:val="00557B09"/>
    <w:rsid w:val="0056712B"/>
    <w:rsid w:val="00570B35"/>
    <w:rsid w:val="0058253B"/>
    <w:rsid w:val="005B1731"/>
    <w:rsid w:val="005E588C"/>
    <w:rsid w:val="005F20CE"/>
    <w:rsid w:val="005F2B29"/>
    <w:rsid w:val="005F335D"/>
    <w:rsid w:val="0060435F"/>
    <w:rsid w:val="00614138"/>
    <w:rsid w:val="00615475"/>
    <w:rsid w:val="00622463"/>
    <w:rsid w:val="006323CB"/>
    <w:rsid w:val="006432F9"/>
    <w:rsid w:val="006457BE"/>
    <w:rsid w:val="00697AB2"/>
    <w:rsid w:val="006C0BAD"/>
    <w:rsid w:val="006C0D53"/>
    <w:rsid w:val="006C2C5B"/>
    <w:rsid w:val="006C5A5F"/>
    <w:rsid w:val="006D7E06"/>
    <w:rsid w:val="006E3274"/>
    <w:rsid w:val="006E36F3"/>
    <w:rsid w:val="007075A6"/>
    <w:rsid w:val="00710B04"/>
    <w:rsid w:val="007158DB"/>
    <w:rsid w:val="007639CA"/>
    <w:rsid w:val="00783E11"/>
    <w:rsid w:val="00795D9F"/>
    <w:rsid w:val="00797108"/>
    <w:rsid w:val="007F054C"/>
    <w:rsid w:val="00810EFA"/>
    <w:rsid w:val="00826035"/>
    <w:rsid w:val="00834720"/>
    <w:rsid w:val="00835DB2"/>
    <w:rsid w:val="0083772E"/>
    <w:rsid w:val="00841235"/>
    <w:rsid w:val="008446E4"/>
    <w:rsid w:val="00860ACB"/>
    <w:rsid w:val="00864057"/>
    <w:rsid w:val="00877BF1"/>
    <w:rsid w:val="0089014A"/>
    <w:rsid w:val="008A4551"/>
    <w:rsid w:val="008D39B7"/>
    <w:rsid w:val="008F7A0E"/>
    <w:rsid w:val="009127A9"/>
    <w:rsid w:val="009226D5"/>
    <w:rsid w:val="00940E31"/>
    <w:rsid w:val="00943461"/>
    <w:rsid w:val="0096134E"/>
    <w:rsid w:val="00981A2A"/>
    <w:rsid w:val="00982D00"/>
    <w:rsid w:val="00993186"/>
    <w:rsid w:val="009F27EF"/>
    <w:rsid w:val="009F3C8E"/>
    <w:rsid w:val="009F3FE3"/>
    <w:rsid w:val="009F5E53"/>
    <w:rsid w:val="00A07B21"/>
    <w:rsid w:val="00A220B7"/>
    <w:rsid w:val="00A24A55"/>
    <w:rsid w:val="00A65FF9"/>
    <w:rsid w:val="00A67A4E"/>
    <w:rsid w:val="00A7192B"/>
    <w:rsid w:val="00A71CA8"/>
    <w:rsid w:val="00A74438"/>
    <w:rsid w:val="00A94DA5"/>
    <w:rsid w:val="00A960C2"/>
    <w:rsid w:val="00AB1B79"/>
    <w:rsid w:val="00AB2CF1"/>
    <w:rsid w:val="00AC0043"/>
    <w:rsid w:val="00AC5509"/>
    <w:rsid w:val="00B330CE"/>
    <w:rsid w:val="00B52455"/>
    <w:rsid w:val="00B625A8"/>
    <w:rsid w:val="00B67A89"/>
    <w:rsid w:val="00B733D8"/>
    <w:rsid w:val="00B754F4"/>
    <w:rsid w:val="00B871F7"/>
    <w:rsid w:val="00BA22B4"/>
    <w:rsid w:val="00BF4F20"/>
    <w:rsid w:val="00C1587F"/>
    <w:rsid w:val="00C20D08"/>
    <w:rsid w:val="00C375A3"/>
    <w:rsid w:val="00C40282"/>
    <w:rsid w:val="00C50D54"/>
    <w:rsid w:val="00C649B6"/>
    <w:rsid w:val="00C9034D"/>
    <w:rsid w:val="00D14747"/>
    <w:rsid w:val="00D17AFA"/>
    <w:rsid w:val="00D273D5"/>
    <w:rsid w:val="00D55783"/>
    <w:rsid w:val="00D564D6"/>
    <w:rsid w:val="00D762C6"/>
    <w:rsid w:val="00D8651A"/>
    <w:rsid w:val="00D93E60"/>
    <w:rsid w:val="00DA4A8B"/>
    <w:rsid w:val="00DB565D"/>
    <w:rsid w:val="00DC4400"/>
    <w:rsid w:val="00DC53D9"/>
    <w:rsid w:val="00DC6910"/>
    <w:rsid w:val="00DD5A7B"/>
    <w:rsid w:val="00DF1BAB"/>
    <w:rsid w:val="00DF71E8"/>
    <w:rsid w:val="00E10D70"/>
    <w:rsid w:val="00E20FCE"/>
    <w:rsid w:val="00E35E0C"/>
    <w:rsid w:val="00E35E71"/>
    <w:rsid w:val="00E60239"/>
    <w:rsid w:val="00E73ED6"/>
    <w:rsid w:val="00E77C09"/>
    <w:rsid w:val="00E811EE"/>
    <w:rsid w:val="00E87AFC"/>
    <w:rsid w:val="00EB0343"/>
    <w:rsid w:val="00EB48A5"/>
    <w:rsid w:val="00EB7732"/>
    <w:rsid w:val="00ED1254"/>
    <w:rsid w:val="00EE3FE7"/>
    <w:rsid w:val="00EE5788"/>
    <w:rsid w:val="00EE7A96"/>
    <w:rsid w:val="00EF3DB7"/>
    <w:rsid w:val="00EF72AE"/>
    <w:rsid w:val="00F36C86"/>
    <w:rsid w:val="00F41F4A"/>
    <w:rsid w:val="00F44E88"/>
    <w:rsid w:val="00F46FE9"/>
    <w:rsid w:val="00F61BD3"/>
    <w:rsid w:val="00F67C07"/>
    <w:rsid w:val="00F8475B"/>
    <w:rsid w:val="00F862C7"/>
    <w:rsid w:val="00FA7DE1"/>
    <w:rsid w:val="00FB01D0"/>
    <w:rsid w:val="00FD2E12"/>
    <w:rsid w:val="00FF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5AA80D"/>
  <w15:chartTrackingRefBased/>
  <w15:docId w15:val="{95A3E07C-0024-4BF5-94C8-BC15836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241"/>
  </w:style>
  <w:style w:type="paragraph" w:styleId="Heading1">
    <w:name w:val="heading 1"/>
    <w:basedOn w:val="Normal"/>
    <w:next w:val="Normal"/>
    <w:link w:val="Heading1Char"/>
    <w:uiPriority w:val="9"/>
    <w:qFormat/>
    <w:rsid w:val="00AC004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C00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17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bgcolor">
    <w:name w:val="res_bg_color"/>
    <w:basedOn w:val="DefaultParagraphFont"/>
    <w:rsid w:val="000578A7"/>
  </w:style>
  <w:style w:type="character" w:customStyle="1" w:styleId="Heading1Char">
    <w:name w:val="Heading 1 Char"/>
    <w:basedOn w:val="DefaultParagraphFont"/>
    <w:link w:val="Heading1"/>
    <w:uiPriority w:val="9"/>
    <w:rsid w:val="00AC0043"/>
    <w:rPr>
      <w:rFonts w:asciiTheme="majorHAnsi" w:eastAsiaTheme="majorEastAsia" w:hAnsiTheme="majorHAnsi" w:cstheme="majorBidi"/>
      <w:color w:val="2E74B5" w:themeColor="accent1" w:themeShade="BF"/>
      <w:sz w:val="40"/>
      <w:szCs w:val="40"/>
    </w:rPr>
  </w:style>
  <w:style w:type="table" w:styleId="TableGrid">
    <w:name w:val="Table Grid"/>
    <w:basedOn w:val="TableNormal"/>
    <w:uiPriority w:val="39"/>
    <w:rsid w:val="00AC0043"/>
    <w:pPr>
      <w:spacing w:after="0" w:line="240" w:lineRule="auto"/>
    </w:pPr>
    <w:rPr>
      <w:kern w:val="2"/>
      <w:sz w:val="24"/>
      <w:szCs w:val="24"/>
      <w:lang w:val="en-A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C0043"/>
    <w:rPr>
      <w:rFonts w:asciiTheme="majorHAnsi" w:eastAsiaTheme="majorEastAsia" w:hAnsiTheme="majorHAnsi" w:cstheme="majorBidi"/>
      <w:color w:val="2E74B5" w:themeColor="accent1" w:themeShade="BF"/>
      <w:sz w:val="26"/>
      <w:szCs w:val="26"/>
    </w:rPr>
  </w:style>
  <w:style w:type="paragraph" w:customStyle="1" w:styleId="Default">
    <w:name w:val="Default"/>
    <w:rsid w:val="00AC0043"/>
    <w:pPr>
      <w:autoSpaceDE w:val="0"/>
      <w:autoSpaceDN w:val="0"/>
      <w:adjustRightInd w:val="0"/>
      <w:spacing w:after="0" w:line="240" w:lineRule="auto"/>
    </w:pPr>
    <w:rPr>
      <w:rFonts w:ascii="RWQMXQ+TimesNewRomanPSMT" w:eastAsia="Calibri" w:hAnsi="RWQMXQ+TimesNewRomanPSMT" w:cs="RWQMXQ+TimesNewRomanPSMT"/>
      <w:color w:val="000000"/>
      <w:sz w:val="24"/>
      <w:szCs w:val="24"/>
    </w:rPr>
  </w:style>
  <w:style w:type="character" w:styleId="Hyperlink">
    <w:name w:val="Hyperlink"/>
    <w:basedOn w:val="DefaultParagraphFont"/>
    <w:uiPriority w:val="99"/>
    <w:unhideWhenUsed/>
    <w:rsid w:val="00AC0043"/>
    <w:rPr>
      <w:color w:val="0563C1" w:themeColor="hyperlink"/>
      <w:u w:val="single"/>
    </w:rPr>
  </w:style>
  <w:style w:type="paragraph" w:styleId="NoSpacing">
    <w:name w:val="No Spacing"/>
    <w:uiPriority w:val="1"/>
    <w:qFormat/>
    <w:rsid w:val="00AC0043"/>
    <w:pPr>
      <w:spacing w:after="0" w:line="240" w:lineRule="auto"/>
    </w:pPr>
    <w:rPr>
      <w:rFonts w:ascii="Calibri" w:eastAsia="Calibri" w:hAnsi="Calibri" w:cs="Times New Roman"/>
    </w:rPr>
  </w:style>
  <w:style w:type="character" w:customStyle="1" w:styleId="grammar-highlight">
    <w:name w:val="grammar-highlight"/>
    <w:basedOn w:val="DefaultParagraphFont"/>
    <w:rsid w:val="006C5A5F"/>
  </w:style>
  <w:style w:type="paragraph" w:styleId="NormalWeb">
    <w:name w:val="Normal (Web)"/>
    <w:basedOn w:val="Normal"/>
    <w:uiPriority w:val="99"/>
    <w:semiHidden/>
    <w:unhideWhenUsed/>
    <w:rsid w:val="00E35E0C"/>
    <w:rPr>
      <w:rFonts w:ascii="Times New Roman" w:hAnsi="Times New Roman" w:cs="Times New Roman"/>
      <w:sz w:val="24"/>
      <w:szCs w:val="24"/>
    </w:rPr>
  </w:style>
  <w:style w:type="paragraph" w:styleId="ListParagraph">
    <w:name w:val="List Paragraph"/>
    <w:basedOn w:val="Normal"/>
    <w:uiPriority w:val="34"/>
    <w:qFormat/>
    <w:rsid w:val="00B625A8"/>
    <w:pPr>
      <w:ind w:left="720"/>
      <w:contextualSpacing/>
    </w:pPr>
  </w:style>
  <w:style w:type="character" w:customStyle="1" w:styleId="Heading3Char">
    <w:name w:val="Heading 3 Char"/>
    <w:basedOn w:val="DefaultParagraphFont"/>
    <w:link w:val="Heading3"/>
    <w:uiPriority w:val="9"/>
    <w:semiHidden/>
    <w:rsid w:val="00D17AF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4961D3"/>
    <w:rPr>
      <w:color w:val="605E5C"/>
      <w:shd w:val="clear" w:color="auto" w:fill="E1DFDD"/>
    </w:rPr>
  </w:style>
  <w:style w:type="paragraph" w:styleId="Header">
    <w:name w:val="header"/>
    <w:basedOn w:val="Normal"/>
    <w:link w:val="HeaderChar"/>
    <w:uiPriority w:val="99"/>
    <w:unhideWhenUsed/>
    <w:rsid w:val="00E77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09"/>
  </w:style>
  <w:style w:type="paragraph" w:styleId="Footer">
    <w:name w:val="footer"/>
    <w:basedOn w:val="Normal"/>
    <w:link w:val="FooterChar"/>
    <w:uiPriority w:val="99"/>
    <w:unhideWhenUsed/>
    <w:rsid w:val="00E77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83451">
      <w:bodyDiv w:val="1"/>
      <w:marLeft w:val="0"/>
      <w:marRight w:val="0"/>
      <w:marTop w:val="0"/>
      <w:marBottom w:val="0"/>
      <w:divBdr>
        <w:top w:val="none" w:sz="0" w:space="0" w:color="auto"/>
        <w:left w:val="none" w:sz="0" w:space="0" w:color="auto"/>
        <w:bottom w:val="none" w:sz="0" w:space="0" w:color="auto"/>
        <w:right w:val="none" w:sz="0" w:space="0" w:color="auto"/>
      </w:divBdr>
      <w:divsChild>
        <w:div w:id="230698298">
          <w:marLeft w:val="0"/>
          <w:marRight w:val="0"/>
          <w:marTop w:val="0"/>
          <w:marBottom w:val="0"/>
          <w:divBdr>
            <w:top w:val="none" w:sz="0" w:space="0" w:color="auto"/>
            <w:left w:val="none" w:sz="0" w:space="0" w:color="auto"/>
            <w:bottom w:val="none" w:sz="0" w:space="0" w:color="auto"/>
            <w:right w:val="none" w:sz="0" w:space="0" w:color="auto"/>
          </w:divBdr>
          <w:divsChild>
            <w:div w:id="1466047170">
              <w:marLeft w:val="0"/>
              <w:marRight w:val="0"/>
              <w:marTop w:val="0"/>
              <w:marBottom w:val="0"/>
              <w:divBdr>
                <w:top w:val="none" w:sz="0" w:space="0" w:color="auto"/>
                <w:left w:val="none" w:sz="0" w:space="0" w:color="auto"/>
                <w:bottom w:val="none" w:sz="0" w:space="0" w:color="auto"/>
                <w:right w:val="none" w:sz="0" w:space="0" w:color="auto"/>
              </w:divBdr>
              <w:divsChild>
                <w:div w:id="1502505181">
                  <w:marLeft w:val="285"/>
                  <w:marRight w:val="285"/>
                  <w:marTop w:val="0"/>
                  <w:marBottom w:val="0"/>
                  <w:divBdr>
                    <w:top w:val="single" w:sz="6" w:space="0" w:color="DBE3E9"/>
                    <w:left w:val="single" w:sz="6" w:space="0" w:color="DBE3E9"/>
                    <w:bottom w:val="single" w:sz="6" w:space="0" w:color="DBE3E9"/>
                    <w:right w:val="single" w:sz="6" w:space="0" w:color="DBE3E9"/>
                  </w:divBdr>
                  <w:divsChild>
                    <w:div w:id="1107971577">
                      <w:marLeft w:val="0"/>
                      <w:marRight w:val="0"/>
                      <w:marTop w:val="0"/>
                      <w:marBottom w:val="0"/>
                      <w:divBdr>
                        <w:top w:val="none" w:sz="0" w:space="0" w:color="auto"/>
                        <w:left w:val="none" w:sz="0" w:space="0" w:color="auto"/>
                        <w:bottom w:val="none" w:sz="0" w:space="0" w:color="auto"/>
                        <w:right w:val="none" w:sz="0" w:space="0" w:color="auto"/>
                      </w:divBdr>
                      <w:divsChild>
                        <w:div w:id="1855461518">
                          <w:marLeft w:val="0"/>
                          <w:marRight w:val="0"/>
                          <w:marTop w:val="0"/>
                          <w:marBottom w:val="0"/>
                          <w:divBdr>
                            <w:top w:val="none" w:sz="0" w:space="0" w:color="auto"/>
                            <w:left w:val="none" w:sz="0" w:space="0" w:color="auto"/>
                            <w:bottom w:val="none" w:sz="0" w:space="0" w:color="auto"/>
                            <w:right w:val="none" w:sz="0" w:space="0" w:color="auto"/>
                          </w:divBdr>
                          <w:divsChild>
                            <w:div w:id="1157067610">
                              <w:marLeft w:val="0"/>
                              <w:marRight w:val="0"/>
                              <w:marTop w:val="0"/>
                              <w:marBottom w:val="0"/>
                              <w:divBdr>
                                <w:top w:val="none" w:sz="0" w:space="0" w:color="auto"/>
                                <w:left w:val="none" w:sz="0" w:space="0" w:color="auto"/>
                                <w:bottom w:val="none" w:sz="0" w:space="0" w:color="auto"/>
                                <w:right w:val="none" w:sz="0" w:space="0" w:color="auto"/>
                              </w:divBdr>
                              <w:divsChild>
                                <w:div w:id="20273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63447">
                          <w:marLeft w:val="0"/>
                          <w:marRight w:val="0"/>
                          <w:marTop w:val="0"/>
                          <w:marBottom w:val="0"/>
                          <w:divBdr>
                            <w:top w:val="none" w:sz="0" w:space="0" w:color="auto"/>
                            <w:left w:val="none" w:sz="0" w:space="0" w:color="auto"/>
                            <w:bottom w:val="none" w:sz="0" w:space="0" w:color="auto"/>
                            <w:right w:val="none" w:sz="0" w:space="0" w:color="auto"/>
                          </w:divBdr>
                          <w:divsChild>
                            <w:div w:id="1345134886">
                              <w:marLeft w:val="0"/>
                              <w:marRight w:val="0"/>
                              <w:marTop w:val="0"/>
                              <w:marBottom w:val="0"/>
                              <w:divBdr>
                                <w:top w:val="none" w:sz="0" w:space="0" w:color="auto"/>
                                <w:left w:val="none" w:sz="0" w:space="0" w:color="auto"/>
                                <w:bottom w:val="none" w:sz="0" w:space="0" w:color="auto"/>
                                <w:right w:val="none" w:sz="0" w:space="0" w:color="auto"/>
                              </w:divBdr>
                              <w:divsChild>
                                <w:div w:id="194581627">
                                  <w:marLeft w:val="0"/>
                                  <w:marRight w:val="0"/>
                                  <w:marTop w:val="0"/>
                                  <w:marBottom w:val="0"/>
                                  <w:divBdr>
                                    <w:top w:val="none" w:sz="0" w:space="0" w:color="auto"/>
                                    <w:left w:val="none" w:sz="0" w:space="0" w:color="auto"/>
                                    <w:bottom w:val="none" w:sz="0" w:space="0" w:color="auto"/>
                                    <w:right w:val="none" w:sz="0" w:space="0" w:color="auto"/>
                                  </w:divBdr>
                                </w:div>
                                <w:div w:id="896667511">
                                  <w:marLeft w:val="0"/>
                                  <w:marRight w:val="0"/>
                                  <w:marTop w:val="0"/>
                                  <w:marBottom w:val="0"/>
                                  <w:divBdr>
                                    <w:top w:val="none" w:sz="0" w:space="0" w:color="auto"/>
                                    <w:left w:val="none" w:sz="0" w:space="0" w:color="auto"/>
                                    <w:bottom w:val="none" w:sz="0" w:space="0" w:color="auto"/>
                                    <w:right w:val="none" w:sz="0" w:space="0" w:color="auto"/>
                                  </w:divBdr>
                                </w:div>
                              </w:divsChild>
                            </w:div>
                            <w:div w:id="10445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4198">
                  <w:marLeft w:val="0"/>
                  <w:marRight w:val="0"/>
                  <w:marTop w:val="0"/>
                  <w:marBottom w:val="0"/>
                  <w:divBdr>
                    <w:top w:val="single" w:sz="6" w:space="9" w:color="DBE3E9"/>
                    <w:left w:val="single" w:sz="6" w:space="9" w:color="DBE3E9"/>
                    <w:bottom w:val="single" w:sz="6" w:space="9" w:color="DBE3E9"/>
                    <w:right w:val="single" w:sz="6" w:space="9" w:color="DBE3E9"/>
                  </w:divBdr>
                  <w:divsChild>
                    <w:div w:id="1299530576">
                      <w:marLeft w:val="0"/>
                      <w:marRight w:val="0"/>
                      <w:marTop w:val="0"/>
                      <w:marBottom w:val="0"/>
                      <w:divBdr>
                        <w:top w:val="none" w:sz="0" w:space="0" w:color="auto"/>
                        <w:left w:val="none" w:sz="0" w:space="0" w:color="auto"/>
                        <w:bottom w:val="none" w:sz="0" w:space="0" w:color="auto"/>
                        <w:right w:val="none" w:sz="0" w:space="0" w:color="auto"/>
                      </w:divBdr>
                      <w:divsChild>
                        <w:div w:id="674455879">
                          <w:marLeft w:val="0"/>
                          <w:marRight w:val="0"/>
                          <w:marTop w:val="0"/>
                          <w:marBottom w:val="0"/>
                          <w:divBdr>
                            <w:top w:val="none" w:sz="0" w:space="0" w:color="auto"/>
                            <w:left w:val="none" w:sz="0" w:space="0" w:color="auto"/>
                            <w:bottom w:val="none" w:sz="0" w:space="0" w:color="auto"/>
                            <w:right w:val="none" w:sz="0" w:space="0" w:color="auto"/>
                          </w:divBdr>
                          <w:divsChild>
                            <w:div w:id="167864752">
                              <w:marLeft w:val="0"/>
                              <w:marRight w:val="0"/>
                              <w:marTop w:val="0"/>
                              <w:marBottom w:val="0"/>
                              <w:divBdr>
                                <w:top w:val="none" w:sz="0" w:space="0" w:color="auto"/>
                                <w:left w:val="none" w:sz="0" w:space="0" w:color="auto"/>
                                <w:bottom w:val="none" w:sz="0" w:space="0" w:color="auto"/>
                                <w:right w:val="none" w:sz="0" w:space="0" w:color="auto"/>
                              </w:divBdr>
                              <w:divsChild>
                                <w:div w:id="1167860471">
                                  <w:marLeft w:val="0"/>
                                  <w:marRight w:val="0"/>
                                  <w:marTop w:val="0"/>
                                  <w:marBottom w:val="0"/>
                                  <w:divBdr>
                                    <w:top w:val="single" w:sz="6" w:space="0" w:color="E4E4E4"/>
                                    <w:left w:val="single" w:sz="6" w:space="0" w:color="E4E4E4"/>
                                    <w:bottom w:val="single" w:sz="6" w:space="0" w:color="E4E4E4"/>
                                    <w:right w:val="single" w:sz="6" w:space="0" w:color="E4E4E4"/>
                                  </w:divBdr>
                                  <w:divsChild>
                                    <w:div w:id="2128623351">
                                      <w:marLeft w:val="0"/>
                                      <w:marRight w:val="0"/>
                                      <w:marTop w:val="0"/>
                                      <w:marBottom w:val="0"/>
                                      <w:divBdr>
                                        <w:top w:val="none" w:sz="0" w:space="0" w:color="auto"/>
                                        <w:left w:val="none" w:sz="0" w:space="0" w:color="auto"/>
                                        <w:bottom w:val="none" w:sz="0" w:space="0" w:color="auto"/>
                                        <w:right w:val="none" w:sz="0" w:space="0" w:color="auto"/>
                                      </w:divBdr>
                                      <w:divsChild>
                                        <w:div w:id="2066250088">
                                          <w:marLeft w:val="0"/>
                                          <w:marRight w:val="0"/>
                                          <w:marTop w:val="0"/>
                                          <w:marBottom w:val="0"/>
                                          <w:divBdr>
                                            <w:top w:val="none" w:sz="0" w:space="0" w:color="auto"/>
                                            <w:left w:val="none" w:sz="0" w:space="0" w:color="auto"/>
                                            <w:bottom w:val="none" w:sz="0" w:space="0" w:color="auto"/>
                                            <w:right w:val="none" w:sz="0" w:space="0" w:color="auto"/>
                                          </w:divBdr>
                                        </w:div>
                                        <w:div w:id="989363432">
                                          <w:marLeft w:val="0"/>
                                          <w:marRight w:val="0"/>
                                          <w:marTop w:val="0"/>
                                          <w:marBottom w:val="0"/>
                                          <w:divBdr>
                                            <w:top w:val="none" w:sz="0" w:space="0" w:color="auto"/>
                                            <w:left w:val="none" w:sz="0" w:space="0" w:color="auto"/>
                                            <w:bottom w:val="none" w:sz="0" w:space="0" w:color="auto"/>
                                            <w:right w:val="none" w:sz="0" w:space="0" w:color="auto"/>
                                          </w:divBdr>
                                          <w:divsChild>
                                            <w:div w:id="918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0213">
                                      <w:marLeft w:val="0"/>
                                      <w:marRight w:val="0"/>
                                      <w:marTop w:val="0"/>
                                      <w:marBottom w:val="0"/>
                                      <w:divBdr>
                                        <w:top w:val="none" w:sz="0" w:space="0" w:color="auto"/>
                                        <w:left w:val="none" w:sz="0" w:space="0" w:color="auto"/>
                                        <w:bottom w:val="none" w:sz="0" w:space="0" w:color="auto"/>
                                        <w:right w:val="none" w:sz="0" w:space="0" w:color="auto"/>
                                      </w:divBdr>
                                      <w:divsChild>
                                        <w:div w:id="1180388717">
                                          <w:marLeft w:val="0"/>
                                          <w:marRight w:val="0"/>
                                          <w:marTop w:val="0"/>
                                          <w:marBottom w:val="0"/>
                                          <w:divBdr>
                                            <w:top w:val="none" w:sz="0" w:space="0" w:color="auto"/>
                                            <w:left w:val="none" w:sz="0" w:space="0" w:color="auto"/>
                                            <w:bottom w:val="none" w:sz="0" w:space="0" w:color="auto"/>
                                            <w:right w:val="none" w:sz="0" w:space="0" w:color="auto"/>
                                          </w:divBdr>
                                        </w:div>
                                        <w:div w:id="1900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89123">
                                  <w:marLeft w:val="0"/>
                                  <w:marRight w:val="0"/>
                                  <w:marTop w:val="0"/>
                                  <w:marBottom w:val="0"/>
                                  <w:divBdr>
                                    <w:top w:val="single" w:sz="6" w:space="0" w:color="E4E4E4"/>
                                    <w:left w:val="single" w:sz="6" w:space="0" w:color="E4E4E4"/>
                                    <w:bottom w:val="single" w:sz="6" w:space="0" w:color="E4E4E4"/>
                                    <w:right w:val="single" w:sz="6" w:space="0" w:color="E4E4E4"/>
                                  </w:divBdr>
                                  <w:divsChild>
                                    <w:div w:id="1790666785">
                                      <w:marLeft w:val="0"/>
                                      <w:marRight w:val="0"/>
                                      <w:marTop w:val="0"/>
                                      <w:marBottom w:val="0"/>
                                      <w:divBdr>
                                        <w:top w:val="none" w:sz="0" w:space="0" w:color="auto"/>
                                        <w:left w:val="none" w:sz="0" w:space="0" w:color="auto"/>
                                        <w:bottom w:val="none" w:sz="0" w:space="0" w:color="auto"/>
                                        <w:right w:val="none" w:sz="0" w:space="0" w:color="auto"/>
                                      </w:divBdr>
                                    </w:div>
                                    <w:div w:id="16886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01792">
          <w:marLeft w:val="0"/>
          <w:marRight w:val="0"/>
          <w:marTop w:val="0"/>
          <w:marBottom w:val="0"/>
          <w:divBdr>
            <w:top w:val="none" w:sz="0" w:space="0" w:color="auto"/>
            <w:left w:val="none" w:sz="0" w:space="0" w:color="auto"/>
            <w:bottom w:val="none" w:sz="0" w:space="0" w:color="auto"/>
            <w:right w:val="none" w:sz="0" w:space="0" w:color="auto"/>
          </w:divBdr>
          <w:divsChild>
            <w:div w:id="128089250">
              <w:marLeft w:val="0"/>
              <w:marRight w:val="0"/>
              <w:marTop w:val="0"/>
              <w:marBottom w:val="0"/>
              <w:divBdr>
                <w:top w:val="single" w:sz="6" w:space="0" w:color="0F804A"/>
                <w:left w:val="single" w:sz="6" w:space="0" w:color="0F804A"/>
                <w:bottom w:val="single" w:sz="6" w:space="0" w:color="0F804A"/>
                <w:right w:val="single" w:sz="6" w:space="0" w:color="0F804A"/>
              </w:divBdr>
              <w:divsChild>
                <w:div w:id="216406004">
                  <w:marLeft w:val="0"/>
                  <w:marRight w:val="0"/>
                  <w:marTop w:val="0"/>
                  <w:marBottom w:val="0"/>
                  <w:divBdr>
                    <w:top w:val="none" w:sz="0" w:space="0" w:color="auto"/>
                    <w:left w:val="none" w:sz="0" w:space="0" w:color="auto"/>
                    <w:bottom w:val="none" w:sz="0" w:space="0" w:color="auto"/>
                    <w:right w:val="none" w:sz="0" w:space="0" w:color="auto"/>
                  </w:divBdr>
                </w:div>
              </w:divsChild>
            </w:div>
            <w:div w:id="1885824830">
              <w:marLeft w:val="0"/>
              <w:marRight w:val="0"/>
              <w:marTop w:val="0"/>
              <w:marBottom w:val="0"/>
              <w:divBdr>
                <w:top w:val="none" w:sz="0" w:space="0" w:color="auto"/>
                <w:left w:val="none" w:sz="0" w:space="0" w:color="auto"/>
                <w:bottom w:val="none" w:sz="0" w:space="0" w:color="auto"/>
                <w:right w:val="none" w:sz="0" w:space="0" w:color="auto"/>
              </w:divBdr>
            </w:div>
          </w:divsChild>
        </w:div>
        <w:div w:id="1621643140">
          <w:marLeft w:val="0"/>
          <w:marRight w:val="0"/>
          <w:marTop w:val="0"/>
          <w:marBottom w:val="0"/>
          <w:divBdr>
            <w:top w:val="none" w:sz="0" w:space="0" w:color="auto"/>
            <w:left w:val="none" w:sz="0" w:space="0" w:color="auto"/>
            <w:bottom w:val="none" w:sz="0" w:space="0" w:color="auto"/>
            <w:right w:val="none" w:sz="0" w:space="0" w:color="auto"/>
          </w:divBdr>
          <w:divsChild>
            <w:div w:id="460877339">
              <w:marLeft w:val="0"/>
              <w:marRight w:val="0"/>
              <w:marTop w:val="0"/>
              <w:marBottom w:val="0"/>
              <w:divBdr>
                <w:top w:val="single" w:sz="6" w:space="0" w:color="DBE3E9"/>
                <w:left w:val="single" w:sz="6" w:space="0" w:color="DBE3E9"/>
                <w:bottom w:val="single" w:sz="6" w:space="0" w:color="DBE3E9"/>
                <w:right w:val="single" w:sz="6" w:space="0" w:color="DBE3E9"/>
              </w:divBdr>
            </w:div>
            <w:div w:id="226914885">
              <w:marLeft w:val="0"/>
              <w:marRight w:val="0"/>
              <w:marTop w:val="0"/>
              <w:marBottom w:val="0"/>
              <w:divBdr>
                <w:top w:val="none" w:sz="0" w:space="0" w:color="auto"/>
                <w:left w:val="none" w:sz="0" w:space="0" w:color="auto"/>
                <w:bottom w:val="none" w:sz="0" w:space="0" w:color="auto"/>
                <w:right w:val="none" w:sz="0" w:space="0" w:color="auto"/>
              </w:divBdr>
              <w:divsChild>
                <w:div w:id="131363835">
                  <w:marLeft w:val="0"/>
                  <w:marRight w:val="0"/>
                  <w:marTop w:val="0"/>
                  <w:marBottom w:val="0"/>
                  <w:divBdr>
                    <w:top w:val="none" w:sz="0" w:space="0" w:color="auto"/>
                    <w:left w:val="none" w:sz="0" w:space="0" w:color="auto"/>
                    <w:bottom w:val="none" w:sz="0" w:space="0" w:color="auto"/>
                    <w:right w:val="none" w:sz="0" w:space="0" w:color="auto"/>
                  </w:divBdr>
                  <w:divsChild>
                    <w:div w:id="1589147576">
                      <w:marLeft w:val="0"/>
                      <w:marRight w:val="0"/>
                      <w:marTop w:val="0"/>
                      <w:marBottom w:val="0"/>
                      <w:divBdr>
                        <w:top w:val="none" w:sz="0" w:space="0" w:color="auto"/>
                        <w:left w:val="none" w:sz="0" w:space="0" w:color="auto"/>
                        <w:bottom w:val="none" w:sz="0" w:space="0" w:color="auto"/>
                        <w:right w:val="none" w:sz="0" w:space="0" w:color="auto"/>
                      </w:divBdr>
                      <w:divsChild>
                        <w:div w:id="1022365613">
                          <w:marLeft w:val="0"/>
                          <w:marRight w:val="0"/>
                          <w:marTop w:val="0"/>
                          <w:marBottom w:val="0"/>
                          <w:divBdr>
                            <w:top w:val="none" w:sz="0" w:space="0" w:color="auto"/>
                            <w:left w:val="none" w:sz="0" w:space="0" w:color="auto"/>
                            <w:bottom w:val="none" w:sz="0" w:space="0" w:color="auto"/>
                            <w:right w:val="none" w:sz="0" w:space="0" w:color="auto"/>
                          </w:divBdr>
                        </w:div>
                      </w:divsChild>
                    </w:div>
                    <w:div w:id="139157648">
                      <w:marLeft w:val="0"/>
                      <w:marRight w:val="0"/>
                      <w:marTop w:val="0"/>
                      <w:marBottom w:val="0"/>
                      <w:divBdr>
                        <w:top w:val="single" w:sz="6" w:space="0" w:color="D8E3EE"/>
                        <w:left w:val="single" w:sz="6" w:space="0" w:color="D8E3EE"/>
                        <w:bottom w:val="single" w:sz="6" w:space="0" w:color="D8E3EE"/>
                        <w:right w:val="single" w:sz="6" w:space="0" w:color="D8E3EE"/>
                      </w:divBdr>
                      <w:divsChild>
                        <w:div w:id="1892570662">
                          <w:marLeft w:val="0"/>
                          <w:marRight w:val="0"/>
                          <w:marTop w:val="0"/>
                          <w:marBottom w:val="0"/>
                          <w:divBdr>
                            <w:top w:val="none" w:sz="0" w:space="0" w:color="auto"/>
                            <w:left w:val="none" w:sz="0" w:space="0" w:color="auto"/>
                            <w:bottom w:val="single" w:sz="6" w:space="0" w:color="D8E3EE"/>
                            <w:right w:val="none" w:sz="0" w:space="0" w:color="auto"/>
                          </w:divBdr>
                        </w:div>
                        <w:div w:id="250701964">
                          <w:marLeft w:val="0"/>
                          <w:marRight w:val="0"/>
                          <w:marTop w:val="0"/>
                          <w:marBottom w:val="0"/>
                          <w:divBdr>
                            <w:top w:val="none" w:sz="0" w:space="0" w:color="auto"/>
                            <w:left w:val="none" w:sz="0" w:space="0" w:color="auto"/>
                            <w:bottom w:val="none" w:sz="0" w:space="0" w:color="auto"/>
                            <w:right w:val="none" w:sz="0" w:space="0" w:color="auto"/>
                          </w:divBdr>
                        </w:div>
                        <w:div w:id="1610579515">
                          <w:marLeft w:val="0"/>
                          <w:marRight w:val="0"/>
                          <w:marTop w:val="0"/>
                          <w:marBottom w:val="0"/>
                          <w:divBdr>
                            <w:top w:val="none" w:sz="0" w:space="0" w:color="auto"/>
                            <w:left w:val="none" w:sz="0" w:space="0" w:color="auto"/>
                            <w:bottom w:val="none" w:sz="0" w:space="0" w:color="auto"/>
                            <w:right w:val="none" w:sz="0" w:space="0" w:color="auto"/>
                          </w:divBdr>
                        </w:div>
                        <w:div w:id="1470325155">
                          <w:marLeft w:val="0"/>
                          <w:marRight w:val="0"/>
                          <w:marTop w:val="0"/>
                          <w:marBottom w:val="0"/>
                          <w:divBdr>
                            <w:top w:val="none" w:sz="0" w:space="0" w:color="auto"/>
                            <w:left w:val="none" w:sz="0" w:space="0" w:color="auto"/>
                            <w:bottom w:val="none" w:sz="0" w:space="0" w:color="auto"/>
                            <w:right w:val="none" w:sz="0" w:space="0" w:color="auto"/>
                          </w:divBdr>
                        </w:div>
                        <w:div w:id="1480221318">
                          <w:marLeft w:val="0"/>
                          <w:marRight w:val="0"/>
                          <w:marTop w:val="0"/>
                          <w:marBottom w:val="0"/>
                          <w:divBdr>
                            <w:top w:val="none" w:sz="0" w:space="0" w:color="auto"/>
                            <w:left w:val="none" w:sz="0" w:space="0" w:color="auto"/>
                            <w:bottom w:val="none" w:sz="0" w:space="0" w:color="auto"/>
                            <w:right w:val="none" w:sz="0" w:space="0" w:color="auto"/>
                          </w:divBdr>
                        </w:div>
                        <w:div w:id="1165362789">
                          <w:marLeft w:val="0"/>
                          <w:marRight w:val="0"/>
                          <w:marTop w:val="0"/>
                          <w:marBottom w:val="0"/>
                          <w:divBdr>
                            <w:top w:val="none" w:sz="0" w:space="0" w:color="auto"/>
                            <w:left w:val="none" w:sz="0" w:space="0" w:color="auto"/>
                            <w:bottom w:val="none" w:sz="0" w:space="0" w:color="auto"/>
                            <w:right w:val="none" w:sz="0" w:space="0" w:color="auto"/>
                          </w:divBdr>
                        </w:div>
                        <w:div w:id="1514538685">
                          <w:marLeft w:val="0"/>
                          <w:marRight w:val="0"/>
                          <w:marTop w:val="0"/>
                          <w:marBottom w:val="0"/>
                          <w:divBdr>
                            <w:top w:val="none" w:sz="0" w:space="0" w:color="auto"/>
                            <w:left w:val="none" w:sz="0" w:space="0" w:color="auto"/>
                            <w:bottom w:val="none" w:sz="0" w:space="0" w:color="auto"/>
                            <w:right w:val="none" w:sz="0" w:space="0" w:color="auto"/>
                          </w:divBdr>
                        </w:div>
                        <w:div w:id="257636699">
                          <w:marLeft w:val="0"/>
                          <w:marRight w:val="0"/>
                          <w:marTop w:val="0"/>
                          <w:marBottom w:val="0"/>
                          <w:divBdr>
                            <w:top w:val="none" w:sz="0" w:space="0" w:color="auto"/>
                            <w:left w:val="none" w:sz="0" w:space="0" w:color="auto"/>
                            <w:bottom w:val="none" w:sz="0" w:space="0" w:color="auto"/>
                            <w:right w:val="none" w:sz="0" w:space="0" w:color="auto"/>
                          </w:divBdr>
                        </w:div>
                        <w:div w:id="66922138">
                          <w:marLeft w:val="0"/>
                          <w:marRight w:val="0"/>
                          <w:marTop w:val="0"/>
                          <w:marBottom w:val="0"/>
                          <w:divBdr>
                            <w:top w:val="none" w:sz="0" w:space="0" w:color="auto"/>
                            <w:left w:val="none" w:sz="0" w:space="0" w:color="auto"/>
                            <w:bottom w:val="none" w:sz="0" w:space="0" w:color="auto"/>
                            <w:right w:val="none" w:sz="0" w:space="0" w:color="auto"/>
                          </w:divBdr>
                        </w:div>
                        <w:div w:id="1925452478">
                          <w:marLeft w:val="0"/>
                          <w:marRight w:val="0"/>
                          <w:marTop w:val="0"/>
                          <w:marBottom w:val="0"/>
                          <w:divBdr>
                            <w:top w:val="none" w:sz="0" w:space="0" w:color="auto"/>
                            <w:left w:val="none" w:sz="0" w:space="0" w:color="auto"/>
                            <w:bottom w:val="none" w:sz="0" w:space="0" w:color="auto"/>
                            <w:right w:val="none" w:sz="0" w:space="0" w:color="auto"/>
                          </w:divBdr>
                        </w:div>
                        <w:div w:id="39980987">
                          <w:marLeft w:val="0"/>
                          <w:marRight w:val="0"/>
                          <w:marTop w:val="0"/>
                          <w:marBottom w:val="0"/>
                          <w:divBdr>
                            <w:top w:val="none" w:sz="0" w:space="0" w:color="auto"/>
                            <w:left w:val="none" w:sz="0" w:space="0" w:color="auto"/>
                            <w:bottom w:val="none" w:sz="0" w:space="0" w:color="auto"/>
                            <w:right w:val="none" w:sz="0" w:space="0" w:color="auto"/>
                          </w:divBdr>
                        </w:div>
                      </w:divsChild>
                    </w:div>
                    <w:div w:id="988438295">
                      <w:marLeft w:val="0"/>
                      <w:marRight w:val="0"/>
                      <w:marTop w:val="0"/>
                      <w:marBottom w:val="0"/>
                      <w:divBdr>
                        <w:top w:val="single" w:sz="6" w:space="0" w:color="D8E3EE"/>
                        <w:left w:val="single" w:sz="6" w:space="0" w:color="D8E3EE"/>
                        <w:bottom w:val="single" w:sz="6" w:space="0" w:color="D8E3EE"/>
                        <w:right w:val="single" w:sz="6" w:space="0" w:color="D8E3EE"/>
                      </w:divBdr>
                      <w:divsChild>
                        <w:div w:id="196629858">
                          <w:marLeft w:val="0"/>
                          <w:marRight w:val="0"/>
                          <w:marTop w:val="0"/>
                          <w:marBottom w:val="0"/>
                          <w:divBdr>
                            <w:top w:val="none" w:sz="0" w:space="0" w:color="auto"/>
                            <w:left w:val="none" w:sz="0" w:space="0" w:color="auto"/>
                            <w:bottom w:val="single" w:sz="6" w:space="0" w:color="D8E3EE"/>
                            <w:right w:val="none" w:sz="0" w:space="0" w:color="auto"/>
                          </w:divBdr>
                        </w:div>
                        <w:div w:id="584266522">
                          <w:marLeft w:val="0"/>
                          <w:marRight w:val="0"/>
                          <w:marTop w:val="0"/>
                          <w:marBottom w:val="0"/>
                          <w:divBdr>
                            <w:top w:val="none" w:sz="0" w:space="0" w:color="auto"/>
                            <w:left w:val="none" w:sz="0" w:space="0" w:color="auto"/>
                            <w:bottom w:val="none" w:sz="0" w:space="0" w:color="auto"/>
                            <w:right w:val="none" w:sz="0" w:space="0" w:color="auto"/>
                          </w:divBdr>
                        </w:div>
                        <w:div w:id="334654570">
                          <w:marLeft w:val="0"/>
                          <w:marRight w:val="0"/>
                          <w:marTop w:val="0"/>
                          <w:marBottom w:val="0"/>
                          <w:divBdr>
                            <w:top w:val="none" w:sz="0" w:space="0" w:color="auto"/>
                            <w:left w:val="none" w:sz="0" w:space="0" w:color="auto"/>
                            <w:bottom w:val="none" w:sz="0" w:space="0" w:color="auto"/>
                            <w:right w:val="none" w:sz="0" w:space="0" w:color="auto"/>
                          </w:divBdr>
                        </w:div>
                        <w:div w:id="1133526434">
                          <w:marLeft w:val="0"/>
                          <w:marRight w:val="0"/>
                          <w:marTop w:val="0"/>
                          <w:marBottom w:val="0"/>
                          <w:divBdr>
                            <w:top w:val="none" w:sz="0" w:space="0" w:color="auto"/>
                            <w:left w:val="none" w:sz="0" w:space="0" w:color="auto"/>
                            <w:bottom w:val="none" w:sz="0" w:space="0" w:color="auto"/>
                            <w:right w:val="none" w:sz="0" w:space="0" w:color="auto"/>
                          </w:divBdr>
                        </w:div>
                        <w:div w:id="7342381">
                          <w:marLeft w:val="0"/>
                          <w:marRight w:val="0"/>
                          <w:marTop w:val="0"/>
                          <w:marBottom w:val="0"/>
                          <w:divBdr>
                            <w:top w:val="none" w:sz="0" w:space="0" w:color="auto"/>
                            <w:left w:val="none" w:sz="0" w:space="0" w:color="auto"/>
                            <w:bottom w:val="none" w:sz="0" w:space="0" w:color="auto"/>
                            <w:right w:val="none" w:sz="0" w:space="0" w:color="auto"/>
                          </w:divBdr>
                        </w:div>
                        <w:div w:id="185020908">
                          <w:marLeft w:val="0"/>
                          <w:marRight w:val="0"/>
                          <w:marTop w:val="0"/>
                          <w:marBottom w:val="0"/>
                          <w:divBdr>
                            <w:top w:val="none" w:sz="0" w:space="0" w:color="auto"/>
                            <w:left w:val="none" w:sz="0" w:space="0" w:color="auto"/>
                            <w:bottom w:val="none" w:sz="0" w:space="0" w:color="auto"/>
                            <w:right w:val="none" w:sz="0" w:space="0" w:color="auto"/>
                          </w:divBdr>
                        </w:div>
                        <w:div w:id="999574253">
                          <w:marLeft w:val="0"/>
                          <w:marRight w:val="0"/>
                          <w:marTop w:val="0"/>
                          <w:marBottom w:val="0"/>
                          <w:divBdr>
                            <w:top w:val="none" w:sz="0" w:space="0" w:color="auto"/>
                            <w:left w:val="none" w:sz="0" w:space="0" w:color="auto"/>
                            <w:bottom w:val="none" w:sz="0" w:space="0" w:color="auto"/>
                            <w:right w:val="none" w:sz="0" w:space="0" w:color="auto"/>
                          </w:divBdr>
                        </w:div>
                        <w:div w:id="2145074248">
                          <w:marLeft w:val="0"/>
                          <w:marRight w:val="0"/>
                          <w:marTop w:val="0"/>
                          <w:marBottom w:val="0"/>
                          <w:divBdr>
                            <w:top w:val="none" w:sz="0" w:space="0" w:color="auto"/>
                            <w:left w:val="none" w:sz="0" w:space="0" w:color="auto"/>
                            <w:bottom w:val="none" w:sz="0" w:space="0" w:color="auto"/>
                            <w:right w:val="none" w:sz="0" w:space="0" w:color="auto"/>
                          </w:divBdr>
                        </w:div>
                        <w:div w:id="685593792">
                          <w:marLeft w:val="0"/>
                          <w:marRight w:val="0"/>
                          <w:marTop w:val="0"/>
                          <w:marBottom w:val="0"/>
                          <w:divBdr>
                            <w:top w:val="none" w:sz="0" w:space="0" w:color="auto"/>
                            <w:left w:val="none" w:sz="0" w:space="0" w:color="auto"/>
                            <w:bottom w:val="none" w:sz="0" w:space="0" w:color="auto"/>
                            <w:right w:val="none" w:sz="0" w:space="0" w:color="auto"/>
                          </w:divBdr>
                        </w:div>
                        <w:div w:id="1668827919">
                          <w:marLeft w:val="0"/>
                          <w:marRight w:val="0"/>
                          <w:marTop w:val="0"/>
                          <w:marBottom w:val="0"/>
                          <w:divBdr>
                            <w:top w:val="none" w:sz="0" w:space="0" w:color="auto"/>
                            <w:left w:val="none" w:sz="0" w:space="0" w:color="auto"/>
                            <w:bottom w:val="none" w:sz="0" w:space="0" w:color="auto"/>
                            <w:right w:val="none" w:sz="0" w:space="0" w:color="auto"/>
                          </w:divBdr>
                        </w:div>
                        <w:div w:id="211700127">
                          <w:marLeft w:val="0"/>
                          <w:marRight w:val="0"/>
                          <w:marTop w:val="0"/>
                          <w:marBottom w:val="0"/>
                          <w:divBdr>
                            <w:top w:val="none" w:sz="0" w:space="0" w:color="auto"/>
                            <w:left w:val="none" w:sz="0" w:space="0" w:color="auto"/>
                            <w:bottom w:val="none" w:sz="0" w:space="0" w:color="auto"/>
                            <w:right w:val="none" w:sz="0" w:space="0" w:color="auto"/>
                          </w:divBdr>
                        </w:div>
                        <w:div w:id="2118670607">
                          <w:marLeft w:val="0"/>
                          <w:marRight w:val="0"/>
                          <w:marTop w:val="0"/>
                          <w:marBottom w:val="0"/>
                          <w:divBdr>
                            <w:top w:val="none" w:sz="0" w:space="0" w:color="auto"/>
                            <w:left w:val="none" w:sz="0" w:space="0" w:color="auto"/>
                            <w:bottom w:val="none" w:sz="0" w:space="0" w:color="auto"/>
                            <w:right w:val="none" w:sz="0" w:space="0" w:color="auto"/>
                          </w:divBdr>
                        </w:div>
                        <w:div w:id="1203905832">
                          <w:marLeft w:val="0"/>
                          <w:marRight w:val="0"/>
                          <w:marTop w:val="0"/>
                          <w:marBottom w:val="0"/>
                          <w:divBdr>
                            <w:top w:val="none" w:sz="0" w:space="0" w:color="auto"/>
                            <w:left w:val="none" w:sz="0" w:space="0" w:color="auto"/>
                            <w:bottom w:val="none" w:sz="0" w:space="0" w:color="auto"/>
                            <w:right w:val="none" w:sz="0" w:space="0" w:color="auto"/>
                          </w:divBdr>
                        </w:div>
                        <w:div w:id="2115206951">
                          <w:marLeft w:val="0"/>
                          <w:marRight w:val="0"/>
                          <w:marTop w:val="0"/>
                          <w:marBottom w:val="0"/>
                          <w:divBdr>
                            <w:top w:val="none" w:sz="0" w:space="0" w:color="auto"/>
                            <w:left w:val="none" w:sz="0" w:space="0" w:color="auto"/>
                            <w:bottom w:val="none" w:sz="0" w:space="0" w:color="auto"/>
                            <w:right w:val="none" w:sz="0" w:space="0" w:color="auto"/>
                          </w:divBdr>
                        </w:div>
                        <w:div w:id="6214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71789">
          <w:marLeft w:val="0"/>
          <w:marRight w:val="0"/>
          <w:marTop w:val="0"/>
          <w:marBottom w:val="0"/>
          <w:divBdr>
            <w:top w:val="none" w:sz="0" w:space="0" w:color="auto"/>
            <w:left w:val="none" w:sz="0" w:space="0" w:color="auto"/>
            <w:bottom w:val="none" w:sz="0" w:space="0" w:color="auto"/>
            <w:right w:val="none" w:sz="0" w:space="0" w:color="auto"/>
          </w:divBdr>
          <w:divsChild>
            <w:div w:id="599340138">
              <w:marLeft w:val="0"/>
              <w:marRight w:val="0"/>
              <w:marTop w:val="0"/>
              <w:marBottom w:val="0"/>
              <w:divBdr>
                <w:top w:val="none" w:sz="0" w:space="0" w:color="auto"/>
                <w:left w:val="none" w:sz="0" w:space="0" w:color="auto"/>
                <w:bottom w:val="none" w:sz="0" w:space="0" w:color="auto"/>
                <w:right w:val="none" w:sz="0" w:space="0" w:color="auto"/>
              </w:divBdr>
            </w:div>
          </w:divsChild>
        </w:div>
        <w:div w:id="10885366">
          <w:marLeft w:val="0"/>
          <w:marRight w:val="0"/>
          <w:marTop w:val="0"/>
          <w:marBottom w:val="0"/>
          <w:divBdr>
            <w:top w:val="none" w:sz="0" w:space="0" w:color="auto"/>
            <w:left w:val="none" w:sz="0" w:space="0" w:color="auto"/>
            <w:bottom w:val="none" w:sz="0" w:space="0" w:color="auto"/>
            <w:right w:val="none" w:sz="0" w:space="0" w:color="auto"/>
          </w:divBdr>
          <w:divsChild>
            <w:div w:id="1944802411">
              <w:marLeft w:val="0"/>
              <w:marRight w:val="0"/>
              <w:marTop w:val="0"/>
              <w:marBottom w:val="0"/>
              <w:divBdr>
                <w:top w:val="none" w:sz="0" w:space="0" w:color="auto"/>
                <w:left w:val="none" w:sz="0" w:space="0" w:color="auto"/>
                <w:bottom w:val="none" w:sz="0" w:space="0" w:color="auto"/>
                <w:right w:val="none" w:sz="0" w:space="0" w:color="auto"/>
              </w:divBdr>
            </w:div>
            <w:div w:id="580406130">
              <w:marLeft w:val="0"/>
              <w:marRight w:val="0"/>
              <w:marTop w:val="0"/>
              <w:marBottom w:val="0"/>
              <w:divBdr>
                <w:top w:val="none" w:sz="0" w:space="0" w:color="auto"/>
                <w:left w:val="none" w:sz="0" w:space="0" w:color="auto"/>
                <w:bottom w:val="none" w:sz="0" w:space="0" w:color="auto"/>
                <w:right w:val="none" w:sz="0" w:space="0" w:color="auto"/>
              </w:divBdr>
            </w:div>
            <w:div w:id="49771721">
              <w:marLeft w:val="0"/>
              <w:marRight w:val="0"/>
              <w:marTop w:val="0"/>
              <w:marBottom w:val="0"/>
              <w:divBdr>
                <w:top w:val="none" w:sz="0" w:space="0" w:color="auto"/>
                <w:left w:val="none" w:sz="0" w:space="0" w:color="auto"/>
                <w:bottom w:val="none" w:sz="0" w:space="0" w:color="auto"/>
                <w:right w:val="none" w:sz="0" w:space="0" w:color="auto"/>
              </w:divBdr>
              <w:divsChild>
                <w:div w:id="678431358">
                  <w:marLeft w:val="0"/>
                  <w:marRight w:val="0"/>
                  <w:marTop w:val="0"/>
                  <w:marBottom w:val="0"/>
                  <w:divBdr>
                    <w:top w:val="none" w:sz="0" w:space="0" w:color="auto"/>
                    <w:left w:val="none" w:sz="0" w:space="0" w:color="auto"/>
                    <w:bottom w:val="none" w:sz="0" w:space="0" w:color="auto"/>
                    <w:right w:val="none" w:sz="0" w:space="0" w:color="auto"/>
                  </w:divBdr>
                  <w:divsChild>
                    <w:div w:id="160507814">
                      <w:marLeft w:val="0"/>
                      <w:marRight w:val="-18000"/>
                      <w:marTop w:val="0"/>
                      <w:marBottom w:val="0"/>
                      <w:divBdr>
                        <w:top w:val="none" w:sz="0" w:space="0" w:color="auto"/>
                        <w:left w:val="none" w:sz="0" w:space="0" w:color="auto"/>
                        <w:bottom w:val="none" w:sz="0" w:space="0" w:color="auto"/>
                        <w:right w:val="none" w:sz="0" w:space="0" w:color="auto"/>
                      </w:divBdr>
                      <w:divsChild>
                        <w:div w:id="1768622831">
                          <w:marLeft w:val="0"/>
                          <w:marRight w:val="0"/>
                          <w:marTop w:val="0"/>
                          <w:marBottom w:val="0"/>
                          <w:divBdr>
                            <w:top w:val="none" w:sz="0" w:space="0" w:color="auto"/>
                            <w:left w:val="none" w:sz="0" w:space="0" w:color="auto"/>
                            <w:bottom w:val="none" w:sz="0" w:space="0" w:color="auto"/>
                            <w:right w:val="none" w:sz="0" w:space="0" w:color="auto"/>
                          </w:divBdr>
                          <w:divsChild>
                            <w:div w:id="1531143109">
                              <w:marLeft w:val="0"/>
                              <w:marRight w:val="0"/>
                              <w:marTop w:val="0"/>
                              <w:marBottom w:val="0"/>
                              <w:divBdr>
                                <w:top w:val="none" w:sz="0" w:space="0" w:color="auto"/>
                                <w:left w:val="none" w:sz="0" w:space="0" w:color="auto"/>
                                <w:bottom w:val="none" w:sz="0" w:space="0" w:color="auto"/>
                                <w:right w:val="none" w:sz="0" w:space="0" w:color="auto"/>
                              </w:divBdr>
                              <w:divsChild>
                                <w:div w:id="3436671">
                                  <w:marLeft w:val="0"/>
                                  <w:marRight w:val="0"/>
                                  <w:marTop w:val="0"/>
                                  <w:marBottom w:val="0"/>
                                  <w:divBdr>
                                    <w:top w:val="single" w:sz="6" w:space="0" w:color="EEEEEE"/>
                                    <w:left w:val="single" w:sz="6" w:space="0" w:color="EEEEEE"/>
                                    <w:bottom w:val="single" w:sz="6" w:space="0" w:color="EEEEEE"/>
                                    <w:right w:val="single" w:sz="6" w:space="0" w:color="EEEEEE"/>
                                  </w:divBdr>
                                  <w:divsChild>
                                    <w:div w:id="1829905436">
                                      <w:marLeft w:val="0"/>
                                      <w:marRight w:val="0"/>
                                      <w:marTop w:val="0"/>
                                      <w:marBottom w:val="0"/>
                                      <w:divBdr>
                                        <w:top w:val="none" w:sz="0" w:space="0" w:color="auto"/>
                                        <w:left w:val="none" w:sz="0" w:space="0" w:color="auto"/>
                                        <w:bottom w:val="none" w:sz="0" w:space="0" w:color="auto"/>
                                        <w:right w:val="none" w:sz="0" w:space="0" w:color="auto"/>
                                      </w:divBdr>
                                    </w:div>
                                    <w:div w:id="460076017">
                                      <w:marLeft w:val="0"/>
                                      <w:marRight w:val="0"/>
                                      <w:marTop w:val="0"/>
                                      <w:marBottom w:val="0"/>
                                      <w:divBdr>
                                        <w:top w:val="none" w:sz="0" w:space="0" w:color="auto"/>
                                        <w:left w:val="none" w:sz="0" w:space="0" w:color="auto"/>
                                        <w:bottom w:val="none" w:sz="0" w:space="0" w:color="auto"/>
                                        <w:right w:val="none" w:sz="0" w:space="0" w:color="auto"/>
                                      </w:divBdr>
                                      <w:divsChild>
                                        <w:div w:id="1232232439">
                                          <w:marLeft w:val="0"/>
                                          <w:marRight w:val="0"/>
                                          <w:marTop w:val="0"/>
                                          <w:marBottom w:val="0"/>
                                          <w:divBdr>
                                            <w:top w:val="none" w:sz="0" w:space="0" w:color="auto"/>
                                            <w:left w:val="none" w:sz="0" w:space="0" w:color="auto"/>
                                            <w:bottom w:val="none" w:sz="0" w:space="0" w:color="auto"/>
                                            <w:right w:val="none" w:sz="0" w:space="0" w:color="auto"/>
                                          </w:divBdr>
                                        </w:div>
                                      </w:divsChild>
                                    </w:div>
                                    <w:div w:id="1564633232">
                                      <w:marLeft w:val="0"/>
                                      <w:marRight w:val="0"/>
                                      <w:marTop w:val="0"/>
                                      <w:marBottom w:val="0"/>
                                      <w:divBdr>
                                        <w:top w:val="none" w:sz="0" w:space="0" w:color="auto"/>
                                        <w:left w:val="none" w:sz="0" w:space="0" w:color="auto"/>
                                        <w:bottom w:val="none" w:sz="0" w:space="0" w:color="auto"/>
                                        <w:right w:val="none" w:sz="0" w:space="0" w:color="auto"/>
                                      </w:divBdr>
                                      <w:divsChild>
                                        <w:div w:id="11210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98338">
                              <w:marLeft w:val="0"/>
                              <w:marRight w:val="0"/>
                              <w:marTop w:val="0"/>
                              <w:marBottom w:val="0"/>
                              <w:divBdr>
                                <w:top w:val="none" w:sz="0" w:space="0" w:color="auto"/>
                                <w:left w:val="none" w:sz="0" w:space="0" w:color="auto"/>
                                <w:bottom w:val="none" w:sz="0" w:space="0" w:color="auto"/>
                                <w:right w:val="none" w:sz="0" w:space="0" w:color="auto"/>
                              </w:divBdr>
                              <w:divsChild>
                                <w:div w:id="2092316141">
                                  <w:marLeft w:val="0"/>
                                  <w:marRight w:val="0"/>
                                  <w:marTop w:val="0"/>
                                  <w:marBottom w:val="0"/>
                                  <w:divBdr>
                                    <w:top w:val="single" w:sz="6" w:space="0" w:color="EEEEEE"/>
                                    <w:left w:val="single" w:sz="6" w:space="0" w:color="EEEEEE"/>
                                    <w:bottom w:val="single" w:sz="6" w:space="0" w:color="EEEEEE"/>
                                    <w:right w:val="single" w:sz="6" w:space="0" w:color="EEEEEE"/>
                                  </w:divBdr>
                                  <w:divsChild>
                                    <w:div w:id="817963697">
                                      <w:marLeft w:val="0"/>
                                      <w:marRight w:val="0"/>
                                      <w:marTop w:val="0"/>
                                      <w:marBottom w:val="0"/>
                                      <w:divBdr>
                                        <w:top w:val="none" w:sz="0" w:space="0" w:color="auto"/>
                                        <w:left w:val="none" w:sz="0" w:space="0" w:color="auto"/>
                                        <w:bottom w:val="none" w:sz="0" w:space="0" w:color="auto"/>
                                        <w:right w:val="none" w:sz="0" w:space="0" w:color="auto"/>
                                      </w:divBdr>
                                    </w:div>
                                    <w:div w:id="295453585">
                                      <w:marLeft w:val="0"/>
                                      <w:marRight w:val="0"/>
                                      <w:marTop w:val="0"/>
                                      <w:marBottom w:val="0"/>
                                      <w:divBdr>
                                        <w:top w:val="none" w:sz="0" w:space="0" w:color="auto"/>
                                        <w:left w:val="none" w:sz="0" w:space="0" w:color="auto"/>
                                        <w:bottom w:val="none" w:sz="0" w:space="0" w:color="auto"/>
                                        <w:right w:val="none" w:sz="0" w:space="0" w:color="auto"/>
                                      </w:divBdr>
                                      <w:divsChild>
                                        <w:div w:id="1908373633">
                                          <w:marLeft w:val="0"/>
                                          <w:marRight w:val="0"/>
                                          <w:marTop w:val="0"/>
                                          <w:marBottom w:val="0"/>
                                          <w:divBdr>
                                            <w:top w:val="none" w:sz="0" w:space="0" w:color="auto"/>
                                            <w:left w:val="none" w:sz="0" w:space="0" w:color="auto"/>
                                            <w:bottom w:val="none" w:sz="0" w:space="0" w:color="auto"/>
                                            <w:right w:val="none" w:sz="0" w:space="0" w:color="auto"/>
                                          </w:divBdr>
                                        </w:div>
                                      </w:divsChild>
                                    </w:div>
                                    <w:div w:id="493642021">
                                      <w:marLeft w:val="0"/>
                                      <w:marRight w:val="0"/>
                                      <w:marTop w:val="0"/>
                                      <w:marBottom w:val="0"/>
                                      <w:divBdr>
                                        <w:top w:val="none" w:sz="0" w:space="0" w:color="auto"/>
                                        <w:left w:val="none" w:sz="0" w:space="0" w:color="auto"/>
                                        <w:bottom w:val="none" w:sz="0" w:space="0" w:color="auto"/>
                                        <w:right w:val="none" w:sz="0" w:space="0" w:color="auto"/>
                                      </w:divBdr>
                                      <w:divsChild>
                                        <w:div w:id="5798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5601">
                              <w:marLeft w:val="0"/>
                              <w:marRight w:val="0"/>
                              <w:marTop w:val="0"/>
                              <w:marBottom w:val="0"/>
                              <w:divBdr>
                                <w:top w:val="none" w:sz="0" w:space="0" w:color="auto"/>
                                <w:left w:val="none" w:sz="0" w:space="0" w:color="auto"/>
                                <w:bottom w:val="none" w:sz="0" w:space="0" w:color="auto"/>
                                <w:right w:val="none" w:sz="0" w:space="0" w:color="auto"/>
                              </w:divBdr>
                              <w:divsChild>
                                <w:div w:id="838733317">
                                  <w:marLeft w:val="0"/>
                                  <w:marRight w:val="0"/>
                                  <w:marTop w:val="0"/>
                                  <w:marBottom w:val="0"/>
                                  <w:divBdr>
                                    <w:top w:val="single" w:sz="6" w:space="0" w:color="EEEEEE"/>
                                    <w:left w:val="single" w:sz="6" w:space="0" w:color="EEEEEE"/>
                                    <w:bottom w:val="single" w:sz="6" w:space="0" w:color="EEEEEE"/>
                                    <w:right w:val="single" w:sz="6" w:space="0" w:color="EEEEEE"/>
                                  </w:divBdr>
                                  <w:divsChild>
                                    <w:div w:id="739903939">
                                      <w:marLeft w:val="0"/>
                                      <w:marRight w:val="0"/>
                                      <w:marTop w:val="0"/>
                                      <w:marBottom w:val="0"/>
                                      <w:divBdr>
                                        <w:top w:val="none" w:sz="0" w:space="0" w:color="auto"/>
                                        <w:left w:val="none" w:sz="0" w:space="0" w:color="auto"/>
                                        <w:bottom w:val="none" w:sz="0" w:space="0" w:color="auto"/>
                                        <w:right w:val="none" w:sz="0" w:space="0" w:color="auto"/>
                                      </w:divBdr>
                                    </w:div>
                                    <w:div w:id="728307552">
                                      <w:marLeft w:val="0"/>
                                      <w:marRight w:val="0"/>
                                      <w:marTop w:val="0"/>
                                      <w:marBottom w:val="0"/>
                                      <w:divBdr>
                                        <w:top w:val="none" w:sz="0" w:space="0" w:color="auto"/>
                                        <w:left w:val="none" w:sz="0" w:space="0" w:color="auto"/>
                                        <w:bottom w:val="none" w:sz="0" w:space="0" w:color="auto"/>
                                        <w:right w:val="none" w:sz="0" w:space="0" w:color="auto"/>
                                      </w:divBdr>
                                      <w:divsChild>
                                        <w:div w:id="2122870846">
                                          <w:marLeft w:val="0"/>
                                          <w:marRight w:val="0"/>
                                          <w:marTop w:val="0"/>
                                          <w:marBottom w:val="0"/>
                                          <w:divBdr>
                                            <w:top w:val="none" w:sz="0" w:space="0" w:color="auto"/>
                                            <w:left w:val="none" w:sz="0" w:space="0" w:color="auto"/>
                                            <w:bottom w:val="none" w:sz="0" w:space="0" w:color="auto"/>
                                            <w:right w:val="none" w:sz="0" w:space="0" w:color="auto"/>
                                          </w:divBdr>
                                        </w:div>
                                      </w:divsChild>
                                    </w:div>
                                    <w:div w:id="1949850235">
                                      <w:marLeft w:val="0"/>
                                      <w:marRight w:val="0"/>
                                      <w:marTop w:val="0"/>
                                      <w:marBottom w:val="0"/>
                                      <w:divBdr>
                                        <w:top w:val="none" w:sz="0" w:space="0" w:color="auto"/>
                                        <w:left w:val="none" w:sz="0" w:space="0" w:color="auto"/>
                                        <w:bottom w:val="none" w:sz="0" w:space="0" w:color="auto"/>
                                        <w:right w:val="none" w:sz="0" w:space="0" w:color="auto"/>
                                      </w:divBdr>
                                      <w:divsChild>
                                        <w:div w:id="10456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569212">
          <w:marLeft w:val="0"/>
          <w:marRight w:val="0"/>
          <w:marTop w:val="0"/>
          <w:marBottom w:val="0"/>
          <w:divBdr>
            <w:top w:val="single" w:sz="6" w:space="0" w:color="E3E7ED"/>
            <w:left w:val="single" w:sz="6" w:space="0" w:color="E3E7ED"/>
            <w:bottom w:val="single" w:sz="6" w:space="0" w:color="E3E7ED"/>
            <w:right w:val="single" w:sz="6" w:space="0" w:color="E3E7ED"/>
          </w:divBdr>
        </w:div>
        <w:div w:id="1201360315">
          <w:marLeft w:val="0"/>
          <w:marRight w:val="0"/>
          <w:marTop w:val="0"/>
          <w:marBottom w:val="0"/>
          <w:divBdr>
            <w:top w:val="none" w:sz="0" w:space="0" w:color="auto"/>
            <w:left w:val="none" w:sz="0" w:space="0" w:color="auto"/>
            <w:bottom w:val="none" w:sz="0" w:space="0" w:color="auto"/>
            <w:right w:val="none" w:sz="0" w:space="0" w:color="auto"/>
          </w:divBdr>
          <w:divsChild>
            <w:div w:id="1297950308">
              <w:marLeft w:val="0"/>
              <w:marRight w:val="0"/>
              <w:marTop w:val="0"/>
              <w:marBottom w:val="0"/>
              <w:divBdr>
                <w:top w:val="none" w:sz="0" w:space="0" w:color="auto"/>
                <w:left w:val="none" w:sz="0" w:space="0" w:color="auto"/>
                <w:bottom w:val="none" w:sz="0" w:space="0" w:color="auto"/>
                <w:right w:val="none" w:sz="0" w:space="0" w:color="auto"/>
              </w:divBdr>
              <w:divsChild>
                <w:div w:id="1160122771">
                  <w:marLeft w:val="0"/>
                  <w:marRight w:val="0"/>
                  <w:marTop w:val="0"/>
                  <w:marBottom w:val="0"/>
                  <w:divBdr>
                    <w:top w:val="none" w:sz="0" w:space="0" w:color="auto"/>
                    <w:left w:val="none" w:sz="0" w:space="0" w:color="auto"/>
                    <w:bottom w:val="none" w:sz="0" w:space="0" w:color="auto"/>
                    <w:right w:val="none" w:sz="0" w:space="0" w:color="auto"/>
                  </w:divBdr>
                  <w:divsChild>
                    <w:div w:id="856239753">
                      <w:marLeft w:val="0"/>
                      <w:marRight w:val="0"/>
                      <w:marTop w:val="0"/>
                      <w:marBottom w:val="0"/>
                      <w:divBdr>
                        <w:top w:val="none" w:sz="0" w:space="0" w:color="auto"/>
                        <w:left w:val="none" w:sz="0" w:space="0" w:color="auto"/>
                        <w:bottom w:val="none" w:sz="0" w:space="0" w:color="auto"/>
                        <w:right w:val="none" w:sz="0" w:space="0" w:color="auto"/>
                      </w:divBdr>
                      <w:divsChild>
                        <w:div w:id="589197445">
                          <w:marLeft w:val="0"/>
                          <w:marRight w:val="0"/>
                          <w:marTop w:val="0"/>
                          <w:marBottom w:val="0"/>
                          <w:divBdr>
                            <w:top w:val="none" w:sz="0" w:space="0" w:color="auto"/>
                            <w:left w:val="none" w:sz="0" w:space="0" w:color="auto"/>
                            <w:bottom w:val="none" w:sz="0" w:space="0" w:color="auto"/>
                            <w:right w:val="none" w:sz="0" w:space="0" w:color="auto"/>
                          </w:divBdr>
                        </w:div>
                        <w:div w:id="1506893221">
                          <w:marLeft w:val="0"/>
                          <w:marRight w:val="0"/>
                          <w:marTop w:val="0"/>
                          <w:marBottom w:val="0"/>
                          <w:divBdr>
                            <w:top w:val="none" w:sz="0" w:space="0" w:color="auto"/>
                            <w:left w:val="none" w:sz="0" w:space="0" w:color="auto"/>
                            <w:bottom w:val="none" w:sz="0" w:space="0" w:color="auto"/>
                            <w:right w:val="none" w:sz="0" w:space="0" w:color="auto"/>
                          </w:divBdr>
                        </w:div>
                        <w:div w:id="479083717">
                          <w:marLeft w:val="0"/>
                          <w:marRight w:val="0"/>
                          <w:marTop w:val="0"/>
                          <w:marBottom w:val="0"/>
                          <w:divBdr>
                            <w:top w:val="none" w:sz="0" w:space="0" w:color="auto"/>
                            <w:left w:val="none" w:sz="0" w:space="0" w:color="auto"/>
                            <w:bottom w:val="none" w:sz="0" w:space="0" w:color="auto"/>
                            <w:right w:val="none" w:sz="0" w:space="0" w:color="auto"/>
                          </w:divBdr>
                        </w:div>
                        <w:div w:id="18728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707">
                  <w:marLeft w:val="0"/>
                  <w:marRight w:val="0"/>
                  <w:marTop w:val="0"/>
                  <w:marBottom w:val="0"/>
                  <w:divBdr>
                    <w:top w:val="none" w:sz="0" w:space="0" w:color="auto"/>
                    <w:left w:val="none" w:sz="0" w:space="0" w:color="auto"/>
                    <w:bottom w:val="none" w:sz="0" w:space="0" w:color="auto"/>
                    <w:right w:val="none" w:sz="0" w:space="0" w:color="auto"/>
                  </w:divBdr>
                  <w:divsChild>
                    <w:div w:id="1267613143">
                      <w:marLeft w:val="0"/>
                      <w:marRight w:val="0"/>
                      <w:marTop w:val="0"/>
                      <w:marBottom w:val="0"/>
                      <w:divBdr>
                        <w:top w:val="none" w:sz="0" w:space="0" w:color="auto"/>
                        <w:left w:val="none" w:sz="0" w:space="0" w:color="auto"/>
                        <w:bottom w:val="none" w:sz="0" w:space="0" w:color="auto"/>
                        <w:right w:val="none" w:sz="0" w:space="0" w:color="auto"/>
                      </w:divBdr>
                    </w:div>
                  </w:divsChild>
                </w:div>
                <w:div w:id="1724475442">
                  <w:marLeft w:val="0"/>
                  <w:marRight w:val="0"/>
                  <w:marTop w:val="0"/>
                  <w:marBottom w:val="0"/>
                  <w:divBdr>
                    <w:top w:val="none" w:sz="0" w:space="0" w:color="auto"/>
                    <w:left w:val="none" w:sz="0" w:space="0" w:color="auto"/>
                    <w:bottom w:val="none" w:sz="0" w:space="0" w:color="auto"/>
                    <w:right w:val="none" w:sz="0" w:space="0" w:color="auto"/>
                  </w:divBdr>
                  <w:divsChild>
                    <w:div w:id="1362166113">
                      <w:marLeft w:val="0"/>
                      <w:marRight w:val="0"/>
                      <w:marTop w:val="0"/>
                      <w:marBottom w:val="0"/>
                      <w:divBdr>
                        <w:top w:val="none" w:sz="0" w:space="0" w:color="auto"/>
                        <w:left w:val="none" w:sz="0" w:space="0" w:color="auto"/>
                        <w:bottom w:val="none" w:sz="0" w:space="0" w:color="auto"/>
                        <w:right w:val="none" w:sz="0" w:space="0" w:color="auto"/>
                      </w:divBdr>
                    </w:div>
                  </w:divsChild>
                </w:div>
                <w:div w:id="2018538069">
                  <w:marLeft w:val="0"/>
                  <w:marRight w:val="0"/>
                  <w:marTop w:val="0"/>
                  <w:marBottom w:val="0"/>
                  <w:divBdr>
                    <w:top w:val="none" w:sz="0" w:space="0" w:color="auto"/>
                    <w:left w:val="none" w:sz="0" w:space="0" w:color="auto"/>
                    <w:bottom w:val="none" w:sz="0" w:space="0" w:color="auto"/>
                    <w:right w:val="none" w:sz="0" w:space="0" w:color="auto"/>
                  </w:divBdr>
                  <w:divsChild>
                    <w:div w:id="15799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13064">
              <w:marLeft w:val="0"/>
              <w:marRight w:val="0"/>
              <w:marTop w:val="0"/>
              <w:marBottom w:val="0"/>
              <w:divBdr>
                <w:top w:val="none" w:sz="0" w:space="0" w:color="auto"/>
                <w:left w:val="none" w:sz="0" w:space="0" w:color="auto"/>
                <w:bottom w:val="none" w:sz="0" w:space="0" w:color="auto"/>
                <w:right w:val="none" w:sz="0" w:space="0" w:color="auto"/>
              </w:divBdr>
              <w:divsChild>
                <w:div w:id="182398256">
                  <w:marLeft w:val="0"/>
                  <w:marRight w:val="0"/>
                  <w:marTop w:val="0"/>
                  <w:marBottom w:val="0"/>
                  <w:divBdr>
                    <w:top w:val="none" w:sz="0" w:space="0" w:color="auto"/>
                    <w:left w:val="none" w:sz="0" w:space="0" w:color="auto"/>
                    <w:bottom w:val="none" w:sz="0" w:space="0" w:color="auto"/>
                    <w:right w:val="none" w:sz="0" w:space="0" w:color="auto"/>
                  </w:divBdr>
                  <w:divsChild>
                    <w:div w:id="1486359720">
                      <w:marLeft w:val="0"/>
                      <w:marRight w:val="0"/>
                      <w:marTop w:val="0"/>
                      <w:marBottom w:val="0"/>
                      <w:divBdr>
                        <w:top w:val="single" w:sz="6" w:space="0" w:color="E3E7ED"/>
                        <w:left w:val="single" w:sz="6" w:space="0" w:color="E3E7ED"/>
                        <w:bottom w:val="single" w:sz="6" w:space="0" w:color="E3E7ED"/>
                        <w:right w:val="single" w:sz="6" w:space="0" w:color="E3E7ED"/>
                      </w:divBdr>
                      <w:divsChild>
                        <w:div w:id="17460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14925">
                  <w:marLeft w:val="0"/>
                  <w:marRight w:val="0"/>
                  <w:marTop w:val="0"/>
                  <w:marBottom w:val="0"/>
                  <w:divBdr>
                    <w:top w:val="none" w:sz="0" w:space="0" w:color="auto"/>
                    <w:left w:val="none" w:sz="0" w:space="0" w:color="auto"/>
                    <w:bottom w:val="none" w:sz="0" w:space="0" w:color="auto"/>
                    <w:right w:val="none" w:sz="0" w:space="0" w:color="auto"/>
                  </w:divBdr>
                  <w:divsChild>
                    <w:div w:id="723524357">
                      <w:marLeft w:val="0"/>
                      <w:marRight w:val="0"/>
                      <w:marTop w:val="0"/>
                      <w:marBottom w:val="0"/>
                      <w:divBdr>
                        <w:top w:val="single" w:sz="6" w:space="0" w:color="E3E7ED"/>
                        <w:left w:val="single" w:sz="6" w:space="0" w:color="E3E7ED"/>
                        <w:bottom w:val="single" w:sz="6" w:space="0" w:color="E3E7ED"/>
                        <w:right w:val="single" w:sz="6" w:space="0" w:color="E3E7ED"/>
                      </w:divBdr>
                      <w:divsChild>
                        <w:div w:id="359357228">
                          <w:marLeft w:val="0"/>
                          <w:marRight w:val="0"/>
                          <w:marTop w:val="0"/>
                          <w:marBottom w:val="0"/>
                          <w:divBdr>
                            <w:top w:val="none" w:sz="0" w:space="0" w:color="auto"/>
                            <w:left w:val="none" w:sz="0" w:space="0" w:color="auto"/>
                            <w:bottom w:val="none" w:sz="0" w:space="0" w:color="auto"/>
                            <w:right w:val="none" w:sz="0" w:space="0" w:color="auto"/>
                          </w:divBdr>
                        </w:div>
                        <w:div w:id="9350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040330">
      <w:bodyDiv w:val="1"/>
      <w:marLeft w:val="0"/>
      <w:marRight w:val="0"/>
      <w:marTop w:val="0"/>
      <w:marBottom w:val="0"/>
      <w:divBdr>
        <w:top w:val="none" w:sz="0" w:space="0" w:color="auto"/>
        <w:left w:val="none" w:sz="0" w:space="0" w:color="auto"/>
        <w:bottom w:val="none" w:sz="0" w:space="0" w:color="auto"/>
        <w:right w:val="none" w:sz="0" w:space="0" w:color="auto"/>
      </w:divBdr>
    </w:div>
    <w:div w:id="432366361">
      <w:bodyDiv w:val="1"/>
      <w:marLeft w:val="0"/>
      <w:marRight w:val="0"/>
      <w:marTop w:val="0"/>
      <w:marBottom w:val="0"/>
      <w:divBdr>
        <w:top w:val="none" w:sz="0" w:space="0" w:color="auto"/>
        <w:left w:val="none" w:sz="0" w:space="0" w:color="auto"/>
        <w:bottom w:val="none" w:sz="0" w:space="0" w:color="auto"/>
        <w:right w:val="none" w:sz="0" w:space="0" w:color="auto"/>
      </w:divBdr>
      <w:divsChild>
        <w:div w:id="473179319">
          <w:marLeft w:val="0"/>
          <w:marRight w:val="0"/>
          <w:marTop w:val="0"/>
          <w:marBottom w:val="0"/>
          <w:divBdr>
            <w:top w:val="single" w:sz="2" w:space="0" w:color="E5E7EB"/>
            <w:left w:val="single" w:sz="2" w:space="0" w:color="E5E7EB"/>
            <w:bottom w:val="single" w:sz="2" w:space="0" w:color="E5E7EB"/>
            <w:right w:val="single" w:sz="2" w:space="0" w:color="E5E7EB"/>
          </w:divBdr>
          <w:divsChild>
            <w:div w:id="566763563">
              <w:marLeft w:val="0"/>
              <w:marRight w:val="0"/>
              <w:marTop w:val="0"/>
              <w:marBottom w:val="0"/>
              <w:divBdr>
                <w:top w:val="single" w:sz="2" w:space="0" w:color="E5E7EB"/>
                <w:left w:val="single" w:sz="2" w:space="0" w:color="E5E7EB"/>
                <w:bottom w:val="single" w:sz="2" w:space="0" w:color="E5E7EB"/>
                <w:right w:val="single" w:sz="2" w:space="0" w:color="E5E7EB"/>
              </w:divBdr>
              <w:divsChild>
                <w:div w:id="1970546618">
                  <w:marLeft w:val="0"/>
                  <w:marRight w:val="0"/>
                  <w:marTop w:val="0"/>
                  <w:marBottom w:val="0"/>
                  <w:divBdr>
                    <w:top w:val="single" w:sz="6" w:space="0" w:color="EBEBED"/>
                    <w:left w:val="single" w:sz="6" w:space="0" w:color="EBEBED"/>
                    <w:bottom w:val="single" w:sz="6" w:space="0" w:color="EBEBED"/>
                    <w:right w:val="single" w:sz="6" w:space="0" w:color="EBEBED"/>
                  </w:divBdr>
                  <w:divsChild>
                    <w:div w:id="568998499">
                      <w:marLeft w:val="0"/>
                      <w:marRight w:val="0"/>
                      <w:marTop w:val="0"/>
                      <w:marBottom w:val="0"/>
                      <w:divBdr>
                        <w:top w:val="single" w:sz="2" w:space="0" w:color="E5E7EB"/>
                        <w:left w:val="single" w:sz="2" w:space="0" w:color="E5E7EB"/>
                        <w:bottom w:val="single" w:sz="2" w:space="0" w:color="E5E7EB"/>
                        <w:right w:val="single" w:sz="2" w:space="0" w:color="E5E7EB"/>
                      </w:divBdr>
                      <w:divsChild>
                        <w:div w:id="16240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57932892">
      <w:bodyDiv w:val="1"/>
      <w:marLeft w:val="0"/>
      <w:marRight w:val="0"/>
      <w:marTop w:val="0"/>
      <w:marBottom w:val="0"/>
      <w:divBdr>
        <w:top w:val="none" w:sz="0" w:space="0" w:color="auto"/>
        <w:left w:val="none" w:sz="0" w:space="0" w:color="auto"/>
        <w:bottom w:val="none" w:sz="0" w:space="0" w:color="auto"/>
        <w:right w:val="none" w:sz="0" w:space="0" w:color="auto"/>
      </w:divBdr>
    </w:div>
    <w:div w:id="692727263">
      <w:bodyDiv w:val="1"/>
      <w:marLeft w:val="0"/>
      <w:marRight w:val="0"/>
      <w:marTop w:val="0"/>
      <w:marBottom w:val="0"/>
      <w:divBdr>
        <w:top w:val="none" w:sz="0" w:space="0" w:color="auto"/>
        <w:left w:val="none" w:sz="0" w:space="0" w:color="auto"/>
        <w:bottom w:val="none" w:sz="0" w:space="0" w:color="auto"/>
        <w:right w:val="none" w:sz="0" w:space="0" w:color="auto"/>
      </w:divBdr>
    </w:div>
    <w:div w:id="843207797">
      <w:bodyDiv w:val="1"/>
      <w:marLeft w:val="0"/>
      <w:marRight w:val="0"/>
      <w:marTop w:val="0"/>
      <w:marBottom w:val="0"/>
      <w:divBdr>
        <w:top w:val="none" w:sz="0" w:space="0" w:color="auto"/>
        <w:left w:val="none" w:sz="0" w:space="0" w:color="auto"/>
        <w:bottom w:val="none" w:sz="0" w:space="0" w:color="auto"/>
        <w:right w:val="none" w:sz="0" w:space="0" w:color="auto"/>
      </w:divBdr>
    </w:div>
    <w:div w:id="1420716939">
      <w:bodyDiv w:val="1"/>
      <w:marLeft w:val="0"/>
      <w:marRight w:val="0"/>
      <w:marTop w:val="0"/>
      <w:marBottom w:val="0"/>
      <w:divBdr>
        <w:top w:val="none" w:sz="0" w:space="0" w:color="auto"/>
        <w:left w:val="none" w:sz="0" w:space="0" w:color="auto"/>
        <w:bottom w:val="none" w:sz="0" w:space="0" w:color="auto"/>
        <w:right w:val="none" w:sz="0" w:space="0" w:color="auto"/>
      </w:divBdr>
      <w:divsChild>
        <w:div w:id="1634023518">
          <w:marLeft w:val="0"/>
          <w:marRight w:val="0"/>
          <w:marTop w:val="0"/>
          <w:marBottom w:val="0"/>
          <w:divBdr>
            <w:top w:val="single" w:sz="2" w:space="0" w:color="E5E7EB"/>
            <w:left w:val="single" w:sz="2" w:space="0" w:color="E5E7EB"/>
            <w:bottom w:val="single" w:sz="2" w:space="0" w:color="E5E7EB"/>
            <w:right w:val="single" w:sz="2" w:space="0" w:color="E5E7EB"/>
          </w:divBdr>
          <w:divsChild>
            <w:div w:id="551234255">
              <w:marLeft w:val="0"/>
              <w:marRight w:val="0"/>
              <w:marTop w:val="0"/>
              <w:marBottom w:val="0"/>
              <w:divBdr>
                <w:top w:val="single" w:sz="2" w:space="0" w:color="E5E7EB"/>
                <w:left w:val="single" w:sz="2" w:space="0" w:color="E5E7EB"/>
                <w:bottom w:val="single" w:sz="2" w:space="0" w:color="E5E7EB"/>
                <w:right w:val="single" w:sz="2" w:space="0" w:color="E5E7EB"/>
              </w:divBdr>
              <w:divsChild>
                <w:div w:id="1155142281">
                  <w:marLeft w:val="0"/>
                  <w:marRight w:val="0"/>
                  <w:marTop w:val="0"/>
                  <w:marBottom w:val="0"/>
                  <w:divBdr>
                    <w:top w:val="single" w:sz="6" w:space="0" w:color="EBEBED"/>
                    <w:left w:val="single" w:sz="6" w:space="0" w:color="EBEBED"/>
                    <w:bottom w:val="single" w:sz="6" w:space="0" w:color="EBEBED"/>
                    <w:right w:val="single" w:sz="6" w:space="0" w:color="EBEBED"/>
                  </w:divBdr>
                  <w:divsChild>
                    <w:div w:id="902760931">
                      <w:marLeft w:val="0"/>
                      <w:marRight w:val="0"/>
                      <w:marTop w:val="0"/>
                      <w:marBottom w:val="0"/>
                      <w:divBdr>
                        <w:top w:val="single" w:sz="2" w:space="0" w:color="E5E7EB"/>
                        <w:left w:val="single" w:sz="2" w:space="0" w:color="E5E7EB"/>
                        <w:bottom w:val="single" w:sz="2" w:space="0" w:color="E5E7EB"/>
                        <w:right w:val="single" w:sz="2" w:space="0" w:color="E5E7EB"/>
                      </w:divBdr>
                      <w:divsChild>
                        <w:div w:id="19492402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34500897">
      <w:bodyDiv w:val="1"/>
      <w:marLeft w:val="0"/>
      <w:marRight w:val="0"/>
      <w:marTop w:val="0"/>
      <w:marBottom w:val="0"/>
      <w:divBdr>
        <w:top w:val="none" w:sz="0" w:space="0" w:color="auto"/>
        <w:left w:val="none" w:sz="0" w:space="0" w:color="auto"/>
        <w:bottom w:val="none" w:sz="0" w:space="0" w:color="auto"/>
        <w:right w:val="none" w:sz="0" w:space="0" w:color="auto"/>
      </w:divBdr>
      <w:divsChild>
        <w:div w:id="356850816">
          <w:marLeft w:val="0"/>
          <w:marRight w:val="0"/>
          <w:marTop w:val="120"/>
          <w:marBottom w:val="120"/>
          <w:divBdr>
            <w:top w:val="none" w:sz="0" w:space="0" w:color="auto"/>
            <w:left w:val="none" w:sz="0" w:space="0" w:color="auto"/>
            <w:bottom w:val="none" w:sz="0" w:space="0" w:color="auto"/>
            <w:right w:val="none" w:sz="0" w:space="0" w:color="auto"/>
          </w:divBdr>
        </w:div>
      </w:divsChild>
    </w:div>
    <w:div w:id="1797596690">
      <w:bodyDiv w:val="1"/>
      <w:marLeft w:val="0"/>
      <w:marRight w:val="0"/>
      <w:marTop w:val="0"/>
      <w:marBottom w:val="0"/>
      <w:divBdr>
        <w:top w:val="none" w:sz="0" w:space="0" w:color="auto"/>
        <w:left w:val="none" w:sz="0" w:space="0" w:color="auto"/>
        <w:bottom w:val="none" w:sz="0" w:space="0" w:color="auto"/>
        <w:right w:val="none" w:sz="0" w:space="0" w:color="auto"/>
      </w:divBdr>
    </w:div>
    <w:div w:id="1826508951">
      <w:bodyDiv w:val="1"/>
      <w:marLeft w:val="0"/>
      <w:marRight w:val="0"/>
      <w:marTop w:val="0"/>
      <w:marBottom w:val="0"/>
      <w:divBdr>
        <w:top w:val="none" w:sz="0" w:space="0" w:color="auto"/>
        <w:left w:val="none" w:sz="0" w:space="0" w:color="auto"/>
        <w:bottom w:val="none" w:sz="0" w:space="0" w:color="auto"/>
        <w:right w:val="none" w:sz="0" w:space="0" w:color="auto"/>
      </w:divBdr>
      <w:divsChild>
        <w:div w:id="1707290340">
          <w:marLeft w:val="0"/>
          <w:marRight w:val="0"/>
          <w:marTop w:val="0"/>
          <w:marBottom w:val="0"/>
          <w:divBdr>
            <w:top w:val="none" w:sz="0" w:space="0" w:color="auto"/>
            <w:left w:val="none" w:sz="0" w:space="0" w:color="auto"/>
            <w:bottom w:val="none" w:sz="0" w:space="0" w:color="auto"/>
            <w:right w:val="none" w:sz="0" w:space="0" w:color="auto"/>
          </w:divBdr>
          <w:divsChild>
            <w:div w:id="5955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2343</TotalTime>
  <Pages>26</Pages>
  <Words>7872</Words>
  <Characters>44876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Tunde Folorunso Ayinuola (Ag. Divisional Head, Operations)</dc:creator>
  <cp:keywords/>
  <dc:description/>
  <cp:lastModifiedBy>SDI 1084</cp:lastModifiedBy>
  <cp:revision>47</cp:revision>
  <dcterms:created xsi:type="dcterms:W3CDTF">2025-08-02T11:07:00Z</dcterms:created>
  <dcterms:modified xsi:type="dcterms:W3CDTF">2025-08-26T06:41:00Z</dcterms:modified>
</cp:coreProperties>
</file>