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0CF56" w14:textId="77777777" w:rsidR="00211432" w:rsidRDefault="00211432" w:rsidP="0086092C">
      <w:pPr>
        <w:spacing w:line="240" w:lineRule="auto"/>
        <w:jc w:val="center"/>
        <w:rPr>
          <w:rFonts w:ascii="Arial" w:hAnsi="Arial" w:cs="Arial"/>
          <w:b/>
          <w:bCs/>
          <w:sz w:val="24"/>
          <w:szCs w:val="24"/>
        </w:rPr>
      </w:pPr>
      <w:r w:rsidRPr="00211432">
        <w:rPr>
          <w:rFonts w:ascii="Arial" w:hAnsi="Arial" w:cs="Arial"/>
          <w:b/>
          <w:bCs/>
          <w:sz w:val="24"/>
          <w:szCs w:val="24"/>
        </w:rPr>
        <w:t xml:space="preserve">Original Research Article </w:t>
      </w:r>
    </w:p>
    <w:p w14:paraId="1FFE15A8" w14:textId="77777777" w:rsidR="00211432" w:rsidRDefault="00211432" w:rsidP="0086092C">
      <w:pPr>
        <w:spacing w:line="240" w:lineRule="auto"/>
        <w:jc w:val="center"/>
        <w:rPr>
          <w:rFonts w:ascii="Arial" w:hAnsi="Arial" w:cs="Arial"/>
          <w:b/>
          <w:bCs/>
          <w:sz w:val="24"/>
          <w:szCs w:val="24"/>
        </w:rPr>
      </w:pPr>
    </w:p>
    <w:p w14:paraId="00E575D0" w14:textId="1BAEE7C4" w:rsidR="00643273" w:rsidRPr="00C73D03" w:rsidRDefault="00643273" w:rsidP="0086092C">
      <w:pPr>
        <w:spacing w:line="240" w:lineRule="auto"/>
        <w:jc w:val="center"/>
        <w:rPr>
          <w:rFonts w:ascii="Arial" w:hAnsi="Arial" w:cs="Arial"/>
          <w:b/>
          <w:bCs/>
          <w:sz w:val="24"/>
          <w:szCs w:val="24"/>
        </w:rPr>
      </w:pPr>
      <w:r w:rsidRPr="00C73D03">
        <w:rPr>
          <w:rFonts w:ascii="Arial" w:hAnsi="Arial" w:cs="Arial"/>
          <w:b/>
          <w:bCs/>
          <w:sz w:val="24"/>
          <w:szCs w:val="24"/>
        </w:rPr>
        <w:t xml:space="preserve">A Vector Autoregression (VAR) Analysis of Regulatory Framework, Legal Framework, and Banking Stability in </w:t>
      </w:r>
      <w:r w:rsidR="00066E1F" w:rsidRPr="00C73D03">
        <w:rPr>
          <w:rFonts w:ascii="Arial" w:hAnsi="Arial" w:cs="Arial"/>
          <w:b/>
          <w:bCs/>
          <w:sz w:val="24"/>
          <w:szCs w:val="24"/>
        </w:rPr>
        <w:t>Chad</w:t>
      </w:r>
    </w:p>
    <w:p w14:paraId="6BB64A4D" w14:textId="77777777" w:rsidR="00C73D03" w:rsidRDefault="00C73D03" w:rsidP="0086092C">
      <w:pPr>
        <w:spacing w:line="240" w:lineRule="auto"/>
        <w:jc w:val="center"/>
        <w:rPr>
          <w:rFonts w:ascii="Arial" w:hAnsi="Arial" w:cs="Arial"/>
          <w:b/>
          <w:bCs/>
        </w:rPr>
      </w:pPr>
    </w:p>
    <w:p w14:paraId="6129DFAF" w14:textId="77777777" w:rsidR="00C73D03" w:rsidRDefault="00C73D03" w:rsidP="0086092C">
      <w:pPr>
        <w:spacing w:line="240" w:lineRule="auto"/>
        <w:jc w:val="both"/>
        <w:rPr>
          <w:rFonts w:ascii="Arial" w:hAnsi="Arial" w:cs="Arial"/>
          <w:b/>
          <w:bCs/>
        </w:rPr>
      </w:pPr>
    </w:p>
    <w:p w14:paraId="6AB077AA" w14:textId="38E5C100" w:rsidR="00643273" w:rsidRPr="0086092C" w:rsidRDefault="0086092C" w:rsidP="0086092C">
      <w:pPr>
        <w:spacing w:line="240" w:lineRule="auto"/>
        <w:jc w:val="both"/>
        <w:rPr>
          <w:rFonts w:ascii="Arial" w:hAnsi="Arial" w:cs="Arial"/>
          <w:b/>
          <w:bCs/>
        </w:rPr>
      </w:pPr>
      <w:r w:rsidRPr="0086092C">
        <w:rPr>
          <w:rFonts w:ascii="Arial" w:hAnsi="Arial" w:cs="Arial"/>
          <w:b/>
          <w:bCs/>
        </w:rPr>
        <w:t>ABSTRACT</w:t>
      </w:r>
    </w:p>
    <w:p w14:paraId="0B275116" w14:textId="0CC05DE3" w:rsidR="0086092C" w:rsidRDefault="0086092C" w:rsidP="0086092C">
      <w:pPr>
        <w:spacing w:after="0" w:line="240" w:lineRule="auto"/>
        <w:jc w:val="both"/>
        <w:rPr>
          <w:rFonts w:ascii="Arial" w:hAnsi="Arial" w:cs="Arial"/>
          <w:sz w:val="20"/>
          <w:szCs w:val="20"/>
        </w:rPr>
      </w:pPr>
      <w:r w:rsidRPr="0086092C">
        <w:rPr>
          <w:rFonts w:ascii="Arial" w:hAnsi="Arial" w:cs="Arial"/>
          <w:b/>
          <w:bCs/>
          <w:sz w:val="20"/>
          <w:szCs w:val="20"/>
        </w:rPr>
        <w:t>Purpose:</w:t>
      </w:r>
      <w:r>
        <w:rPr>
          <w:rFonts w:ascii="Arial" w:hAnsi="Arial" w:cs="Arial"/>
          <w:sz w:val="20"/>
          <w:szCs w:val="20"/>
        </w:rPr>
        <w:t xml:space="preserve"> </w:t>
      </w:r>
      <w:r w:rsidR="002D0E5B" w:rsidRPr="0086092C">
        <w:rPr>
          <w:rFonts w:ascii="Arial" w:hAnsi="Arial" w:cs="Arial"/>
          <w:sz w:val="20"/>
          <w:szCs w:val="20"/>
        </w:rPr>
        <w:t xml:space="preserve">This </w:t>
      </w:r>
      <w:r w:rsidR="00E0315E" w:rsidRPr="0086092C">
        <w:rPr>
          <w:rFonts w:ascii="Arial" w:hAnsi="Arial" w:cs="Arial"/>
          <w:sz w:val="20"/>
          <w:szCs w:val="20"/>
        </w:rPr>
        <w:t>study</w:t>
      </w:r>
      <w:r w:rsidR="002D0E5B" w:rsidRPr="0086092C">
        <w:rPr>
          <w:rFonts w:ascii="Arial" w:hAnsi="Arial" w:cs="Arial"/>
          <w:sz w:val="20"/>
          <w:szCs w:val="20"/>
        </w:rPr>
        <w:t xml:space="preserve"> investigates the interplay among regulatory framework, legal framework, and banking stability in Chad, using </w:t>
      </w:r>
      <w:r w:rsidR="004347AF">
        <w:rPr>
          <w:rFonts w:ascii="Arial" w:hAnsi="Arial" w:cs="Arial"/>
          <w:sz w:val="20"/>
          <w:szCs w:val="20"/>
        </w:rPr>
        <w:t xml:space="preserve">annual </w:t>
      </w:r>
      <w:r w:rsidR="002D0E5B" w:rsidRPr="0086092C">
        <w:rPr>
          <w:rFonts w:ascii="Arial" w:hAnsi="Arial" w:cs="Arial"/>
          <w:sz w:val="20"/>
          <w:szCs w:val="20"/>
        </w:rPr>
        <w:t xml:space="preserve">data from 2002 to 2022. </w:t>
      </w:r>
    </w:p>
    <w:p w14:paraId="5D45BC2C" w14:textId="6B5ED105" w:rsidR="0086092C" w:rsidRDefault="0086092C" w:rsidP="0086092C">
      <w:pPr>
        <w:spacing w:after="0" w:line="240" w:lineRule="auto"/>
        <w:jc w:val="both"/>
        <w:rPr>
          <w:rFonts w:ascii="Arial" w:hAnsi="Arial" w:cs="Arial"/>
          <w:sz w:val="20"/>
          <w:szCs w:val="20"/>
        </w:rPr>
      </w:pPr>
      <w:r w:rsidRPr="0086092C">
        <w:rPr>
          <w:rFonts w:ascii="Arial" w:hAnsi="Arial" w:cs="Arial"/>
          <w:b/>
          <w:bCs/>
          <w:sz w:val="20"/>
          <w:szCs w:val="20"/>
        </w:rPr>
        <w:t>Methodology:</w:t>
      </w:r>
      <w:r>
        <w:rPr>
          <w:rFonts w:ascii="Arial" w:hAnsi="Arial" w:cs="Arial"/>
          <w:b/>
          <w:bCs/>
          <w:sz w:val="20"/>
          <w:szCs w:val="20"/>
        </w:rPr>
        <w:t xml:space="preserve"> </w:t>
      </w:r>
      <w:r w:rsidR="00E0315E" w:rsidRPr="0086092C">
        <w:rPr>
          <w:rFonts w:ascii="Arial" w:hAnsi="Arial" w:cs="Arial"/>
          <w:sz w:val="20"/>
          <w:szCs w:val="20"/>
        </w:rPr>
        <w:t>To analyze the relationships among these variables, t</w:t>
      </w:r>
      <w:r w:rsidR="002D0E5B" w:rsidRPr="0086092C">
        <w:rPr>
          <w:rFonts w:ascii="Arial" w:hAnsi="Arial" w:cs="Arial"/>
          <w:sz w:val="20"/>
          <w:szCs w:val="20"/>
        </w:rPr>
        <w:t xml:space="preserve">he study employs a Vector Autoregression (VAR) model, complemented by granger causality analyses and impulse response function (IRF) insights. </w:t>
      </w:r>
      <w:r w:rsidRPr="0086092C">
        <w:rPr>
          <w:rFonts w:ascii="Arial" w:hAnsi="Arial" w:cs="Arial"/>
          <w:sz w:val="20"/>
          <w:szCs w:val="20"/>
        </w:rPr>
        <w:t xml:space="preserve">Banking stability is measured by the Non-Performing Loans Ratio (NPLR), regulatory framework by the Regulatory Quality Index, and legal framework by the Rule of Law Index. </w:t>
      </w:r>
    </w:p>
    <w:p w14:paraId="0B777EC1" w14:textId="77777777" w:rsidR="0086092C" w:rsidRDefault="0086092C" w:rsidP="0086092C">
      <w:pPr>
        <w:spacing w:after="0" w:line="240" w:lineRule="auto"/>
        <w:jc w:val="both"/>
        <w:rPr>
          <w:rFonts w:ascii="Arial" w:hAnsi="Arial" w:cs="Arial"/>
          <w:sz w:val="20"/>
          <w:szCs w:val="20"/>
        </w:rPr>
      </w:pPr>
      <w:r w:rsidRPr="0086092C">
        <w:rPr>
          <w:rFonts w:ascii="Arial" w:hAnsi="Arial" w:cs="Arial"/>
          <w:b/>
          <w:bCs/>
          <w:sz w:val="20"/>
          <w:szCs w:val="20"/>
        </w:rPr>
        <w:t>Results:</w:t>
      </w:r>
      <w:r>
        <w:rPr>
          <w:rFonts w:ascii="Arial" w:hAnsi="Arial" w:cs="Arial"/>
          <w:sz w:val="20"/>
          <w:szCs w:val="20"/>
        </w:rPr>
        <w:t xml:space="preserve"> </w:t>
      </w:r>
      <w:r w:rsidR="002D0E5B" w:rsidRPr="0086092C">
        <w:rPr>
          <w:rFonts w:ascii="Arial" w:hAnsi="Arial" w:cs="Arial"/>
          <w:sz w:val="20"/>
          <w:szCs w:val="20"/>
        </w:rPr>
        <w:t xml:space="preserve">The results indicate that improvements in regulatory quality significantly reduce </w:t>
      </w:r>
      <w:r w:rsidR="007572F9" w:rsidRPr="0086092C">
        <w:rPr>
          <w:rFonts w:ascii="Arial" w:hAnsi="Arial" w:cs="Arial"/>
          <w:sz w:val="20"/>
          <w:szCs w:val="20"/>
        </w:rPr>
        <w:t>non-performing loans</w:t>
      </w:r>
      <w:r w:rsidR="002D0E5B" w:rsidRPr="0086092C">
        <w:rPr>
          <w:rFonts w:ascii="Arial" w:hAnsi="Arial" w:cs="Arial"/>
          <w:sz w:val="20"/>
          <w:szCs w:val="20"/>
        </w:rPr>
        <w:t>, thereby enhancing banking stability. Conversely, enhancements in the rule of law initially increase</w:t>
      </w:r>
      <w:r w:rsidR="00E0315E" w:rsidRPr="0086092C">
        <w:rPr>
          <w:rFonts w:ascii="Arial" w:hAnsi="Arial" w:cs="Arial"/>
          <w:sz w:val="20"/>
          <w:szCs w:val="20"/>
        </w:rPr>
        <w:t>s</w:t>
      </w:r>
      <w:r w:rsidR="002D0E5B" w:rsidRPr="0086092C">
        <w:rPr>
          <w:rFonts w:ascii="Arial" w:hAnsi="Arial" w:cs="Arial"/>
          <w:sz w:val="20"/>
          <w:szCs w:val="20"/>
        </w:rPr>
        <w:t xml:space="preserve"> non-performing loans due to stricter enforcement and recognition of bad loans, but this is crucial for long-term stability as it fosters a more transparent and accountable banking environment. The interplay between regulatory and legal frameworks reveals that improvements in one might initially challenge the other, emphasizing the need for harmonized reforms. </w:t>
      </w:r>
    </w:p>
    <w:p w14:paraId="36CD1DB0" w14:textId="1B093DF6" w:rsidR="002D0E5B" w:rsidRDefault="0086092C" w:rsidP="0086092C">
      <w:pPr>
        <w:spacing w:after="0" w:line="240" w:lineRule="auto"/>
        <w:jc w:val="both"/>
        <w:rPr>
          <w:rFonts w:ascii="Arial" w:hAnsi="Arial" w:cs="Arial"/>
          <w:sz w:val="20"/>
          <w:szCs w:val="20"/>
        </w:rPr>
      </w:pPr>
      <w:r w:rsidRPr="0086092C">
        <w:rPr>
          <w:rFonts w:ascii="Arial" w:hAnsi="Arial" w:cs="Arial"/>
          <w:b/>
          <w:bCs/>
          <w:sz w:val="20"/>
          <w:szCs w:val="20"/>
        </w:rPr>
        <w:t>Conclusion:</w:t>
      </w:r>
      <w:r>
        <w:rPr>
          <w:rFonts w:ascii="Arial" w:hAnsi="Arial" w:cs="Arial"/>
          <w:sz w:val="20"/>
          <w:szCs w:val="20"/>
        </w:rPr>
        <w:t xml:space="preserve"> </w:t>
      </w:r>
      <w:r w:rsidR="002D0E5B" w:rsidRPr="0086092C">
        <w:rPr>
          <w:rFonts w:ascii="Arial" w:hAnsi="Arial" w:cs="Arial"/>
          <w:sz w:val="20"/>
          <w:szCs w:val="20"/>
        </w:rPr>
        <w:t>The study concludes that both regulatory and legal frameworks are essential for banking stability in Chad, and recommends harmonized reforms, continuous monitoring, and capacity building for regulatory and legal institutions to ensure sustainable banking stability.</w:t>
      </w:r>
    </w:p>
    <w:p w14:paraId="1AD8E182" w14:textId="77777777" w:rsidR="0086092C" w:rsidRPr="0086092C" w:rsidRDefault="0086092C" w:rsidP="0086092C">
      <w:pPr>
        <w:spacing w:after="0" w:line="240" w:lineRule="auto"/>
        <w:jc w:val="both"/>
        <w:rPr>
          <w:rFonts w:ascii="Arial" w:hAnsi="Arial" w:cs="Arial"/>
          <w:sz w:val="20"/>
          <w:szCs w:val="20"/>
        </w:rPr>
      </w:pPr>
    </w:p>
    <w:p w14:paraId="3BF29050" w14:textId="714948A0" w:rsidR="00643273" w:rsidRPr="0086092C" w:rsidRDefault="00643273" w:rsidP="0086092C">
      <w:pPr>
        <w:spacing w:line="240" w:lineRule="auto"/>
        <w:jc w:val="both"/>
        <w:rPr>
          <w:rFonts w:ascii="Arial" w:hAnsi="Arial" w:cs="Arial"/>
          <w:i/>
          <w:iCs/>
          <w:sz w:val="20"/>
          <w:szCs w:val="20"/>
        </w:rPr>
      </w:pPr>
      <w:r w:rsidRPr="0086092C">
        <w:rPr>
          <w:rFonts w:ascii="Arial" w:hAnsi="Arial" w:cs="Arial"/>
          <w:b/>
          <w:sz w:val="20"/>
          <w:szCs w:val="20"/>
        </w:rPr>
        <w:t xml:space="preserve">Key Words: </w:t>
      </w:r>
      <w:r w:rsidRPr="0086092C">
        <w:rPr>
          <w:rFonts w:ascii="Arial" w:hAnsi="Arial" w:cs="Arial"/>
          <w:i/>
          <w:iCs/>
          <w:sz w:val="20"/>
          <w:szCs w:val="20"/>
        </w:rPr>
        <w:t>Banking Stability, Regulatory Framework, Legal Framework, VAR model</w:t>
      </w:r>
    </w:p>
    <w:p w14:paraId="13E8E9E2" w14:textId="77777777" w:rsidR="009B1F38" w:rsidRPr="0086092C" w:rsidRDefault="009B1F38" w:rsidP="0086092C">
      <w:pPr>
        <w:spacing w:line="240" w:lineRule="auto"/>
        <w:jc w:val="both"/>
        <w:rPr>
          <w:rFonts w:ascii="Arial" w:hAnsi="Arial" w:cs="Arial"/>
          <w:b/>
          <w:bCs/>
          <w:sz w:val="20"/>
          <w:szCs w:val="20"/>
        </w:rPr>
      </w:pPr>
    </w:p>
    <w:p w14:paraId="6397234E" w14:textId="6D0C8220" w:rsidR="00643273" w:rsidRPr="009A2756" w:rsidRDefault="00E67066" w:rsidP="009A2756">
      <w:pPr>
        <w:spacing w:line="240" w:lineRule="auto"/>
        <w:rPr>
          <w:rFonts w:ascii="Arial" w:hAnsi="Arial" w:cs="Arial"/>
          <w:b/>
          <w:bCs/>
        </w:rPr>
      </w:pPr>
      <w:r w:rsidRPr="009A2756">
        <w:rPr>
          <w:rFonts w:ascii="Arial" w:hAnsi="Arial" w:cs="Arial"/>
          <w:b/>
          <w:bCs/>
        </w:rPr>
        <w:t>1. INTRODUCTION</w:t>
      </w:r>
    </w:p>
    <w:p w14:paraId="7596F7DD" w14:textId="03136109" w:rsidR="006B2A61" w:rsidRPr="0086092C" w:rsidRDefault="006B2A61" w:rsidP="0086092C">
      <w:pPr>
        <w:spacing w:line="240" w:lineRule="auto"/>
        <w:jc w:val="both"/>
        <w:rPr>
          <w:rFonts w:ascii="Arial" w:hAnsi="Arial" w:cs="Arial"/>
          <w:sz w:val="20"/>
          <w:szCs w:val="20"/>
        </w:rPr>
      </w:pPr>
      <w:r w:rsidRPr="0086092C">
        <w:rPr>
          <w:rFonts w:ascii="Arial" w:hAnsi="Arial" w:cs="Arial"/>
          <w:sz w:val="20"/>
          <w:szCs w:val="20"/>
        </w:rPr>
        <w:t xml:space="preserve">The stability of the banking sector is a critical determinant of economic health, particularly in developing countries where financial systems are often vulnerable to fluctuations in regulatory and legal frameworks. This </w:t>
      </w:r>
      <w:r w:rsidR="00E0315E" w:rsidRPr="0086092C">
        <w:rPr>
          <w:rFonts w:ascii="Arial" w:hAnsi="Arial" w:cs="Arial"/>
          <w:sz w:val="20"/>
          <w:szCs w:val="20"/>
        </w:rPr>
        <w:t>study</w:t>
      </w:r>
      <w:r w:rsidRPr="0086092C">
        <w:rPr>
          <w:rFonts w:ascii="Arial" w:hAnsi="Arial" w:cs="Arial"/>
          <w:sz w:val="20"/>
          <w:szCs w:val="20"/>
        </w:rPr>
        <w:t xml:space="preserve"> examines Chad’s banking sector, a context that provides a unique vantage point due to its transitional economy and ongoing efforts to strengthen governance structures. Utilizing a Vector Autoregression (VAR) model, this study investigates the dynamic relationship </w:t>
      </w:r>
      <w:r w:rsidR="004316AB" w:rsidRPr="0086092C">
        <w:rPr>
          <w:rFonts w:ascii="Arial" w:hAnsi="Arial" w:cs="Arial"/>
          <w:sz w:val="20"/>
          <w:szCs w:val="20"/>
        </w:rPr>
        <w:t>among</w:t>
      </w:r>
      <w:r w:rsidRPr="0086092C">
        <w:rPr>
          <w:rFonts w:ascii="Arial" w:hAnsi="Arial" w:cs="Arial"/>
          <w:sz w:val="20"/>
          <w:szCs w:val="20"/>
        </w:rPr>
        <w:t xml:space="preserve"> regulatory framework, legal framework and banking stability. The choice of Chad as a case study is pertinent given its recent regulatory reforms and the critical role these reforms play in banking stability (</w:t>
      </w:r>
      <w:r w:rsidR="003668B7" w:rsidRPr="0086092C">
        <w:rPr>
          <w:rFonts w:ascii="Arial" w:hAnsi="Arial" w:cs="Arial"/>
          <w:sz w:val="20"/>
          <w:szCs w:val="20"/>
        </w:rPr>
        <w:t>World Bank</w:t>
      </w:r>
      <w:r w:rsidRPr="0086092C">
        <w:rPr>
          <w:rFonts w:ascii="Arial" w:hAnsi="Arial" w:cs="Arial"/>
          <w:sz w:val="20"/>
          <w:szCs w:val="20"/>
        </w:rPr>
        <w:t>., 20</w:t>
      </w:r>
      <w:r w:rsidR="003668B7" w:rsidRPr="0086092C">
        <w:rPr>
          <w:rFonts w:ascii="Arial" w:hAnsi="Arial" w:cs="Arial"/>
          <w:sz w:val="20"/>
          <w:szCs w:val="20"/>
        </w:rPr>
        <w:t>21</w:t>
      </w:r>
      <w:r w:rsidRPr="0086092C">
        <w:rPr>
          <w:rFonts w:ascii="Arial" w:hAnsi="Arial" w:cs="Arial"/>
          <w:sz w:val="20"/>
          <w:szCs w:val="20"/>
        </w:rPr>
        <w:t>).</w:t>
      </w:r>
    </w:p>
    <w:p w14:paraId="239CD91E" w14:textId="77777777" w:rsidR="00B319A7" w:rsidRPr="0086092C" w:rsidRDefault="00B319A7" w:rsidP="0086092C">
      <w:pPr>
        <w:spacing w:line="240" w:lineRule="auto"/>
        <w:jc w:val="both"/>
        <w:rPr>
          <w:rFonts w:ascii="Arial" w:hAnsi="Arial" w:cs="Arial"/>
          <w:sz w:val="20"/>
          <w:szCs w:val="20"/>
        </w:rPr>
      </w:pPr>
      <w:r w:rsidRPr="0086092C">
        <w:rPr>
          <w:rFonts w:ascii="Arial" w:hAnsi="Arial" w:cs="Arial"/>
          <w:sz w:val="20"/>
          <w:szCs w:val="20"/>
        </w:rPr>
        <w:t xml:space="preserve">Banking stability is a pivotal aspect of financial sector health, with non-performing loans (NPLs) serving as a key indicator of potential vulnerabilities. In Chad, the banking sector's stability is particularly crucial given the country's economic challenges and development goals. High levels of NPLs can signal underlying issues in asset quality and risk management practices, which may have broader implications for economic stability and growth (Nkusu, 2011). Chad's experience with NPLs provides a unique case study to understand the impact of regulatory and legal frameworks on banking stability. Recent reforms aimed at enhancing the regulatory environment suggest a commitment to addressing the issue of NPLs and improving overall banking sector resilience (Beck et al., 2013). </w:t>
      </w:r>
    </w:p>
    <w:p w14:paraId="6E00A896" w14:textId="637F9603" w:rsidR="00F779EF" w:rsidRPr="0086092C" w:rsidRDefault="00F779EF" w:rsidP="0086092C">
      <w:pPr>
        <w:spacing w:line="240" w:lineRule="auto"/>
        <w:jc w:val="both"/>
        <w:rPr>
          <w:rFonts w:ascii="Arial" w:hAnsi="Arial" w:cs="Arial"/>
          <w:sz w:val="20"/>
          <w:szCs w:val="20"/>
        </w:rPr>
      </w:pPr>
      <w:r w:rsidRPr="0086092C">
        <w:rPr>
          <w:rFonts w:ascii="Arial" w:hAnsi="Arial" w:cs="Arial"/>
          <w:sz w:val="20"/>
          <w:szCs w:val="20"/>
        </w:rPr>
        <w:t>The regulatory and legal frameworks in Chad are pivotal in shaping the country's economic landscape, particularly within the banking sector. The regulatory quality in Chad has been evolving, reflecting a commitment to align with international standards and best practices to foster a stable and reliable banking environment (World Bank, 2020). This is crucial as regulatory quality is directly linked to the efficiency of financial markets and the protection of investors and consumers (La Porta</w:t>
      </w:r>
      <w:r w:rsidR="00C51827" w:rsidRPr="0086092C">
        <w:rPr>
          <w:rFonts w:ascii="Arial" w:hAnsi="Arial" w:cs="Arial"/>
          <w:sz w:val="20"/>
          <w:szCs w:val="20"/>
        </w:rPr>
        <w:t xml:space="preserve"> et al..</w:t>
      </w:r>
      <w:r w:rsidRPr="0086092C">
        <w:rPr>
          <w:rFonts w:ascii="Arial" w:hAnsi="Arial" w:cs="Arial"/>
          <w:sz w:val="20"/>
          <w:szCs w:val="20"/>
        </w:rPr>
        <w:t xml:space="preserve">, 1998). The regulatory </w:t>
      </w:r>
      <w:r w:rsidRPr="0086092C">
        <w:rPr>
          <w:rFonts w:ascii="Arial" w:hAnsi="Arial" w:cs="Arial"/>
          <w:sz w:val="20"/>
          <w:szCs w:val="20"/>
        </w:rPr>
        <w:lastRenderedPageBreak/>
        <w:t>framework in Chad is multifaceted, encompassing directives from regional economic communities, national laws, and guidelines from financial supervisory authorities. The Banking Commission of Central Africa (COBAC) oversees the implementation of banking regulations within the Economic and Monetary Community of Central Africa (CEMAC), ensuring that banks adhere to prudential norms and maintain adequate capital buffers to absorb potential losses from NPLs (World Bank, 2020).  Meanwhile, the rule of law in Chad, characterized by the adherence to legal norms and principles, is fundamental to ensuring fairness, transparency, and accountability in financial transactions (</w:t>
      </w:r>
      <w:bookmarkStart w:id="0" w:name="_Hlk174387925"/>
      <w:proofErr w:type="spellStart"/>
      <w:r w:rsidRPr="0086092C">
        <w:rPr>
          <w:rFonts w:ascii="Arial" w:hAnsi="Arial" w:cs="Arial"/>
          <w:sz w:val="20"/>
          <w:szCs w:val="20"/>
        </w:rPr>
        <w:t>Djankov</w:t>
      </w:r>
      <w:proofErr w:type="spellEnd"/>
      <w:r w:rsidR="00C51827" w:rsidRPr="0086092C">
        <w:rPr>
          <w:rFonts w:ascii="Arial" w:hAnsi="Arial" w:cs="Arial"/>
          <w:sz w:val="20"/>
          <w:szCs w:val="20"/>
        </w:rPr>
        <w:t xml:space="preserve"> et al</w:t>
      </w:r>
      <w:bookmarkEnd w:id="0"/>
      <w:r w:rsidRPr="0086092C">
        <w:rPr>
          <w:rFonts w:ascii="Arial" w:hAnsi="Arial" w:cs="Arial"/>
          <w:sz w:val="20"/>
          <w:szCs w:val="20"/>
        </w:rPr>
        <w:t>, 2002). The interplay between these frameworks is essential for mitigating risks such as non-performing loans, which can significantly impact banking stability (Beck</w:t>
      </w:r>
      <w:r w:rsidR="004316AB" w:rsidRPr="0086092C">
        <w:rPr>
          <w:rFonts w:ascii="Arial" w:hAnsi="Arial" w:cs="Arial"/>
          <w:sz w:val="20"/>
          <w:szCs w:val="20"/>
        </w:rPr>
        <w:t xml:space="preserve"> et al.</w:t>
      </w:r>
      <w:r w:rsidRPr="0086092C">
        <w:rPr>
          <w:rFonts w:ascii="Arial" w:hAnsi="Arial" w:cs="Arial"/>
          <w:sz w:val="20"/>
          <w:szCs w:val="20"/>
        </w:rPr>
        <w:t xml:space="preserve">, 2006). </w:t>
      </w:r>
    </w:p>
    <w:p w14:paraId="1DBC6E4C" w14:textId="77EB2443" w:rsidR="003958B8" w:rsidRPr="0086092C" w:rsidRDefault="003958B8" w:rsidP="0086092C">
      <w:pPr>
        <w:spacing w:line="240" w:lineRule="auto"/>
        <w:jc w:val="both"/>
        <w:rPr>
          <w:rFonts w:ascii="Arial" w:hAnsi="Arial" w:cs="Arial"/>
          <w:sz w:val="20"/>
          <w:szCs w:val="20"/>
        </w:rPr>
      </w:pPr>
      <w:r w:rsidRPr="0086092C">
        <w:rPr>
          <w:rFonts w:ascii="Arial" w:hAnsi="Arial" w:cs="Arial"/>
          <w:sz w:val="20"/>
          <w:szCs w:val="20"/>
        </w:rPr>
        <w:t xml:space="preserve">The interplay between the regulatory and legal frameworks in </w:t>
      </w:r>
      <w:r w:rsidR="00066E1F" w:rsidRPr="0086092C">
        <w:rPr>
          <w:rFonts w:ascii="Arial" w:hAnsi="Arial" w:cs="Arial"/>
          <w:sz w:val="20"/>
          <w:szCs w:val="20"/>
        </w:rPr>
        <w:t>Chad</w:t>
      </w:r>
      <w:r w:rsidRPr="0086092C">
        <w:rPr>
          <w:rFonts w:ascii="Arial" w:hAnsi="Arial" w:cs="Arial"/>
          <w:sz w:val="20"/>
          <w:szCs w:val="20"/>
        </w:rPr>
        <w:t xml:space="preserve"> is critical in determining the prevalence of NPLs. Effective regulation ensures that banks operate within a robust risk management environment, while a strong legal framework facilitates the timely resolution of NPLs. Together, they form the bedrock upon which banking stability is built. High levels of NPLs can impede banks' ability to lend, stifle economic growth, and, if left unchecked, lead to systemic crises. Therefore, the continuous evolution and strengthening of these frameworks are vital for the health of </w:t>
      </w:r>
      <w:r w:rsidR="00066E1F" w:rsidRPr="0086092C">
        <w:rPr>
          <w:rFonts w:ascii="Arial" w:hAnsi="Arial" w:cs="Arial"/>
          <w:sz w:val="20"/>
          <w:szCs w:val="20"/>
        </w:rPr>
        <w:t>Chad</w:t>
      </w:r>
      <w:r w:rsidRPr="0086092C">
        <w:rPr>
          <w:rFonts w:ascii="Arial" w:hAnsi="Arial" w:cs="Arial"/>
          <w:sz w:val="20"/>
          <w:szCs w:val="20"/>
        </w:rPr>
        <w:t>'s banking sector and, by extension, its economy.</w:t>
      </w:r>
    </w:p>
    <w:p w14:paraId="448AAB90" w14:textId="6D0A5FAB" w:rsidR="00C94431" w:rsidRPr="0086092C" w:rsidRDefault="003668B7" w:rsidP="0086092C">
      <w:pPr>
        <w:spacing w:line="240" w:lineRule="auto"/>
        <w:jc w:val="both"/>
        <w:rPr>
          <w:rFonts w:ascii="Arial" w:hAnsi="Arial" w:cs="Arial"/>
          <w:sz w:val="20"/>
          <w:szCs w:val="20"/>
        </w:rPr>
      </w:pPr>
      <w:r w:rsidRPr="0086092C">
        <w:rPr>
          <w:rFonts w:ascii="Arial" w:hAnsi="Arial" w:cs="Arial"/>
          <w:sz w:val="20"/>
          <w:szCs w:val="20"/>
        </w:rPr>
        <w:t>T</w:t>
      </w:r>
      <w:r w:rsidR="00C94431" w:rsidRPr="0086092C">
        <w:rPr>
          <w:rFonts w:ascii="Arial" w:hAnsi="Arial" w:cs="Arial"/>
          <w:sz w:val="20"/>
          <w:szCs w:val="20"/>
        </w:rPr>
        <w:t>he banking sector's stability</w:t>
      </w:r>
      <w:r w:rsidRPr="0086092C">
        <w:rPr>
          <w:rFonts w:ascii="Arial" w:hAnsi="Arial" w:cs="Arial"/>
          <w:sz w:val="20"/>
          <w:szCs w:val="20"/>
        </w:rPr>
        <w:t xml:space="preserve"> in Chad</w:t>
      </w:r>
      <w:r w:rsidR="00C94431" w:rsidRPr="0086092C">
        <w:rPr>
          <w:rFonts w:ascii="Arial" w:hAnsi="Arial" w:cs="Arial"/>
          <w:sz w:val="20"/>
          <w:szCs w:val="20"/>
        </w:rPr>
        <w:t xml:space="preserve"> is threatened by the high prevalence of non-performing loans (NPLs), which stood at </w:t>
      </w:r>
      <w:r w:rsidR="005845C7" w:rsidRPr="0086092C">
        <w:rPr>
          <w:rFonts w:ascii="Arial" w:hAnsi="Arial" w:cs="Arial"/>
          <w:sz w:val="20"/>
          <w:szCs w:val="20"/>
        </w:rPr>
        <w:t>31.5</w:t>
      </w:r>
      <w:r w:rsidR="001717DC" w:rsidRPr="0086092C">
        <w:rPr>
          <w:rFonts w:ascii="Arial" w:hAnsi="Arial" w:cs="Arial"/>
          <w:sz w:val="20"/>
          <w:szCs w:val="20"/>
        </w:rPr>
        <w:t>%</w:t>
      </w:r>
      <w:r w:rsidR="005845C7" w:rsidRPr="0086092C">
        <w:rPr>
          <w:rFonts w:ascii="Arial" w:hAnsi="Arial" w:cs="Arial"/>
          <w:sz w:val="20"/>
          <w:szCs w:val="20"/>
        </w:rPr>
        <w:t>,</w:t>
      </w:r>
      <w:r w:rsidR="001717DC" w:rsidRPr="0086092C">
        <w:rPr>
          <w:rFonts w:ascii="Arial" w:hAnsi="Arial" w:cs="Arial"/>
          <w:sz w:val="20"/>
          <w:szCs w:val="20"/>
        </w:rPr>
        <w:t xml:space="preserve"> </w:t>
      </w:r>
      <w:r w:rsidR="005845C7" w:rsidRPr="0086092C">
        <w:rPr>
          <w:rFonts w:ascii="Arial" w:hAnsi="Arial" w:cs="Arial"/>
          <w:sz w:val="20"/>
          <w:szCs w:val="20"/>
        </w:rPr>
        <w:t>as reported in the fourth quarter of 2023</w:t>
      </w:r>
      <w:r w:rsidR="00C94431" w:rsidRPr="0086092C">
        <w:rPr>
          <w:rFonts w:ascii="Arial" w:hAnsi="Arial" w:cs="Arial"/>
          <w:sz w:val="20"/>
          <w:szCs w:val="20"/>
        </w:rPr>
        <w:t xml:space="preserve"> (</w:t>
      </w:r>
      <w:bookmarkStart w:id="1" w:name="_Hlk165572343"/>
      <w:r w:rsidR="005845C7" w:rsidRPr="0086092C">
        <w:rPr>
          <w:rFonts w:ascii="Arial" w:hAnsi="Arial" w:cs="Arial"/>
          <w:sz w:val="20"/>
          <w:szCs w:val="20"/>
        </w:rPr>
        <w:t>Helgi Library</w:t>
      </w:r>
      <w:r w:rsidR="00C94431" w:rsidRPr="0086092C">
        <w:rPr>
          <w:rFonts w:ascii="Arial" w:hAnsi="Arial" w:cs="Arial"/>
          <w:sz w:val="20"/>
          <w:szCs w:val="20"/>
        </w:rPr>
        <w:t>, 202</w:t>
      </w:r>
      <w:r w:rsidR="005845C7" w:rsidRPr="0086092C">
        <w:rPr>
          <w:rFonts w:ascii="Arial" w:hAnsi="Arial" w:cs="Arial"/>
          <w:sz w:val="20"/>
          <w:szCs w:val="20"/>
        </w:rPr>
        <w:t>3</w:t>
      </w:r>
      <w:r w:rsidR="00C94431" w:rsidRPr="0086092C">
        <w:rPr>
          <w:rFonts w:ascii="Arial" w:hAnsi="Arial" w:cs="Arial"/>
          <w:sz w:val="20"/>
          <w:szCs w:val="20"/>
        </w:rPr>
        <w:t xml:space="preserve">). </w:t>
      </w:r>
      <w:bookmarkEnd w:id="1"/>
      <w:r w:rsidR="00C94431" w:rsidRPr="0086092C">
        <w:rPr>
          <w:rFonts w:ascii="Arial" w:hAnsi="Arial" w:cs="Arial"/>
          <w:sz w:val="20"/>
          <w:szCs w:val="20"/>
        </w:rPr>
        <w:t xml:space="preserve">This situation poses a substantial risk to the financial system's integrity and the broader economy. While the regulatory and legal frameworks are designed to safeguard banking stability, their effectiveness in </w:t>
      </w:r>
      <w:r w:rsidR="00066E1F" w:rsidRPr="0086092C">
        <w:rPr>
          <w:rFonts w:ascii="Arial" w:hAnsi="Arial" w:cs="Arial"/>
          <w:sz w:val="20"/>
          <w:szCs w:val="20"/>
        </w:rPr>
        <w:t>Chad</w:t>
      </w:r>
      <w:r w:rsidR="00C94431" w:rsidRPr="0086092C">
        <w:rPr>
          <w:rFonts w:ascii="Arial" w:hAnsi="Arial" w:cs="Arial"/>
          <w:sz w:val="20"/>
          <w:szCs w:val="20"/>
        </w:rPr>
        <w:t xml:space="preserve"> has been questionable. The regulatory quality, measured by the robustness of financial regulations and the efficacy of supervisory bodies, and the legal framework, measured by the rule of law, are both crucial in mitigating the risk of NPLs. Nevertheless, the dynamic interplay between these frameworks and their impact on banking stability in </w:t>
      </w:r>
      <w:r w:rsidR="00066E1F" w:rsidRPr="0086092C">
        <w:rPr>
          <w:rFonts w:ascii="Arial" w:hAnsi="Arial" w:cs="Arial"/>
          <w:sz w:val="20"/>
          <w:szCs w:val="20"/>
        </w:rPr>
        <w:t>Chad</w:t>
      </w:r>
      <w:r w:rsidR="00C94431" w:rsidRPr="0086092C">
        <w:rPr>
          <w:rFonts w:ascii="Arial" w:hAnsi="Arial" w:cs="Arial"/>
          <w:sz w:val="20"/>
          <w:szCs w:val="20"/>
        </w:rPr>
        <w:t xml:space="preserve"> has not been thoroughly examined. </w:t>
      </w:r>
    </w:p>
    <w:p w14:paraId="589B0B34" w14:textId="5CE60993" w:rsidR="00C94431" w:rsidRPr="0086092C" w:rsidRDefault="00C94431" w:rsidP="0086092C">
      <w:pPr>
        <w:spacing w:line="240" w:lineRule="auto"/>
        <w:jc w:val="both"/>
        <w:rPr>
          <w:rFonts w:ascii="Arial" w:hAnsi="Arial" w:cs="Arial"/>
          <w:sz w:val="20"/>
          <w:szCs w:val="20"/>
        </w:rPr>
      </w:pPr>
      <w:r w:rsidRPr="0086092C">
        <w:rPr>
          <w:rFonts w:ascii="Arial" w:hAnsi="Arial" w:cs="Arial"/>
          <w:sz w:val="20"/>
          <w:szCs w:val="20"/>
        </w:rPr>
        <w:t xml:space="preserve">Previous studies have extensively explored the relationship </w:t>
      </w:r>
      <w:r w:rsidR="004316AB" w:rsidRPr="0086092C">
        <w:rPr>
          <w:rFonts w:ascii="Arial" w:hAnsi="Arial" w:cs="Arial"/>
          <w:sz w:val="20"/>
          <w:szCs w:val="20"/>
        </w:rPr>
        <w:t>among</w:t>
      </w:r>
      <w:r w:rsidRPr="0086092C">
        <w:rPr>
          <w:rFonts w:ascii="Arial" w:hAnsi="Arial" w:cs="Arial"/>
          <w:sz w:val="20"/>
          <w:szCs w:val="20"/>
        </w:rPr>
        <w:t xml:space="preserve"> regulation, profitability, and risk in the banking industry (Rastogi et al., 2022</w:t>
      </w:r>
      <w:r w:rsidR="00B650B6" w:rsidRPr="0086092C">
        <w:rPr>
          <w:rFonts w:ascii="Arial" w:hAnsi="Arial" w:cs="Arial"/>
          <w:sz w:val="20"/>
          <w:szCs w:val="20"/>
        </w:rPr>
        <w:t xml:space="preserve">; </w:t>
      </w:r>
      <w:proofErr w:type="spellStart"/>
      <w:r w:rsidR="00B650B6" w:rsidRPr="0086092C">
        <w:rPr>
          <w:rFonts w:ascii="Arial" w:hAnsi="Arial" w:cs="Arial"/>
          <w:sz w:val="20"/>
          <w:szCs w:val="20"/>
        </w:rPr>
        <w:t>Bougatef</w:t>
      </w:r>
      <w:proofErr w:type="spellEnd"/>
      <w:r w:rsidR="00B650B6" w:rsidRPr="0086092C">
        <w:rPr>
          <w:rFonts w:ascii="Arial" w:hAnsi="Arial" w:cs="Arial"/>
          <w:sz w:val="20"/>
          <w:szCs w:val="20"/>
        </w:rPr>
        <w:t>, 2016</w:t>
      </w:r>
      <w:r w:rsidRPr="0086092C">
        <w:rPr>
          <w:rFonts w:ascii="Arial" w:hAnsi="Arial" w:cs="Arial"/>
          <w:sz w:val="20"/>
          <w:szCs w:val="20"/>
        </w:rPr>
        <w:t xml:space="preserve">). However, these studies often adopt a global or regional perspective without delving into the unique challenges and environments of individual countries like </w:t>
      </w:r>
      <w:r w:rsidR="00066E1F" w:rsidRPr="0086092C">
        <w:rPr>
          <w:rFonts w:ascii="Arial" w:hAnsi="Arial" w:cs="Arial"/>
          <w:sz w:val="20"/>
          <w:szCs w:val="20"/>
        </w:rPr>
        <w:t>Chad</w:t>
      </w:r>
      <w:r w:rsidRPr="0086092C">
        <w:rPr>
          <w:rFonts w:ascii="Arial" w:hAnsi="Arial" w:cs="Arial"/>
          <w:sz w:val="20"/>
          <w:szCs w:val="20"/>
        </w:rPr>
        <w:t xml:space="preserve">. This article aims to fill this gap by providing a focused analysis of the dynamic relationship </w:t>
      </w:r>
      <w:r w:rsidR="004316AB" w:rsidRPr="0086092C">
        <w:rPr>
          <w:rFonts w:ascii="Arial" w:hAnsi="Arial" w:cs="Arial"/>
          <w:sz w:val="20"/>
          <w:szCs w:val="20"/>
        </w:rPr>
        <w:t>among</w:t>
      </w:r>
      <w:r w:rsidRPr="0086092C">
        <w:rPr>
          <w:rFonts w:ascii="Arial" w:hAnsi="Arial" w:cs="Arial"/>
          <w:sz w:val="20"/>
          <w:szCs w:val="20"/>
        </w:rPr>
        <w:t xml:space="preserve"> the regulatory framework, measured by regulatory quality, the legal framework, </w:t>
      </w:r>
      <w:r w:rsidR="00365EB2" w:rsidRPr="0086092C">
        <w:rPr>
          <w:rFonts w:ascii="Arial" w:hAnsi="Arial" w:cs="Arial"/>
          <w:sz w:val="20"/>
          <w:szCs w:val="20"/>
        </w:rPr>
        <w:t xml:space="preserve">gauged through the </w:t>
      </w:r>
      <w:r w:rsidRPr="0086092C">
        <w:rPr>
          <w:rFonts w:ascii="Arial" w:hAnsi="Arial" w:cs="Arial"/>
          <w:sz w:val="20"/>
          <w:szCs w:val="20"/>
        </w:rPr>
        <w:t xml:space="preserve">rule of law, and banking stability, </w:t>
      </w:r>
      <w:r w:rsidR="00365EB2" w:rsidRPr="0086092C">
        <w:rPr>
          <w:rFonts w:ascii="Arial" w:hAnsi="Arial" w:cs="Arial"/>
          <w:sz w:val="20"/>
          <w:szCs w:val="20"/>
        </w:rPr>
        <w:t>indicated</w:t>
      </w:r>
      <w:r w:rsidRPr="0086092C">
        <w:rPr>
          <w:rFonts w:ascii="Arial" w:hAnsi="Arial" w:cs="Arial"/>
          <w:sz w:val="20"/>
          <w:szCs w:val="20"/>
        </w:rPr>
        <w:t xml:space="preserve"> by non-performing loans, within the </w:t>
      </w:r>
      <w:r w:rsidR="00066E1F" w:rsidRPr="0086092C">
        <w:rPr>
          <w:rFonts w:ascii="Arial" w:hAnsi="Arial" w:cs="Arial"/>
          <w:sz w:val="20"/>
          <w:szCs w:val="20"/>
        </w:rPr>
        <w:t>Chad</w:t>
      </w:r>
      <w:r w:rsidRPr="0086092C">
        <w:rPr>
          <w:rFonts w:ascii="Arial" w:hAnsi="Arial" w:cs="Arial"/>
          <w:sz w:val="20"/>
          <w:szCs w:val="20"/>
        </w:rPr>
        <w:t xml:space="preserve">ian context. By employing a Vector Autoregression (VAR) model, this study will contribute to a more nuanced understanding of how these factors interact and influence the stability of banks in </w:t>
      </w:r>
      <w:r w:rsidR="00066E1F" w:rsidRPr="0086092C">
        <w:rPr>
          <w:rFonts w:ascii="Arial" w:hAnsi="Arial" w:cs="Arial"/>
          <w:sz w:val="20"/>
          <w:szCs w:val="20"/>
        </w:rPr>
        <w:t>Chad</w:t>
      </w:r>
      <w:r w:rsidRPr="0086092C">
        <w:rPr>
          <w:rFonts w:ascii="Arial" w:hAnsi="Arial" w:cs="Arial"/>
          <w:sz w:val="20"/>
          <w:szCs w:val="20"/>
        </w:rPr>
        <w:t>.</w:t>
      </w:r>
    </w:p>
    <w:p w14:paraId="1C923C43" w14:textId="78170251" w:rsidR="00E80657" w:rsidRPr="0086092C" w:rsidRDefault="001717DC" w:rsidP="0086092C">
      <w:pPr>
        <w:spacing w:line="240" w:lineRule="auto"/>
        <w:jc w:val="both"/>
        <w:rPr>
          <w:rFonts w:ascii="Arial" w:hAnsi="Arial" w:cs="Arial"/>
          <w:sz w:val="20"/>
          <w:szCs w:val="20"/>
        </w:rPr>
      </w:pPr>
      <w:r w:rsidRPr="0086092C">
        <w:rPr>
          <w:rFonts w:ascii="Arial" w:hAnsi="Arial" w:cs="Arial"/>
          <w:sz w:val="20"/>
          <w:szCs w:val="20"/>
        </w:rPr>
        <w:t xml:space="preserve">This study's VAR analysis aims to quantify the </w:t>
      </w:r>
      <w:r w:rsidR="004F75C4" w:rsidRPr="0086092C">
        <w:rPr>
          <w:rFonts w:ascii="Arial" w:hAnsi="Arial" w:cs="Arial"/>
          <w:sz w:val="20"/>
          <w:szCs w:val="20"/>
        </w:rPr>
        <w:t xml:space="preserve">dynamic and causal relationship </w:t>
      </w:r>
      <w:r w:rsidR="004316AB" w:rsidRPr="0086092C">
        <w:rPr>
          <w:rFonts w:ascii="Arial" w:hAnsi="Arial" w:cs="Arial"/>
          <w:sz w:val="20"/>
          <w:szCs w:val="20"/>
        </w:rPr>
        <w:t>among</w:t>
      </w:r>
      <w:r w:rsidR="004F75C4" w:rsidRPr="0086092C">
        <w:rPr>
          <w:rFonts w:ascii="Arial" w:hAnsi="Arial" w:cs="Arial"/>
          <w:sz w:val="20"/>
          <w:szCs w:val="20"/>
        </w:rPr>
        <w:t xml:space="preserve"> regulatory quality, rule of law, and non-performing loans</w:t>
      </w:r>
      <w:r w:rsidRPr="0086092C">
        <w:rPr>
          <w:rFonts w:ascii="Arial" w:hAnsi="Arial" w:cs="Arial"/>
          <w:sz w:val="20"/>
          <w:szCs w:val="20"/>
        </w:rPr>
        <w:t xml:space="preserve">, offering insights into how regulatory and legal reforms may influence banking stability in </w:t>
      </w:r>
      <w:r w:rsidR="00066E1F" w:rsidRPr="0086092C">
        <w:rPr>
          <w:rFonts w:ascii="Arial" w:hAnsi="Arial" w:cs="Arial"/>
          <w:sz w:val="20"/>
          <w:szCs w:val="20"/>
        </w:rPr>
        <w:t>Chad</w:t>
      </w:r>
      <w:r w:rsidR="008B3D74" w:rsidRPr="0086092C">
        <w:rPr>
          <w:rFonts w:ascii="Arial" w:hAnsi="Arial" w:cs="Arial"/>
          <w:sz w:val="20"/>
          <w:szCs w:val="20"/>
        </w:rPr>
        <w:t xml:space="preserve">. </w:t>
      </w:r>
      <w:r w:rsidR="00E80657" w:rsidRPr="0086092C">
        <w:rPr>
          <w:rFonts w:ascii="Arial" w:hAnsi="Arial" w:cs="Arial"/>
          <w:sz w:val="20"/>
          <w:szCs w:val="20"/>
        </w:rPr>
        <w:t xml:space="preserve">Therefore, the study seeks to establish if regulatory and legal frameworks impact banking stability by answering the </w:t>
      </w:r>
      <w:r w:rsidR="00AF1DE2" w:rsidRPr="0086092C">
        <w:rPr>
          <w:rFonts w:ascii="Arial" w:hAnsi="Arial" w:cs="Arial"/>
          <w:sz w:val="20"/>
          <w:szCs w:val="20"/>
        </w:rPr>
        <w:t xml:space="preserve">following </w:t>
      </w:r>
      <w:r w:rsidR="00E80657" w:rsidRPr="0086092C">
        <w:rPr>
          <w:rFonts w:ascii="Arial" w:hAnsi="Arial" w:cs="Arial"/>
          <w:sz w:val="20"/>
          <w:szCs w:val="20"/>
        </w:rPr>
        <w:t>question</w:t>
      </w:r>
      <w:r w:rsidR="00AF1DE2" w:rsidRPr="0086092C">
        <w:rPr>
          <w:rFonts w:ascii="Arial" w:hAnsi="Arial" w:cs="Arial"/>
          <w:sz w:val="20"/>
          <w:szCs w:val="20"/>
        </w:rPr>
        <w:t>s</w:t>
      </w:r>
      <w:r w:rsidR="00E80657" w:rsidRPr="0086092C">
        <w:rPr>
          <w:rFonts w:ascii="Arial" w:hAnsi="Arial" w:cs="Arial"/>
          <w:sz w:val="20"/>
          <w:szCs w:val="20"/>
        </w:rPr>
        <w:t>:</w:t>
      </w:r>
    </w:p>
    <w:p w14:paraId="2A6D32FC" w14:textId="2D0A34F6" w:rsidR="00E80657" w:rsidRPr="0086092C" w:rsidRDefault="00E80657" w:rsidP="0086092C">
      <w:pPr>
        <w:pStyle w:val="ListParagraph"/>
        <w:numPr>
          <w:ilvl w:val="0"/>
          <w:numId w:val="3"/>
        </w:numPr>
        <w:spacing w:line="240" w:lineRule="auto"/>
        <w:jc w:val="both"/>
        <w:rPr>
          <w:rFonts w:ascii="Arial" w:hAnsi="Arial" w:cs="Arial"/>
          <w:sz w:val="20"/>
          <w:szCs w:val="20"/>
        </w:rPr>
      </w:pPr>
      <w:r w:rsidRPr="0086092C">
        <w:rPr>
          <w:rFonts w:ascii="Arial" w:hAnsi="Arial" w:cs="Arial"/>
          <w:sz w:val="20"/>
          <w:szCs w:val="20"/>
        </w:rPr>
        <w:t xml:space="preserve">What is the </w:t>
      </w:r>
      <w:r w:rsidR="00851418" w:rsidRPr="0086092C">
        <w:rPr>
          <w:rFonts w:ascii="Arial" w:hAnsi="Arial" w:cs="Arial"/>
          <w:sz w:val="20"/>
          <w:szCs w:val="20"/>
        </w:rPr>
        <w:t xml:space="preserve">impact of regulatory framework on banking stability </w:t>
      </w:r>
      <w:r w:rsidRPr="0086092C">
        <w:rPr>
          <w:rFonts w:ascii="Arial" w:hAnsi="Arial" w:cs="Arial"/>
          <w:sz w:val="20"/>
          <w:szCs w:val="20"/>
        </w:rPr>
        <w:t xml:space="preserve">in </w:t>
      </w:r>
      <w:r w:rsidR="00066E1F" w:rsidRPr="0086092C">
        <w:rPr>
          <w:rFonts w:ascii="Arial" w:hAnsi="Arial" w:cs="Arial"/>
          <w:sz w:val="20"/>
          <w:szCs w:val="20"/>
        </w:rPr>
        <w:t>Chad</w:t>
      </w:r>
      <w:r w:rsidRPr="0086092C">
        <w:rPr>
          <w:rFonts w:ascii="Arial" w:hAnsi="Arial" w:cs="Arial"/>
          <w:sz w:val="20"/>
          <w:szCs w:val="20"/>
        </w:rPr>
        <w:t>?</w:t>
      </w:r>
    </w:p>
    <w:p w14:paraId="614CCDD8" w14:textId="4950DC63" w:rsidR="00400705" w:rsidRPr="0086092C" w:rsidRDefault="00400705" w:rsidP="0086092C">
      <w:pPr>
        <w:pStyle w:val="ListParagraph"/>
        <w:numPr>
          <w:ilvl w:val="0"/>
          <w:numId w:val="3"/>
        </w:numPr>
        <w:spacing w:line="240" w:lineRule="auto"/>
        <w:jc w:val="both"/>
        <w:rPr>
          <w:rFonts w:ascii="Arial" w:hAnsi="Arial" w:cs="Arial"/>
          <w:sz w:val="20"/>
          <w:szCs w:val="20"/>
        </w:rPr>
      </w:pPr>
      <w:r w:rsidRPr="0086092C">
        <w:rPr>
          <w:rFonts w:ascii="Arial" w:hAnsi="Arial" w:cs="Arial"/>
          <w:sz w:val="20"/>
          <w:szCs w:val="20"/>
        </w:rPr>
        <w:t xml:space="preserve">What </w:t>
      </w:r>
      <w:r w:rsidR="00851418" w:rsidRPr="0086092C">
        <w:rPr>
          <w:rFonts w:ascii="Arial" w:hAnsi="Arial" w:cs="Arial"/>
          <w:sz w:val="20"/>
          <w:szCs w:val="20"/>
        </w:rPr>
        <w:t>role does the legal framework play in ensuring banking</w:t>
      </w:r>
      <w:r w:rsidR="00F319DD" w:rsidRPr="0086092C">
        <w:rPr>
          <w:rFonts w:ascii="Arial" w:hAnsi="Arial" w:cs="Arial"/>
          <w:sz w:val="20"/>
          <w:szCs w:val="20"/>
        </w:rPr>
        <w:t xml:space="preserve"> stability</w:t>
      </w:r>
      <w:r w:rsidR="00851418" w:rsidRPr="0086092C">
        <w:rPr>
          <w:rFonts w:ascii="Arial" w:hAnsi="Arial" w:cs="Arial"/>
          <w:sz w:val="20"/>
          <w:szCs w:val="20"/>
        </w:rPr>
        <w:t xml:space="preserve"> </w:t>
      </w:r>
      <w:r w:rsidRPr="0086092C">
        <w:rPr>
          <w:rFonts w:ascii="Arial" w:hAnsi="Arial" w:cs="Arial"/>
          <w:sz w:val="20"/>
          <w:szCs w:val="20"/>
        </w:rPr>
        <w:t>in Chad?</w:t>
      </w:r>
    </w:p>
    <w:p w14:paraId="5A81B4D4" w14:textId="7C681091" w:rsidR="00400705" w:rsidRPr="0086092C" w:rsidRDefault="00400705" w:rsidP="0086092C">
      <w:pPr>
        <w:pStyle w:val="ListParagraph"/>
        <w:numPr>
          <w:ilvl w:val="0"/>
          <w:numId w:val="3"/>
        </w:numPr>
        <w:spacing w:line="240" w:lineRule="auto"/>
        <w:jc w:val="both"/>
        <w:rPr>
          <w:rFonts w:ascii="Arial" w:hAnsi="Arial" w:cs="Arial"/>
          <w:sz w:val="20"/>
          <w:szCs w:val="20"/>
        </w:rPr>
      </w:pPr>
      <w:r w:rsidRPr="0086092C">
        <w:rPr>
          <w:rFonts w:ascii="Arial" w:hAnsi="Arial" w:cs="Arial"/>
          <w:sz w:val="20"/>
          <w:szCs w:val="20"/>
        </w:rPr>
        <w:t xml:space="preserve">What is the </w:t>
      </w:r>
      <w:r w:rsidR="00851418" w:rsidRPr="0086092C">
        <w:rPr>
          <w:rFonts w:ascii="Arial" w:hAnsi="Arial" w:cs="Arial"/>
          <w:sz w:val="20"/>
          <w:szCs w:val="20"/>
        </w:rPr>
        <w:t>interplay between regulatory and legal frameworks in shaping banking stability</w:t>
      </w:r>
      <w:r w:rsidRPr="0086092C">
        <w:rPr>
          <w:rFonts w:ascii="Arial" w:hAnsi="Arial" w:cs="Arial"/>
          <w:sz w:val="20"/>
          <w:szCs w:val="20"/>
        </w:rPr>
        <w:t xml:space="preserve"> in Chad?</w:t>
      </w:r>
    </w:p>
    <w:p w14:paraId="72117E56" w14:textId="1DC48B04" w:rsidR="001717DC" w:rsidRPr="0086092C" w:rsidRDefault="008B3D74" w:rsidP="0086092C">
      <w:pPr>
        <w:spacing w:line="240" w:lineRule="auto"/>
        <w:jc w:val="both"/>
        <w:rPr>
          <w:rFonts w:ascii="Arial" w:hAnsi="Arial" w:cs="Arial"/>
          <w:sz w:val="20"/>
          <w:szCs w:val="20"/>
        </w:rPr>
      </w:pPr>
      <w:r w:rsidRPr="0086092C">
        <w:rPr>
          <w:rFonts w:ascii="Arial" w:hAnsi="Arial" w:cs="Arial"/>
          <w:sz w:val="20"/>
          <w:szCs w:val="20"/>
        </w:rPr>
        <w:t>U</w:t>
      </w:r>
      <w:r w:rsidR="001717DC" w:rsidRPr="0086092C">
        <w:rPr>
          <w:rFonts w:ascii="Arial" w:hAnsi="Arial" w:cs="Arial"/>
          <w:sz w:val="20"/>
          <w:szCs w:val="20"/>
        </w:rPr>
        <w:t xml:space="preserve">nderstanding these relationships, policymakers and stakeholders can better navigate the complexities of financial regulation and legal structures to foster a more stable and prosperous </w:t>
      </w:r>
      <w:r w:rsidR="00E80657" w:rsidRPr="0086092C">
        <w:rPr>
          <w:rFonts w:ascii="Arial" w:hAnsi="Arial" w:cs="Arial"/>
          <w:sz w:val="20"/>
          <w:szCs w:val="20"/>
        </w:rPr>
        <w:t>banking</w:t>
      </w:r>
      <w:r w:rsidR="001717DC" w:rsidRPr="0086092C">
        <w:rPr>
          <w:rFonts w:ascii="Arial" w:hAnsi="Arial" w:cs="Arial"/>
          <w:sz w:val="20"/>
          <w:szCs w:val="20"/>
        </w:rPr>
        <w:t xml:space="preserve"> landscape.</w:t>
      </w:r>
    </w:p>
    <w:p w14:paraId="649C11C7" w14:textId="6630DA8F" w:rsidR="00D10805" w:rsidRPr="0086092C" w:rsidRDefault="00D10805" w:rsidP="0086092C">
      <w:pPr>
        <w:spacing w:line="240" w:lineRule="auto"/>
        <w:jc w:val="both"/>
        <w:rPr>
          <w:rFonts w:ascii="Arial" w:hAnsi="Arial" w:cs="Arial"/>
          <w:sz w:val="20"/>
          <w:szCs w:val="20"/>
        </w:rPr>
      </w:pPr>
      <w:r w:rsidRPr="0086092C">
        <w:rPr>
          <w:rFonts w:ascii="Arial" w:hAnsi="Arial" w:cs="Arial"/>
          <w:sz w:val="20"/>
          <w:szCs w:val="20"/>
        </w:rPr>
        <w:t xml:space="preserve">The significance of this study lies in its comprehensive examination of the interplay </w:t>
      </w:r>
      <w:r w:rsidR="004316AB" w:rsidRPr="0086092C">
        <w:rPr>
          <w:rFonts w:ascii="Arial" w:hAnsi="Arial" w:cs="Arial"/>
          <w:sz w:val="20"/>
          <w:szCs w:val="20"/>
        </w:rPr>
        <w:t>among</w:t>
      </w:r>
      <w:r w:rsidRPr="0086092C">
        <w:rPr>
          <w:rFonts w:ascii="Arial" w:hAnsi="Arial" w:cs="Arial"/>
          <w:sz w:val="20"/>
          <w:szCs w:val="20"/>
        </w:rPr>
        <w:t xml:space="preserve"> regulatory quality, the rule of law, and banking stability in </w:t>
      </w:r>
      <w:r w:rsidR="00066E1F" w:rsidRPr="0086092C">
        <w:rPr>
          <w:rFonts w:ascii="Arial" w:hAnsi="Arial" w:cs="Arial"/>
          <w:sz w:val="20"/>
          <w:szCs w:val="20"/>
        </w:rPr>
        <w:t>Chad</w:t>
      </w:r>
      <w:r w:rsidRPr="0086092C">
        <w:rPr>
          <w:rFonts w:ascii="Arial" w:hAnsi="Arial" w:cs="Arial"/>
          <w:sz w:val="20"/>
          <w:szCs w:val="20"/>
        </w:rPr>
        <w:t xml:space="preserve">, offering valuable theoretical contributions and practical implications. By employing a Vector Autoregression model, this </w:t>
      </w:r>
      <w:r w:rsidR="00F319DD" w:rsidRPr="0086092C">
        <w:rPr>
          <w:rFonts w:ascii="Arial" w:hAnsi="Arial" w:cs="Arial"/>
          <w:sz w:val="20"/>
          <w:szCs w:val="20"/>
        </w:rPr>
        <w:t>study</w:t>
      </w:r>
      <w:r w:rsidRPr="0086092C">
        <w:rPr>
          <w:rFonts w:ascii="Arial" w:hAnsi="Arial" w:cs="Arial"/>
          <w:sz w:val="20"/>
          <w:szCs w:val="20"/>
        </w:rPr>
        <w:t xml:space="preserve"> not only enriches the academic discourse on financial regulation but also provides actionable insights for policymakers and banking practitioners. The findings have the potential to inform strategies that enhance the resilience of the financial sector, thereby supporting economic growth and societal well-being. Furthermore, this study serves as a methodological blueprint for future research in emerging economies, highlighting the importance of robust regulatory and legal frameworks in maintaining banking stability.</w:t>
      </w:r>
    </w:p>
    <w:p w14:paraId="158F92ED" w14:textId="7B3D8121" w:rsidR="008F17BC" w:rsidRPr="0086092C" w:rsidRDefault="008F17BC" w:rsidP="0086092C">
      <w:pPr>
        <w:spacing w:line="240" w:lineRule="auto"/>
        <w:jc w:val="both"/>
        <w:rPr>
          <w:rFonts w:ascii="Arial" w:hAnsi="Arial" w:cs="Arial"/>
          <w:sz w:val="20"/>
          <w:szCs w:val="20"/>
        </w:rPr>
      </w:pPr>
      <w:r w:rsidRPr="0086092C">
        <w:rPr>
          <w:rFonts w:ascii="Arial" w:hAnsi="Arial" w:cs="Arial"/>
          <w:sz w:val="20"/>
          <w:szCs w:val="20"/>
        </w:rPr>
        <w:lastRenderedPageBreak/>
        <w:t xml:space="preserve">The rest of the article unfolds systematically, beginning with a literature review examining existing research on regulatory and legal frameworks' impact on non-performing loans. It then delineates the methodology, employing a Vector Autoregression (VAR) model to dissect the interplay </w:t>
      </w:r>
      <w:r w:rsidR="004316AB" w:rsidRPr="0086092C">
        <w:rPr>
          <w:rFonts w:ascii="Arial" w:hAnsi="Arial" w:cs="Arial"/>
          <w:sz w:val="20"/>
          <w:szCs w:val="20"/>
        </w:rPr>
        <w:t xml:space="preserve">among </w:t>
      </w:r>
      <w:r w:rsidRPr="0086092C">
        <w:rPr>
          <w:rFonts w:ascii="Arial" w:hAnsi="Arial" w:cs="Arial"/>
          <w:sz w:val="20"/>
          <w:szCs w:val="20"/>
        </w:rPr>
        <w:t>regulatory quality, legal framework, and non-performing loans. The results section elucidates the empirical findings, which are subsequently discussed in relation to their theoretical and practical implications for stakeholders. The study culminates in a conclusion that encapsulates the study's contributions, recommendations, and proposes avenues for future research.</w:t>
      </w:r>
    </w:p>
    <w:p w14:paraId="2EA48151" w14:textId="77777777" w:rsidR="00B7391B" w:rsidRPr="009A2756" w:rsidRDefault="00B7391B" w:rsidP="009A2756">
      <w:pPr>
        <w:spacing w:line="240" w:lineRule="auto"/>
        <w:rPr>
          <w:rFonts w:ascii="Arial" w:hAnsi="Arial" w:cs="Arial"/>
          <w:b/>
        </w:rPr>
      </w:pPr>
      <w:r w:rsidRPr="009A2756">
        <w:rPr>
          <w:rFonts w:ascii="Arial" w:hAnsi="Arial" w:cs="Arial"/>
          <w:b/>
          <w:spacing w:val="1"/>
        </w:rPr>
        <w:t>2</w:t>
      </w:r>
      <w:r w:rsidRPr="009A2756">
        <w:rPr>
          <w:rFonts w:ascii="Arial" w:hAnsi="Arial" w:cs="Arial"/>
          <w:b/>
        </w:rPr>
        <w:t>. LITERATURE RE</w:t>
      </w:r>
      <w:r w:rsidRPr="009A2756">
        <w:rPr>
          <w:rFonts w:ascii="Arial" w:hAnsi="Arial" w:cs="Arial"/>
          <w:b/>
          <w:spacing w:val="1"/>
        </w:rPr>
        <w:t>V</w:t>
      </w:r>
      <w:r w:rsidRPr="009A2756">
        <w:rPr>
          <w:rFonts w:ascii="Arial" w:hAnsi="Arial" w:cs="Arial"/>
          <w:b/>
        </w:rPr>
        <w:t>IEW</w:t>
      </w:r>
    </w:p>
    <w:p w14:paraId="0DD307BF" w14:textId="77777777" w:rsidR="00CC5ABD" w:rsidRPr="009A2756" w:rsidRDefault="00CC5ABD" w:rsidP="009A2756">
      <w:pPr>
        <w:spacing w:line="240" w:lineRule="auto"/>
        <w:rPr>
          <w:rFonts w:ascii="Arial" w:hAnsi="Arial" w:cs="Arial"/>
          <w:b/>
          <w:bCs/>
        </w:rPr>
      </w:pPr>
      <w:r w:rsidRPr="009A2756">
        <w:rPr>
          <w:rFonts w:ascii="Arial" w:hAnsi="Arial" w:cs="Arial"/>
          <w:b/>
          <w:bCs/>
        </w:rPr>
        <w:t>2.1. Conceptual Review</w:t>
      </w:r>
    </w:p>
    <w:p w14:paraId="16322DFF" w14:textId="77777777" w:rsidR="00353C2F" w:rsidRPr="0086092C" w:rsidRDefault="00353C2F" w:rsidP="0086092C">
      <w:pPr>
        <w:spacing w:line="240" w:lineRule="auto"/>
        <w:jc w:val="both"/>
        <w:rPr>
          <w:rFonts w:ascii="Arial" w:hAnsi="Arial" w:cs="Arial"/>
          <w:sz w:val="20"/>
          <w:szCs w:val="20"/>
        </w:rPr>
      </w:pPr>
      <w:r w:rsidRPr="0086092C">
        <w:rPr>
          <w:rFonts w:ascii="Arial" w:hAnsi="Arial" w:cs="Arial"/>
          <w:b/>
          <w:bCs/>
          <w:sz w:val="20"/>
          <w:szCs w:val="20"/>
        </w:rPr>
        <w:t>Banking Stability:</w:t>
      </w:r>
      <w:r w:rsidRPr="0086092C">
        <w:rPr>
          <w:rFonts w:ascii="Arial" w:hAnsi="Arial" w:cs="Arial"/>
          <w:sz w:val="20"/>
          <w:szCs w:val="20"/>
        </w:rPr>
        <w:t xml:space="preserve"> The ability of the banking industry to withstand economic shocks and continue operating without major interruptions is referred to as banking stability.  It is an essential part of a nation's overall financial stability.  The soundness of individual banks, the strength of the financial system, and the efficiency of legal and regulatory frameworks are some of the variables that affect banking stability (Cull &amp; Mare, 2020).  The Non-Performing Loans ratio is used in this study to gauge the stability of banks.  According to Beck et al. (2009), the NPL ratio shows the percentage of loans that are in default or nearly in default, indicating the caliber of the bank's loan portfolio and its capacity to control credit risk.</w:t>
      </w:r>
    </w:p>
    <w:p w14:paraId="1E1B5B64" w14:textId="77777777" w:rsidR="00353C2F" w:rsidRPr="0086092C" w:rsidRDefault="00353C2F" w:rsidP="0086092C">
      <w:pPr>
        <w:spacing w:line="240" w:lineRule="auto"/>
        <w:jc w:val="both"/>
        <w:rPr>
          <w:rFonts w:ascii="Arial" w:hAnsi="Arial" w:cs="Arial"/>
          <w:sz w:val="20"/>
          <w:szCs w:val="20"/>
        </w:rPr>
      </w:pPr>
      <w:r w:rsidRPr="0086092C">
        <w:rPr>
          <w:rFonts w:ascii="Arial" w:hAnsi="Arial" w:cs="Arial"/>
          <w:b/>
          <w:bCs/>
          <w:sz w:val="20"/>
          <w:szCs w:val="20"/>
        </w:rPr>
        <w:t>Regulatory Framework:</w:t>
      </w:r>
      <w:r w:rsidRPr="0086092C">
        <w:rPr>
          <w:rFonts w:ascii="Arial" w:hAnsi="Arial" w:cs="Arial"/>
          <w:sz w:val="20"/>
          <w:szCs w:val="20"/>
        </w:rPr>
        <w:t xml:space="preserve"> The system of laws, regulations, and standards put in place by regulatory bodies to control the activities of banks and other financial organizations is known as the regulatory framework.  These rules are intended to safeguard consumers, preserve market integrity, and guarantee the stability and safety of the banking system.  The Basel Committee on Banking Supervision (2013) states that capital adequacy criteria, liquidity norms, risk management procedures, and supervisory monitoring are essential elements of the regulatory framework.  The Regulatory Quality Index is used in this study to gauge how successful the regulatory framework is.  This index evaluates the government's capacity to create and carry out sensible laws and policies that allow and encourage the growth of the private sector (Kaufmann et al., 2010).</w:t>
      </w:r>
    </w:p>
    <w:p w14:paraId="1A8DD74F" w14:textId="77777777" w:rsidR="00353C2F" w:rsidRPr="0086092C" w:rsidRDefault="00353C2F" w:rsidP="0086092C">
      <w:pPr>
        <w:spacing w:line="240" w:lineRule="auto"/>
        <w:jc w:val="both"/>
        <w:rPr>
          <w:rFonts w:ascii="Arial" w:hAnsi="Arial" w:cs="Arial"/>
          <w:sz w:val="20"/>
          <w:szCs w:val="20"/>
        </w:rPr>
      </w:pPr>
      <w:r w:rsidRPr="0086092C">
        <w:rPr>
          <w:rFonts w:ascii="Arial" w:hAnsi="Arial" w:cs="Arial"/>
          <w:b/>
          <w:bCs/>
          <w:sz w:val="20"/>
          <w:szCs w:val="20"/>
        </w:rPr>
        <w:t>Legal Framework:</w:t>
      </w:r>
      <w:r w:rsidRPr="0086092C">
        <w:rPr>
          <w:rFonts w:ascii="Arial" w:hAnsi="Arial" w:cs="Arial"/>
          <w:sz w:val="20"/>
          <w:szCs w:val="20"/>
        </w:rPr>
        <w:t xml:space="preserve"> The collection of laws and rules that serve as the foundation for banking operations and the implementation of banking regulations is known as the legal framework.  Among other things, it contains regulations pertaining to consumer protection, insolvency, banking oversight, and anti-money laundering.  Maintaining trust in the financial system depends on banks operating in a clear and predictable legal context, which is ensured by a strong legal framework (IMF, 2009).  The Rule of Law Index is used to gauge how strong the legal system is in this study.  This index assesses how much agents trust and follow social norms, such as the standard of property rights, contract enforcement, law enforcement, and the courts (World Bank, 2020).</w:t>
      </w:r>
    </w:p>
    <w:p w14:paraId="064BC7B3" w14:textId="77777777" w:rsidR="001E2E5F" w:rsidRPr="009A2756" w:rsidRDefault="001E2E5F" w:rsidP="009A2756">
      <w:pPr>
        <w:spacing w:line="240" w:lineRule="auto"/>
        <w:rPr>
          <w:rFonts w:ascii="Arial" w:hAnsi="Arial" w:cs="Arial"/>
          <w:b/>
          <w:bCs/>
        </w:rPr>
      </w:pPr>
      <w:r w:rsidRPr="009A2756">
        <w:rPr>
          <w:rFonts w:ascii="Arial" w:hAnsi="Arial" w:cs="Arial"/>
          <w:b/>
          <w:bCs/>
        </w:rPr>
        <w:t>2.2. Theoretical Framework</w:t>
      </w:r>
    </w:p>
    <w:p w14:paraId="2438C2D2" w14:textId="2FD0EDEB" w:rsidR="001E2E5F" w:rsidRPr="0086092C" w:rsidRDefault="001E2E5F" w:rsidP="0086092C">
      <w:pPr>
        <w:spacing w:line="240" w:lineRule="auto"/>
        <w:jc w:val="both"/>
        <w:rPr>
          <w:rFonts w:ascii="Arial" w:hAnsi="Arial" w:cs="Arial"/>
          <w:sz w:val="20"/>
          <w:szCs w:val="20"/>
        </w:rPr>
      </w:pPr>
      <w:r w:rsidRPr="0086092C">
        <w:rPr>
          <w:rFonts w:ascii="Arial" w:hAnsi="Arial" w:cs="Arial"/>
          <w:sz w:val="20"/>
          <w:szCs w:val="20"/>
        </w:rPr>
        <w:t xml:space="preserve">The theoretical framework for analyzing the interplay </w:t>
      </w:r>
      <w:r w:rsidR="004316AB" w:rsidRPr="0086092C">
        <w:rPr>
          <w:rFonts w:ascii="Arial" w:hAnsi="Arial" w:cs="Arial"/>
          <w:sz w:val="20"/>
          <w:szCs w:val="20"/>
        </w:rPr>
        <w:t>among</w:t>
      </w:r>
      <w:r w:rsidRPr="0086092C">
        <w:rPr>
          <w:rFonts w:ascii="Arial" w:hAnsi="Arial" w:cs="Arial"/>
          <w:sz w:val="20"/>
          <w:szCs w:val="20"/>
        </w:rPr>
        <w:t xml:space="preserve"> regulatory framework, legal framework, and banking stability in Chad can be anchored on several key theories that elucidate the relationships among these concepts.</w:t>
      </w:r>
    </w:p>
    <w:p w14:paraId="3096ACE2" w14:textId="77777777" w:rsidR="001E2E5F" w:rsidRPr="0086092C" w:rsidRDefault="001E2E5F" w:rsidP="0086092C">
      <w:pPr>
        <w:spacing w:line="240" w:lineRule="auto"/>
        <w:jc w:val="both"/>
        <w:rPr>
          <w:rFonts w:ascii="Arial" w:hAnsi="Arial" w:cs="Arial"/>
          <w:sz w:val="20"/>
          <w:szCs w:val="20"/>
        </w:rPr>
      </w:pPr>
      <w:r w:rsidRPr="0086092C">
        <w:rPr>
          <w:rFonts w:ascii="Arial" w:hAnsi="Arial" w:cs="Arial"/>
          <w:b/>
          <w:bCs/>
          <w:sz w:val="20"/>
          <w:szCs w:val="20"/>
        </w:rPr>
        <w:t>Regulatory Dialectic Theory:</w:t>
      </w:r>
      <w:r w:rsidRPr="0086092C">
        <w:rPr>
          <w:rFonts w:ascii="Arial" w:hAnsi="Arial" w:cs="Arial"/>
          <w:sz w:val="20"/>
          <w:szCs w:val="20"/>
        </w:rPr>
        <w:t xml:space="preserve"> The Regulatory Dialectic Theory posits that regulatory measures evolve through a dynamic interaction between regulators and financial institutions (Kane, 1977). This theory suggests that regulatory frameworks are not static but adapt in response to the behavior of financial institutions and emerging market conditions. Effective regulation is crucial for banking stability as it mitigates systemic risks and enhances the resilience of financial institutions. For instance, the Basel III framework introduced by the Basel Committee on Banking Supervision (BCBS) aims to strengthen regulation, supervision, and risk management within the banking sector (BCBS, 2011).</w:t>
      </w:r>
    </w:p>
    <w:p w14:paraId="1F733597" w14:textId="77777777" w:rsidR="001E2E5F" w:rsidRPr="0086092C" w:rsidRDefault="001E2E5F" w:rsidP="0086092C">
      <w:pPr>
        <w:spacing w:line="240" w:lineRule="auto"/>
        <w:jc w:val="both"/>
        <w:rPr>
          <w:rFonts w:ascii="Arial" w:hAnsi="Arial" w:cs="Arial"/>
          <w:sz w:val="20"/>
          <w:szCs w:val="20"/>
        </w:rPr>
      </w:pPr>
      <w:r w:rsidRPr="0086092C">
        <w:rPr>
          <w:rFonts w:ascii="Arial" w:hAnsi="Arial" w:cs="Arial"/>
          <w:b/>
          <w:bCs/>
          <w:sz w:val="20"/>
          <w:szCs w:val="20"/>
        </w:rPr>
        <w:t>Law and Finance Theory:</w:t>
      </w:r>
      <w:r w:rsidRPr="0086092C">
        <w:rPr>
          <w:rFonts w:ascii="Arial" w:hAnsi="Arial" w:cs="Arial"/>
          <w:sz w:val="20"/>
          <w:szCs w:val="20"/>
        </w:rPr>
        <w:t xml:space="preserve"> The Law and Finance Theory asserts that the legal framework significantly influences financial development and stability (La Porta et al., 1998). This theory highlights the importance of a robust legal system in enforcing contracts, protecting property rights, and resolving disputes. A strong legal framework ensures that financial institutions operate within a predictable and </w:t>
      </w:r>
      <w:r w:rsidRPr="0086092C">
        <w:rPr>
          <w:rFonts w:ascii="Arial" w:hAnsi="Arial" w:cs="Arial"/>
          <w:sz w:val="20"/>
          <w:szCs w:val="20"/>
        </w:rPr>
        <w:lastRenderedPageBreak/>
        <w:t>secure environment, which is essential for maintaining banking stability. In Chad, the effectiveness of the legal framework can impact the confidence of investors and the overall stability of the banking sector.</w:t>
      </w:r>
    </w:p>
    <w:p w14:paraId="21DBB361" w14:textId="77777777" w:rsidR="001E2E5F" w:rsidRPr="0086092C" w:rsidRDefault="001E2E5F" w:rsidP="0086092C">
      <w:pPr>
        <w:spacing w:line="240" w:lineRule="auto"/>
        <w:jc w:val="both"/>
        <w:rPr>
          <w:rFonts w:ascii="Arial" w:hAnsi="Arial" w:cs="Arial"/>
          <w:sz w:val="20"/>
          <w:szCs w:val="20"/>
        </w:rPr>
      </w:pPr>
      <w:r w:rsidRPr="0086092C">
        <w:rPr>
          <w:rFonts w:ascii="Arial" w:hAnsi="Arial" w:cs="Arial"/>
          <w:b/>
          <w:bCs/>
          <w:sz w:val="20"/>
          <w:szCs w:val="20"/>
        </w:rPr>
        <w:t>Institutional Theory:</w:t>
      </w:r>
      <w:r w:rsidRPr="0086092C">
        <w:rPr>
          <w:rFonts w:ascii="Arial" w:hAnsi="Arial" w:cs="Arial"/>
          <w:sz w:val="20"/>
          <w:szCs w:val="20"/>
        </w:rPr>
        <w:t xml:space="preserve"> The Institutional Theory emphasizes the role of institutions, including legal and regulatory frameworks, in shaping economic and financial outcomes (North, 1990). This theory suggests that well-designed institutions reduce uncertainties and promote trust in the financial system. The interplay between regulatory and legal frameworks is crucial for banking stability, as effective regulation requires a supportive legal environment to enforce compliance and address violations. In Chad, the alignment of regulatory and legal frameworks can enhance the stability of the banking sector by ensuring that regulations are effectively implemented and enforced.</w:t>
      </w:r>
    </w:p>
    <w:p w14:paraId="047D5BB2" w14:textId="77777777" w:rsidR="001E2E5F" w:rsidRPr="0086092C" w:rsidRDefault="001E2E5F" w:rsidP="0086092C">
      <w:pPr>
        <w:spacing w:line="240" w:lineRule="auto"/>
        <w:jc w:val="both"/>
        <w:rPr>
          <w:rFonts w:ascii="Arial" w:hAnsi="Arial" w:cs="Arial"/>
          <w:sz w:val="20"/>
          <w:szCs w:val="20"/>
        </w:rPr>
      </w:pPr>
      <w:r w:rsidRPr="0086092C">
        <w:rPr>
          <w:rFonts w:ascii="Arial" w:hAnsi="Arial" w:cs="Arial"/>
          <w:b/>
          <w:bCs/>
          <w:sz w:val="20"/>
          <w:szCs w:val="20"/>
        </w:rPr>
        <w:t>Financial Stability Theory:</w:t>
      </w:r>
      <w:r w:rsidRPr="0086092C">
        <w:rPr>
          <w:rFonts w:ascii="Arial" w:hAnsi="Arial" w:cs="Arial"/>
          <w:sz w:val="20"/>
          <w:szCs w:val="20"/>
        </w:rPr>
        <w:t xml:space="preserve"> The Financial Stability Theory underscores the importance of a stable banking system for overall economic stability (Mishkin, 1999). This theory highlights the need for effective regulation and a strong legal framework to prevent bank failures and systemic crises. Banking stability refers to the resilience of the banking sector to shocks and its ability to maintain its core functions during periods of stress. In Chad, the stability of the banking sector can be influenced by the effectiveness of regulatory and legal frameworks in mitigating risks and ensuring the soundness of financial institutions.</w:t>
      </w:r>
    </w:p>
    <w:p w14:paraId="11C9D061" w14:textId="7A25D679" w:rsidR="001E2E5F" w:rsidRPr="009A2756" w:rsidRDefault="00CC5ABD" w:rsidP="009A2756">
      <w:pPr>
        <w:spacing w:line="240" w:lineRule="auto"/>
        <w:rPr>
          <w:rFonts w:ascii="Arial" w:hAnsi="Arial" w:cs="Arial"/>
          <w:b/>
          <w:bCs/>
        </w:rPr>
      </w:pPr>
      <w:r w:rsidRPr="009A2756">
        <w:rPr>
          <w:rFonts w:ascii="Arial" w:hAnsi="Arial" w:cs="Arial"/>
          <w:b/>
          <w:bCs/>
        </w:rPr>
        <w:t>2.3. Empirical Literature Review</w:t>
      </w:r>
    </w:p>
    <w:p w14:paraId="1D7BE020" w14:textId="38067324" w:rsidR="0054758C" w:rsidRPr="0086092C" w:rsidRDefault="00E22C35" w:rsidP="0086092C">
      <w:pPr>
        <w:spacing w:line="240" w:lineRule="auto"/>
        <w:jc w:val="both"/>
        <w:rPr>
          <w:rFonts w:ascii="Arial" w:hAnsi="Arial" w:cs="Arial"/>
          <w:b/>
          <w:bCs/>
          <w:sz w:val="20"/>
          <w:szCs w:val="20"/>
        </w:rPr>
      </w:pPr>
      <w:r w:rsidRPr="0086092C">
        <w:rPr>
          <w:rFonts w:ascii="Arial" w:hAnsi="Arial" w:cs="Arial"/>
          <w:sz w:val="20"/>
          <w:szCs w:val="20"/>
        </w:rPr>
        <w:t xml:space="preserve">The literature on the relationship </w:t>
      </w:r>
      <w:r w:rsidR="004316AB" w:rsidRPr="0086092C">
        <w:rPr>
          <w:rFonts w:ascii="Arial" w:hAnsi="Arial" w:cs="Arial"/>
          <w:sz w:val="20"/>
          <w:szCs w:val="20"/>
        </w:rPr>
        <w:t xml:space="preserve">among </w:t>
      </w:r>
      <w:r w:rsidRPr="0086092C">
        <w:rPr>
          <w:rFonts w:ascii="Arial" w:hAnsi="Arial" w:cs="Arial"/>
          <w:sz w:val="20"/>
          <w:szCs w:val="20"/>
        </w:rPr>
        <w:t xml:space="preserve">regulatory quality, the rule of law and non-performing loans is extensive and multifaceted. This literature review aims to synthesize empirical studies into two distinct strands: the impact of </w:t>
      </w:r>
      <w:r w:rsidR="0054758C" w:rsidRPr="0086092C">
        <w:rPr>
          <w:rFonts w:ascii="Arial" w:hAnsi="Arial" w:cs="Arial"/>
          <w:sz w:val="20"/>
          <w:szCs w:val="20"/>
        </w:rPr>
        <w:t>regulatory framework on banking stability and the influence of legal framework on banking stability.</w:t>
      </w:r>
      <w:r w:rsidR="0054758C" w:rsidRPr="0086092C">
        <w:rPr>
          <w:rFonts w:ascii="Arial" w:hAnsi="Arial" w:cs="Arial"/>
          <w:b/>
          <w:bCs/>
          <w:sz w:val="20"/>
          <w:szCs w:val="20"/>
        </w:rPr>
        <w:t xml:space="preserve"> </w:t>
      </w:r>
    </w:p>
    <w:p w14:paraId="449E9057" w14:textId="3684BE0E" w:rsidR="00C552A8" w:rsidRPr="0086092C" w:rsidRDefault="00C552A8" w:rsidP="0086092C">
      <w:pPr>
        <w:spacing w:line="240" w:lineRule="auto"/>
        <w:jc w:val="both"/>
        <w:rPr>
          <w:rFonts w:ascii="Arial" w:hAnsi="Arial" w:cs="Arial"/>
          <w:b/>
          <w:bCs/>
          <w:sz w:val="20"/>
          <w:szCs w:val="20"/>
        </w:rPr>
      </w:pPr>
      <w:r w:rsidRPr="0086092C">
        <w:rPr>
          <w:rFonts w:ascii="Arial" w:hAnsi="Arial" w:cs="Arial"/>
          <w:b/>
          <w:bCs/>
          <w:sz w:val="20"/>
          <w:szCs w:val="20"/>
        </w:rPr>
        <w:t>Review on the Impact of Regulatory Framework on Banking Stability</w:t>
      </w:r>
    </w:p>
    <w:p w14:paraId="2D41D4DE" w14:textId="77777777" w:rsidR="00C552A8" w:rsidRPr="0086092C" w:rsidRDefault="00C552A8" w:rsidP="0086092C">
      <w:pPr>
        <w:spacing w:line="240" w:lineRule="auto"/>
        <w:jc w:val="both"/>
        <w:rPr>
          <w:rFonts w:ascii="Arial" w:hAnsi="Arial" w:cs="Arial"/>
          <w:sz w:val="20"/>
          <w:szCs w:val="20"/>
        </w:rPr>
      </w:pPr>
      <w:r w:rsidRPr="0086092C">
        <w:rPr>
          <w:rFonts w:ascii="Arial" w:hAnsi="Arial" w:cs="Arial"/>
          <w:sz w:val="20"/>
          <w:szCs w:val="20"/>
        </w:rPr>
        <w:t>The World Bank (2020) evaluated the impact of regulatory reforms on banking stability in emerging markets through a mixed-methods approach, combining quantitative analysis of banking stability indicators with qualitative interviews of regulatory experts and banking professionals. The study finds that recent regulatory reforms, such as enhanced capital requirements and improved risk management practices, have generally strengthened banking stability in emerging markets. However, the effectiveness of these reforms varies depending on the quality of implementation and the specific economic context of each market. The authors recommend that emerging markets tailor regulatory reforms to their unique economic conditions and institutional capacities, and emphasize the importance of strengthening regulatory institutions and ensuring effective enforcement for sustainable banking stability.</w:t>
      </w:r>
    </w:p>
    <w:p w14:paraId="7B98FA25" w14:textId="77777777" w:rsidR="00F87FB6" w:rsidRPr="0086092C" w:rsidRDefault="00F87FB6" w:rsidP="0086092C">
      <w:pPr>
        <w:spacing w:line="240" w:lineRule="auto"/>
        <w:jc w:val="both"/>
        <w:rPr>
          <w:rFonts w:ascii="Arial" w:hAnsi="Arial" w:cs="Arial"/>
          <w:sz w:val="20"/>
          <w:szCs w:val="20"/>
        </w:rPr>
      </w:pPr>
      <w:proofErr w:type="spellStart"/>
      <w:r w:rsidRPr="0086092C">
        <w:rPr>
          <w:rFonts w:ascii="Arial" w:hAnsi="Arial" w:cs="Arial"/>
          <w:sz w:val="20"/>
          <w:szCs w:val="20"/>
        </w:rPr>
        <w:t>Bougatef</w:t>
      </w:r>
      <w:proofErr w:type="spellEnd"/>
      <w:r w:rsidRPr="0086092C">
        <w:rPr>
          <w:rFonts w:ascii="Arial" w:hAnsi="Arial" w:cs="Arial"/>
          <w:sz w:val="20"/>
          <w:szCs w:val="20"/>
        </w:rPr>
        <w:t xml:space="preserve"> (2016) aimed to examine the impact of bank-specific features and regulatory quality on non-performing loans, utilizing bank-level information from 15 MENA nations between 2004 and 2012.  To address the endogeneity and serial correlation problems, he used a dynamic panel data model.  He discovered that regulatory quality has a substantial and detrimental impact on NPLs. Additionally, he discovered that banks with larger size, poorer profitability, lower liquidity, and lower capitalization are more affected by regulatory quality in relation to non-performing loans.  He proposed that lowering the amount of non-performing loans and boosting banking sector supervision and regulatory quality might increase banking stability.</w:t>
      </w:r>
    </w:p>
    <w:p w14:paraId="36C14D3C" w14:textId="77777777" w:rsidR="00F87FB6" w:rsidRPr="0086092C" w:rsidRDefault="00F87FB6" w:rsidP="0086092C">
      <w:pPr>
        <w:spacing w:line="240" w:lineRule="auto"/>
        <w:jc w:val="both"/>
        <w:rPr>
          <w:rFonts w:ascii="Arial" w:hAnsi="Arial" w:cs="Arial"/>
          <w:sz w:val="20"/>
          <w:szCs w:val="20"/>
        </w:rPr>
      </w:pPr>
      <w:r w:rsidRPr="0086092C">
        <w:rPr>
          <w:rFonts w:ascii="Arial" w:hAnsi="Arial" w:cs="Arial"/>
          <w:sz w:val="20"/>
          <w:szCs w:val="20"/>
        </w:rPr>
        <w:t>Barth et al. (2013) investigated how prudential regulation affected bank stability, concentrating on risk management procedures, capital adequacy, and liquidity constraints.  Stricter prudential rules, especially greater capital adequacy and liquidity requirements, are linked to better banking stability, according to their examination of panel data from banks in several nations.  Strong risk management procedures are typically followed by banks that have higher profitability and fewer non-performing loans.  The report emphasizes how crucial thorough prudential regulation is to preserving a healthy banking industry and suggests that regulators keep up the enforcement and improvement of these rules to guarantee that banks have sufficient capital and liquidity buffers.</w:t>
      </w:r>
    </w:p>
    <w:p w14:paraId="30BCD0F0" w14:textId="77777777" w:rsidR="00F87FB6" w:rsidRPr="0086092C" w:rsidRDefault="00F87FB6" w:rsidP="0086092C">
      <w:pPr>
        <w:spacing w:line="240" w:lineRule="auto"/>
        <w:jc w:val="both"/>
        <w:rPr>
          <w:rFonts w:ascii="Arial" w:hAnsi="Arial" w:cs="Arial"/>
          <w:sz w:val="20"/>
          <w:szCs w:val="20"/>
        </w:rPr>
      </w:pPr>
      <w:r w:rsidRPr="0086092C">
        <w:rPr>
          <w:rFonts w:ascii="Arial" w:hAnsi="Arial" w:cs="Arial"/>
          <w:sz w:val="20"/>
          <w:szCs w:val="20"/>
        </w:rPr>
        <w:t xml:space="preserve">Kaufmann et al. (2010) used a cross-country analysis to examine the relationship between the stability and performance of the banking industry and the quality of regulatory frameworks.  Using information from the World Bank's Regulatory Quality Index and metrics like return on equity and return on assets, </w:t>
      </w:r>
      <w:r w:rsidRPr="0086092C">
        <w:rPr>
          <w:rFonts w:ascii="Arial" w:hAnsi="Arial" w:cs="Arial"/>
          <w:sz w:val="20"/>
          <w:szCs w:val="20"/>
        </w:rPr>
        <w:lastRenderedPageBreak/>
        <w:t>they evaluate the performance of the banking sector and regulatory quality in various geographical areas.  According to their findings, improved banking sector performance and stability were positively connected with higher regulatory quality.  Higher ROA and ROE indicate more robust banking sectors in nations with well-developed regulatory frameworks.  The report urges policymakers to concentrate on enhancing regulatory quality by implementing best practices and guaranteeing efficient enforcement, emphasizing the crucial role that regulations play in creating a stable banking environment.</w:t>
      </w:r>
    </w:p>
    <w:p w14:paraId="5B35D492" w14:textId="77777777" w:rsidR="00C552A8" w:rsidRPr="0086092C" w:rsidRDefault="00C552A8" w:rsidP="0086092C">
      <w:pPr>
        <w:spacing w:line="240" w:lineRule="auto"/>
        <w:jc w:val="both"/>
        <w:rPr>
          <w:rFonts w:ascii="Arial" w:hAnsi="Arial" w:cs="Arial"/>
          <w:b/>
          <w:bCs/>
          <w:sz w:val="20"/>
          <w:szCs w:val="20"/>
        </w:rPr>
      </w:pPr>
      <w:r w:rsidRPr="0086092C">
        <w:rPr>
          <w:rFonts w:ascii="Arial" w:hAnsi="Arial" w:cs="Arial"/>
          <w:b/>
          <w:bCs/>
          <w:sz w:val="20"/>
          <w:szCs w:val="20"/>
        </w:rPr>
        <w:t xml:space="preserve">Review on the Impact of Legal Framework on Banking Stability </w:t>
      </w:r>
    </w:p>
    <w:p w14:paraId="0FAF90D0" w14:textId="77777777" w:rsidR="00BD773D" w:rsidRPr="0086092C" w:rsidRDefault="00BD773D" w:rsidP="0086092C">
      <w:pPr>
        <w:spacing w:line="240" w:lineRule="auto"/>
        <w:jc w:val="both"/>
        <w:rPr>
          <w:rFonts w:ascii="Arial" w:hAnsi="Arial" w:cs="Arial"/>
          <w:sz w:val="20"/>
          <w:szCs w:val="20"/>
        </w:rPr>
      </w:pPr>
      <w:proofErr w:type="spellStart"/>
      <w:r w:rsidRPr="0086092C">
        <w:rPr>
          <w:rFonts w:ascii="Arial" w:hAnsi="Arial" w:cs="Arial"/>
          <w:sz w:val="20"/>
          <w:szCs w:val="20"/>
        </w:rPr>
        <w:t>Laeven</w:t>
      </w:r>
      <w:proofErr w:type="spellEnd"/>
      <w:r w:rsidRPr="0086092C">
        <w:rPr>
          <w:rFonts w:ascii="Arial" w:hAnsi="Arial" w:cs="Arial"/>
          <w:sz w:val="20"/>
          <w:szCs w:val="20"/>
        </w:rPr>
        <w:t xml:space="preserve"> and Levine (2022) examined the connection between bank stability, CEO salary, and legal systems.  Comparing common law and civil law nations, the study concludes that banks in common law nations are typically less stable than those in civil law nations.  According to the report, this discrepancy results from differences in banking laws and regulations, which have an impact on CEO pay policies and risk-taking tendencies.  According to the authors, financial stability can be improved by fortifying legislative frameworks and coordinating CEO compensation with long-term stability objectives.</w:t>
      </w:r>
    </w:p>
    <w:p w14:paraId="5D5327D8" w14:textId="77777777" w:rsidR="00BD773D" w:rsidRPr="0086092C" w:rsidRDefault="00BD773D" w:rsidP="0086092C">
      <w:pPr>
        <w:spacing w:line="240" w:lineRule="auto"/>
        <w:jc w:val="both"/>
        <w:rPr>
          <w:rFonts w:ascii="Arial" w:hAnsi="Arial" w:cs="Arial"/>
          <w:sz w:val="20"/>
          <w:szCs w:val="20"/>
        </w:rPr>
      </w:pPr>
      <w:r w:rsidRPr="0086092C">
        <w:rPr>
          <w:rFonts w:ascii="Arial" w:hAnsi="Arial" w:cs="Arial"/>
          <w:sz w:val="20"/>
          <w:szCs w:val="20"/>
        </w:rPr>
        <w:t>Khan (2017) used information from the IMF's Central Bank Legislation Database to examine how central bank legal frameworks changed following the global financial crisis.  With an emphasis on goals, decision-making, accountability, and data collecting, the study examined the variations between central bank regulations prior to and following the crisis.  The results show that in addition to price stability, several central banks have revised their legal frameworks to make financial stability a primary goal.  The study emphasizes how crucial explicit legal requirements and governance frameworks are to boosting the efficiency and stability of central banks.  Khan advises central banks to keep improving their legislative structures in order to accommodate changing financial environments.</w:t>
      </w:r>
    </w:p>
    <w:p w14:paraId="5A2C70B8" w14:textId="77777777" w:rsidR="00BD773D" w:rsidRPr="0086092C" w:rsidRDefault="00BD773D" w:rsidP="0086092C">
      <w:pPr>
        <w:spacing w:line="240" w:lineRule="auto"/>
        <w:jc w:val="both"/>
        <w:rPr>
          <w:rFonts w:ascii="Arial" w:hAnsi="Arial" w:cs="Arial"/>
          <w:sz w:val="20"/>
          <w:szCs w:val="20"/>
        </w:rPr>
      </w:pPr>
      <w:r w:rsidRPr="0086092C">
        <w:rPr>
          <w:rFonts w:ascii="Arial" w:hAnsi="Arial" w:cs="Arial"/>
          <w:sz w:val="20"/>
          <w:szCs w:val="20"/>
        </w:rPr>
        <w:t xml:space="preserve">Hagan and </w:t>
      </w:r>
      <w:proofErr w:type="spellStart"/>
      <w:r w:rsidRPr="0086092C">
        <w:rPr>
          <w:rFonts w:ascii="Arial" w:hAnsi="Arial" w:cs="Arial"/>
          <w:sz w:val="20"/>
          <w:szCs w:val="20"/>
        </w:rPr>
        <w:t>Leckow</w:t>
      </w:r>
      <w:proofErr w:type="spellEnd"/>
      <w:r w:rsidRPr="0086092C">
        <w:rPr>
          <w:rFonts w:ascii="Arial" w:hAnsi="Arial" w:cs="Arial"/>
          <w:sz w:val="20"/>
          <w:szCs w:val="20"/>
        </w:rPr>
        <w:t xml:space="preserve"> (2016) studied the legal frameworks' significance in maintaining financial stability specifically in relation to anti-money laundering (AML) and countering the financing of terrorism (CFT).  They drew attention to the advancements gained in fortifying the legislative frameworks that oversee the banking industry after the global financial crisis of 2008.  According to the study, strong legislative frameworks—which include macroprudential regulations and efficient bank resolution procedures—are essential to preserving financial stability.  To guarantee long-term banking stability, the authors advise consistent creation and application of global standards as well as suitable responses to new problems.</w:t>
      </w:r>
    </w:p>
    <w:p w14:paraId="75ED2838" w14:textId="77777777" w:rsidR="00BD773D" w:rsidRPr="0086092C" w:rsidRDefault="00BD773D" w:rsidP="0086092C">
      <w:pPr>
        <w:spacing w:line="240" w:lineRule="auto"/>
        <w:jc w:val="both"/>
        <w:rPr>
          <w:rFonts w:ascii="Arial" w:hAnsi="Arial" w:cs="Arial"/>
          <w:sz w:val="20"/>
          <w:szCs w:val="20"/>
        </w:rPr>
      </w:pPr>
      <w:r w:rsidRPr="0086092C">
        <w:rPr>
          <w:rFonts w:ascii="Arial" w:hAnsi="Arial" w:cs="Arial"/>
          <w:sz w:val="20"/>
          <w:szCs w:val="20"/>
        </w:rPr>
        <w:t>Beck et al. (2013) aimed to investigate the role of institutional and macroeconomic factors in explaining the variation of NPLs across 75 countries during the period 1995–2007. They applied a dynamic panel data model with the GMM estimator to address the issues of endogeneity and unobserved heterogeneity. They found that the rule of law, measured by the World Bank's rule of law index, has a negative and significant effect on NPLs, indicating that a higher quality of the legal system can lower the credit risk of banks by improving the information environment and the recovery of loans.</w:t>
      </w:r>
    </w:p>
    <w:p w14:paraId="262CE355" w14:textId="77777777" w:rsidR="00BD773D" w:rsidRPr="0086092C" w:rsidRDefault="00BD773D" w:rsidP="0086092C">
      <w:pPr>
        <w:spacing w:line="240" w:lineRule="auto"/>
        <w:jc w:val="both"/>
        <w:rPr>
          <w:rFonts w:ascii="Arial" w:hAnsi="Arial" w:cs="Arial"/>
          <w:sz w:val="20"/>
          <w:szCs w:val="20"/>
        </w:rPr>
      </w:pPr>
      <w:proofErr w:type="spellStart"/>
      <w:r w:rsidRPr="0086092C">
        <w:rPr>
          <w:rFonts w:ascii="Arial" w:hAnsi="Arial" w:cs="Arial"/>
          <w:sz w:val="20"/>
          <w:szCs w:val="20"/>
        </w:rPr>
        <w:t>Djankov</w:t>
      </w:r>
      <w:proofErr w:type="spellEnd"/>
      <w:r w:rsidRPr="0086092C">
        <w:rPr>
          <w:rFonts w:ascii="Arial" w:hAnsi="Arial" w:cs="Arial"/>
          <w:sz w:val="20"/>
          <w:szCs w:val="20"/>
        </w:rPr>
        <w:t xml:space="preserve"> et al. (2007) used a sample of 129 nations over a 25-year period to examine the effect of legislative protection of creditors on banking stability.  According to their research, the amount of non-performing loans in the banking industry is considerably decreased when creditors have greater legal protection.  Since banks are better equipped to handle credit risks, this decrease in non-performing loans promotes overall banking stability.  In order to improve creditor protection and foster a more stable banking environment, the authors advise nations to fortify their legal systems.</w:t>
      </w:r>
    </w:p>
    <w:p w14:paraId="73779506" w14:textId="77777777" w:rsidR="00736DD1" w:rsidRPr="0086092C" w:rsidRDefault="00736DD1" w:rsidP="0086092C">
      <w:pPr>
        <w:spacing w:line="240" w:lineRule="auto"/>
        <w:jc w:val="both"/>
        <w:rPr>
          <w:rFonts w:ascii="Arial" w:hAnsi="Arial" w:cs="Arial"/>
          <w:sz w:val="20"/>
          <w:szCs w:val="20"/>
        </w:rPr>
      </w:pPr>
      <w:r w:rsidRPr="0086092C">
        <w:rPr>
          <w:rFonts w:ascii="Arial" w:hAnsi="Arial" w:cs="Arial"/>
          <w:sz w:val="20"/>
          <w:szCs w:val="20"/>
        </w:rPr>
        <w:t>There are significant gaps in the literature that need to be filled, particularly in the context of Chad, even if it offers valuable insights into how regulatory and legal frameworks affect banking stability.  Low-income nations like Chad receive little attention in the research that is currently available, which mostly concentrates on industrialized economies and rising markets.  Understanding how legal and regulatory systems operate in various institutional and economic situations is severely hampered by this regional bias.  The absence of thorough studies that combine the legal and regulatory frameworks in a single analysis is another notable shortcoming.  The majority of studies tend to concentrate on legal or regulatory issues separately, ignoring how they interact to affect financial stability.</w:t>
      </w:r>
    </w:p>
    <w:p w14:paraId="5ABA40A0" w14:textId="5AC11257" w:rsidR="00B7391B" w:rsidRPr="006A0151" w:rsidRDefault="001A626D" w:rsidP="0086092C">
      <w:pPr>
        <w:tabs>
          <w:tab w:val="center" w:pos="4680"/>
        </w:tabs>
        <w:spacing w:line="240" w:lineRule="auto"/>
        <w:jc w:val="both"/>
        <w:rPr>
          <w:rFonts w:ascii="Arial" w:hAnsi="Arial" w:cs="Arial"/>
          <w:b/>
          <w:spacing w:val="4"/>
        </w:rPr>
      </w:pPr>
      <w:r w:rsidRPr="006A0151">
        <w:rPr>
          <w:rFonts w:ascii="Arial" w:hAnsi="Arial" w:cs="Arial"/>
          <w:b/>
          <w:spacing w:val="1"/>
        </w:rPr>
        <w:t>3</w:t>
      </w:r>
      <w:r w:rsidRPr="006A0151">
        <w:rPr>
          <w:rFonts w:ascii="Arial" w:hAnsi="Arial" w:cs="Arial"/>
          <w:b/>
        </w:rPr>
        <w:t>.</w:t>
      </w:r>
      <w:r w:rsidRPr="006A0151">
        <w:rPr>
          <w:rFonts w:ascii="Arial" w:hAnsi="Arial" w:cs="Arial"/>
          <w:b/>
          <w:spacing w:val="48"/>
        </w:rPr>
        <w:t xml:space="preserve"> </w:t>
      </w:r>
      <w:r w:rsidRPr="006A0151">
        <w:rPr>
          <w:rFonts w:ascii="Arial" w:hAnsi="Arial" w:cs="Arial"/>
          <w:b/>
        </w:rPr>
        <w:t xml:space="preserve">DATA SOURCES AND </w:t>
      </w:r>
      <w:r w:rsidRPr="006A0151">
        <w:rPr>
          <w:rFonts w:ascii="Arial" w:hAnsi="Arial" w:cs="Arial"/>
          <w:b/>
          <w:spacing w:val="4"/>
        </w:rPr>
        <w:t>METHODOLOGY</w:t>
      </w:r>
      <w:r w:rsidRPr="006A0151">
        <w:rPr>
          <w:rFonts w:ascii="Arial" w:hAnsi="Arial" w:cs="Arial"/>
          <w:b/>
          <w:spacing w:val="4"/>
        </w:rPr>
        <w:tab/>
      </w:r>
    </w:p>
    <w:p w14:paraId="364E20DA" w14:textId="60789112" w:rsidR="00B7391B" w:rsidRPr="006A0151" w:rsidRDefault="00B7391B" w:rsidP="0086092C">
      <w:pPr>
        <w:spacing w:line="240" w:lineRule="auto"/>
        <w:jc w:val="both"/>
        <w:rPr>
          <w:rFonts w:ascii="Arial" w:hAnsi="Arial" w:cs="Arial"/>
          <w:b/>
        </w:rPr>
      </w:pPr>
      <w:r w:rsidRPr="006A0151">
        <w:rPr>
          <w:rFonts w:ascii="Arial" w:hAnsi="Arial" w:cs="Arial"/>
          <w:b/>
        </w:rPr>
        <w:lastRenderedPageBreak/>
        <w:t xml:space="preserve">3.1. Sources of Data </w:t>
      </w:r>
    </w:p>
    <w:p w14:paraId="31B84D0D" w14:textId="5C70C445" w:rsidR="00CC5ABD" w:rsidRPr="0086092C" w:rsidRDefault="00CC5ABD" w:rsidP="0086092C">
      <w:pPr>
        <w:spacing w:line="240" w:lineRule="auto"/>
        <w:jc w:val="both"/>
        <w:rPr>
          <w:rFonts w:ascii="Arial" w:hAnsi="Arial" w:cs="Arial"/>
          <w:sz w:val="20"/>
          <w:szCs w:val="20"/>
        </w:rPr>
      </w:pPr>
      <w:r w:rsidRPr="0086092C">
        <w:rPr>
          <w:rFonts w:ascii="Arial" w:hAnsi="Arial" w:cs="Arial"/>
          <w:sz w:val="20"/>
          <w:szCs w:val="20"/>
        </w:rPr>
        <w:t xml:space="preserve">This study utilizes a time series dataset spanning from 2002 to 2022 to investigate the interplay among regulatory framework, legal framework, and banking stability in Chad. Data on the Non-Performing Loans Ratio, which measures banking stability, were obtained from </w:t>
      </w:r>
      <w:r w:rsidR="008F6E27" w:rsidRPr="0086092C">
        <w:rPr>
          <w:rFonts w:ascii="Arial" w:hAnsi="Arial" w:cs="Arial"/>
          <w:sz w:val="20"/>
          <w:szCs w:val="20"/>
        </w:rPr>
        <w:t xml:space="preserve">the Bank of Central African States (BEAC), complemented by the World Bank's Global Financial Development Database (GFDD). </w:t>
      </w:r>
      <w:r w:rsidRPr="0086092C">
        <w:rPr>
          <w:rFonts w:ascii="Arial" w:hAnsi="Arial" w:cs="Arial"/>
          <w:sz w:val="20"/>
          <w:szCs w:val="20"/>
        </w:rPr>
        <w:t>The Regulatory Quality Index (RQ), measuring the effectiveness of the regulatory framework, and the Rule of Law Index (RL), assessing the strength of the legal framework, were sourced from the Worldwide Governance Indicators (WGI) database. These reliable and comprehensive data sources ensure that the analysis is based on accurate and up-to-date information, allowing for a thorough examination of the relationships among regulatory framework, legal framework, and banking stability in Chad.</w:t>
      </w:r>
    </w:p>
    <w:p w14:paraId="1762AE34" w14:textId="37991827" w:rsidR="00B7391B" w:rsidRPr="006A0151" w:rsidRDefault="00B7391B" w:rsidP="0086092C">
      <w:pPr>
        <w:spacing w:line="240" w:lineRule="auto"/>
        <w:jc w:val="both"/>
        <w:rPr>
          <w:rFonts w:ascii="Arial" w:hAnsi="Arial" w:cs="Arial"/>
          <w:b/>
          <w:bCs/>
        </w:rPr>
      </w:pPr>
      <w:r w:rsidRPr="006A0151">
        <w:rPr>
          <w:rFonts w:ascii="Arial" w:hAnsi="Arial" w:cs="Arial"/>
          <w:b/>
          <w:bCs/>
        </w:rPr>
        <w:t>3.2. Variable Description</w:t>
      </w:r>
    </w:p>
    <w:p w14:paraId="52C6E2E7" w14:textId="77777777" w:rsidR="00F600B1" w:rsidRPr="0086092C" w:rsidRDefault="00F600B1" w:rsidP="0086092C">
      <w:pPr>
        <w:spacing w:line="240" w:lineRule="auto"/>
        <w:jc w:val="both"/>
        <w:rPr>
          <w:rFonts w:ascii="Arial" w:hAnsi="Arial" w:cs="Arial"/>
          <w:sz w:val="20"/>
          <w:szCs w:val="20"/>
        </w:rPr>
      </w:pPr>
      <w:r w:rsidRPr="0086092C">
        <w:rPr>
          <w:rFonts w:ascii="Arial" w:hAnsi="Arial" w:cs="Arial"/>
          <w:b/>
          <w:bCs/>
          <w:sz w:val="20"/>
          <w:szCs w:val="20"/>
        </w:rPr>
        <w:t>Banking Stability:</w:t>
      </w:r>
      <w:r w:rsidRPr="0086092C">
        <w:rPr>
          <w:rFonts w:ascii="Arial" w:hAnsi="Arial" w:cs="Arial"/>
          <w:sz w:val="20"/>
          <w:szCs w:val="20"/>
        </w:rPr>
        <w:t xml:space="preserve"> One of the most important markers of the soundness and effectiveness of the financial industry is banking stability.  The non-performing loans ratio (NPLR), which shows the percentage of loans that are in default or nearly in default, is used in this research to gauge financial stability.  One well-known indicator of asset quality and a crucial sign of trouble in the banking industry is the non-performing loan ratio.  It is a vital and widely used indicator of bank risk, and empirical research has confirmed its validity and reliability as a measure of banking stability (Ferreira, 2022; Nikolopoulos &amp; </w:t>
      </w:r>
      <w:proofErr w:type="spellStart"/>
      <w:r w:rsidRPr="0086092C">
        <w:rPr>
          <w:rFonts w:ascii="Arial" w:hAnsi="Arial" w:cs="Arial"/>
          <w:sz w:val="20"/>
          <w:szCs w:val="20"/>
        </w:rPr>
        <w:t>Tsalas</w:t>
      </w:r>
      <w:proofErr w:type="spellEnd"/>
      <w:r w:rsidRPr="0086092C">
        <w:rPr>
          <w:rFonts w:ascii="Arial" w:hAnsi="Arial" w:cs="Arial"/>
          <w:sz w:val="20"/>
          <w:szCs w:val="20"/>
        </w:rPr>
        <w:t>, 2017).</w:t>
      </w:r>
    </w:p>
    <w:p w14:paraId="32FB8D30" w14:textId="77777777" w:rsidR="00F600B1" w:rsidRPr="0086092C" w:rsidRDefault="00F600B1" w:rsidP="0086092C">
      <w:pPr>
        <w:spacing w:line="240" w:lineRule="auto"/>
        <w:jc w:val="both"/>
        <w:rPr>
          <w:rFonts w:ascii="Arial" w:hAnsi="Arial" w:cs="Arial"/>
          <w:sz w:val="20"/>
          <w:szCs w:val="20"/>
        </w:rPr>
      </w:pPr>
      <w:r w:rsidRPr="0086092C">
        <w:rPr>
          <w:rFonts w:ascii="Arial" w:hAnsi="Arial" w:cs="Arial"/>
          <w:b/>
          <w:bCs/>
          <w:sz w:val="20"/>
          <w:szCs w:val="20"/>
        </w:rPr>
        <w:t>Regulatory Framework:</w:t>
      </w:r>
      <w:r w:rsidRPr="0086092C">
        <w:rPr>
          <w:rFonts w:ascii="Arial" w:hAnsi="Arial" w:cs="Arial"/>
          <w:sz w:val="20"/>
          <w:szCs w:val="20"/>
        </w:rPr>
        <w:t xml:space="preserve"> This refers to the set of rules and regulations that control how banks are run and monitored.  We utilized the Regulatory Quality Index (RQ), which measures the government's capacity to create and carry out sensible laws and regulations that allow and encourage the growth of the private sector, to quantify the regulatory framework.  As a component of the Worldwide Governance Indicators (WGI), this index offers a consistent metric for cross-national and cross-temporal comparison.  The Regulatory Quality Index's validity and reliability in assessing the caliber of regulation have been confirmed by the literature's thorough description of its methodology and application (</w:t>
      </w:r>
      <w:proofErr w:type="spellStart"/>
      <w:r w:rsidRPr="0086092C">
        <w:rPr>
          <w:rFonts w:ascii="Arial" w:hAnsi="Arial" w:cs="Arial"/>
          <w:sz w:val="20"/>
          <w:szCs w:val="20"/>
        </w:rPr>
        <w:t>Karkatsoulis</w:t>
      </w:r>
      <w:proofErr w:type="spellEnd"/>
      <w:r w:rsidRPr="0086092C">
        <w:rPr>
          <w:rFonts w:ascii="Arial" w:hAnsi="Arial" w:cs="Arial"/>
          <w:sz w:val="20"/>
          <w:szCs w:val="20"/>
        </w:rPr>
        <w:t xml:space="preserve"> et al., 2019).</w:t>
      </w:r>
    </w:p>
    <w:p w14:paraId="77643909" w14:textId="77777777" w:rsidR="00F600B1" w:rsidRPr="0086092C" w:rsidRDefault="00F600B1" w:rsidP="0086092C">
      <w:pPr>
        <w:spacing w:line="240" w:lineRule="auto"/>
        <w:jc w:val="both"/>
        <w:rPr>
          <w:rFonts w:ascii="Arial" w:hAnsi="Arial" w:cs="Arial"/>
          <w:sz w:val="20"/>
          <w:szCs w:val="20"/>
        </w:rPr>
      </w:pPr>
      <w:r w:rsidRPr="0086092C">
        <w:rPr>
          <w:rFonts w:ascii="Arial" w:hAnsi="Arial" w:cs="Arial"/>
          <w:b/>
          <w:bCs/>
          <w:sz w:val="20"/>
          <w:szCs w:val="20"/>
        </w:rPr>
        <w:t>Legal Framework:</w:t>
      </w:r>
      <w:r w:rsidRPr="0086092C">
        <w:rPr>
          <w:rFonts w:ascii="Arial" w:hAnsi="Arial" w:cs="Arial"/>
          <w:sz w:val="20"/>
          <w:szCs w:val="20"/>
        </w:rPr>
        <w:t xml:space="preserve"> The laws and rules that define the rights, responsibilities, and processes that have an impact on the banking industry are referred to as the legal framework.  The Rule of Law Index (RL), another element of the WGI, is used to gauge the legal system.  This index evaluates how much agents trust and follow social norms, such as the standard of property rights, contract enforcement, the police, and the courts, as well as the probability of crime and violence.  To ensure its suitability and the effects of its application in empirical research, the Rule of Law Index has undergone rigorous examination and comparative reviews (Skaaning, 2010).</w:t>
      </w:r>
    </w:p>
    <w:p w14:paraId="045008E3" w14:textId="77777777" w:rsidR="00B7391B" w:rsidRDefault="00B7391B" w:rsidP="0086092C">
      <w:pPr>
        <w:spacing w:line="240" w:lineRule="auto"/>
        <w:jc w:val="both"/>
        <w:rPr>
          <w:rFonts w:ascii="Arial" w:hAnsi="Arial" w:cs="Arial"/>
          <w:sz w:val="20"/>
          <w:szCs w:val="20"/>
        </w:rPr>
      </w:pPr>
      <w:r w:rsidRPr="0086092C">
        <w:rPr>
          <w:rFonts w:ascii="Arial" w:hAnsi="Arial" w:cs="Arial"/>
          <w:sz w:val="20"/>
          <w:szCs w:val="20"/>
        </w:rPr>
        <w:t>Each of these variables plays a pivotal role in our analysis, serving as a proxy for the broader constructs of banking stability, regulatory quality, and legal robustness. By utilizing these indices, we ensure that our measures are consistent, comparable, and reflective of the broader institutional environment in which banks operate.</w:t>
      </w:r>
    </w:p>
    <w:p w14:paraId="67AF413B" w14:textId="77777777" w:rsidR="006A0151" w:rsidRDefault="006A0151" w:rsidP="0086092C">
      <w:pPr>
        <w:spacing w:line="240" w:lineRule="auto"/>
        <w:jc w:val="both"/>
        <w:rPr>
          <w:rFonts w:ascii="Arial" w:hAnsi="Arial" w:cs="Arial"/>
          <w:sz w:val="20"/>
          <w:szCs w:val="20"/>
        </w:rPr>
      </w:pPr>
    </w:p>
    <w:p w14:paraId="7AC080F2" w14:textId="77777777" w:rsidR="006A0151" w:rsidRDefault="006A0151" w:rsidP="0086092C">
      <w:pPr>
        <w:spacing w:line="240" w:lineRule="auto"/>
        <w:jc w:val="both"/>
        <w:rPr>
          <w:rFonts w:ascii="Arial" w:hAnsi="Arial" w:cs="Arial"/>
          <w:sz w:val="20"/>
          <w:szCs w:val="20"/>
        </w:rPr>
      </w:pPr>
    </w:p>
    <w:p w14:paraId="481E8DD3" w14:textId="77777777" w:rsidR="006A0151" w:rsidRDefault="006A0151" w:rsidP="0086092C">
      <w:pPr>
        <w:spacing w:line="240" w:lineRule="auto"/>
        <w:jc w:val="both"/>
        <w:rPr>
          <w:rFonts w:ascii="Arial" w:hAnsi="Arial" w:cs="Arial"/>
          <w:sz w:val="20"/>
          <w:szCs w:val="20"/>
        </w:rPr>
      </w:pPr>
    </w:p>
    <w:p w14:paraId="76A58F80" w14:textId="77777777" w:rsidR="006A0151" w:rsidRDefault="006A0151" w:rsidP="0086092C">
      <w:pPr>
        <w:spacing w:line="240" w:lineRule="auto"/>
        <w:jc w:val="both"/>
        <w:rPr>
          <w:rFonts w:ascii="Arial" w:hAnsi="Arial" w:cs="Arial"/>
          <w:sz w:val="20"/>
          <w:szCs w:val="20"/>
        </w:rPr>
      </w:pPr>
    </w:p>
    <w:p w14:paraId="4FC12D9F" w14:textId="77777777" w:rsidR="006A0151" w:rsidRPr="0086092C" w:rsidRDefault="006A0151" w:rsidP="0086092C">
      <w:pPr>
        <w:spacing w:line="240" w:lineRule="auto"/>
        <w:jc w:val="both"/>
        <w:rPr>
          <w:rFonts w:ascii="Arial" w:hAnsi="Arial" w:cs="Arial"/>
          <w:sz w:val="20"/>
          <w:szCs w:val="20"/>
        </w:rPr>
      </w:pPr>
    </w:p>
    <w:p w14:paraId="32EE3557" w14:textId="22E85FB5" w:rsidR="004230F4" w:rsidRPr="0086092C" w:rsidRDefault="004230F4" w:rsidP="0086092C">
      <w:pPr>
        <w:spacing w:after="0" w:line="240" w:lineRule="auto"/>
        <w:jc w:val="center"/>
        <w:rPr>
          <w:rFonts w:ascii="Arial" w:hAnsi="Arial" w:cs="Arial"/>
          <w:i/>
          <w:iCs/>
          <w:sz w:val="20"/>
          <w:szCs w:val="20"/>
        </w:rPr>
      </w:pPr>
      <w:r w:rsidRPr="0086092C">
        <w:rPr>
          <w:rFonts w:ascii="Arial" w:hAnsi="Arial" w:cs="Arial"/>
          <w:i/>
          <w:iCs/>
          <w:sz w:val="20"/>
          <w:szCs w:val="20"/>
        </w:rPr>
        <w:t xml:space="preserve">Table 1. </w:t>
      </w:r>
      <w:r w:rsidR="00D45873" w:rsidRPr="0086092C">
        <w:rPr>
          <w:rFonts w:ascii="Arial" w:hAnsi="Arial" w:cs="Arial"/>
          <w:i/>
          <w:iCs/>
          <w:sz w:val="20"/>
          <w:szCs w:val="20"/>
        </w:rPr>
        <w:t>V</w:t>
      </w:r>
      <w:r w:rsidRPr="0086092C">
        <w:rPr>
          <w:rFonts w:ascii="Arial" w:hAnsi="Arial" w:cs="Arial"/>
          <w:i/>
          <w:iCs/>
          <w:sz w:val="20"/>
          <w:szCs w:val="20"/>
        </w:rPr>
        <w:t>ariable description</w:t>
      </w:r>
      <w:r w:rsidR="00D45873" w:rsidRPr="0086092C">
        <w:rPr>
          <w:rFonts w:ascii="Arial" w:hAnsi="Arial" w:cs="Arial"/>
          <w:i/>
          <w:iCs/>
          <w:sz w:val="20"/>
          <w:szCs w:val="20"/>
        </w:rPr>
        <w:t xml:space="preserve"> and sources</w:t>
      </w:r>
    </w:p>
    <w:tbl>
      <w:tblPr>
        <w:tblStyle w:val="TableGrid"/>
        <w:tblW w:w="0" w:type="auto"/>
        <w:jc w:val="center"/>
        <w:tblLook w:val="04A0" w:firstRow="1" w:lastRow="0" w:firstColumn="1" w:lastColumn="0" w:noHBand="0" w:noVBand="1"/>
      </w:tblPr>
      <w:tblGrid>
        <w:gridCol w:w="3055"/>
        <w:gridCol w:w="1170"/>
        <w:gridCol w:w="3960"/>
        <w:gridCol w:w="1165"/>
      </w:tblGrid>
      <w:tr w:rsidR="004230F4" w:rsidRPr="0086092C" w14:paraId="7CDF4F4F" w14:textId="77777777" w:rsidTr="006A0151">
        <w:trPr>
          <w:jc w:val="center"/>
        </w:trPr>
        <w:tc>
          <w:tcPr>
            <w:tcW w:w="3055" w:type="dxa"/>
          </w:tcPr>
          <w:p w14:paraId="7CAF39AB" w14:textId="6C58998A" w:rsidR="004230F4" w:rsidRPr="0086092C" w:rsidRDefault="004230F4" w:rsidP="0086092C">
            <w:pPr>
              <w:jc w:val="center"/>
              <w:rPr>
                <w:rFonts w:ascii="Arial" w:hAnsi="Arial" w:cs="Arial"/>
                <w:b/>
                <w:bCs/>
                <w:sz w:val="20"/>
                <w:szCs w:val="20"/>
              </w:rPr>
            </w:pPr>
            <w:r w:rsidRPr="0086092C">
              <w:rPr>
                <w:rFonts w:ascii="Arial" w:hAnsi="Arial" w:cs="Arial"/>
                <w:b/>
                <w:bCs/>
                <w:sz w:val="20"/>
                <w:szCs w:val="20"/>
              </w:rPr>
              <w:t>Variable</w:t>
            </w:r>
          </w:p>
        </w:tc>
        <w:tc>
          <w:tcPr>
            <w:tcW w:w="1170" w:type="dxa"/>
          </w:tcPr>
          <w:p w14:paraId="69443E05" w14:textId="1E073314" w:rsidR="004230F4" w:rsidRPr="0086092C" w:rsidRDefault="004230F4" w:rsidP="0086092C">
            <w:pPr>
              <w:jc w:val="center"/>
              <w:rPr>
                <w:rFonts w:ascii="Arial" w:hAnsi="Arial" w:cs="Arial"/>
                <w:b/>
                <w:bCs/>
                <w:sz w:val="20"/>
                <w:szCs w:val="20"/>
              </w:rPr>
            </w:pPr>
            <w:r w:rsidRPr="0086092C">
              <w:rPr>
                <w:rFonts w:ascii="Arial" w:hAnsi="Arial" w:cs="Arial"/>
                <w:b/>
                <w:bCs/>
                <w:sz w:val="20"/>
                <w:szCs w:val="20"/>
              </w:rPr>
              <w:t>Notation</w:t>
            </w:r>
          </w:p>
        </w:tc>
        <w:tc>
          <w:tcPr>
            <w:tcW w:w="3960" w:type="dxa"/>
          </w:tcPr>
          <w:p w14:paraId="7A0C2B0B" w14:textId="47AC60CB" w:rsidR="004230F4" w:rsidRPr="0086092C" w:rsidRDefault="004230F4" w:rsidP="0086092C">
            <w:pPr>
              <w:jc w:val="center"/>
              <w:rPr>
                <w:rFonts w:ascii="Arial" w:hAnsi="Arial" w:cs="Arial"/>
                <w:b/>
                <w:bCs/>
                <w:sz w:val="20"/>
                <w:szCs w:val="20"/>
              </w:rPr>
            </w:pPr>
            <w:r w:rsidRPr="0086092C">
              <w:rPr>
                <w:rFonts w:ascii="Arial" w:hAnsi="Arial" w:cs="Arial"/>
                <w:b/>
                <w:bCs/>
                <w:sz w:val="20"/>
                <w:szCs w:val="20"/>
              </w:rPr>
              <w:t>Description</w:t>
            </w:r>
          </w:p>
        </w:tc>
        <w:tc>
          <w:tcPr>
            <w:tcW w:w="1165" w:type="dxa"/>
          </w:tcPr>
          <w:p w14:paraId="3FDC2E0C" w14:textId="3B0A34DF" w:rsidR="004230F4" w:rsidRPr="0086092C" w:rsidRDefault="004230F4" w:rsidP="0086092C">
            <w:pPr>
              <w:jc w:val="center"/>
              <w:rPr>
                <w:rFonts w:ascii="Arial" w:hAnsi="Arial" w:cs="Arial"/>
                <w:b/>
                <w:bCs/>
                <w:sz w:val="20"/>
                <w:szCs w:val="20"/>
              </w:rPr>
            </w:pPr>
            <w:r w:rsidRPr="0086092C">
              <w:rPr>
                <w:rFonts w:ascii="Arial" w:hAnsi="Arial" w:cs="Arial"/>
                <w:b/>
                <w:bCs/>
                <w:sz w:val="20"/>
                <w:szCs w:val="20"/>
              </w:rPr>
              <w:t>Source</w:t>
            </w:r>
          </w:p>
        </w:tc>
      </w:tr>
      <w:tr w:rsidR="004230F4" w:rsidRPr="0086092C" w14:paraId="7F6D3088" w14:textId="77777777" w:rsidTr="006A0151">
        <w:trPr>
          <w:jc w:val="center"/>
        </w:trPr>
        <w:tc>
          <w:tcPr>
            <w:tcW w:w="3055" w:type="dxa"/>
          </w:tcPr>
          <w:p w14:paraId="1DF27872" w14:textId="4C238978" w:rsidR="004230F4" w:rsidRPr="0086092C" w:rsidRDefault="00466061" w:rsidP="0086092C">
            <w:pPr>
              <w:jc w:val="center"/>
              <w:rPr>
                <w:rFonts w:ascii="Arial" w:hAnsi="Arial" w:cs="Arial"/>
                <w:sz w:val="20"/>
                <w:szCs w:val="20"/>
              </w:rPr>
            </w:pPr>
            <w:r w:rsidRPr="0086092C">
              <w:rPr>
                <w:rFonts w:ascii="Arial" w:hAnsi="Arial" w:cs="Arial"/>
                <w:sz w:val="20"/>
                <w:szCs w:val="20"/>
              </w:rPr>
              <w:t>Non-Performing Loans Ratio</w:t>
            </w:r>
          </w:p>
        </w:tc>
        <w:tc>
          <w:tcPr>
            <w:tcW w:w="1170" w:type="dxa"/>
          </w:tcPr>
          <w:p w14:paraId="7A0372DF" w14:textId="4940894B" w:rsidR="004230F4" w:rsidRPr="0086092C" w:rsidRDefault="00466061" w:rsidP="0086092C">
            <w:pPr>
              <w:jc w:val="center"/>
              <w:rPr>
                <w:rFonts w:ascii="Arial" w:hAnsi="Arial" w:cs="Arial"/>
                <w:sz w:val="20"/>
                <w:szCs w:val="20"/>
              </w:rPr>
            </w:pPr>
            <w:r w:rsidRPr="0086092C">
              <w:rPr>
                <w:rFonts w:ascii="Arial" w:hAnsi="Arial" w:cs="Arial"/>
                <w:sz w:val="20"/>
                <w:szCs w:val="20"/>
              </w:rPr>
              <w:t>NPLR</w:t>
            </w:r>
          </w:p>
        </w:tc>
        <w:tc>
          <w:tcPr>
            <w:tcW w:w="3960" w:type="dxa"/>
          </w:tcPr>
          <w:p w14:paraId="715ABD76" w14:textId="119B22C9" w:rsidR="004230F4" w:rsidRPr="0086092C" w:rsidRDefault="00F561E0" w:rsidP="0086092C">
            <w:pPr>
              <w:jc w:val="center"/>
              <w:rPr>
                <w:rFonts w:ascii="Arial" w:hAnsi="Arial" w:cs="Arial"/>
                <w:sz w:val="20"/>
                <w:szCs w:val="20"/>
              </w:rPr>
            </w:pPr>
            <w:r w:rsidRPr="0086092C">
              <w:rPr>
                <w:rFonts w:ascii="Arial" w:hAnsi="Arial" w:cs="Arial"/>
                <w:sz w:val="20"/>
                <w:szCs w:val="20"/>
              </w:rPr>
              <w:t>Proportion of loans that are in default or close to being in default</w:t>
            </w:r>
            <w:r w:rsidR="00D45873" w:rsidRPr="0086092C">
              <w:rPr>
                <w:rFonts w:ascii="Arial" w:hAnsi="Arial" w:cs="Arial"/>
                <w:sz w:val="20"/>
                <w:szCs w:val="20"/>
              </w:rPr>
              <w:t>.</w:t>
            </w:r>
          </w:p>
        </w:tc>
        <w:tc>
          <w:tcPr>
            <w:tcW w:w="1165" w:type="dxa"/>
          </w:tcPr>
          <w:p w14:paraId="412339CC" w14:textId="4CE343E5" w:rsidR="004230F4" w:rsidRPr="0086092C" w:rsidRDefault="001D196B" w:rsidP="0086092C">
            <w:pPr>
              <w:jc w:val="center"/>
              <w:rPr>
                <w:rFonts w:ascii="Arial" w:hAnsi="Arial" w:cs="Arial"/>
                <w:sz w:val="20"/>
                <w:szCs w:val="20"/>
              </w:rPr>
            </w:pPr>
            <w:r w:rsidRPr="0086092C">
              <w:rPr>
                <w:rFonts w:ascii="Arial" w:hAnsi="Arial" w:cs="Arial"/>
                <w:sz w:val="20"/>
                <w:szCs w:val="20"/>
              </w:rPr>
              <w:t>GFDD</w:t>
            </w:r>
          </w:p>
        </w:tc>
      </w:tr>
      <w:tr w:rsidR="004230F4" w:rsidRPr="0086092C" w14:paraId="6B6EE6EA" w14:textId="77777777" w:rsidTr="006A0151">
        <w:trPr>
          <w:jc w:val="center"/>
        </w:trPr>
        <w:tc>
          <w:tcPr>
            <w:tcW w:w="3055" w:type="dxa"/>
          </w:tcPr>
          <w:p w14:paraId="1AEBC10D" w14:textId="78DF8581" w:rsidR="004230F4" w:rsidRPr="0086092C" w:rsidRDefault="00466061" w:rsidP="0086092C">
            <w:pPr>
              <w:jc w:val="center"/>
              <w:rPr>
                <w:rFonts w:ascii="Arial" w:hAnsi="Arial" w:cs="Arial"/>
                <w:sz w:val="20"/>
                <w:szCs w:val="20"/>
              </w:rPr>
            </w:pPr>
            <w:r w:rsidRPr="0086092C">
              <w:rPr>
                <w:rFonts w:ascii="Arial" w:hAnsi="Arial" w:cs="Arial"/>
                <w:sz w:val="20"/>
                <w:szCs w:val="20"/>
              </w:rPr>
              <w:t>Regulatory Quality Index</w:t>
            </w:r>
          </w:p>
        </w:tc>
        <w:tc>
          <w:tcPr>
            <w:tcW w:w="1170" w:type="dxa"/>
          </w:tcPr>
          <w:p w14:paraId="6159DC13" w14:textId="2B019AB8" w:rsidR="004230F4" w:rsidRPr="0086092C" w:rsidRDefault="00466061" w:rsidP="0086092C">
            <w:pPr>
              <w:jc w:val="center"/>
              <w:rPr>
                <w:rFonts w:ascii="Arial" w:hAnsi="Arial" w:cs="Arial"/>
                <w:sz w:val="20"/>
                <w:szCs w:val="20"/>
              </w:rPr>
            </w:pPr>
            <w:r w:rsidRPr="0086092C">
              <w:rPr>
                <w:rFonts w:ascii="Arial" w:hAnsi="Arial" w:cs="Arial"/>
                <w:sz w:val="20"/>
                <w:szCs w:val="20"/>
              </w:rPr>
              <w:t>RQ</w:t>
            </w:r>
          </w:p>
        </w:tc>
        <w:tc>
          <w:tcPr>
            <w:tcW w:w="3960" w:type="dxa"/>
          </w:tcPr>
          <w:p w14:paraId="4F5CA243" w14:textId="497F96CC" w:rsidR="004230F4" w:rsidRPr="0086092C" w:rsidRDefault="00F561E0" w:rsidP="0086092C">
            <w:pPr>
              <w:jc w:val="center"/>
              <w:rPr>
                <w:rFonts w:ascii="Arial" w:hAnsi="Arial" w:cs="Arial"/>
                <w:sz w:val="20"/>
                <w:szCs w:val="20"/>
              </w:rPr>
            </w:pPr>
            <w:r w:rsidRPr="0086092C">
              <w:rPr>
                <w:rFonts w:ascii="Arial" w:hAnsi="Arial" w:cs="Arial"/>
                <w:sz w:val="20"/>
                <w:szCs w:val="20"/>
              </w:rPr>
              <w:t xml:space="preserve">Captures the ability of the government to </w:t>
            </w:r>
            <w:r w:rsidRPr="0086092C">
              <w:rPr>
                <w:rFonts w:ascii="Arial" w:hAnsi="Arial" w:cs="Arial"/>
                <w:sz w:val="20"/>
                <w:szCs w:val="20"/>
              </w:rPr>
              <w:lastRenderedPageBreak/>
              <w:t>formulate and implement sound policies and regulations.</w:t>
            </w:r>
          </w:p>
        </w:tc>
        <w:tc>
          <w:tcPr>
            <w:tcW w:w="1165" w:type="dxa"/>
          </w:tcPr>
          <w:p w14:paraId="2FC9CA9E" w14:textId="130DEAC0" w:rsidR="004230F4" w:rsidRPr="0086092C" w:rsidRDefault="00F561E0" w:rsidP="0086092C">
            <w:pPr>
              <w:jc w:val="center"/>
              <w:rPr>
                <w:rFonts w:ascii="Arial" w:hAnsi="Arial" w:cs="Arial"/>
                <w:sz w:val="20"/>
                <w:szCs w:val="20"/>
              </w:rPr>
            </w:pPr>
            <w:r w:rsidRPr="0086092C">
              <w:rPr>
                <w:rFonts w:ascii="Arial" w:hAnsi="Arial" w:cs="Arial"/>
                <w:sz w:val="20"/>
                <w:szCs w:val="20"/>
              </w:rPr>
              <w:lastRenderedPageBreak/>
              <w:t>WGI</w:t>
            </w:r>
          </w:p>
        </w:tc>
      </w:tr>
      <w:tr w:rsidR="004230F4" w:rsidRPr="0086092C" w14:paraId="09B8A453" w14:textId="77777777" w:rsidTr="006A0151">
        <w:trPr>
          <w:jc w:val="center"/>
        </w:trPr>
        <w:tc>
          <w:tcPr>
            <w:tcW w:w="3055" w:type="dxa"/>
          </w:tcPr>
          <w:p w14:paraId="189D7ED8" w14:textId="721B4FC2" w:rsidR="004230F4" w:rsidRPr="0086092C" w:rsidRDefault="00466061" w:rsidP="0086092C">
            <w:pPr>
              <w:jc w:val="center"/>
              <w:rPr>
                <w:rFonts w:ascii="Arial" w:hAnsi="Arial" w:cs="Arial"/>
                <w:sz w:val="20"/>
                <w:szCs w:val="20"/>
              </w:rPr>
            </w:pPr>
            <w:r w:rsidRPr="0086092C">
              <w:rPr>
                <w:rFonts w:ascii="Arial" w:hAnsi="Arial" w:cs="Arial"/>
                <w:sz w:val="20"/>
                <w:szCs w:val="20"/>
              </w:rPr>
              <w:t>Rule of Law Index</w:t>
            </w:r>
          </w:p>
        </w:tc>
        <w:tc>
          <w:tcPr>
            <w:tcW w:w="1170" w:type="dxa"/>
          </w:tcPr>
          <w:p w14:paraId="6D17E43B" w14:textId="77995D2E" w:rsidR="004230F4" w:rsidRPr="0086092C" w:rsidRDefault="00466061" w:rsidP="0086092C">
            <w:pPr>
              <w:jc w:val="center"/>
              <w:rPr>
                <w:rFonts w:ascii="Arial" w:hAnsi="Arial" w:cs="Arial"/>
                <w:sz w:val="20"/>
                <w:szCs w:val="20"/>
              </w:rPr>
            </w:pPr>
            <w:r w:rsidRPr="0086092C">
              <w:rPr>
                <w:rFonts w:ascii="Arial" w:hAnsi="Arial" w:cs="Arial"/>
                <w:sz w:val="20"/>
                <w:szCs w:val="20"/>
              </w:rPr>
              <w:t>RL</w:t>
            </w:r>
          </w:p>
        </w:tc>
        <w:tc>
          <w:tcPr>
            <w:tcW w:w="3960" w:type="dxa"/>
          </w:tcPr>
          <w:p w14:paraId="489B9B60" w14:textId="21D02747" w:rsidR="004230F4" w:rsidRPr="0086092C" w:rsidRDefault="00F561E0" w:rsidP="0086092C">
            <w:pPr>
              <w:jc w:val="center"/>
              <w:rPr>
                <w:rFonts w:ascii="Arial" w:hAnsi="Arial" w:cs="Arial"/>
                <w:sz w:val="20"/>
                <w:szCs w:val="20"/>
              </w:rPr>
            </w:pPr>
            <w:r w:rsidRPr="0086092C">
              <w:rPr>
                <w:rFonts w:ascii="Arial" w:hAnsi="Arial" w:cs="Arial"/>
                <w:sz w:val="20"/>
                <w:szCs w:val="20"/>
              </w:rPr>
              <w:t>Captures the extent to which agents have confidence in and abide by the rules of society.</w:t>
            </w:r>
          </w:p>
        </w:tc>
        <w:tc>
          <w:tcPr>
            <w:tcW w:w="1165" w:type="dxa"/>
          </w:tcPr>
          <w:p w14:paraId="14A49A1A" w14:textId="3F64B210" w:rsidR="004230F4" w:rsidRPr="0086092C" w:rsidRDefault="00F561E0" w:rsidP="0086092C">
            <w:pPr>
              <w:jc w:val="center"/>
              <w:rPr>
                <w:rFonts w:ascii="Arial" w:hAnsi="Arial" w:cs="Arial"/>
                <w:sz w:val="20"/>
                <w:szCs w:val="20"/>
              </w:rPr>
            </w:pPr>
            <w:r w:rsidRPr="0086092C">
              <w:rPr>
                <w:rFonts w:ascii="Arial" w:hAnsi="Arial" w:cs="Arial"/>
                <w:sz w:val="20"/>
                <w:szCs w:val="20"/>
              </w:rPr>
              <w:t>WGI</w:t>
            </w:r>
          </w:p>
        </w:tc>
      </w:tr>
    </w:tbl>
    <w:p w14:paraId="38954993" w14:textId="41001DE7" w:rsidR="004230F4" w:rsidRPr="0086092C" w:rsidRDefault="00A13D5C" w:rsidP="0086092C">
      <w:pPr>
        <w:spacing w:line="240" w:lineRule="auto"/>
        <w:jc w:val="center"/>
        <w:rPr>
          <w:rFonts w:ascii="Arial" w:hAnsi="Arial" w:cs="Arial"/>
          <w:i/>
          <w:iCs/>
          <w:sz w:val="20"/>
          <w:szCs w:val="20"/>
        </w:rPr>
      </w:pPr>
      <w:r w:rsidRPr="0086092C">
        <w:rPr>
          <w:rFonts w:ascii="Arial" w:hAnsi="Arial" w:cs="Arial"/>
          <w:i/>
          <w:iCs/>
          <w:sz w:val="20"/>
          <w:szCs w:val="20"/>
        </w:rPr>
        <w:t>Source: Author</w:t>
      </w:r>
      <w:r w:rsidR="006A0151">
        <w:rPr>
          <w:rFonts w:ascii="Arial" w:hAnsi="Arial" w:cs="Arial"/>
          <w:i/>
          <w:iCs/>
          <w:sz w:val="20"/>
          <w:szCs w:val="20"/>
        </w:rPr>
        <w:t>s</w:t>
      </w:r>
      <w:r w:rsidR="008F6E27" w:rsidRPr="0086092C">
        <w:rPr>
          <w:rFonts w:ascii="Arial" w:hAnsi="Arial" w:cs="Arial"/>
          <w:i/>
          <w:iCs/>
          <w:sz w:val="20"/>
          <w:szCs w:val="20"/>
        </w:rPr>
        <w:t>’ construction</w:t>
      </w:r>
    </w:p>
    <w:p w14:paraId="51BBB8EE" w14:textId="55AC94D8" w:rsidR="00920527" w:rsidRPr="006A0151" w:rsidRDefault="00920527" w:rsidP="0086092C">
      <w:pPr>
        <w:spacing w:line="240" w:lineRule="auto"/>
        <w:jc w:val="both"/>
        <w:rPr>
          <w:rFonts w:ascii="Arial" w:hAnsi="Arial" w:cs="Arial"/>
          <w:b/>
          <w:bCs/>
        </w:rPr>
      </w:pPr>
      <w:r w:rsidRPr="006A0151">
        <w:rPr>
          <w:rFonts w:ascii="Arial" w:hAnsi="Arial" w:cs="Arial"/>
          <w:b/>
          <w:bCs/>
        </w:rPr>
        <w:t>3.3. Estimation Technique</w:t>
      </w:r>
    </w:p>
    <w:p w14:paraId="03FEA415" w14:textId="05B7202B" w:rsidR="00A46B2D" w:rsidRPr="0086092C" w:rsidRDefault="001C2A9C" w:rsidP="0086092C">
      <w:pPr>
        <w:spacing w:line="240" w:lineRule="auto"/>
        <w:jc w:val="both"/>
        <w:rPr>
          <w:rFonts w:ascii="Arial" w:hAnsi="Arial" w:cs="Arial"/>
          <w:sz w:val="20"/>
          <w:szCs w:val="20"/>
        </w:rPr>
      </w:pPr>
      <w:r w:rsidRPr="0086092C">
        <w:rPr>
          <w:rFonts w:ascii="Arial" w:hAnsi="Arial" w:cs="Arial"/>
          <w:sz w:val="20"/>
          <w:szCs w:val="20"/>
        </w:rPr>
        <w:t xml:space="preserve">To analyze the interactions between Chad's legal system, regulatory environment, and financial stability, this study uses a Vector Autoregression (VAR) methodology.  Every endogenous variable in the system is treated by a VAR model as a function of the lagged values of all other endogenous variables.  Understanding the intricate relationships between the variables under investigation is made possible by the VAR model's strength, which is its capacity to analyze and evaluate several time series at once.  The VAR approach's robustness, which is backed by its extensive use in empirical research, highlights its applicability for the study and guarantees that the subtleties of how legislative and regulatory frameworks affect banking stability are carefully considered.  </w:t>
      </w:r>
      <w:r w:rsidR="00A46B2D" w:rsidRPr="0086092C">
        <w:rPr>
          <w:rFonts w:ascii="Arial" w:hAnsi="Arial" w:cs="Arial"/>
          <w:sz w:val="20"/>
          <w:szCs w:val="20"/>
        </w:rPr>
        <w:t>The mathematical representation of the VAR model is as follows:</w:t>
      </w:r>
    </w:p>
    <w:p w14:paraId="5AE97891" w14:textId="51A20AA7" w:rsidR="00A46B2D" w:rsidRPr="0086092C" w:rsidRDefault="00A46B2D" w:rsidP="0086092C">
      <w:pPr>
        <w:spacing w:line="240" w:lineRule="auto"/>
        <w:jc w:val="both"/>
        <w:rPr>
          <w:rFonts w:ascii="Arial" w:eastAsiaTheme="minorEastAsia" w:hAnsi="Arial" w:cs="Arial"/>
          <w:iCs/>
          <w:sz w:val="20"/>
          <w:szCs w:val="20"/>
        </w:rPr>
      </w:pPr>
      <m:oMath>
        <m:r>
          <m:rPr>
            <m:sty m:val="p"/>
          </m:rPr>
          <w:rPr>
            <w:rFonts w:ascii="Cambria Math" w:hAnsi="Cambria Math" w:cs="Arial"/>
            <w:sz w:val="20"/>
            <w:szCs w:val="20"/>
          </w:rPr>
          <m:t xml:space="preserve">VAR </m:t>
        </m:r>
        <m:d>
          <m:dPr>
            <m:ctrlPr>
              <w:rPr>
                <w:rFonts w:ascii="Cambria Math" w:hAnsi="Cambria Math" w:cs="Arial"/>
                <w:sz w:val="20"/>
                <w:szCs w:val="20"/>
              </w:rPr>
            </m:ctrlPr>
          </m:dPr>
          <m:e>
            <m:r>
              <m:rPr>
                <m:sty m:val="p"/>
              </m:rPr>
              <w:rPr>
                <w:rFonts w:ascii="Cambria Math" w:hAnsi="Cambria Math" w:cs="Arial"/>
                <w:sz w:val="20"/>
                <w:szCs w:val="20"/>
              </w:rPr>
              <m:t>p</m:t>
            </m:r>
          </m:e>
        </m:d>
        <m:r>
          <m:rPr>
            <m:sty m:val="p"/>
          </m:rPr>
          <w:rPr>
            <w:rFonts w:ascii="Cambria Math" w:hAnsi="Cambria Math" w:cs="Arial"/>
            <w:sz w:val="20"/>
            <w:szCs w:val="20"/>
          </w:rPr>
          <m:t>=</m:t>
        </m:r>
        <m:d>
          <m:dPr>
            <m:begChr m:val="["/>
            <m:endChr m:val="]"/>
            <m:ctrlPr>
              <w:rPr>
                <w:rFonts w:ascii="Cambria Math" w:hAnsi="Cambria Math" w:cs="Arial"/>
                <w:sz w:val="20"/>
                <w:szCs w:val="20"/>
              </w:rPr>
            </m:ctrlPr>
          </m:dPr>
          <m:e>
            <m:r>
              <m:rPr>
                <m:sty m:val="p"/>
              </m:rPr>
              <w:rPr>
                <w:rFonts w:ascii="Cambria Math" w:eastAsia="SimSun" w:hAnsi="Cambria Math" w:cs="Arial"/>
                <w:sz w:val="20"/>
                <w:szCs w:val="20"/>
              </w:rPr>
              <m:t xml:space="preserve">   </m:t>
            </m:r>
            <m:m>
              <m:mPr>
                <m:plcHide m:val="1"/>
                <m:mcs>
                  <m:mc>
                    <m:mcPr>
                      <m:count m:val="1"/>
                      <m:mcJc m:val="center"/>
                    </m:mcPr>
                  </m:mc>
                </m:mcs>
                <m:ctrlPr>
                  <w:rPr>
                    <w:rFonts w:ascii="Cambria Math" w:hAnsi="Cambria Math" w:cs="Arial"/>
                    <w:i/>
                    <w:sz w:val="20"/>
                    <w:szCs w:val="20"/>
                  </w:rPr>
                </m:ctrlPr>
              </m:mPr>
              <m:mr>
                <m:e>
                  <m:sSub>
                    <m:sSubPr>
                      <m:ctrlPr>
                        <w:rPr>
                          <w:rFonts w:ascii="Cambria Math" w:hAnsi="Cambria Math" w:cs="Arial"/>
                          <w:sz w:val="20"/>
                          <w:szCs w:val="20"/>
                        </w:rPr>
                      </m:ctrlPr>
                    </m:sSubPr>
                    <m:e>
                      <m:r>
                        <w:rPr>
                          <w:rFonts w:ascii="Cambria Math" w:hAnsi="Cambria Math" w:cs="Arial"/>
                          <w:sz w:val="20"/>
                          <w:szCs w:val="20"/>
                        </w:rPr>
                        <m:t>NPLR</m:t>
                      </m:r>
                    </m:e>
                    <m:sub>
                      <m:r>
                        <w:rPr>
                          <w:rFonts w:ascii="Cambria Math" w:hAnsi="Cambria Math" w:cs="Arial"/>
                          <w:sz w:val="20"/>
                          <w:szCs w:val="20"/>
                        </w:rPr>
                        <m:t>t </m:t>
                      </m:r>
                    </m:sub>
                  </m:sSub>
                </m:e>
              </m:mr>
              <m:mr>
                <m:e>
                  <m:sSub>
                    <m:sSubPr>
                      <m:ctrlPr>
                        <w:rPr>
                          <w:rFonts w:ascii="Cambria Math" w:hAnsi="Cambria Math" w:cs="Arial"/>
                          <w:sz w:val="20"/>
                          <w:szCs w:val="20"/>
                        </w:rPr>
                      </m:ctrlPr>
                    </m:sSubPr>
                    <m:e>
                      <m:r>
                        <w:rPr>
                          <w:rFonts w:ascii="Cambria Math" w:hAnsi="Cambria Math" w:cs="Arial"/>
                          <w:sz w:val="20"/>
                          <w:szCs w:val="20"/>
                        </w:rPr>
                        <m:t>RQ</m:t>
                      </m:r>
                    </m:e>
                    <m:sub>
                      <m:r>
                        <w:rPr>
                          <w:rFonts w:ascii="Cambria Math" w:hAnsi="Cambria Math" w:cs="Arial"/>
                          <w:sz w:val="20"/>
                          <w:szCs w:val="20"/>
                        </w:rPr>
                        <m:t>t </m:t>
                      </m:r>
                    </m:sub>
                  </m:sSub>
                </m:e>
              </m:mr>
              <m:mr>
                <m:e>
                  <m:sSub>
                    <m:sSubPr>
                      <m:ctrlPr>
                        <w:rPr>
                          <w:rFonts w:ascii="Cambria Math" w:hAnsi="Cambria Math" w:cs="Arial"/>
                          <w:sz w:val="20"/>
                          <w:szCs w:val="20"/>
                        </w:rPr>
                      </m:ctrlPr>
                    </m:sSubPr>
                    <m:e>
                      <m:r>
                        <w:rPr>
                          <w:rFonts w:ascii="Cambria Math" w:hAnsi="Cambria Math" w:cs="Arial"/>
                          <w:sz w:val="20"/>
                          <w:szCs w:val="20"/>
                        </w:rPr>
                        <m:t>RL</m:t>
                      </m:r>
                    </m:e>
                    <m:sub>
                      <m:r>
                        <w:rPr>
                          <w:rFonts w:ascii="Cambria Math" w:hAnsi="Cambria Math" w:cs="Arial"/>
                          <w:sz w:val="20"/>
                          <w:szCs w:val="20"/>
                        </w:rPr>
                        <m:t>t </m:t>
                      </m:r>
                    </m:sub>
                  </m:sSub>
                </m:e>
              </m:mr>
            </m:m>
          </m:e>
        </m:d>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A</m:t>
            </m:r>
          </m:e>
          <m:sub>
            <m:r>
              <w:rPr>
                <w:rFonts w:ascii="Cambria Math" w:hAnsi="Cambria Math" w:cs="Arial"/>
                <w:sz w:val="20"/>
                <w:szCs w:val="20"/>
              </w:rPr>
              <m:t>0 </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A</m:t>
            </m:r>
          </m:e>
          <m:sub>
            <m:r>
              <w:rPr>
                <w:rFonts w:ascii="Cambria Math" w:hAnsi="Cambria Math" w:cs="Arial"/>
                <w:sz w:val="20"/>
                <w:szCs w:val="20"/>
              </w:rPr>
              <m:t>1 </m:t>
            </m:r>
          </m:sub>
        </m:sSub>
        <m:sSub>
          <m:sSubPr>
            <m:ctrlPr>
              <w:rPr>
                <w:rFonts w:ascii="Cambria Math" w:hAnsi="Cambria Math" w:cs="Arial"/>
                <w:sz w:val="20"/>
                <w:szCs w:val="20"/>
              </w:rPr>
            </m:ctrlPr>
          </m:sSubPr>
          <m:e>
            <m:r>
              <w:rPr>
                <w:rFonts w:ascii="Cambria Math" w:hAnsi="Cambria Math" w:cs="Arial"/>
                <w:sz w:val="20"/>
                <w:szCs w:val="20"/>
              </w:rPr>
              <m:t>B</m:t>
            </m:r>
          </m:e>
          <m:sub>
            <m:r>
              <w:rPr>
                <w:rFonts w:ascii="Cambria Math" w:hAnsi="Cambria Math" w:cs="Arial"/>
                <w:sz w:val="20"/>
                <w:szCs w:val="20"/>
              </w:rPr>
              <m:t>t-1 </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A</m:t>
            </m:r>
          </m:e>
          <m:sub>
            <m:r>
              <w:rPr>
                <w:rFonts w:ascii="Cambria Math" w:hAnsi="Cambria Math" w:cs="Arial"/>
                <w:sz w:val="20"/>
                <w:szCs w:val="20"/>
              </w:rPr>
              <m:t>p </m:t>
            </m:r>
          </m:sub>
        </m:sSub>
        <m:sSub>
          <m:sSubPr>
            <m:ctrlPr>
              <w:rPr>
                <w:rFonts w:ascii="Cambria Math" w:hAnsi="Cambria Math" w:cs="Arial"/>
                <w:sz w:val="20"/>
                <w:szCs w:val="20"/>
              </w:rPr>
            </m:ctrlPr>
          </m:sSubPr>
          <m:e>
            <m:r>
              <w:rPr>
                <w:rFonts w:ascii="Cambria Math" w:hAnsi="Cambria Math" w:cs="Arial"/>
                <w:sz w:val="20"/>
                <w:szCs w:val="20"/>
              </w:rPr>
              <m:t>B</m:t>
            </m:r>
          </m:e>
          <m:sub>
            <m:r>
              <w:rPr>
                <w:rFonts w:ascii="Cambria Math" w:hAnsi="Cambria Math" w:cs="Arial"/>
                <w:sz w:val="20"/>
                <w:szCs w:val="20"/>
              </w:rPr>
              <m:t>t-p </m:t>
            </m:r>
          </m:sub>
        </m:sSub>
        <m:r>
          <w:rPr>
            <w:rFonts w:ascii="Cambria Math" w:hAnsi="Cambria Math" w:cs="Arial"/>
            <w:sz w:val="20"/>
            <w:szCs w:val="20"/>
          </w:rPr>
          <m:t>+</m:t>
        </m:r>
        <m:sSub>
          <m:sSubPr>
            <m:ctrlPr>
              <w:rPr>
                <w:rFonts w:ascii="Cambria Math" w:hAnsi="Cambria Math" w:cs="Arial"/>
                <w:iCs/>
                <w:sz w:val="20"/>
                <w:szCs w:val="20"/>
              </w:rPr>
            </m:ctrlPr>
          </m:sSubPr>
          <m:e>
            <m:r>
              <w:rPr>
                <w:rFonts w:ascii="Cambria Math" w:hAnsi="Cambria Math" w:cs="Arial"/>
                <w:sz w:val="20"/>
                <w:szCs w:val="20"/>
              </w:rPr>
              <m:t>ε</m:t>
            </m:r>
          </m:e>
          <m:sub>
            <m:r>
              <m:rPr>
                <m:nor/>
              </m:rPr>
              <w:rPr>
                <w:rFonts w:ascii="Arial" w:hAnsi="Arial" w:cs="Arial"/>
                <w:iCs/>
                <w:sz w:val="20"/>
                <w:szCs w:val="20"/>
              </w:rPr>
              <m:t>t </m:t>
            </m:r>
          </m:sub>
        </m:sSub>
      </m:oMath>
      <w:r w:rsidR="004F74A9" w:rsidRPr="0086092C">
        <w:rPr>
          <w:rFonts w:ascii="Arial" w:eastAsiaTheme="minorEastAsia" w:hAnsi="Arial" w:cs="Arial"/>
          <w:iCs/>
          <w:sz w:val="20"/>
          <w:szCs w:val="20"/>
        </w:rPr>
        <w:t>……………………</w:t>
      </w:r>
      <w:r w:rsidR="006A0151">
        <w:rPr>
          <w:rFonts w:ascii="Arial" w:eastAsiaTheme="minorEastAsia" w:hAnsi="Arial" w:cs="Arial"/>
          <w:iCs/>
          <w:sz w:val="20"/>
          <w:szCs w:val="20"/>
        </w:rPr>
        <w:t>………………………</w:t>
      </w:r>
      <w:proofErr w:type="gramStart"/>
      <w:r w:rsidR="006A0151">
        <w:rPr>
          <w:rFonts w:ascii="Arial" w:eastAsiaTheme="minorEastAsia" w:hAnsi="Arial" w:cs="Arial"/>
          <w:iCs/>
          <w:sz w:val="20"/>
          <w:szCs w:val="20"/>
        </w:rPr>
        <w:t>…..</w:t>
      </w:r>
      <w:proofErr w:type="gramEnd"/>
      <w:r w:rsidR="004F74A9" w:rsidRPr="0086092C">
        <w:rPr>
          <w:rFonts w:ascii="Arial" w:eastAsiaTheme="minorEastAsia" w:hAnsi="Arial" w:cs="Arial"/>
          <w:iCs/>
          <w:sz w:val="20"/>
          <w:szCs w:val="20"/>
        </w:rPr>
        <w:t>…….(1)</w:t>
      </w:r>
    </w:p>
    <w:p w14:paraId="79030426" w14:textId="0DDDE873" w:rsidR="00A46B2D" w:rsidRPr="0086092C" w:rsidRDefault="00A46B2D" w:rsidP="0086092C">
      <w:pPr>
        <w:spacing w:line="240" w:lineRule="auto"/>
        <w:jc w:val="both"/>
        <w:rPr>
          <w:rFonts w:ascii="Arial" w:hAnsi="Arial" w:cs="Arial"/>
          <w:sz w:val="20"/>
          <w:szCs w:val="20"/>
        </w:rPr>
      </w:pPr>
      <w:r w:rsidRPr="0086092C">
        <w:rPr>
          <w:rFonts w:ascii="Arial" w:hAnsi="Arial" w:cs="Arial"/>
          <w:sz w:val="20"/>
          <w:szCs w:val="20"/>
        </w:rPr>
        <w:t xml:space="preserve">Where </w:t>
      </w:r>
      <m:oMath>
        <m:sSub>
          <m:sSubPr>
            <m:ctrlPr>
              <w:rPr>
                <w:rFonts w:ascii="Cambria Math" w:hAnsi="Cambria Math" w:cs="Arial"/>
                <w:sz w:val="20"/>
                <w:szCs w:val="20"/>
              </w:rPr>
            </m:ctrlPr>
          </m:sSubPr>
          <m:e>
            <m:r>
              <w:rPr>
                <w:rFonts w:ascii="Cambria Math" w:hAnsi="Cambria Math" w:cs="Arial"/>
                <w:sz w:val="20"/>
                <w:szCs w:val="20"/>
              </w:rPr>
              <m:t>A</m:t>
            </m:r>
          </m:e>
          <m:sub>
            <m:r>
              <w:rPr>
                <w:rFonts w:ascii="Cambria Math" w:hAnsi="Cambria Math" w:cs="Arial"/>
                <w:sz w:val="20"/>
                <w:szCs w:val="20"/>
              </w:rPr>
              <m:t>0 </m:t>
            </m:r>
          </m:sub>
        </m:sSub>
      </m:oMath>
      <w:r w:rsidRPr="0086092C">
        <w:rPr>
          <w:rFonts w:ascii="Arial" w:hAnsi="Arial" w:cs="Arial"/>
          <w:sz w:val="20"/>
          <w:szCs w:val="20"/>
        </w:rPr>
        <w:t xml:space="preserve"> is the intercept, </w:t>
      </w:r>
      <m:oMath>
        <m:sSub>
          <m:sSubPr>
            <m:ctrlPr>
              <w:rPr>
                <w:rFonts w:ascii="Cambria Math" w:hAnsi="Cambria Math" w:cs="Arial"/>
                <w:sz w:val="20"/>
                <w:szCs w:val="20"/>
              </w:rPr>
            </m:ctrlPr>
          </m:sSubPr>
          <m:e>
            <m:r>
              <w:rPr>
                <w:rFonts w:ascii="Cambria Math" w:hAnsi="Cambria Math" w:cs="Arial"/>
                <w:sz w:val="20"/>
                <w:szCs w:val="20"/>
              </w:rPr>
              <m:t>A</m:t>
            </m:r>
          </m:e>
          <m:sub>
            <m:r>
              <w:rPr>
                <w:rFonts w:ascii="Cambria Math" w:hAnsi="Cambria Math" w:cs="Arial"/>
                <w:sz w:val="20"/>
                <w:szCs w:val="20"/>
              </w:rPr>
              <m:t>1 </m:t>
            </m:r>
          </m:sub>
        </m:sSub>
        <m:r>
          <w:rPr>
            <w:rFonts w:ascii="Cambria Math" w:hAnsi="Cambria Math" w:cs="Arial"/>
            <w:sz w:val="20"/>
            <w:szCs w:val="20"/>
          </w:rPr>
          <m:t xml:space="preserve">… </m:t>
        </m:r>
        <m:sSub>
          <m:sSubPr>
            <m:ctrlPr>
              <w:rPr>
                <w:rFonts w:ascii="Cambria Math" w:hAnsi="Cambria Math" w:cs="Arial"/>
                <w:sz w:val="20"/>
                <w:szCs w:val="20"/>
              </w:rPr>
            </m:ctrlPr>
          </m:sSubPr>
          <m:e>
            <m:r>
              <w:rPr>
                <w:rFonts w:ascii="Cambria Math" w:hAnsi="Cambria Math" w:cs="Arial"/>
                <w:sz w:val="20"/>
                <w:szCs w:val="20"/>
              </w:rPr>
              <m:t>A</m:t>
            </m:r>
          </m:e>
          <m:sub>
            <m:r>
              <w:rPr>
                <w:rFonts w:ascii="Cambria Math" w:hAnsi="Cambria Math" w:cs="Arial"/>
                <w:sz w:val="20"/>
                <w:szCs w:val="20"/>
              </w:rPr>
              <m:t>p </m:t>
            </m:r>
          </m:sub>
        </m:sSub>
      </m:oMath>
      <w:r w:rsidRPr="0086092C">
        <w:rPr>
          <w:rFonts w:ascii="Arial" w:hAnsi="Arial" w:cs="Arial"/>
          <w:sz w:val="20"/>
          <w:szCs w:val="20"/>
        </w:rPr>
        <w:t xml:space="preserve"> are coefficient, </w:t>
      </w:r>
      <m:oMath>
        <m:sSub>
          <m:sSubPr>
            <m:ctrlPr>
              <w:rPr>
                <w:rFonts w:ascii="Cambria Math" w:hAnsi="Cambria Math" w:cs="Arial"/>
                <w:sz w:val="20"/>
                <w:szCs w:val="20"/>
              </w:rPr>
            </m:ctrlPr>
          </m:sSubPr>
          <m:e>
            <m:r>
              <w:rPr>
                <w:rFonts w:ascii="Cambria Math" w:hAnsi="Cambria Math" w:cs="Arial"/>
                <w:sz w:val="20"/>
                <w:szCs w:val="20"/>
              </w:rPr>
              <m:t>B</m:t>
            </m:r>
          </m:e>
          <m:sub>
            <m:r>
              <w:rPr>
                <w:rFonts w:ascii="Cambria Math" w:hAnsi="Cambria Math" w:cs="Arial"/>
                <w:sz w:val="20"/>
                <w:szCs w:val="20"/>
              </w:rPr>
              <m:t>t-p </m:t>
            </m:r>
          </m:sub>
        </m:sSub>
        <m:r>
          <w:rPr>
            <w:rFonts w:ascii="Cambria Math" w:hAnsi="Cambria Math" w:cs="Arial"/>
            <w:sz w:val="20"/>
            <w:szCs w:val="20"/>
          </w:rPr>
          <m:t xml:space="preserve"> </m:t>
        </m:r>
      </m:oMath>
      <w:r w:rsidR="006F0073" w:rsidRPr="0086092C">
        <w:rPr>
          <w:rFonts w:ascii="Arial" w:hAnsi="Arial" w:cs="Arial"/>
          <w:sz w:val="20"/>
          <w:szCs w:val="20"/>
        </w:rPr>
        <w:t>are the</w:t>
      </w:r>
      <w:r w:rsidR="00CE700D" w:rsidRPr="0086092C">
        <w:rPr>
          <w:rFonts w:ascii="Arial" w:hAnsi="Arial" w:cs="Arial"/>
          <w:sz w:val="20"/>
          <w:szCs w:val="20"/>
        </w:rPr>
        <w:t xml:space="preserve"> lags of the</w:t>
      </w:r>
      <w:r w:rsidRPr="0086092C">
        <w:rPr>
          <w:rFonts w:ascii="Arial" w:hAnsi="Arial" w:cs="Arial"/>
          <w:sz w:val="20"/>
          <w:szCs w:val="20"/>
        </w:rPr>
        <w:t xml:space="preserve"> endogenous variables, and </w:t>
      </w:r>
      <m:oMath>
        <m:sSub>
          <m:sSubPr>
            <m:ctrlPr>
              <w:rPr>
                <w:rFonts w:ascii="Cambria Math" w:hAnsi="Cambria Math" w:cs="Arial"/>
                <w:iCs/>
                <w:sz w:val="20"/>
                <w:szCs w:val="20"/>
              </w:rPr>
            </m:ctrlPr>
          </m:sSubPr>
          <m:e>
            <m:r>
              <w:rPr>
                <w:rFonts w:ascii="Cambria Math" w:hAnsi="Cambria Math" w:cs="Arial"/>
                <w:sz w:val="20"/>
                <w:szCs w:val="20"/>
              </w:rPr>
              <m:t>ε</m:t>
            </m:r>
          </m:e>
          <m:sub>
            <m:r>
              <m:rPr>
                <m:nor/>
              </m:rPr>
              <w:rPr>
                <w:rFonts w:ascii="Arial" w:hAnsi="Arial" w:cs="Arial"/>
                <w:iCs/>
                <w:sz w:val="20"/>
                <w:szCs w:val="20"/>
              </w:rPr>
              <m:t>t </m:t>
            </m:r>
          </m:sub>
        </m:sSub>
      </m:oMath>
      <w:r w:rsidRPr="0086092C">
        <w:rPr>
          <w:rFonts w:ascii="Arial" w:hAnsi="Arial" w:cs="Arial"/>
          <w:sz w:val="20"/>
          <w:szCs w:val="20"/>
        </w:rPr>
        <w:t xml:space="preserve"> is the error term. The 'p' in VAR(p) represents the number of lag periods included in the model.  </w:t>
      </w:r>
    </w:p>
    <w:p w14:paraId="0297C241" w14:textId="761BDD8B" w:rsidR="004F74A9" w:rsidRPr="0086092C" w:rsidRDefault="004F74A9" w:rsidP="0086092C">
      <w:pPr>
        <w:spacing w:line="240" w:lineRule="auto"/>
        <w:jc w:val="both"/>
        <w:rPr>
          <w:rFonts w:ascii="Arial" w:hAnsi="Arial" w:cs="Arial"/>
          <w:sz w:val="20"/>
          <w:szCs w:val="20"/>
        </w:rPr>
      </w:pPr>
      <w:r w:rsidRPr="0086092C">
        <w:rPr>
          <w:rFonts w:ascii="Arial" w:hAnsi="Arial" w:cs="Arial"/>
          <w:sz w:val="20"/>
          <w:szCs w:val="20"/>
        </w:rPr>
        <w:t xml:space="preserve">From equations (1), we </w:t>
      </w:r>
      <w:r w:rsidR="00CE700D" w:rsidRPr="0086092C">
        <w:rPr>
          <w:rFonts w:ascii="Arial" w:hAnsi="Arial" w:cs="Arial"/>
          <w:sz w:val="20"/>
          <w:szCs w:val="20"/>
        </w:rPr>
        <w:t xml:space="preserve">can </w:t>
      </w:r>
      <w:r w:rsidRPr="0086092C">
        <w:rPr>
          <w:rFonts w:ascii="Arial" w:hAnsi="Arial" w:cs="Arial"/>
          <w:sz w:val="20"/>
          <w:szCs w:val="20"/>
        </w:rPr>
        <w:t>present the empirical equations for non-performing loans ratio, regulatory quality and the rule of law.</w:t>
      </w:r>
    </w:p>
    <w:p w14:paraId="260716D1" w14:textId="21587D46" w:rsidR="00A46B2D" w:rsidRPr="0086092C" w:rsidRDefault="00094366" w:rsidP="0086092C">
      <w:pPr>
        <w:spacing w:line="240" w:lineRule="auto"/>
        <w:jc w:val="both"/>
        <w:rPr>
          <w:rFonts w:ascii="Arial" w:eastAsiaTheme="minorEastAsia" w:hAnsi="Arial" w:cs="Arial"/>
          <w:iCs/>
          <w:sz w:val="20"/>
          <w:szCs w:val="20"/>
        </w:rPr>
      </w:pPr>
      <m:oMath>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NPLR</m:t>
            </m:r>
          </m:e>
          <m:sub>
            <m:r>
              <w:rPr>
                <w:rFonts w:ascii="Cambria Math" w:hAnsi="Cambria Math" w:cs="Arial"/>
                <w:sz w:val="20"/>
                <w:szCs w:val="20"/>
              </w:rPr>
              <m:t>t </m:t>
            </m:r>
          </m:sub>
        </m:sSub>
        <m:r>
          <w:rPr>
            <w:rFonts w:ascii="Cambria Math" w:hAnsi="Cambria Math" w:cs="Arial"/>
            <w:sz w:val="20"/>
            <w:szCs w:val="20"/>
          </w:rPr>
          <m:t>=</m:t>
        </m:r>
      </m:oMath>
      <w:r w:rsidRPr="0086092C">
        <w:rPr>
          <w:rFonts w:ascii="Arial" w:eastAsiaTheme="minorEastAsia" w:hAnsi="Arial" w:cs="Arial"/>
          <w:sz w:val="20"/>
          <w:szCs w:val="20"/>
        </w:rPr>
        <w:t xml:space="preserve"> </w:t>
      </w:r>
      <m:oMath>
        <m:sSub>
          <m:sSubPr>
            <m:ctrlPr>
              <w:rPr>
                <w:rFonts w:ascii="Cambria Math" w:hAnsi="Cambria Math" w:cs="Arial"/>
                <w:iCs/>
                <w:sz w:val="20"/>
                <w:szCs w:val="20"/>
              </w:rPr>
            </m:ctrlPr>
          </m:sSubPr>
          <m:e>
            <m:r>
              <m:rPr>
                <m:sty m:val="p"/>
              </m:rPr>
              <w:rPr>
                <w:rFonts w:ascii="Cambria Math" w:hAnsi="Cambria Math" w:cs="Arial"/>
                <w:sz w:val="20"/>
                <w:szCs w:val="20"/>
              </w:rPr>
              <m:t>α</m:t>
            </m:r>
          </m:e>
          <m:sub>
            <m:r>
              <m:rPr>
                <m:nor/>
              </m:rPr>
              <w:rPr>
                <w:rFonts w:ascii="Arial" w:hAnsi="Arial" w:cs="Arial"/>
                <w:iCs/>
                <w:sz w:val="20"/>
                <w:szCs w:val="20"/>
              </w:rPr>
              <m:t>1 </m:t>
            </m:r>
          </m:sub>
        </m:sSub>
        <m:r>
          <w:rPr>
            <w:rFonts w:ascii="Cambria Math" w:hAnsi="Cambria Math" w:cs="Arial"/>
            <w:sz w:val="20"/>
            <w:szCs w:val="20"/>
          </w:rPr>
          <m:t>+</m:t>
        </m:r>
        <m:sSub>
          <m:sSubPr>
            <m:ctrlPr>
              <w:rPr>
                <w:rFonts w:ascii="Cambria Math" w:hAnsi="Cambria Math" w:cs="Arial"/>
                <w:iCs/>
                <w:sz w:val="20"/>
                <w:szCs w:val="20"/>
              </w:rPr>
            </m:ctrlPr>
          </m:sSubPr>
          <m:e>
            <m:r>
              <m:rPr>
                <m:sty m:val="p"/>
              </m:rPr>
              <w:rPr>
                <w:rFonts w:ascii="Cambria Math" w:hAnsi="Cambria Math" w:cs="Arial"/>
                <w:sz w:val="20"/>
                <w:szCs w:val="20"/>
              </w:rPr>
              <m:t>β</m:t>
            </m:r>
          </m:e>
          <m:sub>
            <m:r>
              <m:rPr>
                <m:nor/>
              </m:rPr>
              <w:rPr>
                <w:rFonts w:ascii="Arial" w:hAnsi="Arial" w:cs="Arial"/>
                <w:iCs/>
                <w:sz w:val="20"/>
                <w:szCs w:val="20"/>
              </w:rPr>
              <m:t>11 </m:t>
            </m:r>
          </m:sub>
        </m:sSub>
        <m:sSub>
          <m:sSubPr>
            <m:ctrlPr>
              <w:rPr>
                <w:rFonts w:ascii="Cambria Math" w:hAnsi="Cambria Math" w:cs="Arial"/>
                <w:sz w:val="20"/>
                <w:szCs w:val="20"/>
              </w:rPr>
            </m:ctrlPr>
          </m:sSubPr>
          <m:e>
            <m:r>
              <w:rPr>
                <w:rFonts w:ascii="Cambria Math" w:hAnsi="Cambria Math" w:cs="Arial"/>
                <w:sz w:val="20"/>
                <w:szCs w:val="20"/>
              </w:rPr>
              <m:t>RQ</m:t>
            </m:r>
          </m:e>
          <m:sub>
            <m:r>
              <w:rPr>
                <w:rFonts w:ascii="Cambria Math" w:hAnsi="Cambria Math" w:cs="Arial"/>
                <w:sz w:val="20"/>
                <w:szCs w:val="20"/>
              </w:rPr>
              <m:t>t-1 </m:t>
            </m:r>
          </m:sub>
        </m:sSub>
      </m:oMath>
      <w:r w:rsidR="000C0084" w:rsidRPr="0086092C">
        <w:rPr>
          <w:rFonts w:ascii="Arial" w:eastAsiaTheme="minorEastAsia" w:hAnsi="Arial" w:cs="Arial"/>
          <w:sz w:val="20"/>
          <w:szCs w:val="20"/>
        </w:rPr>
        <w:t xml:space="preserve">+ </w:t>
      </w:r>
      <m:oMath>
        <m:sSub>
          <m:sSubPr>
            <m:ctrlPr>
              <w:rPr>
                <w:rFonts w:ascii="Cambria Math" w:hAnsi="Cambria Math" w:cs="Arial"/>
                <w:iCs/>
                <w:sz w:val="20"/>
                <w:szCs w:val="20"/>
              </w:rPr>
            </m:ctrlPr>
          </m:sSubPr>
          <m:e>
            <m:r>
              <m:rPr>
                <m:sty m:val="p"/>
              </m:rPr>
              <w:rPr>
                <w:rFonts w:ascii="Cambria Math" w:hAnsi="Cambria Math" w:cs="Arial"/>
                <w:sz w:val="20"/>
                <w:szCs w:val="20"/>
              </w:rPr>
              <m:t>β</m:t>
            </m:r>
          </m:e>
          <m:sub>
            <m:r>
              <m:rPr>
                <m:nor/>
              </m:rPr>
              <w:rPr>
                <w:rFonts w:ascii="Arial" w:hAnsi="Arial" w:cs="Arial"/>
                <w:iCs/>
                <w:sz w:val="20"/>
                <w:szCs w:val="20"/>
              </w:rPr>
              <m:t>12 </m:t>
            </m:r>
          </m:sub>
        </m:sSub>
        <m:sSub>
          <m:sSubPr>
            <m:ctrlPr>
              <w:rPr>
                <w:rFonts w:ascii="Cambria Math" w:hAnsi="Cambria Math" w:cs="Arial"/>
                <w:sz w:val="20"/>
                <w:szCs w:val="20"/>
              </w:rPr>
            </m:ctrlPr>
          </m:sSubPr>
          <m:e>
            <m:r>
              <w:rPr>
                <w:rFonts w:ascii="Cambria Math" w:hAnsi="Cambria Math" w:cs="Arial"/>
                <w:sz w:val="20"/>
                <w:szCs w:val="20"/>
              </w:rPr>
              <m:t>RL</m:t>
            </m:r>
          </m:e>
          <m:sub>
            <m:r>
              <w:rPr>
                <w:rFonts w:ascii="Cambria Math" w:hAnsi="Cambria Math" w:cs="Arial"/>
                <w:sz w:val="20"/>
                <w:szCs w:val="20"/>
              </w:rPr>
              <m:t>t-1 </m:t>
            </m:r>
          </m:sub>
        </m:sSub>
      </m:oMath>
      <w:r w:rsidR="000C0084" w:rsidRPr="0086092C">
        <w:rPr>
          <w:rFonts w:ascii="Arial" w:eastAsiaTheme="minorEastAsia" w:hAnsi="Arial" w:cs="Arial"/>
          <w:sz w:val="20"/>
          <w:szCs w:val="20"/>
        </w:rPr>
        <w:t xml:space="preserve">+ </w:t>
      </w:r>
      <m:oMath>
        <m:sSub>
          <m:sSubPr>
            <m:ctrlPr>
              <w:rPr>
                <w:rFonts w:ascii="Cambria Math" w:hAnsi="Cambria Math" w:cs="Arial"/>
                <w:iCs/>
                <w:sz w:val="20"/>
                <w:szCs w:val="20"/>
              </w:rPr>
            </m:ctrlPr>
          </m:sSubPr>
          <m:e>
            <m:r>
              <w:rPr>
                <w:rFonts w:ascii="Cambria Math" w:hAnsi="Cambria Math" w:cs="Arial"/>
                <w:sz w:val="20"/>
                <w:szCs w:val="20"/>
              </w:rPr>
              <m:t>ε</m:t>
            </m:r>
          </m:e>
          <m:sub>
            <m:r>
              <m:rPr>
                <m:nor/>
              </m:rPr>
              <w:rPr>
                <w:rFonts w:ascii="Arial" w:hAnsi="Arial" w:cs="Arial"/>
                <w:iCs/>
                <w:sz w:val="20"/>
                <w:szCs w:val="20"/>
              </w:rPr>
              <m:t>1t </m:t>
            </m:r>
          </m:sub>
        </m:sSub>
      </m:oMath>
      <w:r w:rsidR="000C0084" w:rsidRPr="0086092C">
        <w:rPr>
          <w:rFonts w:ascii="Arial" w:eastAsiaTheme="minorEastAsia" w:hAnsi="Arial" w:cs="Arial"/>
          <w:iCs/>
          <w:sz w:val="20"/>
          <w:szCs w:val="20"/>
        </w:rPr>
        <w:t>………………………………</w:t>
      </w:r>
      <w:r w:rsidR="006A0151">
        <w:rPr>
          <w:rFonts w:ascii="Arial" w:eastAsiaTheme="minorEastAsia" w:hAnsi="Arial" w:cs="Arial"/>
          <w:iCs/>
          <w:sz w:val="20"/>
          <w:szCs w:val="20"/>
        </w:rPr>
        <w:t>………………………….</w:t>
      </w:r>
      <w:r w:rsidR="000C0084" w:rsidRPr="0086092C">
        <w:rPr>
          <w:rFonts w:ascii="Arial" w:eastAsiaTheme="minorEastAsia" w:hAnsi="Arial" w:cs="Arial"/>
          <w:iCs/>
          <w:sz w:val="20"/>
          <w:szCs w:val="20"/>
        </w:rPr>
        <w:t>………</w:t>
      </w:r>
      <w:proofErr w:type="gramStart"/>
      <w:r w:rsidR="000C0084" w:rsidRPr="0086092C">
        <w:rPr>
          <w:rFonts w:ascii="Arial" w:eastAsiaTheme="minorEastAsia" w:hAnsi="Arial" w:cs="Arial"/>
          <w:iCs/>
          <w:sz w:val="20"/>
          <w:szCs w:val="20"/>
        </w:rPr>
        <w:t>…..</w:t>
      </w:r>
      <w:proofErr w:type="gramEnd"/>
      <w:r w:rsidR="000C0084" w:rsidRPr="0086092C">
        <w:rPr>
          <w:rFonts w:ascii="Arial" w:eastAsiaTheme="minorEastAsia" w:hAnsi="Arial" w:cs="Arial"/>
          <w:iCs/>
          <w:sz w:val="20"/>
          <w:szCs w:val="20"/>
        </w:rPr>
        <w:t>(2)</w:t>
      </w:r>
    </w:p>
    <w:p w14:paraId="7DC8A72E" w14:textId="7999681E" w:rsidR="000C0084" w:rsidRPr="0086092C" w:rsidRDefault="000C0084" w:rsidP="0086092C">
      <w:pPr>
        <w:spacing w:line="240" w:lineRule="auto"/>
        <w:jc w:val="both"/>
        <w:rPr>
          <w:rFonts w:ascii="Arial" w:eastAsiaTheme="minorEastAsia" w:hAnsi="Arial" w:cs="Arial"/>
          <w:sz w:val="20"/>
          <w:szCs w:val="20"/>
        </w:rPr>
      </w:pPr>
      <m:oMath>
        <m:r>
          <w:rPr>
            <w:rFonts w:ascii="Cambria Math" w:hAnsi="Cambria Math" w:cs="Arial"/>
            <w:sz w:val="20"/>
            <w:szCs w:val="20"/>
          </w:rPr>
          <m:t xml:space="preserve">         </m:t>
        </m:r>
        <m:sSub>
          <m:sSubPr>
            <m:ctrlPr>
              <w:rPr>
                <w:rFonts w:ascii="Cambria Math" w:hAnsi="Cambria Math" w:cs="Arial"/>
                <w:sz w:val="20"/>
                <w:szCs w:val="20"/>
              </w:rPr>
            </m:ctrlPr>
          </m:sSubPr>
          <m:e>
            <m:r>
              <w:rPr>
                <w:rFonts w:ascii="Cambria Math" w:hAnsi="Cambria Math" w:cs="Arial"/>
                <w:sz w:val="20"/>
                <w:szCs w:val="20"/>
              </w:rPr>
              <m:t>RQ</m:t>
            </m:r>
          </m:e>
          <m:sub>
            <m:r>
              <w:rPr>
                <w:rFonts w:ascii="Cambria Math" w:hAnsi="Cambria Math" w:cs="Arial"/>
                <w:sz w:val="20"/>
                <w:szCs w:val="20"/>
              </w:rPr>
              <m:t>t </m:t>
            </m:r>
          </m:sub>
        </m:sSub>
        <m:r>
          <w:rPr>
            <w:rFonts w:ascii="Cambria Math" w:hAnsi="Cambria Math" w:cs="Arial"/>
            <w:sz w:val="20"/>
            <w:szCs w:val="20"/>
          </w:rPr>
          <m:t>=</m:t>
        </m:r>
      </m:oMath>
      <w:r w:rsidRPr="0086092C">
        <w:rPr>
          <w:rFonts w:ascii="Arial" w:eastAsiaTheme="minorEastAsia" w:hAnsi="Arial" w:cs="Arial"/>
          <w:sz w:val="20"/>
          <w:szCs w:val="20"/>
        </w:rPr>
        <w:t xml:space="preserve"> </w:t>
      </w:r>
      <m:oMath>
        <m:sSub>
          <m:sSubPr>
            <m:ctrlPr>
              <w:rPr>
                <w:rFonts w:ascii="Cambria Math" w:hAnsi="Cambria Math" w:cs="Arial"/>
                <w:iCs/>
                <w:sz w:val="20"/>
                <w:szCs w:val="20"/>
              </w:rPr>
            </m:ctrlPr>
          </m:sSubPr>
          <m:e>
            <m:r>
              <m:rPr>
                <m:sty m:val="p"/>
              </m:rPr>
              <w:rPr>
                <w:rFonts w:ascii="Cambria Math" w:hAnsi="Cambria Math" w:cs="Arial"/>
                <w:sz w:val="20"/>
                <w:szCs w:val="20"/>
              </w:rPr>
              <m:t>α</m:t>
            </m:r>
          </m:e>
          <m:sub>
            <m:r>
              <m:rPr>
                <m:nor/>
              </m:rPr>
              <w:rPr>
                <w:rFonts w:ascii="Arial" w:hAnsi="Arial" w:cs="Arial"/>
                <w:iCs/>
                <w:sz w:val="20"/>
                <w:szCs w:val="20"/>
              </w:rPr>
              <m:t>2 </m:t>
            </m:r>
          </m:sub>
        </m:sSub>
        <m:r>
          <w:rPr>
            <w:rFonts w:ascii="Cambria Math" w:hAnsi="Cambria Math" w:cs="Arial"/>
            <w:sz w:val="20"/>
            <w:szCs w:val="20"/>
          </w:rPr>
          <m:t>+</m:t>
        </m:r>
        <m:sSub>
          <m:sSubPr>
            <m:ctrlPr>
              <w:rPr>
                <w:rFonts w:ascii="Cambria Math" w:hAnsi="Cambria Math" w:cs="Arial"/>
                <w:iCs/>
                <w:sz w:val="20"/>
                <w:szCs w:val="20"/>
              </w:rPr>
            </m:ctrlPr>
          </m:sSubPr>
          <m:e>
            <m:r>
              <m:rPr>
                <m:sty m:val="p"/>
              </m:rPr>
              <w:rPr>
                <w:rFonts w:ascii="Cambria Math" w:hAnsi="Cambria Math" w:cs="Arial"/>
                <w:sz w:val="20"/>
                <w:szCs w:val="20"/>
              </w:rPr>
              <m:t>β</m:t>
            </m:r>
          </m:e>
          <m:sub>
            <m:r>
              <m:rPr>
                <m:nor/>
              </m:rPr>
              <w:rPr>
                <w:rFonts w:ascii="Arial" w:hAnsi="Arial" w:cs="Arial"/>
                <w:iCs/>
                <w:sz w:val="20"/>
                <w:szCs w:val="20"/>
              </w:rPr>
              <m:t>21 </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NPLR</m:t>
            </m:r>
          </m:e>
          <m:sub>
            <m:r>
              <w:rPr>
                <w:rFonts w:ascii="Cambria Math" w:hAnsi="Cambria Math" w:cs="Arial"/>
                <w:sz w:val="20"/>
                <w:szCs w:val="20"/>
              </w:rPr>
              <m:t>t-1 </m:t>
            </m:r>
          </m:sub>
        </m:sSub>
      </m:oMath>
      <w:r w:rsidRPr="0086092C">
        <w:rPr>
          <w:rFonts w:ascii="Arial" w:eastAsiaTheme="minorEastAsia" w:hAnsi="Arial" w:cs="Arial"/>
          <w:sz w:val="20"/>
          <w:szCs w:val="20"/>
        </w:rPr>
        <w:t xml:space="preserve">+ </w:t>
      </w:r>
      <m:oMath>
        <m:sSub>
          <m:sSubPr>
            <m:ctrlPr>
              <w:rPr>
                <w:rFonts w:ascii="Cambria Math" w:hAnsi="Cambria Math" w:cs="Arial"/>
                <w:iCs/>
                <w:sz w:val="20"/>
                <w:szCs w:val="20"/>
              </w:rPr>
            </m:ctrlPr>
          </m:sSubPr>
          <m:e>
            <m:r>
              <m:rPr>
                <m:sty m:val="p"/>
              </m:rPr>
              <w:rPr>
                <w:rFonts w:ascii="Cambria Math" w:hAnsi="Cambria Math" w:cs="Arial"/>
                <w:sz w:val="20"/>
                <w:szCs w:val="20"/>
              </w:rPr>
              <m:t>β</m:t>
            </m:r>
          </m:e>
          <m:sub>
            <m:r>
              <m:rPr>
                <m:nor/>
              </m:rPr>
              <w:rPr>
                <w:rFonts w:ascii="Arial" w:hAnsi="Arial" w:cs="Arial"/>
                <w:iCs/>
                <w:sz w:val="20"/>
                <w:szCs w:val="20"/>
              </w:rPr>
              <m:t>22 </m:t>
            </m:r>
          </m:sub>
        </m:sSub>
        <m:sSub>
          <m:sSubPr>
            <m:ctrlPr>
              <w:rPr>
                <w:rFonts w:ascii="Cambria Math" w:hAnsi="Cambria Math" w:cs="Arial"/>
                <w:sz w:val="20"/>
                <w:szCs w:val="20"/>
              </w:rPr>
            </m:ctrlPr>
          </m:sSubPr>
          <m:e>
            <m:r>
              <w:rPr>
                <w:rFonts w:ascii="Cambria Math" w:hAnsi="Cambria Math" w:cs="Arial"/>
                <w:sz w:val="20"/>
                <w:szCs w:val="20"/>
              </w:rPr>
              <m:t>RL</m:t>
            </m:r>
          </m:e>
          <m:sub>
            <m:r>
              <w:rPr>
                <w:rFonts w:ascii="Cambria Math" w:hAnsi="Cambria Math" w:cs="Arial"/>
                <w:sz w:val="20"/>
                <w:szCs w:val="20"/>
              </w:rPr>
              <m:t>t-1 </m:t>
            </m:r>
          </m:sub>
        </m:sSub>
      </m:oMath>
      <w:r w:rsidRPr="0086092C">
        <w:rPr>
          <w:rFonts w:ascii="Arial" w:eastAsiaTheme="minorEastAsia" w:hAnsi="Arial" w:cs="Arial"/>
          <w:sz w:val="20"/>
          <w:szCs w:val="20"/>
        </w:rPr>
        <w:t xml:space="preserve">+ </w:t>
      </w:r>
      <m:oMath>
        <m:sSub>
          <m:sSubPr>
            <m:ctrlPr>
              <w:rPr>
                <w:rFonts w:ascii="Cambria Math" w:hAnsi="Cambria Math" w:cs="Arial"/>
                <w:iCs/>
                <w:sz w:val="20"/>
                <w:szCs w:val="20"/>
              </w:rPr>
            </m:ctrlPr>
          </m:sSubPr>
          <m:e>
            <m:r>
              <w:rPr>
                <w:rFonts w:ascii="Cambria Math" w:hAnsi="Cambria Math" w:cs="Arial"/>
                <w:sz w:val="20"/>
                <w:szCs w:val="20"/>
              </w:rPr>
              <m:t>ε</m:t>
            </m:r>
          </m:e>
          <m:sub>
            <m:r>
              <m:rPr>
                <m:nor/>
              </m:rPr>
              <w:rPr>
                <w:rFonts w:ascii="Arial" w:hAnsi="Arial" w:cs="Arial"/>
                <w:iCs/>
                <w:sz w:val="20"/>
                <w:szCs w:val="20"/>
              </w:rPr>
              <m:t>2t </m:t>
            </m:r>
          </m:sub>
        </m:sSub>
      </m:oMath>
      <w:r w:rsidRPr="0086092C">
        <w:rPr>
          <w:rFonts w:ascii="Arial" w:eastAsiaTheme="minorEastAsia" w:hAnsi="Arial" w:cs="Arial"/>
          <w:iCs/>
          <w:sz w:val="20"/>
          <w:szCs w:val="20"/>
        </w:rPr>
        <w:t>………………………</w:t>
      </w:r>
      <w:r w:rsidR="006A0151">
        <w:rPr>
          <w:rFonts w:ascii="Arial" w:eastAsiaTheme="minorEastAsia" w:hAnsi="Arial" w:cs="Arial"/>
          <w:iCs/>
          <w:sz w:val="20"/>
          <w:szCs w:val="20"/>
        </w:rPr>
        <w:t>……………………….</w:t>
      </w:r>
      <w:r w:rsidRPr="0086092C">
        <w:rPr>
          <w:rFonts w:ascii="Arial" w:eastAsiaTheme="minorEastAsia" w:hAnsi="Arial" w:cs="Arial"/>
          <w:iCs/>
          <w:sz w:val="20"/>
          <w:szCs w:val="20"/>
        </w:rPr>
        <w:t>……………</w:t>
      </w:r>
      <w:proofErr w:type="gramStart"/>
      <w:r w:rsidRPr="0086092C">
        <w:rPr>
          <w:rFonts w:ascii="Arial" w:eastAsiaTheme="minorEastAsia" w:hAnsi="Arial" w:cs="Arial"/>
          <w:iCs/>
          <w:sz w:val="20"/>
          <w:szCs w:val="20"/>
        </w:rPr>
        <w:t>…..</w:t>
      </w:r>
      <w:proofErr w:type="gramEnd"/>
      <w:r w:rsidRPr="0086092C">
        <w:rPr>
          <w:rFonts w:ascii="Arial" w:eastAsiaTheme="minorEastAsia" w:hAnsi="Arial" w:cs="Arial"/>
          <w:iCs/>
          <w:sz w:val="20"/>
          <w:szCs w:val="20"/>
        </w:rPr>
        <w:t>(3)</w:t>
      </w:r>
    </w:p>
    <w:p w14:paraId="64734B18" w14:textId="799070AF" w:rsidR="000C0084" w:rsidRPr="0086092C" w:rsidRDefault="000C0084" w:rsidP="0086092C">
      <w:pPr>
        <w:spacing w:line="240" w:lineRule="auto"/>
        <w:jc w:val="both"/>
        <w:rPr>
          <w:rFonts w:ascii="Arial" w:eastAsiaTheme="minorEastAsia" w:hAnsi="Arial" w:cs="Arial"/>
          <w:sz w:val="20"/>
          <w:szCs w:val="20"/>
        </w:rPr>
      </w:pPr>
      <m:oMath>
        <m:r>
          <w:rPr>
            <w:rFonts w:ascii="Cambria Math" w:hAnsi="Cambria Math" w:cs="Arial"/>
            <w:sz w:val="20"/>
            <w:szCs w:val="20"/>
          </w:rPr>
          <m:t xml:space="preserve">         </m:t>
        </m:r>
        <m:sSub>
          <m:sSubPr>
            <m:ctrlPr>
              <w:rPr>
                <w:rFonts w:ascii="Cambria Math" w:hAnsi="Cambria Math" w:cs="Arial"/>
                <w:sz w:val="20"/>
                <w:szCs w:val="20"/>
              </w:rPr>
            </m:ctrlPr>
          </m:sSubPr>
          <m:e>
            <m:r>
              <w:rPr>
                <w:rFonts w:ascii="Cambria Math" w:hAnsi="Cambria Math" w:cs="Arial"/>
                <w:sz w:val="20"/>
                <w:szCs w:val="20"/>
              </w:rPr>
              <m:t>RL</m:t>
            </m:r>
          </m:e>
          <m:sub>
            <m:r>
              <w:rPr>
                <w:rFonts w:ascii="Cambria Math" w:hAnsi="Cambria Math" w:cs="Arial"/>
                <w:sz w:val="20"/>
                <w:szCs w:val="20"/>
              </w:rPr>
              <m:t>t </m:t>
            </m:r>
          </m:sub>
        </m:sSub>
        <m:r>
          <w:rPr>
            <w:rFonts w:ascii="Cambria Math" w:hAnsi="Cambria Math" w:cs="Arial"/>
            <w:sz w:val="20"/>
            <w:szCs w:val="20"/>
          </w:rPr>
          <m:t>=</m:t>
        </m:r>
      </m:oMath>
      <w:r w:rsidRPr="0086092C">
        <w:rPr>
          <w:rFonts w:ascii="Arial" w:eastAsiaTheme="minorEastAsia" w:hAnsi="Arial" w:cs="Arial"/>
          <w:sz w:val="20"/>
          <w:szCs w:val="20"/>
        </w:rPr>
        <w:t xml:space="preserve"> </w:t>
      </w:r>
      <m:oMath>
        <m:sSub>
          <m:sSubPr>
            <m:ctrlPr>
              <w:rPr>
                <w:rFonts w:ascii="Cambria Math" w:hAnsi="Cambria Math" w:cs="Arial"/>
                <w:iCs/>
                <w:sz w:val="20"/>
                <w:szCs w:val="20"/>
              </w:rPr>
            </m:ctrlPr>
          </m:sSubPr>
          <m:e>
            <m:r>
              <m:rPr>
                <m:sty m:val="p"/>
              </m:rPr>
              <w:rPr>
                <w:rFonts w:ascii="Cambria Math" w:hAnsi="Cambria Math" w:cs="Arial"/>
                <w:sz w:val="20"/>
                <w:szCs w:val="20"/>
              </w:rPr>
              <m:t>α</m:t>
            </m:r>
          </m:e>
          <m:sub>
            <m:r>
              <m:rPr>
                <m:nor/>
              </m:rPr>
              <w:rPr>
                <w:rFonts w:ascii="Arial" w:hAnsi="Arial" w:cs="Arial"/>
                <w:iCs/>
                <w:sz w:val="20"/>
                <w:szCs w:val="20"/>
              </w:rPr>
              <m:t>3 </m:t>
            </m:r>
          </m:sub>
        </m:sSub>
        <m:r>
          <w:rPr>
            <w:rFonts w:ascii="Cambria Math" w:hAnsi="Cambria Math" w:cs="Arial"/>
            <w:sz w:val="20"/>
            <w:szCs w:val="20"/>
          </w:rPr>
          <m:t>+</m:t>
        </m:r>
        <m:sSub>
          <m:sSubPr>
            <m:ctrlPr>
              <w:rPr>
                <w:rFonts w:ascii="Cambria Math" w:hAnsi="Cambria Math" w:cs="Arial"/>
                <w:iCs/>
                <w:sz w:val="20"/>
                <w:szCs w:val="20"/>
              </w:rPr>
            </m:ctrlPr>
          </m:sSubPr>
          <m:e>
            <m:r>
              <m:rPr>
                <m:sty m:val="p"/>
              </m:rPr>
              <w:rPr>
                <w:rFonts w:ascii="Cambria Math" w:hAnsi="Cambria Math" w:cs="Arial"/>
                <w:sz w:val="20"/>
                <w:szCs w:val="20"/>
              </w:rPr>
              <m:t>β</m:t>
            </m:r>
          </m:e>
          <m:sub>
            <m:r>
              <m:rPr>
                <m:nor/>
              </m:rPr>
              <w:rPr>
                <w:rFonts w:ascii="Arial" w:hAnsi="Arial" w:cs="Arial"/>
                <w:iCs/>
                <w:sz w:val="20"/>
                <w:szCs w:val="20"/>
              </w:rPr>
              <m:t>31 </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NPLR</m:t>
            </m:r>
          </m:e>
          <m:sub>
            <m:r>
              <w:rPr>
                <w:rFonts w:ascii="Cambria Math" w:hAnsi="Cambria Math" w:cs="Arial"/>
                <w:sz w:val="20"/>
                <w:szCs w:val="20"/>
              </w:rPr>
              <m:t>t-1 </m:t>
            </m:r>
          </m:sub>
        </m:sSub>
      </m:oMath>
      <w:r w:rsidRPr="0086092C">
        <w:rPr>
          <w:rFonts w:ascii="Arial" w:eastAsiaTheme="minorEastAsia" w:hAnsi="Arial" w:cs="Arial"/>
          <w:sz w:val="20"/>
          <w:szCs w:val="20"/>
        </w:rPr>
        <w:t xml:space="preserve">+ </w:t>
      </w:r>
      <m:oMath>
        <m:sSub>
          <m:sSubPr>
            <m:ctrlPr>
              <w:rPr>
                <w:rFonts w:ascii="Cambria Math" w:hAnsi="Cambria Math" w:cs="Arial"/>
                <w:iCs/>
                <w:sz w:val="20"/>
                <w:szCs w:val="20"/>
              </w:rPr>
            </m:ctrlPr>
          </m:sSubPr>
          <m:e>
            <m:r>
              <m:rPr>
                <m:sty m:val="p"/>
              </m:rPr>
              <w:rPr>
                <w:rFonts w:ascii="Cambria Math" w:hAnsi="Cambria Math" w:cs="Arial"/>
                <w:sz w:val="20"/>
                <w:szCs w:val="20"/>
              </w:rPr>
              <m:t>β</m:t>
            </m:r>
          </m:e>
          <m:sub>
            <m:r>
              <m:rPr>
                <m:nor/>
              </m:rPr>
              <w:rPr>
                <w:rFonts w:ascii="Arial" w:hAnsi="Arial" w:cs="Arial"/>
                <w:iCs/>
                <w:sz w:val="20"/>
                <w:szCs w:val="20"/>
              </w:rPr>
              <m:t>32 </m:t>
            </m:r>
          </m:sub>
        </m:sSub>
        <m:sSub>
          <m:sSubPr>
            <m:ctrlPr>
              <w:rPr>
                <w:rFonts w:ascii="Cambria Math" w:hAnsi="Cambria Math" w:cs="Arial"/>
                <w:sz w:val="20"/>
                <w:szCs w:val="20"/>
              </w:rPr>
            </m:ctrlPr>
          </m:sSubPr>
          <m:e>
            <m:r>
              <w:rPr>
                <w:rFonts w:ascii="Cambria Math" w:hAnsi="Cambria Math" w:cs="Arial"/>
                <w:sz w:val="20"/>
                <w:szCs w:val="20"/>
              </w:rPr>
              <m:t>RQ</m:t>
            </m:r>
          </m:e>
          <m:sub>
            <m:r>
              <w:rPr>
                <w:rFonts w:ascii="Cambria Math" w:hAnsi="Cambria Math" w:cs="Arial"/>
                <w:sz w:val="20"/>
                <w:szCs w:val="20"/>
              </w:rPr>
              <m:t>t-1 </m:t>
            </m:r>
          </m:sub>
        </m:sSub>
      </m:oMath>
      <w:r w:rsidRPr="0086092C">
        <w:rPr>
          <w:rFonts w:ascii="Arial" w:eastAsiaTheme="minorEastAsia" w:hAnsi="Arial" w:cs="Arial"/>
          <w:sz w:val="20"/>
          <w:szCs w:val="20"/>
        </w:rPr>
        <w:t xml:space="preserve">+ </w:t>
      </w:r>
      <m:oMath>
        <m:sSub>
          <m:sSubPr>
            <m:ctrlPr>
              <w:rPr>
                <w:rFonts w:ascii="Cambria Math" w:hAnsi="Cambria Math" w:cs="Arial"/>
                <w:iCs/>
                <w:sz w:val="20"/>
                <w:szCs w:val="20"/>
              </w:rPr>
            </m:ctrlPr>
          </m:sSubPr>
          <m:e>
            <m:r>
              <w:rPr>
                <w:rFonts w:ascii="Cambria Math" w:hAnsi="Cambria Math" w:cs="Arial"/>
                <w:sz w:val="20"/>
                <w:szCs w:val="20"/>
              </w:rPr>
              <m:t>ε</m:t>
            </m:r>
          </m:e>
          <m:sub>
            <m:r>
              <m:rPr>
                <m:nor/>
              </m:rPr>
              <w:rPr>
                <w:rFonts w:ascii="Arial" w:hAnsi="Arial" w:cs="Arial"/>
                <w:iCs/>
                <w:sz w:val="20"/>
                <w:szCs w:val="20"/>
              </w:rPr>
              <m:t>3t </m:t>
            </m:r>
          </m:sub>
        </m:sSub>
      </m:oMath>
      <w:r w:rsidRPr="0086092C">
        <w:rPr>
          <w:rFonts w:ascii="Arial" w:eastAsiaTheme="minorEastAsia" w:hAnsi="Arial" w:cs="Arial"/>
          <w:iCs/>
          <w:sz w:val="20"/>
          <w:szCs w:val="20"/>
        </w:rPr>
        <w:t>………………………</w:t>
      </w:r>
      <w:r w:rsidR="006A0151">
        <w:rPr>
          <w:rFonts w:ascii="Arial" w:eastAsiaTheme="minorEastAsia" w:hAnsi="Arial" w:cs="Arial"/>
          <w:iCs/>
          <w:sz w:val="20"/>
          <w:szCs w:val="20"/>
        </w:rPr>
        <w:t>………………………….</w:t>
      </w:r>
      <w:r w:rsidRPr="0086092C">
        <w:rPr>
          <w:rFonts w:ascii="Arial" w:eastAsiaTheme="minorEastAsia" w:hAnsi="Arial" w:cs="Arial"/>
          <w:iCs/>
          <w:sz w:val="20"/>
          <w:szCs w:val="20"/>
        </w:rPr>
        <w:t>…………</w:t>
      </w:r>
      <w:proofErr w:type="gramStart"/>
      <w:r w:rsidRPr="0086092C">
        <w:rPr>
          <w:rFonts w:ascii="Arial" w:eastAsiaTheme="minorEastAsia" w:hAnsi="Arial" w:cs="Arial"/>
          <w:iCs/>
          <w:sz w:val="20"/>
          <w:szCs w:val="20"/>
        </w:rPr>
        <w:t>…..</w:t>
      </w:r>
      <w:proofErr w:type="gramEnd"/>
      <w:r w:rsidRPr="0086092C">
        <w:rPr>
          <w:rFonts w:ascii="Arial" w:eastAsiaTheme="minorEastAsia" w:hAnsi="Arial" w:cs="Arial"/>
          <w:iCs/>
          <w:sz w:val="20"/>
          <w:szCs w:val="20"/>
        </w:rPr>
        <w:t>(4)</w:t>
      </w:r>
    </w:p>
    <w:p w14:paraId="3E940699" w14:textId="77777777" w:rsidR="00874675" w:rsidRPr="0086092C" w:rsidRDefault="00874675" w:rsidP="0086092C">
      <w:pPr>
        <w:spacing w:line="240" w:lineRule="auto"/>
        <w:jc w:val="both"/>
        <w:rPr>
          <w:rFonts w:ascii="Arial" w:hAnsi="Arial" w:cs="Arial"/>
          <w:sz w:val="20"/>
          <w:szCs w:val="20"/>
        </w:rPr>
      </w:pPr>
      <w:r w:rsidRPr="0086092C">
        <w:rPr>
          <w:rFonts w:ascii="Arial" w:hAnsi="Arial" w:cs="Arial"/>
          <w:sz w:val="20"/>
          <w:szCs w:val="20"/>
        </w:rPr>
        <w:t>where:</w:t>
      </w:r>
    </w:p>
    <w:p w14:paraId="4FCDF259" w14:textId="77777777" w:rsidR="00874675" w:rsidRPr="0086092C" w:rsidRDefault="00874675" w:rsidP="0086092C">
      <w:pPr>
        <w:spacing w:line="240" w:lineRule="auto"/>
        <w:jc w:val="both"/>
        <w:rPr>
          <w:rFonts w:ascii="Arial" w:hAnsi="Arial" w:cs="Arial"/>
          <w:sz w:val="20"/>
          <w:szCs w:val="20"/>
        </w:rPr>
      </w:pPr>
      <w:r w:rsidRPr="0086092C">
        <w:rPr>
          <w:rFonts w:ascii="Arial" w:hAnsi="Arial" w:cs="Arial"/>
          <w:sz w:val="20"/>
          <w:szCs w:val="20"/>
        </w:rPr>
        <w:t xml:space="preserve">- </w:t>
      </w:r>
      <m:oMath>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NPLR</m:t>
            </m:r>
          </m:e>
          <m:sub>
            <m:r>
              <w:rPr>
                <w:rFonts w:ascii="Cambria Math" w:hAnsi="Cambria Math" w:cs="Arial"/>
                <w:sz w:val="20"/>
                <w:szCs w:val="20"/>
              </w:rPr>
              <m:t>t </m:t>
            </m:r>
          </m:sub>
        </m:sSub>
      </m:oMath>
      <w:r w:rsidRPr="0086092C">
        <w:rPr>
          <w:rFonts w:ascii="Arial" w:hAnsi="Arial" w:cs="Arial"/>
          <w:sz w:val="20"/>
          <w:szCs w:val="20"/>
        </w:rPr>
        <w:t xml:space="preserve"> is the first-differenced non-performing loans ratio.</w:t>
      </w:r>
    </w:p>
    <w:p w14:paraId="12824471" w14:textId="77777777" w:rsidR="00874675" w:rsidRPr="0086092C" w:rsidRDefault="00874675" w:rsidP="0086092C">
      <w:pPr>
        <w:spacing w:line="240" w:lineRule="auto"/>
        <w:jc w:val="both"/>
        <w:rPr>
          <w:rFonts w:ascii="Arial" w:hAnsi="Arial" w:cs="Arial"/>
          <w:sz w:val="20"/>
          <w:szCs w:val="20"/>
        </w:rPr>
      </w:pPr>
      <w:r w:rsidRPr="0086092C">
        <w:rPr>
          <w:rFonts w:ascii="Arial" w:hAnsi="Arial" w:cs="Arial"/>
          <w:sz w:val="20"/>
          <w:szCs w:val="20"/>
        </w:rPr>
        <w:t xml:space="preserve">- </w:t>
      </w:r>
      <m:oMath>
        <m:sSub>
          <m:sSubPr>
            <m:ctrlPr>
              <w:rPr>
                <w:rFonts w:ascii="Cambria Math" w:hAnsi="Cambria Math" w:cs="Arial"/>
                <w:sz w:val="20"/>
                <w:szCs w:val="20"/>
              </w:rPr>
            </m:ctrlPr>
          </m:sSubPr>
          <m:e>
            <m:r>
              <w:rPr>
                <w:rFonts w:ascii="Cambria Math" w:hAnsi="Cambria Math" w:cs="Arial"/>
                <w:sz w:val="20"/>
                <w:szCs w:val="20"/>
              </w:rPr>
              <m:t>RQ</m:t>
            </m:r>
          </m:e>
          <m:sub>
            <m:r>
              <w:rPr>
                <w:rFonts w:ascii="Cambria Math" w:hAnsi="Cambria Math" w:cs="Arial"/>
                <w:sz w:val="20"/>
                <w:szCs w:val="20"/>
              </w:rPr>
              <m:t>t </m:t>
            </m:r>
          </m:sub>
        </m:sSub>
      </m:oMath>
      <w:r w:rsidRPr="0086092C">
        <w:rPr>
          <w:rFonts w:ascii="Arial" w:hAnsi="Arial" w:cs="Arial"/>
          <w:sz w:val="20"/>
          <w:szCs w:val="20"/>
        </w:rPr>
        <w:t xml:space="preserve"> is the regulatory quality.</w:t>
      </w:r>
    </w:p>
    <w:p w14:paraId="438BE30B" w14:textId="2D3C647C" w:rsidR="00927DBE" w:rsidRPr="0086092C" w:rsidRDefault="00927DBE" w:rsidP="0086092C">
      <w:pPr>
        <w:spacing w:line="240" w:lineRule="auto"/>
        <w:jc w:val="both"/>
        <w:rPr>
          <w:rFonts w:ascii="Arial" w:hAnsi="Arial" w:cs="Arial"/>
          <w:sz w:val="20"/>
          <w:szCs w:val="20"/>
        </w:rPr>
      </w:pPr>
      <w:r w:rsidRPr="0086092C">
        <w:rPr>
          <w:rFonts w:ascii="Arial" w:hAnsi="Arial" w:cs="Arial"/>
          <w:sz w:val="20"/>
          <w:szCs w:val="20"/>
        </w:rPr>
        <w:t xml:space="preserve">- </w:t>
      </w:r>
      <m:oMath>
        <m:sSub>
          <m:sSubPr>
            <m:ctrlPr>
              <w:rPr>
                <w:rFonts w:ascii="Cambria Math" w:hAnsi="Cambria Math" w:cs="Arial"/>
                <w:sz w:val="20"/>
                <w:szCs w:val="20"/>
              </w:rPr>
            </m:ctrlPr>
          </m:sSubPr>
          <m:e>
            <m:r>
              <w:rPr>
                <w:rFonts w:ascii="Cambria Math" w:hAnsi="Cambria Math" w:cs="Arial"/>
                <w:sz w:val="20"/>
                <w:szCs w:val="20"/>
              </w:rPr>
              <m:t>RL</m:t>
            </m:r>
          </m:e>
          <m:sub>
            <m:r>
              <w:rPr>
                <w:rFonts w:ascii="Cambria Math" w:hAnsi="Cambria Math" w:cs="Arial"/>
                <w:sz w:val="20"/>
                <w:szCs w:val="20"/>
              </w:rPr>
              <m:t>t </m:t>
            </m:r>
          </m:sub>
        </m:sSub>
      </m:oMath>
      <w:r w:rsidRPr="0086092C">
        <w:rPr>
          <w:rFonts w:ascii="Arial" w:hAnsi="Arial" w:cs="Arial"/>
          <w:sz w:val="20"/>
          <w:szCs w:val="20"/>
        </w:rPr>
        <w:t xml:space="preserve"> is the rule of law.</w:t>
      </w:r>
    </w:p>
    <w:p w14:paraId="2A884FEF" w14:textId="3B55B701" w:rsidR="00874675" w:rsidRPr="0086092C" w:rsidRDefault="00874675" w:rsidP="0086092C">
      <w:pPr>
        <w:spacing w:line="240" w:lineRule="auto"/>
        <w:jc w:val="both"/>
        <w:rPr>
          <w:rFonts w:ascii="Arial" w:hAnsi="Arial" w:cs="Arial"/>
          <w:sz w:val="20"/>
          <w:szCs w:val="20"/>
        </w:rPr>
      </w:pPr>
      <w:r w:rsidRPr="0086092C">
        <w:rPr>
          <w:rFonts w:ascii="Arial" w:hAnsi="Arial" w:cs="Arial"/>
          <w:sz w:val="20"/>
          <w:szCs w:val="20"/>
        </w:rPr>
        <w:t xml:space="preserve">- </w:t>
      </w:r>
      <m:oMath>
        <m:sSub>
          <m:sSubPr>
            <m:ctrlPr>
              <w:rPr>
                <w:rFonts w:ascii="Cambria Math" w:hAnsi="Cambria Math" w:cs="Arial"/>
                <w:iCs/>
                <w:sz w:val="20"/>
                <w:szCs w:val="20"/>
              </w:rPr>
            </m:ctrlPr>
          </m:sSubPr>
          <m:e>
            <m:r>
              <m:rPr>
                <m:sty m:val="p"/>
              </m:rPr>
              <w:rPr>
                <w:rFonts w:ascii="Cambria Math" w:hAnsi="Cambria Math" w:cs="Arial"/>
                <w:sz w:val="20"/>
                <w:szCs w:val="20"/>
              </w:rPr>
              <m:t>α</m:t>
            </m:r>
          </m:e>
          <m:sub>
            <m:r>
              <m:rPr>
                <m:nor/>
              </m:rPr>
              <w:rPr>
                <w:rFonts w:ascii="Arial" w:hAnsi="Arial" w:cs="Arial"/>
                <w:iCs/>
                <w:sz w:val="20"/>
                <w:szCs w:val="20"/>
              </w:rPr>
              <m:t>1 </m:t>
            </m:r>
          </m:sub>
        </m:sSub>
      </m:oMath>
      <w:r w:rsidRPr="0086092C">
        <w:rPr>
          <w:rFonts w:ascii="Arial" w:hAnsi="Arial" w:cs="Arial"/>
          <w:sz w:val="20"/>
          <w:szCs w:val="20"/>
        </w:rPr>
        <w:t xml:space="preserve">, </w:t>
      </w:r>
      <m:oMath>
        <m:sSub>
          <m:sSubPr>
            <m:ctrlPr>
              <w:rPr>
                <w:rFonts w:ascii="Cambria Math" w:hAnsi="Cambria Math" w:cs="Arial"/>
                <w:iCs/>
                <w:sz w:val="20"/>
                <w:szCs w:val="20"/>
              </w:rPr>
            </m:ctrlPr>
          </m:sSubPr>
          <m:e>
            <m:r>
              <m:rPr>
                <m:sty m:val="p"/>
              </m:rPr>
              <w:rPr>
                <w:rFonts w:ascii="Cambria Math" w:hAnsi="Cambria Math" w:cs="Arial"/>
                <w:sz w:val="20"/>
                <w:szCs w:val="20"/>
              </w:rPr>
              <m:t>α</m:t>
            </m:r>
          </m:e>
          <m:sub>
            <m:r>
              <m:rPr>
                <m:nor/>
              </m:rPr>
              <w:rPr>
                <w:rFonts w:ascii="Arial" w:hAnsi="Arial" w:cs="Arial"/>
                <w:iCs/>
                <w:sz w:val="20"/>
                <w:szCs w:val="20"/>
              </w:rPr>
              <m:t>2 </m:t>
            </m:r>
          </m:sub>
        </m:sSub>
      </m:oMath>
      <w:r w:rsidRPr="0086092C">
        <w:rPr>
          <w:rFonts w:ascii="Arial" w:eastAsiaTheme="minorEastAsia" w:hAnsi="Arial" w:cs="Arial"/>
          <w:iCs/>
          <w:sz w:val="20"/>
          <w:szCs w:val="20"/>
        </w:rPr>
        <w:t>and</w:t>
      </w:r>
      <w:r w:rsidRPr="0086092C">
        <w:rPr>
          <w:rFonts w:ascii="Arial" w:hAnsi="Arial" w:cs="Arial"/>
          <w:sz w:val="20"/>
          <w:szCs w:val="20"/>
        </w:rPr>
        <w:t xml:space="preserve"> </w:t>
      </w:r>
      <m:oMath>
        <m:sSub>
          <m:sSubPr>
            <m:ctrlPr>
              <w:rPr>
                <w:rFonts w:ascii="Cambria Math" w:hAnsi="Cambria Math" w:cs="Arial"/>
                <w:iCs/>
                <w:sz w:val="20"/>
                <w:szCs w:val="20"/>
              </w:rPr>
            </m:ctrlPr>
          </m:sSubPr>
          <m:e>
            <m:r>
              <m:rPr>
                <m:sty m:val="p"/>
              </m:rPr>
              <w:rPr>
                <w:rFonts w:ascii="Cambria Math" w:hAnsi="Cambria Math" w:cs="Arial"/>
                <w:sz w:val="20"/>
                <w:szCs w:val="20"/>
              </w:rPr>
              <m:t>α</m:t>
            </m:r>
          </m:e>
          <m:sub>
            <m:r>
              <m:rPr>
                <m:nor/>
              </m:rPr>
              <w:rPr>
                <w:rFonts w:ascii="Arial" w:hAnsi="Arial" w:cs="Arial"/>
                <w:iCs/>
                <w:sz w:val="20"/>
                <w:szCs w:val="20"/>
              </w:rPr>
              <m:t>3 </m:t>
            </m:r>
          </m:sub>
        </m:sSub>
      </m:oMath>
      <w:r w:rsidR="00927DBE" w:rsidRPr="0086092C">
        <w:rPr>
          <w:rFonts w:ascii="Arial" w:eastAsiaTheme="minorEastAsia" w:hAnsi="Arial" w:cs="Arial"/>
          <w:iCs/>
          <w:sz w:val="20"/>
          <w:szCs w:val="20"/>
        </w:rPr>
        <w:t>a</w:t>
      </w:r>
      <w:r w:rsidRPr="0086092C">
        <w:rPr>
          <w:rFonts w:ascii="Arial" w:hAnsi="Arial" w:cs="Arial"/>
          <w:sz w:val="20"/>
          <w:szCs w:val="20"/>
        </w:rPr>
        <w:t>re the intercept terms.</w:t>
      </w:r>
    </w:p>
    <w:p w14:paraId="4A6F5618" w14:textId="0B439D3E" w:rsidR="00874675" w:rsidRPr="0086092C" w:rsidRDefault="00874675" w:rsidP="0086092C">
      <w:pPr>
        <w:spacing w:line="240" w:lineRule="auto"/>
        <w:jc w:val="both"/>
        <w:rPr>
          <w:rFonts w:ascii="Arial" w:hAnsi="Arial" w:cs="Arial"/>
          <w:sz w:val="20"/>
          <w:szCs w:val="20"/>
        </w:rPr>
      </w:pPr>
      <w:r w:rsidRPr="0086092C">
        <w:rPr>
          <w:rFonts w:ascii="Arial" w:hAnsi="Arial" w:cs="Arial"/>
          <w:sz w:val="20"/>
          <w:szCs w:val="20"/>
        </w:rPr>
        <w:t xml:space="preserve">- </w:t>
      </w:r>
      <m:oMath>
        <m:sSub>
          <m:sSubPr>
            <m:ctrlPr>
              <w:rPr>
                <w:rFonts w:ascii="Cambria Math" w:hAnsi="Cambria Math" w:cs="Arial"/>
                <w:iCs/>
                <w:sz w:val="20"/>
                <w:szCs w:val="20"/>
              </w:rPr>
            </m:ctrlPr>
          </m:sSubPr>
          <m:e>
            <m:r>
              <m:rPr>
                <m:sty m:val="p"/>
              </m:rPr>
              <w:rPr>
                <w:rFonts w:ascii="Cambria Math" w:hAnsi="Cambria Math" w:cs="Arial"/>
                <w:sz w:val="20"/>
                <w:szCs w:val="20"/>
              </w:rPr>
              <m:t>β</m:t>
            </m:r>
          </m:e>
          <m:sub>
            <m:r>
              <m:rPr>
                <m:nor/>
              </m:rPr>
              <w:rPr>
                <w:rFonts w:ascii="Arial" w:hAnsi="Arial" w:cs="Arial"/>
                <w:iCs/>
                <w:sz w:val="20"/>
                <w:szCs w:val="20"/>
              </w:rPr>
              <m:t>ji </m:t>
            </m:r>
          </m:sub>
        </m:sSub>
      </m:oMath>
      <w:r w:rsidRPr="0086092C">
        <w:rPr>
          <w:rFonts w:ascii="Arial" w:hAnsi="Arial" w:cs="Arial"/>
          <w:sz w:val="20"/>
          <w:szCs w:val="20"/>
        </w:rPr>
        <w:t xml:space="preserve"> are the coefficients for the lagged endogenous variables.</w:t>
      </w:r>
    </w:p>
    <w:p w14:paraId="2C46C17E" w14:textId="28A06830" w:rsidR="00874675" w:rsidRPr="0086092C" w:rsidRDefault="00874675" w:rsidP="0086092C">
      <w:pPr>
        <w:spacing w:line="240" w:lineRule="auto"/>
        <w:jc w:val="both"/>
        <w:rPr>
          <w:rFonts w:ascii="Arial" w:hAnsi="Arial" w:cs="Arial"/>
          <w:sz w:val="20"/>
          <w:szCs w:val="20"/>
        </w:rPr>
      </w:pPr>
      <w:r w:rsidRPr="0086092C">
        <w:rPr>
          <w:rFonts w:ascii="Arial" w:hAnsi="Arial" w:cs="Arial"/>
          <w:sz w:val="20"/>
          <w:szCs w:val="20"/>
        </w:rPr>
        <w:t xml:space="preserve">- </w:t>
      </w:r>
      <m:oMath>
        <m:sSub>
          <m:sSubPr>
            <m:ctrlPr>
              <w:rPr>
                <w:rFonts w:ascii="Cambria Math" w:hAnsi="Cambria Math" w:cs="Arial"/>
                <w:iCs/>
                <w:sz w:val="20"/>
                <w:szCs w:val="20"/>
              </w:rPr>
            </m:ctrlPr>
          </m:sSubPr>
          <m:e>
            <m:r>
              <w:rPr>
                <w:rFonts w:ascii="Cambria Math" w:hAnsi="Cambria Math" w:cs="Arial"/>
                <w:sz w:val="20"/>
                <w:szCs w:val="20"/>
              </w:rPr>
              <m:t>ε</m:t>
            </m:r>
          </m:e>
          <m:sub>
            <m:r>
              <m:rPr>
                <m:nor/>
              </m:rPr>
              <w:rPr>
                <w:rFonts w:ascii="Arial" w:hAnsi="Arial" w:cs="Arial"/>
                <w:iCs/>
                <w:sz w:val="20"/>
                <w:szCs w:val="20"/>
              </w:rPr>
              <m:t>1t </m:t>
            </m:r>
          </m:sub>
        </m:sSub>
      </m:oMath>
      <w:r w:rsidRPr="0086092C">
        <w:rPr>
          <w:rFonts w:ascii="Arial" w:hAnsi="Arial" w:cs="Arial"/>
          <w:sz w:val="20"/>
          <w:szCs w:val="20"/>
        </w:rPr>
        <w:t xml:space="preserve">, </w:t>
      </w:r>
      <m:oMath>
        <m:sSub>
          <m:sSubPr>
            <m:ctrlPr>
              <w:rPr>
                <w:rFonts w:ascii="Cambria Math" w:hAnsi="Cambria Math" w:cs="Arial"/>
                <w:iCs/>
                <w:sz w:val="20"/>
                <w:szCs w:val="20"/>
              </w:rPr>
            </m:ctrlPr>
          </m:sSubPr>
          <m:e>
            <m:r>
              <w:rPr>
                <w:rFonts w:ascii="Cambria Math" w:hAnsi="Cambria Math" w:cs="Arial"/>
                <w:sz w:val="20"/>
                <w:szCs w:val="20"/>
              </w:rPr>
              <m:t>ε</m:t>
            </m:r>
          </m:e>
          <m:sub>
            <m:r>
              <m:rPr>
                <m:nor/>
              </m:rPr>
              <w:rPr>
                <w:rFonts w:ascii="Arial" w:hAnsi="Arial" w:cs="Arial"/>
                <w:iCs/>
                <w:sz w:val="20"/>
                <w:szCs w:val="20"/>
              </w:rPr>
              <m:t>2t </m:t>
            </m:r>
          </m:sub>
        </m:sSub>
        <m:r>
          <w:rPr>
            <w:rFonts w:ascii="Cambria Math" w:hAnsi="Cambria Math" w:cs="Arial"/>
            <w:sz w:val="20"/>
            <w:szCs w:val="20"/>
          </w:rPr>
          <m:t>and</m:t>
        </m:r>
      </m:oMath>
      <w:r w:rsidRPr="0086092C">
        <w:rPr>
          <w:rFonts w:ascii="Arial" w:hAnsi="Arial" w:cs="Arial"/>
          <w:sz w:val="20"/>
          <w:szCs w:val="20"/>
        </w:rPr>
        <w:t xml:space="preserve"> </w:t>
      </w:r>
      <m:oMath>
        <m:sSub>
          <m:sSubPr>
            <m:ctrlPr>
              <w:rPr>
                <w:rFonts w:ascii="Cambria Math" w:hAnsi="Cambria Math" w:cs="Arial"/>
                <w:iCs/>
                <w:sz w:val="20"/>
                <w:szCs w:val="20"/>
              </w:rPr>
            </m:ctrlPr>
          </m:sSubPr>
          <m:e>
            <m:r>
              <w:rPr>
                <w:rFonts w:ascii="Cambria Math" w:hAnsi="Cambria Math" w:cs="Arial"/>
                <w:sz w:val="20"/>
                <w:szCs w:val="20"/>
              </w:rPr>
              <m:t>ε</m:t>
            </m:r>
          </m:e>
          <m:sub>
            <m:r>
              <m:rPr>
                <m:nor/>
              </m:rPr>
              <w:rPr>
                <w:rFonts w:ascii="Arial" w:hAnsi="Arial" w:cs="Arial"/>
                <w:iCs/>
                <w:sz w:val="20"/>
                <w:szCs w:val="20"/>
              </w:rPr>
              <m:t>3t </m:t>
            </m:r>
          </m:sub>
        </m:sSub>
        <m:r>
          <w:rPr>
            <w:rFonts w:ascii="Cambria Math" w:hAnsi="Cambria Math" w:cs="Arial"/>
            <w:sz w:val="20"/>
            <w:szCs w:val="20"/>
          </w:rPr>
          <m:t xml:space="preserve"> </m:t>
        </m:r>
      </m:oMath>
      <w:r w:rsidRPr="0086092C">
        <w:rPr>
          <w:rFonts w:ascii="Arial" w:hAnsi="Arial" w:cs="Arial"/>
          <w:sz w:val="20"/>
          <w:szCs w:val="20"/>
        </w:rPr>
        <w:t>are the error terms for each equation.</w:t>
      </w:r>
    </w:p>
    <w:p w14:paraId="66C0E180" w14:textId="0ED61319" w:rsidR="009A6CF1" w:rsidRPr="0086092C" w:rsidRDefault="009A6CF1" w:rsidP="0086092C">
      <w:pPr>
        <w:spacing w:line="240" w:lineRule="auto"/>
        <w:jc w:val="both"/>
        <w:rPr>
          <w:rFonts w:ascii="Arial" w:hAnsi="Arial" w:cs="Arial"/>
          <w:sz w:val="20"/>
          <w:szCs w:val="20"/>
        </w:rPr>
      </w:pPr>
      <w:r w:rsidRPr="0086092C">
        <w:rPr>
          <w:rFonts w:ascii="Arial" w:hAnsi="Arial" w:cs="Arial"/>
          <w:sz w:val="20"/>
          <w:szCs w:val="20"/>
        </w:rPr>
        <w:t>The estimation of the VAR model involves several steps:</w:t>
      </w:r>
    </w:p>
    <w:p w14:paraId="27F60814" w14:textId="77777777" w:rsidR="00DB444F" w:rsidRPr="0086092C" w:rsidRDefault="00DB444F" w:rsidP="0086092C">
      <w:pPr>
        <w:spacing w:line="240" w:lineRule="auto"/>
        <w:jc w:val="both"/>
        <w:rPr>
          <w:rFonts w:ascii="Arial" w:hAnsi="Arial" w:cs="Arial"/>
          <w:sz w:val="20"/>
          <w:szCs w:val="20"/>
        </w:rPr>
      </w:pPr>
      <w:r w:rsidRPr="0086092C">
        <w:rPr>
          <w:rFonts w:ascii="Arial" w:hAnsi="Arial" w:cs="Arial"/>
          <w:sz w:val="20"/>
          <w:szCs w:val="20"/>
        </w:rPr>
        <w:t>Checking for Stationarity: It is crucial to ensure that all variables in the VAR model are stationary. If any variable is found to be non-stationary, it must be differenced to achieve stationarity before being included in the VAR model.</w:t>
      </w:r>
    </w:p>
    <w:p w14:paraId="2DA1FC6E" w14:textId="64B9A68A" w:rsidR="009A6CF1" w:rsidRPr="0086092C" w:rsidRDefault="009A6CF1" w:rsidP="0086092C">
      <w:pPr>
        <w:spacing w:line="240" w:lineRule="auto"/>
        <w:jc w:val="both"/>
        <w:rPr>
          <w:rFonts w:ascii="Arial" w:hAnsi="Arial" w:cs="Arial"/>
          <w:sz w:val="20"/>
          <w:szCs w:val="20"/>
        </w:rPr>
      </w:pPr>
      <w:r w:rsidRPr="0086092C">
        <w:rPr>
          <w:rFonts w:ascii="Arial" w:hAnsi="Arial" w:cs="Arial"/>
          <w:sz w:val="20"/>
          <w:szCs w:val="20"/>
        </w:rPr>
        <w:t xml:space="preserve">Model Specification: We </w:t>
      </w:r>
      <w:r w:rsidR="00DB444F" w:rsidRPr="0086092C">
        <w:rPr>
          <w:rFonts w:ascii="Arial" w:hAnsi="Arial" w:cs="Arial"/>
          <w:sz w:val="20"/>
          <w:szCs w:val="20"/>
        </w:rPr>
        <w:t>proceed</w:t>
      </w:r>
      <w:r w:rsidRPr="0086092C">
        <w:rPr>
          <w:rFonts w:ascii="Arial" w:hAnsi="Arial" w:cs="Arial"/>
          <w:sz w:val="20"/>
          <w:szCs w:val="20"/>
        </w:rPr>
        <w:t xml:space="preserve"> by determining the appropriate number of lags (p) to include in the model. This is typically done using information criteria such as the Akaike Information Criterion (AIC) or the Bayesian Information Criterion (BIC).</w:t>
      </w:r>
    </w:p>
    <w:p w14:paraId="3A5DC4BA" w14:textId="5ECFD058" w:rsidR="009A6CF1" w:rsidRPr="0086092C" w:rsidRDefault="009A6CF1" w:rsidP="0086092C">
      <w:pPr>
        <w:spacing w:line="240" w:lineRule="auto"/>
        <w:jc w:val="both"/>
        <w:rPr>
          <w:rFonts w:ascii="Arial" w:hAnsi="Arial" w:cs="Arial"/>
          <w:sz w:val="20"/>
          <w:szCs w:val="20"/>
        </w:rPr>
      </w:pPr>
      <w:r w:rsidRPr="0086092C">
        <w:rPr>
          <w:rFonts w:ascii="Arial" w:hAnsi="Arial" w:cs="Arial"/>
          <w:sz w:val="20"/>
          <w:szCs w:val="20"/>
        </w:rPr>
        <w:lastRenderedPageBreak/>
        <w:t>Estimation: Once the lag order is selected, the VAR model is estimated using Ordinary Least Squares (OLS) for each equation in the system. The OLS estimations yield the</w:t>
      </w:r>
      <w:r w:rsidR="006F0073" w:rsidRPr="0086092C">
        <w:rPr>
          <w:rFonts w:ascii="Arial" w:hAnsi="Arial" w:cs="Arial"/>
          <w:sz w:val="20"/>
          <w:szCs w:val="20"/>
        </w:rPr>
        <w:t xml:space="preserve"> coefficients </w:t>
      </w:r>
      <m:oMath>
        <m:sSub>
          <m:sSubPr>
            <m:ctrlPr>
              <w:rPr>
                <w:rFonts w:ascii="Cambria Math" w:hAnsi="Cambria Math" w:cs="Arial"/>
                <w:sz w:val="20"/>
                <w:szCs w:val="20"/>
              </w:rPr>
            </m:ctrlPr>
          </m:sSubPr>
          <m:e>
            <m:r>
              <w:rPr>
                <w:rFonts w:ascii="Cambria Math" w:hAnsi="Cambria Math" w:cs="Arial"/>
                <w:sz w:val="20"/>
                <w:szCs w:val="20"/>
              </w:rPr>
              <m:t>A</m:t>
            </m:r>
          </m:e>
          <m:sub>
            <m:r>
              <w:rPr>
                <w:rFonts w:ascii="Cambria Math" w:hAnsi="Cambria Math" w:cs="Arial"/>
                <w:sz w:val="20"/>
                <w:szCs w:val="20"/>
              </w:rPr>
              <m:t>1 </m:t>
            </m:r>
          </m:sub>
        </m:sSub>
        <m:r>
          <w:rPr>
            <w:rFonts w:ascii="Cambria Math" w:hAnsi="Cambria Math" w:cs="Arial"/>
            <w:sz w:val="20"/>
            <w:szCs w:val="20"/>
          </w:rPr>
          <m:t xml:space="preserve">… </m:t>
        </m:r>
        <m:sSub>
          <m:sSubPr>
            <m:ctrlPr>
              <w:rPr>
                <w:rFonts w:ascii="Cambria Math" w:hAnsi="Cambria Math" w:cs="Arial"/>
                <w:sz w:val="20"/>
                <w:szCs w:val="20"/>
              </w:rPr>
            </m:ctrlPr>
          </m:sSubPr>
          <m:e>
            <m:r>
              <w:rPr>
                <w:rFonts w:ascii="Cambria Math" w:hAnsi="Cambria Math" w:cs="Arial"/>
                <w:sz w:val="20"/>
                <w:szCs w:val="20"/>
              </w:rPr>
              <m:t>A</m:t>
            </m:r>
          </m:e>
          <m:sub>
            <m:r>
              <w:rPr>
                <w:rFonts w:ascii="Cambria Math" w:hAnsi="Cambria Math" w:cs="Arial"/>
                <w:sz w:val="20"/>
                <w:szCs w:val="20"/>
              </w:rPr>
              <m:t>p </m:t>
            </m:r>
          </m:sub>
        </m:sSub>
      </m:oMath>
      <w:r w:rsidRPr="0086092C">
        <w:rPr>
          <w:rFonts w:ascii="Arial" w:hAnsi="Arial" w:cs="Arial"/>
          <w:sz w:val="20"/>
          <w:szCs w:val="20"/>
        </w:rPr>
        <w:t xml:space="preserve"> which capture the dynamic relationships </w:t>
      </w:r>
      <w:r w:rsidR="0070316D" w:rsidRPr="0086092C">
        <w:rPr>
          <w:rFonts w:ascii="Arial" w:hAnsi="Arial" w:cs="Arial"/>
          <w:sz w:val="20"/>
          <w:szCs w:val="20"/>
        </w:rPr>
        <w:t>among</w:t>
      </w:r>
      <w:r w:rsidRPr="0086092C">
        <w:rPr>
          <w:rFonts w:ascii="Arial" w:hAnsi="Arial" w:cs="Arial"/>
          <w:sz w:val="20"/>
          <w:szCs w:val="20"/>
        </w:rPr>
        <w:t xml:space="preserve"> the variables.</w:t>
      </w:r>
    </w:p>
    <w:p w14:paraId="4F79B241" w14:textId="15128580" w:rsidR="009A6CF1" w:rsidRPr="0086092C" w:rsidRDefault="009A6CF1" w:rsidP="0086092C">
      <w:pPr>
        <w:spacing w:line="240" w:lineRule="auto"/>
        <w:jc w:val="both"/>
        <w:rPr>
          <w:rFonts w:ascii="Arial" w:hAnsi="Arial" w:cs="Arial"/>
          <w:sz w:val="20"/>
          <w:szCs w:val="20"/>
        </w:rPr>
      </w:pPr>
      <w:r w:rsidRPr="0086092C">
        <w:rPr>
          <w:rFonts w:ascii="Arial" w:hAnsi="Arial" w:cs="Arial"/>
          <w:sz w:val="20"/>
          <w:szCs w:val="20"/>
        </w:rPr>
        <w:t>Impulse Response Function (IRF): After estimating the VAR model, we analyze the impulse response functions, which describe how each variable responds over time to a shock in one of the error terms. This is particularly useful for understanding the effects of regulatory and legal changes on banking stability.</w:t>
      </w:r>
    </w:p>
    <w:p w14:paraId="0AB83DEF" w14:textId="0D19CA6D" w:rsidR="009A6CF1" w:rsidRPr="0086092C" w:rsidRDefault="009A6CF1" w:rsidP="0086092C">
      <w:pPr>
        <w:spacing w:line="240" w:lineRule="auto"/>
        <w:jc w:val="both"/>
        <w:rPr>
          <w:rFonts w:ascii="Arial" w:hAnsi="Arial" w:cs="Arial"/>
          <w:sz w:val="20"/>
          <w:szCs w:val="20"/>
        </w:rPr>
      </w:pPr>
      <w:r w:rsidRPr="0086092C">
        <w:rPr>
          <w:rFonts w:ascii="Arial" w:hAnsi="Arial" w:cs="Arial"/>
          <w:sz w:val="20"/>
          <w:szCs w:val="20"/>
        </w:rPr>
        <w:t>Variance Decomposition: Variance decomposition provides information about the proportion of the movements in dependent variables that are due to their "own" shocks, versus shocks to other variables.</w:t>
      </w:r>
    </w:p>
    <w:p w14:paraId="592CB6E4" w14:textId="5524C7B5" w:rsidR="009A6CF1" w:rsidRPr="0086092C" w:rsidRDefault="009A6CF1" w:rsidP="0086092C">
      <w:pPr>
        <w:spacing w:line="240" w:lineRule="auto"/>
        <w:jc w:val="both"/>
        <w:rPr>
          <w:rFonts w:ascii="Arial" w:hAnsi="Arial" w:cs="Arial"/>
          <w:sz w:val="20"/>
          <w:szCs w:val="20"/>
        </w:rPr>
      </w:pPr>
      <w:r w:rsidRPr="0086092C">
        <w:rPr>
          <w:rFonts w:ascii="Arial" w:hAnsi="Arial" w:cs="Arial"/>
          <w:sz w:val="20"/>
          <w:szCs w:val="20"/>
        </w:rPr>
        <w:t xml:space="preserve">The VAR model's strength lies in its ability to capture the joint dynamics of multiple time series and to provide insights into the complex interactions among them. By employing this model, we can better understand the intricate web of relationships that govern the stability of the banking sector in </w:t>
      </w:r>
      <w:r w:rsidR="00066E1F" w:rsidRPr="0086092C">
        <w:rPr>
          <w:rFonts w:ascii="Arial" w:hAnsi="Arial" w:cs="Arial"/>
          <w:sz w:val="20"/>
          <w:szCs w:val="20"/>
        </w:rPr>
        <w:t>Chad</w:t>
      </w:r>
      <w:r w:rsidRPr="0086092C">
        <w:rPr>
          <w:rFonts w:ascii="Arial" w:hAnsi="Arial" w:cs="Arial"/>
          <w:sz w:val="20"/>
          <w:szCs w:val="20"/>
        </w:rPr>
        <w:t>.</w:t>
      </w:r>
    </w:p>
    <w:p w14:paraId="33C8175F" w14:textId="4FF5301A" w:rsidR="00B06FAF" w:rsidRPr="006A0151" w:rsidRDefault="00B06FAF" w:rsidP="0086092C">
      <w:pPr>
        <w:spacing w:line="240" w:lineRule="auto"/>
        <w:jc w:val="both"/>
        <w:rPr>
          <w:rFonts w:ascii="Arial" w:hAnsi="Arial" w:cs="Arial"/>
          <w:b/>
          <w:bCs/>
        </w:rPr>
      </w:pPr>
      <w:r w:rsidRPr="006A0151">
        <w:rPr>
          <w:rFonts w:ascii="Arial" w:hAnsi="Arial" w:cs="Arial"/>
          <w:b/>
          <w:bCs/>
        </w:rPr>
        <w:t>4. RESULTS AND DISCUSSION</w:t>
      </w:r>
    </w:p>
    <w:p w14:paraId="574446F9" w14:textId="6F30876B" w:rsidR="009F4BEE" w:rsidRPr="006A0151" w:rsidRDefault="00212A7C" w:rsidP="0086092C">
      <w:pPr>
        <w:spacing w:line="240" w:lineRule="auto"/>
        <w:jc w:val="both"/>
        <w:rPr>
          <w:rFonts w:ascii="Arial" w:hAnsi="Arial" w:cs="Arial"/>
          <w:b/>
          <w:bCs/>
        </w:rPr>
      </w:pPr>
      <w:r w:rsidRPr="006A0151">
        <w:rPr>
          <w:rFonts w:ascii="Arial" w:hAnsi="Arial" w:cs="Arial"/>
          <w:b/>
          <w:bCs/>
        </w:rPr>
        <w:t xml:space="preserve">4.1. Descriptive Statistics </w:t>
      </w:r>
    </w:p>
    <w:p w14:paraId="162F5DC4" w14:textId="686BA6A6" w:rsidR="009F4BEE" w:rsidRPr="0086092C" w:rsidRDefault="00956ED7" w:rsidP="0086092C">
      <w:pPr>
        <w:spacing w:line="240" w:lineRule="auto"/>
        <w:jc w:val="both"/>
        <w:rPr>
          <w:rFonts w:ascii="Arial" w:hAnsi="Arial" w:cs="Arial"/>
          <w:sz w:val="20"/>
          <w:szCs w:val="20"/>
        </w:rPr>
      </w:pPr>
      <w:r w:rsidRPr="0086092C">
        <w:rPr>
          <w:rFonts w:ascii="Arial" w:hAnsi="Arial" w:cs="Arial"/>
          <w:sz w:val="20"/>
          <w:szCs w:val="20"/>
        </w:rPr>
        <w:t>Table 2 offers an overview of the variable attributes through descriptive statistical measures. The data reveals that the mean ratio of non-performing loan</w:t>
      </w:r>
      <w:r w:rsidR="00CE700D" w:rsidRPr="0086092C">
        <w:rPr>
          <w:rFonts w:ascii="Arial" w:hAnsi="Arial" w:cs="Arial"/>
          <w:sz w:val="20"/>
          <w:szCs w:val="20"/>
        </w:rPr>
        <w:t xml:space="preserve"> ratio</w:t>
      </w:r>
      <w:r w:rsidRPr="0086092C">
        <w:rPr>
          <w:rFonts w:ascii="Arial" w:hAnsi="Arial" w:cs="Arial"/>
          <w:sz w:val="20"/>
          <w:szCs w:val="20"/>
        </w:rPr>
        <w:t xml:space="preserve"> stands at </w:t>
      </w:r>
      <w:r w:rsidR="00BE7881" w:rsidRPr="0086092C">
        <w:rPr>
          <w:rFonts w:ascii="Arial" w:hAnsi="Arial" w:cs="Arial"/>
          <w:sz w:val="20"/>
          <w:szCs w:val="20"/>
        </w:rPr>
        <w:t>17.31%</w:t>
      </w:r>
      <w:r w:rsidRPr="0086092C">
        <w:rPr>
          <w:rFonts w:ascii="Arial" w:hAnsi="Arial" w:cs="Arial"/>
          <w:sz w:val="20"/>
          <w:szCs w:val="20"/>
        </w:rPr>
        <w:t>, accompanied by a significant variability as evidenced by a standard deviation of 7.862. Regarding regulatory quality, the average score is -1.106 with minimal fluctuations in the dataset, as suggested by a standard deviation of 0.0893. Concerning the rule of law, the mean score recorded is -1.398 with a moderate range of dispersion shown by a standard deviation of 0.1368. Together, these statistical figures offer a crucial quantitative overview of the dataset, laying groundwork for further anal</w:t>
      </w:r>
      <w:r w:rsidR="00BE7881" w:rsidRPr="0086092C">
        <w:rPr>
          <w:rFonts w:ascii="Arial" w:hAnsi="Arial" w:cs="Arial"/>
          <w:sz w:val="20"/>
          <w:szCs w:val="20"/>
        </w:rPr>
        <w:t xml:space="preserve">ytical inference. </w:t>
      </w:r>
      <w:r w:rsidRPr="0086092C">
        <w:rPr>
          <w:rFonts w:ascii="Arial" w:hAnsi="Arial" w:cs="Arial"/>
          <w:sz w:val="20"/>
          <w:szCs w:val="20"/>
        </w:rPr>
        <w:t xml:space="preserve">   </w:t>
      </w:r>
    </w:p>
    <w:p w14:paraId="35D8F7D4" w14:textId="7163A149" w:rsidR="009F4BEE" w:rsidRPr="0086092C" w:rsidRDefault="009F4BEE" w:rsidP="0086092C">
      <w:pPr>
        <w:spacing w:line="240" w:lineRule="auto"/>
        <w:jc w:val="center"/>
        <w:rPr>
          <w:rFonts w:ascii="Arial" w:hAnsi="Arial" w:cs="Arial"/>
          <w:i/>
          <w:iCs/>
          <w:sz w:val="20"/>
          <w:szCs w:val="20"/>
        </w:rPr>
      </w:pPr>
      <w:r w:rsidRPr="0086092C">
        <w:rPr>
          <w:rFonts w:ascii="Arial" w:hAnsi="Arial" w:cs="Arial"/>
          <w:i/>
          <w:iCs/>
          <w:sz w:val="20"/>
          <w:szCs w:val="20"/>
        </w:rPr>
        <w:t>Table 2: Descriptive Summary</w:t>
      </w:r>
    </w:p>
    <w:tbl>
      <w:tblPr>
        <w:tblStyle w:val="TableGrid"/>
        <w:tblW w:w="0" w:type="auto"/>
        <w:tblLook w:val="04A0" w:firstRow="1" w:lastRow="0" w:firstColumn="1" w:lastColumn="0" w:noHBand="0" w:noVBand="1"/>
      </w:tblPr>
      <w:tblGrid>
        <w:gridCol w:w="1596"/>
        <w:gridCol w:w="1032"/>
        <w:gridCol w:w="1620"/>
        <w:gridCol w:w="1620"/>
        <w:gridCol w:w="1530"/>
        <w:gridCol w:w="1440"/>
      </w:tblGrid>
      <w:tr w:rsidR="00C36917" w:rsidRPr="0086092C" w14:paraId="72787EE4" w14:textId="77777777" w:rsidTr="006F700C">
        <w:tc>
          <w:tcPr>
            <w:tcW w:w="1596" w:type="dxa"/>
            <w:tcBorders>
              <w:left w:val="nil"/>
              <w:bottom w:val="single" w:sz="12" w:space="0" w:color="auto"/>
              <w:right w:val="nil"/>
            </w:tcBorders>
          </w:tcPr>
          <w:p w14:paraId="6D9474DA" w14:textId="19349E06" w:rsidR="00C36917" w:rsidRPr="0086092C" w:rsidRDefault="00C36917" w:rsidP="0086092C">
            <w:pPr>
              <w:jc w:val="center"/>
              <w:rPr>
                <w:rFonts w:ascii="Arial" w:hAnsi="Arial" w:cs="Arial"/>
                <w:b/>
                <w:bCs/>
                <w:sz w:val="20"/>
                <w:szCs w:val="20"/>
              </w:rPr>
            </w:pPr>
            <w:r w:rsidRPr="0086092C">
              <w:rPr>
                <w:rFonts w:ascii="Arial" w:hAnsi="Arial" w:cs="Arial"/>
                <w:b/>
                <w:bCs/>
                <w:sz w:val="20"/>
                <w:szCs w:val="20"/>
              </w:rPr>
              <w:t>Variable</w:t>
            </w:r>
          </w:p>
        </w:tc>
        <w:tc>
          <w:tcPr>
            <w:tcW w:w="1032" w:type="dxa"/>
            <w:tcBorders>
              <w:left w:val="nil"/>
              <w:bottom w:val="single" w:sz="12" w:space="0" w:color="auto"/>
              <w:right w:val="nil"/>
            </w:tcBorders>
          </w:tcPr>
          <w:p w14:paraId="7353BFE2" w14:textId="1B67A36A" w:rsidR="00C36917" w:rsidRPr="0086092C" w:rsidRDefault="00C36917" w:rsidP="0086092C">
            <w:pPr>
              <w:jc w:val="center"/>
              <w:rPr>
                <w:rFonts w:ascii="Arial" w:hAnsi="Arial" w:cs="Arial"/>
                <w:b/>
                <w:bCs/>
                <w:sz w:val="20"/>
                <w:szCs w:val="20"/>
              </w:rPr>
            </w:pPr>
            <w:proofErr w:type="spellStart"/>
            <w:r w:rsidRPr="0086092C">
              <w:rPr>
                <w:rFonts w:ascii="Arial" w:hAnsi="Arial" w:cs="Arial"/>
                <w:b/>
                <w:bCs/>
                <w:sz w:val="20"/>
                <w:szCs w:val="20"/>
              </w:rPr>
              <w:t>Obs</w:t>
            </w:r>
            <w:proofErr w:type="spellEnd"/>
          </w:p>
        </w:tc>
        <w:tc>
          <w:tcPr>
            <w:tcW w:w="1620" w:type="dxa"/>
            <w:tcBorders>
              <w:left w:val="nil"/>
              <w:bottom w:val="single" w:sz="12" w:space="0" w:color="auto"/>
              <w:right w:val="nil"/>
            </w:tcBorders>
          </w:tcPr>
          <w:p w14:paraId="6EF5487F" w14:textId="2DF3FED0" w:rsidR="00C36917" w:rsidRPr="0086092C" w:rsidRDefault="00C36917" w:rsidP="0086092C">
            <w:pPr>
              <w:jc w:val="center"/>
              <w:rPr>
                <w:rFonts w:ascii="Arial" w:hAnsi="Arial" w:cs="Arial"/>
                <w:b/>
                <w:bCs/>
                <w:sz w:val="20"/>
                <w:szCs w:val="20"/>
              </w:rPr>
            </w:pPr>
            <w:r w:rsidRPr="0086092C">
              <w:rPr>
                <w:rFonts w:ascii="Arial" w:hAnsi="Arial" w:cs="Arial"/>
                <w:b/>
                <w:bCs/>
                <w:sz w:val="20"/>
                <w:szCs w:val="20"/>
              </w:rPr>
              <w:t>Mean</w:t>
            </w:r>
          </w:p>
        </w:tc>
        <w:tc>
          <w:tcPr>
            <w:tcW w:w="1620" w:type="dxa"/>
            <w:tcBorders>
              <w:left w:val="nil"/>
              <w:bottom w:val="single" w:sz="12" w:space="0" w:color="auto"/>
              <w:right w:val="nil"/>
            </w:tcBorders>
          </w:tcPr>
          <w:p w14:paraId="52EB12AB" w14:textId="25708BDE" w:rsidR="00C36917" w:rsidRPr="0086092C" w:rsidRDefault="00C36917" w:rsidP="0086092C">
            <w:pPr>
              <w:jc w:val="center"/>
              <w:rPr>
                <w:rFonts w:ascii="Arial" w:hAnsi="Arial" w:cs="Arial"/>
                <w:b/>
                <w:bCs/>
                <w:sz w:val="20"/>
                <w:szCs w:val="20"/>
              </w:rPr>
            </w:pPr>
            <w:r w:rsidRPr="0086092C">
              <w:rPr>
                <w:rFonts w:ascii="Arial" w:hAnsi="Arial" w:cs="Arial"/>
                <w:b/>
                <w:bCs/>
                <w:sz w:val="20"/>
                <w:szCs w:val="20"/>
              </w:rPr>
              <w:t>Std. Dev.</w:t>
            </w:r>
          </w:p>
        </w:tc>
        <w:tc>
          <w:tcPr>
            <w:tcW w:w="1530" w:type="dxa"/>
            <w:tcBorders>
              <w:left w:val="nil"/>
              <w:bottom w:val="single" w:sz="12" w:space="0" w:color="auto"/>
              <w:right w:val="nil"/>
            </w:tcBorders>
          </w:tcPr>
          <w:p w14:paraId="1F37FE91" w14:textId="3E7CACA9" w:rsidR="00C36917" w:rsidRPr="0086092C" w:rsidRDefault="00C36917" w:rsidP="0086092C">
            <w:pPr>
              <w:jc w:val="center"/>
              <w:rPr>
                <w:rFonts w:ascii="Arial" w:hAnsi="Arial" w:cs="Arial"/>
                <w:b/>
                <w:bCs/>
                <w:sz w:val="20"/>
                <w:szCs w:val="20"/>
              </w:rPr>
            </w:pPr>
            <w:r w:rsidRPr="0086092C">
              <w:rPr>
                <w:rFonts w:ascii="Arial" w:hAnsi="Arial" w:cs="Arial"/>
                <w:b/>
                <w:bCs/>
                <w:sz w:val="20"/>
                <w:szCs w:val="20"/>
              </w:rPr>
              <w:t>Min</w:t>
            </w:r>
          </w:p>
        </w:tc>
        <w:tc>
          <w:tcPr>
            <w:tcW w:w="1440" w:type="dxa"/>
            <w:tcBorders>
              <w:left w:val="nil"/>
              <w:bottom w:val="single" w:sz="12" w:space="0" w:color="auto"/>
              <w:right w:val="nil"/>
            </w:tcBorders>
          </w:tcPr>
          <w:p w14:paraId="422DCF5A" w14:textId="2CA589A1" w:rsidR="00C36917" w:rsidRPr="0086092C" w:rsidRDefault="00C36917" w:rsidP="0086092C">
            <w:pPr>
              <w:jc w:val="center"/>
              <w:rPr>
                <w:rFonts w:ascii="Arial" w:hAnsi="Arial" w:cs="Arial"/>
                <w:b/>
                <w:bCs/>
                <w:sz w:val="20"/>
                <w:szCs w:val="20"/>
              </w:rPr>
            </w:pPr>
            <w:r w:rsidRPr="0086092C">
              <w:rPr>
                <w:rFonts w:ascii="Arial" w:hAnsi="Arial" w:cs="Arial"/>
                <w:b/>
                <w:bCs/>
                <w:sz w:val="20"/>
                <w:szCs w:val="20"/>
              </w:rPr>
              <w:t>Max</w:t>
            </w:r>
          </w:p>
        </w:tc>
      </w:tr>
      <w:tr w:rsidR="00C36917" w:rsidRPr="0086092C" w14:paraId="0312D1A4" w14:textId="77777777" w:rsidTr="006F700C">
        <w:tc>
          <w:tcPr>
            <w:tcW w:w="1596" w:type="dxa"/>
            <w:tcBorders>
              <w:top w:val="single" w:sz="12" w:space="0" w:color="auto"/>
              <w:left w:val="nil"/>
              <w:bottom w:val="nil"/>
              <w:right w:val="nil"/>
            </w:tcBorders>
          </w:tcPr>
          <w:p w14:paraId="13A8F0CF" w14:textId="53C36708" w:rsidR="00C36917" w:rsidRPr="0086092C" w:rsidRDefault="00C36917" w:rsidP="0086092C">
            <w:pPr>
              <w:jc w:val="center"/>
              <w:rPr>
                <w:rFonts w:ascii="Arial" w:hAnsi="Arial" w:cs="Arial"/>
                <w:sz w:val="20"/>
                <w:szCs w:val="20"/>
              </w:rPr>
            </w:pPr>
            <w:r w:rsidRPr="0086092C">
              <w:rPr>
                <w:rFonts w:ascii="Arial" w:hAnsi="Arial" w:cs="Arial"/>
                <w:sz w:val="20"/>
                <w:szCs w:val="20"/>
              </w:rPr>
              <w:t>NPLR</w:t>
            </w:r>
          </w:p>
        </w:tc>
        <w:tc>
          <w:tcPr>
            <w:tcW w:w="1032" w:type="dxa"/>
            <w:tcBorders>
              <w:top w:val="single" w:sz="12" w:space="0" w:color="auto"/>
              <w:left w:val="nil"/>
              <w:bottom w:val="nil"/>
              <w:right w:val="nil"/>
            </w:tcBorders>
          </w:tcPr>
          <w:p w14:paraId="532AF1F7" w14:textId="56BC38FA" w:rsidR="00C36917" w:rsidRPr="0086092C" w:rsidRDefault="00C36917" w:rsidP="0086092C">
            <w:pPr>
              <w:jc w:val="center"/>
              <w:rPr>
                <w:rFonts w:ascii="Arial" w:hAnsi="Arial" w:cs="Arial"/>
                <w:sz w:val="20"/>
                <w:szCs w:val="20"/>
              </w:rPr>
            </w:pPr>
            <w:r w:rsidRPr="0086092C">
              <w:rPr>
                <w:rFonts w:ascii="Arial" w:hAnsi="Arial" w:cs="Arial"/>
                <w:sz w:val="20"/>
                <w:szCs w:val="20"/>
              </w:rPr>
              <w:t>21</w:t>
            </w:r>
          </w:p>
        </w:tc>
        <w:tc>
          <w:tcPr>
            <w:tcW w:w="1620" w:type="dxa"/>
            <w:tcBorders>
              <w:top w:val="single" w:sz="12" w:space="0" w:color="auto"/>
              <w:left w:val="nil"/>
              <w:bottom w:val="nil"/>
              <w:right w:val="nil"/>
            </w:tcBorders>
          </w:tcPr>
          <w:p w14:paraId="3191767C" w14:textId="69B28BF4" w:rsidR="00C36917" w:rsidRPr="0086092C" w:rsidRDefault="00C36917" w:rsidP="0086092C">
            <w:pPr>
              <w:jc w:val="center"/>
              <w:rPr>
                <w:rFonts w:ascii="Arial" w:hAnsi="Arial" w:cs="Arial"/>
                <w:sz w:val="20"/>
                <w:szCs w:val="20"/>
              </w:rPr>
            </w:pPr>
            <w:r w:rsidRPr="0086092C">
              <w:rPr>
                <w:rFonts w:ascii="Arial" w:hAnsi="Arial" w:cs="Arial"/>
                <w:sz w:val="20"/>
                <w:szCs w:val="20"/>
              </w:rPr>
              <w:t>17.3105</w:t>
            </w:r>
          </w:p>
        </w:tc>
        <w:tc>
          <w:tcPr>
            <w:tcW w:w="1620" w:type="dxa"/>
            <w:tcBorders>
              <w:top w:val="single" w:sz="12" w:space="0" w:color="auto"/>
              <w:left w:val="nil"/>
              <w:bottom w:val="nil"/>
              <w:right w:val="nil"/>
            </w:tcBorders>
          </w:tcPr>
          <w:p w14:paraId="347B4026" w14:textId="01AFF459" w:rsidR="00C36917" w:rsidRPr="0086092C" w:rsidRDefault="00C36917" w:rsidP="0086092C">
            <w:pPr>
              <w:jc w:val="center"/>
              <w:rPr>
                <w:rFonts w:ascii="Arial" w:hAnsi="Arial" w:cs="Arial"/>
                <w:sz w:val="20"/>
                <w:szCs w:val="20"/>
              </w:rPr>
            </w:pPr>
            <w:r w:rsidRPr="0086092C">
              <w:rPr>
                <w:rFonts w:ascii="Arial" w:hAnsi="Arial" w:cs="Arial"/>
                <w:sz w:val="20"/>
                <w:szCs w:val="20"/>
              </w:rPr>
              <w:t>7.862689</w:t>
            </w:r>
          </w:p>
        </w:tc>
        <w:tc>
          <w:tcPr>
            <w:tcW w:w="1530" w:type="dxa"/>
            <w:tcBorders>
              <w:top w:val="single" w:sz="12" w:space="0" w:color="auto"/>
              <w:left w:val="nil"/>
              <w:bottom w:val="nil"/>
              <w:right w:val="nil"/>
            </w:tcBorders>
          </w:tcPr>
          <w:p w14:paraId="7758C81E" w14:textId="563DB29A" w:rsidR="00C36917" w:rsidRPr="0086092C" w:rsidRDefault="00C36917" w:rsidP="0086092C">
            <w:pPr>
              <w:jc w:val="center"/>
              <w:rPr>
                <w:rFonts w:ascii="Arial" w:hAnsi="Arial" w:cs="Arial"/>
                <w:sz w:val="20"/>
                <w:szCs w:val="20"/>
              </w:rPr>
            </w:pPr>
            <w:r w:rsidRPr="0086092C">
              <w:rPr>
                <w:rFonts w:ascii="Arial" w:hAnsi="Arial" w:cs="Arial"/>
                <w:sz w:val="20"/>
                <w:szCs w:val="20"/>
              </w:rPr>
              <w:t>7.373928</w:t>
            </w:r>
          </w:p>
        </w:tc>
        <w:tc>
          <w:tcPr>
            <w:tcW w:w="1440" w:type="dxa"/>
            <w:tcBorders>
              <w:top w:val="single" w:sz="12" w:space="0" w:color="auto"/>
              <w:left w:val="nil"/>
              <w:bottom w:val="nil"/>
              <w:right w:val="nil"/>
            </w:tcBorders>
          </w:tcPr>
          <w:p w14:paraId="240230B2" w14:textId="457608AB" w:rsidR="00C36917" w:rsidRPr="0086092C" w:rsidRDefault="00C36917" w:rsidP="0086092C">
            <w:pPr>
              <w:jc w:val="center"/>
              <w:rPr>
                <w:rFonts w:ascii="Arial" w:hAnsi="Arial" w:cs="Arial"/>
                <w:sz w:val="20"/>
                <w:szCs w:val="20"/>
              </w:rPr>
            </w:pPr>
            <w:r w:rsidRPr="0086092C">
              <w:rPr>
                <w:rFonts w:ascii="Arial" w:hAnsi="Arial" w:cs="Arial"/>
                <w:sz w:val="20"/>
                <w:szCs w:val="20"/>
              </w:rPr>
              <w:t>31.01346</w:t>
            </w:r>
          </w:p>
        </w:tc>
      </w:tr>
      <w:tr w:rsidR="00C36917" w:rsidRPr="0086092C" w14:paraId="3CC16C1B" w14:textId="77777777" w:rsidTr="00C36917">
        <w:tc>
          <w:tcPr>
            <w:tcW w:w="1596" w:type="dxa"/>
            <w:tcBorders>
              <w:top w:val="nil"/>
              <w:left w:val="nil"/>
              <w:bottom w:val="nil"/>
              <w:right w:val="nil"/>
            </w:tcBorders>
          </w:tcPr>
          <w:p w14:paraId="0401442B" w14:textId="58B955F1" w:rsidR="00C36917" w:rsidRPr="0086092C" w:rsidRDefault="00C36917" w:rsidP="0086092C">
            <w:pPr>
              <w:jc w:val="center"/>
              <w:rPr>
                <w:rFonts w:ascii="Arial" w:hAnsi="Arial" w:cs="Arial"/>
                <w:sz w:val="20"/>
                <w:szCs w:val="20"/>
              </w:rPr>
            </w:pPr>
            <w:r w:rsidRPr="0086092C">
              <w:rPr>
                <w:rFonts w:ascii="Arial" w:hAnsi="Arial" w:cs="Arial"/>
                <w:sz w:val="20"/>
                <w:szCs w:val="20"/>
              </w:rPr>
              <w:t>RQ</w:t>
            </w:r>
          </w:p>
        </w:tc>
        <w:tc>
          <w:tcPr>
            <w:tcW w:w="1032" w:type="dxa"/>
            <w:tcBorders>
              <w:top w:val="nil"/>
              <w:left w:val="nil"/>
              <w:bottom w:val="nil"/>
              <w:right w:val="nil"/>
            </w:tcBorders>
          </w:tcPr>
          <w:p w14:paraId="3FA0D2F5" w14:textId="34036613" w:rsidR="00C36917" w:rsidRPr="0086092C" w:rsidRDefault="00C36917" w:rsidP="0086092C">
            <w:pPr>
              <w:jc w:val="center"/>
              <w:rPr>
                <w:rFonts w:ascii="Arial" w:hAnsi="Arial" w:cs="Arial"/>
                <w:sz w:val="20"/>
                <w:szCs w:val="20"/>
              </w:rPr>
            </w:pPr>
            <w:r w:rsidRPr="0086092C">
              <w:rPr>
                <w:rFonts w:ascii="Arial" w:hAnsi="Arial" w:cs="Arial"/>
                <w:sz w:val="20"/>
                <w:szCs w:val="20"/>
              </w:rPr>
              <w:t>21</w:t>
            </w:r>
          </w:p>
        </w:tc>
        <w:tc>
          <w:tcPr>
            <w:tcW w:w="1620" w:type="dxa"/>
            <w:tcBorders>
              <w:top w:val="nil"/>
              <w:left w:val="nil"/>
              <w:bottom w:val="nil"/>
              <w:right w:val="nil"/>
            </w:tcBorders>
          </w:tcPr>
          <w:p w14:paraId="17C9C75B" w14:textId="17F9A799" w:rsidR="00C36917" w:rsidRPr="0086092C" w:rsidRDefault="00C36917" w:rsidP="0086092C">
            <w:pPr>
              <w:jc w:val="center"/>
              <w:rPr>
                <w:rFonts w:ascii="Arial" w:hAnsi="Arial" w:cs="Arial"/>
                <w:sz w:val="20"/>
                <w:szCs w:val="20"/>
              </w:rPr>
            </w:pPr>
            <w:r w:rsidRPr="0086092C">
              <w:rPr>
                <w:rFonts w:ascii="Arial" w:hAnsi="Arial" w:cs="Arial"/>
                <w:sz w:val="20"/>
                <w:szCs w:val="20"/>
              </w:rPr>
              <w:t>-1.105743</w:t>
            </w:r>
          </w:p>
        </w:tc>
        <w:tc>
          <w:tcPr>
            <w:tcW w:w="1620" w:type="dxa"/>
            <w:tcBorders>
              <w:top w:val="nil"/>
              <w:left w:val="nil"/>
              <w:bottom w:val="nil"/>
              <w:right w:val="nil"/>
            </w:tcBorders>
          </w:tcPr>
          <w:p w14:paraId="32F1A7C1" w14:textId="5F9F6768" w:rsidR="00C36917" w:rsidRPr="0086092C" w:rsidRDefault="00C36917" w:rsidP="0086092C">
            <w:pPr>
              <w:jc w:val="center"/>
              <w:rPr>
                <w:rFonts w:ascii="Arial" w:hAnsi="Arial" w:cs="Arial"/>
                <w:sz w:val="20"/>
                <w:szCs w:val="20"/>
              </w:rPr>
            </w:pPr>
            <w:r w:rsidRPr="0086092C">
              <w:rPr>
                <w:rFonts w:ascii="Arial" w:hAnsi="Arial" w:cs="Arial"/>
                <w:sz w:val="20"/>
                <w:szCs w:val="20"/>
              </w:rPr>
              <w:t>0.0893571</w:t>
            </w:r>
          </w:p>
        </w:tc>
        <w:tc>
          <w:tcPr>
            <w:tcW w:w="1530" w:type="dxa"/>
            <w:tcBorders>
              <w:top w:val="nil"/>
              <w:left w:val="nil"/>
              <w:bottom w:val="nil"/>
              <w:right w:val="nil"/>
            </w:tcBorders>
          </w:tcPr>
          <w:p w14:paraId="7BBD6BB4" w14:textId="014EDDEC" w:rsidR="00C36917" w:rsidRPr="0086092C" w:rsidRDefault="00C36917" w:rsidP="0086092C">
            <w:pPr>
              <w:jc w:val="center"/>
              <w:rPr>
                <w:rFonts w:ascii="Arial" w:hAnsi="Arial" w:cs="Arial"/>
                <w:sz w:val="20"/>
                <w:szCs w:val="20"/>
              </w:rPr>
            </w:pPr>
            <w:r w:rsidRPr="0086092C">
              <w:rPr>
                <w:rFonts w:ascii="Arial" w:hAnsi="Arial" w:cs="Arial"/>
                <w:sz w:val="20"/>
                <w:szCs w:val="20"/>
              </w:rPr>
              <w:t>-1.230408</w:t>
            </w:r>
          </w:p>
        </w:tc>
        <w:tc>
          <w:tcPr>
            <w:tcW w:w="1440" w:type="dxa"/>
            <w:tcBorders>
              <w:top w:val="nil"/>
              <w:left w:val="nil"/>
              <w:bottom w:val="nil"/>
              <w:right w:val="nil"/>
            </w:tcBorders>
          </w:tcPr>
          <w:p w14:paraId="2CD9DB5E" w14:textId="1D83C3A3" w:rsidR="00C36917" w:rsidRPr="0086092C" w:rsidRDefault="00C36917" w:rsidP="0086092C">
            <w:pPr>
              <w:jc w:val="center"/>
              <w:rPr>
                <w:rFonts w:ascii="Arial" w:hAnsi="Arial" w:cs="Arial"/>
                <w:sz w:val="20"/>
                <w:szCs w:val="20"/>
              </w:rPr>
            </w:pPr>
            <w:r w:rsidRPr="0086092C">
              <w:rPr>
                <w:rFonts w:ascii="Arial" w:hAnsi="Arial" w:cs="Arial"/>
                <w:sz w:val="20"/>
                <w:szCs w:val="20"/>
              </w:rPr>
              <w:t>-0.8321599</w:t>
            </w:r>
          </w:p>
        </w:tc>
      </w:tr>
      <w:tr w:rsidR="00C36917" w:rsidRPr="0086092C" w14:paraId="1A57DC95" w14:textId="77777777" w:rsidTr="006F700C">
        <w:tc>
          <w:tcPr>
            <w:tcW w:w="1596" w:type="dxa"/>
            <w:tcBorders>
              <w:top w:val="nil"/>
              <w:left w:val="nil"/>
              <w:bottom w:val="single" w:sz="12" w:space="0" w:color="auto"/>
              <w:right w:val="nil"/>
            </w:tcBorders>
          </w:tcPr>
          <w:p w14:paraId="635D222C" w14:textId="5DDF0DF6" w:rsidR="00C36917" w:rsidRPr="0086092C" w:rsidRDefault="00C36917" w:rsidP="0086092C">
            <w:pPr>
              <w:jc w:val="center"/>
              <w:rPr>
                <w:rFonts w:ascii="Arial" w:hAnsi="Arial" w:cs="Arial"/>
                <w:sz w:val="20"/>
                <w:szCs w:val="20"/>
              </w:rPr>
            </w:pPr>
            <w:r w:rsidRPr="0086092C">
              <w:rPr>
                <w:rFonts w:ascii="Arial" w:hAnsi="Arial" w:cs="Arial"/>
                <w:sz w:val="20"/>
                <w:szCs w:val="20"/>
              </w:rPr>
              <w:t>RL</w:t>
            </w:r>
          </w:p>
        </w:tc>
        <w:tc>
          <w:tcPr>
            <w:tcW w:w="1032" w:type="dxa"/>
            <w:tcBorders>
              <w:top w:val="nil"/>
              <w:left w:val="nil"/>
              <w:bottom w:val="single" w:sz="12" w:space="0" w:color="auto"/>
              <w:right w:val="nil"/>
            </w:tcBorders>
          </w:tcPr>
          <w:p w14:paraId="06F4CE13" w14:textId="016FBC53" w:rsidR="00C36917" w:rsidRPr="0086092C" w:rsidRDefault="00C36917" w:rsidP="0086092C">
            <w:pPr>
              <w:jc w:val="center"/>
              <w:rPr>
                <w:rFonts w:ascii="Arial" w:hAnsi="Arial" w:cs="Arial"/>
                <w:sz w:val="20"/>
                <w:szCs w:val="20"/>
              </w:rPr>
            </w:pPr>
            <w:r w:rsidRPr="0086092C">
              <w:rPr>
                <w:rFonts w:ascii="Arial" w:hAnsi="Arial" w:cs="Arial"/>
                <w:sz w:val="20"/>
                <w:szCs w:val="20"/>
              </w:rPr>
              <w:t>21</w:t>
            </w:r>
          </w:p>
        </w:tc>
        <w:tc>
          <w:tcPr>
            <w:tcW w:w="1620" w:type="dxa"/>
            <w:tcBorders>
              <w:top w:val="nil"/>
              <w:left w:val="nil"/>
              <w:bottom w:val="single" w:sz="12" w:space="0" w:color="auto"/>
              <w:right w:val="nil"/>
            </w:tcBorders>
          </w:tcPr>
          <w:p w14:paraId="78926B71" w14:textId="49A451BE" w:rsidR="00C36917" w:rsidRPr="0086092C" w:rsidRDefault="00C36917" w:rsidP="0086092C">
            <w:pPr>
              <w:jc w:val="center"/>
              <w:rPr>
                <w:rFonts w:ascii="Arial" w:hAnsi="Arial" w:cs="Arial"/>
                <w:sz w:val="20"/>
                <w:szCs w:val="20"/>
              </w:rPr>
            </w:pPr>
            <w:r w:rsidRPr="0086092C">
              <w:rPr>
                <w:rFonts w:ascii="Arial" w:hAnsi="Arial" w:cs="Arial"/>
                <w:sz w:val="20"/>
                <w:szCs w:val="20"/>
              </w:rPr>
              <w:t>-1.397742</w:t>
            </w:r>
          </w:p>
        </w:tc>
        <w:tc>
          <w:tcPr>
            <w:tcW w:w="1620" w:type="dxa"/>
            <w:tcBorders>
              <w:top w:val="nil"/>
              <w:left w:val="nil"/>
              <w:bottom w:val="single" w:sz="12" w:space="0" w:color="auto"/>
              <w:right w:val="nil"/>
            </w:tcBorders>
          </w:tcPr>
          <w:p w14:paraId="2430C544" w14:textId="3FE0C9E8" w:rsidR="00C36917" w:rsidRPr="0086092C" w:rsidRDefault="00C36917" w:rsidP="0086092C">
            <w:pPr>
              <w:jc w:val="center"/>
              <w:rPr>
                <w:rFonts w:ascii="Arial" w:hAnsi="Arial" w:cs="Arial"/>
                <w:sz w:val="20"/>
                <w:szCs w:val="20"/>
              </w:rPr>
            </w:pPr>
            <w:r w:rsidRPr="0086092C">
              <w:rPr>
                <w:rFonts w:ascii="Arial" w:hAnsi="Arial" w:cs="Arial"/>
                <w:sz w:val="20"/>
                <w:szCs w:val="20"/>
              </w:rPr>
              <w:t>0.1368088</w:t>
            </w:r>
          </w:p>
        </w:tc>
        <w:tc>
          <w:tcPr>
            <w:tcW w:w="1530" w:type="dxa"/>
            <w:tcBorders>
              <w:top w:val="nil"/>
              <w:left w:val="nil"/>
              <w:bottom w:val="single" w:sz="12" w:space="0" w:color="auto"/>
              <w:right w:val="nil"/>
            </w:tcBorders>
          </w:tcPr>
          <w:p w14:paraId="7E0C74E0" w14:textId="2DAE8D18" w:rsidR="00C36917" w:rsidRPr="0086092C" w:rsidRDefault="00C36917" w:rsidP="0086092C">
            <w:pPr>
              <w:jc w:val="center"/>
              <w:rPr>
                <w:rFonts w:ascii="Arial" w:hAnsi="Arial" w:cs="Arial"/>
                <w:sz w:val="20"/>
                <w:szCs w:val="20"/>
              </w:rPr>
            </w:pPr>
            <w:r w:rsidRPr="0086092C">
              <w:rPr>
                <w:rFonts w:ascii="Arial" w:hAnsi="Arial" w:cs="Arial"/>
                <w:sz w:val="20"/>
                <w:szCs w:val="20"/>
              </w:rPr>
              <w:t>-1.625773</w:t>
            </w:r>
          </w:p>
        </w:tc>
        <w:tc>
          <w:tcPr>
            <w:tcW w:w="1440" w:type="dxa"/>
            <w:tcBorders>
              <w:top w:val="nil"/>
              <w:left w:val="nil"/>
              <w:bottom w:val="single" w:sz="12" w:space="0" w:color="auto"/>
              <w:right w:val="nil"/>
            </w:tcBorders>
          </w:tcPr>
          <w:p w14:paraId="3EECB7E7" w14:textId="381C9C7C" w:rsidR="00C36917" w:rsidRPr="0086092C" w:rsidRDefault="00C36917" w:rsidP="0086092C">
            <w:pPr>
              <w:jc w:val="center"/>
              <w:rPr>
                <w:rFonts w:ascii="Arial" w:hAnsi="Arial" w:cs="Arial"/>
                <w:sz w:val="20"/>
                <w:szCs w:val="20"/>
              </w:rPr>
            </w:pPr>
            <w:r w:rsidRPr="0086092C">
              <w:rPr>
                <w:rFonts w:ascii="Arial" w:hAnsi="Arial" w:cs="Arial"/>
                <w:sz w:val="20"/>
                <w:szCs w:val="20"/>
              </w:rPr>
              <w:t>-1.10901</w:t>
            </w:r>
          </w:p>
        </w:tc>
      </w:tr>
    </w:tbl>
    <w:p w14:paraId="2C9EE8C8" w14:textId="426600C0" w:rsidR="009A6CF1" w:rsidRPr="0086092C" w:rsidRDefault="009F4BEE" w:rsidP="0086092C">
      <w:pPr>
        <w:spacing w:line="240" w:lineRule="auto"/>
        <w:jc w:val="center"/>
        <w:rPr>
          <w:rFonts w:ascii="Arial" w:hAnsi="Arial" w:cs="Arial"/>
          <w:i/>
          <w:iCs/>
          <w:sz w:val="20"/>
          <w:szCs w:val="20"/>
        </w:rPr>
      </w:pPr>
      <w:r w:rsidRPr="0086092C">
        <w:rPr>
          <w:rFonts w:ascii="Arial" w:hAnsi="Arial" w:cs="Arial"/>
          <w:i/>
          <w:iCs/>
          <w:sz w:val="20"/>
          <w:szCs w:val="20"/>
        </w:rPr>
        <w:t>Source: Author</w:t>
      </w:r>
      <w:r w:rsidR="00F3769D">
        <w:rPr>
          <w:rFonts w:ascii="Arial" w:hAnsi="Arial" w:cs="Arial"/>
          <w:i/>
          <w:iCs/>
          <w:sz w:val="20"/>
          <w:szCs w:val="20"/>
        </w:rPr>
        <w:t>s</w:t>
      </w:r>
      <w:r w:rsidR="00C36917" w:rsidRPr="0086092C">
        <w:rPr>
          <w:rFonts w:ascii="Arial" w:hAnsi="Arial" w:cs="Arial"/>
          <w:i/>
          <w:iCs/>
          <w:sz w:val="20"/>
          <w:szCs w:val="20"/>
        </w:rPr>
        <w:t>, using Stata 1</w:t>
      </w:r>
      <w:r w:rsidR="00DB444F" w:rsidRPr="0086092C">
        <w:rPr>
          <w:rFonts w:ascii="Arial" w:hAnsi="Arial" w:cs="Arial"/>
          <w:i/>
          <w:iCs/>
          <w:sz w:val="20"/>
          <w:szCs w:val="20"/>
        </w:rPr>
        <w:t>4</w:t>
      </w:r>
      <w:r w:rsidR="00C36917" w:rsidRPr="0086092C">
        <w:rPr>
          <w:rFonts w:ascii="Arial" w:hAnsi="Arial" w:cs="Arial"/>
          <w:i/>
          <w:iCs/>
          <w:sz w:val="20"/>
          <w:szCs w:val="20"/>
        </w:rPr>
        <w:t>.0</w:t>
      </w:r>
    </w:p>
    <w:p w14:paraId="33FED91A" w14:textId="1ED7FE24" w:rsidR="00FC19C4" w:rsidRPr="00F3769D" w:rsidRDefault="003579D4" w:rsidP="0086092C">
      <w:pPr>
        <w:spacing w:line="240" w:lineRule="auto"/>
        <w:rPr>
          <w:rFonts w:ascii="Arial" w:hAnsi="Arial" w:cs="Arial"/>
          <w:b/>
          <w:bCs/>
        </w:rPr>
      </w:pPr>
      <w:r w:rsidRPr="00F3769D">
        <w:rPr>
          <w:rFonts w:ascii="Arial" w:hAnsi="Arial" w:cs="Arial"/>
          <w:b/>
          <w:bCs/>
        </w:rPr>
        <w:t xml:space="preserve">4.2. </w:t>
      </w:r>
      <w:r w:rsidR="00FC19C4" w:rsidRPr="00F3769D">
        <w:rPr>
          <w:rFonts w:ascii="Arial" w:hAnsi="Arial" w:cs="Arial"/>
          <w:b/>
          <w:bCs/>
        </w:rPr>
        <w:t xml:space="preserve">Unit </w:t>
      </w:r>
      <w:r w:rsidRPr="00F3769D">
        <w:rPr>
          <w:rFonts w:ascii="Arial" w:hAnsi="Arial" w:cs="Arial"/>
          <w:b/>
          <w:bCs/>
        </w:rPr>
        <w:t xml:space="preserve">Root Tests </w:t>
      </w:r>
    </w:p>
    <w:p w14:paraId="52DB89CB" w14:textId="3A95CBAF" w:rsidR="00FC19C4" w:rsidRPr="0086092C" w:rsidRDefault="00FC19C4" w:rsidP="0086092C">
      <w:pPr>
        <w:spacing w:line="240" w:lineRule="auto"/>
        <w:jc w:val="both"/>
        <w:rPr>
          <w:rFonts w:ascii="Arial" w:hAnsi="Arial" w:cs="Arial"/>
          <w:sz w:val="20"/>
          <w:szCs w:val="20"/>
        </w:rPr>
      </w:pPr>
      <w:r w:rsidRPr="0086092C">
        <w:rPr>
          <w:rFonts w:ascii="Arial" w:hAnsi="Arial" w:cs="Arial"/>
          <w:sz w:val="20"/>
          <w:szCs w:val="20"/>
        </w:rPr>
        <w:t xml:space="preserve">Table </w:t>
      </w:r>
      <w:r w:rsidR="001B1D09" w:rsidRPr="0086092C">
        <w:rPr>
          <w:rFonts w:ascii="Arial" w:hAnsi="Arial" w:cs="Arial"/>
          <w:sz w:val="20"/>
          <w:szCs w:val="20"/>
        </w:rPr>
        <w:t>3</w:t>
      </w:r>
      <w:r w:rsidRPr="0086092C">
        <w:rPr>
          <w:rFonts w:ascii="Arial" w:hAnsi="Arial" w:cs="Arial"/>
          <w:sz w:val="20"/>
          <w:szCs w:val="20"/>
        </w:rPr>
        <w:t xml:space="preserve"> presents the results of the unit root tests. The null hypothesis is that the series has a unit root, meaning that it is non-stationary and has a stochastic trend. The alternative hypothesis is that the series does not have a unit root, meaning that it is stationary. The unit root test results for the variables NPLR, RQ, and RL, as conducted using the Augmented Dickey-Fuller (ADF) and Phillips-Perron (PP) tests, were pivotal for understanding the stationarity of the time series data. The ADF test results indicate that RQ and RL were stationary at level while NPLR become stationary at the first difference, with p-values less than 0.05, rejecting the null hypothesis of a unit root. Correspondingly, the PP test confirms these findings. The robustness of the results across both tests lends credence to the stationarity of the </w:t>
      </w:r>
      <w:r w:rsidR="00586C87" w:rsidRPr="0086092C">
        <w:rPr>
          <w:rFonts w:ascii="Arial" w:hAnsi="Arial" w:cs="Arial"/>
          <w:sz w:val="20"/>
          <w:szCs w:val="20"/>
        </w:rPr>
        <w:t xml:space="preserve">NPLR </w:t>
      </w:r>
      <w:r w:rsidRPr="0086092C">
        <w:rPr>
          <w:rFonts w:ascii="Arial" w:hAnsi="Arial" w:cs="Arial"/>
          <w:sz w:val="20"/>
          <w:szCs w:val="20"/>
        </w:rPr>
        <w:t xml:space="preserve">series after </w:t>
      </w:r>
      <w:r w:rsidR="00586C87" w:rsidRPr="0086092C">
        <w:rPr>
          <w:rFonts w:ascii="Arial" w:hAnsi="Arial" w:cs="Arial"/>
          <w:sz w:val="20"/>
          <w:szCs w:val="20"/>
        </w:rPr>
        <w:t xml:space="preserve">first </w:t>
      </w:r>
      <w:r w:rsidRPr="0086092C">
        <w:rPr>
          <w:rFonts w:ascii="Arial" w:hAnsi="Arial" w:cs="Arial"/>
          <w:sz w:val="20"/>
          <w:szCs w:val="20"/>
        </w:rPr>
        <w:t>differencing, setting the stage for further econometric modeling.</w:t>
      </w:r>
    </w:p>
    <w:p w14:paraId="064DD24C" w14:textId="77777777" w:rsidR="00FC19C4" w:rsidRPr="0086092C" w:rsidRDefault="00FC19C4" w:rsidP="0086092C">
      <w:pPr>
        <w:spacing w:after="0" w:line="240" w:lineRule="auto"/>
        <w:jc w:val="center"/>
        <w:rPr>
          <w:rFonts w:ascii="Arial" w:hAnsi="Arial" w:cs="Arial"/>
          <w:i/>
          <w:iCs/>
          <w:sz w:val="20"/>
          <w:szCs w:val="20"/>
        </w:rPr>
      </w:pPr>
      <w:r w:rsidRPr="0086092C">
        <w:rPr>
          <w:rFonts w:ascii="Arial" w:hAnsi="Arial" w:cs="Arial"/>
          <w:i/>
          <w:iCs/>
          <w:sz w:val="20"/>
          <w:szCs w:val="20"/>
        </w:rPr>
        <w:t>Table 3: Unit root tests</w:t>
      </w:r>
    </w:p>
    <w:tbl>
      <w:tblPr>
        <w:tblStyle w:val="TableGrid"/>
        <w:tblW w:w="0" w:type="auto"/>
        <w:tblLook w:val="04A0" w:firstRow="1" w:lastRow="0" w:firstColumn="1" w:lastColumn="0" w:noHBand="0" w:noVBand="1"/>
      </w:tblPr>
      <w:tblGrid>
        <w:gridCol w:w="1269"/>
        <w:gridCol w:w="1719"/>
        <w:gridCol w:w="2340"/>
        <w:gridCol w:w="1260"/>
        <w:gridCol w:w="2160"/>
      </w:tblGrid>
      <w:tr w:rsidR="008B4780" w:rsidRPr="0086092C" w14:paraId="23E48847" w14:textId="77777777" w:rsidTr="001A011E">
        <w:tc>
          <w:tcPr>
            <w:tcW w:w="1269" w:type="dxa"/>
            <w:vMerge w:val="restart"/>
            <w:vAlign w:val="bottom"/>
          </w:tcPr>
          <w:p w14:paraId="72895FCF" w14:textId="77777777" w:rsidR="00FC19C4" w:rsidRPr="0086092C" w:rsidRDefault="00FC19C4" w:rsidP="0086092C">
            <w:pPr>
              <w:jc w:val="center"/>
              <w:rPr>
                <w:rFonts w:ascii="Arial" w:hAnsi="Arial" w:cs="Arial"/>
                <w:sz w:val="20"/>
                <w:szCs w:val="20"/>
              </w:rPr>
            </w:pPr>
          </w:p>
          <w:p w14:paraId="1B2D7CDD" w14:textId="31AB9410" w:rsidR="00FC19C4" w:rsidRPr="0086092C" w:rsidRDefault="00FC19C4" w:rsidP="0086092C">
            <w:pPr>
              <w:jc w:val="center"/>
              <w:rPr>
                <w:rFonts w:ascii="Arial" w:hAnsi="Arial" w:cs="Arial"/>
                <w:sz w:val="20"/>
                <w:szCs w:val="20"/>
              </w:rPr>
            </w:pPr>
            <w:r w:rsidRPr="0086092C">
              <w:rPr>
                <w:rFonts w:ascii="Arial" w:hAnsi="Arial" w:cs="Arial"/>
                <w:sz w:val="20"/>
                <w:szCs w:val="20"/>
              </w:rPr>
              <w:t>Variable</w:t>
            </w:r>
          </w:p>
        </w:tc>
        <w:tc>
          <w:tcPr>
            <w:tcW w:w="4059" w:type="dxa"/>
            <w:gridSpan w:val="2"/>
          </w:tcPr>
          <w:p w14:paraId="3B1BFD15" w14:textId="77777777" w:rsidR="00FC19C4" w:rsidRPr="0086092C" w:rsidRDefault="00FC19C4" w:rsidP="0086092C">
            <w:pPr>
              <w:jc w:val="center"/>
              <w:rPr>
                <w:rFonts w:ascii="Arial" w:hAnsi="Arial" w:cs="Arial"/>
                <w:b/>
                <w:bCs/>
                <w:sz w:val="20"/>
                <w:szCs w:val="20"/>
              </w:rPr>
            </w:pPr>
            <w:r w:rsidRPr="0086092C">
              <w:rPr>
                <w:rFonts w:ascii="Arial" w:hAnsi="Arial" w:cs="Arial"/>
                <w:b/>
                <w:bCs/>
                <w:sz w:val="20"/>
                <w:szCs w:val="20"/>
              </w:rPr>
              <w:t>Augmented Dickey-Fuller (ADF) Test</w:t>
            </w:r>
          </w:p>
        </w:tc>
        <w:tc>
          <w:tcPr>
            <w:tcW w:w="3420" w:type="dxa"/>
            <w:gridSpan w:val="2"/>
          </w:tcPr>
          <w:p w14:paraId="3BC8DD74" w14:textId="77777777" w:rsidR="00FC19C4" w:rsidRPr="0086092C" w:rsidRDefault="00FC19C4" w:rsidP="0086092C">
            <w:pPr>
              <w:jc w:val="center"/>
              <w:rPr>
                <w:rFonts w:ascii="Arial" w:hAnsi="Arial" w:cs="Arial"/>
                <w:b/>
                <w:bCs/>
                <w:sz w:val="20"/>
                <w:szCs w:val="20"/>
              </w:rPr>
            </w:pPr>
            <w:r w:rsidRPr="0086092C">
              <w:rPr>
                <w:rFonts w:ascii="Arial" w:hAnsi="Arial" w:cs="Arial"/>
                <w:b/>
                <w:bCs/>
                <w:sz w:val="20"/>
                <w:szCs w:val="20"/>
              </w:rPr>
              <w:t>Phillips-Perron (PP) Test</w:t>
            </w:r>
          </w:p>
        </w:tc>
      </w:tr>
      <w:tr w:rsidR="00FC19C4" w:rsidRPr="0086092C" w14:paraId="1B28070F" w14:textId="77777777" w:rsidTr="001A011E">
        <w:tc>
          <w:tcPr>
            <w:tcW w:w="1269" w:type="dxa"/>
            <w:vMerge/>
            <w:vAlign w:val="bottom"/>
          </w:tcPr>
          <w:p w14:paraId="114CDD2B" w14:textId="77777777" w:rsidR="00FC19C4" w:rsidRPr="0086092C" w:rsidRDefault="00FC19C4" w:rsidP="0086092C">
            <w:pPr>
              <w:jc w:val="center"/>
              <w:rPr>
                <w:rFonts w:ascii="Arial" w:hAnsi="Arial" w:cs="Arial"/>
                <w:sz w:val="20"/>
                <w:szCs w:val="20"/>
              </w:rPr>
            </w:pPr>
          </w:p>
        </w:tc>
        <w:tc>
          <w:tcPr>
            <w:tcW w:w="1719" w:type="dxa"/>
            <w:vAlign w:val="bottom"/>
          </w:tcPr>
          <w:p w14:paraId="4CCD7823" w14:textId="77777777" w:rsidR="00FC19C4" w:rsidRPr="0086092C" w:rsidRDefault="00FC19C4" w:rsidP="0086092C">
            <w:pPr>
              <w:jc w:val="center"/>
              <w:rPr>
                <w:rFonts w:ascii="Arial" w:hAnsi="Arial" w:cs="Arial"/>
                <w:sz w:val="20"/>
                <w:szCs w:val="20"/>
              </w:rPr>
            </w:pPr>
            <w:r w:rsidRPr="0086092C">
              <w:rPr>
                <w:rFonts w:ascii="Arial" w:hAnsi="Arial" w:cs="Arial"/>
                <w:sz w:val="20"/>
                <w:szCs w:val="20"/>
              </w:rPr>
              <w:t>Level</w:t>
            </w:r>
          </w:p>
        </w:tc>
        <w:tc>
          <w:tcPr>
            <w:tcW w:w="2340" w:type="dxa"/>
            <w:vAlign w:val="bottom"/>
          </w:tcPr>
          <w:p w14:paraId="0186B56E" w14:textId="77777777" w:rsidR="00FC19C4" w:rsidRPr="0086092C" w:rsidRDefault="00FC19C4" w:rsidP="0086092C">
            <w:pPr>
              <w:jc w:val="center"/>
              <w:rPr>
                <w:rFonts w:ascii="Arial" w:hAnsi="Arial" w:cs="Arial"/>
                <w:sz w:val="20"/>
                <w:szCs w:val="20"/>
              </w:rPr>
            </w:pPr>
            <w:r w:rsidRPr="0086092C">
              <w:rPr>
                <w:rFonts w:ascii="Arial" w:hAnsi="Arial" w:cs="Arial"/>
                <w:sz w:val="20"/>
                <w:szCs w:val="20"/>
              </w:rPr>
              <w:t>First Difference</w:t>
            </w:r>
          </w:p>
        </w:tc>
        <w:tc>
          <w:tcPr>
            <w:tcW w:w="1260" w:type="dxa"/>
            <w:vAlign w:val="bottom"/>
          </w:tcPr>
          <w:p w14:paraId="27EAE0DA" w14:textId="77777777" w:rsidR="00FC19C4" w:rsidRPr="0086092C" w:rsidRDefault="00FC19C4" w:rsidP="0086092C">
            <w:pPr>
              <w:jc w:val="center"/>
              <w:rPr>
                <w:rFonts w:ascii="Arial" w:hAnsi="Arial" w:cs="Arial"/>
                <w:sz w:val="20"/>
                <w:szCs w:val="20"/>
              </w:rPr>
            </w:pPr>
            <w:r w:rsidRPr="0086092C">
              <w:rPr>
                <w:rFonts w:ascii="Arial" w:hAnsi="Arial" w:cs="Arial"/>
                <w:sz w:val="20"/>
                <w:szCs w:val="20"/>
              </w:rPr>
              <w:t>Level</w:t>
            </w:r>
          </w:p>
        </w:tc>
        <w:tc>
          <w:tcPr>
            <w:tcW w:w="2160" w:type="dxa"/>
            <w:vAlign w:val="bottom"/>
          </w:tcPr>
          <w:p w14:paraId="78C0E542" w14:textId="77777777" w:rsidR="00FC19C4" w:rsidRPr="0086092C" w:rsidRDefault="00FC19C4" w:rsidP="0086092C">
            <w:pPr>
              <w:jc w:val="center"/>
              <w:rPr>
                <w:rFonts w:ascii="Arial" w:hAnsi="Arial" w:cs="Arial"/>
                <w:sz w:val="20"/>
                <w:szCs w:val="20"/>
              </w:rPr>
            </w:pPr>
            <w:r w:rsidRPr="0086092C">
              <w:rPr>
                <w:rFonts w:ascii="Arial" w:hAnsi="Arial" w:cs="Arial"/>
                <w:sz w:val="20"/>
                <w:szCs w:val="20"/>
              </w:rPr>
              <w:t>First Difference</w:t>
            </w:r>
          </w:p>
        </w:tc>
      </w:tr>
      <w:tr w:rsidR="00FC19C4" w:rsidRPr="0086092C" w14:paraId="58AA60FB" w14:textId="77777777" w:rsidTr="001A011E">
        <w:tc>
          <w:tcPr>
            <w:tcW w:w="1269" w:type="dxa"/>
            <w:shd w:val="clear" w:color="auto" w:fill="F2F2F2" w:themeFill="background1" w:themeFillShade="F2"/>
            <w:vAlign w:val="bottom"/>
          </w:tcPr>
          <w:p w14:paraId="69A37FDF" w14:textId="77777777" w:rsidR="00FC19C4" w:rsidRPr="0086092C" w:rsidRDefault="00FC19C4" w:rsidP="0086092C">
            <w:pPr>
              <w:jc w:val="center"/>
              <w:rPr>
                <w:rFonts w:ascii="Arial" w:hAnsi="Arial" w:cs="Arial"/>
                <w:sz w:val="20"/>
                <w:szCs w:val="20"/>
              </w:rPr>
            </w:pPr>
            <w:r w:rsidRPr="0086092C">
              <w:rPr>
                <w:rFonts w:ascii="Arial" w:hAnsi="Arial" w:cs="Arial"/>
                <w:sz w:val="20"/>
                <w:szCs w:val="20"/>
              </w:rPr>
              <w:t>NPLR</w:t>
            </w:r>
          </w:p>
        </w:tc>
        <w:tc>
          <w:tcPr>
            <w:tcW w:w="1719" w:type="dxa"/>
            <w:shd w:val="clear" w:color="auto" w:fill="F2F2F2" w:themeFill="background1" w:themeFillShade="F2"/>
            <w:vAlign w:val="bottom"/>
          </w:tcPr>
          <w:p w14:paraId="406D7B68" w14:textId="77777777" w:rsidR="00FC19C4" w:rsidRPr="0086092C" w:rsidRDefault="00FC19C4" w:rsidP="0086092C">
            <w:pPr>
              <w:jc w:val="center"/>
              <w:rPr>
                <w:rFonts w:ascii="Arial" w:hAnsi="Arial" w:cs="Arial"/>
                <w:sz w:val="20"/>
                <w:szCs w:val="20"/>
              </w:rPr>
            </w:pPr>
            <w:r w:rsidRPr="0086092C">
              <w:rPr>
                <w:rFonts w:ascii="Arial" w:hAnsi="Arial" w:cs="Arial"/>
                <w:sz w:val="20"/>
                <w:szCs w:val="20"/>
              </w:rPr>
              <w:t>-0.323</w:t>
            </w:r>
          </w:p>
        </w:tc>
        <w:tc>
          <w:tcPr>
            <w:tcW w:w="2340" w:type="dxa"/>
            <w:shd w:val="clear" w:color="auto" w:fill="F2F2F2" w:themeFill="background1" w:themeFillShade="F2"/>
            <w:vAlign w:val="bottom"/>
          </w:tcPr>
          <w:p w14:paraId="4324261D" w14:textId="77777777" w:rsidR="00FC19C4" w:rsidRPr="0086092C" w:rsidRDefault="00FC19C4" w:rsidP="0086092C">
            <w:pPr>
              <w:jc w:val="center"/>
              <w:rPr>
                <w:rFonts w:ascii="Arial" w:hAnsi="Arial" w:cs="Arial"/>
                <w:sz w:val="20"/>
                <w:szCs w:val="20"/>
              </w:rPr>
            </w:pPr>
            <w:r w:rsidRPr="0086092C">
              <w:rPr>
                <w:rFonts w:ascii="Arial" w:hAnsi="Arial" w:cs="Arial"/>
                <w:sz w:val="20"/>
                <w:szCs w:val="20"/>
              </w:rPr>
              <w:t>-2.963***</w:t>
            </w:r>
          </w:p>
        </w:tc>
        <w:tc>
          <w:tcPr>
            <w:tcW w:w="1260" w:type="dxa"/>
            <w:shd w:val="clear" w:color="auto" w:fill="F2F2F2" w:themeFill="background1" w:themeFillShade="F2"/>
            <w:vAlign w:val="bottom"/>
          </w:tcPr>
          <w:p w14:paraId="5CD6FE80" w14:textId="77777777" w:rsidR="00FC19C4" w:rsidRPr="0086092C" w:rsidRDefault="00FC19C4" w:rsidP="0086092C">
            <w:pPr>
              <w:jc w:val="center"/>
              <w:rPr>
                <w:rFonts w:ascii="Arial" w:hAnsi="Arial" w:cs="Arial"/>
                <w:sz w:val="20"/>
                <w:szCs w:val="20"/>
              </w:rPr>
            </w:pPr>
            <w:r w:rsidRPr="0086092C">
              <w:rPr>
                <w:rFonts w:ascii="Arial" w:hAnsi="Arial" w:cs="Arial"/>
                <w:sz w:val="20"/>
                <w:szCs w:val="20"/>
              </w:rPr>
              <w:t>-0.720</w:t>
            </w:r>
          </w:p>
        </w:tc>
        <w:tc>
          <w:tcPr>
            <w:tcW w:w="2160" w:type="dxa"/>
            <w:shd w:val="clear" w:color="auto" w:fill="F2F2F2" w:themeFill="background1" w:themeFillShade="F2"/>
            <w:vAlign w:val="bottom"/>
          </w:tcPr>
          <w:p w14:paraId="3EEE57C8" w14:textId="77777777" w:rsidR="00FC19C4" w:rsidRPr="0086092C" w:rsidRDefault="00FC19C4" w:rsidP="0086092C">
            <w:pPr>
              <w:jc w:val="center"/>
              <w:rPr>
                <w:rFonts w:ascii="Arial" w:hAnsi="Arial" w:cs="Arial"/>
                <w:sz w:val="20"/>
                <w:szCs w:val="20"/>
              </w:rPr>
            </w:pPr>
            <w:r w:rsidRPr="0086092C">
              <w:rPr>
                <w:rFonts w:ascii="Arial" w:hAnsi="Arial" w:cs="Arial"/>
                <w:sz w:val="20"/>
                <w:szCs w:val="20"/>
              </w:rPr>
              <w:t>-2.958***</w:t>
            </w:r>
          </w:p>
        </w:tc>
      </w:tr>
      <w:tr w:rsidR="00FC19C4" w:rsidRPr="0086092C" w14:paraId="1D530827" w14:textId="77777777" w:rsidTr="001A011E">
        <w:tc>
          <w:tcPr>
            <w:tcW w:w="1269" w:type="dxa"/>
            <w:vAlign w:val="bottom"/>
          </w:tcPr>
          <w:p w14:paraId="1B576869" w14:textId="77777777" w:rsidR="00FC19C4" w:rsidRPr="0086092C" w:rsidRDefault="00FC19C4" w:rsidP="0086092C">
            <w:pPr>
              <w:jc w:val="center"/>
              <w:rPr>
                <w:rFonts w:ascii="Arial" w:hAnsi="Arial" w:cs="Arial"/>
                <w:sz w:val="20"/>
                <w:szCs w:val="20"/>
              </w:rPr>
            </w:pPr>
            <w:r w:rsidRPr="0086092C">
              <w:rPr>
                <w:rFonts w:ascii="Arial" w:hAnsi="Arial" w:cs="Arial"/>
                <w:sz w:val="20"/>
                <w:szCs w:val="20"/>
              </w:rPr>
              <w:t>RQ</w:t>
            </w:r>
          </w:p>
        </w:tc>
        <w:tc>
          <w:tcPr>
            <w:tcW w:w="1719" w:type="dxa"/>
            <w:vAlign w:val="bottom"/>
          </w:tcPr>
          <w:p w14:paraId="034D34DA" w14:textId="77777777" w:rsidR="00FC19C4" w:rsidRPr="0086092C" w:rsidRDefault="00FC19C4" w:rsidP="0086092C">
            <w:pPr>
              <w:jc w:val="center"/>
              <w:rPr>
                <w:rFonts w:ascii="Arial" w:hAnsi="Arial" w:cs="Arial"/>
                <w:sz w:val="20"/>
                <w:szCs w:val="20"/>
              </w:rPr>
            </w:pPr>
            <w:r w:rsidRPr="0086092C">
              <w:rPr>
                <w:rFonts w:ascii="Arial" w:hAnsi="Arial" w:cs="Arial"/>
                <w:sz w:val="20"/>
                <w:szCs w:val="20"/>
              </w:rPr>
              <w:t>-3.667***</w:t>
            </w:r>
          </w:p>
        </w:tc>
        <w:tc>
          <w:tcPr>
            <w:tcW w:w="2340" w:type="dxa"/>
            <w:vAlign w:val="bottom"/>
          </w:tcPr>
          <w:p w14:paraId="43F14538" w14:textId="77777777" w:rsidR="00FC19C4" w:rsidRPr="0086092C" w:rsidRDefault="00FC19C4" w:rsidP="0086092C">
            <w:pPr>
              <w:jc w:val="center"/>
              <w:rPr>
                <w:rFonts w:ascii="Arial" w:hAnsi="Arial" w:cs="Arial"/>
                <w:sz w:val="20"/>
                <w:szCs w:val="20"/>
              </w:rPr>
            </w:pPr>
            <w:r w:rsidRPr="0086092C">
              <w:rPr>
                <w:rFonts w:ascii="Arial" w:hAnsi="Arial" w:cs="Arial"/>
                <w:sz w:val="20"/>
                <w:szCs w:val="20"/>
              </w:rPr>
              <w:t>-8.082***</w:t>
            </w:r>
          </w:p>
        </w:tc>
        <w:tc>
          <w:tcPr>
            <w:tcW w:w="1260" w:type="dxa"/>
            <w:vAlign w:val="bottom"/>
          </w:tcPr>
          <w:p w14:paraId="19F94DC4" w14:textId="77777777" w:rsidR="00FC19C4" w:rsidRPr="0086092C" w:rsidRDefault="00FC19C4" w:rsidP="0086092C">
            <w:pPr>
              <w:jc w:val="center"/>
              <w:rPr>
                <w:rFonts w:ascii="Arial" w:hAnsi="Arial" w:cs="Arial"/>
                <w:sz w:val="20"/>
                <w:szCs w:val="20"/>
              </w:rPr>
            </w:pPr>
            <w:r w:rsidRPr="0086092C">
              <w:rPr>
                <w:rFonts w:ascii="Arial" w:hAnsi="Arial" w:cs="Arial"/>
                <w:sz w:val="20"/>
                <w:szCs w:val="20"/>
              </w:rPr>
              <w:t>-3.665***</w:t>
            </w:r>
          </w:p>
        </w:tc>
        <w:tc>
          <w:tcPr>
            <w:tcW w:w="2160" w:type="dxa"/>
            <w:vAlign w:val="bottom"/>
          </w:tcPr>
          <w:p w14:paraId="0C290936" w14:textId="77777777" w:rsidR="00FC19C4" w:rsidRPr="0086092C" w:rsidRDefault="00FC19C4" w:rsidP="0086092C">
            <w:pPr>
              <w:jc w:val="center"/>
              <w:rPr>
                <w:rFonts w:ascii="Arial" w:hAnsi="Arial" w:cs="Arial"/>
                <w:sz w:val="20"/>
                <w:szCs w:val="20"/>
              </w:rPr>
            </w:pPr>
            <w:r w:rsidRPr="0086092C">
              <w:rPr>
                <w:rFonts w:ascii="Arial" w:hAnsi="Arial" w:cs="Arial"/>
                <w:sz w:val="20"/>
                <w:szCs w:val="20"/>
              </w:rPr>
              <w:t>-8.872***</w:t>
            </w:r>
          </w:p>
        </w:tc>
      </w:tr>
      <w:tr w:rsidR="00FC19C4" w:rsidRPr="0086092C" w14:paraId="68705DFF" w14:textId="77777777" w:rsidTr="001A011E">
        <w:tc>
          <w:tcPr>
            <w:tcW w:w="1269" w:type="dxa"/>
            <w:shd w:val="clear" w:color="auto" w:fill="F2F2F2" w:themeFill="background1" w:themeFillShade="F2"/>
            <w:vAlign w:val="bottom"/>
          </w:tcPr>
          <w:p w14:paraId="156C881A" w14:textId="77777777" w:rsidR="00FC19C4" w:rsidRPr="0086092C" w:rsidRDefault="00FC19C4" w:rsidP="0086092C">
            <w:pPr>
              <w:jc w:val="center"/>
              <w:rPr>
                <w:rFonts w:ascii="Arial" w:hAnsi="Arial" w:cs="Arial"/>
                <w:sz w:val="20"/>
                <w:szCs w:val="20"/>
              </w:rPr>
            </w:pPr>
            <w:r w:rsidRPr="0086092C">
              <w:rPr>
                <w:rFonts w:ascii="Arial" w:hAnsi="Arial" w:cs="Arial"/>
                <w:sz w:val="20"/>
                <w:szCs w:val="20"/>
              </w:rPr>
              <w:t>RL</w:t>
            </w:r>
          </w:p>
        </w:tc>
        <w:tc>
          <w:tcPr>
            <w:tcW w:w="1719" w:type="dxa"/>
            <w:shd w:val="clear" w:color="auto" w:fill="F2F2F2" w:themeFill="background1" w:themeFillShade="F2"/>
            <w:vAlign w:val="bottom"/>
          </w:tcPr>
          <w:p w14:paraId="7FAE0F4E" w14:textId="77777777" w:rsidR="00FC19C4" w:rsidRPr="0086092C" w:rsidRDefault="00FC19C4" w:rsidP="0086092C">
            <w:pPr>
              <w:jc w:val="center"/>
              <w:rPr>
                <w:rFonts w:ascii="Arial" w:hAnsi="Arial" w:cs="Arial"/>
                <w:sz w:val="20"/>
                <w:szCs w:val="20"/>
              </w:rPr>
            </w:pPr>
            <w:r w:rsidRPr="0086092C">
              <w:rPr>
                <w:rFonts w:ascii="Arial" w:hAnsi="Arial" w:cs="Arial"/>
                <w:sz w:val="20"/>
                <w:szCs w:val="20"/>
              </w:rPr>
              <w:t>-3.281***</w:t>
            </w:r>
          </w:p>
        </w:tc>
        <w:tc>
          <w:tcPr>
            <w:tcW w:w="2340" w:type="dxa"/>
            <w:shd w:val="clear" w:color="auto" w:fill="F2F2F2" w:themeFill="background1" w:themeFillShade="F2"/>
            <w:vAlign w:val="bottom"/>
          </w:tcPr>
          <w:p w14:paraId="538E1693" w14:textId="77777777" w:rsidR="00FC19C4" w:rsidRPr="0086092C" w:rsidRDefault="00FC19C4" w:rsidP="0086092C">
            <w:pPr>
              <w:jc w:val="center"/>
              <w:rPr>
                <w:rFonts w:ascii="Arial" w:hAnsi="Arial" w:cs="Arial"/>
                <w:sz w:val="20"/>
                <w:szCs w:val="20"/>
              </w:rPr>
            </w:pPr>
            <w:r w:rsidRPr="0086092C">
              <w:rPr>
                <w:rFonts w:ascii="Arial" w:hAnsi="Arial" w:cs="Arial"/>
                <w:sz w:val="20"/>
                <w:szCs w:val="20"/>
              </w:rPr>
              <w:t>-7.861***</w:t>
            </w:r>
          </w:p>
        </w:tc>
        <w:tc>
          <w:tcPr>
            <w:tcW w:w="1260" w:type="dxa"/>
            <w:shd w:val="clear" w:color="auto" w:fill="F2F2F2" w:themeFill="background1" w:themeFillShade="F2"/>
            <w:vAlign w:val="bottom"/>
          </w:tcPr>
          <w:p w14:paraId="0D04ED55" w14:textId="77777777" w:rsidR="00FC19C4" w:rsidRPr="0086092C" w:rsidRDefault="00FC19C4" w:rsidP="0086092C">
            <w:pPr>
              <w:jc w:val="center"/>
              <w:rPr>
                <w:rFonts w:ascii="Arial" w:hAnsi="Arial" w:cs="Arial"/>
                <w:sz w:val="20"/>
                <w:szCs w:val="20"/>
              </w:rPr>
            </w:pPr>
            <w:r w:rsidRPr="0086092C">
              <w:rPr>
                <w:rFonts w:ascii="Arial" w:hAnsi="Arial" w:cs="Arial"/>
                <w:sz w:val="20"/>
                <w:szCs w:val="20"/>
              </w:rPr>
              <w:t>-3.343***</w:t>
            </w:r>
          </w:p>
        </w:tc>
        <w:tc>
          <w:tcPr>
            <w:tcW w:w="2160" w:type="dxa"/>
            <w:shd w:val="clear" w:color="auto" w:fill="F2F2F2" w:themeFill="background1" w:themeFillShade="F2"/>
            <w:vAlign w:val="bottom"/>
          </w:tcPr>
          <w:p w14:paraId="111186E3" w14:textId="77777777" w:rsidR="00FC19C4" w:rsidRPr="0086092C" w:rsidRDefault="00FC19C4" w:rsidP="0086092C">
            <w:pPr>
              <w:jc w:val="center"/>
              <w:rPr>
                <w:rFonts w:ascii="Arial" w:hAnsi="Arial" w:cs="Arial"/>
                <w:sz w:val="20"/>
                <w:szCs w:val="20"/>
              </w:rPr>
            </w:pPr>
            <w:r w:rsidRPr="0086092C">
              <w:rPr>
                <w:rFonts w:ascii="Arial" w:hAnsi="Arial" w:cs="Arial"/>
                <w:sz w:val="20"/>
                <w:szCs w:val="20"/>
              </w:rPr>
              <w:t>-7.901***</w:t>
            </w:r>
          </w:p>
        </w:tc>
      </w:tr>
    </w:tbl>
    <w:p w14:paraId="39D2EDEF" w14:textId="3C815D22" w:rsidR="00FC19C4" w:rsidRPr="0086092C" w:rsidRDefault="001A011E" w:rsidP="0086092C">
      <w:pPr>
        <w:tabs>
          <w:tab w:val="left" w:pos="2694"/>
          <w:tab w:val="left" w:pos="2977"/>
          <w:tab w:val="left" w:pos="3686"/>
        </w:tabs>
        <w:spacing w:after="0" w:line="240" w:lineRule="auto"/>
        <w:ind w:right="-1"/>
        <w:jc w:val="center"/>
        <w:rPr>
          <w:rFonts w:ascii="Arial" w:hAnsi="Arial" w:cs="Arial"/>
          <w:bCs/>
          <w:i/>
          <w:spacing w:val="1"/>
          <w:sz w:val="20"/>
          <w:szCs w:val="20"/>
        </w:rPr>
      </w:pPr>
      <w:r w:rsidRPr="0086092C">
        <w:rPr>
          <w:rFonts w:ascii="Arial" w:hAnsi="Arial" w:cs="Arial"/>
          <w:bCs/>
          <w:i/>
          <w:spacing w:val="1"/>
          <w:sz w:val="20"/>
          <w:szCs w:val="20"/>
        </w:rPr>
        <w:t xml:space="preserve">Note: </w:t>
      </w:r>
      <w:r w:rsidR="00FC19C4" w:rsidRPr="0086092C">
        <w:rPr>
          <w:rFonts w:ascii="Arial" w:hAnsi="Arial" w:cs="Arial"/>
          <w:bCs/>
          <w:i/>
          <w:spacing w:val="1"/>
          <w:sz w:val="20"/>
          <w:szCs w:val="20"/>
        </w:rPr>
        <w:t>P &lt; 0:01***</w:t>
      </w:r>
      <w:proofErr w:type="gramStart"/>
      <w:r w:rsidRPr="0086092C">
        <w:rPr>
          <w:rFonts w:ascii="Arial" w:hAnsi="Arial" w:cs="Arial"/>
          <w:bCs/>
          <w:i/>
          <w:spacing w:val="1"/>
          <w:sz w:val="20"/>
          <w:szCs w:val="20"/>
        </w:rPr>
        <w:t xml:space="preserve">, </w:t>
      </w:r>
      <w:r w:rsidR="00FC19C4" w:rsidRPr="0086092C">
        <w:rPr>
          <w:rFonts w:ascii="Arial" w:hAnsi="Arial" w:cs="Arial"/>
          <w:bCs/>
          <w:i/>
          <w:spacing w:val="1"/>
          <w:sz w:val="20"/>
          <w:szCs w:val="20"/>
        </w:rPr>
        <w:t xml:space="preserve"> P</w:t>
      </w:r>
      <w:proofErr w:type="gramEnd"/>
      <w:r w:rsidR="00FC19C4" w:rsidRPr="0086092C">
        <w:rPr>
          <w:rFonts w:ascii="Arial" w:hAnsi="Arial" w:cs="Arial"/>
          <w:bCs/>
          <w:i/>
          <w:spacing w:val="1"/>
          <w:sz w:val="20"/>
          <w:szCs w:val="20"/>
        </w:rPr>
        <w:t>&lt;0:05**</w:t>
      </w:r>
      <w:r w:rsidRPr="0086092C">
        <w:rPr>
          <w:rFonts w:ascii="Arial" w:hAnsi="Arial" w:cs="Arial"/>
          <w:bCs/>
          <w:i/>
          <w:spacing w:val="1"/>
          <w:sz w:val="20"/>
          <w:szCs w:val="20"/>
        </w:rPr>
        <w:t>, P &lt; 0:01*</w:t>
      </w:r>
    </w:p>
    <w:p w14:paraId="30D25347" w14:textId="03B8B0AA" w:rsidR="00C36917" w:rsidRPr="0086092C" w:rsidRDefault="00C36917" w:rsidP="0086092C">
      <w:pPr>
        <w:spacing w:line="240" w:lineRule="auto"/>
        <w:jc w:val="center"/>
        <w:rPr>
          <w:rFonts w:ascii="Arial" w:hAnsi="Arial" w:cs="Arial"/>
          <w:i/>
          <w:iCs/>
          <w:sz w:val="20"/>
          <w:szCs w:val="20"/>
        </w:rPr>
      </w:pPr>
      <w:r w:rsidRPr="0086092C">
        <w:rPr>
          <w:rFonts w:ascii="Arial" w:hAnsi="Arial" w:cs="Arial"/>
          <w:i/>
          <w:iCs/>
          <w:sz w:val="20"/>
          <w:szCs w:val="20"/>
        </w:rPr>
        <w:t>Source: Author</w:t>
      </w:r>
      <w:r w:rsidR="00F3769D">
        <w:rPr>
          <w:rFonts w:ascii="Arial" w:hAnsi="Arial" w:cs="Arial"/>
          <w:i/>
          <w:iCs/>
          <w:sz w:val="20"/>
          <w:szCs w:val="20"/>
        </w:rPr>
        <w:t>s</w:t>
      </w:r>
      <w:r w:rsidRPr="0086092C">
        <w:rPr>
          <w:rFonts w:ascii="Arial" w:hAnsi="Arial" w:cs="Arial"/>
          <w:i/>
          <w:iCs/>
          <w:sz w:val="20"/>
          <w:szCs w:val="20"/>
        </w:rPr>
        <w:t>, using Stata 1</w:t>
      </w:r>
      <w:r w:rsidR="007C2E20" w:rsidRPr="0086092C">
        <w:rPr>
          <w:rFonts w:ascii="Arial" w:hAnsi="Arial" w:cs="Arial"/>
          <w:i/>
          <w:iCs/>
          <w:sz w:val="20"/>
          <w:szCs w:val="20"/>
        </w:rPr>
        <w:t>4</w:t>
      </w:r>
      <w:r w:rsidRPr="0086092C">
        <w:rPr>
          <w:rFonts w:ascii="Arial" w:hAnsi="Arial" w:cs="Arial"/>
          <w:i/>
          <w:iCs/>
          <w:sz w:val="20"/>
          <w:szCs w:val="20"/>
        </w:rPr>
        <w:t>.0</w:t>
      </w:r>
    </w:p>
    <w:p w14:paraId="0081877A" w14:textId="77777777" w:rsidR="0059357E" w:rsidRPr="0086092C" w:rsidRDefault="0059357E" w:rsidP="0086092C">
      <w:pPr>
        <w:spacing w:line="240" w:lineRule="auto"/>
        <w:rPr>
          <w:rFonts w:ascii="Arial" w:hAnsi="Arial" w:cs="Arial"/>
          <w:b/>
          <w:bCs/>
          <w:sz w:val="20"/>
          <w:szCs w:val="20"/>
        </w:rPr>
      </w:pPr>
    </w:p>
    <w:p w14:paraId="5F122DD8" w14:textId="413A9C0D" w:rsidR="00580C05" w:rsidRPr="00F3769D" w:rsidRDefault="003579D4" w:rsidP="0086092C">
      <w:pPr>
        <w:spacing w:line="240" w:lineRule="auto"/>
        <w:rPr>
          <w:rFonts w:ascii="Arial" w:hAnsi="Arial" w:cs="Arial"/>
          <w:b/>
          <w:bCs/>
        </w:rPr>
      </w:pPr>
      <w:r w:rsidRPr="00F3769D">
        <w:rPr>
          <w:rFonts w:ascii="Arial" w:hAnsi="Arial" w:cs="Arial"/>
          <w:b/>
          <w:bCs/>
        </w:rPr>
        <w:t xml:space="preserve">4.3. Granger Causality Test </w:t>
      </w:r>
    </w:p>
    <w:p w14:paraId="56ECAE96" w14:textId="235E79BD" w:rsidR="00580C05" w:rsidRPr="0086092C" w:rsidRDefault="00A139B7" w:rsidP="0086092C">
      <w:pPr>
        <w:spacing w:line="240" w:lineRule="auto"/>
        <w:jc w:val="both"/>
        <w:rPr>
          <w:rFonts w:ascii="Arial" w:hAnsi="Arial" w:cs="Arial"/>
          <w:sz w:val="20"/>
          <w:szCs w:val="20"/>
        </w:rPr>
      </w:pPr>
      <w:r w:rsidRPr="0086092C">
        <w:rPr>
          <w:rFonts w:ascii="Arial" w:hAnsi="Arial" w:cs="Arial"/>
          <w:sz w:val="20"/>
          <w:szCs w:val="20"/>
        </w:rPr>
        <w:lastRenderedPageBreak/>
        <w:t xml:space="preserve">The Granger causality test results </w:t>
      </w:r>
      <w:r w:rsidR="00DB2A5E" w:rsidRPr="0086092C">
        <w:rPr>
          <w:rFonts w:ascii="Arial" w:hAnsi="Arial" w:cs="Arial"/>
          <w:sz w:val="20"/>
          <w:szCs w:val="20"/>
        </w:rPr>
        <w:t xml:space="preserve">in Table </w:t>
      </w:r>
      <w:r w:rsidR="001B1D09" w:rsidRPr="0086092C">
        <w:rPr>
          <w:rFonts w:ascii="Arial" w:hAnsi="Arial" w:cs="Arial"/>
          <w:sz w:val="20"/>
          <w:szCs w:val="20"/>
        </w:rPr>
        <w:t>4</w:t>
      </w:r>
      <w:r w:rsidRPr="0086092C">
        <w:rPr>
          <w:rFonts w:ascii="Arial" w:hAnsi="Arial" w:cs="Arial"/>
          <w:sz w:val="20"/>
          <w:szCs w:val="20"/>
        </w:rPr>
        <w:t xml:space="preserve"> indicate that Regulatory Quality (RQ) may have a tentative influence on the Non-Performing Loans Ratio (NPLR), as evidenced by a p-value close to the significance threshold. Rule of Law (RL) is found to significantly predict RQ, but neither NPLR nor RQ appears to predict RL. When RQ and RL are considered together, they show a significant combined influence on NPLR.</w:t>
      </w:r>
      <w:r w:rsidR="00752785" w:rsidRPr="0086092C">
        <w:rPr>
          <w:rFonts w:ascii="Arial" w:hAnsi="Arial" w:cs="Arial"/>
          <w:sz w:val="20"/>
          <w:szCs w:val="20"/>
        </w:rPr>
        <w:t xml:space="preserve"> The combined significant influence of RQ and RL on NPLR supports Beck et al.'s (2013) argument that governance factors collectively contribute to banking sector health. </w:t>
      </w:r>
      <w:r w:rsidRPr="0086092C">
        <w:rPr>
          <w:rFonts w:ascii="Arial" w:hAnsi="Arial" w:cs="Arial"/>
          <w:sz w:val="20"/>
          <w:szCs w:val="20"/>
        </w:rPr>
        <w:t xml:space="preserve"> These findings suggest that while regulatory and legal frameworks in Chad have a predictive relationship with banking stability, as measured by NPLR, the causality does not extend in the opposite direction. The Granger causality test results support the use of </w:t>
      </w:r>
      <w:r w:rsidR="00580C05" w:rsidRPr="0086092C">
        <w:rPr>
          <w:rFonts w:ascii="Arial" w:hAnsi="Arial" w:cs="Arial"/>
          <w:sz w:val="20"/>
          <w:szCs w:val="20"/>
        </w:rPr>
        <w:t>a VAR framework to model the variables.</w:t>
      </w:r>
    </w:p>
    <w:p w14:paraId="3959C562" w14:textId="747E1450" w:rsidR="001B1D09" w:rsidRPr="0086092C" w:rsidRDefault="001B1D09" w:rsidP="0086092C">
      <w:pPr>
        <w:spacing w:after="0" w:line="240" w:lineRule="auto"/>
        <w:jc w:val="center"/>
        <w:rPr>
          <w:rFonts w:ascii="Arial" w:hAnsi="Arial" w:cs="Arial"/>
          <w:i/>
          <w:iCs/>
          <w:sz w:val="20"/>
          <w:szCs w:val="20"/>
        </w:rPr>
      </w:pPr>
      <w:r w:rsidRPr="0086092C">
        <w:rPr>
          <w:rFonts w:ascii="Arial" w:hAnsi="Arial" w:cs="Arial"/>
          <w:i/>
          <w:iCs/>
          <w:sz w:val="20"/>
          <w:szCs w:val="20"/>
        </w:rPr>
        <w:t xml:space="preserve">Table 4: Granger causality </w:t>
      </w:r>
      <w:proofErr w:type="spellStart"/>
      <w:r w:rsidRPr="0086092C">
        <w:rPr>
          <w:rFonts w:ascii="Arial" w:hAnsi="Arial" w:cs="Arial"/>
          <w:i/>
          <w:iCs/>
          <w:sz w:val="20"/>
          <w:szCs w:val="20"/>
        </w:rPr>
        <w:t>wald</w:t>
      </w:r>
      <w:proofErr w:type="spellEnd"/>
      <w:r w:rsidRPr="0086092C">
        <w:rPr>
          <w:rFonts w:ascii="Arial" w:hAnsi="Arial" w:cs="Arial"/>
          <w:i/>
          <w:iCs/>
          <w:sz w:val="20"/>
          <w:szCs w:val="20"/>
        </w:rPr>
        <w:t xml:space="preserve"> tests</w:t>
      </w:r>
    </w:p>
    <w:p w14:paraId="02B4BBEF" w14:textId="508CB1D4" w:rsidR="00580C05" w:rsidRPr="0086092C" w:rsidRDefault="00580C05" w:rsidP="0086092C">
      <w:pPr>
        <w:spacing w:after="0" w:line="240" w:lineRule="auto"/>
        <w:jc w:val="center"/>
        <w:rPr>
          <w:rFonts w:ascii="Arial" w:hAnsi="Arial" w:cs="Arial"/>
          <w:b/>
          <w:bCs/>
          <w:sz w:val="20"/>
          <w:szCs w:val="20"/>
        </w:rPr>
      </w:pPr>
      <w:r w:rsidRPr="0086092C">
        <w:rPr>
          <w:rFonts w:ascii="Arial" w:hAnsi="Arial" w:cs="Arial"/>
          <w:bCs/>
          <w:iCs/>
          <w:noProof/>
          <w:spacing w:val="1"/>
          <w:sz w:val="20"/>
          <w:szCs w:val="20"/>
        </w:rPr>
        <w:drawing>
          <wp:inline distT="0" distB="0" distL="0" distR="0" wp14:anchorId="408EE15D" wp14:editId="51AFF742">
            <wp:extent cx="5943600" cy="2484120"/>
            <wp:effectExtent l="0" t="0" r="0" b="0"/>
            <wp:docPr id="122305668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7">
                      <a:extLst>
                        <a:ext uri="{28A0092B-C50C-407E-A947-70E740481C1C}">
                          <a14:useLocalDpi xmlns:a14="http://schemas.microsoft.com/office/drawing/2010/main" val="0"/>
                        </a:ext>
                      </a:extLst>
                    </a:blip>
                    <a:srcRect t="7122"/>
                    <a:stretch/>
                  </pic:blipFill>
                  <pic:spPr bwMode="auto">
                    <a:xfrm>
                      <a:off x="0" y="0"/>
                      <a:ext cx="5943600" cy="2484120"/>
                    </a:xfrm>
                    <a:prstGeom prst="rect">
                      <a:avLst/>
                    </a:prstGeom>
                    <a:noFill/>
                    <a:ln>
                      <a:noFill/>
                    </a:ln>
                    <a:extLst>
                      <a:ext uri="{53640926-AAD7-44D8-BBD7-CCE9431645EC}">
                        <a14:shadowObscured xmlns:a14="http://schemas.microsoft.com/office/drawing/2010/main"/>
                      </a:ext>
                    </a:extLst>
                  </pic:spPr>
                </pic:pic>
              </a:graphicData>
            </a:graphic>
          </wp:inline>
        </w:drawing>
      </w:r>
    </w:p>
    <w:p w14:paraId="5F8C19F5" w14:textId="2F8AB8F3" w:rsidR="00F659C2" w:rsidRPr="0086092C" w:rsidRDefault="00F659C2" w:rsidP="0086092C">
      <w:pPr>
        <w:spacing w:line="240" w:lineRule="auto"/>
        <w:jc w:val="center"/>
        <w:rPr>
          <w:rFonts w:ascii="Arial" w:hAnsi="Arial" w:cs="Arial"/>
          <w:i/>
          <w:iCs/>
          <w:sz w:val="20"/>
          <w:szCs w:val="20"/>
        </w:rPr>
      </w:pPr>
      <w:r w:rsidRPr="0086092C">
        <w:rPr>
          <w:rFonts w:ascii="Arial" w:hAnsi="Arial" w:cs="Arial"/>
          <w:i/>
          <w:iCs/>
          <w:sz w:val="20"/>
          <w:szCs w:val="20"/>
        </w:rPr>
        <w:t>Source: Author, using Stata 1</w:t>
      </w:r>
      <w:r w:rsidR="008F6E27" w:rsidRPr="0086092C">
        <w:rPr>
          <w:rFonts w:ascii="Arial" w:hAnsi="Arial" w:cs="Arial"/>
          <w:i/>
          <w:iCs/>
          <w:sz w:val="20"/>
          <w:szCs w:val="20"/>
        </w:rPr>
        <w:t>4</w:t>
      </w:r>
      <w:r w:rsidRPr="0086092C">
        <w:rPr>
          <w:rFonts w:ascii="Arial" w:hAnsi="Arial" w:cs="Arial"/>
          <w:i/>
          <w:iCs/>
          <w:sz w:val="20"/>
          <w:szCs w:val="20"/>
        </w:rPr>
        <w:t>.0</w:t>
      </w:r>
    </w:p>
    <w:p w14:paraId="717D4AB0" w14:textId="6288088B" w:rsidR="00381E8A" w:rsidRPr="005F1F5A" w:rsidRDefault="003579D4" w:rsidP="0086092C">
      <w:pPr>
        <w:spacing w:line="240" w:lineRule="auto"/>
        <w:rPr>
          <w:rFonts w:ascii="Arial" w:hAnsi="Arial" w:cs="Arial"/>
          <w:b/>
          <w:bCs/>
        </w:rPr>
      </w:pPr>
      <w:r w:rsidRPr="005F1F5A">
        <w:rPr>
          <w:rFonts w:ascii="Arial" w:hAnsi="Arial" w:cs="Arial"/>
          <w:b/>
          <w:bCs/>
        </w:rPr>
        <w:t xml:space="preserve">4.4. </w:t>
      </w:r>
      <w:r w:rsidR="00381E8A" w:rsidRPr="005F1F5A">
        <w:rPr>
          <w:rFonts w:ascii="Arial" w:hAnsi="Arial" w:cs="Arial"/>
          <w:b/>
          <w:bCs/>
        </w:rPr>
        <w:t xml:space="preserve">Lag </w:t>
      </w:r>
      <w:r w:rsidRPr="005F1F5A">
        <w:rPr>
          <w:rFonts w:ascii="Arial" w:hAnsi="Arial" w:cs="Arial"/>
          <w:b/>
          <w:bCs/>
        </w:rPr>
        <w:t>Order Selection</w:t>
      </w:r>
    </w:p>
    <w:p w14:paraId="6EA72C8F" w14:textId="7CD44387" w:rsidR="00381E8A" w:rsidRPr="0086092C" w:rsidRDefault="00381E8A" w:rsidP="0086092C">
      <w:pPr>
        <w:tabs>
          <w:tab w:val="left" w:pos="2694"/>
          <w:tab w:val="left" w:pos="2977"/>
          <w:tab w:val="left" w:pos="3686"/>
        </w:tabs>
        <w:spacing w:line="240" w:lineRule="auto"/>
        <w:ind w:right="-1"/>
        <w:jc w:val="both"/>
        <w:rPr>
          <w:rFonts w:ascii="Arial" w:hAnsi="Arial" w:cs="Arial"/>
          <w:sz w:val="20"/>
          <w:szCs w:val="20"/>
        </w:rPr>
      </w:pPr>
      <w:r w:rsidRPr="0086092C">
        <w:rPr>
          <w:rFonts w:ascii="Arial" w:hAnsi="Arial" w:cs="Arial"/>
          <w:sz w:val="20"/>
          <w:szCs w:val="20"/>
        </w:rPr>
        <w:t xml:space="preserve">In order to choose the optimal time lag, we tested models with a lag of up to a maximum of 3 quarters. We observed the following criteria: Final Prediction Error (FPE), Akaike information criterion (AIC), Hannan-Quinn information criterion (HQIC) and Schwarz's Bayesian information criterion (SBIC). Table </w:t>
      </w:r>
      <w:r w:rsidR="001B1D09" w:rsidRPr="0086092C">
        <w:rPr>
          <w:rFonts w:ascii="Arial" w:hAnsi="Arial" w:cs="Arial"/>
          <w:sz w:val="20"/>
          <w:szCs w:val="20"/>
        </w:rPr>
        <w:t>5</w:t>
      </w:r>
      <w:r w:rsidRPr="0086092C">
        <w:rPr>
          <w:rFonts w:ascii="Arial" w:hAnsi="Arial" w:cs="Arial"/>
          <w:sz w:val="20"/>
          <w:szCs w:val="20"/>
        </w:rPr>
        <w:t xml:space="preserve"> shows the values of individual criteria for 3 lags. An asterisk indicates the optimal lag according to a given criterion. The results of the analysis suggested a model with a lag order of 1, observed according to all applied criteria. </w:t>
      </w:r>
    </w:p>
    <w:p w14:paraId="549F8212" w14:textId="24C251AE" w:rsidR="00FC19C4" w:rsidRPr="0086092C" w:rsidRDefault="00381E8A" w:rsidP="0086092C">
      <w:pPr>
        <w:spacing w:after="0" w:line="240" w:lineRule="auto"/>
        <w:jc w:val="center"/>
        <w:rPr>
          <w:rFonts w:ascii="Arial" w:hAnsi="Arial" w:cs="Arial"/>
          <w:i/>
          <w:iCs/>
          <w:sz w:val="20"/>
          <w:szCs w:val="20"/>
        </w:rPr>
      </w:pPr>
      <w:r w:rsidRPr="0086092C">
        <w:rPr>
          <w:rFonts w:ascii="Arial" w:hAnsi="Arial" w:cs="Arial"/>
          <w:i/>
          <w:iCs/>
          <w:sz w:val="20"/>
          <w:szCs w:val="20"/>
        </w:rPr>
        <w:t xml:space="preserve">Table </w:t>
      </w:r>
      <w:r w:rsidR="001B1D09" w:rsidRPr="0086092C">
        <w:rPr>
          <w:rFonts w:ascii="Arial" w:hAnsi="Arial" w:cs="Arial"/>
          <w:i/>
          <w:iCs/>
          <w:sz w:val="20"/>
          <w:szCs w:val="20"/>
        </w:rPr>
        <w:t>5</w:t>
      </w:r>
      <w:r w:rsidRPr="0086092C">
        <w:rPr>
          <w:rFonts w:ascii="Arial" w:hAnsi="Arial" w:cs="Arial"/>
          <w:i/>
          <w:iCs/>
          <w:sz w:val="20"/>
          <w:szCs w:val="20"/>
        </w:rPr>
        <w:t>: Selecting the optimal lag order of VAR</w:t>
      </w:r>
    </w:p>
    <w:p w14:paraId="79173DE1" w14:textId="0BADDFD2" w:rsidR="00381E8A" w:rsidRPr="0086092C" w:rsidRDefault="00381E8A" w:rsidP="0086092C">
      <w:pPr>
        <w:spacing w:after="0" w:line="240" w:lineRule="auto"/>
        <w:jc w:val="center"/>
        <w:rPr>
          <w:rFonts w:ascii="Arial" w:hAnsi="Arial" w:cs="Arial"/>
          <w:sz w:val="20"/>
          <w:szCs w:val="20"/>
        </w:rPr>
      </w:pPr>
      <w:r w:rsidRPr="0086092C">
        <w:rPr>
          <w:rFonts w:ascii="Arial" w:hAnsi="Arial" w:cs="Arial"/>
          <w:bCs/>
          <w:iCs/>
          <w:noProof/>
          <w:spacing w:val="1"/>
          <w:sz w:val="20"/>
          <w:szCs w:val="20"/>
        </w:rPr>
        <w:drawing>
          <wp:inline distT="0" distB="0" distL="0" distR="0" wp14:anchorId="2870312A" wp14:editId="35592465">
            <wp:extent cx="5943600" cy="1170305"/>
            <wp:effectExtent l="0" t="0" r="0" b="0"/>
            <wp:docPr id="44703105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170305"/>
                    </a:xfrm>
                    <a:prstGeom prst="rect">
                      <a:avLst/>
                    </a:prstGeom>
                    <a:noFill/>
                    <a:ln>
                      <a:noFill/>
                    </a:ln>
                  </pic:spPr>
                </pic:pic>
              </a:graphicData>
            </a:graphic>
          </wp:inline>
        </w:drawing>
      </w:r>
    </w:p>
    <w:p w14:paraId="24C566A9" w14:textId="77E61824" w:rsidR="007C2E20" w:rsidRPr="0086092C" w:rsidRDefault="007C2E20" w:rsidP="0086092C">
      <w:pPr>
        <w:spacing w:line="240" w:lineRule="auto"/>
        <w:jc w:val="center"/>
        <w:rPr>
          <w:rFonts w:ascii="Arial" w:hAnsi="Arial" w:cs="Arial"/>
          <w:i/>
          <w:iCs/>
          <w:sz w:val="20"/>
          <w:szCs w:val="20"/>
        </w:rPr>
      </w:pPr>
      <w:r w:rsidRPr="0086092C">
        <w:rPr>
          <w:rFonts w:ascii="Arial" w:hAnsi="Arial" w:cs="Arial"/>
          <w:i/>
          <w:iCs/>
          <w:sz w:val="20"/>
          <w:szCs w:val="20"/>
        </w:rPr>
        <w:t>Source: Authors, using Stata 14.0</w:t>
      </w:r>
    </w:p>
    <w:p w14:paraId="55A1F499" w14:textId="77777777" w:rsidR="005F1F5A" w:rsidRDefault="005F1F5A" w:rsidP="0086092C">
      <w:pPr>
        <w:spacing w:line="240" w:lineRule="auto"/>
        <w:jc w:val="both"/>
        <w:rPr>
          <w:rFonts w:ascii="Arial" w:hAnsi="Arial" w:cs="Arial"/>
          <w:b/>
          <w:bCs/>
          <w:sz w:val="20"/>
          <w:szCs w:val="20"/>
        </w:rPr>
      </w:pPr>
    </w:p>
    <w:p w14:paraId="1EEA6BCE" w14:textId="77777777" w:rsidR="005F1F5A" w:rsidRDefault="005F1F5A" w:rsidP="0086092C">
      <w:pPr>
        <w:spacing w:line="240" w:lineRule="auto"/>
        <w:jc w:val="both"/>
        <w:rPr>
          <w:rFonts w:ascii="Arial" w:hAnsi="Arial" w:cs="Arial"/>
          <w:b/>
          <w:bCs/>
          <w:sz w:val="20"/>
          <w:szCs w:val="20"/>
        </w:rPr>
      </w:pPr>
    </w:p>
    <w:p w14:paraId="5F684202" w14:textId="41316487" w:rsidR="001B1D09" w:rsidRPr="005F1F5A" w:rsidRDefault="003579D4" w:rsidP="0086092C">
      <w:pPr>
        <w:spacing w:line="240" w:lineRule="auto"/>
        <w:jc w:val="both"/>
        <w:rPr>
          <w:rFonts w:ascii="Arial" w:hAnsi="Arial" w:cs="Arial"/>
          <w:b/>
          <w:bCs/>
        </w:rPr>
      </w:pPr>
      <w:r w:rsidRPr="005F1F5A">
        <w:rPr>
          <w:rFonts w:ascii="Arial" w:hAnsi="Arial" w:cs="Arial"/>
          <w:b/>
          <w:bCs/>
        </w:rPr>
        <w:t xml:space="preserve">4.5. </w:t>
      </w:r>
      <w:r w:rsidR="007C2E20" w:rsidRPr="005F1F5A">
        <w:rPr>
          <w:rFonts w:ascii="Arial" w:hAnsi="Arial" w:cs="Arial"/>
          <w:b/>
          <w:bCs/>
        </w:rPr>
        <w:t>Interpretations and Discussion</w:t>
      </w:r>
      <w:r w:rsidR="001B1D09" w:rsidRPr="005F1F5A">
        <w:rPr>
          <w:rFonts w:ascii="Arial" w:hAnsi="Arial" w:cs="Arial"/>
          <w:b/>
          <w:bCs/>
        </w:rPr>
        <w:t xml:space="preserve"> </w:t>
      </w:r>
      <w:r w:rsidRPr="005F1F5A">
        <w:rPr>
          <w:rFonts w:ascii="Arial" w:hAnsi="Arial" w:cs="Arial"/>
          <w:b/>
          <w:bCs/>
        </w:rPr>
        <w:t xml:space="preserve">of </w:t>
      </w:r>
      <w:r w:rsidR="001B1D09" w:rsidRPr="005F1F5A">
        <w:rPr>
          <w:rFonts w:ascii="Arial" w:hAnsi="Arial" w:cs="Arial"/>
          <w:b/>
          <w:bCs/>
        </w:rPr>
        <w:t xml:space="preserve">VAR </w:t>
      </w:r>
      <w:r w:rsidR="007C2E20" w:rsidRPr="005F1F5A">
        <w:rPr>
          <w:rFonts w:ascii="Arial" w:hAnsi="Arial" w:cs="Arial"/>
          <w:b/>
          <w:bCs/>
        </w:rPr>
        <w:t>E</w:t>
      </w:r>
      <w:r w:rsidRPr="005F1F5A">
        <w:rPr>
          <w:rFonts w:ascii="Arial" w:hAnsi="Arial" w:cs="Arial"/>
          <w:b/>
          <w:bCs/>
        </w:rPr>
        <w:t xml:space="preserve">stimation </w:t>
      </w:r>
      <w:r w:rsidR="007C2E20" w:rsidRPr="005F1F5A">
        <w:rPr>
          <w:rFonts w:ascii="Arial" w:hAnsi="Arial" w:cs="Arial"/>
          <w:b/>
          <w:bCs/>
        </w:rPr>
        <w:t>R</w:t>
      </w:r>
      <w:r w:rsidRPr="005F1F5A">
        <w:rPr>
          <w:rFonts w:ascii="Arial" w:hAnsi="Arial" w:cs="Arial"/>
          <w:b/>
          <w:bCs/>
        </w:rPr>
        <w:t>esults</w:t>
      </w:r>
    </w:p>
    <w:p w14:paraId="5BDB9DC3" w14:textId="77777777" w:rsidR="00E33557" w:rsidRPr="0086092C" w:rsidRDefault="00500B74" w:rsidP="0086092C">
      <w:pPr>
        <w:spacing w:line="240" w:lineRule="auto"/>
        <w:jc w:val="both"/>
        <w:rPr>
          <w:rFonts w:ascii="Arial" w:hAnsi="Arial" w:cs="Arial"/>
          <w:sz w:val="20"/>
          <w:szCs w:val="20"/>
        </w:rPr>
      </w:pPr>
      <w:r w:rsidRPr="0086092C">
        <w:rPr>
          <w:rFonts w:ascii="Arial" w:hAnsi="Arial" w:cs="Arial"/>
          <w:sz w:val="20"/>
          <w:szCs w:val="20"/>
        </w:rPr>
        <w:lastRenderedPageBreak/>
        <w:t xml:space="preserve">In the empirical analysis of Chad's banking sector, the Vector Autoregression (VAR) model </w:t>
      </w:r>
      <w:r w:rsidR="00C17D3C" w:rsidRPr="0086092C">
        <w:rPr>
          <w:rFonts w:ascii="Arial" w:hAnsi="Arial" w:cs="Arial"/>
          <w:sz w:val="20"/>
          <w:szCs w:val="20"/>
        </w:rPr>
        <w:t xml:space="preserve">results in Table 6 </w:t>
      </w:r>
      <w:r w:rsidRPr="0086092C">
        <w:rPr>
          <w:rFonts w:ascii="Arial" w:hAnsi="Arial" w:cs="Arial"/>
          <w:sz w:val="20"/>
          <w:szCs w:val="20"/>
        </w:rPr>
        <w:t xml:space="preserve">reveals significant relationships </w:t>
      </w:r>
      <w:r w:rsidR="0070316D" w:rsidRPr="0086092C">
        <w:rPr>
          <w:rFonts w:ascii="Arial" w:hAnsi="Arial" w:cs="Arial"/>
          <w:sz w:val="20"/>
          <w:szCs w:val="20"/>
        </w:rPr>
        <w:t>among</w:t>
      </w:r>
      <w:r w:rsidRPr="0086092C">
        <w:rPr>
          <w:rFonts w:ascii="Arial" w:hAnsi="Arial" w:cs="Arial"/>
          <w:sz w:val="20"/>
          <w:szCs w:val="20"/>
        </w:rPr>
        <w:t xml:space="preserve"> regulatory quality (RQ), rule of law (RL), and non-performing loans ratio (NPLR). </w:t>
      </w:r>
    </w:p>
    <w:p w14:paraId="2BAB63A6" w14:textId="77777777" w:rsidR="00E33557" w:rsidRPr="0086092C" w:rsidRDefault="00E33557" w:rsidP="0086092C">
      <w:pPr>
        <w:spacing w:line="240" w:lineRule="auto"/>
        <w:jc w:val="both"/>
        <w:rPr>
          <w:rFonts w:ascii="Arial" w:hAnsi="Arial" w:cs="Arial"/>
          <w:sz w:val="20"/>
          <w:szCs w:val="20"/>
        </w:rPr>
      </w:pPr>
      <w:r w:rsidRPr="0086092C">
        <w:rPr>
          <w:rFonts w:ascii="Arial" w:hAnsi="Arial" w:cs="Arial"/>
          <w:sz w:val="20"/>
          <w:szCs w:val="20"/>
        </w:rPr>
        <w:t>The results indicate that an increase in regulatory quality significantly reduces the Non-Performing Loans Ratio (NPLR). Specifically, A one-unit increase in regulatory quality leads to a 12.8091 unit decrease in the Non-Performing Loans Ratio (NPLR). This statistically significant result (at the 10% level) suggests that improvements in regulatory quality significantly enhance banking stability by reducing the proportion of non-performing loans. This finding aligns with previous studies that emphasize the importance of robust regulatory frameworks in maintaining banking stability. For instance, Barth et al. (2013) found that stringent regulatory practices are associated with lower levels of non-performing loans and higher banking stability. Similarly, the Basel Committee on Banking Supervision (2013) highlighted that effective regulation, including capital adequacy and risk management standards, is crucial for the resilience of the banking sector.</w:t>
      </w:r>
    </w:p>
    <w:p w14:paraId="7A39672A" w14:textId="152B841B" w:rsidR="00E33557" w:rsidRPr="0086092C" w:rsidRDefault="00E33557" w:rsidP="0086092C">
      <w:pPr>
        <w:spacing w:line="240" w:lineRule="auto"/>
        <w:jc w:val="both"/>
        <w:rPr>
          <w:rFonts w:ascii="Arial" w:hAnsi="Arial" w:cs="Arial"/>
          <w:sz w:val="20"/>
          <w:szCs w:val="20"/>
        </w:rPr>
      </w:pPr>
      <w:r w:rsidRPr="0086092C">
        <w:rPr>
          <w:rFonts w:ascii="Arial" w:hAnsi="Arial" w:cs="Arial"/>
          <w:sz w:val="20"/>
          <w:szCs w:val="20"/>
        </w:rPr>
        <w:t xml:space="preserve">Conversely, an increase in </w:t>
      </w:r>
      <w:r w:rsidR="002A0246" w:rsidRPr="0086092C">
        <w:rPr>
          <w:rFonts w:ascii="Arial" w:hAnsi="Arial" w:cs="Arial"/>
          <w:sz w:val="20"/>
          <w:szCs w:val="20"/>
        </w:rPr>
        <w:t xml:space="preserve">the rule of law </w:t>
      </w:r>
      <w:r w:rsidRPr="0086092C">
        <w:rPr>
          <w:rFonts w:ascii="Arial" w:hAnsi="Arial" w:cs="Arial"/>
          <w:sz w:val="20"/>
          <w:szCs w:val="20"/>
        </w:rPr>
        <w:t xml:space="preserve">significantly </w:t>
      </w:r>
      <w:r w:rsidR="002A0246" w:rsidRPr="0086092C">
        <w:rPr>
          <w:rFonts w:ascii="Arial" w:hAnsi="Arial" w:cs="Arial"/>
          <w:sz w:val="20"/>
          <w:szCs w:val="20"/>
        </w:rPr>
        <w:t>increases</w:t>
      </w:r>
      <w:r w:rsidRPr="0086092C">
        <w:rPr>
          <w:rFonts w:ascii="Arial" w:hAnsi="Arial" w:cs="Arial"/>
          <w:sz w:val="20"/>
          <w:szCs w:val="20"/>
        </w:rPr>
        <w:t xml:space="preserve"> the Non-Performing Loans Ratio</w:t>
      </w:r>
      <w:r w:rsidR="002A0246" w:rsidRPr="0086092C">
        <w:rPr>
          <w:rFonts w:ascii="Arial" w:hAnsi="Arial" w:cs="Arial"/>
          <w:sz w:val="20"/>
          <w:szCs w:val="20"/>
        </w:rPr>
        <w:t xml:space="preserve">. Specifically, a </w:t>
      </w:r>
      <w:r w:rsidRPr="0086092C">
        <w:rPr>
          <w:rFonts w:ascii="Arial" w:hAnsi="Arial" w:cs="Arial"/>
          <w:sz w:val="20"/>
          <w:szCs w:val="20"/>
        </w:rPr>
        <w:t>one-unit increase in the rule of law leads to an 8.741609 unit increase in the Non-Performing Loans Ratio. This statistically significant result (at the 10% level) suggests that while improvements in the legal framework might initially lead to stricter enforcement and recognition of non-performing loans, it is essential for long-term stability. The positive coefficient of the Rule of Law index on the NPLR suggests that improvements in the legal framework might initially lead to an increase in non-performing loans. This counterintuitive result can be explained by the stricter enforcement and recognition of non-performing loans that come with a stronger legal framework. This finding is supported by Beck et al. (2009), who argued that stronger legal enforcement can reveal underlying issues in the banking sector, leading to a temporary increase in non-performing loans. Over time, however, a robust legal framework is expected to contribute to long-term banking stability by ensuring clear and predictable legal environments. The IMF (20</w:t>
      </w:r>
      <w:r w:rsidR="00C57B3A" w:rsidRPr="0086092C">
        <w:rPr>
          <w:rFonts w:ascii="Arial" w:hAnsi="Arial" w:cs="Arial"/>
          <w:sz w:val="20"/>
          <w:szCs w:val="20"/>
        </w:rPr>
        <w:t>09</w:t>
      </w:r>
      <w:r w:rsidRPr="0086092C">
        <w:rPr>
          <w:rFonts w:ascii="Arial" w:hAnsi="Arial" w:cs="Arial"/>
          <w:sz w:val="20"/>
          <w:szCs w:val="20"/>
        </w:rPr>
        <w:t>) emphasized that a strong legal framework is essential for maintaining confidence in the financial system and protecting the rights of depositors and creditors. Therefore, while the initial impact might be an increase in non-performing loans, the long-term benefits of a strong legal framework are crucial for banking stability.</w:t>
      </w:r>
    </w:p>
    <w:p w14:paraId="771D49AA" w14:textId="5D052B49" w:rsidR="00E33557" w:rsidRPr="0086092C" w:rsidRDefault="00E33557" w:rsidP="0086092C">
      <w:pPr>
        <w:spacing w:line="240" w:lineRule="auto"/>
        <w:jc w:val="both"/>
        <w:rPr>
          <w:rFonts w:ascii="Arial" w:hAnsi="Arial" w:cs="Arial"/>
          <w:sz w:val="20"/>
          <w:szCs w:val="20"/>
        </w:rPr>
      </w:pPr>
      <w:r w:rsidRPr="0086092C">
        <w:rPr>
          <w:rFonts w:ascii="Arial" w:hAnsi="Arial" w:cs="Arial"/>
          <w:sz w:val="20"/>
          <w:szCs w:val="20"/>
        </w:rPr>
        <w:t xml:space="preserve">The interplay between regulatory and legal frameworks is critical in shaping banking stability. Our results indicate that a one-unit increase in the rule of law leads to a 0.345011 unit decrease in regulatory quality. This statistically significant result (at the 5% level) indicates that improvements in the legal framework might initially challenge the regulatory framework, potentially due to stricter enforcement and the need for regulatory adjustments. </w:t>
      </w:r>
      <w:r w:rsidR="00D444EF" w:rsidRPr="0086092C">
        <w:rPr>
          <w:rFonts w:ascii="Arial" w:hAnsi="Arial" w:cs="Arial"/>
          <w:sz w:val="20"/>
          <w:szCs w:val="20"/>
        </w:rPr>
        <w:t>Therefore, the legal environment is instrumental in shaping regulatory quality and consequently, the overall health of the banking system</w:t>
      </w:r>
      <w:r w:rsidRPr="0086092C">
        <w:rPr>
          <w:rFonts w:ascii="Arial" w:hAnsi="Arial" w:cs="Arial"/>
          <w:sz w:val="20"/>
          <w:szCs w:val="20"/>
        </w:rPr>
        <w:t>. This finding is consistent with Springer (2024), who noted that regulatory reforms often require adjustments in the legal framework to ensure coherence and effectiveness.</w:t>
      </w:r>
    </w:p>
    <w:p w14:paraId="24FAD565" w14:textId="77777777" w:rsidR="0059357E" w:rsidRPr="0086092C" w:rsidRDefault="0059357E" w:rsidP="0086092C">
      <w:pPr>
        <w:spacing w:line="240" w:lineRule="auto"/>
        <w:jc w:val="both"/>
        <w:rPr>
          <w:rFonts w:ascii="Arial" w:hAnsi="Arial" w:cs="Arial"/>
          <w:sz w:val="20"/>
          <w:szCs w:val="20"/>
        </w:rPr>
      </w:pPr>
    </w:p>
    <w:p w14:paraId="39657B73" w14:textId="77777777" w:rsidR="0059357E" w:rsidRPr="0086092C" w:rsidRDefault="0059357E" w:rsidP="0086092C">
      <w:pPr>
        <w:spacing w:line="240" w:lineRule="auto"/>
        <w:jc w:val="both"/>
        <w:rPr>
          <w:rFonts w:ascii="Arial" w:hAnsi="Arial" w:cs="Arial"/>
          <w:sz w:val="20"/>
          <w:szCs w:val="20"/>
        </w:rPr>
      </w:pPr>
    </w:p>
    <w:p w14:paraId="2B84CBE7" w14:textId="77777777" w:rsidR="0059357E" w:rsidRPr="0086092C" w:rsidRDefault="0059357E" w:rsidP="0086092C">
      <w:pPr>
        <w:spacing w:line="240" w:lineRule="auto"/>
        <w:jc w:val="both"/>
        <w:rPr>
          <w:rFonts w:ascii="Arial" w:hAnsi="Arial" w:cs="Arial"/>
          <w:sz w:val="20"/>
          <w:szCs w:val="20"/>
        </w:rPr>
      </w:pPr>
    </w:p>
    <w:p w14:paraId="2EFB5BC2" w14:textId="77777777" w:rsidR="0059357E" w:rsidRPr="0086092C" w:rsidRDefault="0059357E" w:rsidP="0086092C">
      <w:pPr>
        <w:spacing w:line="240" w:lineRule="auto"/>
        <w:jc w:val="both"/>
        <w:rPr>
          <w:rFonts w:ascii="Arial" w:hAnsi="Arial" w:cs="Arial"/>
          <w:sz w:val="20"/>
          <w:szCs w:val="20"/>
        </w:rPr>
      </w:pPr>
    </w:p>
    <w:p w14:paraId="08A0D53F" w14:textId="77777777" w:rsidR="0059357E" w:rsidRPr="0086092C" w:rsidRDefault="0059357E" w:rsidP="0086092C">
      <w:pPr>
        <w:spacing w:line="240" w:lineRule="auto"/>
        <w:jc w:val="both"/>
        <w:rPr>
          <w:rFonts w:ascii="Arial" w:hAnsi="Arial" w:cs="Arial"/>
          <w:sz w:val="20"/>
          <w:szCs w:val="20"/>
        </w:rPr>
      </w:pPr>
    </w:p>
    <w:p w14:paraId="28F21EE0" w14:textId="77777777" w:rsidR="0059357E" w:rsidRPr="0086092C" w:rsidRDefault="0059357E" w:rsidP="0086092C">
      <w:pPr>
        <w:spacing w:line="240" w:lineRule="auto"/>
        <w:jc w:val="both"/>
        <w:rPr>
          <w:rFonts w:ascii="Arial" w:hAnsi="Arial" w:cs="Arial"/>
          <w:sz w:val="20"/>
          <w:szCs w:val="20"/>
        </w:rPr>
      </w:pPr>
    </w:p>
    <w:p w14:paraId="230E6AF4" w14:textId="77777777" w:rsidR="0059357E" w:rsidRPr="0086092C" w:rsidRDefault="0059357E" w:rsidP="0086092C">
      <w:pPr>
        <w:spacing w:line="240" w:lineRule="auto"/>
        <w:jc w:val="both"/>
        <w:rPr>
          <w:rFonts w:ascii="Arial" w:hAnsi="Arial" w:cs="Arial"/>
          <w:sz w:val="20"/>
          <w:szCs w:val="20"/>
        </w:rPr>
      </w:pPr>
    </w:p>
    <w:p w14:paraId="0F31A116" w14:textId="77777777" w:rsidR="0059357E" w:rsidRPr="0086092C" w:rsidRDefault="0059357E" w:rsidP="0086092C">
      <w:pPr>
        <w:spacing w:line="240" w:lineRule="auto"/>
        <w:jc w:val="both"/>
        <w:rPr>
          <w:rFonts w:ascii="Arial" w:hAnsi="Arial" w:cs="Arial"/>
          <w:sz w:val="20"/>
          <w:szCs w:val="20"/>
        </w:rPr>
      </w:pPr>
    </w:p>
    <w:p w14:paraId="037CB82A" w14:textId="77777777" w:rsidR="0059357E" w:rsidRPr="0086092C" w:rsidRDefault="0059357E" w:rsidP="0086092C">
      <w:pPr>
        <w:spacing w:line="240" w:lineRule="auto"/>
        <w:jc w:val="both"/>
        <w:rPr>
          <w:rFonts w:ascii="Arial" w:hAnsi="Arial" w:cs="Arial"/>
          <w:sz w:val="20"/>
          <w:szCs w:val="20"/>
        </w:rPr>
      </w:pPr>
    </w:p>
    <w:p w14:paraId="439BC503" w14:textId="6B2652A7" w:rsidR="00C17D3C" w:rsidRPr="0086092C" w:rsidRDefault="00C17D3C" w:rsidP="0086092C">
      <w:pPr>
        <w:spacing w:after="0" w:line="240" w:lineRule="auto"/>
        <w:jc w:val="center"/>
        <w:rPr>
          <w:rFonts w:ascii="Arial" w:hAnsi="Arial" w:cs="Arial"/>
          <w:i/>
          <w:iCs/>
          <w:sz w:val="20"/>
          <w:szCs w:val="20"/>
        </w:rPr>
      </w:pPr>
      <w:r w:rsidRPr="0086092C">
        <w:rPr>
          <w:rFonts w:ascii="Arial" w:hAnsi="Arial" w:cs="Arial"/>
          <w:i/>
          <w:iCs/>
          <w:sz w:val="20"/>
          <w:szCs w:val="20"/>
        </w:rPr>
        <w:t>Table 6: VAR estimation results</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1870"/>
        <w:gridCol w:w="1870"/>
        <w:gridCol w:w="1870"/>
        <w:gridCol w:w="1870"/>
      </w:tblGrid>
      <w:tr w:rsidR="003E75E4" w:rsidRPr="0086092C" w14:paraId="54E907EC" w14:textId="77777777" w:rsidTr="0059357E">
        <w:trPr>
          <w:jc w:val="center"/>
        </w:trPr>
        <w:tc>
          <w:tcPr>
            <w:tcW w:w="1870" w:type="dxa"/>
            <w:tcBorders>
              <w:top w:val="single" w:sz="12" w:space="0" w:color="auto"/>
              <w:bottom w:val="single" w:sz="12" w:space="0" w:color="auto"/>
              <w:right w:val="nil"/>
            </w:tcBorders>
          </w:tcPr>
          <w:p w14:paraId="55823B89" w14:textId="77777777" w:rsidR="003E75E4" w:rsidRPr="0086092C" w:rsidRDefault="003E75E4" w:rsidP="0086092C">
            <w:pPr>
              <w:jc w:val="center"/>
              <w:rPr>
                <w:rFonts w:ascii="Arial" w:hAnsi="Arial" w:cs="Arial"/>
                <w:b/>
                <w:bCs/>
                <w:sz w:val="20"/>
                <w:szCs w:val="20"/>
              </w:rPr>
            </w:pPr>
          </w:p>
        </w:tc>
        <w:tc>
          <w:tcPr>
            <w:tcW w:w="1870" w:type="dxa"/>
            <w:tcBorders>
              <w:top w:val="single" w:sz="12" w:space="0" w:color="auto"/>
              <w:left w:val="nil"/>
              <w:bottom w:val="single" w:sz="12" w:space="0" w:color="auto"/>
              <w:right w:val="nil"/>
            </w:tcBorders>
          </w:tcPr>
          <w:p w14:paraId="0032CB11" w14:textId="6BF708F5" w:rsidR="003E75E4" w:rsidRPr="0086092C" w:rsidRDefault="00C55675" w:rsidP="0086092C">
            <w:pPr>
              <w:jc w:val="center"/>
              <w:rPr>
                <w:rFonts w:ascii="Arial" w:hAnsi="Arial" w:cs="Arial"/>
                <w:b/>
                <w:bCs/>
                <w:sz w:val="20"/>
                <w:szCs w:val="20"/>
              </w:rPr>
            </w:pPr>
            <m:oMath>
              <m:r>
                <m:rPr>
                  <m:sty m:val="bi"/>
                </m:rPr>
                <w:rPr>
                  <w:rFonts w:ascii="Cambria Math" w:hAnsi="Cambria Math" w:cs="Arial"/>
                  <w:sz w:val="20"/>
                  <w:szCs w:val="20"/>
                </w:rPr>
                <m:t>∆</m:t>
              </m:r>
            </m:oMath>
            <w:r w:rsidR="003E75E4" w:rsidRPr="0086092C">
              <w:rPr>
                <w:rFonts w:ascii="Arial" w:hAnsi="Arial" w:cs="Arial"/>
                <w:b/>
                <w:bCs/>
                <w:sz w:val="20"/>
                <w:szCs w:val="20"/>
              </w:rPr>
              <w:t>NPLR</w:t>
            </w:r>
          </w:p>
        </w:tc>
        <w:tc>
          <w:tcPr>
            <w:tcW w:w="1870" w:type="dxa"/>
            <w:tcBorders>
              <w:top w:val="single" w:sz="12" w:space="0" w:color="auto"/>
              <w:left w:val="nil"/>
              <w:bottom w:val="single" w:sz="12" w:space="0" w:color="auto"/>
              <w:right w:val="nil"/>
            </w:tcBorders>
          </w:tcPr>
          <w:p w14:paraId="37A50BEA" w14:textId="78098A01" w:rsidR="003E75E4" w:rsidRPr="0086092C" w:rsidRDefault="00C55675" w:rsidP="0086092C">
            <w:pPr>
              <w:jc w:val="center"/>
              <w:rPr>
                <w:rFonts w:ascii="Arial" w:hAnsi="Arial" w:cs="Arial"/>
                <w:b/>
                <w:bCs/>
                <w:sz w:val="20"/>
                <w:szCs w:val="20"/>
              </w:rPr>
            </w:pPr>
            <m:oMathPara>
              <m:oMath>
                <m:r>
                  <m:rPr>
                    <m:sty m:val="bi"/>
                  </m:rPr>
                  <w:rPr>
                    <w:rFonts w:ascii="Cambria Math" w:hAnsi="Cambria Math" w:cs="Arial"/>
                    <w:sz w:val="20"/>
                    <w:szCs w:val="20"/>
                  </w:rPr>
                  <m:t>RQ</m:t>
                </m:r>
              </m:oMath>
            </m:oMathPara>
          </w:p>
        </w:tc>
        <w:tc>
          <w:tcPr>
            <w:tcW w:w="1870" w:type="dxa"/>
            <w:tcBorders>
              <w:top w:val="single" w:sz="12" w:space="0" w:color="auto"/>
              <w:left w:val="nil"/>
              <w:bottom w:val="single" w:sz="12" w:space="0" w:color="auto"/>
            </w:tcBorders>
          </w:tcPr>
          <w:p w14:paraId="51C6E773" w14:textId="22B33703" w:rsidR="003E75E4" w:rsidRPr="0086092C" w:rsidRDefault="00C55675" w:rsidP="0086092C">
            <w:pPr>
              <w:jc w:val="center"/>
              <w:rPr>
                <w:rFonts w:ascii="Arial" w:hAnsi="Arial" w:cs="Arial"/>
                <w:b/>
                <w:bCs/>
                <w:sz w:val="20"/>
                <w:szCs w:val="20"/>
              </w:rPr>
            </w:pPr>
            <m:oMathPara>
              <m:oMath>
                <m:r>
                  <m:rPr>
                    <m:sty m:val="bi"/>
                  </m:rPr>
                  <w:rPr>
                    <w:rFonts w:ascii="Cambria Math" w:hAnsi="Cambria Math" w:cs="Arial"/>
                    <w:sz w:val="20"/>
                    <w:szCs w:val="20"/>
                  </w:rPr>
                  <m:t>RL</m:t>
                </m:r>
              </m:oMath>
            </m:oMathPara>
          </w:p>
        </w:tc>
      </w:tr>
      <w:tr w:rsidR="003E75E4" w:rsidRPr="0086092C" w14:paraId="0508E59B" w14:textId="77777777" w:rsidTr="0059357E">
        <w:trPr>
          <w:jc w:val="center"/>
        </w:trPr>
        <w:tc>
          <w:tcPr>
            <w:tcW w:w="1870" w:type="dxa"/>
            <w:tcBorders>
              <w:top w:val="single" w:sz="12" w:space="0" w:color="auto"/>
              <w:bottom w:val="nil"/>
              <w:right w:val="nil"/>
            </w:tcBorders>
            <w:shd w:val="clear" w:color="auto" w:fill="F2F2F2" w:themeFill="background1" w:themeFillShade="F2"/>
          </w:tcPr>
          <w:p w14:paraId="0AE1B95C" w14:textId="77777777" w:rsidR="003E75E4" w:rsidRPr="0086092C" w:rsidRDefault="003E75E4" w:rsidP="0086092C">
            <w:pPr>
              <w:jc w:val="center"/>
              <w:rPr>
                <w:rFonts w:ascii="Arial" w:hAnsi="Arial" w:cs="Arial"/>
                <w:sz w:val="20"/>
                <w:szCs w:val="20"/>
              </w:rPr>
            </w:pPr>
            <m:oMathPara>
              <m:oMathParaPr>
                <m:jc m:val="left"/>
              </m:oMathParaPr>
              <m:oMath>
                <m:r>
                  <w:rPr>
                    <w:rFonts w:ascii="Cambria Math" w:hAnsi="Cambria Math" w:cs="Arial"/>
                    <w:sz w:val="20"/>
                    <w:szCs w:val="20"/>
                  </w:rPr>
                  <w:lastRenderedPageBreak/>
                  <m:t>∆</m:t>
                </m:r>
                <m:sSub>
                  <m:sSubPr>
                    <m:ctrlPr>
                      <w:rPr>
                        <w:rFonts w:ascii="Cambria Math" w:hAnsi="Cambria Math" w:cs="Arial"/>
                        <w:sz w:val="20"/>
                        <w:szCs w:val="20"/>
                      </w:rPr>
                    </m:ctrlPr>
                  </m:sSubPr>
                  <m:e>
                    <m:r>
                      <w:rPr>
                        <w:rFonts w:ascii="Cambria Math" w:hAnsi="Cambria Math" w:cs="Arial"/>
                        <w:sz w:val="20"/>
                        <w:szCs w:val="20"/>
                      </w:rPr>
                      <m:t>NPLR</m:t>
                    </m:r>
                  </m:e>
                  <m:sub>
                    <m:r>
                      <w:rPr>
                        <w:rFonts w:ascii="Cambria Math" w:hAnsi="Cambria Math" w:cs="Arial"/>
                        <w:sz w:val="20"/>
                        <w:szCs w:val="20"/>
                      </w:rPr>
                      <m:t>t-1 </m:t>
                    </m:r>
                  </m:sub>
                </m:sSub>
              </m:oMath>
            </m:oMathPara>
          </w:p>
        </w:tc>
        <w:tc>
          <w:tcPr>
            <w:tcW w:w="1870" w:type="dxa"/>
            <w:tcBorders>
              <w:top w:val="single" w:sz="12" w:space="0" w:color="auto"/>
              <w:left w:val="nil"/>
              <w:bottom w:val="nil"/>
              <w:right w:val="nil"/>
            </w:tcBorders>
            <w:shd w:val="clear" w:color="auto" w:fill="F2F2F2" w:themeFill="background1" w:themeFillShade="F2"/>
          </w:tcPr>
          <w:p w14:paraId="1090C2FC" w14:textId="383DCCD3" w:rsidR="003E75E4" w:rsidRPr="0086092C" w:rsidRDefault="00797A04" w:rsidP="0086092C">
            <w:pPr>
              <w:jc w:val="center"/>
              <w:rPr>
                <w:rFonts w:ascii="Arial" w:hAnsi="Arial" w:cs="Arial"/>
                <w:sz w:val="20"/>
                <w:szCs w:val="20"/>
              </w:rPr>
            </w:pPr>
            <w:r w:rsidRPr="0086092C">
              <w:rPr>
                <w:rFonts w:ascii="Arial" w:hAnsi="Arial" w:cs="Arial"/>
                <w:sz w:val="20"/>
                <w:szCs w:val="20"/>
              </w:rPr>
              <w:t>0</w:t>
            </w:r>
            <w:r w:rsidR="003E75E4" w:rsidRPr="0086092C">
              <w:rPr>
                <w:rFonts w:ascii="Arial" w:hAnsi="Arial" w:cs="Arial"/>
                <w:sz w:val="20"/>
                <w:szCs w:val="20"/>
              </w:rPr>
              <w:t>.0260346</w:t>
            </w:r>
            <w:proofErr w:type="gramStart"/>
            <w:r w:rsidR="003E75E4" w:rsidRPr="0086092C">
              <w:rPr>
                <w:rFonts w:ascii="Arial" w:hAnsi="Arial" w:cs="Arial"/>
                <w:sz w:val="20"/>
                <w:szCs w:val="20"/>
              </w:rPr>
              <w:t xml:space="preserve">   </w:t>
            </w:r>
            <w:r w:rsidR="00805F07" w:rsidRPr="0086092C">
              <w:rPr>
                <w:rFonts w:ascii="Arial" w:hAnsi="Arial" w:cs="Arial"/>
                <w:sz w:val="20"/>
                <w:szCs w:val="20"/>
              </w:rPr>
              <w:t>(</w:t>
            </w:r>
            <w:proofErr w:type="gramEnd"/>
            <w:r w:rsidR="00805F07" w:rsidRPr="0086092C">
              <w:rPr>
                <w:rFonts w:ascii="Arial" w:hAnsi="Arial" w:cs="Arial"/>
                <w:sz w:val="20"/>
                <w:szCs w:val="20"/>
              </w:rPr>
              <w:t>0</w:t>
            </w:r>
            <w:r w:rsidR="003E75E4" w:rsidRPr="0086092C">
              <w:rPr>
                <w:rFonts w:ascii="Arial" w:hAnsi="Arial" w:cs="Arial"/>
                <w:sz w:val="20"/>
                <w:szCs w:val="20"/>
              </w:rPr>
              <w:t>.2197087</w:t>
            </w:r>
            <w:r w:rsidR="00805F07" w:rsidRPr="0086092C">
              <w:rPr>
                <w:rFonts w:ascii="Arial" w:hAnsi="Arial" w:cs="Arial"/>
                <w:sz w:val="20"/>
                <w:szCs w:val="20"/>
              </w:rPr>
              <w:t>)</w:t>
            </w:r>
          </w:p>
        </w:tc>
        <w:tc>
          <w:tcPr>
            <w:tcW w:w="1870" w:type="dxa"/>
            <w:tcBorders>
              <w:top w:val="single" w:sz="12" w:space="0" w:color="auto"/>
              <w:left w:val="nil"/>
              <w:bottom w:val="nil"/>
              <w:right w:val="nil"/>
            </w:tcBorders>
            <w:shd w:val="clear" w:color="auto" w:fill="F2F2F2" w:themeFill="background1" w:themeFillShade="F2"/>
          </w:tcPr>
          <w:p w14:paraId="1C94F8BE" w14:textId="2E2A7F0B" w:rsidR="003E75E4" w:rsidRPr="0086092C" w:rsidRDefault="00797A04" w:rsidP="0086092C">
            <w:pPr>
              <w:jc w:val="center"/>
              <w:rPr>
                <w:rFonts w:ascii="Arial" w:hAnsi="Arial" w:cs="Arial"/>
                <w:sz w:val="20"/>
                <w:szCs w:val="20"/>
              </w:rPr>
            </w:pPr>
            <w:r w:rsidRPr="0086092C">
              <w:rPr>
                <w:rFonts w:ascii="Arial" w:hAnsi="Arial" w:cs="Arial"/>
                <w:sz w:val="20"/>
                <w:szCs w:val="20"/>
              </w:rPr>
              <w:t>-0.0057578</w:t>
            </w:r>
            <w:proofErr w:type="gramStart"/>
            <w:r w:rsidRPr="0086092C">
              <w:rPr>
                <w:rFonts w:ascii="Arial" w:hAnsi="Arial" w:cs="Arial"/>
                <w:sz w:val="20"/>
                <w:szCs w:val="20"/>
              </w:rPr>
              <w:t xml:space="preserve">   </w:t>
            </w:r>
            <w:r w:rsidR="003E75E4" w:rsidRPr="0086092C">
              <w:rPr>
                <w:rFonts w:ascii="Arial" w:hAnsi="Arial" w:cs="Arial"/>
                <w:sz w:val="20"/>
                <w:szCs w:val="20"/>
              </w:rPr>
              <w:t>(</w:t>
            </w:r>
            <w:proofErr w:type="gramEnd"/>
            <w:r w:rsidRPr="0086092C">
              <w:rPr>
                <w:rFonts w:ascii="Arial" w:hAnsi="Arial" w:cs="Arial"/>
                <w:sz w:val="20"/>
                <w:szCs w:val="20"/>
              </w:rPr>
              <w:t>0.0065409</w:t>
            </w:r>
            <w:r w:rsidR="003E75E4" w:rsidRPr="0086092C">
              <w:rPr>
                <w:rFonts w:ascii="Arial" w:hAnsi="Arial" w:cs="Arial"/>
                <w:sz w:val="20"/>
                <w:szCs w:val="20"/>
              </w:rPr>
              <w:t>)</w:t>
            </w:r>
          </w:p>
        </w:tc>
        <w:tc>
          <w:tcPr>
            <w:tcW w:w="1870" w:type="dxa"/>
            <w:tcBorders>
              <w:top w:val="single" w:sz="12" w:space="0" w:color="auto"/>
              <w:left w:val="nil"/>
              <w:bottom w:val="nil"/>
            </w:tcBorders>
            <w:shd w:val="clear" w:color="auto" w:fill="F2F2F2" w:themeFill="background1" w:themeFillShade="F2"/>
          </w:tcPr>
          <w:p w14:paraId="1A175789" w14:textId="49D5DA49" w:rsidR="003E75E4" w:rsidRPr="0086092C" w:rsidRDefault="00797A04" w:rsidP="0086092C">
            <w:pPr>
              <w:jc w:val="center"/>
              <w:rPr>
                <w:rFonts w:ascii="Arial" w:hAnsi="Arial" w:cs="Arial"/>
                <w:sz w:val="20"/>
                <w:szCs w:val="20"/>
              </w:rPr>
            </w:pPr>
            <w:r w:rsidRPr="0086092C">
              <w:rPr>
                <w:rFonts w:ascii="Arial" w:hAnsi="Arial" w:cs="Arial"/>
                <w:sz w:val="20"/>
                <w:szCs w:val="20"/>
              </w:rPr>
              <w:t>0.0047533</w:t>
            </w:r>
            <w:proofErr w:type="gramStart"/>
            <w:r w:rsidRPr="0086092C">
              <w:rPr>
                <w:rFonts w:ascii="Arial" w:hAnsi="Arial" w:cs="Arial"/>
                <w:sz w:val="20"/>
                <w:szCs w:val="20"/>
              </w:rPr>
              <w:t xml:space="preserve">   </w:t>
            </w:r>
            <w:r w:rsidR="003E75E4" w:rsidRPr="0086092C">
              <w:rPr>
                <w:rFonts w:ascii="Arial" w:hAnsi="Arial" w:cs="Arial"/>
                <w:sz w:val="20"/>
                <w:szCs w:val="20"/>
              </w:rPr>
              <w:t>(</w:t>
            </w:r>
            <w:proofErr w:type="gramEnd"/>
            <w:r w:rsidRPr="0086092C">
              <w:rPr>
                <w:rFonts w:ascii="Arial" w:hAnsi="Arial" w:cs="Arial"/>
                <w:sz w:val="20"/>
                <w:szCs w:val="20"/>
              </w:rPr>
              <w:t>0.0083407</w:t>
            </w:r>
            <w:r w:rsidR="003E75E4" w:rsidRPr="0086092C">
              <w:rPr>
                <w:rFonts w:ascii="Arial" w:hAnsi="Arial" w:cs="Arial"/>
                <w:sz w:val="20"/>
                <w:szCs w:val="20"/>
              </w:rPr>
              <w:t>)</w:t>
            </w:r>
          </w:p>
        </w:tc>
      </w:tr>
      <w:tr w:rsidR="003E75E4" w:rsidRPr="0086092C" w14:paraId="7527B971" w14:textId="77777777" w:rsidTr="0059357E">
        <w:trPr>
          <w:jc w:val="center"/>
        </w:trPr>
        <w:tc>
          <w:tcPr>
            <w:tcW w:w="1870" w:type="dxa"/>
            <w:tcBorders>
              <w:top w:val="nil"/>
              <w:bottom w:val="nil"/>
              <w:right w:val="nil"/>
            </w:tcBorders>
          </w:tcPr>
          <w:p w14:paraId="415D259A" w14:textId="34714F67" w:rsidR="003E75E4" w:rsidRPr="0086092C" w:rsidRDefault="000B2300" w:rsidP="0086092C">
            <w:pPr>
              <w:jc w:val="center"/>
              <w:rPr>
                <w:rFonts w:ascii="Arial" w:hAnsi="Arial" w:cs="Arial"/>
                <w:sz w:val="20"/>
                <w:szCs w:val="20"/>
              </w:rPr>
            </w:pPr>
            <m:oMathPara>
              <m:oMathParaPr>
                <m:jc m:val="left"/>
              </m:oMathParaPr>
              <m:oMath>
                <m:sSub>
                  <m:sSubPr>
                    <m:ctrlPr>
                      <w:rPr>
                        <w:rFonts w:ascii="Cambria Math" w:hAnsi="Cambria Math" w:cs="Arial"/>
                        <w:sz w:val="20"/>
                        <w:szCs w:val="20"/>
                      </w:rPr>
                    </m:ctrlPr>
                  </m:sSubPr>
                  <m:e>
                    <m:r>
                      <w:rPr>
                        <w:rFonts w:ascii="Cambria Math" w:hAnsi="Cambria Math" w:cs="Arial"/>
                        <w:sz w:val="20"/>
                        <w:szCs w:val="20"/>
                      </w:rPr>
                      <m:t>RQ</m:t>
                    </m:r>
                  </m:e>
                  <m:sub>
                    <m:r>
                      <w:rPr>
                        <w:rFonts w:ascii="Cambria Math" w:hAnsi="Cambria Math" w:cs="Arial"/>
                        <w:sz w:val="20"/>
                        <w:szCs w:val="20"/>
                      </w:rPr>
                      <m:t>t</m:t>
                    </m:r>
                    <m:r>
                      <w:rPr>
                        <w:rFonts w:ascii="Cambria Math" w:hAnsi="Cambria Math" w:cs="Arial"/>
                        <w:sz w:val="20"/>
                        <w:szCs w:val="20"/>
                      </w:rPr>
                      <m:t>-</m:t>
                    </m:r>
                    <m:r>
                      <w:rPr>
                        <w:rFonts w:ascii="Cambria Math" w:hAnsi="Cambria Math" w:cs="Arial"/>
                        <w:sz w:val="20"/>
                        <w:szCs w:val="20"/>
                      </w:rPr>
                      <m:t>1 </m:t>
                    </m:r>
                  </m:sub>
                </m:sSub>
              </m:oMath>
            </m:oMathPara>
          </w:p>
        </w:tc>
        <w:tc>
          <w:tcPr>
            <w:tcW w:w="1870" w:type="dxa"/>
            <w:tcBorders>
              <w:top w:val="nil"/>
              <w:left w:val="nil"/>
              <w:bottom w:val="nil"/>
              <w:right w:val="nil"/>
            </w:tcBorders>
          </w:tcPr>
          <w:p w14:paraId="0B327CEA" w14:textId="35E793BE" w:rsidR="00805F07" w:rsidRPr="0086092C" w:rsidRDefault="00805F07" w:rsidP="0086092C">
            <w:pPr>
              <w:jc w:val="center"/>
              <w:rPr>
                <w:rFonts w:ascii="Arial" w:hAnsi="Arial" w:cs="Arial"/>
                <w:sz w:val="20"/>
                <w:szCs w:val="20"/>
              </w:rPr>
            </w:pPr>
            <w:r w:rsidRPr="0086092C">
              <w:rPr>
                <w:rFonts w:ascii="Arial" w:hAnsi="Arial" w:cs="Arial"/>
                <w:sz w:val="20"/>
                <w:szCs w:val="20"/>
              </w:rPr>
              <w:t>-12.8091*</w:t>
            </w:r>
          </w:p>
          <w:p w14:paraId="2D786AED" w14:textId="158722AB" w:rsidR="003E75E4" w:rsidRPr="0086092C" w:rsidRDefault="003E75E4" w:rsidP="0086092C">
            <w:pPr>
              <w:jc w:val="center"/>
              <w:rPr>
                <w:rFonts w:ascii="Arial" w:hAnsi="Arial" w:cs="Arial"/>
                <w:sz w:val="20"/>
                <w:szCs w:val="20"/>
              </w:rPr>
            </w:pPr>
            <w:r w:rsidRPr="0086092C">
              <w:rPr>
                <w:rFonts w:ascii="Arial" w:hAnsi="Arial" w:cs="Arial"/>
                <w:sz w:val="20"/>
                <w:szCs w:val="20"/>
              </w:rPr>
              <w:t>(</w:t>
            </w:r>
            <w:r w:rsidR="00805F07" w:rsidRPr="0086092C">
              <w:rPr>
                <w:rFonts w:ascii="Arial" w:hAnsi="Arial" w:cs="Arial"/>
                <w:sz w:val="20"/>
                <w:szCs w:val="20"/>
              </w:rPr>
              <w:t>6.646969</w:t>
            </w:r>
            <w:r w:rsidRPr="0086092C">
              <w:rPr>
                <w:rFonts w:ascii="Arial" w:hAnsi="Arial" w:cs="Arial"/>
                <w:sz w:val="20"/>
                <w:szCs w:val="20"/>
              </w:rPr>
              <w:t>)</w:t>
            </w:r>
          </w:p>
        </w:tc>
        <w:tc>
          <w:tcPr>
            <w:tcW w:w="1870" w:type="dxa"/>
            <w:tcBorders>
              <w:top w:val="nil"/>
              <w:left w:val="nil"/>
              <w:bottom w:val="nil"/>
              <w:right w:val="nil"/>
            </w:tcBorders>
          </w:tcPr>
          <w:p w14:paraId="7FAAC1BD" w14:textId="30AE1330" w:rsidR="003E75E4" w:rsidRPr="0086092C" w:rsidRDefault="00797A04" w:rsidP="0086092C">
            <w:pPr>
              <w:jc w:val="center"/>
              <w:rPr>
                <w:rFonts w:ascii="Arial" w:hAnsi="Arial" w:cs="Arial"/>
                <w:sz w:val="20"/>
                <w:szCs w:val="20"/>
              </w:rPr>
            </w:pPr>
            <w:r w:rsidRPr="0086092C">
              <w:rPr>
                <w:rFonts w:ascii="Arial" w:hAnsi="Arial" w:cs="Arial"/>
                <w:sz w:val="20"/>
                <w:szCs w:val="20"/>
              </w:rPr>
              <w:t>-0.0265603</w:t>
            </w:r>
            <w:proofErr w:type="gramStart"/>
            <w:r w:rsidRPr="0086092C">
              <w:rPr>
                <w:rFonts w:ascii="Arial" w:hAnsi="Arial" w:cs="Arial"/>
                <w:sz w:val="20"/>
                <w:szCs w:val="20"/>
              </w:rPr>
              <w:t xml:space="preserve">   </w:t>
            </w:r>
            <w:r w:rsidR="003E75E4" w:rsidRPr="0086092C">
              <w:rPr>
                <w:rFonts w:ascii="Arial" w:hAnsi="Arial" w:cs="Arial"/>
                <w:sz w:val="20"/>
                <w:szCs w:val="20"/>
              </w:rPr>
              <w:t>(</w:t>
            </w:r>
            <w:proofErr w:type="gramEnd"/>
            <w:r w:rsidRPr="0086092C">
              <w:rPr>
                <w:rFonts w:ascii="Arial" w:hAnsi="Arial" w:cs="Arial"/>
                <w:sz w:val="20"/>
                <w:szCs w:val="20"/>
              </w:rPr>
              <w:t>0.1978863</w:t>
            </w:r>
            <w:r w:rsidR="003E75E4" w:rsidRPr="0086092C">
              <w:rPr>
                <w:rFonts w:ascii="Arial" w:hAnsi="Arial" w:cs="Arial"/>
                <w:sz w:val="20"/>
                <w:szCs w:val="20"/>
              </w:rPr>
              <w:t>)</w:t>
            </w:r>
          </w:p>
        </w:tc>
        <w:tc>
          <w:tcPr>
            <w:tcW w:w="1870" w:type="dxa"/>
            <w:tcBorders>
              <w:top w:val="nil"/>
              <w:left w:val="nil"/>
              <w:bottom w:val="nil"/>
            </w:tcBorders>
          </w:tcPr>
          <w:p w14:paraId="54D75FFA" w14:textId="485A1DA6" w:rsidR="003E75E4" w:rsidRPr="0086092C" w:rsidRDefault="000808C3" w:rsidP="0086092C">
            <w:pPr>
              <w:jc w:val="center"/>
              <w:rPr>
                <w:rFonts w:ascii="Arial" w:hAnsi="Arial" w:cs="Arial"/>
                <w:sz w:val="20"/>
                <w:szCs w:val="20"/>
              </w:rPr>
            </w:pPr>
            <w:r w:rsidRPr="0086092C">
              <w:rPr>
                <w:rFonts w:ascii="Arial" w:hAnsi="Arial" w:cs="Arial"/>
                <w:sz w:val="20"/>
                <w:szCs w:val="20"/>
              </w:rPr>
              <w:t>0</w:t>
            </w:r>
            <w:r w:rsidR="00797A04" w:rsidRPr="0086092C">
              <w:rPr>
                <w:rFonts w:ascii="Arial" w:hAnsi="Arial" w:cs="Arial"/>
                <w:sz w:val="20"/>
                <w:szCs w:val="20"/>
              </w:rPr>
              <w:t>.0745498</w:t>
            </w:r>
            <w:proofErr w:type="gramStart"/>
            <w:r w:rsidR="00797A04" w:rsidRPr="0086092C">
              <w:rPr>
                <w:rFonts w:ascii="Arial" w:hAnsi="Arial" w:cs="Arial"/>
                <w:sz w:val="20"/>
                <w:szCs w:val="20"/>
              </w:rPr>
              <w:t xml:space="preserve">   </w:t>
            </w:r>
            <w:r w:rsidR="003E75E4" w:rsidRPr="0086092C">
              <w:rPr>
                <w:rFonts w:ascii="Arial" w:hAnsi="Arial" w:cs="Arial"/>
                <w:sz w:val="20"/>
                <w:szCs w:val="20"/>
              </w:rPr>
              <w:t>(</w:t>
            </w:r>
            <w:proofErr w:type="gramEnd"/>
            <w:r w:rsidRPr="0086092C">
              <w:rPr>
                <w:rFonts w:ascii="Arial" w:hAnsi="Arial" w:cs="Arial"/>
                <w:sz w:val="20"/>
                <w:szCs w:val="20"/>
              </w:rPr>
              <w:t>0</w:t>
            </w:r>
            <w:r w:rsidR="00797A04" w:rsidRPr="0086092C">
              <w:rPr>
                <w:rFonts w:ascii="Arial" w:hAnsi="Arial" w:cs="Arial"/>
                <w:sz w:val="20"/>
                <w:szCs w:val="20"/>
              </w:rPr>
              <w:t>.2523351</w:t>
            </w:r>
            <w:r w:rsidR="003E75E4" w:rsidRPr="0086092C">
              <w:rPr>
                <w:rFonts w:ascii="Arial" w:hAnsi="Arial" w:cs="Arial"/>
                <w:sz w:val="20"/>
                <w:szCs w:val="20"/>
              </w:rPr>
              <w:t>)</w:t>
            </w:r>
          </w:p>
        </w:tc>
      </w:tr>
      <w:tr w:rsidR="003E75E4" w:rsidRPr="0086092C" w14:paraId="5B81CD91" w14:textId="77777777" w:rsidTr="0059357E">
        <w:trPr>
          <w:jc w:val="center"/>
        </w:trPr>
        <w:tc>
          <w:tcPr>
            <w:tcW w:w="1870" w:type="dxa"/>
            <w:tcBorders>
              <w:top w:val="nil"/>
              <w:bottom w:val="nil"/>
              <w:right w:val="nil"/>
            </w:tcBorders>
            <w:shd w:val="clear" w:color="auto" w:fill="F2F2F2" w:themeFill="background1" w:themeFillShade="F2"/>
          </w:tcPr>
          <w:p w14:paraId="100211D3" w14:textId="4FD06F3F" w:rsidR="003E75E4" w:rsidRPr="0086092C" w:rsidRDefault="000B2300" w:rsidP="0086092C">
            <w:pPr>
              <w:jc w:val="center"/>
              <w:rPr>
                <w:rFonts w:ascii="Arial" w:hAnsi="Arial" w:cs="Arial"/>
                <w:sz w:val="20"/>
                <w:szCs w:val="20"/>
              </w:rPr>
            </w:pPr>
            <m:oMathPara>
              <m:oMathParaPr>
                <m:jc m:val="left"/>
              </m:oMathParaPr>
              <m:oMath>
                <m:sSub>
                  <m:sSubPr>
                    <m:ctrlPr>
                      <w:rPr>
                        <w:rFonts w:ascii="Cambria Math" w:hAnsi="Cambria Math" w:cs="Arial"/>
                        <w:sz w:val="20"/>
                        <w:szCs w:val="20"/>
                      </w:rPr>
                    </m:ctrlPr>
                  </m:sSubPr>
                  <m:e>
                    <m:r>
                      <w:rPr>
                        <w:rFonts w:ascii="Cambria Math" w:hAnsi="Cambria Math" w:cs="Arial"/>
                        <w:sz w:val="20"/>
                        <w:szCs w:val="20"/>
                      </w:rPr>
                      <m:t>RL</m:t>
                    </m:r>
                  </m:e>
                  <m:sub>
                    <m:r>
                      <w:rPr>
                        <w:rFonts w:ascii="Cambria Math" w:hAnsi="Cambria Math" w:cs="Arial"/>
                        <w:sz w:val="20"/>
                        <w:szCs w:val="20"/>
                      </w:rPr>
                      <m:t>t</m:t>
                    </m:r>
                    <m:r>
                      <w:rPr>
                        <w:rFonts w:ascii="Cambria Math" w:hAnsi="Cambria Math" w:cs="Arial"/>
                        <w:sz w:val="20"/>
                        <w:szCs w:val="20"/>
                      </w:rPr>
                      <m:t>-</m:t>
                    </m:r>
                    <m:r>
                      <w:rPr>
                        <w:rFonts w:ascii="Cambria Math" w:hAnsi="Cambria Math" w:cs="Arial"/>
                        <w:sz w:val="20"/>
                        <w:szCs w:val="20"/>
                      </w:rPr>
                      <m:t>1 </m:t>
                    </m:r>
                  </m:sub>
                </m:sSub>
              </m:oMath>
            </m:oMathPara>
          </w:p>
        </w:tc>
        <w:tc>
          <w:tcPr>
            <w:tcW w:w="1870" w:type="dxa"/>
            <w:tcBorders>
              <w:top w:val="nil"/>
              <w:left w:val="nil"/>
              <w:bottom w:val="nil"/>
              <w:right w:val="nil"/>
            </w:tcBorders>
            <w:shd w:val="clear" w:color="auto" w:fill="F2F2F2" w:themeFill="background1" w:themeFillShade="F2"/>
          </w:tcPr>
          <w:p w14:paraId="3A72832D" w14:textId="7A145881" w:rsidR="003E75E4" w:rsidRPr="0086092C" w:rsidRDefault="00805F07" w:rsidP="0086092C">
            <w:pPr>
              <w:jc w:val="center"/>
              <w:rPr>
                <w:rFonts w:ascii="Arial" w:hAnsi="Arial" w:cs="Arial"/>
                <w:sz w:val="20"/>
                <w:szCs w:val="20"/>
              </w:rPr>
            </w:pPr>
            <w:r w:rsidRPr="0086092C">
              <w:rPr>
                <w:rFonts w:ascii="Arial" w:hAnsi="Arial" w:cs="Arial"/>
                <w:sz w:val="20"/>
                <w:szCs w:val="20"/>
              </w:rPr>
              <w:t>8.741609*</w:t>
            </w:r>
            <w:proofErr w:type="gramStart"/>
            <w:r w:rsidRPr="0086092C">
              <w:rPr>
                <w:rFonts w:ascii="Arial" w:hAnsi="Arial" w:cs="Arial"/>
                <w:sz w:val="20"/>
                <w:szCs w:val="20"/>
              </w:rPr>
              <w:t xml:space="preserve">   </w:t>
            </w:r>
            <w:r w:rsidR="003E75E4" w:rsidRPr="0086092C">
              <w:rPr>
                <w:rFonts w:ascii="Arial" w:hAnsi="Arial" w:cs="Arial"/>
                <w:sz w:val="20"/>
                <w:szCs w:val="20"/>
              </w:rPr>
              <w:t>(</w:t>
            </w:r>
            <w:proofErr w:type="gramEnd"/>
            <w:r w:rsidR="00797A04" w:rsidRPr="0086092C">
              <w:rPr>
                <w:rFonts w:ascii="Arial" w:hAnsi="Arial" w:cs="Arial"/>
                <w:sz w:val="20"/>
                <w:szCs w:val="20"/>
              </w:rPr>
              <w:t>5.131123</w:t>
            </w:r>
            <w:r w:rsidR="003E75E4" w:rsidRPr="0086092C">
              <w:rPr>
                <w:rFonts w:ascii="Arial" w:hAnsi="Arial" w:cs="Arial"/>
                <w:sz w:val="20"/>
                <w:szCs w:val="20"/>
              </w:rPr>
              <w:t>)</w:t>
            </w:r>
          </w:p>
        </w:tc>
        <w:tc>
          <w:tcPr>
            <w:tcW w:w="1870" w:type="dxa"/>
            <w:tcBorders>
              <w:top w:val="nil"/>
              <w:left w:val="nil"/>
              <w:bottom w:val="nil"/>
              <w:right w:val="nil"/>
            </w:tcBorders>
            <w:shd w:val="clear" w:color="auto" w:fill="F2F2F2" w:themeFill="background1" w:themeFillShade="F2"/>
          </w:tcPr>
          <w:p w14:paraId="1D38164A" w14:textId="101BB8BE" w:rsidR="00797A04" w:rsidRPr="0086092C" w:rsidRDefault="00797A04" w:rsidP="0086092C">
            <w:pPr>
              <w:jc w:val="center"/>
              <w:rPr>
                <w:rFonts w:ascii="Arial" w:hAnsi="Arial" w:cs="Arial"/>
                <w:sz w:val="20"/>
                <w:szCs w:val="20"/>
              </w:rPr>
            </w:pPr>
            <w:r w:rsidRPr="0086092C">
              <w:rPr>
                <w:rFonts w:ascii="Arial" w:hAnsi="Arial" w:cs="Arial"/>
                <w:sz w:val="20"/>
                <w:szCs w:val="20"/>
              </w:rPr>
              <w:t>-0.345011**</w:t>
            </w:r>
          </w:p>
          <w:p w14:paraId="561F1FAD" w14:textId="50E47908" w:rsidR="003E75E4" w:rsidRPr="0086092C" w:rsidRDefault="003E75E4" w:rsidP="0086092C">
            <w:pPr>
              <w:jc w:val="center"/>
              <w:rPr>
                <w:rFonts w:ascii="Arial" w:hAnsi="Arial" w:cs="Arial"/>
                <w:sz w:val="20"/>
                <w:szCs w:val="20"/>
              </w:rPr>
            </w:pPr>
            <w:r w:rsidRPr="0086092C">
              <w:rPr>
                <w:rFonts w:ascii="Arial" w:hAnsi="Arial" w:cs="Arial"/>
                <w:sz w:val="20"/>
                <w:szCs w:val="20"/>
              </w:rPr>
              <w:t>(</w:t>
            </w:r>
            <w:r w:rsidR="00797A04" w:rsidRPr="0086092C">
              <w:rPr>
                <w:rFonts w:ascii="Arial" w:hAnsi="Arial" w:cs="Arial"/>
                <w:sz w:val="20"/>
                <w:szCs w:val="20"/>
              </w:rPr>
              <w:t>0.1527582</w:t>
            </w:r>
            <w:r w:rsidRPr="0086092C">
              <w:rPr>
                <w:rFonts w:ascii="Arial" w:hAnsi="Arial" w:cs="Arial"/>
                <w:sz w:val="20"/>
                <w:szCs w:val="20"/>
              </w:rPr>
              <w:t>)</w:t>
            </w:r>
          </w:p>
        </w:tc>
        <w:tc>
          <w:tcPr>
            <w:tcW w:w="1870" w:type="dxa"/>
            <w:tcBorders>
              <w:top w:val="nil"/>
              <w:left w:val="nil"/>
              <w:bottom w:val="nil"/>
            </w:tcBorders>
            <w:shd w:val="clear" w:color="auto" w:fill="F2F2F2" w:themeFill="background1" w:themeFillShade="F2"/>
          </w:tcPr>
          <w:p w14:paraId="030F10E2" w14:textId="128B06E6" w:rsidR="003E75E4" w:rsidRPr="0086092C" w:rsidRDefault="000808C3" w:rsidP="0086092C">
            <w:pPr>
              <w:jc w:val="center"/>
              <w:rPr>
                <w:rFonts w:ascii="Arial" w:hAnsi="Arial" w:cs="Arial"/>
                <w:sz w:val="20"/>
                <w:szCs w:val="20"/>
              </w:rPr>
            </w:pPr>
            <w:r w:rsidRPr="0086092C">
              <w:rPr>
                <w:rFonts w:ascii="Arial" w:hAnsi="Arial" w:cs="Arial"/>
                <w:sz w:val="20"/>
                <w:szCs w:val="20"/>
              </w:rPr>
              <w:t>0.5858973***</w:t>
            </w:r>
            <w:proofErr w:type="gramStart"/>
            <w:r w:rsidRPr="0086092C">
              <w:rPr>
                <w:rFonts w:ascii="Arial" w:hAnsi="Arial" w:cs="Arial"/>
                <w:sz w:val="20"/>
                <w:szCs w:val="20"/>
              </w:rPr>
              <w:t xml:space="preserve">   </w:t>
            </w:r>
            <w:r w:rsidR="003E75E4" w:rsidRPr="0086092C">
              <w:rPr>
                <w:rFonts w:ascii="Arial" w:hAnsi="Arial" w:cs="Arial"/>
                <w:sz w:val="20"/>
                <w:szCs w:val="20"/>
              </w:rPr>
              <w:t>(</w:t>
            </w:r>
            <w:proofErr w:type="gramEnd"/>
            <w:r w:rsidRPr="0086092C">
              <w:rPr>
                <w:rFonts w:ascii="Arial" w:hAnsi="Arial" w:cs="Arial"/>
                <w:sz w:val="20"/>
                <w:szCs w:val="20"/>
              </w:rPr>
              <w:t>.1947899</w:t>
            </w:r>
            <w:r w:rsidR="003E75E4" w:rsidRPr="0086092C">
              <w:rPr>
                <w:rFonts w:ascii="Arial" w:hAnsi="Arial" w:cs="Arial"/>
                <w:sz w:val="20"/>
                <w:szCs w:val="20"/>
              </w:rPr>
              <w:t>)</w:t>
            </w:r>
          </w:p>
        </w:tc>
      </w:tr>
      <w:tr w:rsidR="003E75E4" w:rsidRPr="0086092C" w14:paraId="78E1717F" w14:textId="77777777" w:rsidTr="0059357E">
        <w:trPr>
          <w:jc w:val="center"/>
        </w:trPr>
        <w:tc>
          <w:tcPr>
            <w:tcW w:w="1870" w:type="dxa"/>
            <w:tcBorders>
              <w:top w:val="nil"/>
              <w:bottom w:val="nil"/>
              <w:right w:val="nil"/>
            </w:tcBorders>
          </w:tcPr>
          <w:p w14:paraId="0515ACAD" w14:textId="24B46921" w:rsidR="003E75E4" w:rsidRPr="0086092C" w:rsidRDefault="003E75E4" w:rsidP="0086092C">
            <w:pPr>
              <w:jc w:val="center"/>
              <w:rPr>
                <w:rFonts w:ascii="Arial" w:hAnsi="Arial" w:cs="Arial"/>
                <w:sz w:val="20"/>
                <w:szCs w:val="20"/>
              </w:rPr>
            </w:pPr>
            <w:r w:rsidRPr="0086092C">
              <w:rPr>
                <w:rFonts w:ascii="Arial" w:hAnsi="Arial" w:cs="Arial"/>
                <w:sz w:val="20"/>
                <w:szCs w:val="20"/>
              </w:rPr>
              <w:t>_cons</w:t>
            </w:r>
          </w:p>
        </w:tc>
        <w:tc>
          <w:tcPr>
            <w:tcW w:w="1870" w:type="dxa"/>
            <w:tcBorders>
              <w:top w:val="nil"/>
              <w:left w:val="nil"/>
              <w:bottom w:val="nil"/>
              <w:right w:val="nil"/>
            </w:tcBorders>
          </w:tcPr>
          <w:p w14:paraId="2B8E1402" w14:textId="337FDD36" w:rsidR="003E75E4" w:rsidRPr="0086092C" w:rsidRDefault="00797A04" w:rsidP="0086092C">
            <w:pPr>
              <w:jc w:val="center"/>
              <w:rPr>
                <w:rFonts w:ascii="Arial" w:hAnsi="Arial" w:cs="Arial"/>
                <w:sz w:val="20"/>
                <w:szCs w:val="20"/>
              </w:rPr>
            </w:pPr>
            <w:r w:rsidRPr="0086092C">
              <w:rPr>
                <w:rFonts w:ascii="Arial" w:hAnsi="Arial" w:cs="Arial"/>
                <w:sz w:val="20"/>
                <w:szCs w:val="20"/>
              </w:rPr>
              <w:t xml:space="preserve">-1.291499  </w:t>
            </w:r>
            <w:proofErr w:type="gramStart"/>
            <w:r w:rsidRPr="0086092C">
              <w:rPr>
                <w:rFonts w:ascii="Arial" w:hAnsi="Arial" w:cs="Arial"/>
                <w:sz w:val="20"/>
                <w:szCs w:val="20"/>
              </w:rPr>
              <w:t xml:space="preserve">   </w:t>
            </w:r>
            <w:r w:rsidR="003E75E4" w:rsidRPr="0086092C">
              <w:rPr>
                <w:rFonts w:ascii="Arial" w:hAnsi="Arial" w:cs="Arial"/>
                <w:sz w:val="20"/>
                <w:szCs w:val="20"/>
              </w:rPr>
              <w:t>(</w:t>
            </w:r>
            <w:proofErr w:type="gramEnd"/>
            <w:r w:rsidRPr="0086092C">
              <w:rPr>
                <w:rFonts w:ascii="Arial" w:hAnsi="Arial" w:cs="Arial"/>
                <w:sz w:val="20"/>
                <w:szCs w:val="20"/>
              </w:rPr>
              <w:t>10.427</w:t>
            </w:r>
            <w:r w:rsidR="003E75E4" w:rsidRPr="0086092C">
              <w:rPr>
                <w:rFonts w:ascii="Arial" w:hAnsi="Arial" w:cs="Arial"/>
                <w:sz w:val="20"/>
                <w:szCs w:val="20"/>
              </w:rPr>
              <w:t>)</w:t>
            </w:r>
          </w:p>
        </w:tc>
        <w:tc>
          <w:tcPr>
            <w:tcW w:w="1870" w:type="dxa"/>
            <w:tcBorders>
              <w:top w:val="nil"/>
              <w:left w:val="nil"/>
              <w:bottom w:val="nil"/>
              <w:right w:val="nil"/>
            </w:tcBorders>
          </w:tcPr>
          <w:p w14:paraId="04A25C2F" w14:textId="2707D9A8" w:rsidR="003E75E4" w:rsidRPr="0086092C" w:rsidRDefault="00797A04" w:rsidP="0086092C">
            <w:pPr>
              <w:jc w:val="center"/>
              <w:rPr>
                <w:rFonts w:ascii="Arial" w:hAnsi="Arial" w:cs="Arial"/>
                <w:sz w:val="20"/>
                <w:szCs w:val="20"/>
              </w:rPr>
            </w:pPr>
            <w:r w:rsidRPr="0086092C">
              <w:rPr>
                <w:rFonts w:ascii="Arial" w:hAnsi="Arial" w:cs="Arial"/>
                <w:sz w:val="20"/>
                <w:szCs w:val="20"/>
              </w:rPr>
              <w:t>-1.628279***</w:t>
            </w:r>
            <w:proofErr w:type="gramStart"/>
            <w:r w:rsidRPr="0086092C">
              <w:rPr>
                <w:rFonts w:ascii="Arial" w:hAnsi="Arial" w:cs="Arial"/>
                <w:sz w:val="20"/>
                <w:szCs w:val="20"/>
              </w:rPr>
              <w:t xml:space="preserve">   </w:t>
            </w:r>
            <w:r w:rsidR="003E75E4" w:rsidRPr="0086092C">
              <w:rPr>
                <w:rFonts w:ascii="Arial" w:hAnsi="Arial" w:cs="Arial"/>
                <w:sz w:val="20"/>
                <w:szCs w:val="20"/>
              </w:rPr>
              <w:t>(</w:t>
            </w:r>
            <w:proofErr w:type="gramEnd"/>
            <w:r w:rsidRPr="0086092C">
              <w:rPr>
                <w:rFonts w:ascii="Arial" w:hAnsi="Arial" w:cs="Arial"/>
                <w:sz w:val="20"/>
                <w:szCs w:val="20"/>
              </w:rPr>
              <w:t>0.3104213</w:t>
            </w:r>
            <w:r w:rsidR="003E75E4" w:rsidRPr="0086092C">
              <w:rPr>
                <w:rFonts w:ascii="Arial" w:hAnsi="Arial" w:cs="Arial"/>
                <w:sz w:val="20"/>
                <w:szCs w:val="20"/>
              </w:rPr>
              <w:t>)</w:t>
            </w:r>
          </w:p>
        </w:tc>
        <w:tc>
          <w:tcPr>
            <w:tcW w:w="1870" w:type="dxa"/>
            <w:tcBorders>
              <w:top w:val="nil"/>
              <w:left w:val="nil"/>
              <w:bottom w:val="nil"/>
            </w:tcBorders>
          </w:tcPr>
          <w:p w14:paraId="63B7272D" w14:textId="0CF971E2" w:rsidR="003E75E4" w:rsidRPr="0086092C" w:rsidRDefault="000808C3" w:rsidP="0086092C">
            <w:pPr>
              <w:jc w:val="center"/>
              <w:rPr>
                <w:rFonts w:ascii="Arial" w:hAnsi="Arial" w:cs="Arial"/>
                <w:sz w:val="20"/>
                <w:szCs w:val="20"/>
              </w:rPr>
            </w:pPr>
            <w:r w:rsidRPr="0086092C">
              <w:rPr>
                <w:rFonts w:ascii="Arial" w:hAnsi="Arial" w:cs="Arial"/>
                <w:sz w:val="20"/>
                <w:szCs w:val="20"/>
              </w:rPr>
              <w:t xml:space="preserve">-0.4970233                                              </w:t>
            </w:r>
            <w:proofErr w:type="gramStart"/>
            <w:r w:rsidRPr="0086092C">
              <w:rPr>
                <w:rFonts w:ascii="Arial" w:hAnsi="Arial" w:cs="Arial"/>
                <w:sz w:val="20"/>
                <w:szCs w:val="20"/>
              </w:rPr>
              <w:t xml:space="preserve">   </w:t>
            </w:r>
            <w:r w:rsidR="003E75E4" w:rsidRPr="0086092C">
              <w:rPr>
                <w:rFonts w:ascii="Arial" w:hAnsi="Arial" w:cs="Arial"/>
                <w:sz w:val="20"/>
                <w:szCs w:val="20"/>
              </w:rPr>
              <w:t>(</w:t>
            </w:r>
            <w:proofErr w:type="gramEnd"/>
            <w:r w:rsidRPr="0086092C">
              <w:rPr>
                <w:rFonts w:ascii="Arial" w:hAnsi="Arial" w:cs="Arial"/>
                <w:sz w:val="20"/>
                <w:szCs w:val="20"/>
              </w:rPr>
              <w:t>0.3958342</w:t>
            </w:r>
            <w:r w:rsidR="003E75E4" w:rsidRPr="0086092C">
              <w:rPr>
                <w:rFonts w:ascii="Arial" w:hAnsi="Arial" w:cs="Arial"/>
                <w:sz w:val="20"/>
                <w:szCs w:val="20"/>
              </w:rPr>
              <w:t>)</w:t>
            </w:r>
          </w:p>
        </w:tc>
      </w:tr>
      <w:tr w:rsidR="003E75E4" w:rsidRPr="0086092C" w14:paraId="4FC141D8" w14:textId="77777777" w:rsidTr="0059357E">
        <w:trPr>
          <w:jc w:val="center"/>
        </w:trPr>
        <w:tc>
          <w:tcPr>
            <w:tcW w:w="1870" w:type="dxa"/>
            <w:tcBorders>
              <w:top w:val="nil"/>
              <w:bottom w:val="nil"/>
              <w:right w:val="nil"/>
            </w:tcBorders>
            <w:shd w:val="clear" w:color="auto" w:fill="F2F2F2" w:themeFill="background1" w:themeFillShade="F2"/>
          </w:tcPr>
          <w:p w14:paraId="7BCC1F3A" w14:textId="77777777" w:rsidR="003E75E4" w:rsidRPr="0086092C" w:rsidRDefault="003E75E4" w:rsidP="0086092C">
            <w:pPr>
              <w:jc w:val="center"/>
              <w:rPr>
                <w:rFonts w:ascii="Arial" w:hAnsi="Arial" w:cs="Arial"/>
                <w:sz w:val="20"/>
                <w:szCs w:val="20"/>
              </w:rPr>
            </w:pPr>
            <w:r w:rsidRPr="0086092C">
              <w:rPr>
                <w:rFonts w:ascii="Arial" w:hAnsi="Arial" w:cs="Arial"/>
                <w:sz w:val="20"/>
                <w:szCs w:val="20"/>
              </w:rPr>
              <w:t>RMSE</w:t>
            </w:r>
          </w:p>
        </w:tc>
        <w:tc>
          <w:tcPr>
            <w:tcW w:w="1870" w:type="dxa"/>
            <w:tcBorders>
              <w:top w:val="nil"/>
              <w:left w:val="nil"/>
              <w:bottom w:val="nil"/>
              <w:right w:val="nil"/>
            </w:tcBorders>
            <w:shd w:val="clear" w:color="auto" w:fill="F2F2F2" w:themeFill="background1" w:themeFillShade="F2"/>
          </w:tcPr>
          <w:p w14:paraId="60D6EB48" w14:textId="7A947008" w:rsidR="003E75E4" w:rsidRPr="0086092C" w:rsidRDefault="000808C3" w:rsidP="0086092C">
            <w:pPr>
              <w:jc w:val="center"/>
              <w:rPr>
                <w:rFonts w:ascii="Arial" w:hAnsi="Arial" w:cs="Arial"/>
                <w:sz w:val="20"/>
                <w:szCs w:val="20"/>
              </w:rPr>
            </w:pPr>
            <w:r w:rsidRPr="0086092C">
              <w:rPr>
                <w:rFonts w:ascii="Arial" w:hAnsi="Arial" w:cs="Arial"/>
                <w:sz w:val="20"/>
                <w:szCs w:val="20"/>
              </w:rPr>
              <w:t>2.70556</w:t>
            </w:r>
          </w:p>
        </w:tc>
        <w:tc>
          <w:tcPr>
            <w:tcW w:w="1870" w:type="dxa"/>
            <w:tcBorders>
              <w:top w:val="nil"/>
              <w:left w:val="nil"/>
              <w:bottom w:val="nil"/>
              <w:right w:val="nil"/>
            </w:tcBorders>
            <w:shd w:val="clear" w:color="auto" w:fill="F2F2F2" w:themeFill="background1" w:themeFillShade="F2"/>
          </w:tcPr>
          <w:p w14:paraId="300D02B2" w14:textId="6D7258A9" w:rsidR="003E75E4" w:rsidRPr="0086092C" w:rsidRDefault="00C55675" w:rsidP="0086092C">
            <w:pPr>
              <w:jc w:val="center"/>
              <w:rPr>
                <w:rFonts w:ascii="Arial" w:hAnsi="Arial" w:cs="Arial"/>
                <w:sz w:val="20"/>
                <w:szCs w:val="20"/>
              </w:rPr>
            </w:pPr>
            <w:r w:rsidRPr="0086092C">
              <w:rPr>
                <w:rFonts w:ascii="Arial" w:hAnsi="Arial" w:cs="Arial"/>
                <w:sz w:val="20"/>
                <w:szCs w:val="20"/>
              </w:rPr>
              <w:t>0.080547</w:t>
            </w:r>
          </w:p>
        </w:tc>
        <w:tc>
          <w:tcPr>
            <w:tcW w:w="1870" w:type="dxa"/>
            <w:tcBorders>
              <w:top w:val="nil"/>
              <w:left w:val="nil"/>
              <w:bottom w:val="nil"/>
            </w:tcBorders>
            <w:shd w:val="clear" w:color="auto" w:fill="F2F2F2" w:themeFill="background1" w:themeFillShade="F2"/>
          </w:tcPr>
          <w:p w14:paraId="7E2D42D3" w14:textId="56C046E0" w:rsidR="003E75E4" w:rsidRPr="0086092C" w:rsidRDefault="000808C3" w:rsidP="0086092C">
            <w:pPr>
              <w:jc w:val="center"/>
              <w:rPr>
                <w:rFonts w:ascii="Arial" w:hAnsi="Arial" w:cs="Arial"/>
                <w:sz w:val="20"/>
                <w:szCs w:val="20"/>
              </w:rPr>
            </w:pPr>
            <w:r w:rsidRPr="0086092C">
              <w:rPr>
                <w:rFonts w:ascii="Arial" w:hAnsi="Arial" w:cs="Arial"/>
                <w:sz w:val="20"/>
                <w:szCs w:val="20"/>
              </w:rPr>
              <w:t>0.10271</w:t>
            </w:r>
          </w:p>
        </w:tc>
      </w:tr>
      <w:tr w:rsidR="003E75E4" w:rsidRPr="0086092C" w14:paraId="4DA7955F" w14:textId="77777777" w:rsidTr="0059357E">
        <w:trPr>
          <w:jc w:val="center"/>
        </w:trPr>
        <w:tc>
          <w:tcPr>
            <w:tcW w:w="1870" w:type="dxa"/>
            <w:tcBorders>
              <w:top w:val="nil"/>
              <w:bottom w:val="nil"/>
              <w:right w:val="nil"/>
            </w:tcBorders>
          </w:tcPr>
          <w:p w14:paraId="4407DC47" w14:textId="77777777" w:rsidR="003E75E4" w:rsidRPr="0086092C" w:rsidRDefault="003E75E4" w:rsidP="0086092C">
            <w:pPr>
              <w:jc w:val="center"/>
              <w:rPr>
                <w:rFonts w:ascii="Arial" w:hAnsi="Arial" w:cs="Arial"/>
                <w:sz w:val="20"/>
                <w:szCs w:val="20"/>
              </w:rPr>
            </w:pPr>
            <w:r w:rsidRPr="0086092C">
              <w:rPr>
                <w:rFonts w:ascii="Arial" w:hAnsi="Arial" w:cs="Arial"/>
                <w:sz w:val="20"/>
                <w:szCs w:val="20"/>
              </w:rPr>
              <w:t>R-sq</w:t>
            </w:r>
          </w:p>
        </w:tc>
        <w:tc>
          <w:tcPr>
            <w:tcW w:w="1870" w:type="dxa"/>
            <w:tcBorders>
              <w:top w:val="nil"/>
              <w:left w:val="nil"/>
              <w:bottom w:val="nil"/>
              <w:right w:val="nil"/>
            </w:tcBorders>
          </w:tcPr>
          <w:p w14:paraId="7C9A5D57" w14:textId="315A4B7A" w:rsidR="003E75E4" w:rsidRPr="0086092C" w:rsidRDefault="003E75E4" w:rsidP="0086092C">
            <w:pPr>
              <w:jc w:val="center"/>
              <w:rPr>
                <w:rFonts w:ascii="Arial" w:hAnsi="Arial" w:cs="Arial"/>
                <w:sz w:val="20"/>
                <w:szCs w:val="20"/>
              </w:rPr>
            </w:pPr>
            <w:r w:rsidRPr="0086092C">
              <w:rPr>
                <w:rFonts w:ascii="Arial" w:hAnsi="Arial" w:cs="Arial"/>
                <w:sz w:val="20"/>
                <w:szCs w:val="20"/>
              </w:rPr>
              <w:t>(</w:t>
            </w:r>
            <w:r w:rsidR="000808C3" w:rsidRPr="0086092C">
              <w:rPr>
                <w:rFonts w:ascii="Arial" w:hAnsi="Arial" w:cs="Arial"/>
                <w:sz w:val="20"/>
                <w:szCs w:val="20"/>
              </w:rPr>
              <w:t>0.3467</w:t>
            </w:r>
            <w:r w:rsidRPr="0086092C">
              <w:rPr>
                <w:rFonts w:ascii="Arial" w:hAnsi="Arial" w:cs="Arial"/>
                <w:sz w:val="20"/>
                <w:szCs w:val="20"/>
              </w:rPr>
              <w:t>)</w:t>
            </w:r>
          </w:p>
        </w:tc>
        <w:tc>
          <w:tcPr>
            <w:tcW w:w="1870" w:type="dxa"/>
            <w:tcBorders>
              <w:top w:val="nil"/>
              <w:left w:val="nil"/>
              <w:bottom w:val="nil"/>
              <w:right w:val="nil"/>
            </w:tcBorders>
          </w:tcPr>
          <w:p w14:paraId="48FBD2BC" w14:textId="39CB04C9" w:rsidR="003E75E4" w:rsidRPr="0086092C" w:rsidRDefault="003E75E4" w:rsidP="0086092C">
            <w:pPr>
              <w:jc w:val="center"/>
              <w:rPr>
                <w:rFonts w:ascii="Arial" w:hAnsi="Arial" w:cs="Arial"/>
                <w:sz w:val="20"/>
                <w:szCs w:val="20"/>
              </w:rPr>
            </w:pPr>
            <w:r w:rsidRPr="0086092C">
              <w:rPr>
                <w:rFonts w:ascii="Arial" w:hAnsi="Arial" w:cs="Arial"/>
                <w:sz w:val="20"/>
                <w:szCs w:val="20"/>
              </w:rPr>
              <w:t>(</w:t>
            </w:r>
            <w:r w:rsidR="000808C3" w:rsidRPr="0086092C">
              <w:rPr>
                <w:rFonts w:ascii="Arial" w:hAnsi="Arial" w:cs="Arial"/>
                <w:sz w:val="20"/>
                <w:szCs w:val="20"/>
              </w:rPr>
              <w:t>0.3479</w:t>
            </w:r>
            <w:r w:rsidRPr="0086092C">
              <w:rPr>
                <w:rFonts w:ascii="Arial" w:hAnsi="Arial" w:cs="Arial"/>
                <w:sz w:val="20"/>
                <w:szCs w:val="20"/>
              </w:rPr>
              <w:t>)</w:t>
            </w:r>
          </w:p>
        </w:tc>
        <w:tc>
          <w:tcPr>
            <w:tcW w:w="1870" w:type="dxa"/>
            <w:tcBorders>
              <w:top w:val="nil"/>
              <w:left w:val="nil"/>
              <w:bottom w:val="nil"/>
            </w:tcBorders>
          </w:tcPr>
          <w:p w14:paraId="7FD04126" w14:textId="296BE667" w:rsidR="003E75E4" w:rsidRPr="0086092C" w:rsidRDefault="00414320" w:rsidP="0086092C">
            <w:pPr>
              <w:jc w:val="center"/>
              <w:rPr>
                <w:rFonts w:ascii="Arial" w:hAnsi="Arial" w:cs="Arial"/>
                <w:sz w:val="20"/>
                <w:szCs w:val="20"/>
              </w:rPr>
            </w:pPr>
            <w:r w:rsidRPr="0086092C">
              <w:rPr>
                <w:rFonts w:ascii="Arial" w:hAnsi="Arial" w:cs="Arial"/>
                <w:sz w:val="20"/>
                <w:szCs w:val="20"/>
              </w:rPr>
              <w:t>(0.4245)</w:t>
            </w:r>
          </w:p>
        </w:tc>
      </w:tr>
      <w:tr w:rsidR="003E75E4" w:rsidRPr="0086092C" w14:paraId="62D1EE15" w14:textId="77777777" w:rsidTr="0059357E">
        <w:trPr>
          <w:jc w:val="center"/>
        </w:trPr>
        <w:tc>
          <w:tcPr>
            <w:tcW w:w="1870" w:type="dxa"/>
            <w:tcBorders>
              <w:top w:val="nil"/>
              <w:bottom w:val="nil"/>
              <w:right w:val="nil"/>
            </w:tcBorders>
            <w:shd w:val="clear" w:color="auto" w:fill="F2F2F2" w:themeFill="background1" w:themeFillShade="F2"/>
          </w:tcPr>
          <w:p w14:paraId="311A3B8C" w14:textId="77777777" w:rsidR="003E75E4" w:rsidRPr="0086092C" w:rsidRDefault="003E75E4" w:rsidP="0086092C">
            <w:pPr>
              <w:jc w:val="center"/>
              <w:rPr>
                <w:rFonts w:ascii="Arial" w:hAnsi="Arial" w:cs="Arial"/>
                <w:sz w:val="20"/>
                <w:szCs w:val="20"/>
              </w:rPr>
            </w:pPr>
            <w:r w:rsidRPr="0086092C">
              <w:rPr>
                <w:rFonts w:ascii="Arial" w:hAnsi="Arial" w:cs="Arial"/>
                <w:sz w:val="20"/>
                <w:szCs w:val="20"/>
              </w:rPr>
              <w:t>chi2</w:t>
            </w:r>
          </w:p>
        </w:tc>
        <w:tc>
          <w:tcPr>
            <w:tcW w:w="1870" w:type="dxa"/>
            <w:tcBorders>
              <w:top w:val="nil"/>
              <w:left w:val="nil"/>
              <w:bottom w:val="nil"/>
              <w:right w:val="nil"/>
            </w:tcBorders>
            <w:shd w:val="clear" w:color="auto" w:fill="F2F2F2" w:themeFill="background1" w:themeFillShade="F2"/>
          </w:tcPr>
          <w:p w14:paraId="566B4220" w14:textId="2B72CDE4" w:rsidR="003E75E4" w:rsidRPr="0086092C" w:rsidRDefault="000808C3" w:rsidP="0086092C">
            <w:pPr>
              <w:jc w:val="center"/>
              <w:rPr>
                <w:rFonts w:ascii="Arial" w:hAnsi="Arial" w:cs="Arial"/>
                <w:sz w:val="20"/>
                <w:szCs w:val="20"/>
              </w:rPr>
            </w:pPr>
            <w:r w:rsidRPr="0086092C">
              <w:rPr>
                <w:rFonts w:ascii="Arial" w:hAnsi="Arial" w:cs="Arial"/>
                <w:sz w:val="20"/>
                <w:szCs w:val="20"/>
              </w:rPr>
              <w:t>10.08229</w:t>
            </w:r>
          </w:p>
        </w:tc>
        <w:tc>
          <w:tcPr>
            <w:tcW w:w="1870" w:type="dxa"/>
            <w:tcBorders>
              <w:top w:val="nil"/>
              <w:left w:val="nil"/>
              <w:bottom w:val="nil"/>
              <w:right w:val="nil"/>
            </w:tcBorders>
            <w:shd w:val="clear" w:color="auto" w:fill="F2F2F2" w:themeFill="background1" w:themeFillShade="F2"/>
          </w:tcPr>
          <w:p w14:paraId="6BD49E6A" w14:textId="6E5180D0" w:rsidR="003E75E4" w:rsidRPr="0086092C" w:rsidRDefault="000808C3" w:rsidP="0086092C">
            <w:pPr>
              <w:jc w:val="center"/>
              <w:rPr>
                <w:rFonts w:ascii="Arial" w:hAnsi="Arial" w:cs="Arial"/>
                <w:sz w:val="20"/>
                <w:szCs w:val="20"/>
              </w:rPr>
            </w:pPr>
            <w:r w:rsidRPr="0086092C">
              <w:rPr>
                <w:rFonts w:ascii="Arial" w:hAnsi="Arial" w:cs="Arial"/>
                <w:sz w:val="20"/>
                <w:szCs w:val="20"/>
              </w:rPr>
              <w:t>10.13708</w:t>
            </w:r>
          </w:p>
        </w:tc>
        <w:tc>
          <w:tcPr>
            <w:tcW w:w="1870" w:type="dxa"/>
            <w:tcBorders>
              <w:top w:val="nil"/>
              <w:left w:val="nil"/>
              <w:bottom w:val="nil"/>
            </w:tcBorders>
            <w:shd w:val="clear" w:color="auto" w:fill="F2F2F2" w:themeFill="background1" w:themeFillShade="F2"/>
          </w:tcPr>
          <w:p w14:paraId="56CE2BB6" w14:textId="47C7955C" w:rsidR="003E75E4" w:rsidRPr="0086092C" w:rsidRDefault="00414320" w:rsidP="0086092C">
            <w:pPr>
              <w:jc w:val="center"/>
              <w:rPr>
                <w:rFonts w:ascii="Arial" w:hAnsi="Arial" w:cs="Arial"/>
                <w:sz w:val="20"/>
                <w:szCs w:val="20"/>
              </w:rPr>
            </w:pPr>
            <w:r w:rsidRPr="0086092C">
              <w:rPr>
                <w:rFonts w:ascii="Arial" w:hAnsi="Arial" w:cs="Arial"/>
                <w:sz w:val="20"/>
                <w:szCs w:val="20"/>
              </w:rPr>
              <w:t>14.0127</w:t>
            </w:r>
          </w:p>
        </w:tc>
      </w:tr>
      <w:tr w:rsidR="003E75E4" w:rsidRPr="0086092C" w14:paraId="7E3D152A" w14:textId="77777777" w:rsidTr="0059357E">
        <w:trPr>
          <w:jc w:val="center"/>
        </w:trPr>
        <w:tc>
          <w:tcPr>
            <w:tcW w:w="1870" w:type="dxa"/>
            <w:tcBorders>
              <w:top w:val="nil"/>
              <w:bottom w:val="single" w:sz="12" w:space="0" w:color="auto"/>
              <w:right w:val="nil"/>
            </w:tcBorders>
          </w:tcPr>
          <w:p w14:paraId="2AA798B0" w14:textId="77777777" w:rsidR="003E75E4" w:rsidRPr="0086092C" w:rsidRDefault="003E75E4" w:rsidP="0086092C">
            <w:pPr>
              <w:jc w:val="center"/>
              <w:rPr>
                <w:rFonts w:ascii="Arial" w:hAnsi="Arial" w:cs="Arial"/>
                <w:sz w:val="20"/>
                <w:szCs w:val="20"/>
              </w:rPr>
            </w:pPr>
            <w:r w:rsidRPr="0086092C">
              <w:rPr>
                <w:rFonts w:ascii="Arial" w:hAnsi="Arial" w:cs="Arial"/>
                <w:sz w:val="20"/>
                <w:szCs w:val="20"/>
              </w:rPr>
              <w:t>P&gt;chi2</w:t>
            </w:r>
          </w:p>
        </w:tc>
        <w:tc>
          <w:tcPr>
            <w:tcW w:w="1870" w:type="dxa"/>
            <w:tcBorders>
              <w:top w:val="nil"/>
              <w:left w:val="nil"/>
              <w:bottom w:val="single" w:sz="12" w:space="0" w:color="auto"/>
              <w:right w:val="nil"/>
            </w:tcBorders>
          </w:tcPr>
          <w:p w14:paraId="7A99517B" w14:textId="006F842C" w:rsidR="003E75E4" w:rsidRPr="0086092C" w:rsidRDefault="003E75E4" w:rsidP="0086092C">
            <w:pPr>
              <w:spacing w:after="160"/>
              <w:jc w:val="center"/>
              <w:rPr>
                <w:rFonts w:ascii="Arial" w:hAnsi="Arial" w:cs="Arial"/>
                <w:sz w:val="20"/>
                <w:szCs w:val="20"/>
              </w:rPr>
            </w:pPr>
            <w:r w:rsidRPr="0086092C">
              <w:rPr>
                <w:rFonts w:ascii="Arial" w:hAnsi="Arial" w:cs="Arial"/>
                <w:sz w:val="20"/>
                <w:szCs w:val="20"/>
              </w:rPr>
              <w:t>(</w:t>
            </w:r>
            <w:r w:rsidR="000808C3" w:rsidRPr="0086092C">
              <w:rPr>
                <w:rFonts w:ascii="Arial" w:hAnsi="Arial" w:cs="Arial"/>
                <w:sz w:val="20"/>
                <w:szCs w:val="20"/>
              </w:rPr>
              <w:t>0.0179</w:t>
            </w:r>
            <w:r w:rsidRPr="0086092C">
              <w:rPr>
                <w:rFonts w:ascii="Arial" w:hAnsi="Arial" w:cs="Arial"/>
                <w:sz w:val="20"/>
                <w:szCs w:val="20"/>
              </w:rPr>
              <w:t>)</w:t>
            </w:r>
          </w:p>
        </w:tc>
        <w:tc>
          <w:tcPr>
            <w:tcW w:w="1870" w:type="dxa"/>
            <w:tcBorders>
              <w:top w:val="nil"/>
              <w:left w:val="nil"/>
              <w:bottom w:val="single" w:sz="12" w:space="0" w:color="auto"/>
              <w:right w:val="nil"/>
            </w:tcBorders>
          </w:tcPr>
          <w:p w14:paraId="66D7C8B4" w14:textId="11555A45" w:rsidR="003E75E4" w:rsidRPr="0086092C" w:rsidRDefault="003E75E4" w:rsidP="0086092C">
            <w:pPr>
              <w:jc w:val="center"/>
              <w:rPr>
                <w:rFonts w:ascii="Arial" w:hAnsi="Arial" w:cs="Arial"/>
                <w:sz w:val="20"/>
                <w:szCs w:val="20"/>
              </w:rPr>
            </w:pPr>
            <w:r w:rsidRPr="0086092C">
              <w:rPr>
                <w:rFonts w:ascii="Arial" w:hAnsi="Arial" w:cs="Arial"/>
                <w:sz w:val="20"/>
                <w:szCs w:val="20"/>
              </w:rPr>
              <w:t>(</w:t>
            </w:r>
            <w:r w:rsidR="000808C3" w:rsidRPr="0086092C">
              <w:rPr>
                <w:rFonts w:ascii="Arial" w:hAnsi="Arial" w:cs="Arial"/>
                <w:sz w:val="20"/>
                <w:szCs w:val="20"/>
              </w:rPr>
              <w:t>0.0174</w:t>
            </w:r>
            <w:r w:rsidRPr="0086092C">
              <w:rPr>
                <w:rFonts w:ascii="Arial" w:hAnsi="Arial" w:cs="Arial"/>
                <w:sz w:val="20"/>
                <w:szCs w:val="20"/>
              </w:rPr>
              <w:t>)</w:t>
            </w:r>
          </w:p>
        </w:tc>
        <w:tc>
          <w:tcPr>
            <w:tcW w:w="1870" w:type="dxa"/>
            <w:tcBorders>
              <w:top w:val="nil"/>
              <w:left w:val="nil"/>
              <w:bottom w:val="single" w:sz="12" w:space="0" w:color="auto"/>
            </w:tcBorders>
          </w:tcPr>
          <w:p w14:paraId="7F3B8651" w14:textId="60554188" w:rsidR="003E75E4" w:rsidRPr="0086092C" w:rsidRDefault="00414320" w:rsidP="0086092C">
            <w:pPr>
              <w:jc w:val="center"/>
              <w:rPr>
                <w:rFonts w:ascii="Arial" w:hAnsi="Arial" w:cs="Arial"/>
                <w:sz w:val="20"/>
                <w:szCs w:val="20"/>
              </w:rPr>
            </w:pPr>
            <w:r w:rsidRPr="0086092C">
              <w:rPr>
                <w:rFonts w:ascii="Arial" w:hAnsi="Arial" w:cs="Arial"/>
                <w:sz w:val="20"/>
                <w:szCs w:val="20"/>
              </w:rPr>
              <w:t>(0.0029)</w:t>
            </w:r>
          </w:p>
        </w:tc>
      </w:tr>
    </w:tbl>
    <w:p w14:paraId="7A09A092" w14:textId="7DB32EC1" w:rsidR="00C55675" w:rsidRPr="0086092C" w:rsidRDefault="00C55675" w:rsidP="0086092C">
      <w:pPr>
        <w:spacing w:after="0" w:line="240" w:lineRule="auto"/>
        <w:jc w:val="center"/>
        <w:rPr>
          <w:rFonts w:ascii="Arial" w:hAnsi="Arial" w:cs="Arial"/>
          <w:i/>
          <w:iCs/>
          <w:sz w:val="20"/>
          <w:szCs w:val="20"/>
        </w:rPr>
      </w:pPr>
      <w:r w:rsidRPr="0086092C">
        <w:rPr>
          <w:rFonts w:ascii="Arial" w:hAnsi="Arial" w:cs="Arial"/>
          <w:i/>
          <w:iCs/>
          <w:sz w:val="20"/>
          <w:szCs w:val="20"/>
        </w:rPr>
        <w:t>Note: Standard errors in () and ***, **, * represents significance at 1%, 5%, and 10%, respectively.</w:t>
      </w:r>
    </w:p>
    <w:p w14:paraId="28706372" w14:textId="7DF57B45" w:rsidR="00C17D3C" w:rsidRPr="0086092C" w:rsidRDefault="00C17D3C" w:rsidP="0086092C">
      <w:pPr>
        <w:spacing w:line="240" w:lineRule="auto"/>
        <w:jc w:val="center"/>
        <w:rPr>
          <w:rFonts w:ascii="Arial" w:hAnsi="Arial" w:cs="Arial"/>
          <w:i/>
          <w:iCs/>
          <w:sz w:val="20"/>
          <w:szCs w:val="20"/>
        </w:rPr>
      </w:pPr>
      <w:r w:rsidRPr="0086092C">
        <w:rPr>
          <w:rFonts w:ascii="Arial" w:hAnsi="Arial" w:cs="Arial"/>
          <w:i/>
          <w:iCs/>
          <w:sz w:val="20"/>
          <w:szCs w:val="20"/>
        </w:rPr>
        <w:t>Source: Authors</w:t>
      </w:r>
      <w:r w:rsidR="00C55675" w:rsidRPr="0086092C">
        <w:rPr>
          <w:rFonts w:ascii="Arial" w:hAnsi="Arial" w:cs="Arial"/>
          <w:i/>
          <w:iCs/>
          <w:sz w:val="20"/>
          <w:szCs w:val="20"/>
        </w:rPr>
        <w:t>, using Stata 14.0</w:t>
      </w:r>
    </w:p>
    <w:p w14:paraId="75B65E4A" w14:textId="7CC86D9F" w:rsidR="009E79C5" w:rsidRPr="005F1F5A" w:rsidRDefault="00764FB0" w:rsidP="0086092C">
      <w:pPr>
        <w:spacing w:line="240" w:lineRule="auto"/>
        <w:rPr>
          <w:rFonts w:ascii="Arial" w:hAnsi="Arial" w:cs="Arial"/>
          <w:b/>
          <w:bCs/>
        </w:rPr>
      </w:pPr>
      <w:r w:rsidRPr="005F1F5A">
        <w:rPr>
          <w:rFonts w:ascii="Arial" w:hAnsi="Arial" w:cs="Arial"/>
          <w:b/>
          <w:bCs/>
        </w:rPr>
        <w:t xml:space="preserve">4.6. Stability of </w:t>
      </w:r>
      <w:r w:rsidR="009E79C5" w:rsidRPr="005F1F5A">
        <w:rPr>
          <w:rFonts w:ascii="Arial" w:hAnsi="Arial" w:cs="Arial"/>
          <w:b/>
          <w:bCs/>
        </w:rPr>
        <w:t xml:space="preserve">VAR </w:t>
      </w:r>
      <w:r w:rsidRPr="005F1F5A">
        <w:rPr>
          <w:rFonts w:ascii="Arial" w:hAnsi="Arial" w:cs="Arial"/>
          <w:b/>
          <w:bCs/>
        </w:rPr>
        <w:t>Model</w:t>
      </w:r>
    </w:p>
    <w:p w14:paraId="704C3B49" w14:textId="668146E7" w:rsidR="009E79C5" w:rsidRPr="0086092C" w:rsidRDefault="009E79C5" w:rsidP="0086092C">
      <w:pPr>
        <w:spacing w:line="240" w:lineRule="auto"/>
        <w:jc w:val="both"/>
        <w:rPr>
          <w:rFonts w:ascii="Arial" w:hAnsi="Arial" w:cs="Arial"/>
          <w:sz w:val="20"/>
          <w:szCs w:val="20"/>
        </w:rPr>
      </w:pPr>
      <w:r w:rsidRPr="0086092C">
        <w:rPr>
          <w:rFonts w:ascii="Arial" w:hAnsi="Arial" w:cs="Arial"/>
          <w:sz w:val="20"/>
          <w:szCs w:val="20"/>
        </w:rPr>
        <w:t xml:space="preserve">The Vector Autoregression (VAR) model's validity and stability test results presented in Table </w:t>
      </w:r>
      <w:r w:rsidR="00C17D3C" w:rsidRPr="0086092C">
        <w:rPr>
          <w:rFonts w:ascii="Arial" w:hAnsi="Arial" w:cs="Arial"/>
          <w:sz w:val="20"/>
          <w:szCs w:val="20"/>
        </w:rPr>
        <w:t>7</w:t>
      </w:r>
      <w:r w:rsidRPr="0086092C">
        <w:rPr>
          <w:rFonts w:ascii="Arial" w:hAnsi="Arial" w:cs="Arial"/>
          <w:sz w:val="20"/>
          <w:szCs w:val="20"/>
        </w:rPr>
        <w:t xml:space="preserve"> and figure </w:t>
      </w:r>
      <w:r w:rsidR="00C17D3C" w:rsidRPr="0086092C">
        <w:rPr>
          <w:rFonts w:ascii="Arial" w:hAnsi="Arial" w:cs="Arial"/>
          <w:sz w:val="20"/>
          <w:szCs w:val="20"/>
        </w:rPr>
        <w:t>1</w:t>
      </w:r>
      <w:r w:rsidRPr="0086092C">
        <w:rPr>
          <w:rFonts w:ascii="Arial" w:hAnsi="Arial" w:cs="Arial"/>
          <w:sz w:val="20"/>
          <w:szCs w:val="20"/>
        </w:rPr>
        <w:t xml:space="preserve"> are crucial for the integrity of its results. Our analysis confirms that the model passes the stability test, with all eigenvalues situated within the unit circle, as per the stability condition. This positioning of the eigenvalues is a robust indicator of the model's reliability and its ability to produce consistent, accurate forecasts. The VAR model's adherence to the stability condition underscores its validity, ensuring that it remains a dependable tool for economic analysis and policy-making decisions.</w:t>
      </w:r>
    </w:p>
    <w:p w14:paraId="02C0610A" w14:textId="77777777" w:rsidR="005F1F5A" w:rsidRDefault="005F1F5A" w:rsidP="0086092C">
      <w:pPr>
        <w:spacing w:after="0" w:line="240" w:lineRule="auto"/>
        <w:jc w:val="center"/>
        <w:rPr>
          <w:rFonts w:ascii="Arial" w:hAnsi="Arial" w:cs="Arial"/>
          <w:i/>
          <w:iCs/>
          <w:sz w:val="20"/>
          <w:szCs w:val="20"/>
        </w:rPr>
      </w:pPr>
    </w:p>
    <w:p w14:paraId="31E8FF7B" w14:textId="52D64FCE" w:rsidR="00C17D3C" w:rsidRPr="0086092C" w:rsidRDefault="00C17D3C" w:rsidP="0086092C">
      <w:pPr>
        <w:spacing w:after="0" w:line="240" w:lineRule="auto"/>
        <w:jc w:val="center"/>
        <w:rPr>
          <w:rFonts w:ascii="Arial" w:hAnsi="Arial" w:cs="Arial"/>
          <w:i/>
          <w:iCs/>
          <w:sz w:val="20"/>
          <w:szCs w:val="20"/>
        </w:rPr>
      </w:pPr>
      <w:r w:rsidRPr="0086092C">
        <w:rPr>
          <w:rFonts w:ascii="Arial" w:hAnsi="Arial" w:cs="Arial"/>
          <w:i/>
          <w:iCs/>
          <w:sz w:val="20"/>
          <w:szCs w:val="20"/>
        </w:rPr>
        <w:t>Table 7: Eigenvalue stability condition</w:t>
      </w:r>
    </w:p>
    <w:p w14:paraId="70091D6A" w14:textId="4D098723" w:rsidR="00EB3BA0" w:rsidRPr="0086092C" w:rsidRDefault="00EB3BA0" w:rsidP="0086092C">
      <w:pPr>
        <w:spacing w:after="0" w:line="240" w:lineRule="auto"/>
        <w:jc w:val="center"/>
        <w:rPr>
          <w:rFonts w:ascii="Arial" w:hAnsi="Arial" w:cs="Arial"/>
          <w:i/>
          <w:iCs/>
          <w:sz w:val="20"/>
          <w:szCs w:val="20"/>
        </w:rPr>
      </w:pPr>
      <w:r w:rsidRPr="0086092C">
        <w:rPr>
          <w:rFonts w:ascii="Arial" w:hAnsi="Arial" w:cs="Arial"/>
          <w:bCs/>
          <w:iCs/>
          <w:noProof/>
          <w:spacing w:val="1"/>
          <w:sz w:val="20"/>
          <w:szCs w:val="20"/>
        </w:rPr>
        <w:drawing>
          <wp:anchor distT="0" distB="0" distL="114300" distR="114300" simplePos="0" relativeHeight="251662336" behindDoc="0" locked="0" layoutInCell="1" allowOverlap="1" wp14:anchorId="5133123C" wp14:editId="767E5BDA">
            <wp:simplePos x="0" y="0"/>
            <wp:positionH relativeFrom="column">
              <wp:posOffset>1019175</wp:posOffset>
            </wp:positionH>
            <wp:positionV relativeFrom="paragraph">
              <wp:posOffset>45720</wp:posOffset>
            </wp:positionV>
            <wp:extent cx="5943600" cy="1462405"/>
            <wp:effectExtent l="0" t="0" r="0" b="0"/>
            <wp:wrapThrough wrapText="bothSides">
              <wp:wrapPolygon edited="0">
                <wp:start x="623" y="0"/>
                <wp:lineTo x="762" y="20259"/>
                <wp:lineTo x="6715" y="21103"/>
                <wp:lineTo x="7062" y="21103"/>
                <wp:lineTo x="10385" y="19977"/>
                <wp:lineTo x="10800" y="18571"/>
                <wp:lineTo x="13431" y="18008"/>
                <wp:lineTo x="13569" y="17726"/>
                <wp:lineTo x="11977" y="14069"/>
                <wp:lineTo x="11977" y="0"/>
                <wp:lineTo x="623" y="0"/>
              </wp:wrapPolygon>
            </wp:wrapThrough>
            <wp:docPr id="87664980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9">
                      <a:extLst>
                        <a:ext uri="{28A0092B-C50C-407E-A947-70E740481C1C}">
                          <a14:useLocalDpi xmlns:a14="http://schemas.microsoft.com/office/drawing/2010/main" val="0"/>
                        </a:ext>
                      </a:extLst>
                    </a:blip>
                    <a:srcRect t="12534"/>
                    <a:stretch/>
                  </pic:blipFill>
                  <pic:spPr bwMode="auto">
                    <a:xfrm>
                      <a:off x="0" y="0"/>
                      <a:ext cx="5943600" cy="14624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EC8FA6" w14:textId="4990B07B" w:rsidR="00EB3BA0" w:rsidRPr="0086092C" w:rsidRDefault="00EB3BA0" w:rsidP="0086092C">
      <w:pPr>
        <w:spacing w:after="0" w:line="240" w:lineRule="auto"/>
        <w:jc w:val="center"/>
        <w:rPr>
          <w:rFonts w:ascii="Arial" w:hAnsi="Arial" w:cs="Arial"/>
          <w:i/>
          <w:iCs/>
          <w:sz w:val="20"/>
          <w:szCs w:val="20"/>
        </w:rPr>
      </w:pPr>
    </w:p>
    <w:p w14:paraId="3A52AC7E" w14:textId="77777777" w:rsidR="00EB3BA0" w:rsidRPr="0086092C" w:rsidRDefault="00EB3BA0" w:rsidP="0086092C">
      <w:pPr>
        <w:spacing w:after="0" w:line="240" w:lineRule="auto"/>
        <w:jc w:val="center"/>
        <w:rPr>
          <w:rFonts w:ascii="Arial" w:hAnsi="Arial" w:cs="Arial"/>
          <w:i/>
          <w:iCs/>
          <w:sz w:val="20"/>
          <w:szCs w:val="20"/>
        </w:rPr>
      </w:pPr>
    </w:p>
    <w:p w14:paraId="51558A99" w14:textId="4C5739D0" w:rsidR="00EB3BA0" w:rsidRPr="0086092C" w:rsidRDefault="00EB3BA0" w:rsidP="0086092C">
      <w:pPr>
        <w:spacing w:after="0" w:line="240" w:lineRule="auto"/>
        <w:jc w:val="center"/>
        <w:rPr>
          <w:rFonts w:ascii="Arial" w:hAnsi="Arial" w:cs="Arial"/>
          <w:i/>
          <w:iCs/>
          <w:sz w:val="20"/>
          <w:szCs w:val="20"/>
        </w:rPr>
      </w:pPr>
    </w:p>
    <w:p w14:paraId="213CA822" w14:textId="35710CEC" w:rsidR="009E79C5" w:rsidRPr="0086092C" w:rsidRDefault="009E79C5" w:rsidP="0086092C">
      <w:pPr>
        <w:tabs>
          <w:tab w:val="left" w:pos="2694"/>
          <w:tab w:val="left" w:pos="2977"/>
          <w:tab w:val="left" w:pos="3686"/>
        </w:tabs>
        <w:spacing w:after="0" w:line="240" w:lineRule="auto"/>
        <w:ind w:right="-1"/>
        <w:jc w:val="center"/>
        <w:rPr>
          <w:rFonts w:ascii="Arial" w:hAnsi="Arial" w:cs="Arial"/>
          <w:bCs/>
          <w:iCs/>
          <w:spacing w:val="1"/>
          <w:sz w:val="20"/>
          <w:szCs w:val="20"/>
        </w:rPr>
      </w:pPr>
    </w:p>
    <w:p w14:paraId="5C514871" w14:textId="77777777" w:rsidR="00EB3BA0" w:rsidRPr="0086092C" w:rsidRDefault="00EB3BA0" w:rsidP="0086092C">
      <w:pPr>
        <w:spacing w:after="0" w:line="240" w:lineRule="auto"/>
        <w:jc w:val="center"/>
        <w:rPr>
          <w:rFonts w:ascii="Arial" w:hAnsi="Arial" w:cs="Arial"/>
          <w:i/>
          <w:iCs/>
          <w:sz w:val="20"/>
          <w:szCs w:val="20"/>
        </w:rPr>
      </w:pPr>
    </w:p>
    <w:p w14:paraId="1A6C143D" w14:textId="77777777" w:rsidR="005F1F5A" w:rsidRDefault="005F1F5A" w:rsidP="0086092C">
      <w:pPr>
        <w:spacing w:after="0" w:line="240" w:lineRule="auto"/>
        <w:jc w:val="center"/>
        <w:rPr>
          <w:rFonts w:ascii="Arial" w:hAnsi="Arial" w:cs="Arial"/>
          <w:i/>
          <w:iCs/>
          <w:sz w:val="20"/>
          <w:szCs w:val="20"/>
        </w:rPr>
      </w:pPr>
    </w:p>
    <w:p w14:paraId="2519D3D6" w14:textId="77777777" w:rsidR="005F1F5A" w:rsidRDefault="005F1F5A" w:rsidP="0086092C">
      <w:pPr>
        <w:spacing w:after="0" w:line="240" w:lineRule="auto"/>
        <w:jc w:val="center"/>
        <w:rPr>
          <w:rFonts w:ascii="Arial" w:hAnsi="Arial" w:cs="Arial"/>
          <w:i/>
          <w:iCs/>
          <w:sz w:val="20"/>
          <w:szCs w:val="20"/>
        </w:rPr>
      </w:pPr>
    </w:p>
    <w:p w14:paraId="43FCB475" w14:textId="77777777" w:rsidR="005F1F5A" w:rsidRDefault="005F1F5A" w:rsidP="0086092C">
      <w:pPr>
        <w:spacing w:after="0" w:line="240" w:lineRule="auto"/>
        <w:jc w:val="center"/>
        <w:rPr>
          <w:rFonts w:ascii="Arial" w:hAnsi="Arial" w:cs="Arial"/>
          <w:i/>
          <w:iCs/>
          <w:sz w:val="20"/>
          <w:szCs w:val="20"/>
        </w:rPr>
      </w:pPr>
    </w:p>
    <w:p w14:paraId="352DF8F4" w14:textId="77777777" w:rsidR="005F1F5A" w:rsidRDefault="005F1F5A" w:rsidP="0086092C">
      <w:pPr>
        <w:spacing w:after="0" w:line="240" w:lineRule="auto"/>
        <w:jc w:val="center"/>
        <w:rPr>
          <w:rFonts w:ascii="Arial" w:hAnsi="Arial" w:cs="Arial"/>
          <w:i/>
          <w:iCs/>
          <w:sz w:val="20"/>
          <w:szCs w:val="20"/>
        </w:rPr>
      </w:pPr>
    </w:p>
    <w:p w14:paraId="0594037D" w14:textId="77777777" w:rsidR="005F1F5A" w:rsidRDefault="005F1F5A" w:rsidP="005F1F5A">
      <w:pPr>
        <w:spacing w:after="0" w:line="240" w:lineRule="auto"/>
        <w:jc w:val="center"/>
        <w:rPr>
          <w:rFonts w:ascii="Arial" w:hAnsi="Arial" w:cs="Arial"/>
          <w:i/>
          <w:iCs/>
          <w:sz w:val="20"/>
          <w:szCs w:val="20"/>
        </w:rPr>
      </w:pPr>
      <w:r>
        <w:rPr>
          <w:rFonts w:ascii="Arial" w:hAnsi="Arial" w:cs="Arial"/>
          <w:i/>
          <w:iCs/>
          <w:sz w:val="20"/>
          <w:szCs w:val="20"/>
        </w:rPr>
        <w:t xml:space="preserve">                                </w:t>
      </w:r>
    </w:p>
    <w:p w14:paraId="2FAB40CE" w14:textId="72320FC6" w:rsidR="006F700C" w:rsidRDefault="006F700C" w:rsidP="005F1F5A">
      <w:pPr>
        <w:spacing w:after="0" w:line="240" w:lineRule="auto"/>
        <w:jc w:val="center"/>
        <w:rPr>
          <w:rFonts w:ascii="Arial" w:hAnsi="Arial" w:cs="Arial"/>
          <w:i/>
          <w:iCs/>
          <w:sz w:val="20"/>
          <w:szCs w:val="20"/>
        </w:rPr>
      </w:pPr>
      <w:r w:rsidRPr="0086092C">
        <w:rPr>
          <w:rFonts w:ascii="Arial" w:hAnsi="Arial" w:cs="Arial"/>
          <w:i/>
          <w:iCs/>
          <w:sz w:val="20"/>
          <w:szCs w:val="20"/>
        </w:rPr>
        <w:t>Source: Authors, using Stata 14.0</w:t>
      </w:r>
    </w:p>
    <w:p w14:paraId="66E84651" w14:textId="77777777" w:rsidR="005F1F5A" w:rsidRDefault="005F1F5A" w:rsidP="005F1F5A">
      <w:pPr>
        <w:spacing w:after="0" w:line="240" w:lineRule="auto"/>
        <w:jc w:val="center"/>
        <w:rPr>
          <w:rFonts w:ascii="Arial" w:hAnsi="Arial" w:cs="Arial"/>
          <w:i/>
          <w:iCs/>
          <w:sz w:val="20"/>
          <w:szCs w:val="20"/>
        </w:rPr>
      </w:pPr>
    </w:p>
    <w:p w14:paraId="2ED9526E" w14:textId="77777777" w:rsidR="005F1F5A" w:rsidRDefault="005F1F5A" w:rsidP="005F1F5A">
      <w:pPr>
        <w:spacing w:after="0" w:line="240" w:lineRule="auto"/>
        <w:jc w:val="center"/>
        <w:rPr>
          <w:rFonts w:ascii="Arial" w:hAnsi="Arial" w:cs="Arial"/>
          <w:i/>
          <w:iCs/>
          <w:sz w:val="20"/>
          <w:szCs w:val="20"/>
        </w:rPr>
      </w:pPr>
    </w:p>
    <w:p w14:paraId="37970D67" w14:textId="77777777" w:rsidR="005F1F5A" w:rsidRDefault="005F1F5A" w:rsidP="005F1F5A">
      <w:pPr>
        <w:spacing w:after="0" w:line="240" w:lineRule="auto"/>
        <w:jc w:val="center"/>
        <w:rPr>
          <w:rFonts w:ascii="Arial" w:hAnsi="Arial" w:cs="Arial"/>
          <w:i/>
          <w:iCs/>
          <w:sz w:val="20"/>
          <w:szCs w:val="20"/>
        </w:rPr>
      </w:pPr>
    </w:p>
    <w:p w14:paraId="05906234" w14:textId="77777777" w:rsidR="005F1F5A" w:rsidRDefault="005F1F5A" w:rsidP="005F1F5A">
      <w:pPr>
        <w:spacing w:after="0" w:line="240" w:lineRule="auto"/>
        <w:jc w:val="center"/>
        <w:rPr>
          <w:rFonts w:ascii="Arial" w:hAnsi="Arial" w:cs="Arial"/>
          <w:i/>
          <w:iCs/>
          <w:sz w:val="20"/>
          <w:szCs w:val="20"/>
        </w:rPr>
      </w:pPr>
    </w:p>
    <w:p w14:paraId="0FE96BFB" w14:textId="77777777" w:rsidR="005F1F5A" w:rsidRDefault="005F1F5A" w:rsidP="005F1F5A">
      <w:pPr>
        <w:spacing w:after="0" w:line="240" w:lineRule="auto"/>
        <w:jc w:val="center"/>
        <w:rPr>
          <w:rFonts w:ascii="Arial" w:hAnsi="Arial" w:cs="Arial"/>
          <w:i/>
          <w:iCs/>
          <w:sz w:val="20"/>
          <w:szCs w:val="20"/>
        </w:rPr>
      </w:pPr>
    </w:p>
    <w:p w14:paraId="1C0FB261" w14:textId="77777777" w:rsidR="005F1F5A" w:rsidRDefault="005F1F5A" w:rsidP="005F1F5A">
      <w:pPr>
        <w:spacing w:after="0" w:line="240" w:lineRule="auto"/>
        <w:jc w:val="center"/>
        <w:rPr>
          <w:rFonts w:ascii="Arial" w:hAnsi="Arial" w:cs="Arial"/>
          <w:i/>
          <w:iCs/>
          <w:sz w:val="20"/>
          <w:szCs w:val="20"/>
        </w:rPr>
      </w:pPr>
    </w:p>
    <w:p w14:paraId="6D32FAD2" w14:textId="77777777" w:rsidR="005F1F5A" w:rsidRDefault="005F1F5A" w:rsidP="005F1F5A">
      <w:pPr>
        <w:spacing w:after="0" w:line="240" w:lineRule="auto"/>
        <w:jc w:val="center"/>
        <w:rPr>
          <w:rFonts w:ascii="Arial" w:hAnsi="Arial" w:cs="Arial"/>
          <w:i/>
          <w:iCs/>
          <w:sz w:val="20"/>
          <w:szCs w:val="20"/>
        </w:rPr>
      </w:pPr>
    </w:p>
    <w:p w14:paraId="7759B06B" w14:textId="77777777" w:rsidR="005F1F5A" w:rsidRDefault="005F1F5A" w:rsidP="005F1F5A">
      <w:pPr>
        <w:spacing w:after="0" w:line="240" w:lineRule="auto"/>
        <w:jc w:val="center"/>
        <w:rPr>
          <w:rFonts w:ascii="Arial" w:hAnsi="Arial" w:cs="Arial"/>
          <w:i/>
          <w:iCs/>
          <w:sz w:val="20"/>
          <w:szCs w:val="20"/>
        </w:rPr>
      </w:pPr>
    </w:p>
    <w:p w14:paraId="7D815FEC" w14:textId="77777777" w:rsidR="005F1F5A" w:rsidRDefault="005F1F5A" w:rsidP="005F1F5A">
      <w:pPr>
        <w:spacing w:after="0" w:line="240" w:lineRule="auto"/>
        <w:jc w:val="center"/>
        <w:rPr>
          <w:rFonts w:ascii="Arial" w:hAnsi="Arial" w:cs="Arial"/>
          <w:i/>
          <w:iCs/>
          <w:sz w:val="20"/>
          <w:szCs w:val="20"/>
        </w:rPr>
      </w:pPr>
    </w:p>
    <w:p w14:paraId="18D9C26B" w14:textId="77777777" w:rsidR="005F1F5A" w:rsidRDefault="005F1F5A" w:rsidP="005F1F5A">
      <w:pPr>
        <w:spacing w:after="0" w:line="240" w:lineRule="auto"/>
        <w:jc w:val="center"/>
        <w:rPr>
          <w:rFonts w:ascii="Arial" w:hAnsi="Arial" w:cs="Arial"/>
          <w:i/>
          <w:iCs/>
          <w:sz w:val="20"/>
          <w:szCs w:val="20"/>
        </w:rPr>
      </w:pPr>
    </w:p>
    <w:p w14:paraId="3CEAEE69" w14:textId="77777777" w:rsidR="005F1F5A" w:rsidRDefault="005F1F5A" w:rsidP="005F1F5A">
      <w:pPr>
        <w:spacing w:after="0" w:line="240" w:lineRule="auto"/>
        <w:jc w:val="center"/>
        <w:rPr>
          <w:rFonts w:ascii="Arial" w:hAnsi="Arial" w:cs="Arial"/>
          <w:i/>
          <w:iCs/>
          <w:sz w:val="20"/>
          <w:szCs w:val="20"/>
        </w:rPr>
      </w:pPr>
    </w:p>
    <w:p w14:paraId="0AB55608" w14:textId="77777777" w:rsidR="005F1F5A" w:rsidRDefault="005F1F5A" w:rsidP="005F1F5A">
      <w:pPr>
        <w:spacing w:after="0" w:line="240" w:lineRule="auto"/>
        <w:jc w:val="center"/>
        <w:rPr>
          <w:rFonts w:ascii="Arial" w:hAnsi="Arial" w:cs="Arial"/>
          <w:i/>
          <w:iCs/>
          <w:sz w:val="20"/>
          <w:szCs w:val="20"/>
        </w:rPr>
      </w:pPr>
    </w:p>
    <w:p w14:paraId="74FEF4AE" w14:textId="77777777" w:rsidR="005F1F5A" w:rsidRDefault="005F1F5A" w:rsidP="005F1F5A">
      <w:pPr>
        <w:spacing w:after="0" w:line="240" w:lineRule="auto"/>
        <w:jc w:val="center"/>
        <w:rPr>
          <w:rFonts w:ascii="Arial" w:hAnsi="Arial" w:cs="Arial"/>
          <w:i/>
          <w:iCs/>
          <w:sz w:val="20"/>
          <w:szCs w:val="20"/>
        </w:rPr>
      </w:pPr>
    </w:p>
    <w:p w14:paraId="66F974AF" w14:textId="77777777" w:rsidR="005F1F5A" w:rsidRDefault="005F1F5A" w:rsidP="005F1F5A">
      <w:pPr>
        <w:spacing w:after="0" w:line="240" w:lineRule="auto"/>
        <w:jc w:val="center"/>
        <w:rPr>
          <w:rFonts w:ascii="Arial" w:hAnsi="Arial" w:cs="Arial"/>
          <w:i/>
          <w:iCs/>
          <w:sz w:val="20"/>
          <w:szCs w:val="20"/>
        </w:rPr>
      </w:pPr>
    </w:p>
    <w:p w14:paraId="598EC1EA" w14:textId="77777777" w:rsidR="005F1F5A" w:rsidRDefault="005F1F5A" w:rsidP="005F1F5A">
      <w:pPr>
        <w:spacing w:after="0" w:line="240" w:lineRule="auto"/>
        <w:jc w:val="center"/>
        <w:rPr>
          <w:rFonts w:ascii="Arial" w:hAnsi="Arial" w:cs="Arial"/>
          <w:i/>
          <w:iCs/>
          <w:sz w:val="20"/>
          <w:szCs w:val="20"/>
        </w:rPr>
      </w:pPr>
    </w:p>
    <w:p w14:paraId="36FA91DA" w14:textId="77777777" w:rsidR="005F1F5A" w:rsidRPr="0086092C" w:rsidRDefault="005F1F5A" w:rsidP="005F1F5A">
      <w:pPr>
        <w:spacing w:after="0" w:line="240" w:lineRule="auto"/>
        <w:rPr>
          <w:rFonts w:ascii="Arial" w:hAnsi="Arial" w:cs="Arial"/>
          <w:i/>
          <w:iCs/>
          <w:sz w:val="20"/>
          <w:szCs w:val="20"/>
        </w:rPr>
      </w:pPr>
    </w:p>
    <w:p w14:paraId="5FFEC276" w14:textId="030236A9" w:rsidR="009E79C5" w:rsidRDefault="00EB3BA0" w:rsidP="0086092C">
      <w:pPr>
        <w:spacing w:line="240" w:lineRule="auto"/>
        <w:jc w:val="both"/>
        <w:rPr>
          <w:rFonts w:ascii="Arial" w:hAnsi="Arial" w:cs="Arial"/>
          <w:sz w:val="20"/>
          <w:szCs w:val="20"/>
        </w:rPr>
      </w:pPr>
      <w:r w:rsidRPr="0086092C">
        <w:rPr>
          <w:rFonts w:ascii="Arial" w:hAnsi="Arial" w:cs="Arial"/>
          <w:bCs/>
          <w:iCs/>
          <w:noProof/>
          <w:spacing w:val="1"/>
          <w:sz w:val="20"/>
          <w:szCs w:val="20"/>
        </w:rPr>
        <w:drawing>
          <wp:anchor distT="0" distB="0" distL="114300" distR="114300" simplePos="0" relativeHeight="251658240" behindDoc="0" locked="0" layoutInCell="1" allowOverlap="1" wp14:anchorId="12C642E0" wp14:editId="47310FA7">
            <wp:simplePos x="0" y="0"/>
            <wp:positionH relativeFrom="column">
              <wp:posOffset>1571625</wp:posOffset>
            </wp:positionH>
            <wp:positionV relativeFrom="paragraph">
              <wp:posOffset>8255</wp:posOffset>
            </wp:positionV>
            <wp:extent cx="2162175" cy="2181225"/>
            <wp:effectExtent l="0" t="0" r="0" b="0"/>
            <wp:wrapThrough wrapText="bothSides">
              <wp:wrapPolygon edited="0">
                <wp:start x="0" y="0"/>
                <wp:lineTo x="0" y="21506"/>
                <wp:lineTo x="21505" y="21506"/>
                <wp:lineTo x="21505" y="0"/>
                <wp:lineTo x="0" y="0"/>
              </wp:wrapPolygon>
            </wp:wrapThrough>
            <wp:docPr id="204156978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791" r="12501"/>
                    <a:stretch/>
                  </pic:blipFill>
                  <pic:spPr bwMode="auto">
                    <a:xfrm>
                      <a:off x="0" y="0"/>
                      <a:ext cx="2162175" cy="2181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CA98B4" w14:textId="77777777" w:rsidR="005F1F5A" w:rsidRDefault="005F1F5A" w:rsidP="0086092C">
      <w:pPr>
        <w:spacing w:line="240" w:lineRule="auto"/>
        <w:jc w:val="both"/>
        <w:rPr>
          <w:rFonts w:ascii="Arial" w:hAnsi="Arial" w:cs="Arial"/>
          <w:sz w:val="20"/>
          <w:szCs w:val="20"/>
        </w:rPr>
      </w:pPr>
    </w:p>
    <w:p w14:paraId="00955BAC" w14:textId="77777777" w:rsidR="005F1F5A" w:rsidRDefault="005F1F5A" w:rsidP="0086092C">
      <w:pPr>
        <w:spacing w:line="240" w:lineRule="auto"/>
        <w:jc w:val="both"/>
        <w:rPr>
          <w:rFonts w:ascii="Arial" w:hAnsi="Arial" w:cs="Arial"/>
          <w:sz w:val="20"/>
          <w:szCs w:val="20"/>
        </w:rPr>
      </w:pPr>
    </w:p>
    <w:p w14:paraId="4E4163C5" w14:textId="77777777" w:rsidR="005F1F5A" w:rsidRPr="0086092C" w:rsidRDefault="005F1F5A" w:rsidP="0086092C">
      <w:pPr>
        <w:spacing w:line="240" w:lineRule="auto"/>
        <w:jc w:val="both"/>
        <w:rPr>
          <w:rFonts w:ascii="Arial" w:hAnsi="Arial" w:cs="Arial"/>
          <w:sz w:val="20"/>
          <w:szCs w:val="20"/>
        </w:rPr>
      </w:pPr>
    </w:p>
    <w:p w14:paraId="083D6E2C" w14:textId="77777777" w:rsidR="0059357E" w:rsidRPr="0086092C" w:rsidRDefault="0059357E" w:rsidP="0086092C">
      <w:pPr>
        <w:spacing w:line="240" w:lineRule="auto"/>
        <w:jc w:val="both"/>
        <w:rPr>
          <w:rFonts w:ascii="Arial" w:hAnsi="Arial" w:cs="Arial"/>
          <w:sz w:val="20"/>
          <w:szCs w:val="20"/>
        </w:rPr>
      </w:pPr>
    </w:p>
    <w:p w14:paraId="6F181E0D" w14:textId="77777777" w:rsidR="00EB3BA0" w:rsidRPr="0086092C" w:rsidRDefault="00EB3BA0" w:rsidP="0086092C">
      <w:pPr>
        <w:spacing w:line="240" w:lineRule="auto"/>
        <w:jc w:val="both"/>
        <w:rPr>
          <w:rFonts w:ascii="Arial" w:hAnsi="Arial" w:cs="Arial"/>
          <w:sz w:val="20"/>
          <w:szCs w:val="20"/>
        </w:rPr>
      </w:pPr>
    </w:p>
    <w:p w14:paraId="10A898F8" w14:textId="77777777" w:rsidR="00EB3BA0" w:rsidRPr="0086092C" w:rsidRDefault="00EB3BA0" w:rsidP="0086092C">
      <w:pPr>
        <w:spacing w:line="240" w:lineRule="auto"/>
        <w:jc w:val="both"/>
        <w:rPr>
          <w:rFonts w:ascii="Arial" w:hAnsi="Arial" w:cs="Arial"/>
          <w:sz w:val="20"/>
          <w:szCs w:val="20"/>
        </w:rPr>
      </w:pPr>
    </w:p>
    <w:p w14:paraId="59FE18AE" w14:textId="77777777" w:rsidR="00EB3BA0" w:rsidRPr="0086092C" w:rsidRDefault="00EB3BA0" w:rsidP="0086092C">
      <w:pPr>
        <w:spacing w:line="240" w:lineRule="auto"/>
        <w:jc w:val="both"/>
        <w:rPr>
          <w:rFonts w:ascii="Arial" w:hAnsi="Arial" w:cs="Arial"/>
          <w:sz w:val="20"/>
          <w:szCs w:val="20"/>
        </w:rPr>
      </w:pPr>
    </w:p>
    <w:p w14:paraId="17518D72" w14:textId="77777777" w:rsidR="00C17D3C" w:rsidRPr="0086092C" w:rsidRDefault="00C17D3C" w:rsidP="0086092C">
      <w:pPr>
        <w:spacing w:after="0" w:line="240" w:lineRule="auto"/>
        <w:jc w:val="both"/>
        <w:rPr>
          <w:rFonts w:ascii="Arial" w:hAnsi="Arial" w:cs="Arial"/>
          <w:sz w:val="20"/>
          <w:szCs w:val="20"/>
        </w:rPr>
      </w:pPr>
    </w:p>
    <w:p w14:paraId="4F22C7A3" w14:textId="77777777" w:rsidR="005F1F5A" w:rsidRDefault="005F1F5A" w:rsidP="0086092C">
      <w:pPr>
        <w:spacing w:after="0" w:line="240" w:lineRule="auto"/>
        <w:jc w:val="center"/>
        <w:rPr>
          <w:rFonts w:ascii="Arial" w:hAnsi="Arial" w:cs="Arial"/>
          <w:i/>
          <w:iCs/>
          <w:sz w:val="20"/>
          <w:szCs w:val="20"/>
        </w:rPr>
      </w:pPr>
    </w:p>
    <w:p w14:paraId="5EDA35D6" w14:textId="54B216D5" w:rsidR="00C17D3C" w:rsidRPr="0086092C" w:rsidRDefault="00C17D3C" w:rsidP="0086092C">
      <w:pPr>
        <w:spacing w:after="0" w:line="240" w:lineRule="auto"/>
        <w:jc w:val="center"/>
        <w:rPr>
          <w:rFonts w:ascii="Arial" w:hAnsi="Arial" w:cs="Arial"/>
          <w:i/>
          <w:iCs/>
          <w:sz w:val="20"/>
          <w:szCs w:val="20"/>
        </w:rPr>
      </w:pPr>
      <w:r w:rsidRPr="0086092C">
        <w:rPr>
          <w:rFonts w:ascii="Arial" w:hAnsi="Arial" w:cs="Arial"/>
          <w:i/>
          <w:iCs/>
          <w:sz w:val="20"/>
          <w:szCs w:val="20"/>
        </w:rPr>
        <w:t xml:space="preserve">Figure 1: </w:t>
      </w:r>
      <w:r w:rsidR="00FD597C" w:rsidRPr="0086092C">
        <w:rPr>
          <w:rFonts w:ascii="Arial" w:hAnsi="Arial" w:cs="Arial"/>
          <w:i/>
          <w:iCs/>
          <w:sz w:val="20"/>
          <w:szCs w:val="20"/>
        </w:rPr>
        <w:t>Roots of the characteristic polynomial</w:t>
      </w:r>
    </w:p>
    <w:p w14:paraId="57E1DFA6" w14:textId="77777777" w:rsidR="006F700C" w:rsidRPr="0086092C" w:rsidRDefault="006F700C" w:rsidP="0086092C">
      <w:pPr>
        <w:spacing w:line="240" w:lineRule="auto"/>
        <w:jc w:val="center"/>
        <w:rPr>
          <w:rFonts w:ascii="Arial" w:hAnsi="Arial" w:cs="Arial"/>
          <w:i/>
          <w:iCs/>
          <w:sz w:val="20"/>
          <w:szCs w:val="20"/>
        </w:rPr>
      </w:pPr>
      <w:r w:rsidRPr="0086092C">
        <w:rPr>
          <w:rFonts w:ascii="Arial" w:hAnsi="Arial" w:cs="Arial"/>
          <w:i/>
          <w:iCs/>
          <w:sz w:val="20"/>
          <w:szCs w:val="20"/>
        </w:rPr>
        <w:t>Source: Authors, using Stata 14.0</w:t>
      </w:r>
    </w:p>
    <w:p w14:paraId="5567C5C4" w14:textId="78730A5F" w:rsidR="009E79C5" w:rsidRPr="0086092C" w:rsidRDefault="009E79C5" w:rsidP="0086092C">
      <w:pPr>
        <w:spacing w:line="240" w:lineRule="auto"/>
        <w:rPr>
          <w:rFonts w:ascii="Arial" w:hAnsi="Arial" w:cs="Arial"/>
          <w:b/>
          <w:bCs/>
          <w:sz w:val="20"/>
          <w:szCs w:val="20"/>
        </w:rPr>
      </w:pPr>
      <w:r w:rsidRPr="0086092C">
        <w:rPr>
          <w:rFonts w:ascii="Arial" w:hAnsi="Arial" w:cs="Arial"/>
          <w:b/>
          <w:bCs/>
          <w:sz w:val="20"/>
          <w:szCs w:val="20"/>
        </w:rPr>
        <w:t>4.</w:t>
      </w:r>
      <w:r w:rsidR="007831BB" w:rsidRPr="0086092C">
        <w:rPr>
          <w:rFonts w:ascii="Arial" w:hAnsi="Arial" w:cs="Arial"/>
          <w:b/>
          <w:bCs/>
          <w:sz w:val="20"/>
          <w:szCs w:val="20"/>
        </w:rPr>
        <w:t>7</w:t>
      </w:r>
      <w:r w:rsidRPr="0086092C">
        <w:rPr>
          <w:rFonts w:ascii="Arial" w:hAnsi="Arial" w:cs="Arial"/>
          <w:b/>
          <w:bCs/>
          <w:sz w:val="20"/>
          <w:szCs w:val="20"/>
        </w:rPr>
        <w:t>. Impulse Response Functions (IRFs) for VAR model</w:t>
      </w:r>
    </w:p>
    <w:p w14:paraId="5280E712" w14:textId="77777777" w:rsidR="003C035F" w:rsidRPr="0086092C" w:rsidRDefault="003C035F" w:rsidP="0086092C">
      <w:pPr>
        <w:spacing w:line="240" w:lineRule="auto"/>
        <w:jc w:val="both"/>
        <w:rPr>
          <w:rFonts w:ascii="Arial" w:hAnsi="Arial" w:cs="Arial"/>
          <w:sz w:val="20"/>
          <w:szCs w:val="20"/>
        </w:rPr>
      </w:pPr>
      <w:r w:rsidRPr="0086092C">
        <w:rPr>
          <w:rFonts w:ascii="Arial" w:hAnsi="Arial" w:cs="Arial"/>
          <w:sz w:val="20"/>
          <w:szCs w:val="20"/>
        </w:rPr>
        <w:t>The impulse response function (IRF) graphs in Figure 2 illustrate the dynamic relationships among regulatory quality (RQ), rule of law (RL), and non-performing loans ratio (NPLR) in Chad. A positive shock to RQ leads to a decrease in NPLR, indicating that improvements in regulatory quality reduce non-performing loans, thereby enhancing banking stability. This effect is significant and persists over time, as indicated by the confidence intervals not crossing zero. Conversely, a positive shock to RL initially leads to an increase in NPLR, suggesting that improvements in the legal framework might initially reveal more non-performing loans due to stricter enforcement. However, this effect diminishes over time, indicating that while the initial impact might be an increase in NPLR, the long-term effect contributes to a more stable banking environment. The interplay between these frameworks suggests limited dynamic interactions between the Rule of Law and Regulatory Quality. Also, the IRFs indicate that shocks in NPLR do not significantly affect RL or RQ within the model's time frame. These interpretations provide insights into how regulatory and legal frameworks interact and influence banking stability in Chad.</w:t>
      </w:r>
    </w:p>
    <w:p w14:paraId="024FC210" w14:textId="77777777" w:rsidR="00E74ED8" w:rsidRDefault="009E79C5" w:rsidP="00E74ED8">
      <w:pPr>
        <w:spacing w:after="0" w:line="240" w:lineRule="auto"/>
        <w:jc w:val="center"/>
        <w:rPr>
          <w:rFonts w:ascii="Arial" w:hAnsi="Arial" w:cs="Arial"/>
          <w:i/>
          <w:iCs/>
          <w:sz w:val="20"/>
          <w:szCs w:val="20"/>
        </w:rPr>
      </w:pPr>
      <w:r w:rsidRPr="0086092C">
        <w:rPr>
          <w:rFonts w:ascii="Arial" w:hAnsi="Arial" w:cs="Arial"/>
          <w:bCs/>
          <w:iCs/>
          <w:noProof/>
          <w:spacing w:val="1"/>
          <w:sz w:val="20"/>
          <w:szCs w:val="20"/>
        </w:rPr>
        <w:lastRenderedPageBreak/>
        <w:drawing>
          <wp:anchor distT="0" distB="0" distL="114300" distR="114300" simplePos="0" relativeHeight="251654144" behindDoc="0" locked="0" layoutInCell="1" allowOverlap="1" wp14:anchorId="7409034B" wp14:editId="4CB76873">
            <wp:simplePos x="0" y="0"/>
            <wp:positionH relativeFrom="margin">
              <wp:align>right</wp:align>
            </wp:positionH>
            <wp:positionV relativeFrom="paragraph">
              <wp:posOffset>286385</wp:posOffset>
            </wp:positionV>
            <wp:extent cx="5934075" cy="4943475"/>
            <wp:effectExtent l="0" t="0" r="9525" b="0"/>
            <wp:wrapSquare wrapText="bothSides"/>
            <wp:docPr id="106263405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4075" cy="4943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149930" w14:textId="51457A10" w:rsidR="00E74ED8" w:rsidRDefault="00E74ED8" w:rsidP="00E74ED8">
      <w:pPr>
        <w:spacing w:after="0" w:line="240" w:lineRule="auto"/>
        <w:jc w:val="center"/>
        <w:rPr>
          <w:rFonts w:ascii="Arial" w:hAnsi="Arial" w:cs="Arial"/>
          <w:i/>
          <w:iCs/>
          <w:sz w:val="20"/>
          <w:szCs w:val="20"/>
        </w:rPr>
      </w:pPr>
      <w:r w:rsidRPr="0086092C">
        <w:rPr>
          <w:rFonts w:ascii="Arial" w:hAnsi="Arial" w:cs="Arial"/>
          <w:i/>
          <w:iCs/>
          <w:sz w:val="20"/>
          <w:szCs w:val="20"/>
        </w:rPr>
        <w:t>Figure 2: Impulse response function</w:t>
      </w:r>
    </w:p>
    <w:p w14:paraId="0F4DC1B8" w14:textId="48D4A040" w:rsidR="006F700C" w:rsidRDefault="006F700C" w:rsidP="00E74ED8">
      <w:pPr>
        <w:spacing w:after="0" w:line="240" w:lineRule="auto"/>
        <w:jc w:val="center"/>
        <w:rPr>
          <w:rFonts w:ascii="Arial" w:hAnsi="Arial" w:cs="Arial"/>
          <w:i/>
          <w:iCs/>
          <w:sz w:val="20"/>
          <w:szCs w:val="20"/>
        </w:rPr>
      </w:pPr>
      <w:r w:rsidRPr="0086092C">
        <w:rPr>
          <w:rFonts w:ascii="Arial" w:hAnsi="Arial" w:cs="Arial"/>
          <w:i/>
          <w:iCs/>
          <w:sz w:val="20"/>
          <w:szCs w:val="20"/>
        </w:rPr>
        <w:t xml:space="preserve">Source: </w:t>
      </w:r>
      <w:proofErr w:type="spellStart"/>
      <w:r w:rsidRPr="0086092C">
        <w:rPr>
          <w:rFonts w:ascii="Arial" w:hAnsi="Arial" w:cs="Arial"/>
          <w:i/>
          <w:iCs/>
          <w:sz w:val="20"/>
          <w:szCs w:val="20"/>
        </w:rPr>
        <w:t>Authos</w:t>
      </w:r>
      <w:proofErr w:type="spellEnd"/>
      <w:r w:rsidRPr="0086092C">
        <w:rPr>
          <w:rFonts w:ascii="Arial" w:hAnsi="Arial" w:cs="Arial"/>
          <w:i/>
          <w:iCs/>
          <w:sz w:val="20"/>
          <w:szCs w:val="20"/>
        </w:rPr>
        <w:t>, using Stata 14.0</w:t>
      </w:r>
    </w:p>
    <w:p w14:paraId="5485DB61" w14:textId="77777777" w:rsidR="00E74ED8" w:rsidRPr="0086092C" w:rsidRDefault="00E74ED8" w:rsidP="00E74ED8">
      <w:pPr>
        <w:spacing w:after="0" w:line="240" w:lineRule="auto"/>
        <w:jc w:val="center"/>
        <w:rPr>
          <w:rFonts w:ascii="Arial" w:hAnsi="Arial" w:cs="Arial"/>
          <w:i/>
          <w:iCs/>
          <w:sz w:val="20"/>
          <w:szCs w:val="20"/>
        </w:rPr>
      </w:pPr>
    </w:p>
    <w:p w14:paraId="4A7885A7" w14:textId="6F078FBB" w:rsidR="009E79C5" w:rsidRPr="00E74ED8" w:rsidRDefault="009E79C5" w:rsidP="0086092C">
      <w:pPr>
        <w:spacing w:line="240" w:lineRule="auto"/>
        <w:rPr>
          <w:rFonts w:ascii="Arial" w:hAnsi="Arial" w:cs="Arial"/>
          <w:b/>
          <w:bCs/>
        </w:rPr>
      </w:pPr>
      <w:r w:rsidRPr="00E74ED8">
        <w:rPr>
          <w:rFonts w:ascii="Arial" w:hAnsi="Arial" w:cs="Arial"/>
          <w:b/>
          <w:bCs/>
        </w:rPr>
        <w:t>4.</w:t>
      </w:r>
      <w:r w:rsidR="00315E32" w:rsidRPr="00E74ED8">
        <w:rPr>
          <w:rFonts w:ascii="Arial" w:hAnsi="Arial" w:cs="Arial"/>
          <w:b/>
          <w:bCs/>
        </w:rPr>
        <w:t>8</w:t>
      </w:r>
      <w:r w:rsidRPr="00E74ED8">
        <w:rPr>
          <w:rFonts w:ascii="Arial" w:hAnsi="Arial" w:cs="Arial"/>
          <w:b/>
          <w:bCs/>
        </w:rPr>
        <w:t>. Forecast Error Variance Decomposition (FEVD) for VAR model</w:t>
      </w:r>
    </w:p>
    <w:p w14:paraId="753A7CED" w14:textId="1C9EE95B" w:rsidR="003338A3" w:rsidRDefault="003338A3" w:rsidP="0086092C">
      <w:pPr>
        <w:spacing w:line="240" w:lineRule="auto"/>
        <w:jc w:val="both"/>
        <w:rPr>
          <w:rFonts w:ascii="Arial" w:hAnsi="Arial" w:cs="Arial"/>
          <w:sz w:val="20"/>
          <w:szCs w:val="20"/>
        </w:rPr>
      </w:pPr>
      <w:bookmarkStart w:id="2" w:name="_Hlk174409174"/>
      <w:r w:rsidRPr="0086092C">
        <w:rPr>
          <w:rFonts w:ascii="Arial" w:hAnsi="Arial" w:cs="Arial"/>
          <w:sz w:val="20"/>
          <w:szCs w:val="20"/>
        </w:rPr>
        <w:t xml:space="preserve">The Forecast Error Variance Decomposition analysis (Table </w:t>
      </w:r>
      <w:r w:rsidR="005A1202" w:rsidRPr="0086092C">
        <w:rPr>
          <w:rFonts w:ascii="Arial" w:hAnsi="Arial" w:cs="Arial"/>
          <w:sz w:val="20"/>
          <w:szCs w:val="20"/>
        </w:rPr>
        <w:t>8</w:t>
      </w:r>
      <w:r w:rsidRPr="0086092C">
        <w:rPr>
          <w:rFonts w:ascii="Arial" w:hAnsi="Arial" w:cs="Arial"/>
          <w:sz w:val="20"/>
          <w:szCs w:val="20"/>
        </w:rPr>
        <w:t xml:space="preserve">) within our VAR model reveals that the impulse from </w:t>
      </w:r>
      <w:r w:rsidR="005A1202" w:rsidRPr="0086092C">
        <w:rPr>
          <w:rFonts w:ascii="Arial" w:hAnsi="Arial" w:cs="Arial"/>
          <w:sz w:val="20"/>
          <w:szCs w:val="20"/>
        </w:rPr>
        <w:t>RQ</w:t>
      </w:r>
      <w:r w:rsidRPr="0086092C">
        <w:rPr>
          <w:rFonts w:ascii="Arial" w:hAnsi="Arial" w:cs="Arial"/>
          <w:sz w:val="20"/>
          <w:szCs w:val="20"/>
        </w:rPr>
        <w:t xml:space="preserve"> exhibits a consistent influence on the forecast error variance of NPLR, accounting for approximately </w:t>
      </w:r>
      <w:r w:rsidR="005A1202" w:rsidRPr="0086092C">
        <w:rPr>
          <w:rFonts w:ascii="Arial" w:hAnsi="Arial" w:cs="Arial"/>
          <w:sz w:val="20"/>
          <w:szCs w:val="20"/>
        </w:rPr>
        <w:t>65</w:t>
      </w:r>
      <w:r w:rsidRPr="0086092C">
        <w:rPr>
          <w:rFonts w:ascii="Arial" w:hAnsi="Arial" w:cs="Arial"/>
          <w:sz w:val="20"/>
          <w:szCs w:val="20"/>
        </w:rPr>
        <w:t>.</w:t>
      </w:r>
      <w:r w:rsidR="005A1202" w:rsidRPr="0086092C">
        <w:rPr>
          <w:rFonts w:ascii="Arial" w:hAnsi="Arial" w:cs="Arial"/>
          <w:sz w:val="20"/>
          <w:szCs w:val="20"/>
        </w:rPr>
        <w:t>3</w:t>
      </w:r>
      <w:r w:rsidRPr="0086092C">
        <w:rPr>
          <w:rFonts w:ascii="Arial" w:hAnsi="Arial" w:cs="Arial"/>
          <w:sz w:val="20"/>
          <w:szCs w:val="20"/>
        </w:rPr>
        <w:t xml:space="preserve">% of the variance from the </w:t>
      </w:r>
      <w:r w:rsidR="005A1202" w:rsidRPr="0086092C">
        <w:rPr>
          <w:rFonts w:ascii="Arial" w:hAnsi="Arial" w:cs="Arial"/>
          <w:sz w:val="20"/>
          <w:szCs w:val="20"/>
        </w:rPr>
        <w:t>third step</w:t>
      </w:r>
      <w:r w:rsidRPr="0086092C">
        <w:rPr>
          <w:rFonts w:ascii="Arial" w:hAnsi="Arial" w:cs="Arial"/>
          <w:sz w:val="20"/>
          <w:szCs w:val="20"/>
        </w:rPr>
        <w:t xml:space="preserve"> and maintaining </w:t>
      </w:r>
      <w:r w:rsidR="004D0BD7" w:rsidRPr="0086092C">
        <w:rPr>
          <w:rFonts w:ascii="Arial" w:hAnsi="Arial" w:cs="Arial"/>
          <w:sz w:val="20"/>
          <w:szCs w:val="20"/>
        </w:rPr>
        <w:t>a slight increase</w:t>
      </w:r>
      <w:r w:rsidRPr="0086092C">
        <w:rPr>
          <w:rFonts w:ascii="Arial" w:hAnsi="Arial" w:cs="Arial"/>
          <w:sz w:val="20"/>
          <w:szCs w:val="20"/>
        </w:rPr>
        <w:t xml:space="preserve"> throughout the forecast horizon. The impact of </w:t>
      </w:r>
      <w:r w:rsidR="00325536" w:rsidRPr="0086092C">
        <w:rPr>
          <w:rFonts w:ascii="Arial" w:hAnsi="Arial" w:cs="Arial"/>
          <w:sz w:val="20"/>
          <w:szCs w:val="20"/>
        </w:rPr>
        <w:t>RL</w:t>
      </w:r>
      <w:r w:rsidRPr="0086092C">
        <w:rPr>
          <w:rFonts w:ascii="Arial" w:hAnsi="Arial" w:cs="Arial"/>
          <w:sz w:val="20"/>
          <w:szCs w:val="20"/>
        </w:rPr>
        <w:t xml:space="preserve"> on the variance of NPLR is </w:t>
      </w:r>
      <w:r w:rsidR="00325536" w:rsidRPr="0086092C">
        <w:rPr>
          <w:rFonts w:ascii="Arial" w:hAnsi="Arial" w:cs="Arial"/>
          <w:sz w:val="20"/>
          <w:szCs w:val="20"/>
        </w:rPr>
        <w:t xml:space="preserve">also consistent but </w:t>
      </w:r>
      <w:r w:rsidRPr="0086092C">
        <w:rPr>
          <w:rFonts w:ascii="Arial" w:hAnsi="Arial" w:cs="Arial"/>
          <w:sz w:val="20"/>
          <w:szCs w:val="20"/>
        </w:rPr>
        <w:t xml:space="preserve">minimal, with its contribution less than </w:t>
      </w:r>
      <w:r w:rsidR="00325536" w:rsidRPr="0086092C">
        <w:rPr>
          <w:rFonts w:ascii="Arial" w:hAnsi="Arial" w:cs="Arial"/>
          <w:sz w:val="20"/>
          <w:szCs w:val="20"/>
        </w:rPr>
        <w:t>19</w:t>
      </w:r>
      <w:r w:rsidRPr="0086092C">
        <w:rPr>
          <w:rFonts w:ascii="Arial" w:hAnsi="Arial" w:cs="Arial"/>
          <w:sz w:val="20"/>
          <w:szCs w:val="20"/>
        </w:rPr>
        <w:t xml:space="preserve">% at all steps, indicating a </w:t>
      </w:r>
      <w:r w:rsidR="00325536" w:rsidRPr="0086092C">
        <w:rPr>
          <w:rFonts w:ascii="Arial" w:hAnsi="Arial" w:cs="Arial"/>
          <w:sz w:val="20"/>
          <w:szCs w:val="20"/>
        </w:rPr>
        <w:t>lesser</w:t>
      </w:r>
      <w:r w:rsidRPr="0086092C">
        <w:rPr>
          <w:rFonts w:ascii="Arial" w:hAnsi="Arial" w:cs="Arial"/>
          <w:sz w:val="20"/>
          <w:szCs w:val="20"/>
        </w:rPr>
        <w:t xml:space="preserve"> influence. </w:t>
      </w:r>
      <w:r w:rsidR="002B0ECD" w:rsidRPr="0086092C">
        <w:rPr>
          <w:rFonts w:ascii="Arial" w:hAnsi="Arial" w:cs="Arial"/>
          <w:sz w:val="20"/>
          <w:szCs w:val="20"/>
        </w:rPr>
        <w:t xml:space="preserve">Conversely, the impulse from NPLR reveals a negligeable influence on both RQ and RL, accounting for less than 14% for each. </w:t>
      </w:r>
      <w:r w:rsidRPr="0086092C">
        <w:rPr>
          <w:rFonts w:ascii="Arial" w:hAnsi="Arial" w:cs="Arial"/>
          <w:sz w:val="20"/>
          <w:szCs w:val="20"/>
        </w:rPr>
        <w:t xml:space="preserve">The FEVD results underscore that the shock from </w:t>
      </w:r>
      <w:r w:rsidR="00325536" w:rsidRPr="0086092C">
        <w:rPr>
          <w:rFonts w:ascii="Arial" w:hAnsi="Arial" w:cs="Arial"/>
          <w:sz w:val="20"/>
          <w:szCs w:val="20"/>
        </w:rPr>
        <w:t>RQ</w:t>
      </w:r>
      <w:r w:rsidRPr="0086092C">
        <w:rPr>
          <w:rFonts w:ascii="Arial" w:hAnsi="Arial" w:cs="Arial"/>
          <w:sz w:val="20"/>
          <w:szCs w:val="20"/>
        </w:rPr>
        <w:t xml:space="preserve"> has a significant and stable effect on the variance of NPLR, while the shocks from R</w:t>
      </w:r>
      <w:r w:rsidR="00325536" w:rsidRPr="0086092C">
        <w:rPr>
          <w:rFonts w:ascii="Arial" w:hAnsi="Arial" w:cs="Arial"/>
          <w:sz w:val="20"/>
          <w:szCs w:val="20"/>
        </w:rPr>
        <w:t>L</w:t>
      </w:r>
      <w:r w:rsidRPr="0086092C">
        <w:rPr>
          <w:rFonts w:ascii="Arial" w:hAnsi="Arial" w:cs="Arial"/>
          <w:sz w:val="20"/>
          <w:szCs w:val="20"/>
        </w:rPr>
        <w:t>, have minimal influence.</w:t>
      </w:r>
    </w:p>
    <w:p w14:paraId="42F2A1EA" w14:textId="77777777" w:rsidR="00E74ED8" w:rsidRDefault="00E74ED8" w:rsidP="0086092C">
      <w:pPr>
        <w:spacing w:line="240" w:lineRule="auto"/>
        <w:jc w:val="both"/>
        <w:rPr>
          <w:rFonts w:ascii="Arial" w:hAnsi="Arial" w:cs="Arial"/>
          <w:sz w:val="20"/>
          <w:szCs w:val="20"/>
        </w:rPr>
      </w:pPr>
    </w:p>
    <w:p w14:paraId="1A58A41B" w14:textId="77777777" w:rsidR="00E74ED8" w:rsidRDefault="00E74ED8" w:rsidP="0086092C">
      <w:pPr>
        <w:spacing w:line="240" w:lineRule="auto"/>
        <w:jc w:val="both"/>
        <w:rPr>
          <w:rFonts w:ascii="Arial" w:hAnsi="Arial" w:cs="Arial"/>
          <w:sz w:val="20"/>
          <w:szCs w:val="20"/>
        </w:rPr>
      </w:pPr>
    </w:p>
    <w:p w14:paraId="110B9A91" w14:textId="77777777" w:rsidR="00E74ED8" w:rsidRDefault="00E74ED8" w:rsidP="0086092C">
      <w:pPr>
        <w:spacing w:line="240" w:lineRule="auto"/>
        <w:jc w:val="both"/>
        <w:rPr>
          <w:rFonts w:ascii="Arial" w:hAnsi="Arial" w:cs="Arial"/>
          <w:sz w:val="20"/>
          <w:szCs w:val="20"/>
        </w:rPr>
      </w:pPr>
    </w:p>
    <w:p w14:paraId="7091C54B" w14:textId="77777777" w:rsidR="00E74ED8" w:rsidRPr="0086092C" w:rsidRDefault="00E74ED8" w:rsidP="0086092C">
      <w:pPr>
        <w:spacing w:line="240" w:lineRule="auto"/>
        <w:jc w:val="both"/>
        <w:rPr>
          <w:rFonts w:ascii="Arial" w:hAnsi="Arial" w:cs="Arial"/>
          <w:sz w:val="20"/>
          <w:szCs w:val="20"/>
        </w:rPr>
      </w:pPr>
    </w:p>
    <w:bookmarkEnd w:id="2"/>
    <w:p w14:paraId="0AD35A4B" w14:textId="2EBF3479" w:rsidR="009E79C5" w:rsidRPr="00E74ED8" w:rsidRDefault="009E79C5" w:rsidP="00E74ED8">
      <w:pPr>
        <w:spacing w:line="240" w:lineRule="auto"/>
        <w:jc w:val="center"/>
        <w:rPr>
          <w:rFonts w:ascii="Arial" w:hAnsi="Arial" w:cs="Arial"/>
          <w:sz w:val="20"/>
          <w:szCs w:val="20"/>
        </w:rPr>
      </w:pPr>
      <w:r w:rsidRPr="00E74ED8">
        <w:rPr>
          <w:rFonts w:ascii="Arial" w:hAnsi="Arial" w:cs="Arial"/>
          <w:sz w:val="20"/>
          <w:szCs w:val="20"/>
        </w:rPr>
        <w:lastRenderedPageBreak/>
        <w:t xml:space="preserve">Table </w:t>
      </w:r>
      <w:r w:rsidR="005A1202" w:rsidRPr="00E74ED8">
        <w:rPr>
          <w:rFonts w:ascii="Arial" w:hAnsi="Arial" w:cs="Arial"/>
          <w:sz w:val="20"/>
          <w:szCs w:val="20"/>
        </w:rPr>
        <w:t>8</w:t>
      </w:r>
      <w:r w:rsidRPr="00E74ED8">
        <w:rPr>
          <w:rFonts w:ascii="Arial" w:hAnsi="Arial" w:cs="Arial"/>
          <w:sz w:val="20"/>
          <w:szCs w:val="20"/>
        </w:rPr>
        <w:t>: Forecast Error Variance Decomposition (FEVD)</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1165"/>
        <w:gridCol w:w="2070"/>
        <w:gridCol w:w="1890"/>
        <w:gridCol w:w="2070"/>
        <w:gridCol w:w="2155"/>
      </w:tblGrid>
      <w:tr w:rsidR="005C5E7D" w:rsidRPr="0086092C" w14:paraId="0E564161" w14:textId="77777777" w:rsidTr="00E74ED8">
        <w:trPr>
          <w:jc w:val="center"/>
        </w:trPr>
        <w:tc>
          <w:tcPr>
            <w:tcW w:w="1165" w:type="dxa"/>
            <w:tcBorders>
              <w:bottom w:val="single" w:sz="4" w:space="0" w:color="auto"/>
              <w:right w:val="nil"/>
            </w:tcBorders>
          </w:tcPr>
          <w:p w14:paraId="304C235C" w14:textId="6DADCD32" w:rsidR="005C5E7D" w:rsidRPr="0086092C" w:rsidRDefault="005C5E7D" w:rsidP="0086092C">
            <w:pPr>
              <w:rPr>
                <w:rFonts w:ascii="Arial" w:hAnsi="Arial" w:cs="Arial"/>
                <w:sz w:val="20"/>
                <w:szCs w:val="20"/>
              </w:rPr>
            </w:pPr>
            <w:r w:rsidRPr="0086092C">
              <w:rPr>
                <w:rFonts w:ascii="Arial" w:hAnsi="Arial" w:cs="Arial"/>
                <w:sz w:val="20"/>
                <w:szCs w:val="20"/>
              </w:rPr>
              <w:t xml:space="preserve">Step </w:t>
            </w:r>
          </w:p>
        </w:tc>
        <w:tc>
          <w:tcPr>
            <w:tcW w:w="2070" w:type="dxa"/>
            <w:tcBorders>
              <w:left w:val="nil"/>
              <w:bottom w:val="single" w:sz="4" w:space="0" w:color="auto"/>
              <w:right w:val="nil"/>
            </w:tcBorders>
          </w:tcPr>
          <w:p w14:paraId="0C46539E" w14:textId="77777777" w:rsidR="005C5E7D" w:rsidRPr="0086092C" w:rsidRDefault="005C5E7D" w:rsidP="0086092C">
            <w:pPr>
              <w:jc w:val="center"/>
              <w:rPr>
                <w:rFonts w:ascii="Arial" w:hAnsi="Arial" w:cs="Arial"/>
                <w:sz w:val="20"/>
                <w:szCs w:val="20"/>
              </w:rPr>
            </w:pPr>
            <w:r w:rsidRPr="0086092C">
              <w:rPr>
                <w:rFonts w:ascii="Arial" w:hAnsi="Arial" w:cs="Arial"/>
                <w:sz w:val="20"/>
                <w:szCs w:val="20"/>
              </w:rPr>
              <w:t>(1)</w:t>
            </w:r>
          </w:p>
          <w:p w14:paraId="73F55157" w14:textId="444F12AF" w:rsidR="005C5E7D" w:rsidRPr="0086092C" w:rsidRDefault="005C5E7D" w:rsidP="0086092C">
            <w:pPr>
              <w:jc w:val="center"/>
              <w:rPr>
                <w:rFonts w:ascii="Arial" w:hAnsi="Arial" w:cs="Arial"/>
                <w:sz w:val="20"/>
                <w:szCs w:val="20"/>
              </w:rPr>
            </w:pPr>
            <w:proofErr w:type="spellStart"/>
            <w:r w:rsidRPr="0086092C">
              <w:rPr>
                <w:rFonts w:ascii="Arial" w:hAnsi="Arial" w:cs="Arial"/>
                <w:sz w:val="20"/>
                <w:szCs w:val="20"/>
              </w:rPr>
              <w:t>fevd</w:t>
            </w:r>
            <w:proofErr w:type="spellEnd"/>
          </w:p>
        </w:tc>
        <w:tc>
          <w:tcPr>
            <w:tcW w:w="1890" w:type="dxa"/>
            <w:tcBorders>
              <w:left w:val="nil"/>
              <w:bottom w:val="single" w:sz="4" w:space="0" w:color="auto"/>
              <w:right w:val="nil"/>
            </w:tcBorders>
          </w:tcPr>
          <w:p w14:paraId="716EFDD9" w14:textId="61E3E2F5" w:rsidR="005C5E7D" w:rsidRPr="0086092C" w:rsidRDefault="005C5E7D" w:rsidP="0086092C">
            <w:pPr>
              <w:jc w:val="center"/>
              <w:rPr>
                <w:rFonts w:ascii="Arial" w:hAnsi="Arial" w:cs="Arial"/>
                <w:sz w:val="20"/>
                <w:szCs w:val="20"/>
              </w:rPr>
            </w:pPr>
            <w:r w:rsidRPr="0086092C">
              <w:rPr>
                <w:rFonts w:ascii="Arial" w:hAnsi="Arial" w:cs="Arial"/>
                <w:sz w:val="20"/>
                <w:szCs w:val="20"/>
              </w:rPr>
              <w:t>(2)</w:t>
            </w:r>
          </w:p>
          <w:p w14:paraId="253E7D67" w14:textId="4A0D62A5" w:rsidR="005C5E7D" w:rsidRPr="0086092C" w:rsidRDefault="005C5E7D" w:rsidP="0086092C">
            <w:pPr>
              <w:jc w:val="center"/>
              <w:rPr>
                <w:rFonts w:ascii="Arial" w:hAnsi="Arial" w:cs="Arial"/>
                <w:sz w:val="20"/>
                <w:szCs w:val="20"/>
              </w:rPr>
            </w:pPr>
            <w:proofErr w:type="spellStart"/>
            <w:r w:rsidRPr="0086092C">
              <w:rPr>
                <w:rFonts w:ascii="Arial" w:hAnsi="Arial" w:cs="Arial"/>
                <w:sz w:val="20"/>
                <w:szCs w:val="20"/>
              </w:rPr>
              <w:t>fevd</w:t>
            </w:r>
            <w:proofErr w:type="spellEnd"/>
          </w:p>
        </w:tc>
        <w:tc>
          <w:tcPr>
            <w:tcW w:w="2070" w:type="dxa"/>
            <w:tcBorders>
              <w:left w:val="nil"/>
              <w:bottom w:val="single" w:sz="4" w:space="0" w:color="auto"/>
              <w:right w:val="nil"/>
            </w:tcBorders>
          </w:tcPr>
          <w:p w14:paraId="7E8E34AC" w14:textId="337404A9" w:rsidR="005C5E7D" w:rsidRPr="0086092C" w:rsidRDefault="005C5E7D" w:rsidP="0086092C">
            <w:pPr>
              <w:jc w:val="center"/>
              <w:rPr>
                <w:rFonts w:ascii="Arial" w:hAnsi="Arial" w:cs="Arial"/>
                <w:sz w:val="20"/>
                <w:szCs w:val="20"/>
              </w:rPr>
            </w:pPr>
            <w:r w:rsidRPr="0086092C">
              <w:rPr>
                <w:rFonts w:ascii="Arial" w:hAnsi="Arial" w:cs="Arial"/>
                <w:sz w:val="20"/>
                <w:szCs w:val="20"/>
              </w:rPr>
              <w:t>(3)</w:t>
            </w:r>
          </w:p>
          <w:p w14:paraId="695DA990" w14:textId="3087976E" w:rsidR="005C5E7D" w:rsidRPr="0086092C" w:rsidRDefault="005C5E7D" w:rsidP="0086092C">
            <w:pPr>
              <w:jc w:val="center"/>
              <w:rPr>
                <w:rFonts w:ascii="Arial" w:hAnsi="Arial" w:cs="Arial"/>
                <w:sz w:val="20"/>
                <w:szCs w:val="20"/>
              </w:rPr>
            </w:pPr>
            <w:proofErr w:type="spellStart"/>
            <w:r w:rsidRPr="0086092C">
              <w:rPr>
                <w:rFonts w:ascii="Arial" w:hAnsi="Arial" w:cs="Arial"/>
                <w:sz w:val="20"/>
                <w:szCs w:val="20"/>
              </w:rPr>
              <w:t>fevd</w:t>
            </w:r>
            <w:proofErr w:type="spellEnd"/>
          </w:p>
        </w:tc>
        <w:tc>
          <w:tcPr>
            <w:tcW w:w="2155" w:type="dxa"/>
            <w:tcBorders>
              <w:left w:val="nil"/>
              <w:bottom w:val="single" w:sz="4" w:space="0" w:color="auto"/>
            </w:tcBorders>
          </w:tcPr>
          <w:p w14:paraId="5CC934FF" w14:textId="27913BCE" w:rsidR="005C5E7D" w:rsidRPr="0086092C" w:rsidRDefault="005C5E7D" w:rsidP="0086092C">
            <w:pPr>
              <w:jc w:val="center"/>
              <w:rPr>
                <w:rFonts w:ascii="Arial" w:hAnsi="Arial" w:cs="Arial"/>
                <w:sz w:val="20"/>
                <w:szCs w:val="20"/>
              </w:rPr>
            </w:pPr>
            <w:r w:rsidRPr="0086092C">
              <w:rPr>
                <w:rFonts w:ascii="Arial" w:hAnsi="Arial" w:cs="Arial"/>
                <w:sz w:val="20"/>
                <w:szCs w:val="20"/>
              </w:rPr>
              <w:t>(4)</w:t>
            </w:r>
          </w:p>
          <w:p w14:paraId="493EEEA6" w14:textId="2E02F2E7" w:rsidR="005C5E7D" w:rsidRPr="0086092C" w:rsidRDefault="005C5E7D" w:rsidP="0086092C">
            <w:pPr>
              <w:jc w:val="center"/>
              <w:rPr>
                <w:rFonts w:ascii="Arial" w:hAnsi="Arial" w:cs="Arial"/>
                <w:sz w:val="20"/>
                <w:szCs w:val="20"/>
              </w:rPr>
            </w:pPr>
            <w:proofErr w:type="spellStart"/>
            <w:r w:rsidRPr="0086092C">
              <w:rPr>
                <w:rFonts w:ascii="Arial" w:hAnsi="Arial" w:cs="Arial"/>
                <w:sz w:val="20"/>
                <w:szCs w:val="20"/>
              </w:rPr>
              <w:t>fevd</w:t>
            </w:r>
            <w:proofErr w:type="spellEnd"/>
          </w:p>
        </w:tc>
      </w:tr>
      <w:tr w:rsidR="00E74ED8" w:rsidRPr="0086092C" w14:paraId="09C6432B" w14:textId="77777777" w:rsidTr="00E74ED8">
        <w:trPr>
          <w:jc w:val="center"/>
        </w:trPr>
        <w:tc>
          <w:tcPr>
            <w:tcW w:w="1165" w:type="dxa"/>
            <w:tcBorders>
              <w:bottom w:val="nil"/>
              <w:right w:val="nil"/>
            </w:tcBorders>
          </w:tcPr>
          <w:p w14:paraId="1E16EF5F" w14:textId="729EED02" w:rsidR="005C5E7D" w:rsidRPr="0086092C" w:rsidRDefault="005C5E7D" w:rsidP="0086092C">
            <w:pPr>
              <w:rPr>
                <w:rFonts w:ascii="Arial" w:hAnsi="Arial" w:cs="Arial"/>
                <w:sz w:val="20"/>
                <w:szCs w:val="20"/>
              </w:rPr>
            </w:pPr>
            <w:r w:rsidRPr="0086092C">
              <w:rPr>
                <w:rFonts w:ascii="Arial" w:hAnsi="Arial" w:cs="Arial"/>
                <w:sz w:val="20"/>
                <w:szCs w:val="20"/>
              </w:rPr>
              <w:t>0</w:t>
            </w:r>
          </w:p>
        </w:tc>
        <w:tc>
          <w:tcPr>
            <w:tcW w:w="2070" w:type="dxa"/>
            <w:tcBorders>
              <w:left w:val="nil"/>
              <w:bottom w:val="nil"/>
              <w:right w:val="nil"/>
            </w:tcBorders>
          </w:tcPr>
          <w:p w14:paraId="70E9CDC6" w14:textId="746EA350" w:rsidR="005C5E7D" w:rsidRPr="0086092C" w:rsidRDefault="005C5E7D" w:rsidP="0086092C">
            <w:pPr>
              <w:jc w:val="center"/>
              <w:rPr>
                <w:rFonts w:ascii="Arial" w:hAnsi="Arial" w:cs="Arial"/>
                <w:sz w:val="20"/>
                <w:szCs w:val="20"/>
              </w:rPr>
            </w:pPr>
            <w:r w:rsidRPr="0086092C">
              <w:rPr>
                <w:rFonts w:ascii="Arial" w:hAnsi="Arial" w:cs="Arial"/>
                <w:sz w:val="20"/>
                <w:szCs w:val="20"/>
              </w:rPr>
              <w:t>0</w:t>
            </w:r>
          </w:p>
        </w:tc>
        <w:tc>
          <w:tcPr>
            <w:tcW w:w="1890" w:type="dxa"/>
            <w:tcBorders>
              <w:left w:val="nil"/>
              <w:bottom w:val="nil"/>
              <w:right w:val="nil"/>
            </w:tcBorders>
          </w:tcPr>
          <w:p w14:paraId="548822F5" w14:textId="0A78C456" w:rsidR="005C5E7D" w:rsidRPr="0086092C" w:rsidRDefault="00E24F16" w:rsidP="0086092C">
            <w:pPr>
              <w:jc w:val="center"/>
              <w:rPr>
                <w:rFonts w:ascii="Arial" w:hAnsi="Arial" w:cs="Arial"/>
                <w:sz w:val="20"/>
                <w:szCs w:val="20"/>
              </w:rPr>
            </w:pPr>
            <w:r w:rsidRPr="0086092C">
              <w:rPr>
                <w:rFonts w:ascii="Arial" w:hAnsi="Arial" w:cs="Arial"/>
                <w:sz w:val="20"/>
                <w:szCs w:val="20"/>
              </w:rPr>
              <w:t>0</w:t>
            </w:r>
          </w:p>
        </w:tc>
        <w:tc>
          <w:tcPr>
            <w:tcW w:w="2070" w:type="dxa"/>
            <w:tcBorders>
              <w:left w:val="nil"/>
              <w:bottom w:val="nil"/>
              <w:right w:val="nil"/>
            </w:tcBorders>
          </w:tcPr>
          <w:p w14:paraId="05B1FEED" w14:textId="537C24AE" w:rsidR="005C5E7D" w:rsidRPr="0086092C" w:rsidRDefault="005C5E7D" w:rsidP="0086092C">
            <w:pPr>
              <w:jc w:val="center"/>
              <w:rPr>
                <w:rFonts w:ascii="Arial" w:hAnsi="Arial" w:cs="Arial"/>
                <w:sz w:val="20"/>
                <w:szCs w:val="20"/>
              </w:rPr>
            </w:pPr>
            <w:r w:rsidRPr="0086092C">
              <w:rPr>
                <w:rFonts w:ascii="Arial" w:hAnsi="Arial" w:cs="Arial"/>
                <w:sz w:val="20"/>
                <w:szCs w:val="20"/>
              </w:rPr>
              <w:t>0</w:t>
            </w:r>
          </w:p>
        </w:tc>
        <w:tc>
          <w:tcPr>
            <w:tcW w:w="2155" w:type="dxa"/>
            <w:tcBorders>
              <w:left w:val="nil"/>
              <w:bottom w:val="nil"/>
            </w:tcBorders>
          </w:tcPr>
          <w:p w14:paraId="188D8F7C" w14:textId="5C980159" w:rsidR="005C5E7D" w:rsidRPr="0086092C" w:rsidRDefault="005C5E7D" w:rsidP="0086092C">
            <w:pPr>
              <w:jc w:val="center"/>
              <w:rPr>
                <w:rFonts w:ascii="Arial" w:hAnsi="Arial" w:cs="Arial"/>
                <w:sz w:val="20"/>
                <w:szCs w:val="20"/>
              </w:rPr>
            </w:pPr>
            <w:r w:rsidRPr="0086092C">
              <w:rPr>
                <w:rFonts w:ascii="Arial" w:hAnsi="Arial" w:cs="Arial"/>
                <w:sz w:val="20"/>
                <w:szCs w:val="20"/>
              </w:rPr>
              <w:t>0</w:t>
            </w:r>
          </w:p>
        </w:tc>
      </w:tr>
      <w:tr w:rsidR="00E74ED8" w:rsidRPr="0086092C" w14:paraId="6F6E4815" w14:textId="77777777" w:rsidTr="00E74ED8">
        <w:trPr>
          <w:jc w:val="center"/>
        </w:trPr>
        <w:tc>
          <w:tcPr>
            <w:tcW w:w="1165" w:type="dxa"/>
            <w:tcBorders>
              <w:top w:val="nil"/>
              <w:bottom w:val="nil"/>
              <w:right w:val="nil"/>
            </w:tcBorders>
          </w:tcPr>
          <w:p w14:paraId="160B882A" w14:textId="55F75598" w:rsidR="005C5E7D" w:rsidRPr="0086092C" w:rsidRDefault="005C5E7D" w:rsidP="0086092C">
            <w:pPr>
              <w:rPr>
                <w:rFonts w:ascii="Arial" w:hAnsi="Arial" w:cs="Arial"/>
                <w:sz w:val="20"/>
                <w:szCs w:val="20"/>
              </w:rPr>
            </w:pPr>
            <w:r w:rsidRPr="0086092C">
              <w:rPr>
                <w:rFonts w:ascii="Arial" w:hAnsi="Arial" w:cs="Arial"/>
                <w:sz w:val="20"/>
                <w:szCs w:val="20"/>
              </w:rPr>
              <w:t>1</w:t>
            </w:r>
          </w:p>
        </w:tc>
        <w:tc>
          <w:tcPr>
            <w:tcW w:w="2070" w:type="dxa"/>
            <w:tcBorders>
              <w:top w:val="nil"/>
              <w:left w:val="nil"/>
              <w:bottom w:val="nil"/>
              <w:right w:val="nil"/>
            </w:tcBorders>
          </w:tcPr>
          <w:p w14:paraId="537367EE" w14:textId="291E4CE5" w:rsidR="005C5E7D" w:rsidRPr="0086092C" w:rsidRDefault="00E24F16" w:rsidP="0086092C">
            <w:pPr>
              <w:jc w:val="center"/>
              <w:rPr>
                <w:rFonts w:ascii="Arial" w:hAnsi="Arial" w:cs="Arial"/>
                <w:sz w:val="20"/>
                <w:szCs w:val="20"/>
              </w:rPr>
            </w:pPr>
            <w:r w:rsidRPr="0086092C">
              <w:rPr>
                <w:rFonts w:ascii="Arial" w:hAnsi="Arial" w:cs="Arial"/>
                <w:sz w:val="20"/>
                <w:szCs w:val="20"/>
              </w:rPr>
              <w:t>0</w:t>
            </w:r>
          </w:p>
        </w:tc>
        <w:tc>
          <w:tcPr>
            <w:tcW w:w="1890" w:type="dxa"/>
            <w:tcBorders>
              <w:top w:val="nil"/>
              <w:left w:val="nil"/>
              <w:bottom w:val="nil"/>
              <w:right w:val="nil"/>
            </w:tcBorders>
          </w:tcPr>
          <w:p w14:paraId="0D6709E7" w14:textId="5610D43C" w:rsidR="005C5E7D" w:rsidRPr="0086092C" w:rsidRDefault="00E24F16" w:rsidP="0086092C">
            <w:pPr>
              <w:jc w:val="center"/>
              <w:rPr>
                <w:rFonts w:ascii="Arial" w:hAnsi="Arial" w:cs="Arial"/>
                <w:sz w:val="20"/>
                <w:szCs w:val="20"/>
              </w:rPr>
            </w:pPr>
            <w:r w:rsidRPr="0086092C">
              <w:rPr>
                <w:rFonts w:ascii="Arial" w:hAnsi="Arial" w:cs="Arial"/>
                <w:sz w:val="20"/>
                <w:szCs w:val="20"/>
              </w:rPr>
              <w:t>0</w:t>
            </w:r>
          </w:p>
        </w:tc>
        <w:tc>
          <w:tcPr>
            <w:tcW w:w="2070" w:type="dxa"/>
            <w:tcBorders>
              <w:top w:val="nil"/>
              <w:left w:val="nil"/>
              <w:bottom w:val="nil"/>
              <w:right w:val="nil"/>
            </w:tcBorders>
          </w:tcPr>
          <w:p w14:paraId="44F3A0BC" w14:textId="038A125B" w:rsidR="005C5E7D" w:rsidRPr="0086092C" w:rsidRDefault="005C5E7D" w:rsidP="0086092C">
            <w:pPr>
              <w:jc w:val="center"/>
              <w:rPr>
                <w:rFonts w:ascii="Arial" w:hAnsi="Arial" w:cs="Arial"/>
                <w:sz w:val="20"/>
                <w:szCs w:val="20"/>
              </w:rPr>
            </w:pPr>
            <w:r w:rsidRPr="0086092C">
              <w:rPr>
                <w:rFonts w:ascii="Arial" w:hAnsi="Arial" w:cs="Arial"/>
                <w:sz w:val="20"/>
                <w:szCs w:val="20"/>
              </w:rPr>
              <w:t>.018105</w:t>
            </w:r>
          </w:p>
        </w:tc>
        <w:tc>
          <w:tcPr>
            <w:tcW w:w="2155" w:type="dxa"/>
            <w:tcBorders>
              <w:top w:val="nil"/>
              <w:left w:val="nil"/>
              <w:bottom w:val="nil"/>
            </w:tcBorders>
          </w:tcPr>
          <w:p w14:paraId="516A2084" w14:textId="62EEE10F" w:rsidR="005C5E7D" w:rsidRPr="0086092C" w:rsidRDefault="005C5E7D" w:rsidP="0086092C">
            <w:pPr>
              <w:jc w:val="center"/>
              <w:rPr>
                <w:rFonts w:ascii="Arial" w:hAnsi="Arial" w:cs="Arial"/>
                <w:sz w:val="20"/>
                <w:szCs w:val="20"/>
              </w:rPr>
            </w:pPr>
            <w:r w:rsidRPr="0086092C">
              <w:rPr>
                <w:rFonts w:ascii="Arial" w:hAnsi="Arial" w:cs="Arial"/>
                <w:sz w:val="20"/>
                <w:szCs w:val="20"/>
              </w:rPr>
              <w:t>.086767</w:t>
            </w:r>
          </w:p>
        </w:tc>
      </w:tr>
      <w:tr w:rsidR="00E74ED8" w:rsidRPr="0086092C" w14:paraId="7729BABE" w14:textId="77777777" w:rsidTr="00E74ED8">
        <w:trPr>
          <w:jc w:val="center"/>
        </w:trPr>
        <w:tc>
          <w:tcPr>
            <w:tcW w:w="1165" w:type="dxa"/>
            <w:tcBorders>
              <w:top w:val="nil"/>
              <w:bottom w:val="nil"/>
              <w:right w:val="nil"/>
            </w:tcBorders>
          </w:tcPr>
          <w:p w14:paraId="74D04F8D" w14:textId="0C9B8967" w:rsidR="005C5E7D" w:rsidRPr="0086092C" w:rsidRDefault="005C5E7D" w:rsidP="0086092C">
            <w:pPr>
              <w:rPr>
                <w:rFonts w:ascii="Arial" w:hAnsi="Arial" w:cs="Arial"/>
                <w:sz w:val="20"/>
                <w:szCs w:val="20"/>
              </w:rPr>
            </w:pPr>
            <w:r w:rsidRPr="0086092C">
              <w:rPr>
                <w:rFonts w:ascii="Arial" w:hAnsi="Arial" w:cs="Arial"/>
                <w:sz w:val="20"/>
                <w:szCs w:val="20"/>
              </w:rPr>
              <w:t>2</w:t>
            </w:r>
          </w:p>
        </w:tc>
        <w:tc>
          <w:tcPr>
            <w:tcW w:w="2070" w:type="dxa"/>
            <w:tcBorders>
              <w:top w:val="nil"/>
              <w:left w:val="nil"/>
              <w:bottom w:val="nil"/>
              <w:right w:val="nil"/>
            </w:tcBorders>
          </w:tcPr>
          <w:p w14:paraId="7688D339" w14:textId="013CD88A" w:rsidR="005C5E7D" w:rsidRPr="0086092C" w:rsidRDefault="00E24F16" w:rsidP="0086092C">
            <w:pPr>
              <w:jc w:val="center"/>
              <w:rPr>
                <w:rFonts w:ascii="Arial" w:hAnsi="Arial" w:cs="Arial"/>
                <w:sz w:val="20"/>
                <w:szCs w:val="20"/>
              </w:rPr>
            </w:pPr>
            <w:r w:rsidRPr="0086092C">
              <w:rPr>
                <w:rFonts w:ascii="Arial" w:hAnsi="Arial" w:cs="Arial"/>
                <w:sz w:val="20"/>
                <w:szCs w:val="20"/>
              </w:rPr>
              <w:t>.052479</w:t>
            </w:r>
          </w:p>
        </w:tc>
        <w:tc>
          <w:tcPr>
            <w:tcW w:w="1890" w:type="dxa"/>
            <w:tcBorders>
              <w:top w:val="nil"/>
              <w:left w:val="nil"/>
              <w:bottom w:val="nil"/>
              <w:right w:val="nil"/>
            </w:tcBorders>
          </w:tcPr>
          <w:p w14:paraId="7A1C2D69" w14:textId="164BE2AE" w:rsidR="005C5E7D" w:rsidRPr="0086092C" w:rsidRDefault="00E24F16" w:rsidP="0086092C">
            <w:pPr>
              <w:jc w:val="center"/>
              <w:rPr>
                <w:rFonts w:ascii="Arial" w:hAnsi="Arial" w:cs="Arial"/>
                <w:sz w:val="20"/>
                <w:szCs w:val="20"/>
              </w:rPr>
            </w:pPr>
            <w:r w:rsidRPr="0086092C">
              <w:rPr>
                <w:rFonts w:ascii="Arial" w:hAnsi="Arial" w:cs="Arial"/>
                <w:sz w:val="20"/>
                <w:szCs w:val="20"/>
              </w:rPr>
              <w:t>.071263</w:t>
            </w:r>
          </w:p>
        </w:tc>
        <w:tc>
          <w:tcPr>
            <w:tcW w:w="2070" w:type="dxa"/>
            <w:tcBorders>
              <w:top w:val="nil"/>
              <w:left w:val="nil"/>
              <w:bottom w:val="nil"/>
              <w:right w:val="nil"/>
            </w:tcBorders>
          </w:tcPr>
          <w:p w14:paraId="26071127" w14:textId="7843D7B1" w:rsidR="005C5E7D" w:rsidRPr="0086092C" w:rsidRDefault="005C5E7D" w:rsidP="0086092C">
            <w:pPr>
              <w:jc w:val="center"/>
              <w:rPr>
                <w:rFonts w:ascii="Arial" w:hAnsi="Arial" w:cs="Arial"/>
                <w:sz w:val="20"/>
                <w:szCs w:val="20"/>
              </w:rPr>
            </w:pPr>
            <w:r w:rsidRPr="0086092C">
              <w:rPr>
                <w:rFonts w:ascii="Arial" w:hAnsi="Arial" w:cs="Arial"/>
                <w:sz w:val="20"/>
                <w:szCs w:val="20"/>
              </w:rPr>
              <w:t>.093235</w:t>
            </w:r>
          </w:p>
        </w:tc>
        <w:tc>
          <w:tcPr>
            <w:tcW w:w="2155" w:type="dxa"/>
            <w:tcBorders>
              <w:top w:val="nil"/>
              <w:left w:val="nil"/>
              <w:bottom w:val="nil"/>
            </w:tcBorders>
          </w:tcPr>
          <w:p w14:paraId="7829D051" w14:textId="5DB6ACA1" w:rsidR="005C5E7D" w:rsidRPr="0086092C" w:rsidRDefault="005C5E7D" w:rsidP="0086092C">
            <w:pPr>
              <w:jc w:val="center"/>
              <w:rPr>
                <w:rFonts w:ascii="Arial" w:hAnsi="Arial" w:cs="Arial"/>
                <w:sz w:val="20"/>
                <w:szCs w:val="20"/>
              </w:rPr>
            </w:pPr>
            <w:r w:rsidRPr="0086092C">
              <w:rPr>
                <w:rFonts w:ascii="Arial" w:hAnsi="Arial" w:cs="Arial"/>
                <w:sz w:val="20"/>
                <w:szCs w:val="20"/>
              </w:rPr>
              <w:t>.119677</w:t>
            </w:r>
          </w:p>
        </w:tc>
      </w:tr>
      <w:tr w:rsidR="00E74ED8" w:rsidRPr="0086092C" w14:paraId="13A0EEC6" w14:textId="77777777" w:rsidTr="00E74ED8">
        <w:trPr>
          <w:jc w:val="center"/>
        </w:trPr>
        <w:tc>
          <w:tcPr>
            <w:tcW w:w="1165" w:type="dxa"/>
            <w:tcBorders>
              <w:top w:val="nil"/>
              <w:bottom w:val="nil"/>
              <w:right w:val="nil"/>
            </w:tcBorders>
          </w:tcPr>
          <w:p w14:paraId="16EE0D07" w14:textId="45F2FE72" w:rsidR="005C5E7D" w:rsidRPr="0086092C" w:rsidRDefault="005C5E7D" w:rsidP="0086092C">
            <w:pPr>
              <w:rPr>
                <w:rFonts w:ascii="Arial" w:hAnsi="Arial" w:cs="Arial"/>
                <w:sz w:val="20"/>
                <w:szCs w:val="20"/>
              </w:rPr>
            </w:pPr>
            <w:r w:rsidRPr="0086092C">
              <w:rPr>
                <w:rFonts w:ascii="Arial" w:hAnsi="Arial" w:cs="Arial"/>
                <w:sz w:val="20"/>
                <w:szCs w:val="20"/>
              </w:rPr>
              <w:t>3</w:t>
            </w:r>
          </w:p>
        </w:tc>
        <w:tc>
          <w:tcPr>
            <w:tcW w:w="2070" w:type="dxa"/>
            <w:tcBorders>
              <w:top w:val="nil"/>
              <w:left w:val="nil"/>
              <w:bottom w:val="nil"/>
              <w:right w:val="nil"/>
            </w:tcBorders>
          </w:tcPr>
          <w:p w14:paraId="45767EB7" w14:textId="4409805E" w:rsidR="005C5E7D" w:rsidRPr="0086092C" w:rsidRDefault="00E24F16" w:rsidP="0086092C">
            <w:pPr>
              <w:jc w:val="center"/>
              <w:rPr>
                <w:rFonts w:ascii="Arial" w:hAnsi="Arial" w:cs="Arial"/>
                <w:sz w:val="20"/>
                <w:szCs w:val="20"/>
              </w:rPr>
            </w:pPr>
            <w:r w:rsidRPr="0086092C">
              <w:rPr>
                <w:rFonts w:ascii="Arial" w:hAnsi="Arial" w:cs="Arial"/>
                <w:sz w:val="20"/>
                <w:szCs w:val="20"/>
              </w:rPr>
              <w:t>.065304</w:t>
            </w:r>
          </w:p>
        </w:tc>
        <w:tc>
          <w:tcPr>
            <w:tcW w:w="1890" w:type="dxa"/>
            <w:tcBorders>
              <w:top w:val="nil"/>
              <w:left w:val="nil"/>
              <w:bottom w:val="nil"/>
              <w:right w:val="nil"/>
            </w:tcBorders>
          </w:tcPr>
          <w:p w14:paraId="6DE7FCA8" w14:textId="3B8E74DC" w:rsidR="005C5E7D" w:rsidRPr="0086092C" w:rsidRDefault="00E24F16" w:rsidP="0086092C">
            <w:pPr>
              <w:jc w:val="center"/>
              <w:rPr>
                <w:rFonts w:ascii="Arial" w:hAnsi="Arial" w:cs="Arial"/>
                <w:sz w:val="20"/>
                <w:szCs w:val="20"/>
              </w:rPr>
            </w:pPr>
            <w:r w:rsidRPr="0086092C">
              <w:rPr>
                <w:rFonts w:ascii="Arial" w:hAnsi="Arial" w:cs="Arial"/>
                <w:sz w:val="20"/>
                <w:szCs w:val="20"/>
              </w:rPr>
              <w:t>.138869</w:t>
            </w:r>
          </w:p>
        </w:tc>
        <w:tc>
          <w:tcPr>
            <w:tcW w:w="2070" w:type="dxa"/>
            <w:tcBorders>
              <w:top w:val="nil"/>
              <w:left w:val="nil"/>
              <w:bottom w:val="nil"/>
              <w:right w:val="nil"/>
            </w:tcBorders>
          </w:tcPr>
          <w:p w14:paraId="77D4B27D" w14:textId="6325E62D" w:rsidR="005C5E7D" w:rsidRPr="0086092C" w:rsidRDefault="005C5E7D" w:rsidP="0086092C">
            <w:pPr>
              <w:jc w:val="center"/>
              <w:rPr>
                <w:rFonts w:ascii="Arial" w:hAnsi="Arial" w:cs="Arial"/>
                <w:sz w:val="20"/>
                <w:szCs w:val="20"/>
              </w:rPr>
            </w:pPr>
            <w:r w:rsidRPr="0086092C">
              <w:rPr>
                <w:rFonts w:ascii="Arial" w:hAnsi="Arial" w:cs="Arial"/>
                <w:sz w:val="20"/>
                <w:szCs w:val="20"/>
              </w:rPr>
              <w:t>.10322</w:t>
            </w:r>
          </w:p>
        </w:tc>
        <w:tc>
          <w:tcPr>
            <w:tcW w:w="2155" w:type="dxa"/>
            <w:tcBorders>
              <w:top w:val="nil"/>
              <w:left w:val="nil"/>
              <w:bottom w:val="nil"/>
            </w:tcBorders>
          </w:tcPr>
          <w:p w14:paraId="35D0502F" w14:textId="3FFC2669" w:rsidR="005C5E7D" w:rsidRPr="0086092C" w:rsidRDefault="005C5E7D" w:rsidP="0086092C">
            <w:pPr>
              <w:jc w:val="center"/>
              <w:rPr>
                <w:rFonts w:ascii="Arial" w:hAnsi="Arial" w:cs="Arial"/>
                <w:sz w:val="20"/>
                <w:szCs w:val="20"/>
              </w:rPr>
            </w:pPr>
            <w:r w:rsidRPr="0086092C">
              <w:rPr>
                <w:rFonts w:ascii="Arial" w:hAnsi="Arial" w:cs="Arial"/>
                <w:sz w:val="20"/>
                <w:szCs w:val="20"/>
              </w:rPr>
              <w:t>.127799</w:t>
            </w:r>
          </w:p>
        </w:tc>
      </w:tr>
      <w:tr w:rsidR="00E74ED8" w:rsidRPr="0086092C" w14:paraId="2675866F" w14:textId="77777777" w:rsidTr="00E74ED8">
        <w:trPr>
          <w:jc w:val="center"/>
        </w:trPr>
        <w:tc>
          <w:tcPr>
            <w:tcW w:w="1165" w:type="dxa"/>
            <w:tcBorders>
              <w:top w:val="nil"/>
              <w:bottom w:val="nil"/>
              <w:right w:val="nil"/>
            </w:tcBorders>
          </w:tcPr>
          <w:p w14:paraId="1FF4D149" w14:textId="161846F0" w:rsidR="005C5E7D" w:rsidRPr="0086092C" w:rsidRDefault="005C5E7D" w:rsidP="0086092C">
            <w:pPr>
              <w:rPr>
                <w:rFonts w:ascii="Arial" w:hAnsi="Arial" w:cs="Arial"/>
                <w:sz w:val="20"/>
                <w:szCs w:val="20"/>
              </w:rPr>
            </w:pPr>
            <w:r w:rsidRPr="0086092C">
              <w:rPr>
                <w:rFonts w:ascii="Arial" w:hAnsi="Arial" w:cs="Arial"/>
                <w:sz w:val="20"/>
                <w:szCs w:val="20"/>
              </w:rPr>
              <w:t>4</w:t>
            </w:r>
          </w:p>
        </w:tc>
        <w:tc>
          <w:tcPr>
            <w:tcW w:w="2070" w:type="dxa"/>
            <w:tcBorders>
              <w:top w:val="nil"/>
              <w:left w:val="nil"/>
              <w:bottom w:val="nil"/>
              <w:right w:val="nil"/>
            </w:tcBorders>
          </w:tcPr>
          <w:p w14:paraId="0E0DAF92" w14:textId="475A70B9" w:rsidR="005C5E7D" w:rsidRPr="0086092C" w:rsidRDefault="00E24F16" w:rsidP="0086092C">
            <w:pPr>
              <w:jc w:val="center"/>
              <w:rPr>
                <w:rFonts w:ascii="Arial" w:hAnsi="Arial" w:cs="Arial"/>
                <w:sz w:val="20"/>
                <w:szCs w:val="20"/>
              </w:rPr>
            </w:pPr>
            <w:r w:rsidRPr="0086092C">
              <w:rPr>
                <w:rFonts w:ascii="Arial" w:hAnsi="Arial" w:cs="Arial"/>
                <w:sz w:val="20"/>
                <w:szCs w:val="20"/>
              </w:rPr>
              <w:t>.066043</w:t>
            </w:r>
          </w:p>
        </w:tc>
        <w:tc>
          <w:tcPr>
            <w:tcW w:w="1890" w:type="dxa"/>
            <w:tcBorders>
              <w:top w:val="nil"/>
              <w:left w:val="nil"/>
              <w:bottom w:val="nil"/>
              <w:right w:val="nil"/>
            </w:tcBorders>
          </w:tcPr>
          <w:p w14:paraId="3E15238B" w14:textId="73A3363B" w:rsidR="005C5E7D" w:rsidRPr="0086092C" w:rsidRDefault="00E24F16" w:rsidP="0086092C">
            <w:pPr>
              <w:jc w:val="center"/>
              <w:rPr>
                <w:rFonts w:ascii="Arial" w:hAnsi="Arial" w:cs="Arial"/>
                <w:sz w:val="20"/>
                <w:szCs w:val="20"/>
              </w:rPr>
            </w:pPr>
            <w:r w:rsidRPr="0086092C">
              <w:rPr>
                <w:rFonts w:ascii="Arial" w:hAnsi="Arial" w:cs="Arial"/>
                <w:sz w:val="20"/>
                <w:szCs w:val="20"/>
              </w:rPr>
              <w:t>.165013</w:t>
            </w:r>
          </w:p>
        </w:tc>
        <w:tc>
          <w:tcPr>
            <w:tcW w:w="2070" w:type="dxa"/>
            <w:tcBorders>
              <w:top w:val="nil"/>
              <w:left w:val="nil"/>
              <w:bottom w:val="nil"/>
              <w:right w:val="nil"/>
            </w:tcBorders>
          </w:tcPr>
          <w:p w14:paraId="4C016B7B" w14:textId="57646B25" w:rsidR="005C5E7D" w:rsidRPr="0086092C" w:rsidRDefault="005C5E7D" w:rsidP="0086092C">
            <w:pPr>
              <w:jc w:val="center"/>
              <w:rPr>
                <w:rFonts w:ascii="Arial" w:hAnsi="Arial" w:cs="Arial"/>
                <w:sz w:val="20"/>
                <w:szCs w:val="20"/>
              </w:rPr>
            </w:pPr>
            <w:r w:rsidRPr="0086092C">
              <w:rPr>
                <w:rFonts w:ascii="Arial" w:hAnsi="Arial" w:cs="Arial"/>
                <w:sz w:val="20"/>
                <w:szCs w:val="20"/>
              </w:rPr>
              <w:t>.108256</w:t>
            </w:r>
          </w:p>
        </w:tc>
        <w:tc>
          <w:tcPr>
            <w:tcW w:w="2155" w:type="dxa"/>
            <w:tcBorders>
              <w:top w:val="nil"/>
              <w:left w:val="nil"/>
              <w:bottom w:val="nil"/>
            </w:tcBorders>
          </w:tcPr>
          <w:p w14:paraId="6D851B4F" w14:textId="426F5211" w:rsidR="005C5E7D" w:rsidRPr="0086092C" w:rsidRDefault="005C5E7D" w:rsidP="0086092C">
            <w:pPr>
              <w:jc w:val="center"/>
              <w:rPr>
                <w:rFonts w:ascii="Arial" w:hAnsi="Arial" w:cs="Arial"/>
                <w:sz w:val="20"/>
                <w:szCs w:val="20"/>
              </w:rPr>
            </w:pPr>
            <w:r w:rsidRPr="0086092C">
              <w:rPr>
                <w:rFonts w:ascii="Arial" w:hAnsi="Arial" w:cs="Arial"/>
                <w:sz w:val="20"/>
                <w:szCs w:val="20"/>
              </w:rPr>
              <w:t>.131505</w:t>
            </w:r>
          </w:p>
        </w:tc>
      </w:tr>
      <w:tr w:rsidR="00E74ED8" w:rsidRPr="0086092C" w14:paraId="2379EDD7" w14:textId="77777777" w:rsidTr="00E74ED8">
        <w:trPr>
          <w:jc w:val="center"/>
        </w:trPr>
        <w:tc>
          <w:tcPr>
            <w:tcW w:w="1165" w:type="dxa"/>
            <w:tcBorders>
              <w:top w:val="nil"/>
              <w:bottom w:val="nil"/>
              <w:right w:val="nil"/>
            </w:tcBorders>
          </w:tcPr>
          <w:p w14:paraId="05B316FC" w14:textId="3C6631C4" w:rsidR="005C5E7D" w:rsidRPr="0086092C" w:rsidRDefault="005C5E7D" w:rsidP="0086092C">
            <w:pPr>
              <w:rPr>
                <w:rFonts w:ascii="Arial" w:hAnsi="Arial" w:cs="Arial"/>
                <w:sz w:val="20"/>
                <w:szCs w:val="20"/>
              </w:rPr>
            </w:pPr>
            <w:r w:rsidRPr="0086092C">
              <w:rPr>
                <w:rFonts w:ascii="Arial" w:hAnsi="Arial" w:cs="Arial"/>
                <w:sz w:val="20"/>
                <w:szCs w:val="20"/>
              </w:rPr>
              <w:t>5</w:t>
            </w:r>
          </w:p>
        </w:tc>
        <w:tc>
          <w:tcPr>
            <w:tcW w:w="2070" w:type="dxa"/>
            <w:tcBorders>
              <w:top w:val="nil"/>
              <w:left w:val="nil"/>
              <w:bottom w:val="nil"/>
              <w:right w:val="nil"/>
            </w:tcBorders>
          </w:tcPr>
          <w:p w14:paraId="4285800A" w14:textId="43AC3808" w:rsidR="005C5E7D" w:rsidRPr="0086092C" w:rsidRDefault="00E24F16" w:rsidP="0086092C">
            <w:pPr>
              <w:jc w:val="center"/>
              <w:rPr>
                <w:rFonts w:ascii="Arial" w:hAnsi="Arial" w:cs="Arial"/>
                <w:sz w:val="20"/>
                <w:szCs w:val="20"/>
              </w:rPr>
            </w:pPr>
            <w:r w:rsidRPr="0086092C">
              <w:rPr>
                <w:rFonts w:ascii="Arial" w:hAnsi="Arial" w:cs="Arial"/>
                <w:sz w:val="20"/>
                <w:szCs w:val="20"/>
              </w:rPr>
              <w:t>.067327</w:t>
            </w:r>
          </w:p>
        </w:tc>
        <w:tc>
          <w:tcPr>
            <w:tcW w:w="1890" w:type="dxa"/>
            <w:tcBorders>
              <w:top w:val="nil"/>
              <w:left w:val="nil"/>
              <w:bottom w:val="nil"/>
              <w:right w:val="nil"/>
            </w:tcBorders>
          </w:tcPr>
          <w:p w14:paraId="168DC5D8" w14:textId="40EE6D4A" w:rsidR="005C5E7D" w:rsidRPr="0086092C" w:rsidRDefault="00E24F16" w:rsidP="0086092C">
            <w:pPr>
              <w:jc w:val="center"/>
              <w:rPr>
                <w:rFonts w:ascii="Arial" w:hAnsi="Arial" w:cs="Arial"/>
                <w:sz w:val="20"/>
                <w:szCs w:val="20"/>
              </w:rPr>
            </w:pPr>
            <w:r w:rsidRPr="0086092C">
              <w:rPr>
                <w:rFonts w:ascii="Arial" w:hAnsi="Arial" w:cs="Arial"/>
                <w:sz w:val="20"/>
                <w:szCs w:val="20"/>
              </w:rPr>
              <w:t>.176307</w:t>
            </w:r>
          </w:p>
        </w:tc>
        <w:tc>
          <w:tcPr>
            <w:tcW w:w="2070" w:type="dxa"/>
            <w:tcBorders>
              <w:top w:val="nil"/>
              <w:left w:val="nil"/>
              <w:bottom w:val="nil"/>
              <w:right w:val="nil"/>
            </w:tcBorders>
          </w:tcPr>
          <w:p w14:paraId="57EBAA83" w14:textId="15E37651" w:rsidR="005C5E7D" w:rsidRPr="0086092C" w:rsidRDefault="005C5E7D" w:rsidP="0086092C">
            <w:pPr>
              <w:jc w:val="center"/>
              <w:rPr>
                <w:rFonts w:ascii="Arial" w:hAnsi="Arial" w:cs="Arial"/>
                <w:sz w:val="20"/>
                <w:szCs w:val="20"/>
              </w:rPr>
            </w:pPr>
            <w:r w:rsidRPr="0086092C">
              <w:rPr>
                <w:rFonts w:ascii="Arial" w:hAnsi="Arial" w:cs="Arial"/>
                <w:sz w:val="20"/>
                <w:szCs w:val="20"/>
              </w:rPr>
              <w:t>.110117</w:t>
            </w:r>
          </w:p>
        </w:tc>
        <w:tc>
          <w:tcPr>
            <w:tcW w:w="2155" w:type="dxa"/>
            <w:tcBorders>
              <w:top w:val="nil"/>
              <w:left w:val="nil"/>
              <w:bottom w:val="nil"/>
            </w:tcBorders>
          </w:tcPr>
          <w:p w14:paraId="06F94287" w14:textId="523ED160" w:rsidR="005C5E7D" w:rsidRPr="0086092C" w:rsidRDefault="005C5E7D" w:rsidP="0086092C">
            <w:pPr>
              <w:jc w:val="center"/>
              <w:rPr>
                <w:rFonts w:ascii="Arial" w:hAnsi="Arial" w:cs="Arial"/>
                <w:sz w:val="20"/>
                <w:szCs w:val="20"/>
              </w:rPr>
            </w:pPr>
            <w:r w:rsidRPr="0086092C">
              <w:rPr>
                <w:rFonts w:ascii="Arial" w:hAnsi="Arial" w:cs="Arial"/>
                <w:sz w:val="20"/>
                <w:szCs w:val="20"/>
              </w:rPr>
              <w:t>.133008</w:t>
            </w:r>
          </w:p>
        </w:tc>
      </w:tr>
      <w:tr w:rsidR="00E74ED8" w:rsidRPr="0086092C" w14:paraId="1B811834" w14:textId="77777777" w:rsidTr="00E74ED8">
        <w:trPr>
          <w:jc w:val="center"/>
        </w:trPr>
        <w:tc>
          <w:tcPr>
            <w:tcW w:w="1165" w:type="dxa"/>
            <w:tcBorders>
              <w:top w:val="nil"/>
              <w:bottom w:val="nil"/>
              <w:right w:val="nil"/>
            </w:tcBorders>
          </w:tcPr>
          <w:p w14:paraId="17A61ECF" w14:textId="378FF81B" w:rsidR="005C5E7D" w:rsidRPr="0086092C" w:rsidRDefault="005C5E7D" w:rsidP="0086092C">
            <w:pPr>
              <w:rPr>
                <w:rFonts w:ascii="Arial" w:hAnsi="Arial" w:cs="Arial"/>
                <w:sz w:val="20"/>
                <w:szCs w:val="20"/>
              </w:rPr>
            </w:pPr>
            <w:r w:rsidRPr="0086092C">
              <w:rPr>
                <w:rFonts w:ascii="Arial" w:hAnsi="Arial" w:cs="Arial"/>
                <w:sz w:val="20"/>
                <w:szCs w:val="20"/>
              </w:rPr>
              <w:t>6</w:t>
            </w:r>
          </w:p>
        </w:tc>
        <w:tc>
          <w:tcPr>
            <w:tcW w:w="2070" w:type="dxa"/>
            <w:tcBorders>
              <w:top w:val="nil"/>
              <w:left w:val="nil"/>
              <w:bottom w:val="nil"/>
              <w:right w:val="nil"/>
            </w:tcBorders>
          </w:tcPr>
          <w:p w14:paraId="5AF8AC89" w14:textId="4EF32272" w:rsidR="005C5E7D" w:rsidRPr="0086092C" w:rsidRDefault="00E24F16" w:rsidP="0086092C">
            <w:pPr>
              <w:jc w:val="center"/>
              <w:rPr>
                <w:rFonts w:ascii="Arial" w:hAnsi="Arial" w:cs="Arial"/>
                <w:sz w:val="20"/>
                <w:szCs w:val="20"/>
              </w:rPr>
            </w:pPr>
            <w:r w:rsidRPr="0086092C">
              <w:rPr>
                <w:rFonts w:ascii="Arial" w:hAnsi="Arial" w:cs="Arial"/>
                <w:sz w:val="20"/>
                <w:szCs w:val="20"/>
              </w:rPr>
              <w:t>.067756</w:t>
            </w:r>
          </w:p>
        </w:tc>
        <w:tc>
          <w:tcPr>
            <w:tcW w:w="1890" w:type="dxa"/>
            <w:tcBorders>
              <w:top w:val="nil"/>
              <w:left w:val="nil"/>
              <w:bottom w:val="nil"/>
              <w:right w:val="nil"/>
            </w:tcBorders>
          </w:tcPr>
          <w:p w14:paraId="10FFEC99" w14:textId="607D4FB2" w:rsidR="005C5E7D" w:rsidRPr="0086092C" w:rsidRDefault="00E24F16" w:rsidP="0086092C">
            <w:pPr>
              <w:jc w:val="center"/>
              <w:rPr>
                <w:rFonts w:ascii="Arial" w:hAnsi="Arial" w:cs="Arial"/>
                <w:sz w:val="20"/>
                <w:szCs w:val="20"/>
              </w:rPr>
            </w:pPr>
            <w:r w:rsidRPr="0086092C">
              <w:rPr>
                <w:rFonts w:ascii="Arial" w:hAnsi="Arial" w:cs="Arial"/>
                <w:sz w:val="20"/>
                <w:szCs w:val="20"/>
              </w:rPr>
              <w:t>.181155</w:t>
            </w:r>
          </w:p>
        </w:tc>
        <w:tc>
          <w:tcPr>
            <w:tcW w:w="2070" w:type="dxa"/>
            <w:tcBorders>
              <w:top w:val="nil"/>
              <w:left w:val="nil"/>
              <w:bottom w:val="nil"/>
              <w:right w:val="nil"/>
            </w:tcBorders>
          </w:tcPr>
          <w:p w14:paraId="4524617B" w14:textId="4267492A" w:rsidR="005C5E7D" w:rsidRPr="0086092C" w:rsidRDefault="005C5E7D" w:rsidP="0086092C">
            <w:pPr>
              <w:jc w:val="center"/>
              <w:rPr>
                <w:rFonts w:ascii="Arial" w:hAnsi="Arial" w:cs="Arial"/>
                <w:sz w:val="20"/>
                <w:szCs w:val="20"/>
              </w:rPr>
            </w:pPr>
            <w:r w:rsidRPr="0086092C">
              <w:rPr>
                <w:rFonts w:ascii="Arial" w:hAnsi="Arial" w:cs="Arial"/>
                <w:sz w:val="20"/>
                <w:szCs w:val="20"/>
              </w:rPr>
              <w:t>.110951</w:t>
            </w:r>
          </w:p>
        </w:tc>
        <w:tc>
          <w:tcPr>
            <w:tcW w:w="2155" w:type="dxa"/>
            <w:tcBorders>
              <w:top w:val="nil"/>
              <w:left w:val="nil"/>
              <w:bottom w:val="nil"/>
            </w:tcBorders>
          </w:tcPr>
          <w:p w14:paraId="1FBC727E" w14:textId="0F6EA082" w:rsidR="005C5E7D" w:rsidRPr="0086092C" w:rsidRDefault="005C5E7D" w:rsidP="0086092C">
            <w:pPr>
              <w:jc w:val="center"/>
              <w:rPr>
                <w:rFonts w:ascii="Arial" w:hAnsi="Arial" w:cs="Arial"/>
                <w:sz w:val="20"/>
                <w:szCs w:val="20"/>
              </w:rPr>
            </w:pPr>
            <w:r w:rsidRPr="0086092C">
              <w:rPr>
                <w:rFonts w:ascii="Arial" w:hAnsi="Arial" w:cs="Arial"/>
                <w:sz w:val="20"/>
                <w:szCs w:val="20"/>
              </w:rPr>
              <w:t>.13367</w:t>
            </w:r>
          </w:p>
        </w:tc>
      </w:tr>
      <w:tr w:rsidR="00E74ED8" w:rsidRPr="0086092C" w14:paraId="54083EEE" w14:textId="77777777" w:rsidTr="00E74ED8">
        <w:trPr>
          <w:jc w:val="center"/>
        </w:trPr>
        <w:tc>
          <w:tcPr>
            <w:tcW w:w="1165" w:type="dxa"/>
            <w:tcBorders>
              <w:top w:val="nil"/>
              <w:bottom w:val="nil"/>
              <w:right w:val="nil"/>
            </w:tcBorders>
          </w:tcPr>
          <w:p w14:paraId="186FF298" w14:textId="12233C7B" w:rsidR="005C5E7D" w:rsidRPr="0086092C" w:rsidRDefault="005C5E7D" w:rsidP="0086092C">
            <w:pPr>
              <w:rPr>
                <w:rFonts w:ascii="Arial" w:hAnsi="Arial" w:cs="Arial"/>
                <w:sz w:val="20"/>
                <w:szCs w:val="20"/>
              </w:rPr>
            </w:pPr>
            <w:r w:rsidRPr="0086092C">
              <w:rPr>
                <w:rFonts w:ascii="Arial" w:hAnsi="Arial" w:cs="Arial"/>
                <w:sz w:val="20"/>
                <w:szCs w:val="20"/>
              </w:rPr>
              <w:t>7</w:t>
            </w:r>
          </w:p>
        </w:tc>
        <w:tc>
          <w:tcPr>
            <w:tcW w:w="2070" w:type="dxa"/>
            <w:tcBorders>
              <w:top w:val="nil"/>
              <w:left w:val="nil"/>
              <w:bottom w:val="nil"/>
              <w:right w:val="nil"/>
            </w:tcBorders>
          </w:tcPr>
          <w:p w14:paraId="19BA6D9D" w14:textId="69BE9D7F" w:rsidR="005C5E7D" w:rsidRPr="0086092C" w:rsidRDefault="00E24F16" w:rsidP="0086092C">
            <w:pPr>
              <w:jc w:val="center"/>
              <w:rPr>
                <w:rFonts w:ascii="Arial" w:hAnsi="Arial" w:cs="Arial"/>
                <w:sz w:val="20"/>
                <w:szCs w:val="20"/>
              </w:rPr>
            </w:pPr>
            <w:r w:rsidRPr="0086092C">
              <w:rPr>
                <w:rFonts w:ascii="Arial" w:hAnsi="Arial" w:cs="Arial"/>
                <w:sz w:val="20"/>
                <w:szCs w:val="20"/>
              </w:rPr>
              <w:t>.067968</w:t>
            </w:r>
          </w:p>
        </w:tc>
        <w:tc>
          <w:tcPr>
            <w:tcW w:w="1890" w:type="dxa"/>
            <w:tcBorders>
              <w:top w:val="nil"/>
              <w:left w:val="nil"/>
              <w:bottom w:val="nil"/>
              <w:right w:val="nil"/>
            </w:tcBorders>
          </w:tcPr>
          <w:p w14:paraId="200BE2F3" w14:textId="50ACFC22" w:rsidR="005C5E7D" w:rsidRPr="0086092C" w:rsidRDefault="00E24F16" w:rsidP="0086092C">
            <w:pPr>
              <w:jc w:val="center"/>
              <w:rPr>
                <w:rFonts w:ascii="Arial" w:hAnsi="Arial" w:cs="Arial"/>
                <w:sz w:val="20"/>
                <w:szCs w:val="20"/>
              </w:rPr>
            </w:pPr>
            <w:r w:rsidRPr="0086092C">
              <w:rPr>
                <w:rFonts w:ascii="Arial" w:hAnsi="Arial" w:cs="Arial"/>
                <w:sz w:val="20"/>
                <w:szCs w:val="20"/>
              </w:rPr>
              <w:t>.183281</w:t>
            </w:r>
          </w:p>
        </w:tc>
        <w:tc>
          <w:tcPr>
            <w:tcW w:w="2070" w:type="dxa"/>
            <w:tcBorders>
              <w:top w:val="nil"/>
              <w:left w:val="nil"/>
              <w:bottom w:val="nil"/>
              <w:right w:val="nil"/>
            </w:tcBorders>
          </w:tcPr>
          <w:p w14:paraId="030E3FA0" w14:textId="17518CE1" w:rsidR="005C5E7D" w:rsidRPr="0086092C" w:rsidRDefault="005C5E7D" w:rsidP="0086092C">
            <w:pPr>
              <w:jc w:val="center"/>
              <w:rPr>
                <w:rFonts w:ascii="Arial" w:hAnsi="Arial" w:cs="Arial"/>
                <w:sz w:val="20"/>
                <w:szCs w:val="20"/>
              </w:rPr>
            </w:pPr>
            <w:r w:rsidRPr="0086092C">
              <w:rPr>
                <w:rFonts w:ascii="Arial" w:hAnsi="Arial" w:cs="Arial"/>
                <w:sz w:val="20"/>
                <w:szCs w:val="20"/>
              </w:rPr>
              <w:t>.111312</w:t>
            </w:r>
          </w:p>
        </w:tc>
        <w:tc>
          <w:tcPr>
            <w:tcW w:w="2155" w:type="dxa"/>
            <w:tcBorders>
              <w:top w:val="nil"/>
              <w:left w:val="nil"/>
              <w:bottom w:val="nil"/>
            </w:tcBorders>
          </w:tcPr>
          <w:p w14:paraId="54AB8B34" w14:textId="2E965620" w:rsidR="005C5E7D" w:rsidRPr="0086092C" w:rsidRDefault="005C5E7D" w:rsidP="0086092C">
            <w:pPr>
              <w:jc w:val="center"/>
              <w:rPr>
                <w:rFonts w:ascii="Arial" w:hAnsi="Arial" w:cs="Arial"/>
                <w:sz w:val="20"/>
                <w:szCs w:val="20"/>
              </w:rPr>
            </w:pPr>
            <w:r w:rsidRPr="0086092C">
              <w:rPr>
                <w:rFonts w:ascii="Arial" w:hAnsi="Arial" w:cs="Arial"/>
                <w:sz w:val="20"/>
                <w:szCs w:val="20"/>
              </w:rPr>
              <w:t>.133959</w:t>
            </w:r>
          </w:p>
        </w:tc>
      </w:tr>
      <w:tr w:rsidR="00E74ED8" w:rsidRPr="0086092C" w14:paraId="3772E7D6" w14:textId="77777777" w:rsidTr="00E74ED8">
        <w:trPr>
          <w:jc w:val="center"/>
        </w:trPr>
        <w:tc>
          <w:tcPr>
            <w:tcW w:w="1165" w:type="dxa"/>
            <w:tcBorders>
              <w:top w:val="nil"/>
              <w:bottom w:val="nil"/>
              <w:right w:val="nil"/>
            </w:tcBorders>
          </w:tcPr>
          <w:p w14:paraId="6ADF09B9" w14:textId="6CD405E9" w:rsidR="005C5E7D" w:rsidRPr="0086092C" w:rsidRDefault="005C5E7D" w:rsidP="0086092C">
            <w:pPr>
              <w:rPr>
                <w:rFonts w:ascii="Arial" w:hAnsi="Arial" w:cs="Arial"/>
                <w:sz w:val="20"/>
                <w:szCs w:val="20"/>
              </w:rPr>
            </w:pPr>
            <w:r w:rsidRPr="0086092C">
              <w:rPr>
                <w:rFonts w:ascii="Arial" w:hAnsi="Arial" w:cs="Arial"/>
                <w:sz w:val="20"/>
                <w:szCs w:val="20"/>
              </w:rPr>
              <w:t>8</w:t>
            </w:r>
          </w:p>
        </w:tc>
        <w:tc>
          <w:tcPr>
            <w:tcW w:w="2070" w:type="dxa"/>
            <w:tcBorders>
              <w:top w:val="nil"/>
              <w:left w:val="nil"/>
              <w:bottom w:val="nil"/>
              <w:right w:val="nil"/>
            </w:tcBorders>
          </w:tcPr>
          <w:p w14:paraId="0984DD26" w14:textId="5872E0EA" w:rsidR="005C5E7D" w:rsidRPr="0086092C" w:rsidRDefault="00E24F16" w:rsidP="0086092C">
            <w:pPr>
              <w:jc w:val="center"/>
              <w:rPr>
                <w:rFonts w:ascii="Arial" w:hAnsi="Arial" w:cs="Arial"/>
                <w:sz w:val="20"/>
                <w:szCs w:val="20"/>
              </w:rPr>
            </w:pPr>
            <w:r w:rsidRPr="0086092C">
              <w:rPr>
                <w:rFonts w:ascii="Arial" w:hAnsi="Arial" w:cs="Arial"/>
                <w:sz w:val="20"/>
                <w:szCs w:val="20"/>
              </w:rPr>
              <w:t>.068058</w:t>
            </w:r>
          </w:p>
        </w:tc>
        <w:tc>
          <w:tcPr>
            <w:tcW w:w="1890" w:type="dxa"/>
            <w:tcBorders>
              <w:top w:val="nil"/>
              <w:left w:val="nil"/>
              <w:bottom w:val="nil"/>
              <w:right w:val="nil"/>
            </w:tcBorders>
          </w:tcPr>
          <w:p w14:paraId="4924A43D" w14:textId="4A2B624D" w:rsidR="005C5E7D" w:rsidRPr="0086092C" w:rsidRDefault="00E24F16" w:rsidP="0086092C">
            <w:pPr>
              <w:jc w:val="center"/>
              <w:rPr>
                <w:rFonts w:ascii="Arial" w:hAnsi="Arial" w:cs="Arial"/>
                <w:sz w:val="20"/>
                <w:szCs w:val="20"/>
              </w:rPr>
            </w:pPr>
            <w:r w:rsidRPr="0086092C">
              <w:rPr>
                <w:rFonts w:ascii="Arial" w:hAnsi="Arial" w:cs="Arial"/>
                <w:sz w:val="20"/>
                <w:szCs w:val="20"/>
              </w:rPr>
              <w:t>.184218</w:t>
            </w:r>
          </w:p>
        </w:tc>
        <w:tc>
          <w:tcPr>
            <w:tcW w:w="2070" w:type="dxa"/>
            <w:tcBorders>
              <w:top w:val="nil"/>
              <w:left w:val="nil"/>
              <w:bottom w:val="nil"/>
              <w:right w:val="nil"/>
            </w:tcBorders>
          </w:tcPr>
          <w:p w14:paraId="1DBDA329" w14:textId="7D66F005" w:rsidR="005C5E7D" w:rsidRPr="0086092C" w:rsidRDefault="005C5E7D" w:rsidP="0086092C">
            <w:pPr>
              <w:jc w:val="center"/>
              <w:rPr>
                <w:rFonts w:ascii="Arial" w:hAnsi="Arial" w:cs="Arial"/>
                <w:sz w:val="20"/>
                <w:szCs w:val="20"/>
              </w:rPr>
            </w:pPr>
            <w:r w:rsidRPr="0086092C">
              <w:rPr>
                <w:rFonts w:ascii="Arial" w:hAnsi="Arial" w:cs="Arial"/>
                <w:sz w:val="20"/>
                <w:szCs w:val="20"/>
              </w:rPr>
              <w:t>.111472</w:t>
            </w:r>
          </w:p>
        </w:tc>
        <w:tc>
          <w:tcPr>
            <w:tcW w:w="2155" w:type="dxa"/>
            <w:tcBorders>
              <w:top w:val="nil"/>
              <w:left w:val="nil"/>
              <w:bottom w:val="nil"/>
            </w:tcBorders>
          </w:tcPr>
          <w:p w14:paraId="0F291E0F" w14:textId="7112FE07" w:rsidR="005C5E7D" w:rsidRPr="0086092C" w:rsidRDefault="005C5E7D" w:rsidP="0086092C">
            <w:pPr>
              <w:jc w:val="center"/>
              <w:rPr>
                <w:rFonts w:ascii="Arial" w:hAnsi="Arial" w:cs="Arial"/>
                <w:sz w:val="20"/>
                <w:szCs w:val="20"/>
              </w:rPr>
            </w:pPr>
            <w:r w:rsidRPr="0086092C">
              <w:rPr>
                <w:rFonts w:ascii="Arial" w:hAnsi="Arial" w:cs="Arial"/>
                <w:sz w:val="20"/>
                <w:szCs w:val="20"/>
              </w:rPr>
              <w:t>.134087</w:t>
            </w:r>
          </w:p>
        </w:tc>
      </w:tr>
      <w:tr w:rsidR="00E74ED8" w:rsidRPr="0086092C" w14:paraId="4EA4EABE" w14:textId="77777777" w:rsidTr="00E74ED8">
        <w:trPr>
          <w:jc w:val="center"/>
        </w:trPr>
        <w:tc>
          <w:tcPr>
            <w:tcW w:w="1165" w:type="dxa"/>
            <w:tcBorders>
              <w:top w:val="nil"/>
              <w:bottom w:val="nil"/>
              <w:right w:val="nil"/>
            </w:tcBorders>
          </w:tcPr>
          <w:p w14:paraId="228D2621" w14:textId="1CF3A393" w:rsidR="005C5E7D" w:rsidRPr="0086092C" w:rsidRDefault="005C5E7D" w:rsidP="0086092C">
            <w:pPr>
              <w:rPr>
                <w:rFonts w:ascii="Arial" w:hAnsi="Arial" w:cs="Arial"/>
                <w:sz w:val="20"/>
                <w:szCs w:val="20"/>
              </w:rPr>
            </w:pPr>
            <w:r w:rsidRPr="0086092C">
              <w:rPr>
                <w:rFonts w:ascii="Arial" w:hAnsi="Arial" w:cs="Arial"/>
                <w:sz w:val="20"/>
                <w:szCs w:val="20"/>
              </w:rPr>
              <w:t>9</w:t>
            </w:r>
          </w:p>
        </w:tc>
        <w:tc>
          <w:tcPr>
            <w:tcW w:w="2070" w:type="dxa"/>
            <w:tcBorders>
              <w:top w:val="nil"/>
              <w:left w:val="nil"/>
              <w:bottom w:val="nil"/>
              <w:right w:val="nil"/>
            </w:tcBorders>
          </w:tcPr>
          <w:p w14:paraId="1BFC878C" w14:textId="00A84975" w:rsidR="005C5E7D" w:rsidRPr="0086092C" w:rsidRDefault="00E24F16" w:rsidP="0086092C">
            <w:pPr>
              <w:jc w:val="center"/>
              <w:rPr>
                <w:rFonts w:ascii="Arial" w:hAnsi="Arial" w:cs="Arial"/>
                <w:sz w:val="20"/>
                <w:szCs w:val="20"/>
              </w:rPr>
            </w:pPr>
            <w:r w:rsidRPr="0086092C">
              <w:rPr>
                <w:rFonts w:ascii="Arial" w:hAnsi="Arial" w:cs="Arial"/>
                <w:sz w:val="20"/>
                <w:szCs w:val="20"/>
              </w:rPr>
              <w:t>.068098</w:t>
            </w:r>
          </w:p>
        </w:tc>
        <w:tc>
          <w:tcPr>
            <w:tcW w:w="1890" w:type="dxa"/>
            <w:tcBorders>
              <w:top w:val="nil"/>
              <w:left w:val="nil"/>
              <w:bottom w:val="nil"/>
              <w:right w:val="nil"/>
            </w:tcBorders>
          </w:tcPr>
          <w:p w14:paraId="41E8CB3E" w14:textId="5316CB2B" w:rsidR="005C5E7D" w:rsidRPr="0086092C" w:rsidRDefault="00E24F16" w:rsidP="0086092C">
            <w:pPr>
              <w:jc w:val="center"/>
              <w:rPr>
                <w:rFonts w:ascii="Arial" w:hAnsi="Arial" w:cs="Arial"/>
                <w:sz w:val="20"/>
                <w:szCs w:val="20"/>
              </w:rPr>
            </w:pPr>
            <w:r w:rsidRPr="0086092C">
              <w:rPr>
                <w:rFonts w:ascii="Arial" w:hAnsi="Arial" w:cs="Arial"/>
                <w:sz w:val="20"/>
                <w:szCs w:val="20"/>
              </w:rPr>
              <w:t>.184632</w:t>
            </w:r>
          </w:p>
        </w:tc>
        <w:tc>
          <w:tcPr>
            <w:tcW w:w="2070" w:type="dxa"/>
            <w:tcBorders>
              <w:top w:val="nil"/>
              <w:left w:val="nil"/>
              <w:bottom w:val="nil"/>
              <w:right w:val="nil"/>
            </w:tcBorders>
          </w:tcPr>
          <w:p w14:paraId="1AC9EB02" w14:textId="2C7D1D45" w:rsidR="005C5E7D" w:rsidRPr="0086092C" w:rsidRDefault="005C5E7D" w:rsidP="0086092C">
            <w:pPr>
              <w:jc w:val="center"/>
              <w:rPr>
                <w:rFonts w:ascii="Arial" w:hAnsi="Arial" w:cs="Arial"/>
                <w:sz w:val="20"/>
                <w:szCs w:val="20"/>
              </w:rPr>
            </w:pPr>
            <w:r w:rsidRPr="0086092C">
              <w:rPr>
                <w:rFonts w:ascii="Arial" w:hAnsi="Arial" w:cs="Arial"/>
                <w:sz w:val="20"/>
                <w:szCs w:val="20"/>
              </w:rPr>
              <w:t>.111542</w:t>
            </w:r>
          </w:p>
        </w:tc>
        <w:tc>
          <w:tcPr>
            <w:tcW w:w="2155" w:type="dxa"/>
            <w:tcBorders>
              <w:top w:val="nil"/>
              <w:left w:val="nil"/>
              <w:bottom w:val="nil"/>
            </w:tcBorders>
          </w:tcPr>
          <w:p w14:paraId="4F496B44" w14:textId="56D8AD8B" w:rsidR="005C5E7D" w:rsidRPr="0086092C" w:rsidRDefault="005C5E7D" w:rsidP="0086092C">
            <w:pPr>
              <w:jc w:val="center"/>
              <w:rPr>
                <w:rFonts w:ascii="Arial" w:hAnsi="Arial" w:cs="Arial"/>
                <w:sz w:val="20"/>
                <w:szCs w:val="20"/>
              </w:rPr>
            </w:pPr>
            <w:r w:rsidRPr="0086092C">
              <w:rPr>
                <w:rFonts w:ascii="Arial" w:hAnsi="Arial" w:cs="Arial"/>
                <w:sz w:val="20"/>
                <w:szCs w:val="20"/>
              </w:rPr>
              <w:t>.134143</w:t>
            </w:r>
          </w:p>
        </w:tc>
      </w:tr>
      <w:tr w:rsidR="00E74ED8" w:rsidRPr="0086092C" w14:paraId="59A10AAC" w14:textId="77777777" w:rsidTr="00E74ED8">
        <w:trPr>
          <w:jc w:val="center"/>
        </w:trPr>
        <w:tc>
          <w:tcPr>
            <w:tcW w:w="1165" w:type="dxa"/>
            <w:tcBorders>
              <w:top w:val="nil"/>
              <w:right w:val="nil"/>
            </w:tcBorders>
          </w:tcPr>
          <w:p w14:paraId="2234A92A" w14:textId="55AE1A8C" w:rsidR="005C5E7D" w:rsidRPr="0086092C" w:rsidRDefault="005C5E7D" w:rsidP="0086092C">
            <w:pPr>
              <w:rPr>
                <w:rFonts w:ascii="Arial" w:hAnsi="Arial" w:cs="Arial"/>
                <w:sz w:val="20"/>
                <w:szCs w:val="20"/>
              </w:rPr>
            </w:pPr>
            <w:r w:rsidRPr="0086092C">
              <w:rPr>
                <w:rFonts w:ascii="Arial" w:hAnsi="Arial" w:cs="Arial"/>
                <w:sz w:val="20"/>
                <w:szCs w:val="20"/>
              </w:rPr>
              <w:t>10</w:t>
            </w:r>
          </w:p>
        </w:tc>
        <w:tc>
          <w:tcPr>
            <w:tcW w:w="2070" w:type="dxa"/>
            <w:tcBorders>
              <w:top w:val="nil"/>
              <w:left w:val="nil"/>
              <w:right w:val="nil"/>
            </w:tcBorders>
          </w:tcPr>
          <w:p w14:paraId="594A7378" w14:textId="5186804B" w:rsidR="005C5E7D" w:rsidRPr="0086092C" w:rsidRDefault="00E24F16" w:rsidP="0086092C">
            <w:pPr>
              <w:jc w:val="center"/>
              <w:rPr>
                <w:rFonts w:ascii="Arial" w:hAnsi="Arial" w:cs="Arial"/>
                <w:sz w:val="20"/>
                <w:szCs w:val="20"/>
              </w:rPr>
            </w:pPr>
            <w:r w:rsidRPr="0086092C">
              <w:rPr>
                <w:rFonts w:ascii="Arial" w:hAnsi="Arial" w:cs="Arial"/>
                <w:sz w:val="20"/>
                <w:szCs w:val="20"/>
              </w:rPr>
              <w:t>.068116</w:t>
            </w:r>
          </w:p>
        </w:tc>
        <w:tc>
          <w:tcPr>
            <w:tcW w:w="1890" w:type="dxa"/>
            <w:tcBorders>
              <w:top w:val="nil"/>
              <w:left w:val="nil"/>
              <w:right w:val="nil"/>
            </w:tcBorders>
          </w:tcPr>
          <w:p w14:paraId="183C99D0" w14:textId="2FF48C12" w:rsidR="005C5E7D" w:rsidRPr="0086092C" w:rsidRDefault="00E24F16" w:rsidP="0086092C">
            <w:pPr>
              <w:jc w:val="center"/>
              <w:rPr>
                <w:rFonts w:ascii="Arial" w:hAnsi="Arial" w:cs="Arial"/>
                <w:sz w:val="20"/>
                <w:szCs w:val="20"/>
              </w:rPr>
            </w:pPr>
            <w:r w:rsidRPr="0086092C">
              <w:rPr>
                <w:rFonts w:ascii="Arial" w:hAnsi="Arial" w:cs="Arial"/>
                <w:sz w:val="20"/>
                <w:szCs w:val="20"/>
              </w:rPr>
              <w:t>.184816</w:t>
            </w:r>
          </w:p>
        </w:tc>
        <w:tc>
          <w:tcPr>
            <w:tcW w:w="2070" w:type="dxa"/>
            <w:tcBorders>
              <w:top w:val="nil"/>
              <w:left w:val="nil"/>
              <w:right w:val="nil"/>
            </w:tcBorders>
          </w:tcPr>
          <w:p w14:paraId="67E58485" w14:textId="53AE6BAD" w:rsidR="005C5E7D" w:rsidRPr="0086092C" w:rsidRDefault="005C5E7D" w:rsidP="0086092C">
            <w:pPr>
              <w:jc w:val="center"/>
              <w:rPr>
                <w:rFonts w:ascii="Arial" w:hAnsi="Arial" w:cs="Arial"/>
                <w:sz w:val="20"/>
                <w:szCs w:val="20"/>
              </w:rPr>
            </w:pPr>
            <w:r w:rsidRPr="0086092C">
              <w:rPr>
                <w:rFonts w:ascii="Arial" w:hAnsi="Arial" w:cs="Arial"/>
                <w:sz w:val="20"/>
                <w:szCs w:val="20"/>
              </w:rPr>
              <w:t>.111573</w:t>
            </w:r>
          </w:p>
        </w:tc>
        <w:tc>
          <w:tcPr>
            <w:tcW w:w="2155" w:type="dxa"/>
            <w:tcBorders>
              <w:top w:val="nil"/>
              <w:left w:val="nil"/>
            </w:tcBorders>
          </w:tcPr>
          <w:p w14:paraId="6B19D8DA" w14:textId="65659D38" w:rsidR="005C5E7D" w:rsidRPr="0086092C" w:rsidRDefault="005C5E7D" w:rsidP="0086092C">
            <w:pPr>
              <w:jc w:val="center"/>
              <w:rPr>
                <w:rFonts w:ascii="Arial" w:hAnsi="Arial" w:cs="Arial"/>
                <w:sz w:val="20"/>
                <w:szCs w:val="20"/>
              </w:rPr>
            </w:pPr>
            <w:r w:rsidRPr="0086092C">
              <w:rPr>
                <w:rFonts w:ascii="Arial" w:hAnsi="Arial" w:cs="Arial"/>
                <w:sz w:val="20"/>
                <w:szCs w:val="20"/>
              </w:rPr>
              <w:t>.134168</w:t>
            </w:r>
          </w:p>
        </w:tc>
      </w:tr>
    </w:tbl>
    <w:p w14:paraId="350D5E3A" w14:textId="77777777" w:rsidR="006F700C" w:rsidRPr="0086092C" w:rsidRDefault="006F700C" w:rsidP="00E74ED8">
      <w:pPr>
        <w:spacing w:after="0" w:line="240" w:lineRule="auto"/>
        <w:jc w:val="center"/>
        <w:rPr>
          <w:rFonts w:ascii="Arial" w:hAnsi="Arial" w:cs="Arial"/>
          <w:i/>
          <w:iCs/>
          <w:sz w:val="20"/>
          <w:szCs w:val="20"/>
        </w:rPr>
      </w:pPr>
      <w:r w:rsidRPr="0086092C">
        <w:rPr>
          <w:rFonts w:ascii="Arial" w:hAnsi="Arial" w:cs="Arial"/>
          <w:i/>
          <w:iCs/>
          <w:sz w:val="20"/>
          <w:szCs w:val="20"/>
        </w:rPr>
        <w:t>Source: Authors, using Stata 14.0</w:t>
      </w:r>
    </w:p>
    <w:p w14:paraId="14A92054" w14:textId="301CFFC2" w:rsidR="00E24F16" w:rsidRPr="0086092C" w:rsidRDefault="00E24F16" w:rsidP="0086092C">
      <w:pPr>
        <w:spacing w:after="0" w:line="240" w:lineRule="auto"/>
        <w:rPr>
          <w:rFonts w:ascii="Arial" w:hAnsi="Arial" w:cs="Arial"/>
          <w:sz w:val="20"/>
          <w:szCs w:val="20"/>
        </w:rPr>
      </w:pPr>
      <w:r w:rsidRPr="0086092C">
        <w:rPr>
          <w:rFonts w:ascii="Arial" w:hAnsi="Arial" w:cs="Arial"/>
          <w:sz w:val="20"/>
          <w:szCs w:val="20"/>
        </w:rPr>
        <w:t xml:space="preserve">(1) </w:t>
      </w:r>
      <w:proofErr w:type="spellStart"/>
      <w:r w:rsidRPr="0086092C">
        <w:rPr>
          <w:rFonts w:ascii="Arial" w:hAnsi="Arial" w:cs="Arial"/>
          <w:sz w:val="20"/>
          <w:szCs w:val="20"/>
        </w:rPr>
        <w:t>irfname</w:t>
      </w:r>
      <w:proofErr w:type="spellEnd"/>
      <w:r w:rsidRPr="0086092C">
        <w:rPr>
          <w:rFonts w:ascii="Arial" w:hAnsi="Arial" w:cs="Arial"/>
          <w:sz w:val="20"/>
          <w:szCs w:val="20"/>
        </w:rPr>
        <w:t xml:space="preserve"> = </w:t>
      </w:r>
      <w:proofErr w:type="spellStart"/>
      <w:r w:rsidRPr="0086092C">
        <w:rPr>
          <w:rFonts w:ascii="Arial" w:hAnsi="Arial" w:cs="Arial"/>
          <w:sz w:val="20"/>
          <w:szCs w:val="20"/>
        </w:rPr>
        <w:t>varbasic</w:t>
      </w:r>
      <w:proofErr w:type="spellEnd"/>
      <w:r w:rsidRPr="0086092C">
        <w:rPr>
          <w:rFonts w:ascii="Arial" w:hAnsi="Arial" w:cs="Arial"/>
          <w:sz w:val="20"/>
          <w:szCs w:val="20"/>
        </w:rPr>
        <w:t>, impulse = RQ, and response</w:t>
      </w:r>
      <w:r w:rsidR="004D0BD7" w:rsidRPr="0086092C">
        <w:rPr>
          <w:rFonts w:ascii="Arial" w:hAnsi="Arial" w:cs="Arial"/>
          <w:sz w:val="20"/>
          <w:szCs w:val="20"/>
        </w:rPr>
        <w:t xml:space="preserve"> </w:t>
      </w:r>
      <w:r w:rsidRPr="0086092C">
        <w:rPr>
          <w:rFonts w:ascii="Arial" w:hAnsi="Arial" w:cs="Arial"/>
          <w:sz w:val="20"/>
          <w:szCs w:val="20"/>
        </w:rPr>
        <w:t xml:space="preserve">= </w:t>
      </w:r>
      <w:proofErr w:type="gramStart"/>
      <w:r w:rsidRPr="0086092C">
        <w:rPr>
          <w:rFonts w:ascii="Arial" w:hAnsi="Arial" w:cs="Arial"/>
          <w:sz w:val="20"/>
          <w:szCs w:val="20"/>
        </w:rPr>
        <w:t>D.NPLR</w:t>
      </w:r>
      <w:proofErr w:type="gramEnd"/>
    </w:p>
    <w:p w14:paraId="5ABA4691" w14:textId="1D11F585" w:rsidR="005C5E7D" w:rsidRPr="0086092C" w:rsidRDefault="00E24F16" w:rsidP="0086092C">
      <w:pPr>
        <w:spacing w:after="0" w:line="240" w:lineRule="auto"/>
        <w:rPr>
          <w:rFonts w:ascii="Arial" w:hAnsi="Arial" w:cs="Arial"/>
          <w:sz w:val="20"/>
          <w:szCs w:val="20"/>
        </w:rPr>
      </w:pPr>
      <w:r w:rsidRPr="0086092C">
        <w:rPr>
          <w:rFonts w:ascii="Arial" w:hAnsi="Arial" w:cs="Arial"/>
          <w:sz w:val="20"/>
          <w:szCs w:val="20"/>
        </w:rPr>
        <w:t xml:space="preserve">(2) </w:t>
      </w:r>
      <w:proofErr w:type="spellStart"/>
      <w:r w:rsidRPr="0086092C">
        <w:rPr>
          <w:rFonts w:ascii="Arial" w:hAnsi="Arial" w:cs="Arial"/>
          <w:sz w:val="20"/>
          <w:szCs w:val="20"/>
        </w:rPr>
        <w:t>irfname</w:t>
      </w:r>
      <w:proofErr w:type="spellEnd"/>
      <w:r w:rsidRPr="0086092C">
        <w:rPr>
          <w:rFonts w:ascii="Arial" w:hAnsi="Arial" w:cs="Arial"/>
          <w:sz w:val="20"/>
          <w:szCs w:val="20"/>
        </w:rPr>
        <w:t xml:space="preserve"> = </w:t>
      </w:r>
      <w:proofErr w:type="spellStart"/>
      <w:r w:rsidRPr="0086092C">
        <w:rPr>
          <w:rFonts w:ascii="Arial" w:hAnsi="Arial" w:cs="Arial"/>
          <w:sz w:val="20"/>
          <w:szCs w:val="20"/>
        </w:rPr>
        <w:t>varbasic</w:t>
      </w:r>
      <w:proofErr w:type="spellEnd"/>
      <w:r w:rsidRPr="0086092C">
        <w:rPr>
          <w:rFonts w:ascii="Arial" w:hAnsi="Arial" w:cs="Arial"/>
          <w:sz w:val="20"/>
          <w:szCs w:val="20"/>
        </w:rPr>
        <w:t>, impulse = RL, and response</w:t>
      </w:r>
      <w:r w:rsidR="004D0BD7" w:rsidRPr="0086092C">
        <w:rPr>
          <w:rFonts w:ascii="Arial" w:hAnsi="Arial" w:cs="Arial"/>
          <w:sz w:val="20"/>
          <w:szCs w:val="20"/>
        </w:rPr>
        <w:t xml:space="preserve"> </w:t>
      </w:r>
      <w:r w:rsidRPr="0086092C">
        <w:rPr>
          <w:rFonts w:ascii="Arial" w:hAnsi="Arial" w:cs="Arial"/>
          <w:sz w:val="20"/>
          <w:szCs w:val="20"/>
        </w:rPr>
        <w:t xml:space="preserve">= </w:t>
      </w:r>
      <w:proofErr w:type="gramStart"/>
      <w:r w:rsidRPr="0086092C">
        <w:rPr>
          <w:rFonts w:ascii="Arial" w:hAnsi="Arial" w:cs="Arial"/>
          <w:sz w:val="20"/>
          <w:szCs w:val="20"/>
        </w:rPr>
        <w:t>D.NPLR</w:t>
      </w:r>
      <w:proofErr w:type="gramEnd"/>
    </w:p>
    <w:p w14:paraId="15627DEF" w14:textId="2CC458A9" w:rsidR="005C5E7D" w:rsidRPr="0086092C" w:rsidRDefault="005C5E7D" w:rsidP="0086092C">
      <w:pPr>
        <w:spacing w:after="0" w:line="240" w:lineRule="auto"/>
        <w:rPr>
          <w:rFonts w:ascii="Arial" w:hAnsi="Arial" w:cs="Arial"/>
          <w:sz w:val="20"/>
          <w:szCs w:val="20"/>
        </w:rPr>
      </w:pPr>
      <w:r w:rsidRPr="0086092C">
        <w:rPr>
          <w:rFonts w:ascii="Arial" w:hAnsi="Arial" w:cs="Arial"/>
          <w:sz w:val="20"/>
          <w:szCs w:val="20"/>
        </w:rPr>
        <w:t xml:space="preserve">(3) </w:t>
      </w:r>
      <w:proofErr w:type="spellStart"/>
      <w:r w:rsidRPr="0086092C">
        <w:rPr>
          <w:rFonts w:ascii="Arial" w:hAnsi="Arial" w:cs="Arial"/>
          <w:sz w:val="20"/>
          <w:szCs w:val="20"/>
        </w:rPr>
        <w:t>irfname</w:t>
      </w:r>
      <w:proofErr w:type="spellEnd"/>
      <w:r w:rsidRPr="0086092C">
        <w:rPr>
          <w:rFonts w:ascii="Arial" w:hAnsi="Arial" w:cs="Arial"/>
          <w:sz w:val="20"/>
          <w:szCs w:val="20"/>
        </w:rPr>
        <w:t xml:space="preserve"> = </w:t>
      </w:r>
      <w:proofErr w:type="spellStart"/>
      <w:r w:rsidRPr="0086092C">
        <w:rPr>
          <w:rFonts w:ascii="Arial" w:hAnsi="Arial" w:cs="Arial"/>
          <w:sz w:val="20"/>
          <w:szCs w:val="20"/>
        </w:rPr>
        <w:t>varbasic</w:t>
      </w:r>
      <w:proofErr w:type="spellEnd"/>
      <w:r w:rsidRPr="0086092C">
        <w:rPr>
          <w:rFonts w:ascii="Arial" w:hAnsi="Arial" w:cs="Arial"/>
          <w:sz w:val="20"/>
          <w:szCs w:val="20"/>
        </w:rPr>
        <w:t xml:space="preserve">, impulse = </w:t>
      </w:r>
      <w:proofErr w:type="gramStart"/>
      <w:r w:rsidRPr="0086092C">
        <w:rPr>
          <w:rFonts w:ascii="Arial" w:hAnsi="Arial" w:cs="Arial"/>
          <w:sz w:val="20"/>
          <w:szCs w:val="20"/>
        </w:rPr>
        <w:t>D.NPLR</w:t>
      </w:r>
      <w:proofErr w:type="gramEnd"/>
      <w:r w:rsidR="00E24F16" w:rsidRPr="0086092C">
        <w:rPr>
          <w:rFonts w:ascii="Arial" w:hAnsi="Arial" w:cs="Arial"/>
          <w:sz w:val="20"/>
          <w:szCs w:val="20"/>
        </w:rPr>
        <w:t xml:space="preserve"> </w:t>
      </w:r>
      <w:r w:rsidRPr="0086092C">
        <w:rPr>
          <w:rFonts w:ascii="Arial" w:hAnsi="Arial" w:cs="Arial"/>
          <w:sz w:val="20"/>
          <w:szCs w:val="20"/>
        </w:rPr>
        <w:t>and response = RQ</w:t>
      </w:r>
    </w:p>
    <w:p w14:paraId="54A66295" w14:textId="1D73D977" w:rsidR="005C5E7D" w:rsidRDefault="005C5E7D" w:rsidP="0086092C">
      <w:pPr>
        <w:spacing w:line="240" w:lineRule="auto"/>
        <w:rPr>
          <w:rFonts w:ascii="Arial" w:hAnsi="Arial" w:cs="Arial"/>
          <w:sz w:val="20"/>
          <w:szCs w:val="20"/>
        </w:rPr>
      </w:pPr>
      <w:r w:rsidRPr="0086092C">
        <w:rPr>
          <w:rFonts w:ascii="Arial" w:hAnsi="Arial" w:cs="Arial"/>
          <w:sz w:val="20"/>
          <w:szCs w:val="20"/>
        </w:rPr>
        <w:t xml:space="preserve">(4) </w:t>
      </w:r>
      <w:proofErr w:type="spellStart"/>
      <w:r w:rsidRPr="0086092C">
        <w:rPr>
          <w:rFonts w:ascii="Arial" w:hAnsi="Arial" w:cs="Arial"/>
          <w:sz w:val="20"/>
          <w:szCs w:val="20"/>
        </w:rPr>
        <w:t>irfname</w:t>
      </w:r>
      <w:proofErr w:type="spellEnd"/>
      <w:r w:rsidRPr="0086092C">
        <w:rPr>
          <w:rFonts w:ascii="Arial" w:hAnsi="Arial" w:cs="Arial"/>
          <w:sz w:val="20"/>
          <w:szCs w:val="20"/>
        </w:rPr>
        <w:t xml:space="preserve"> = </w:t>
      </w:r>
      <w:proofErr w:type="spellStart"/>
      <w:r w:rsidRPr="0086092C">
        <w:rPr>
          <w:rFonts w:ascii="Arial" w:hAnsi="Arial" w:cs="Arial"/>
          <w:sz w:val="20"/>
          <w:szCs w:val="20"/>
        </w:rPr>
        <w:t>varbasic</w:t>
      </w:r>
      <w:proofErr w:type="spellEnd"/>
      <w:r w:rsidRPr="0086092C">
        <w:rPr>
          <w:rFonts w:ascii="Arial" w:hAnsi="Arial" w:cs="Arial"/>
          <w:sz w:val="20"/>
          <w:szCs w:val="20"/>
        </w:rPr>
        <w:t xml:space="preserve">, impulse = </w:t>
      </w:r>
      <w:proofErr w:type="gramStart"/>
      <w:r w:rsidRPr="0086092C">
        <w:rPr>
          <w:rFonts w:ascii="Arial" w:hAnsi="Arial" w:cs="Arial"/>
          <w:sz w:val="20"/>
          <w:szCs w:val="20"/>
        </w:rPr>
        <w:t>D.NPLR</w:t>
      </w:r>
      <w:proofErr w:type="gramEnd"/>
      <w:r w:rsidRPr="0086092C">
        <w:rPr>
          <w:rFonts w:ascii="Arial" w:hAnsi="Arial" w:cs="Arial"/>
          <w:sz w:val="20"/>
          <w:szCs w:val="20"/>
        </w:rPr>
        <w:t>,</w:t>
      </w:r>
      <w:r w:rsidRPr="0086092C">
        <w:rPr>
          <w:rFonts w:ascii="Arial" w:hAnsi="Arial" w:cs="Arial"/>
          <w:sz w:val="20"/>
          <w:szCs w:val="20"/>
        </w:rPr>
        <w:tab/>
        <w:t>and response = RL</w:t>
      </w:r>
    </w:p>
    <w:p w14:paraId="770530D0" w14:textId="77777777" w:rsidR="005F1260" w:rsidRPr="0086092C" w:rsidRDefault="005F1260" w:rsidP="0086092C">
      <w:pPr>
        <w:spacing w:line="240" w:lineRule="auto"/>
        <w:rPr>
          <w:rFonts w:ascii="Arial" w:hAnsi="Arial" w:cs="Arial"/>
          <w:sz w:val="20"/>
          <w:szCs w:val="20"/>
        </w:rPr>
      </w:pPr>
    </w:p>
    <w:p w14:paraId="5ED9E863" w14:textId="77777777" w:rsidR="00315E32" w:rsidRPr="005F1260" w:rsidRDefault="00315E32" w:rsidP="0086092C">
      <w:pPr>
        <w:spacing w:line="240" w:lineRule="auto"/>
        <w:ind w:right="-1"/>
        <w:jc w:val="both"/>
        <w:rPr>
          <w:rFonts w:ascii="Arial" w:hAnsi="Arial" w:cs="Arial"/>
          <w:b/>
          <w:spacing w:val="-10"/>
        </w:rPr>
      </w:pPr>
      <w:r w:rsidRPr="005F1260">
        <w:rPr>
          <w:rFonts w:ascii="Arial" w:hAnsi="Arial" w:cs="Arial"/>
          <w:b/>
          <w:spacing w:val="1"/>
        </w:rPr>
        <w:t>5</w:t>
      </w:r>
      <w:r w:rsidRPr="005F1260">
        <w:rPr>
          <w:rFonts w:ascii="Arial" w:hAnsi="Arial" w:cs="Arial"/>
          <w:b/>
        </w:rPr>
        <w:t>. C</w:t>
      </w:r>
      <w:r w:rsidRPr="005F1260">
        <w:rPr>
          <w:rFonts w:ascii="Arial" w:hAnsi="Arial" w:cs="Arial"/>
          <w:b/>
          <w:spacing w:val="1"/>
        </w:rPr>
        <w:t>O</w:t>
      </w:r>
      <w:r w:rsidRPr="005F1260">
        <w:rPr>
          <w:rFonts w:ascii="Arial" w:hAnsi="Arial" w:cs="Arial"/>
          <w:b/>
        </w:rPr>
        <w:t>NCLUSI</w:t>
      </w:r>
      <w:r w:rsidRPr="005F1260">
        <w:rPr>
          <w:rFonts w:ascii="Arial" w:hAnsi="Arial" w:cs="Arial"/>
          <w:b/>
          <w:spacing w:val="1"/>
        </w:rPr>
        <w:t>O</w:t>
      </w:r>
      <w:r w:rsidRPr="005F1260">
        <w:rPr>
          <w:rFonts w:ascii="Arial" w:hAnsi="Arial" w:cs="Arial"/>
          <w:b/>
        </w:rPr>
        <w:t>N</w:t>
      </w:r>
      <w:r w:rsidRPr="005F1260">
        <w:rPr>
          <w:rFonts w:ascii="Arial" w:hAnsi="Arial" w:cs="Arial"/>
          <w:b/>
          <w:spacing w:val="-10"/>
        </w:rPr>
        <w:t xml:space="preserve"> AND RECOMMENDATIONS </w:t>
      </w:r>
    </w:p>
    <w:p w14:paraId="13006A85" w14:textId="6CEBC338" w:rsidR="00D444EF" w:rsidRPr="0086092C" w:rsidRDefault="00315E32" w:rsidP="0086092C">
      <w:pPr>
        <w:spacing w:line="240" w:lineRule="auto"/>
        <w:jc w:val="both"/>
        <w:rPr>
          <w:rFonts w:ascii="Arial" w:hAnsi="Arial" w:cs="Arial"/>
          <w:sz w:val="20"/>
          <w:szCs w:val="20"/>
        </w:rPr>
      </w:pPr>
      <w:r w:rsidRPr="0086092C">
        <w:rPr>
          <w:rFonts w:ascii="Arial" w:hAnsi="Arial" w:cs="Arial"/>
          <w:sz w:val="20"/>
          <w:szCs w:val="20"/>
        </w:rPr>
        <w:t xml:space="preserve"> </w:t>
      </w:r>
      <w:r w:rsidR="00D263BF" w:rsidRPr="0086092C">
        <w:rPr>
          <w:rFonts w:ascii="Arial" w:hAnsi="Arial" w:cs="Arial"/>
          <w:sz w:val="20"/>
          <w:szCs w:val="20"/>
        </w:rPr>
        <w:t xml:space="preserve">In conclusion, the empirical investigation into Chad's banking sector, employing Vector Autoregression (VAR) and Granger causality analyses, alongside impulse response function (IRF) insights, has revealed a nuanced interplay </w:t>
      </w:r>
      <w:r w:rsidR="0070316D" w:rsidRPr="0086092C">
        <w:rPr>
          <w:rFonts w:ascii="Arial" w:hAnsi="Arial" w:cs="Arial"/>
          <w:sz w:val="20"/>
          <w:szCs w:val="20"/>
        </w:rPr>
        <w:t>among</w:t>
      </w:r>
      <w:r w:rsidR="00D263BF" w:rsidRPr="0086092C">
        <w:rPr>
          <w:rFonts w:ascii="Arial" w:hAnsi="Arial" w:cs="Arial"/>
          <w:sz w:val="20"/>
          <w:szCs w:val="20"/>
        </w:rPr>
        <w:t xml:space="preserve"> regulatory quality, rule of law, and non-performing loans ratio. </w:t>
      </w:r>
      <w:r w:rsidR="00D444EF" w:rsidRPr="0086092C">
        <w:rPr>
          <w:rFonts w:ascii="Arial" w:hAnsi="Arial" w:cs="Arial"/>
          <w:sz w:val="20"/>
          <w:szCs w:val="20"/>
        </w:rPr>
        <w:t>The findings indicate that improvements in regulatory quality significantly reduce the Non-Performing Loans Ratio, thereby enhancing banking stability by reducing credit risk and improving the health of the banking sector. Conversely, enhancements in the rule of law initially increase non-performing loans due to stricter enforcement and recognition of bad loans, but this is crucial for long-term stability as it leads to a more transparent and accountable banking environment.</w:t>
      </w:r>
      <w:r w:rsidR="003C035F" w:rsidRPr="0086092C">
        <w:rPr>
          <w:rFonts w:ascii="Arial" w:hAnsi="Arial" w:cs="Arial"/>
          <w:sz w:val="20"/>
          <w:szCs w:val="20"/>
        </w:rPr>
        <w:t xml:space="preserve"> The IRF analysis complements this by highlighting the responsiveness of </w:t>
      </w:r>
      <w:r w:rsidR="007C70D5" w:rsidRPr="0086092C">
        <w:rPr>
          <w:rFonts w:ascii="Arial" w:hAnsi="Arial" w:cs="Arial"/>
          <w:sz w:val="20"/>
          <w:szCs w:val="20"/>
        </w:rPr>
        <w:t>non-performing loans ratio</w:t>
      </w:r>
      <w:r w:rsidR="003C035F" w:rsidRPr="0086092C">
        <w:rPr>
          <w:rFonts w:ascii="Arial" w:hAnsi="Arial" w:cs="Arial"/>
          <w:sz w:val="20"/>
          <w:szCs w:val="20"/>
        </w:rPr>
        <w:t xml:space="preserve"> to shocks in </w:t>
      </w:r>
      <w:r w:rsidR="004918FC" w:rsidRPr="0086092C">
        <w:rPr>
          <w:rFonts w:ascii="Arial" w:hAnsi="Arial" w:cs="Arial"/>
          <w:sz w:val="20"/>
          <w:szCs w:val="20"/>
        </w:rPr>
        <w:t>regulatory quality</w:t>
      </w:r>
      <w:r w:rsidR="003C035F" w:rsidRPr="0086092C">
        <w:rPr>
          <w:rFonts w:ascii="Arial" w:hAnsi="Arial" w:cs="Arial"/>
          <w:sz w:val="20"/>
          <w:szCs w:val="20"/>
        </w:rPr>
        <w:t xml:space="preserve"> and shocks in RL, reinforcing the VAR results.</w:t>
      </w:r>
      <w:r w:rsidR="00D444EF" w:rsidRPr="0086092C">
        <w:rPr>
          <w:rFonts w:ascii="Arial" w:hAnsi="Arial" w:cs="Arial"/>
          <w:sz w:val="20"/>
          <w:szCs w:val="20"/>
        </w:rPr>
        <w:t xml:space="preserve"> The interplay between these frameworks reveals that improvements in one might initially challenge the other, emphasizing the need for harmonized reforms to achieve sustainable banking stability. </w:t>
      </w:r>
      <w:r w:rsidR="003C035F" w:rsidRPr="0086092C">
        <w:rPr>
          <w:rFonts w:ascii="Arial" w:hAnsi="Arial" w:cs="Arial"/>
          <w:sz w:val="20"/>
          <w:szCs w:val="20"/>
        </w:rPr>
        <w:t xml:space="preserve">The Granger causality results complement this by highlighting the significant combined influence of </w:t>
      </w:r>
      <w:r w:rsidR="004918FC" w:rsidRPr="0086092C">
        <w:rPr>
          <w:rFonts w:ascii="Arial" w:hAnsi="Arial" w:cs="Arial"/>
          <w:sz w:val="20"/>
          <w:szCs w:val="20"/>
        </w:rPr>
        <w:t>regulatory quality</w:t>
      </w:r>
      <w:r w:rsidR="003C035F" w:rsidRPr="0086092C">
        <w:rPr>
          <w:rFonts w:ascii="Arial" w:hAnsi="Arial" w:cs="Arial"/>
          <w:sz w:val="20"/>
          <w:szCs w:val="20"/>
        </w:rPr>
        <w:t xml:space="preserve"> and </w:t>
      </w:r>
      <w:r w:rsidR="007C70D5" w:rsidRPr="0086092C">
        <w:rPr>
          <w:rFonts w:ascii="Arial" w:hAnsi="Arial" w:cs="Arial"/>
          <w:sz w:val="20"/>
          <w:szCs w:val="20"/>
        </w:rPr>
        <w:t>rule of law</w:t>
      </w:r>
      <w:r w:rsidR="003C035F" w:rsidRPr="0086092C">
        <w:rPr>
          <w:rFonts w:ascii="Arial" w:hAnsi="Arial" w:cs="Arial"/>
          <w:sz w:val="20"/>
          <w:szCs w:val="20"/>
        </w:rPr>
        <w:t xml:space="preserve"> </w:t>
      </w:r>
      <w:r w:rsidR="00DF118B" w:rsidRPr="0086092C">
        <w:rPr>
          <w:rFonts w:ascii="Arial" w:hAnsi="Arial" w:cs="Arial"/>
          <w:sz w:val="20"/>
          <w:szCs w:val="20"/>
        </w:rPr>
        <w:t xml:space="preserve">on </w:t>
      </w:r>
      <w:r w:rsidR="007C70D5" w:rsidRPr="0086092C">
        <w:rPr>
          <w:rFonts w:ascii="Arial" w:hAnsi="Arial" w:cs="Arial"/>
          <w:sz w:val="20"/>
          <w:szCs w:val="20"/>
        </w:rPr>
        <w:t>non-performing loans ratio</w:t>
      </w:r>
      <w:r w:rsidR="003C035F" w:rsidRPr="0086092C">
        <w:rPr>
          <w:rFonts w:ascii="Arial" w:hAnsi="Arial" w:cs="Arial"/>
          <w:sz w:val="20"/>
          <w:szCs w:val="20"/>
        </w:rPr>
        <w:t>.</w:t>
      </w:r>
    </w:p>
    <w:p w14:paraId="703262C5" w14:textId="77777777" w:rsidR="002D0E5B" w:rsidRPr="0086092C" w:rsidRDefault="00D263BF" w:rsidP="0086092C">
      <w:pPr>
        <w:spacing w:line="240" w:lineRule="auto"/>
        <w:jc w:val="both"/>
        <w:rPr>
          <w:rFonts w:ascii="Arial" w:hAnsi="Arial" w:cs="Arial"/>
          <w:sz w:val="20"/>
          <w:szCs w:val="20"/>
        </w:rPr>
      </w:pPr>
      <w:r w:rsidRPr="0086092C">
        <w:rPr>
          <w:rFonts w:ascii="Arial" w:hAnsi="Arial" w:cs="Arial"/>
          <w:sz w:val="20"/>
          <w:szCs w:val="20"/>
        </w:rPr>
        <w:t xml:space="preserve">Based on the findings of this study, it is recommended that </w:t>
      </w:r>
      <w:r w:rsidR="002D0E5B" w:rsidRPr="0086092C">
        <w:rPr>
          <w:rFonts w:ascii="Arial" w:hAnsi="Arial" w:cs="Arial"/>
          <w:sz w:val="20"/>
          <w:szCs w:val="20"/>
        </w:rPr>
        <w:t>Policymakers should focus on enhancing regulatory quality through stringent practices, such as capital adequacy requirements and risk management, to reduce non-performing loans and improve stability. Strengthening the legal framework is also crucial, despite the initial increase in non-performing loans, as it ensures long-term stability by fostering a transparent and accountable banking environment. Harmonizing regulatory and legal reforms is essential to avoid conflicts and create a cohesive approach. Continuous monitoring and evaluation of these frameworks, along with capacity building for regulatory and legal institutions, will ensure their effectiveness and adaptability to changing economic conditions, thereby supporting the stability and growth of Chad's banking sector.</w:t>
      </w:r>
    </w:p>
    <w:p w14:paraId="6434D8A7" w14:textId="3E104791" w:rsidR="00D263BF" w:rsidRDefault="00D263BF" w:rsidP="0086092C">
      <w:pPr>
        <w:spacing w:line="240" w:lineRule="auto"/>
        <w:jc w:val="both"/>
        <w:rPr>
          <w:rFonts w:ascii="Arial" w:hAnsi="Arial" w:cs="Arial"/>
          <w:sz w:val="20"/>
          <w:szCs w:val="20"/>
        </w:rPr>
      </w:pPr>
      <w:r w:rsidRPr="0086092C">
        <w:rPr>
          <w:rFonts w:ascii="Arial" w:hAnsi="Arial" w:cs="Arial"/>
          <w:b/>
          <w:bCs/>
          <w:sz w:val="20"/>
          <w:szCs w:val="20"/>
        </w:rPr>
        <w:t xml:space="preserve">Future </w:t>
      </w:r>
      <w:r w:rsidR="00395215" w:rsidRPr="0086092C">
        <w:rPr>
          <w:rFonts w:ascii="Arial" w:hAnsi="Arial" w:cs="Arial"/>
          <w:b/>
          <w:bCs/>
          <w:sz w:val="20"/>
          <w:szCs w:val="20"/>
        </w:rPr>
        <w:t>Research</w:t>
      </w:r>
      <w:r w:rsidRPr="0086092C">
        <w:rPr>
          <w:rFonts w:ascii="Arial" w:hAnsi="Arial" w:cs="Arial"/>
          <w:b/>
          <w:bCs/>
          <w:sz w:val="20"/>
          <w:szCs w:val="20"/>
        </w:rPr>
        <w:t>:</w:t>
      </w:r>
      <w:r w:rsidRPr="0086092C">
        <w:rPr>
          <w:rFonts w:ascii="Arial" w:hAnsi="Arial" w:cs="Arial"/>
          <w:sz w:val="20"/>
          <w:szCs w:val="20"/>
        </w:rPr>
        <w:t xml:space="preserve"> Future studies could explore the long-term effects of regulatory and legal changes on banking stability, extend the analysis to a broader set of countries to enhance generalizability, and incorporate additional variables such as economic growth, political stability, and international financial influences to provide a more comprehensive understanding of the factors affecting the banking sector.</w:t>
      </w:r>
    </w:p>
    <w:p w14:paraId="5B70DFCF" w14:textId="77777777" w:rsidR="005F1260" w:rsidRDefault="005F1260" w:rsidP="0086092C">
      <w:pPr>
        <w:spacing w:line="240" w:lineRule="auto"/>
        <w:jc w:val="both"/>
        <w:rPr>
          <w:rFonts w:ascii="Arial" w:hAnsi="Arial" w:cs="Arial"/>
          <w:sz w:val="20"/>
          <w:szCs w:val="20"/>
        </w:rPr>
      </w:pPr>
    </w:p>
    <w:p w14:paraId="24205035" w14:textId="77777777" w:rsidR="00011902" w:rsidRDefault="00011902" w:rsidP="0086092C">
      <w:pPr>
        <w:spacing w:line="240" w:lineRule="auto"/>
        <w:jc w:val="both"/>
        <w:rPr>
          <w:rFonts w:ascii="Arial" w:hAnsi="Arial" w:cs="Arial"/>
          <w:sz w:val="20"/>
          <w:szCs w:val="20"/>
        </w:rPr>
      </w:pPr>
    </w:p>
    <w:p w14:paraId="3B498D37" w14:textId="77777777" w:rsidR="00011902" w:rsidRPr="00011902" w:rsidRDefault="00011902" w:rsidP="00B35335">
      <w:pPr>
        <w:spacing w:after="0" w:line="240" w:lineRule="auto"/>
        <w:ind w:left="720"/>
        <w:rPr>
          <w:rStyle w:val="Hyperlink"/>
          <w:rFonts w:ascii="Arial" w:hAnsi="Arial" w:cs="Arial"/>
          <w:color w:val="000000" w:themeColor="text1"/>
          <w:sz w:val="20"/>
          <w:szCs w:val="20"/>
          <w:u w:val="none"/>
        </w:rPr>
      </w:pPr>
      <w:bookmarkStart w:id="3" w:name="_GoBack"/>
      <w:r w:rsidRPr="00011902">
        <w:rPr>
          <w:rStyle w:val="Hyperlink"/>
          <w:rFonts w:ascii="Arial" w:hAnsi="Arial" w:cs="Arial"/>
          <w:b/>
          <w:bCs/>
          <w:color w:val="000000" w:themeColor="text1"/>
          <w:sz w:val="20"/>
          <w:szCs w:val="20"/>
          <w:u w:val="none"/>
        </w:rPr>
        <w:lastRenderedPageBreak/>
        <w:t>Institutional Review Board Statement:</w:t>
      </w:r>
      <w:r w:rsidRPr="00011902">
        <w:rPr>
          <w:rStyle w:val="Hyperlink"/>
          <w:rFonts w:ascii="Arial" w:hAnsi="Arial" w:cs="Arial"/>
          <w:color w:val="000000" w:themeColor="text1"/>
          <w:sz w:val="20"/>
          <w:szCs w:val="20"/>
          <w:u w:val="none"/>
        </w:rPr>
        <w:t xml:space="preserve"> Not Applicable.</w:t>
      </w:r>
    </w:p>
    <w:bookmarkEnd w:id="3"/>
    <w:p w14:paraId="0FBB4C8D" w14:textId="259127FE" w:rsidR="00011902" w:rsidRPr="00011902" w:rsidRDefault="00011902" w:rsidP="00B35335">
      <w:pPr>
        <w:spacing w:after="0" w:line="240" w:lineRule="auto"/>
        <w:ind w:left="720"/>
        <w:rPr>
          <w:rStyle w:val="Hyperlink"/>
          <w:rFonts w:ascii="Arial" w:hAnsi="Arial" w:cs="Arial"/>
          <w:b/>
          <w:bCs/>
          <w:color w:val="000000" w:themeColor="text1"/>
          <w:sz w:val="20"/>
          <w:szCs w:val="20"/>
          <w:u w:val="none"/>
        </w:rPr>
      </w:pPr>
      <w:r w:rsidRPr="00011902">
        <w:rPr>
          <w:rStyle w:val="Hyperlink"/>
          <w:rFonts w:ascii="Arial" w:hAnsi="Arial" w:cs="Arial"/>
          <w:b/>
          <w:bCs/>
          <w:color w:val="000000" w:themeColor="text1"/>
          <w:sz w:val="20"/>
          <w:szCs w:val="20"/>
          <w:u w:val="none"/>
        </w:rPr>
        <w:t>Transparency:</w:t>
      </w:r>
      <w:r w:rsidRPr="00011902">
        <w:rPr>
          <w:rFonts w:ascii="Arial" w:hAnsi="Arial" w:cs="Arial"/>
          <w:color w:val="000000" w:themeColor="text1"/>
          <w:sz w:val="20"/>
          <w:szCs w:val="20"/>
        </w:rPr>
        <w:t xml:space="preserve"> </w:t>
      </w:r>
      <w:r w:rsidRPr="00011902">
        <w:rPr>
          <w:rStyle w:val="Hyperlink"/>
          <w:rFonts w:ascii="Arial" w:hAnsi="Arial" w:cs="Arial"/>
          <w:color w:val="000000" w:themeColor="text1"/>
          <w:sz w:val="20"/>
          <w:szCs w:val="20"/>
          <w:u w:val="none"/>
        </w:rPr>
        <w:t xml:space="preserve">The authors state that the manuscript is honest, truthful, and transparent, that no key aspects of the investigation have been omitted, and that any differences from the study as planned have been clarified. </w:t>
      </w:r>
    </w:p>
    <w:p w14:paraId="6C5225E0" w14:textId="1F748156" w:rsidR="00011902" w:rsidRPr="00011902" w:rsidRDefault="00011902" w:rsidP="00B35335">
      <w:pPr>
        <w:spacing w:after="0" w:line="240" w:lineRule="auto"/>
        <w:ind w:left="720"/>
        <w:rPr>
          <w:rStyle w:val="Hyperlink"/>
          <w:rFonts w:ascii="Arial" w:hAnsi="Arial" w:cs="Arial"/>
          <w:color w:val="000000" w:themeColor="text1"/>
          <w:sz w:val="20"/>
          <w:szCs w:val="20"/>
          <w:u w:val="none"/>
        </w:rPr>
      </w:pPr>
      <w:r w:rsidRPr="00011902">
        <w:rPr>
          <w:rStyle w:val="Hyperlink"/>
          <w:rFonts w:ascii="Arial" w:hAnsi="Arial" w:cs="Arial"/>
          <w:b/>
          <w:bCs/>
          <w:color w:val="000000" w:themeColor="text1"/>
          <w:sz w:val="20"/>
          <w:szCs w:val="20"/>
          <w:u w:val="none"/>
        </w:rPr>
        <w:t xml:space="preserve">Data Availability Statement: </w:t>
      </w:r>
      <w:r w:rsidRPr="00011902">
        <w:rPr>
          <w:rStyle w:val="Hyperlink"/>
          <w:rFonts w:ascii="Arial" w:hAnsi="Arial" w:cs="Arial"/>
          <w:color w:val="000000" w:themeColor="text1"/>
          <w:sz w:val="20"/>
          <w:szCs w:val="20"/>
          <w:u w:val="none"/>
        </w:rPr>
        <w:t>The data used in this study are obtainable from the corresponding author upon reasonable request.</w:t>
      </w:r>
    </w:p>
    <w:p w14:paraId="3084B128" w14:textId="77777777" w:rsidR="00011902" w:rsidRDefault="00011902" w:rsidP="00011902">
      <w:pPr>
        <w:spacing w:line="240" w:lineRule="auto"/>
        <w:jc w:val="both"/>
        <w:rPr>
          <w:rStyle w:val="Hyperlink"/>
          <w:rFonts w:ascii="Bell MT" w:hAnsi="Bell MT"/>
          <w:sz w:val="18"/>
          <w:szCs w:val="18"/>
        </w:rPr>
      </w:pPr>
    </w:p>
    <w:p w14:paraId="02A479E8" w14:textId="77777777" w:rsidR="005F1260" w:rsidRPr="0086092C" w:rsidRDefault="005F1260" w:rsidP="0086092C">
      <w:pPr>
        <w:spacing w:line="240" w:lineRule="auto"/>
        <w:jc w:val="both"/>
        <w:rPr>
          <w:rFonts w:ascii="Arial" w:hAnsi="Arial" w:cs="Arial"/>
          <w:sz w:val="20"/>
          <w:szCs w:val="20"/>
        </w:rPr>
      </w:pPr>
    </w:p>
    <w:p w14:paraId="2E8428D6" w14:textId="5FA5B2A2" w:rsidR="0025230A" w:rsidRPr="0086092C" w:rsidRDefault="006603E6" w:rsidP="0086092C">
      <w:pPr>
        <w:spacing w:line="240" w:lineRule="auto"/>
        <w:jc w:val="both"/>
        <w:rPr>
          <w:rFonts w:ascii="Arial" w:hAnsi="Arial" w:cs="Arial"/>
          <w:b/>
          <w:bCs/>
          <w:sz w:val="20"/>
          <w:szCs w:val="20"/>
        </w:rPr>
      </w:pPr>
      <w:r w:rsidRPr="0086092C">
        <w:rPr>
          <w:rFonts w:ascii="Arial" w:hAnsi="Arial" w:cs="Arial"/>
          <w:b/>
          <w:bCs/>
          <w:sz w:val="20"/>
          <w:szCs w:val="20"/>
        </w:rPr>
        <w:t xml:space="preserve">REFERENCES </w:t>
      </w:r>
    </w:p>
    <w:p w14:paraId="20A49602" w14:textId="77777777" w:rsidR="000D56E1" w:rsidRPr="0086092C" w:rsidRDefault="000D56E1" w:rsidP="0086092C">
      <w:pPr>
        <w:spacing w:after="0" w:line="240" w:lineRule="auto"/>
        <w:ind w:left="720" w:hanging="720"/>
        <w:jc w:val="both"/>
        <w:rPr>
          <w:rFonts w:ascii="Arial" w:hAnsi="Arial" w:cs="Arial"/>
          <w:sz w:val="20"/>
          <w:szCs w:val="20"/>
        </w:rPr>
      </w:pPr>
      <w:r w:rsidRPr="0086092C">
        <w:rPr>
          <w:rFonts w:ascii="Arial" w:hAnsi="Arial" w:cs="Arial"/>
          <w:sz w:val="20"/>
          <w:szCs w:val="20"/>
        </w:rPr>
        <w:t xml:space="preserve">Barth, J. R., Caprio, G., &amp; Levine, R. (2013). Bank regulation and supervision in 180 countries from 1999 to 2011. </w:t>
      </w:r>
      <w:r w:rsidRPr="0086092C">
        <w:rPr>
          <w:rFonts w:ascii="Arial" w:hAnsi="Arial" w:cs="Arial"/>
          <w:i/>
          <w:iCs/>
          <w:sz w:val="20"/>
          <w:szCs w:val="20"/>
        </w:rPr>
        <w:t xml:space="preserve">Journal of Financial Economic Policy, </w:t>
      </w:r>
      <w:r w:rsidRPr="0086092C">
        <w:rPr>
          <w:rFonts w:ascii="Arial" w:hAnsi="Arial" w:cs="Arial"/>
          <w:sz w:val="20"/>
          <w:szCs w:val="20"/>
        </w:rPr>
        <w:t>5(2), 111-219. https://doi.org/10.1108/17576381311329661</w:t>
      </w:r>
    </w:p>
    <w:p w14:paraId="651B9B1F" w14:textId="77777777" w:rsidR="000D56E1" w:rsidRPr="0086092C" w:rsidRDefault="000D56E1" w:rsidP="0086092C">
      <w:pPr>
        <w:spacing w:after="0" w:line="240" w:lineRule="auto"/>
        <w:ind w:left="720" w:hanging="720"/>
        <w:rPr>
          <w:rFonts w:ascii="Arial" w:hAnsi="Arial" w:cs="Arial"/>
          <w:sz w:val="20"/>
          <w:szCs w:val="20"/>
        </w:rPr>
      </w:pPr>
      <w:r w:rsidRPr="0086092C">
        <w:rPr>
          <w:rFonts w:ascii="Arial" w:hAnsi="Arial" w:cs="Arial"/>
          <w:sz w:val="20"/>
          <w:szCs w:val="20"/>
        </w:rPr>
        <w:t xml:space="preserve">Barth, J. R., Caprio, G., &amp; Levine, R. (2013). The Role of Prudential Regulation in Banking Stability. </w:t>
      </w:r>
      <w:r w:rsidRPr="0086092C">
        <w:rPr>
          <w:rFonts w:ascii="Arial" w:hAnsi="Arial" w:cs="Arial"/>
          <w:i/>
          <w:iCs/>
          <w:sz w:val="20"/>
          <w:szCs w:val="20"/>
        </w:rPr>
        <w:t>Journal of Financial Stability</w:t>
      </w:r>
      <w:r w:rsidRPr="0086092C">
        <w:rPr>
          <w:rFonts w:ascii="Arial" w:hAnsi="Arial" w:cs="Arial"/>
          <w:sz w:val="20"/>
          <w:szCs w:val="20"/>
        </w:rPr>
        <w:t>, 9(4), 405-420. https://doi.org/10.1016/j.jfs.2013.07.002</w:t>
      </w:r>
    </w:p>
    <w:p w14:paraId="6F1AF0A4" w14:textId="77777777" w:rsidR="000D56E1" w:rsidRPr="0086092C" w:rsidRDefault="000D56E1" w:rsidP="0086092C">
      <w:pPr>
        <w:spacing w:after="0" w:line="240" w:lineRule="auto"/>
        <w:ind w:left="720" w:hanging="720"/>
        <w:jc w:val="both"/>
        <w:rPr>
          <w:rFonts w:ascii="Arial" w:hAnsi="Arial" w:cs="Arial"/>
          <w:sz w:val="20"/>
          <w:szCs w:val="20"/>
        </w:rPr>
      </w:pPr>
      <w:r w:rsidRPr="0086092C">
        <w:rPr>
          <w:rFonts w:ascii="Arial" w:hAnsi="Arial" w:cs="Arial"/>
          <w:sz w:val="20"/>
          <w:szCs w:val="20"/>
        </w:rPr>
        <w:t xml:space="preserve">Basel Committee on Banking Supervision. (2011). Basel III: A Global Regulatory Framework for More Resilient Banks and Banking Systems. </w:t>
      </w:r>
      <w:r w:rsidRPr="0086092C">
        <w:rPr>
          <w:rFonts w:ascii="Arial" w:hAnsi="Arial" w:cs="Arial"/>
          <w:i/>
          <w:iCs/>
          <w:sz w:val="20"/>
          <w:szCs w:val="20"/>
        </w:rPr>
        <w:t>Bank for International Settlements</w:t>
      </w:r>
      <w:r w:rsidRPr="0086092C">
        <w:rPr>
          <w:rFonts w:ascii="Arial" w:hAnsi="Arial" w:cs="Arial"/>
          <w:sz w:val="20"/>
          <w:szCs w:val="20"/>
        </w:rPr>
        <w:t>.</w:t>
      </w:r>
    </w:p>
    <w:p w14:paraId="778EB17F" w14:textId="77777777" w:rsidR="000D56E1" w:rsidRPr="0086092C" w:rsidRDefault="000D56E1" w:rsidP="0086092C">
      <w:pPr>
        <w:spacing w:after="0" w:line="240" w:lineRule="auto"/>
        <w:ind w:left="720" w:hanging="720"/>
        <w:jc w:val="both"/>
        <w:rPr>
          <w:rFonts w:ascii="Arial" w:hAnsi="Arial" w:cs="Arial"/>
          <w:sz w:val="20"/>
          <w:szCs w:val="20"/>
        </w:rPr>
      </w:pPr>
      <w:r w:rsidRPr="0086092C">
        <w:rPr>
          <w:rFonts w:ascii="Arial" w:hAnsi="Arial" w:cs="Arial"/>
          <w:sz w:val="20"/>
          <w:szCs w:val="20"/>
        </w:rPr>
        <w:t xml:space="preserve">Basel Committee on Banking Supervision. (2013). The regulatory framework: Balancing risk sensitivity, simplicity and comparability. </w:t>
      </w:r>
      <w:r w:rsidRPr="0086092C">
        <w:rPr>
          <w:rFonts w:ascii="Arial" w:hAnsi="Arial" w:cs="Arial"/>
          <w:i/>
          <w:iCs/>
          <w:sz w:val="20"/>
          <w:szCs w:val="20"/>
        </w:rPr>
        <w:t>Bank for International Settlements.</w:t>
      </w:r>
    </w:p>
    <w:p w14:paraId="383C40F6" w14:textId="77777777" w:rsidR="000D56E1" w:rsidRPr="0086092C" w:rsidRDefault="000D56E1" w:rsidP="0086092C">
      <w:pPr>
        <w:spacing w:after="0" w:line="240" w:lineRule="auto"/>
        <w:ind w:left="720" w:hanging="720"/>
        <w:jc w:val="both"/>
        <w:rPr>
          <w:rFonts w:ascii="Arial" w:hAnsi="Arial" w:cs="Arial"/>
          <w:sz w:val="20"/>
          <w:szCs w:val="20"/>
        </w:rPr>
      </w:pPr>
      <w:r w:rsidRPr="0086092C">
        <w:rPr>
          <w:rFonts w:ascii="Arial" w:hAnsi="Arial" w:cs="Arial"/>
          <w:sz w:val="20"/>
          <w:szCs w:val="20"/>
        </w:rPr>
        <w:t xml:space="preserve">Beck, T., </w:t>
      </w:r>
      <w:proofErr w:type="spellStart"/>
      <w:r w:rsidRPr="0086092C">
        <w:rPr>
          <w:rFonts w:ascii="Arial" w:hAnsi="Arial" w:cs="Arial"/>
          <w:sz w:val="20"/>
          <w:szCs w:val="20"/>
        </w:rPr>
        <w:t>Demirgüç-Kunt</w:t>
      </w:r>
      <w:proofErr w:type="spellEnd"/>
      <w:r w:rsidRPr="0086092C">
        <w:rPr>
          <w:rFonts w:ascii="Arial" w:hAnsi="Arial" w:cs="Arial"/>
          <w:sz w:val="20"/>
          <w:szCs w:val="20"/>
        </w:rPr>
        <w:t xml:space="preserve">, A., &amp; Levine, R. (2006). Bank regulation and supervision: what works best? </w:t>
      </w:r>
      <w:r w:rsidRPr="0086092C">
        <w:rPr>
          <w:rFonts w:ascii="Arial" w:hAnsi="Arial" w:cs="Arial"/>
          <w:i/>
          <w:iCs/>
          <w:sz w:val="20"/>
          <w:szCs w:val="20"/>
        </w:rPr>
        <w:t>Journal of Financial Intermediation</w:t>
      </w:r>
      <w:r w:rsidRPr="0086092C">
        <w:rPr>
          <w:rFonts w:ascii="Arial" w:hAnsi="Arial" w:cs="Arial"/>
          <w:sz w:val="20"/>
          <w:szCs w:val="20"/>
        </w:rPr>
        <w:t>, 13(2), 205-248.</w:t>
      </w:r>
    </w:p>
    <w:p w14:paraId="7A94DF87" w14:textId="77777777" w:rsidR="000D56E1" w:rsidRPr="0086092C" w:rsidRDefault="000D56E1" w:rsidP="0086092C">
      <w:pPr>
        <w:spacing w:after="0" w:line="240" w:lineRule="auto"/>
        <w:ind w:left="720" w:hanging="720"/>
        <w:jc w:val="both"/>
        <w:rPr>
          <w:rFonts w:ascii="Arial" w:hAnsi="Arial" w:cs="Arial"/>
          <w:sz w:val="20"/>
          <w:szCs w:val="20"/>
        </w:rPr>
      </w:pPr>
      <w:r w:rsidRPr="0086092C">
        <w:rPr>
          <w:rFonts w:ascii="Arial" w:hAnsi="Arial" w:cs="Arial"/>
          <w:sz w:val="20"/>
          <w:szCs w:val="20"/>
        </w:rPr>
        <w:t xml:space="preserve">Beck, T., </w:t>
      </w:r>
      <w:proofErr w:type="spellStart"/>
      <w:r w:rsidRPr="0086092C">
        <w:rPr>
          <w:rFonts w:ascii="Arial" w:hAnsi="Arial" w:cs="Arial"/>
          <w:sz w:val="20"/>
          <w:szCs w:val="20"/>
        </w:rPr>
        <w:t>Demirgüç-Kunt</w:t>
      </w:r>
      <w:proofErr w:type="spellEnd"/>
      <w:r w:rsidRPr="0086092C">
        <w:rPr>
          <w:rFonts w:ascii="Arial" w:hAnsi="Arial" w:cs="Arial"/>
          <w:sz w:val="20"/>
          <w:szCs w:val="20"/>
        </w:rPr>
        <w:t xml:space="preserve">, A., &amp; Levine, R. (2009). Financial institutions and markets across countries and over time: Data and analysis. </w:t>
      </w:r>
      <w:r w:rsidRPr="0086092C">
        <w:rPr>
          <w:rFonts w:ascii="Arial" w:hAnsi="Arial" w:cs="Arial"/>
          <w:i/>
          <w:iCs/>
          <w:sz w:val="20"/>
          <w:szCs w:val="20"/>
        </w:rPr>
        <w:t>World Bank Policy Research Working Paper</w:t>
      </w:r>
      <w:r w:rsidRPr="0086092C">
        <w:rPr>
          <w:rFonts w:ascii="Arial" w:hAnsi="Arial" w:cs="Arial"/>
          <w:sz w:val="20"/>
          <w:szCs w:val="20"/>
        </w:rPr>
        <w:t>, (4943).</w:t>
      </w:r>
    </w:p>
    <w:p w14:paraId="3C5026CB" w14:textId="77777777" w:rsidR="000D56E1" w:rsidRPr="0086092C" w:rsidRDefault="000D56E1" w:rsidP="0086092C">
      <w:pPr>
        <w:spacing w:after="0" w:line="240" w:lineRule="auto"/>
        <w:ind w:left="720" w:hanging="720"/>
        <w:rPr>
          <w:rFonts w:ascii="Arial" w:hAnsi="Arial" w:cs="Arial"/>
          <w:sz w:val="20"/>
          <w:szCs w:val="20"/>
        </w:rPr>
      </w:pPr>
      <w:r w:rsidRPr="0086092C">
        <w:rPr>
          <w:rFonts w:ascii="Arial" w:hAnsi="Arial" w:cs="Arial"/>
          <w:sz w:val="20"/>
          <w:szCs w:val="20"/>
        </w:rPr>
        <w:t xml:space="preserve">Beck, T., </w:t>
      </w:r>
      <w:proofErr w:type="spellStart"/>
      <w:r w:rsidRPr="0086092C">
        <w:rPr>
          <w:rFonts w:ascii="Arial" w:hAnsi="Arial" w:cs="Arial"/>
          <w:sz w:val="20"/>
          <w:szCs w:val="20"/>
        </w:rPr>
        <w:t>Demirgüç-Kunt</w:t>
      </w:r>
      <w:proofErr w:type="spellEnd"/>
      <w:r w:rsidRPr="0086092C">
        <w:rPr>
          <w:rFonts w:ascii="Arial" w:hAnsi="Arial" w:cs="Arial"/>
          <w:sz w:val="20"/>
          <w:szCs w:val="20"/>
        </w:rPr>
        <w:t xml:space="preserve">, A., &amp; Levine, R. (2013). Bank governance, regulation, and risk taking. </w:t>
      </w:r>
      <w:r w:rsidRPr="0086092C">
        <w:rPr>
          <w:rFonts w:ascii="Arial" w:hAnsi="Arial" w:cs="Arial"/>
          <w:i/>
          <w:iCs/>
          <w:sz w:val="20"/>
          <w:szCs w:val="20"/>
        </w:rPr>
        <w:t>Journal of Financial Economics,</w:t>
      </w:r>
      <w:r w:rsidRPr="0086092C">
        <w:rPr>
          <w:rFonts w:ascii="Arial" w:hAnsi="Arial" w:cs="Arial"/>
          <w:sz w:val="20"/>
          <w:szCs w:val="20"/>
        </w:rPr>
        <w:t xml:space="preserve"> 117(1), 1-31. https://doi.org/10.1016/j.jfineco.2013.02.010</w:t>
      </w:r>
    </w:p>
    <w:p w14:paraId="69ED112F" w14:textId="77777777" w:rsidR="000D56E1" w:rsidRPr="0086092C" w:rsidRDefault="000D56E1" w:rsidP="0086092C">
      <w:pPr>
        <w:spacing w:after="0" w:line="240" w:lineRule="auto"/>
        <w:ind w:left="720" w:hanging="720"/>
        <w:jc w:val="both"/>
        <w:rPr>
          <w:rFonts w:ascii="Arial" w:hAnsi="Arial" w:cs="Arial"/>
          <w:sz w:val="20"/>
          <w:szCs w:val="20"/>
        </w:rPr>
      </w:pPr>
      <w:proofErr w:type="spellStart"/>
      <w:r w:rsidRPr="0086092C">
        <w:rPr>
          <w:rFonts w:ascii="Arial" w:hAnsi="Arial" w:cs="Arial"/>
          <w:sz w:val="20"/>
          <w:szCs w:val="20"/>
        </w:rPr>
        <w:t>Bougatef</w:t>
      </w:r>
      <w:proofErr w:type="spellEnd"/>
      <w:r w:rsidRPr="0086092C">
        <w:rPr>
          <w:rFonts w:ascii="Arial" w:hAnsi="Arial" w:cs="Arial"/>
          <w:sz w:val="20"/>
          <w:szCs w:val="20"/>
        </w:rPr>
        <w:t xml:space="preserve">, K. (2016). Determinants of bank credit risk: Case of Tunisia. </w:t>
      </w:r>
      <w:r w:rsidRPr="0086092C">
        <w:rPr>
          <w:rFonts w:ascii="Arial" w:hAnsi="Arial" w:cs="Arial"/>
          <w:i/>
          <w:iCs/>
          <w:sz w:val="20"/>
          <w:szCs w:val="20"/>
        </w:rPr>
        <w:t xml:space="preserve">Journal of Money, Investment and Banking, </w:t>
      </w:r>
      <w:r w:rsidRPr="0086092C">
        <w:rPr>
          <w:rFonts w:ascii="Arial" w:hAnsi="Arial" w:cs="Arial"/>
          <w:sz w:val="20"/>
          <w:szCs w:val="20"/>
        </w:rPr>
        <w:t>34, 29-45.</w:t>
      </w:r>
    </w:p>
    <w:p w14:paraId="46B9374D" w14:textId="77777777" w:rsidR="000D56E1" w:rsidRPr="0086092C" w:rsidRDefault="000D56E1" w:rsidP="0086092C">
      <w:pPr>
        <w:spacing w:after="0" w:line="240" w:lineRule="auto"/>
        <w:ind w:left="720" w:hanging="720"/>
        <w:jc w:val="both"/>
        <w:rPr>
          <w:rFonts w:ascii="Arial" w:hAnsi="Arial" w:cs="Arial"/>
          <w:sz w:val="20"/>
          <w:szCs w:val="20"/>
        </w:rPr>
      </w:pPr>
      <w:r w:rsidRPr="0086092C">
        <w:rPr>
          <w:rFonts w:ascii="Arial" w:hAnsi="Arial" w:cs="Arial"/>
          <w:sz w:val="20"/>
          <w:szCs w:val="20"/>
        </w:rPr>
        <w:t xml:space="preserve">Cull, R., &amp; Mare, D. S. (2020). Banking regulation and supervision: conceptual framework and stylized facts. </w:t>
      </w:r>
      <w:r w:rsidRPr="0086092C">
        <w:rPr>
          <w:rFonts w:ascii="Arial" w:hAnsi="Arial" w:cs="Arial"/>
          <w:i/>
          <w:iCs/>
          <w:sz w:val="20"/>
          <w:szCs w:val="20"/>
        </w:rPr>
        <w:t>World Bank</w:t>
      </w:r>
      <w:r w:rsidRPr="0086092C">
        <w:rPr>
          <w:rFonts w:ascii="Arial" w:hAnsi="Arial" w:cs="Arial"/>
          <w:sz w:val="20"/>
          <w:szCs w:val="20"/>
        </w:rPr>
        <w:t>.</w:t>
      </w:r>
    </w:p>
    <w:p w14:paraId="4A8B6F25" w14:textId="77777777" w:rsidR="000D56E1" w:rsidRPr="0086092C" w:rsidRDefault="000D56E1" w:rsidP="0086092C">
      <w:pPr>
        <w:spacing w:after="0" w:line="240" w:lineRule="auto"/>
        <w:ind w:left="720" w:hanging="720"/>
        <w:jc w:val="both"/>
        <w:rPr>
          <w:rFonts w:ascii="Arial" w:hAnsi="Arial" w:cs="Arial"/>
          <w:sz w:val="20"/>
          <w:szCs w:val="20"/>
        </w:rPr>
      </w:pPr>
      <w:proofErr w:type="spellStart"/>
      <w:r w:rsidRPr="0086092C">
        <w:rPr>
          <w:rFonts w:ascii="Arial" w:hAnsi="Arial" w:cs="Arial"/>
          <w:sz w:val="20"/>
          <w:szCs w:val="20"/>
        </w:rPr>
        <w:t>Djankov</w:t>
      </w:r>
      <w:proofErr w:type="spellEnd"/>
      <w:r w:rsidRPr="0086092C">
        <w:rPr>
          <w:rFonts w:ascii="Arial" w:hAnsi="Arial" w:cs="Arial"/>
          <w:sz w:val="20"/>
          <w:szCs w:val="20"/>
        </w:rPr>
        <w:t xml:space="preserve">, S., La Porta, R., Lopez-de-Silanes, F., &amp; Shleifer, A. (2002). The regulation of entry. </w:t>
      </w:r>
      <w:r w:rsidRPr="0086092C">
        <w:rPr>
          <w:rFonts w:ascii="Arial" w:hAnsi="Arial" w:cs="Arial"/>
          <w:i/>
          <w:iCs/>
          <w:sz w:val="20"/>
          <w:szCs w:val="20"/>
        </w:rPr>
        <w:t>The Quarterly Journal of Economics,</w:t>
      </w:r>
      <w:r w:rsidRPr="0086092C">
        <w:rPr>
          <w:rFonts w:ascii="Arial" w:hAnsi="Arial" w:cs="Arial"/>
          <w:sz w:val="20"/>
          <w:szCs w:val="20"/>
        </w:rPr>
        <w:t xml:space="preserve"> 117(1), 1-37.</w:t>
      </w:r>
    </w:p>
    <w:p w14:paraId="6233C70A" w14:textId="77777777" w:rsidR="000D56E1" w:rsidRPr="0086092C" w:rsidRDefault="000D56E1" w:rsidP="0086092C">
      <w:pPr>
        <w:spacing w:after="0" w:line="240" w:lineRule="auto"/>
        <w:ind w:left="720" w:hanging="720"/>
        <w:jc w:val="both"/>
        <w:rPr>
          <w:rFonts w:ascii="Arial" w:hAnsi="Arial" w:cs="Arial"/>
          <w:sz w:val="20"/>
          <w:szCs w:val="20"/>
        </w:rPr>
      </w:pPr>
      <w:proofErr w:type="spellStart"/>
      <w:r w:rsidRPr="0086092C">
        <w:rPr>
          <w:rFonts w:ascii="Arial" w:hAnsi="Arial" w:cs="Arial"/>
          <w:sz w:val="20"/>
          <w:szCs w:val="20"/>
        </w:rPr>
        <w:t>Djankov</w:t>
      </w:r>
      <w:proofErr w:type="spellEnd"/>
      <w:r w:rsidRPr="0086092C">
        <w:rPr>
          <w:rFonts w:ascii="Arial" w:hAnsi="Arial" w:cs="Arial"/>
          <w:sz w:val="20"/>
          <w:szCs w:val="20"/>
        </w:rPr>
        <w:t xml:space="preserve">, S., </w:t>
      </w:r>
      <w:proofErr w:type="spellStart"/>
      <w:r w:rsidRPr="0086092C">
        <w:rPr>
          <w:rFonts w:ascii="Arial" w:hAnsi="Arial" w:cs="Arial"/>
          <w:sz w:val="20"/>
          <w:szCs w:val="20"/>
        </w:rPr>
        <w:t>McLiesh</w:t>
      </w:r>
      <w:proofErr w:type="spellEnd"/>
      <w:r w:rsidRPr="0086092C">
        <w:rPr>
          <w:rFonts w:ascii="Arial" w:hAnsi="Arial" w:cs="Arial"/>
          <w:sz w:val="20"/>
          <w:szCs w:val="20"/>
        </w:rPr>
        <w:t xml:space="preserve">, C., &amp; Shleifer, A. (2007). Private credit in 129 countries. </w:t>
      </w:r>
      <w:r w:rsidRPr="0086092C">
        <w:rPr>
          <w:rFonts w:ascii="Arial" w:hAnsi="Arial" w:cs="Arial"/>
          <w:i/>
          <w:iCs/>
          <w:sz w:val="20"/>
          <w:szCs w:val="20"/>
        </w:rPr>
        <w:t>Journal of Financial Economics,</w:t>
      </w:r>
      <w:r w:rsidRPr="0086092C">
        <w:rPr>
          <w:rFonts w:ascii="Arial" w:hAnsi="Arial" w:cs="Arial"/>
          <w:sz w:val="20"/>
          <w:szCs w:val="20"/>
        </w:rPr>
        <w:t xml:space="preserve"> 84(2), 299-329. https://doi.org/10.1016/j.jfineco.2006.03.0041.</w:t>
      </w:r>
    </w:p>
    <w:p w14:paraId="7767BA59" w14:textId="77777777" w:rsidR="000D56E1" w:rsidRPr="0086092C" w:rsidRDefault="000D56E1" w:rsidP="0086092C">
      <w:pPr>
        <w:spacing w:after="0" w:line="240" w:lineRule="auto"/>
        <w:ind w:left="720" w:hanging="720"/>
        <w:jc w:val="both"/>
        <w:rPr>
          <w:rFonts w:ascii="Arial" w:hAnsi="Arial" w:cs="Arial"/>
          <w:sz w:val="20"/>
          <w:szCs w:val="20"/>
        </w:rPr>
      </w:pPr>
      <w:r w:rsidRPr="0086092C">
        <w:rPr>
          <w:rFonts w:ascii="Arial" w:hAnsi="Arial" w:cs="Arial"/>
          <w:sz w:val="20"/>
          <w:szCs w:val="20"/>
        </w:rPr>
        <w:t xml:space="preserve">Ferreira, C. (2022). Non-performing loans and systemic risk: The role of banking market structure. </w:t>
      </w:r>
      <w:r w:rsidRPr="0086092C">
        <w:rPr>
          <w:rFonts w:ascii="Arial" w:hAnsi="Arial" w:cs="Arial"/>
          <w:i/>
          <w:iCs/>
          <w:sz w:val="20"/>
          <w:szCs w:val="20"/>
        </w:rPr>
        <w:t>International Advances in Economic Research,</w:t>
      </w:r>
      <w:r w:rsidRPr="0086092C">
        <w:rPr>
          <w:rFonts w:ascii="Arial" w:hAnsi="Arial" w:cs="Arial"/>
          <w:sz w:val="20"/>
          <w:szCs w:val="20"/>
        </w:rPr>
        <w:t xml:space="preserve"> 28(1), 1-14.</w:t>
      </w:r>
    </w:p>
    <w:p w14:paraId="6164E1DD" w14:textId="77777777" w:rsidR="000D56E1" w:rsidRPr="0086092C" w:rsidRDefault="000D56E1" w:rsidP="0086092C">
      <w:pPr>
        <w:spacing w:after="0" w:line="240" w:lineRule="auto"/>
        <w:ind w:left="720" w:hanging="720"/>
        <w:jc w:val="both"/>
        <w:rPr>
          <w:rFonts w:ascii="Arial" w:hAnsi="Arial" w:cs="Arial"/>
          <w:sz w:val="20"/>
          <w:szCs w:val="20"/>
        </w:rPr>
      </w:pPr>
      <w:r w:rsidRPr="0086092C">
        <w:rPr>
          <w:rFonts w:ascii="Arial" w:hAnsi="Arial" w:cs="Arial"/>
          <w:sz w:val="20"/>
          <w:szCs w:val="20"/>
        </w:rPr>
        <w:t xml:space="preserve">Goel, R. K., &amp; Hasan, I. (2011). Economy-wide corruption and bad loans in banking: International evidence. </w:t>
      </w:r>
      <w:r w:rsidRPr="0086092C">
        <w:rPr>
          <w:rFonts w:ascii="Arial" w:hAnsi="Arial" w:cs="Arial"/>
          <w:i/>
          <w:iCs/>
          <w:sz w:val="20"/>
          <w:szCs w:val="20"/>
        </w:rPr>
        <w:t>Applied Financial Economics</w:t>
      </w:r>
      <w:r w:rsidRPr="0086092C">
        <w:rPr>
          <w:rFonts w:ascii="Arial" w:hAnsi="Arial" w:cs="Arial"/>
          <w:sz w:val="20"/>
          <w:szCs w:val="20"/>
        </w:rPr>
        <w:t>, 21(7), 455-461. https://doi.org/10.1080/09603107.2010.528360</w:t>
      </w:r>
    </w:p>
    <w:p w14:paraId="7639CD19" w14:textId="77777777" w:rsidR="000D56E1" w:rsidRPr="0086092C" w:rsidRDefault="000D56E1" w:rsidP="0086092C">
      <w:pPr>
        <w:spacing w:after="0" w:line="240" w:lineRule="auto"/>
        <w:ind w:left="720" w:hanging="720"/>
        <w:jc w:val="both"/>
        <w:rPr>
          <w:rFonts w:ascii="Arial" w:hAnsi="Arial" w:cs="Arial"/>
          <w:i/>
          <w:iCs/>
          <w:sz w:val="20"/>
          <w:szCs w:val="20"/>
        </w:rPr>
      </w:pPr>
      <w:r w:rsidRPr="0086092C">
        <w:rPr>
          <w:rFonts w:ascii="Arial" w:hAnsi="Arial" w:cs="Arial"/>
          <w:sz w:val="20"/>
          <w:szCs w:val="20"/>
        </w:rPr>
        <w:t xml:space="preserve">Hagan, S., &amp; </w:t>
      </w:r>
      <w:proofErr w:type="spellStart"/>
      <w:r w:rsidRPr="0086092C">
        <w:rPr>
          <w:rFonts w:ascii="Arial" w:hAnsi="Arial" w:cs="Arial"/>
          <w:sz w:val="20"/>
          <w:szCs w:val="20"/>
        </w:rPr>
        <w:t>Leckow</w:t>
      </w:r>
      <w:proofErr w:type="spellEnd"/>
      <w:r w:rsidRPr="0086092C">
        <w:rPr>
          <w:rFonts w:ascii="Arial" w:hAnsi="Arial" w:cs="Arial"/>
          <w:sz w:val="20"/>
          <w:szCs w:val="20"/>
        </w:rPr>
        <w:t xml:space="preserve">, R. (2016). The Role of Law in Preserving Financial Stability. </w:t>
      </w:r>
      <w:r w:rsidRPr="0086092C">
        <w:rPr>
          <w:rFonts w:ascii="Arial" w:hAnsi="Arial" w:cs="Arial"/>
          <w:i/>
          <w:iCs/>
          <w:sz w:val="20"/>
          <w:szCs w:val="20"/>
        </w:rPr>
        <w:t>International Monetary Fund.</w:t>
      </w:r>
    </w:p>
    <w:p w14:paraId="227E34EA" w14:textId="77777777" w:rsidR="000D56E1" w:rsidRPr="0086092C" w:rsidRDefault="000D56E1" w:rsidP="0086092C">
      <w:pPr>
        <w:spacing w:after="0" w:line="240" w:lineRule="auto"/>
        <w:ind w:left="720" w:hanging="720"/>
        <w:jc w:val="both"/>
        <w:rPr>
          <w:rFonts w:ascii="Arial" w:hAnsi="Arial" w:cs="Arial"/>
          <w:sz w:val="20"/>
          <w:szCs w:val="20"/>
        </w:rPr>
      </w:pPr>
      <w:r w:rsidRPr="0086092C">
        <w:rPr>
          <w:rFonts w:ascii="Arial" w:hAnsi="Arial" w:cs="Arial"/>
          <w:sz w:val="20"/>
          <w:szCs w:val="20"/>
        </w:rPr>
        <w:t xml:space="preserve">Helgi Library. (2023). Non-performing loans (As % of Total Loans) in Chad. </w:t>
      </w:r>
    </w:p>
    <w:p w14:paraId="5EC0C029" w14:textId="77777777" w:rsidR="000D56E1" w:rsidRPr="0086092C" w:rsidRDefault="000D56E1" w:rsidP="0086092C">
      <w:pPr>
        <w:spacing w:after="0" w:line="240" w:lineRule="auto"/>
        <w:ind w:left="720" w:hanging="720"/>
        <w:jc w:val="both"/>
        <w:rPr>
          <w:rFonts w:ascii="Arial" w:hAnsi="Arial" w:cs="Arial"/>
          <w:sz w:val="20"/>
          <w:szCs w:val="20"/>
        </w:rPr>
      </w:pPr>
      <w:r w:rsidRPr="0086092C">
        <w:rPr>
          <w:rFonts w:ascii="Arial" w:hAnsi="Arial" w:cs="Arial"/>
          <w:sz w:val="20"/>
          <w:szCs w:val="20"/>
        </w:rPr>
        <w:t>IMF. (2009). An overview of the legal, institutional and regulatory framework for bank insolvency. IMF policy paper. https://doi.org/10.5089/7981455297740.001</w:t>
      </w:r>
    </w:p>
    <w:p w14:paraId="2398C5DB" w14:textId="77777777" w:rsidR="000D56E1" w:rsidRPr="0086092C" w:rsidRDefault="000D56E1" w:rsidP="0086092C">
      <w:pPr>
        <w:spacing w:after="0" w:line="240" w:lineRule="auto"/>
        <w:ind w:left="720" w:hanging="720"/>
        <w:jc w:val="both"/>
        <w:rPr>
          <w:rFonts w:ascii="Arial" w:hAnsi="Arial" w:cs="Arial"/>
          <w:sz w:val="20"/>
          <w:szCs w:val="20"/>
        </w:rPr>
      </w:pPr>
      <w:r w:rsidRPr="0086092C">
        <w:rPr>
          <w:rFonts w:ascii="Arial" w:hAnsi="Arial" w:cs="Arial"/>
          <w:sz w:val="20"/>
          <w:szCs w:val="20"/>
        </w:rPr>
        <w:t xml:space="preserve">Kane, E. J. (1977). Good intentions and unintended evil: The case against selective credit allocation. </w:t>
      </w:r>
      <w:r w:rsidRPr="0086092C">
        <w:rPr>
          <w:rFonts w:ascii="Arial" w:hAnsi="Arial" w:cs="Arial"/>
          <w:i/>
          <w:iCs/>
          <w:sz w:val="20"/>
          <w:szCs w:val="20"/>
        </w:rPr>
        <w:t xml:space="preserve">Journal of Money, Credit and Banking, 9 </w:t>
      </w:r>
      <w:r w:rsidRPr="0086092C">
        <w:rPr>
          <w:rFonts w:ascii="Arial" w:hAnsi="Arial" w:cs="Arial"/>
          <w:sz w:val="20"/>
          <w:szCs w:val="20"/>
        </w:rPr>
        <w:t>(1), 55-69. https://doi.org/10.2307/1991999</w:t>
      </w:r>
    </w:p>
    <w:p w14:paraId="36EB17AF" w14:textId="77777777" w:rsidR="000D56E1" w:rsidRPr="0086092C" w:rsidRDefault="000D56E1" w:rsidP="0086092C">
      <w:pPr>
        <w:spacing w:after="0" w:line="240" w:lineRule="auto"/>
        <w:ind w:left="720" w:hanging="720"/>
        <w:jc w:val="both"/>
        <w:rPr>
          <w:rFonts w:ascii="Arial" w:hAnsi="Arial" w:cs="Arial"/>
          <w:sz w:val="20"/>
          <w:szCs w:val="20"/>
        </w:rPr>
      </w:pPr>
      <w:proofErr w:type="spellStart"/>
      <w:r w:rsidRPr="0086092C">
        <w:rPr>
          <w:rFonts w:ascii="Arial" w:hAnsi="Arial" w:cs="Arial"/>
          <w:sz w:val="20"/>
          <w:szCs w:val="20"/>
        </w:rPr>
        <w:t>Karkatsoulis</w:t>
      </w:r>
      <w:proofErr w:type="spellEnd"/>
      <w:r w:rsidRPr="0086092C">
        <w:rPr>
          <w:rFonts w:ascii="Arial" w:hAnsi="Arial" w:cs="Arial"/>
          <w:sz w:val="20"/>
          <w:szCs w:val="20"/>
        </w:rPr>
        <w:t xml:space="preserve">, P., </w:t>
      </w:r>
      <w:proofErr w:type="spellStart"/>
      <w:r w:rsidRPr="0086092C">
        <w:rPr>
          <w:rFonts w:ascii="Arial" w:hAnsi="Arial" w:cs="Arial"/>
          <w:sz w:val="20"/>
          <w:szCs w:val="20"/>
        </w:rPr>
        <w:t>Charalabidis</w:t>
      </w:r>
      <w:proofErr w:type="spellEnd"/>
      <w:r w:rsidRPr="0086092C">
        <w:rPr>
          <w:rFonts w:ascii="Arial" w:hAnsi="Arial" w:cs="Arial"/>
          <w:sz w:val="20"/>
          <w:szCs w:val="20"/>
        </w:rPr>
        <w:t xml:space="preserve">, Y., &amp; </w:t>
      </w:r>
      <w:proofErr w:type="spellStart"/>
      <w:r w:rsidRPr="0086092C">
        <w:rPr>
          <w:rFonts w:ascii="Arial" w:hAnsi="Arial" w:cs="Arial"/>
          <w:sz w:val="20"/>
          <w:szCs w:val="20"/>
        </w:rPr>
        <w:t>Loukis</w:t>
      </w:r>
      <w:proofErr w:type="spellEnd"/>
      <w:r w:rsidRPr="0086092C">
        <w:rPr>
          <w:rFonts w:ascii="Arial" w:hAnsi="Arial" w:cs="Arial"/>
          <w:sz w:val="20"/>
          <w:szCs w:val="20"/>
        </w:rPr>
        <w:t xml:space="preserve">, E. (2019). The transformation of the regulatory quality index into a policy tool. </w:t>
      </w:r>
      <w:r w:rsidRPr="0086092C">
        <w:rPr>
          <w:rFonts w:ascii="Arial" w:hAnsi="Arial" w:cs="Arial"/>
          <w:i/>
          <w:iCs/>
          <w:sz w:val="20"/>
          <w:szCs w:val="20"/>
        </w:rPr>
        <w:t>Journal of Public Policy,</w:t>
      </w:r>
      <w:r w:rsidRPr="0086092C">
        <w:rPr>
          <w:rFonts w:ascii="Arial" w:hAnsi="Arial" w:cs="Arial"/>
          <w:sz w:val="20"/>
          <w:szCs w:val="20"/>
        </w:rPr>
        <w:t xml:space="preserve"> 39(4), 555-576. https://doi.org/10.1017/S0143814X18000211</w:t>
      </w:r>
    </w:p>
    <w:p w14:paraId="73F86618" w14:textId="77777777" w:rsidR="000D56E1" w:rsidRPr="0086092C" w:rsidRDefault="000D56E1" w:rsidP="0086092C">
      <w:pPr>
        <w:spacing w:after="0" w:line="240" w:lineRule="auto"/>
        <w:ind w:left="720" w:hanging="720"/>
        <w:jc w:val="both"/>
        <w:rPr>
          <w:rFonts w:ascii="Arial" w:hAnsi="Arial" w:cs="Arial"/>
          <w:sz w:val="20"/>
          <w:szCs w:val="20"/>
        </w:rPr>
      </w:pPr>
      <w:r w:rsidRPr="0086092C">
        <w:rPr>
          <w:rFonts w:ascii="Arial" w:hAnsi="Arial" w:cs="Arial"/>
          <w:sz w:val="20"/>
          <w:szCs w:val="20"/>
        </w:rPr>
        <w:t xml:space="preserve">Kaufmann, D., Kraay, A., &amp; </w:t>
      </w:r>
      <w:proofErr w:type="spellStart"/>
      <w:r w:rsidRPr="0086092C">
        <w:rPr>
          <w:rFonts w:ascii="Arial" w:hAnsi="Arial" w:cs="Arial"/>
          <w:sz w:val="20"/>
          <w:szCs w:val="20"/>
        </w:rPr>
        <w:t>Mastruzzi</w:t>
      </w:r>
      <w:proofErr w:type="spellEnd"/>
      <w:r w:rsidRPr="0086092C">
        <w:rPr>
          <w:rFonts w:ascii="Arial" w:hAnsi="Arial" w:cs="Arial"/>
          <w:sz w:val="20"/>
          <w:szCs w:val="20"/>
        </w:rPr>
        <w:t xml:space="preserve">, M. (2010). The Worldwide Governance Indicators: Methodology and Analytical Issues. </w:t>
      </w:r>
      <w:r w:rsidRPr="0086092C">
        <w:rPr>
          <w:rFonts w:ascii="Arial" w:hAnsi="Arial" w:cs="Arial"/>
          <w:i/>
          <w:iCs/>
          <w:sz w:val="20"/>
          <w:szCs w:val="20"/>
        </w:rPr>
        <w:t>World Bank Policy Research Working Paper</w:t>
      </w:r>
      <w:r w:rsidRPr="0086092C">
        <w:rPr>
          <w:rFonts w:ascii="Arial" w:hAnsi="Arial" w:cs="Arial"/>
          <w:sz w:val="20"/>
          <w:szCs w:val="20"/>
        </w:rPr>
        <w:t xml:space="preserve"> No. 5430. https://doi.org/10.1596/1813-9450-5430</w:t>
      </w:r>
    </w:p>
    <w:p w14:paraId="1B71988A" w14:textId="77777777" w:rsidR="000D56E1" w:rsidRPr="0086092C" w:rsidRDefault="000D56E1" w:rsidP="0086092C">
      <w:pPr>
        <w:spacing w:after="0" w:line="240" w:lineRule="auto"/>
        <w:ind w:left="720" w:hanging="720"/>
        <w:jc w:val="both"/>
        <w:rPr>
          <w:rFonts w:ascii="Arial" w:hAnsi="Arial" w:cs="Arial"/>
          <w:sz w:val="20"/>
          <w:szCs w:val="20"/>
        </w:rPr>
      </w:pPr>
      <w:r w:rsidRPr="0086092C">
        <w:rPr>
          <w:rFonts w:ascii="Arial" w:hAnsi="Arial" w:cs="Arial"/>
          <w:sz w:val="20"/>
          <w:szCs w:val="20"/>
        </w:rPr>
        <w:t xml:space="preserve">Kaufmann, D., Kraay, A., &amp; </w:t>
      </w:r>
      <w:proofErr w:type="spellStart"/>
      <w:r w:rsidRPr="0086092C">
        <w:rPr>
          <w:rFonts w:ascii="Arial" w:hAnsi="Arial" w:cs="Arial"/>
          <w:sz w:val="20"/>
          <w:szCs w:val="20"/>
        </w:rPr>
        <w:t>Mastruzzi</w:t>
      </w:r>
      <w:proofErr w:type="spellEnd"/>
      <w:r w:rsidRPr="0086092C">
        <w:rPr>
          <w:rFonts w:ascii="Arial" w:hAnsi="Arial" w:cs="Arial"/>
          <w:sz w:val="20"/>
          <w:szCs w:val="20"/>
        </w:rPr>
        <w:t xml:space="preserve">, M. (2010). The Impact of Regulatory Quality on Banking Sector Performance. </w:t>
      </w:r>
      <w:r w:rsidRPr="0086092C">
        <w:rPr>
          <w:rFonts w:ascii="Arial" w:hAnsi="Arial" w:cs="Arial"/>
          <w:i/>
          <w:iCs/>
          <w:sz w:val="20"/>
          <w:szCs w:val="20"/>
        </w:rPr>
        <w:t xml:space="preserve">World Bank Policy Research Working Paper </w:t>
      </w:r>
      <w:r w:rsidRPr="0086092C">
        <w:rPr>
          <w:rFonts w:ascii="Arial" w:hAnsi="Arial" w:cs="Arial"/>
          <w:sz w:val="20"/>
          <w:szCs w:val="20"/>
        </w:rPr>
        <w:t>No. 5430. https://doi.org/10.1596/1813-9450-5430</w:t>
      </w:r>
    </w:p>
    <w:p w14:paraId="6FF5964F" w14:textId="77777777" w:rsidR="000D56E1" w:rsidRPr="0086092C" w:rsidRDefault="000D56E1" w:rsidP="0086092C">
      <w:pPr>
        <w:spacing w:after="0" w:line="240" w:lineRule="auto"/>
        <w:ind w:left="720" w:hanging="720"/>
        <w:jc w:val="both"/>
        <w:rPr>
          <w:rFonts w:ascii="Arial" w:hAnsi="Arial" w:cs="Arial"/>
          <w:sz w:val="20"/>
          <w:szCs w:val="20"/>
        </w:rPr>
      </w:pPr>
      <w:r w:rsidRPr="0086092C">
        <w:rPr>
          <w:rFonts w:ascii="Arial" w:hAnsi="Arial" w:cs="Arial"/>
          <w:sz w:val="20"/>
          <w:szCs w:val="20"/>
        </w:rPr>
        <w:lastRenderedPageBreak/>
        <w:t xml:space="preserve">Khan, A. (2017). Central Bank Legal Frameworks in the Aftermath of the Global Financial Crisis. </w:t>
      </w:r>
      <w:r w:rsidRPr="0086092C">
        <w:rPr>
          <w:rFonts w:ascii="Arial" w:hAnsi="Arial" w:cs="Arial"/>
          <w:i/>
          <w:iCs/>
          <w:sz w:val="20"/>
          <w:szCs w:val="20"/>
        </w:rPr>
        <w:t>International Monetary Fund Working Paper WP</w:t>
      </w:r>
      <w:r w:rsidRPr="0086092C">
        <w:rPr>
          <w:rFonts w:ascii="Arial" w:hAnsi="Arial" w:cs="Arial"/>
          <w:sz w:val="20"/>
          <w:szCs w:val="20"/>
        </w:rPr>
        <w:t xml:space="preserve">/17/101. </w:t>
      </w:r>
    </w:p>
    <w:p w14:paraId="3B944D09" w14:textId="77777777" w:rsidR="000D56E1" w:rsidRPr="0086092C" w:rsidRDefault="000D56E1" w:rsidP="0086092C">
      <w:pPr>
        <w:spacing w:after="0" w:line="240" w:lineRule="auto"/>
        <w:ind w:left="720" w:hanging="720"/>
        <w:jc w:val="both"/>
        <w:rPr>
          <w:rFonts w:ascii="Arial" w:hAnsi="Arial" w:cs="Arial"/>
          <w:sz w:val="20"/>
          <w:szCs w:val="20"/>
        </w:rPr>
      </w:pPr>
      <w:r w:rsidRPr="0086092C">
        <w:rPr>
          <w:rFonts w:ascii="Arial" w:hAnsi="Arial" w:cs="Arial"/>
          <w:sz w:val="20"/>
          <w:szCs w:val="20"/>
        </w:rPr>
        <w:t xml:space="preserve">Kostic, S., &amp; Stanisic, N. (2019). Do better governed countries enjoy a lower cost of debt? </w:t>
      </w:r>
      <w:proofErr w:type="spellStart"/>
      <w:r w:rsidRPr="0086092C">
        <w:rPr>
          <w:rFonts w:ascii="Arial" w:hAnsi="Arial" w:cs="Arial"/>
          <w:i/>
          <w:iCs/>
          <w:sz w:val="20"/>
          <w:szCs w:val="20"/>
        </w:rPr>
        <w:t>Panoeconomicus</w:t>
      </w:r>
      <w:proofErr w:type="spellEnd"/>
      <w:r w:rsidRPr="0086092C">
        <w:rPr>
          <w:rFonts w:ascii="Arial" w:hAnsi="Arial" w:cs="Arial"/>
          <w:sz w:val="20"/>
          <w:szCs w:val="20"/>
        </w:rPr>
        <w:t>, 66(1), 1-19. https://doi.org/10.2298/PAN150622014K</w:t>
      </w:r>
    </w:p>
    <w:p w14:paraId="435C2152" w14:textId="77777777" w:rsidR="000D56E1" w:rsidRPr="0086092C" w:rsidRDefault="000D56E1" w:rsidP="0086092C">
      <w:pPr>
        <w:spacing w:after="0" w:line="240" w:lineRule="auto"/>
        <w:ind w:left="720" w:hanging="720"/>
        <w:jc w:val="both"/>
        <w:rPr>
          <w:rFonts w:ascii="Arial" w:hAnsi="Arial" w:cs="Arial"/>
          <w:sz w:val="20"/>
          <w:szCs w:val="20"/>
        </w:rPr>
      </w:pPr>
      <w:r w:rsidRPr="0086092C">
        <w:rPr>
          <w:rFonts w:ascii="Arial" w:hAnsi="Arial" w:cs="Arial"/>
          <w:sz w:val="20"/>
          <w:szCs w:val="20"/>
        </w:rPr>
        <w:t xml:space="preserve">La Porta, R., Lopez-de-Silanes, F., Shleifer, A., &amp; </w:t>
      </w:r>
      <w:proofErr w:type="spellStart"/>
      <w:r w:rsidRPr="0086092C">
        <w:rPr>
          <w:rFonts w:ascii="Arial" w:hAnsi="Arial" w:cs="Arial"/>
          <w:sz w:val="20"/>
          <w:szCs w:val="20"/>
        </w:rPr>
        <w:t>Vishny</w:t>
      </w:r>
      <w:proofErr w:type="spellEnd"/>
      <w:r w:rsidRPr="0086092C">
        <w:rPr>
          <w:rFonts w:ascii="Arial" w:hAnsi="Arial" w:cs="Arial"/>
          <w:sz w:val="20"/>
          <w:szCs w:val="20"/>
        </w:rPr>
        <w:t xml:space="preserve">, R. W. (1998). Law and finance. </w:t>
      </w:r>
      <w:r w:rsidRPr="0086092C">
        <w:rPr>
          <w:rFonts w:ascii="Arial" w:hAnsi="Arial" w:cs="Arial"/>
          <w:i/>
          <w:iCs/>
          <w:sz w:val="20"/>
          <w:szCs w:val="20"/>
        </w:rPr>
        <w:t>Journal of Political Economy,</w:t>
      </w:r>
      <w:r w:rsidRPr="0086092C">
        <w:rPr>
          <w:rFonts w:ascii="Arial" w:hAnsi="Arial" w:cs="Arial"/>
          <w:sz w:val="20"/>
          <w:szCs w:val="20"/>
        </w:rPr>
        <w:t xml:space="preserve"> 106(6), 1113-1155. https://doi.org/10.1086/250042</w:t>
      </w:r>
    </w:p>
    <w:p w14:paraId="40771278" w14:textId="77777777" w:rsidR="000D56E1" w:rsidRPr="0086092C" w:rsidRDefault="000D56E1" w:rsidP="0086092C">
      <w:pPr>
        <w:spacing w:after="0" w:line="240" w:lineRule="auto"/>
        <w:ind w:left="720" w:hanging="720"/>
        <w:jc w:val="both"/>
        <w:rPr>
          <w:rFonts w:ascii="Arial" w:hAnsi="Arial" w:cs="Arial"/>
          <w:sz w:val="20"/>
          <w:szCs w:val="20"/>
        </w:rPr>
      </w:pPr>
      <w:proofErr w:type="spellStart"/>
      <w:r w:rsidRPr="0086092C">
        <w:rPr>
          <w:rFonts w:ascii="Arial" w:hAnsi="Arial" w:cs="Arial"/>
          <w:sz w:val="20"/>
          <w:szCs w:val="20"/>
        </w:rPr>
        <w:t>Laeven</w:t>
      </w:r>
      <w:proofErr w:type="spellEnd"/>
      <w:r w:rsidRPr="0086092C">
        <w:rPr>
          <w:rFonts w:ascii="Arial" w:hAnsi="Arial" w:cs="Arial"/>
          <w:sz w:val="20"/>
          <w:szCs w:val="20"/>
        </w:rPr>
        <w:t xml:space="preserve">, L., &amp; Levine, R. (2009). Bank governance, regulation, and risk taking. </w:t>
      </w:r>
      <w:r w:rsidRPr="0086092C">
        <w:rPr>
          <w:rFonts w:ascii="Arial" w:hAnsi="Arial" w:cs="Arial"/>
          <w:i/>
          <w:iCs/>
          <w:sz w:val="20"/>
          <w:szCs w:val="20"/>
        </w:rPr>
        <w:t>Journal of Financial Economics,</w:t>
      </w:r>
      <w:r w:rsidRPr="0086092C">
        <w:rPr>
          <w:rFonts w:ascii="Arial" w:hAnsi="Arial" w:cs="Arial"/>
          <w:sz w:val="20"/>
          <w:szCs w:val="20"/>
        </w:rPr>
        <w:t xml:space="preserve"> 93(2), 259-275. https://doi.org/10.1016/j.jfineco.2008.09.0031.</w:t>
      </w:r>
    </w:p>
    <w:p w14:paraId="330C4A9B" w14:textId="77777777" w:rsidR="000D56E1" w:rsidRPr="0086092C" w:rsidRDefault="000D56E1" w:rsidP="0086092C">
      <w:pPr>
        <w:spacing w:after="0" w:line="240" w:lineRule="auto"/>
        <w:ind w:left="720" w:hanging="720"/>
        <w:jc w:val="both"/>
        <w:rPr>
          <w:rFonts w:ascii="Arial" w:hAnsi="Arial" w:cs="Arial"/>
          <w:sz w:val="20"/>
          <w:szCs w:val="20"/>
        </w:rPr>
      </w:pPr>
      <w:r w:rsidRPr="0086092C">
        <w:rPr>
          <w:rFonts w:ascii="Arial" w:hAnsi="Arial" w:cs="Arial"/>
          <w:sz w:val="20"/>
          <w:szCs w:val="20"/>
        </w:rPr>
        <w:t xml:space="preserve">Mishkin, F. S. (1999). Financial consolidation: Dangers and opportunities. </w:t>
      </w:r>
      <w:r w:rsidRPr="0086092C">
        <w:rPr>
          <w:rFonts w:ascii="Arial" w:hAnsi="Arial" w:cs="Arial"/>
          <w:i/>
          <w:iCs/>
          <w:sz w:val="20"/>
          <w:szCs w:val="20"/>
        </w:rPr>
        <w:t>Journal of Banking &amp; Finance, 23</w:t>
      </w:r>
      <w:r w:rsidRPr="0086092C">
        <w:rPr>
          <w:rFonts w:ascii="Arial" w:hAnsi="Arial" w:cs="Arial"/>
          <w:sz w:val="20"/>
          <w:szCs w:val="20"/>
        </w:rPr>
        <w:t>(2-4), 675-691. https://doi.org/10.1016/S0378-4266(98)00085-0</w:t>
      </w:r>
    </w:p>
    <w:p w14:paraId="7996DAF2" w14:textId="77777777" w:rsidR="000D56E1" w:rsidRPr="0086092C" w:rsidRDefault="000D56E1" w:rsidP="0086092C">
      <w:pPr>
        <w:spacing w:after="0" w:line="240" w:lineRule="auto"/>
        <w:ind w:left="720" w:hanging="720"/>
        <w:jc w:val="both"/>
        <w:rPr>
          <w:rFonts w:ascii="Arial" w:hAnsi="Arial" w:cs="Arial"/>
          <w:sz w:val="20"/>
          <w:szCs w:val="20"/>
        </w:rPr>
      </w:pPr>
      <w:r w:rsidRPr="0086092C">
        <w:rPr>
          <w:rFonts w:ascii="Arial" w:hAnsi="Arial" w:cs="Arial"/>
          <w:sz w:val="20"/>
          <w:szCs w:val="20"/>
        </w:rPr>
        <w:t xml:space="preserve">Nikolopoulos, K., &amp; </w:t>
      </w:r>
      <w:proofErr w:type="spellStart"/>
      <w:r w:rsidRPr="0086092C">
        <w:rPr>
          <w:rFonts w:ascii="Arial" w:hAnsi="Arial" w:cs="Arial"/>
          <w:sz w:val="20"/>
          <w:szCs w:val="20"/>
        </w:rPr>
        <w:t>Tsalas</w:t>
      </w:r>
      <w:proofErr w:type="spellEnd"/>
      <w:r w:rsidRPr="0086092C">
        <w:rPr>
          <w:rFonts w:ascii="Arial" w:hAnsi="Arial" w:cs="Arial"/>
          <w:sz w:val="20"/>
          <w:szCs w:val="20"/>
        </w:rPr>
        <w:t xml:space="preserve">, S. (2017). Modelling bank loans loss provisions via a Vector Autoregressive model. </w:t>
      </w:r>
      <w:r w:rsidRPr="0086092C">
        <w:rPr>
          <w:rFonts w:ascii="Arial" w:hAnsi="Arial" w:cs="Arial"/>
          <w:i/>
          <w:iCs/>
          <w:sz w:val="20"/>
          <w:szCs w:val="20"/>
        </w:rPr>
        <w:t>In Financial Econometrics and Empirical Market Microstructure</w:t>
      </w:r>
      <w:r w:rsidRPr="0086092C">
        <w:rPr>
          <w:rFonts w:ascii="Arial" w:hAnsi="Arial" w:cs="Arial"/>
          <w:sz w:val="20"/>
          <w:szCs w:val="20"/>
        </w:rPr>
        <w:t xml:space="preserve"> (pp. 37-47). Springer. https://doi.org/10.1007/978-3-319-54256-0_3</w:t>
      </w:r>
    </w:p>
    <w:p w14:paraId="2B5A706C" w14:textId="77777777" w:rsidR="000D56E1" w:rsidRPr="0086092C" w:rsidRDefault="000D56E1" w:rsidP="0086092C">
      <w:pPr>
        <w:spacing w:after="0" w:line="240" w:lineRule="auto"/>
        <w:ind w:left="720" w:hanging="720"/>
        <w:rPr>
          <w:rFonts w:ascii="Arial" w:hAnsi="Arial" w:cs="Arial"/>
          <w:sz w:val="20"/>
          <w:szCs w:val="20"/>
        </w:rPr>
      </w:pPr>
      <w:r w:rsidRPr="0086092C">
        <w:rPr>
          <w:rFonts w:ascii="Arial" w:hAnsi="Arial" w:cs="Arial"/>
          <w:sz w:val="20"/>
          <w:szCs w:val="20"/>
        </w:rPr>
        <w:t xml:space="preserve">Nkusu, M. (2011). Nonperforming loans and </w:t>
      </w:r>
      <w:proofErr w:type="spellStart"/>
      <w:r w:rsidRPr="0086092C">
        <w:rPr>
          <w:rFonts w:ascii="Arial" w:hAnsi="Arial" w:cs="Arial"/>
          <w:sz w:val="20"/>
          <w:szCs w:val="20"/>
        </w:rPr>
        <w:t>macrofinancial</w:t>
      </w:r>
      <w:proofErr w:type="spellEnd"/>
      <w:r w:rsidRPr="0086092C">
        <w:rPr>
          <w:rFonts w:ascii="Arial" w:hAnsi="Arial" w:cs="Arial"/>
          <w:sz w:val="20"/>
          <w:szCs w:val="20"/>
        </w:rPr>
        <w:t xml:space="preserve"> vulnerabilities in advanced economies</w:t>
      </w:r>
      <w:r w:rsidRPr="0086092C">
        <w:rPr>
          <w:rFonts w:ascii="Arial" w:hAnsi="Arial" w:cs="Arial"/>
          <w:i/>
          <w:iCs/>
          <w:sz w:val="20"/>
          <w:szCs w:val="20"/>
        </w:rPr>
        <w:t>. IMF Working Papers,</w:t>
      </w:r>
      <w:r w:rsidRPr="0086092C">
        <w:rPr>
          <w:rFonts w:ascii="Arial" w:hAnsi="Arial" w:cs="Arial"/>
          <w:sz w:val="20"/>
          <w:szCs w:val="20"/>
        </w:rPr>
        <w:t xml:space="preserve"> 11(161), 1. https://doi.org/10.5089/9781455297740.001</w:t>
      </w:r>
    </w:p>
    <w:p w14:paraId="4797B879" w14:textId="77777777" w:rsidR="000D56E1" w:rsidRPr="0086092C" w:rsidRDefault="000D56E1" w:rsidP="0086092C">
      <w:pPr>
        <w:spacing w:after="0" w:line="240" w:lineRule="auto"/>
        <w:ind w:left="720" w:hanging="720"/>
        <w:jc w:val="both"/>
        <w:rPr>
          <w:rFonts w:ascii="Arial" w:hAnsi="Arial" w:cs="Arial"/>
          <w:sz w:val="20"/>
          <w:szCs w:val="20"/>
        </w:rPr>
      </w:pPr>
      <w:r w:rsidRPr="0086092C">
        <w:rPr>
          <w:rFonts w:ascii="Arial" w:hAnsi="Arial" w:cs="Arial"/>
          <w:sz w:val="20"/>
          <w:szCs w:val="20"/>
        </w:rPr>
        <w:t xml:space="preserve">North, D. C. (1990). Institutions, institutional change and economic performance. </w:t>
      </w:r>
      <w:r w:rsidRPr="0086092C">
        <w:rPr>
          <w:rFonts w:ascii="Arial" w:hAnsi="Arial" w:cs="Arial"/>
          <w:i/>
          <w:iCs/>
          <w:sz w:val="20"/>
          <w:szCs w:val="20"/>
        </w:rPr>
        <w:t>Cambridge University Press.</w:t>
      </w:r>
      <w:r w:rsidRPr="0086092C">
        <w:rPr>
          <w:rFonts w:ascii="Arial" w:hAnsi="Arial" w:cs="Arial"/>
          <w:sz w:val="20"/>
          <w:szCs w:val="20"/>
        </w:rPr>
        <w:t xml:space="preserve"> https://doi.org/10.1017/CBO9780511808678</w:t>
      </w:r>
    </w:p>
    <w:p w14:paraId="228CE09C" w14:textId="77777777" w:rsidR="000D56E1" w:rsidRPr="0086092C" w:rsidRDefault="000D56E1" w:rsidP="0086092C">
      <w:pPr>
        <w:spacing w:after="0" w:line="240" w:lineRule="auto"/>
        <w:ind w:left="720" w:hanging="720"/>
        <w:jc w:val="both"/>
        <w:rPr>
          <w:rFonts w:ascii="Arial" w:hAnsi="Arial" w:cs="Arial"/>
          <w:sz w:val="20"/>
          <w:szCs w:val="20"/>
        </w:rPr>
      </w:pPr>
      <w:r w:rsidRPr="0086092C">
        <w:rPr>
          <w:rFonts w:ascii="Arial" w:hAnsi="Arial" w:cs="Arial"/>
          <w:sz w:val="20"/>
          <w:szCs w:val="20"/>
        </w:rPr>
        <w:t xml:space="preserve">Park, H. (2012). Bank regulation and supervision in the last quarter century: The world bank annual conference on development economics—Global 2011. </w:t>
      </w:r>
      <w:r w:rsidRPr="0086092C">
        <w:rPr>
          <w:rFonts w:ascii="Arial" w:hAnsi="Arial" w:cs="Arial"/>
          <w:i/>
          <w:iCs/>
          <w:sz w:val="20"/>
          <w:szCs w:val="20"/>
        </w:rPr>
        <w:t>Review of Finance</w:t>
      </w:r>
      <w:r w:rsidRPr="0086092C">
        <w:rPr>
          <w:rFonts w:ascii="Arial" w:hAnsi="Arial" w:cs="Arial"/>
          <w:sz w:val="20"/>
          <w:szCs w:val="20"/>
        </w:rPr>
        <w:t>, 16(1), 123-160. https://doi.org/10.1093/rof/rfr030</w:t>
      </w:r>
    </w:p>
    <w:p w14:paraId="119194AB" w14:textId="77777777" w:rsidR="000D56E1" w:rsidRPr="0086092C" w:rsidRDefault="000D56E1" w:rsidP="0086092C">
      <w:pPr>
        <w:spacing w:after="0" w:line="240" w:lineRule="auto"/>
        <w:ind w:left="720" w:hanging="720"/>
        <w:jc w:val="both"/>
        <w:rPr>
          <w:rFonts w:ascii="Arial" w:hAnsi="Arial" w:cs="Arial"/>
          <w:sz w:val="20"/>
          <w:szCs w:val="20"/>
        </w:rPr>
      </w:pPr>
      <w:r w:rsidRPr="0086092C">
        <w:rPr>
          <w:rFonts w:ascii="Arial" w:hAnsi="Arial" w:cs="Arial"/>
          <w:sz w:val="20"/>
          <w:szCs w:val="20"/>
        </w:rPr>
        <w:t xml:space="preserve">Skaaning, S. E. (2010). Measuring the rule of law. </w:t>
      </w:r>
      <w:r w:rsidRPr="0086092C">
        <w:rPr>
          <w:rFonts w:ascii="Arial" w:hAnsi="Arial" w:cs="Arial"/>
          <w:i/>
          <w:iCs/>
          <w:sz w:val="20"/>
          <w:szCs w:val="20"/>
        </w:rPr>
        <w:t>Political Research Quarterly</w:t>
      </w:r>
      <w:r w:rsidRPr="0086092C">
        <w:rPr>
          <w:rFonts w:ascii="Arial" w:hAnsi="Arial" w:cs="Arial"/>
          <w:sz w:val="20"/>
          <w:szCs w:val="20"/>
        </w:rPr>
        <w:t>, 63(2), 449-460. https://doi.org/10.1177/1065912909346745</w:t>
      </w:r>
    </w:p>
    <w:p w14:paraId="19012F5A" w14:textId="77777777" w:rsidR="000D56E1" w:rsidRPr="0086092C" w:rsidRDefault="000D56E1" w:rsidP="0086092C">
      <w:pPr>
        <w:spacing w:after="0" w:line="240" w:lineRule="auto"/>
        <w:ind w:left="720" w:hanging="720"/>
        <w:jc w:val="both"/>
        <w:rPr>
          <w:rFonts w:ascii="Arial" w:hAnsi="Arial" w:cs="Arial"/>
          <w:sz w:val="20"/>
          <w:szCs w:val="20"/>
        </w:rPr>
      </w:pPr>
      <w:r w:rsidRPr="0086092C">
        <w:rPr>
          <w:rFonts w:ascii="Arial" w:hAnsi="Arial" w:cs="Arial"/>
          <w:sz w:val="20"/>
          <w:szCs w:val="20"/>
        </w:rPr>
        <w:t xml:space="preserve">Springer. (2024). Regulatory Framework, Standards, and Best Practices for the Financial Sector. </w:t>
      </w:r>
    </w:p>
    <w:p w14:paraId="5D825142" w14:textId="77777777" w:rsidR="000D56E1" w:rsidRPr="0086092C" w:rsidRDefault="000D56E1" w:rsidP="0086092C">
      <w:pPr>
        <w:spacing w:after="0" w:line="240" w:lineRule="auto"/>
        <w:ind w:left="720" w:hanging="720"/>
        <w:jc w:val="both"/>
        <w:rPr>
          <w:rFonts w:ascii="Arial" w:hAnsi="Arial" w:cs="Arial"/>
          <w:sz w:val="20"/>
          <w:szCs w:val="20"/>
        </w:rPr>
      </w:pPr>
      <w:r w:rsidRPr="0086092C">
        <w:rPr>
          <w:rFonts w:ascii="Arial" w:hAnsi="Arial" w:cs="Arial"/>
          <w:sz w:val="20"/>
          <w:szCs w:val="20"/>
        </w:rPr>
        <w:t xml:space="preserve">World Bank. (2020). Regulatory Reforms and Banking Stability in Emerging Markets. </w:t>
      </w:r>
      <w:r w:rsidRPr="0086092C">
        <w:rPr>
          <w:rFonts w:ascii="Arial" w:hAnsi="Arial" w:cs="Arial"/>
          <w:i/>
          <w:iCs/>
          <w:sz w:val="20"/>
          <w:szCs w:val="20"/>
        </w:rPr>
        <w:t>World Bank Publications</w:t>
      </w:r>
      <w:r w:rsidRPr="0086092C">
        <w:rPr>
          <w:rFonts w:ascii="Arial" w:hAnsi="Arial" w:cs="Arial"/>
          <w:sz w:val="20"/>
          <w:szCs w:val="20"/>
        </w:rPr>
        <w:t xml:space="preserve">. </w:t>
      </w:r>
    </w:p>
    <w:p w14:paraId="623C89DD" w14:textId="728FFE42" w:rsidR="000D56E1" w:rsidRPr="0086092C" w:rsidRDefault="000D56E1" w:rsidP="0086092C">
      <w:pPr>
        <w:spacing w:after="0" w:line="240" w:lineRule="auto"/>
        <w:ind w:left="720" w:hanging="720"/>
        <w:jc w:val="both"/>
        <w:rPr>
          <w:rFonts w:ascii="Arial" w:hAnsi="Arial" w:cs="Arial"/>
          <w:sz w:val="20"/>
          <w:szCs w:val="20"/>
        </w:rPr>
      </w:pPr>
      <w:r w:rsidRPr="0086092C">
        <w:rPr>
          <w:rFonts w:ascii="Arial" w:hAnsi="Arial" w:cs="Arial"/>
          <w:sz w:val="20"/>
          <w:szCs w:val="20"/>
        </w:rPr>
        <w:t xml:space="preserve">World Bank. (2021). Chad 2021 Economic update: Recovering from shocks - Improving Macro-Fiscal Sustainability to Rebuild Better. </w:t>
      </w:r>
    </w:p>
    <w:p w14:paraId="54AA3448" w14:textId="77777777" w:rsidR="000D56E1" w:rsidRPr="0086092C" w:rsidRDefault="000D56E1" w:rsidP="0086092C">
      <w:pPr>
        <w:spacing w:after="0" w:line="240" w:lineRule="auto"/>
        <w:jc w:val="both"/>
        <w:rPr>
          <w:rFonts w:ascii="Arial" w:hAnsi="Arial" w:cs="Arial"/>
          <w:sz w:val="20"/>
          <w:szCs w:val="20"/>
        </w:rPr>
      </w:pPr>
    </w:p>
    <w:sectPr w:rsidR="000D56E1" w:rsidRPr="0086092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04183" w14:textId="77777777" w:rsidR="000B2300" w:rsidRDefault="000B2300" w:rsidP="002D0E5B">
      <w:pPr>
        <w:spacing w:after="0" w:line="240" w:lineRule="auto"/>
      </w:pPr>
      <w:r>
        <w:separator/>
      </w:r>
    </w:p>
  </w:endnote>
  <w:endnote w:type="continuationSeparator" w:id="0">
    <w:p w14:paraId="5029A84B" w14:textId="77777777" w:rsidR="000B2300" w:rsidRDefault="000B2300" w:rsidP="002D0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D6AA0" w14:textId="77777777" w:rsidR="00307136" w:rsidRDefault="003071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3466012"/>
      <w:docPartObj>
        <w:docPartGallery w:val="Page Numbers (Bottom of Page)"/>
        <w:docPartUnique/>
      </w:docPartObj>
    </w:sdtPr>
    <w:sdtEndPr>
      <w:rPr>
        <w:noProof/>
      </w:rPr>
    </w:sdtEndPr>
    <w:sdtContent>
      <w:p w14:paraId="4685EFCE" w14:textId="411B3D99" w:rsidR="00DB2CF6" w:rsidRDefault="00DB2C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DE95B2" w14:textId="77777777" w:rsidR="00DB2CF6" w:rsidRDefault="00DB2C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7C0E9" w14:textId="77777777" w:rsidR="00307136" w:rsidRDefault="00307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5C1C1" w14:textId="77777777" w:rsidR="000B2300" w:rsidRDefault="000B2300" w:rsidP="002D0E5B">
      <w:pPr>
        <w:spacing w:after="0" w:line="240" w:lineRule="auto"/>
      </w:pPr>
      <w:r>
        <w:separator/>
      </w:r>
    </w:p>
  </w:footnote>
  <w:footnote w:type="continuationSeparator" w:id="0">
    <w:p w14:paraId="659B33DA" w14:textId="77777777" w:rsidR="000B2300" w:rsidRDefault="000B2300" w:rsidP="002D0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FD479" w14:textId="33E791B7" w:rsidR="00307136" w:rsidRDefault="00307136">
    <w:pPr>
      <w:pStyle w:val="Header"/>
    </w:pPr>
    <w:r>
      <w:rPr>
        <w:noProof/>
      </w:rPr>
      <w:pict w14:anchorId="1267D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3245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25391" w14:textId="6ACBE4E5" w:rsidR="00307136" w:rsidRDefault="00307136">
    <w:pPr>
      <w:pStyle w:val="Header"/>
    </w:pPr>
    <w:r>
      <w:rPr>
        <w:noProof/>
      </w:rPr>
      <w:pict w14:anchorId="10215B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3245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673F6" w14:textId="6C8A1999" w:rsidR="00307136" w:rsidRDefault="00307136">
    <w:pPr>
      <w:pStyle w:val="Header"/>
    </w:pPr>
    <w:r>
      <w:rPr>
        <w:noProof/>
      </w:rPr>
      <w:pict w14:anchorId="2AB13D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3245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42764"/>
    <w:multiLevelType w:val="hybridMultilevel"/>
    <w:tmpl w:val="4854182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D0B6C67"/>
    <w:multiLevelType w:val="hybridMultilevel"/>
    <w:tmpl w:val="86A6ED7E"/>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748B45B7"/>
    <w:multiLevelType w:val="hybridMultilevel"/>
    <w:tmpl w:val="81EE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3273"/>
    <w:rsid w:val="000041DF"/>
    <w:rsid w:val="00011902"/>
    <w:rsid w:val="0001453E"/>
    <w:rsid w:val="00055B2B"/>
    <w:rsid w:val="000664EE"/>
    <w:rsid w:val="00066E1F"/>
    <w:rsid w:val="000808C3"/>
    <w:rsid w:val="000815FA"/>
    <w:rsid w:val="00094366"/>
    <w:rsid w:val="000B2300"/>
    <w:rsid w:val="000C0084"/>
    <w:rsid w:val="000C5C01"/>
    <w:rsid w:val="000C789D"/>
    <w:rsid w:val="000D56E1"/>
    <w:rsid w:val="000F2D9D"/>
    <w:rsid w:val="00102211"/>
    <w:rsid w:val="00150F62"/>
    <w:rsid w:val="00163EDB"/>
    <w:rsid w:val="001717DC"/>
    <w:rsid w:val="001A011E"/>
    <w:rsid w:val="001A626D"/>
    <w:rsid w:val="001B1D09"/>
    <w:rsid w:val="001C2A9C"/>
    <w:rsid w:val="001D196B"/>
    <w:rsid w:val="001E2E5F"/>
    <w:rsid w:val="00203331"/>
    <w:rsid w:val="00205D0C"/>
    <w:rsid w:val="00211432"/>
    <w:rsid w:val="00212A7C"/>
    <w:rsid w:val="0025230A"/>
    <w:rsid w:val="0027062D"/>
    <w:rsid w:val="002A0246"/>
    <w:rsid w:val="002B0ECD"/>
    <w:rsid w:val="002C7971"/>
    <w:rsid w:val="002D0E5B"/>
    <w:rsid w:val="00307136"/>
    <w:rsid w:val="00315E32"/>
    <w:rsid w:val="003225CB"/>
    <w:rsid w:val="00325536"/>
    <w:rsid w:val="003338A3"/>
    <w:rsid w:val="00342E1A"/>
    <w:rsid w:val="00353C2F"/>
    <w:rsid w:val="003579D4"/>
    <w:rsid w:val="00365EB2"/>
    <w:rsid w:val="003668B7"/>
    <w:rsid w:val="00381E8A"/>
    <w:rsid w:val="00393D82"/>
    <w:rsid w:val="00395215"/>
    <w:rsid w:val="003958B8"/>
    <w:rsid w:val="003C035F"/>
    <w:rsid w:val="003C0E51"/>
    <w:rsid w:val="003E75E4"/>
    <w:rsid w:val="00400705"/>
    <w:rsid w:val="00414320"/>
    <w:rsid w:val="004230F4"/>
    <w:rsid w:val="004316AB"/>
    <w:rsid w:val="004347AF"/>
    <w:rsid w:val="00440ECF"/>
    <w:rsid w:val="00466061"/>
    <w:rsid w:val="0047155D"/>
    <w:rsid w:val="0048763F"/>
    <w:rsid w:val="004918FC"/>
    <w:rsid w:val="004933D6"/>
    <w:rsid w:val="00495CB2"/>
    <w:rsid w:val="004D0BD7"/>
    <w:rsid w:val="004F3F88"/>
    <w:rsid w:val="004F5431"/>
    <w:rsid w:val="004F74A9"/>
    <w:rsid w:val="004F75C4"/>
    <w:rsid w:val="00500174"/>
    <w:rsid w:val="00500B74"/>
    <w:rsid w:val="005010AD"/>
    <w:rsid w:val="005202D4"/>
    <w:rsid w:val="005261FC"/>
    <w:rsid w:val="00536795"/>
    <w:rsid w:val="00547535"/>
    <w:rsid w:val="0054758C"/>
    <w:rsid w:val="005601DC"/>
    <w:rsid w:val="00566998"/>
    <w:rsid w:val="00580C05"/>
    <w:rsid w:val="005845C7"/>
    <w:rsid w:val="00586C87"/>
    <w:rsid w:val="0059357E"/>
    <w:rsid w:val="005A1202"/>
    <w:rsid w:val="005B7AF4"/>
    <w:rsid w:val="005C5E7D"/>
    <w:rsid w:val="005D2859"/>
    <w:rsid w:val="005F1260"/>
    <w:rsid w:val="005F1F5A"/>
    <w:rsid w:val="005F74EF"/>
    <w:rsid w:val="00624FAE"/>
    <w:rsid w:val="00640D4F"/>
    <w:rsid w:val="00643273"/>
    <w:rsid w:val="00645E44"/>
    <w:rsid w:val="00654890"/>
    <w:rsid w:val="006603E6"/>
    <w:rsid w:val="006717AF"/>
    <w:rsid w:val="006A0151"/>
    <w:rsid w:val="006A5630"/>
    <w:rsid w:val="006B2A61"/>
    <w:rsid w:val="006F0073"/>
    <w:rsid w:val="006F700C"/>
    <w:rsid w:val="0070316D"/>
    <w:rsid w:val="00736DD1"/>
    <w:rsid w:val="00745190"/>
    <w:rsid w:val="00752785"/>
    <w:rsid w:val="00756273"/>
    <w:rsid w:val="007572F9"/>
    <w:rsid w:val="00762178"/>
    <w:rsid w:val="00764FB0"/>
    <w:rsid w:val="00782109"/>
    <w:rsid w:val="007831BB"/>
    <w:rsid w:val="00797A04"/>
    <w:rsid w:val="007C2E20"/>
    <w:rsid w:val="007C70D5"/>
    <w:rsid w:val="00805F07"/>
    <w:rsid w:val="0081768B"/>
    <w:rsid w:val="008268F5"/>
    <w:rsid w:val="00845B05"/>
    <w:rsid w:val="0084657B"/>
    <w:rsid w:val="00851418"/>
    <w:rsid w:val="00860074"/>
    <w:rsid w:val="0086092C"/>
    <w:rsid w:val="00872AC3"/>
    <w:rsid w:val="00874675"/>
    <w:rsid w:val="00896D14"/>
    <w:rsid w:val="008A723C"/>
    <w:rsid w:val="008B3D74"/>
    <w:rsid w:val="008B4780"/>
    <w:rsid w:val="008C069C"/>
    <w:rsid w:val="008C44D9"/>
    <w:rsid w:val="008D5738"/>
    <w:rsid w:val="008F17BC"/>
    <w:rsid w:val="008F4B69"/>
    <w:rsid w:val="008F6E27"/>
    <w:rsid w:val="00905B6B"/>
    <w:rsid w:val="00911D9C"/>
    <w:rsid w:val="00920527"/>
    <w:rsid w:val="00927DBE"/>
    <w:rsid w:val="00956ED7"/>
    <w:rsid w:val="009A2756"/>
    <w:rsid w:val="009A6CF1"/>
    <w:rsid w:val="009B1F38"/>
    <w:rsid w:val="009D15C1"/>
    <w:rsid w:val="009E79C5"/>
    <w:rsid w:val="009F4BEE"/>
    <w:rsid w:val="00A04DB3"/>
    <w:rsid w:val="00A139B7"/>
    <w:rsid w:val="00A13D5C"/>
    <w:rsid w:val="00A233D0"/>
    <w:rsid w:val="00A46B2D"/>
    <w:rsid w:val="00A61C4F"/>
    <w:rsid w:val="00A66F7E"/>
    <w:rsid w:val="00A80327"/>
    <w:rsid w:val="00A916F8"/>
    <w:rsid w:val="00AF00C6"/>
    <w:rsid w:val="00AF1DE2"/>
    <w:rsid w:val="00B01214"/>
    <w:rsid w:val="00B06FAF"/>
    <w:rsid w:val="00B319A7"/>
    <w:rsid w:val="00B35335"/>
    <w:rsid w:val="00B6288C"/>
    <w:rsid w:val="00B650B6"/>
    <w:rsid w:val="00B67073"/>
    <w:rsid w:val="00B7391B"/>
    <w:rsid w:val="00B923D4"/>
    <w:rsid w:val="00BD773D"/>
    <w:rsid w:val="00BE68E4"/>
    <w:rsid w:val="00BE7881"/>
    <w:rsid w:val="00C17D3C"/>
    <w:rsid w:val="00C26CC3"/>
    <w:rsid w:val="00C36108"/>
    <w:rsid w:val="00C36917"/>
    <w:rsid w:val="00C3708C"/>
    <w:rsid w:val="00C51827"/>
    <w:rsid w:val="00C552A8"/>
    <w:rsid w:val="00C55675"/>
    <w:rsid w:val="00C57B3A"/>
    <w:rsid w:val="00C646C3"/>
    <w:rsid w:val="00C73D03"/>
    <w:rsid w:val="00C8377F"/>
    <w:rsid w:val="00C94431"/>
    <w:rsid w:val="00CC5ABD"/>
    <w:rsid w:val="00CD5792"/>
    <w:rsid w:val="00CE700D"/>
    <w:rsid w:val="00D10805"/>
    <w:rsid w:val="00D263BF"/>
    <w:rsid w:val="00D444EF"/>
    <w:rsid w:val="00D45873"/>
    <w:rsid w:val="00D51FBF"/>
    <w:rsid w:val="00D61A11"/>
    <w:rsid w:val="00D70329"/>
    <w:rsid w:val="00D74F0B"/>
    <w:rsid w:val="00DB2A5E"/>
    <w:rsid w:val="00DB2CF6"/>
    <w:rsid w:val="00DB444F"/>
    <w:rsid w:val="00DF118B"/>
    <w:rsid w:val="00DF4D83"/>
    <w:rsid w:val="00E0315E"/>
    <w:rsid w:val="00E22C35"/>
    <w:rsid w:val="00E24F16"/>
    <w:rsid w:val="00E33557"/>
    <w:rsid w:val="00E433B0"/>
    <w:rsid w:val="00E57F65"/>
    <w:rsid w:val="00E61364"/>
    <w:rsid w:val="00E67066"/>
    <w:rsid w:val="00E74ED8"/>
    <w:rsid w:val="00E80657"/>
    <w:rsid w:val="00E95EB4"/>
    <w:rsid w:val="00EA28A9"/>
    <w:rsid w:val="00EB3BA0"/>
    <w:rsid w:val="00F175D7"/>
    <w:rsid w:val="00F319DD"/>
    <w:rsid w:val="00F3769D"/>
    <w:rsid w:val="00F561E0"/>
    <w:rsid w:val="00F600B1"/>
    <w:rsid w:val="00F65029"/>
    <w:rsid w:val="00F659C2"/>
    <w:rsid w:val="00F7704B"/>
    <w:rsid w:val="00F779EF"/>
    <w:rsid w:val="00F87FB6"/>
    <w:rsid w:val="00FC19C4"/>
    <w:rsid w:val="00FD597C"/>
    <w:rsid w:val="00FE7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C930D8"/>
  <w15:docId w15:val="{28585A66-D1A9-4A6C-A850-3EF9337DC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3273"/>
  </w:style>
  <w:style w:type="paragraph" w:styleId="Heading1">
    <w:name w:val="heading 1"/>
    <w:basedOn w:val="Normal"/>
    <w:next w:val="Normal"/>
    <w:link w:val="Heading1Char"/>
    <w:uiPriority w:val="9"/>
    <w:qFormat/>
    <w:rsid w:val="004316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3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763F"/>
    <w:rPr>
      <w:color w:val="0563C1" w:themeColor="hyperlink"/>
      <w:u w:val="single"/>
    </w:rPr>
  </w:style>
  <w:style w:type="paragraph" w:styleId="ListParagraph">
    <w:name w:val="List Paragraph"/>
    <w:basedOn w:val="Normal"/>
    <w:uiPriority w:val="34"/>
    <w:qFormat/>
    <w:rsid w:val="00400705"/>
    <w:pPr>
      <w:ind w:left="720"/>
      <w:contextualSpacing/>
    </w:pPr>
  </w:style>
  <w:style w:type="character" w:customStyle="1" w:styleId="Heading1Char">
    <w:name w:val="Heading 1 Char"/>
    <w:basedOn w:val="DefaultParagraphFont"/>
    <w:link w:val="Heading1"/>
    <w:uiPriority w:val="9"/>
    <w:rsid w:val="004316AB"/>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2D0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E5B"/>
  </w:style>
  <w:style w:type="paragraph" w:styleId="Footer">
    <w:name w:val="footer"/>
    <w:basedOn w:val="Normal"/>
    <w:link w:val="FooterChar"/>
    <w:uiPriority w:val="99"/>
    <w:unhideWhenUsed/>
    <w:rsid w:val="002D0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E5B"/>
  </w:style>
  <w:style w:type="character" w:styleId="UnresolvedMention">
    <w:name w:val="Unresolved Mention"/>
    <w:basedOn w:val="DefaultParagraphFont"/>
    <w:uiPriority w:val="99"/>
    <w:semiHidden/>
    <w:unhideWhenUsed/>
    <w:rsid w:val="0021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11111</TotalTime>
  <Pages>16</Pages>
  <Words>7489</Words>
  <Characters>42689</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MARCMIRATECHGLOBAL</dc:creator>
  <cp:keywords/>
  <dc:description/>
  <cp:lastModifiedBy>SDI 1084</cp:lastModifiedBy>
  <cp:revision>99</cp:revision>
  <cp:lastPrinted>2024-05-03T07:22:00Z</cp:lastPrinted>
  <dcterms:created xsi:type="dcterms:W3CDTF">2024-04-30T03:32:00Z</dcterms:created>
  <dcterms:modified xsi:type="dcterms:W3CDTF">2025-08-25T08:08:00Z</dcterms:modified>
</cp:coreProperties>
</file>