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FED7D" w14:textId="11F9E914" w:rsidR="002B2C77" w:rsidRDefault="002B2C77" w:rsidP="00001C53">
      <w:pPr>
        <w:spacing w:before="100" w:beforeAutospacing="1" w:after="100" w:afterAutospacing="1" w:line="360" w:lineRule="auto"/>
        <w:jc w:val="center"/>
        <w:rPr>
          <w:rFonts w:ascii="Arial" w:eastAsia="Times New Roman" w:hAnsi="Arial" w:cs="Arial"/>
          <w:b/>
          <w:bCs/>
          <w:sz w:val="24"/>
          <w:szCs w:val="24"/>
          <w:lang w:val="en-US" w:eastAsia="es-MX"/>
        </w:rPr>
      </w:pPr>
      <w:r w:rsidRPr="002B2C77">
        <w:rPr>
          <w:rFonts w:ascii="Arial" w:eastAsia="Times New Roman" w:hAnsi="Arial" w:cs="Arial"/>
          <w:b/>
          <w:bCs/>
          <w:sz w:val="24"/>
          <w:szCs w:val="24"/>
          <w:lang w:val="en-US" w:eastAsia="es-MX"/>
        </w:rPr>
        <w:t>Application of the Mexican Official Standards in Periodontal Practice</w:t>
      </w:r>
    </w:p>
    <w:p w14:paraId="3B6F61B5"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p>
    <w:p w14:paraId="2B9B76E8" w14:textId="3A708AB6" w:rsidR="002B2C77" w:rsidRPr="002B2C77" w:rsidRDefault="002B2C77" w:rsidP="00A36028">
      <w:pPr>
        <w:spacing w:before="100" w:beforeAutospacing="1" w:after="100" w:afterAutospacing="1"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Abstract</w:t>
      </w:r>
    </w:p>
    <w:p w14:paraId="40658F0A" w14:textId="77777777" w:rsidR="002B2C77" w:rsidRPr="00A36028"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sz w:val="24"/>
          <w:szCs w:val="24"/>
          <w:lang w:val="en-US"/>
        </w:rPr>
        <w:t>The Mexican Official Standards (</w:t>
      </w:r>
      <w:proofErr w:type="spellStart"/>
      <w:r w:rsidRPr="00A36028">
        <w:rPr>
          <w:rFonts w:ascii="Arial" w:hAnsi="Arial" w:cs="Arial"/>
          <w:sz w:val="24"/>
          <w:szCs w:val="24"/>
          <w:lang w:val="en-US"/>
        </w:rPr>
        <w:t>Normas</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Oficiales</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Mexicanas</w:t>
      </w:r>
      <w:proofErr w:type="spellEnd"/>
      <w:r w:rsidRPr="00A36028">
        <w:rPr>
          <w:rFonts w:ascii="Arial" w:hAnsi="Arial" w:cs="Arial"/>
          <w:sz w:val="24"/>
          <w:szCs w:val="24"/>
          <w:lang w:val="en-US"/>
        </w:rPr>
        <w:t xml:space="preserve">, NOMs) constitute a mandatory legal, scientific and administrative framework in dental practice because they regulate the quality of services, patient safety and professional responsibility. For periodontics specialists, knowledge and application of these standards not only represents an ethical commitment but also legal protection against sanctions that may range from reprimands and financial fines reaching millions of pesos to partial or definitive closure of clinics and even criminal consequences. Recent studies have shown that although dentists recognize the existence and importance of the NOMs, their knowledge and practical application remain limited. A prospective, descriptive, cross-sectional study was conducted among students at the Centro </w:t>
      </w:r>
      <w:proofErr w:type="spellStart"/>
      <w:r w:rsidRPr="00A36028">
        <w:rPr>
          <w:rFonts w:ascii="Arial" w:hAnsi="Arial" w:cs="Arial"/>
          <w:sz w:val="24"/>
          <w:szCs w:val="24"/>
          <w:lang w:val="en-US"/>
        </w:rPr>
        <w:t>Mexicano</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en</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Estomatología</w:t>
      </w:r>
      <w:proofErr w:type="spellEnd"/>
      <w:r w:rsidRPr="00A36028">
        <w:rPr>
          <w:rFonts w:ascii="Arial" w:hAnsi="Arial" w:cs="Arial"/>
          <w:sz w:val="24"/>
          <w:szCs w:val="24"/>
          <w:lang w:val="en-US"/>
        </w:rPr>
        <w:t>, Morelia Campus. A total of 41 residents from different dental specialties were evaluated using a structured 40-item instrument focused on the Mexican legal regulations applicable to clinical dental practice; the questionnaire included items on NOM-004-SSA3-2012, NOM-013-SSA2-2015, NOM-087-SEMARNAT-SSA1-2002 and NOM-005-SSA3-2018. One hundred percent (100%) answered correctly the question about the elements that make up the clinical record, demonstrating solid knowledge of this fundamental part of medical documentation; nevertheless, significant deficiencies persist that are particularly relevant in periodontics, where clinical practice involves surgical procedures, generation of fluids and handling of biological-infectious materials. Strengthening the teaching and evaluation of the Mexican Official Standards will allow consolidation of an ethical, safe and legally supported professional practice for both patients and clinicians.</w:t>
      </w:r>
    </w:p>
    <w:p w14:paraId="4D4B7F13" w14:textId="10631C57" w:rsidR="002B2C77"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b/>
          <w:bCs/>
          <w:sz w:val="24"/>
          <w:szCs w:val="24"/>
          <w:lang w:val="en-US"/>
        </w:rPr>
        <w:t>Keywords:</w:t>
      </w:r>
      <w:r w:rsidRPr="00A36028">
        <w:rPr>
          <w:rFonts w:ascii="Arial" w:hAnsi="Arial" w:cs="Arial"/>
          <w:sz w:val="24"/>
          <w:szCs w:val="24"/>
          <w:lang w:val="en-US"/>
        </w:rPr>
        <w:t xml:space="preserve"> Mexican Official Standards; Dentistry; Legal framework; Periodontology specialty residents; Biosecurity; Clinical record; Health regulation.</w:t>
      </w:r>
    </w:p>
    <w:p w14:paraId="4542DDFE" w14:textId="314B2F71" w:rsidR="00A36028" w:rsidRDefault="00A36028" w:rsidP="00A36028">
      <w:pPr>
        <w:spacing w:before="100" w:beforeAutospacing="1" w:after="100" w:afterAutospacing="1" w:line="360" w:lineRule="auto"/>
        <w:jc w:val="both"/>
        <w:rPr>
          <w:rFonts w:ascii="Arial" w:hAnsi="Arial" w:cs="Arial"/>
          <w:sz w:val="24"/>
          <w:szCs w:val="24"/>
          <w:lang w:val="en-US"/>
        </w:rPr>
      </w:pPr>
    </w:p>
    <w:p w14:paraId="02F54FBD" w14:textId="4D43BA5C" w:rsidR="002B2C77" w:rsidRPr="00A36028" w:rsidRDefault="002B2C77" w:rsidP="00A36028">
      <w:pPr>
        <w:spacing w:after="0"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lastRenderedPageBreak/>
        <w:t>Introduction</w:t>
      </w:r>
    </w:p>
    <w:p w14:paraId="202890B6" w14:textId="795D538C"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(NOMs) constitute a mandatory legal, scientific and administrative framework for dental practice because they regulate the quality of services, patient safety and professional responsibility. For periodontics specialists, knowledge and application of these standards not only represents an ethical commitment but also legal protection against sanctions that can range from reprimands, economic fines that reach millions of pesos, to temporary or definitive closure of clinics and even criminal consequences in severe cases. The authority responsible for supervising compliance is the Federal Commission for Protection against Sanitary Risks (COFEPRIS), which guarantees that dental procedures adhere to recognized scientific and administrative criteria</w:t>
      </w:r>
      <w:r w:rsidR="00A36028">
        <w:rPr>
          <w:rFonts w:ascii="Arial" w:hAnsi="Arial" w:cs="Arial"/>
          <w:vertAlign w:val="superscript"/>
          <w:lang w:val="en-US"/>
        </w:rPr>
        <w:t>1</w:t>
      </w:r>
      <w:r w:rsidRPr="00A36028">
        <w:rPr>
          <w:rFonts w:ascii="Arial" w:hAnsi="Arial" w:cs="Arial"/>
          <w:lang w:val="en-US"/>
        </w:rPr>
        <w:t>.</w:t>
      </w:r>
    </w:p>
    <w:p w14:paraId="4F445941" w14:textId="6DD8B884"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Noncompliance with the NOMs entails sanctions that range from warnings with admonition to multimillion-peso fines, temporary or definitive closure of the clinic and even administrative arrest. COFEPRIS is the authority empowered to monitor and sanction professionals and establishments that fail to comply with health provisions. According to the General Health Law and its regulations, fines can range from 1,000 to 10,000 times the current general minimum wage, which corresponds to approximate amounts of MXN $248,930 to $2,489,300 depending on the infraction. Among the most frequent violations are: operating without a notice of operation, lack of sanitary registration for dental supplies, deficiencies in the handling of hazardous biological-infectious waste (RPBI), and omission in the proper integration of the clinical record. These amounts, beyond the economic impact, may cause damage to professional reputation and loss of the right to practice</w:t>
      </w:r>
      <w:r w:rsidR="00A36028">
        <w:rPr>
          <w:rFonts w:ascii="Arial" w:hAnsi="Arial" w:cs="Arial"/>
          <w:vertAlign w:val="superscript"/>
          <w:lang w:val="en-US"/>
        </w:rPr>
        <w:t>2.3</w:t>
      </w:r>
      <w:r w:rsidRPr="00A36028">
        <w:rPr>
          <w:rFonts w:ascii="Arial" w:hAnsi="Arial" w:cs="Arial"/>
          <w:lang w:val="en-US"/>
        </w:rPr>
        <w:t>.</w:t>
      </w:r>
    </w:p>
    <w:p w14:paraId="0C20E2DD" w14:textId="4495B46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Among the standards most relevant to dental practice is NOM-004-SSA3-2012, which regulates the preparation, use and preservation of the clinical record as a mandatory document for every procedure, ensuring confidentiality, traceability and legal validity. Likewise, NOM-013-SSA2-2015 establishes provisions for the prevention and control of oral diseases, including dental caries and periodontal disease, which affect more than 90% of the Mexican population and represent one </w:t>
      </w:r>
      <w:r w:rsidRPr="00A36028">
        <w:rPr>
          <w:rFonts w:ascii="Arial" w:hAnsi="Arial" w:cs="Arial"/>
          <w:lang w:val="en-US"/>
        </w:rPr>
        <w:lastRenderedPageBreak/>
        <w:t>of the main causes for seeking health services. On the other hand, NOM-087-ECOL-SSA1-2002 regulates the management of hazardous biological-infectious waste, of particular importance in periodontal surgery where fluids, tissues and contaminated materials are generated. Finally, NOM-005-SSA3-2018 defines the minimum infrastructure and equipment requirements in outpatient medical care facilities, ensuring that dental offices have suitable conditions for clinical practice</w:t>
      </w:r>
      <w:r w:rsidR="00A36028">
        <w:rPr>
          <w:rFonts w:ascii="Arial" w:eastAsia="Arial" w:hAnsi="Arial" w:cs="Arial"/>
          <w:vertAlign w:val="superscript"/>
          <w:lang w:val="en-US"/>
        </w:rPr>
        <w:t>4-</w:t>
      </w:r>
      <w:r w:rsidR="00A36028" w:rsidRPr="00A36028">
        <w:rPr>
          <w:rFonts w:ascii="Arial" w:eastAsia="Arial" w:hAnsi="Arial" w:cs="Arial"/>
          <w:vertAlign w:val="superscript"/>
          <w:lang w:val="en-US"/>
        </w:rPr>
        <w:t>7</w:t>
      </w:r>
      <w:r w:rsidRPr="00A36028">
        <w:rPr>
          <w:rFonts w:ascii="Arial" w:hAnsi="Arial" w:cs="Arial"/>
          <w:lang w:val="en-US"/>
        </w:rPr>
        <w:t>.</w:t>
      </w:r>
    </w:p>
    <w:p w14:paraId="64AC005D" w14:textId="0D974F1F"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Recent studies have shown that, although dentists recognize the existence and importance of the NOMs, their knowledge and practical application remain limited. For example, research carried out with residents of different dental specialties indicates that, although the majority recognize the obligatoriness of the clinical record and the guidelines on RPBI, less than 35% demonstrate adequate knowledge of the documents that make up the complete clinical history or the administrative processes that guarantee the legality of the clinic. Similarly, regarding infrastructure, while more than 70% of specialists know the basic characteristics of the clinic, only 17% can identify the documentation that demonstrates compliance before the authorities</w:t>
      </w:r>
      <w:r w:rsidR="00A36028">
        <w:rPr>
          <w:rFonts w:ascii="Arial" w:eastAsia="Arial" w:hAnsi="Arial" w:cs="Arial"/>
          <w:vertAlign w:val="superscript"/>
          <w:lang w:val="en-US"/>
        </w:rPr>
        <w:t>8</w:t>
      </w:r>
      <w:r w:rsidRPr="00A36028">
        <w:rPr>
          <w:rFonts w:ascii="Arial" w:hAnsi="Arial" w:cs="Arial"/>
          <w:lang w:val="en-US"/>
        </w:rPr>
        <w:t>.</w:t>
      </w:r>
    </w:p>
    <w:p w14:paraId="3596E5F3" w14:textId="7473457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Despite the importance of sanctions, there are no official publicly available figures that specify how many dentists in Mexico have been sanctioned for noncompliance with these standards. However, COFEPRIS reports highlight that the most common administrative procedures are related to clinics operating without a notice of operation and the commercialization of dental products without sanitary registration. This underscores the urgent need to reinforce the teaching of the regulation in postgraduate programs and to promote continuous updating of periodontics specialists. Thus, observance of NOMs in periodontics is not limited to a legal obligation but constitutes a key factor to guarantee safe, ethical and quality practices aligned with international standards. Likewise, lack of knowledge can result in serious professional, legal and economic consequences. Therefore, integrating these contents into the training and evaluation of specialists is essential to ensure the responsible practice of dentistry in Mexico</w:t>
      </w:r>
      <w:r w:rsidR="00A36028">
        <w:rPr>
          <w:rFonts w:ascii="Arial" w:eastAsia="Arial" w:hAnsi="Arial" w:cs="Arial"/>
          <w:vertAlign w:val="superscript"/>
          <w:lang w:val="en-US"/>
        </w:rPr>
        <w:t>1</w:t>
      </w:r>
      <w:r w:rsidRPr="00A36028">
        <w:rPr>
          <w:rFonts w:ascii="Arial" w:hAnsi="Arial" w:cs="Arial"/>
          <w:lang w:val="en-US"/>
        </w:rPr>
        <w:t>.</w:t>
      </w:r>
    </w:p>
    <w:p w14:paraId="14CE0DBF" w14:textId="023BC70F" w:rsidR="002B2C77"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lastRenderedPageBreak/>
        <w:t>Methods</w:t>
      </w:r>
    </w:p>
    <w:p w14:paraId="79005FE9" w14:textId="6C37AE0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 prospective, descriptive, cross-sectional study was developed among students at the Centro </w:t>
      </w:r>
      <w:proofErr w:type="spellStart"/>
      <w:r w:rsidRPr="00A36028">
        <w:rPr>
          <w:rFonts w:ascii="Arial" w:hAnsi="Arial" w:cs="Arial"/>
          <w:lang w:val="en-US"/>
        </w:rPr>
        <w:t>Mexicano</w:t>
      </w:r>
      <w:proofErr w:type="spellEnd"/>
      <w:r w:rsidRPr="00A36028">
        <w:rPr>
          <w:rFonts w:ascii="Arial" w:hAnsi="Arial" w:cs="Arial"/>
          <w:lang w:val="en-US"/>
        </w:rPr>
        <w:t xml:space="preserve">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xml:space="preserve">, Morelia Campus during the 2024–2025 period. Inclusion criteria: students in the specialties of Oral Surgery, Periodontics, Orthodontics and Maxillary Orthopedics, and Pediatric Dentistry at the Centro </w:t>
      </w:r>
      <w:proofErr w:type="spellStart"/>
      <w:r w:rsidRPr="00A36028">
        <w:rPr>
          <w:rFonts w:ascii="Arial" w:hAnsi="Arial" w:cs="Arial"/>
          <w:lang w:val="en-US"/>
        </w:rPr>
        <w:t>Mexicano</w:t>
      </w:r>
      <w:proofErr w:type="spellEnd"/>
      <w:r w:rsidRPr="00A36028">
        <w:rPr>
          <w:rFonts w:ascii="Arial" w:hAnsi="Arial" w:cs="Arial"/>
          <w:lang w:val="en-US"/>
        </w:rPr>
        <w:t xml:space="preserve">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Morelia Campus. Exclusion criteria: students withdrawn from the academic cycle and students who did not complete the survey.</w:t>
      </w:r>
    </w:p>
    <w:p w14:paraId="2F1C9DDC" w14:textId="17FDF3CF" w:rsidR="002B2C77" w:rsidRPr="00A36028" w:rsidRDefault="002B2C77" w:rsidP="00A36028">
      <w:pPr>
        <w:pStyle w:val="NormalWeb"/>
        <w:spacing w:line="360" w:lineRule="auto"/>
        <w:jc w:val="both"/>
        <w:rPr>
          <w:rFonts w:ascii="Arial" w:hAnsi="Arial" w:cs="Arial"/>
          <w:b/>
          <w:bCs/>
          <w:lang w:val="en-US"/>
        </w:rPr>
      </w:pPr>
      <w:r w:rsidRPr="00A36028">
        <w:rPr>
          <w:rFonts w:ascii="Arial" w:hAnsi="Arial" w:cs="Arial"/>
          <w:b/>
          <w:bCs/>
          <w:lang w:val="en-US"/>
        </w:rPr>
        <w:t>Result</w:t>
      </w:r>
      <w:r w:rsidR="00A36028" w:rsidRPr="00A36028">
        <w:rPr>
          <w:rFonts w:ascii="Arial" w:hAnsi="Arial" w:cs="Arial"/>
          <w:b/>
          <w:bCs/>
          <w:lang w:val="en-US"/>
        </w:rPr>
        <w:t>s</w:t>
      </w:r>
    </w:p>
    <w:p w14:paraId="1E6C562C"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A total of 41 residents from different dental specialties were evaluated: periodontics (n = 8), oral surgery (n = 17), orthodontics (n = 15) and pediatric dentistry (n = 1). Participants were at different years of residency and were assessed using a structured 40-item instrument focused on the Mexican legal regulations applicable to clinical dental practice; the questionnaire included NOM-004-SSA3-2012, NOM-013-SSA2-2015, NOM-087-SEMARNAT-SSA1-2002 and NOM-005-SSA3-2018. Only those questions directly related to periodontal surgical practice were selected and graphed.</w:t>
      </w:r>
    </w:p>
    <w:p w14:paraId="3D32987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NOM-004-SSA3-2012, all participants (100%) answered correctly the question about the elements that make up the clinical record, demonstrating solid knowledge of this fundamental part of medical documentation. However, only 13 students (31.70%) correctly identified the components of the medical history, which suggests a specific deficiency in this area.</w:t>
      </w:r>
    </w:p>
    <w:p w14:paraId="590F2BAC" w14:textId="047F1ACE"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On the other hand, 33 students (80.48%) answered correctly about the retention period of the clinical record. In the hypothetical case in which a patient requests their radiograph, 37 participants gave appropriate responses. Finally, when asked about the legal ownership of the medical history, 33 students (80.48%) answered correctly. Figure 1.</w:t>
      </w:r>
    </w:p>
    <w:p w14:paraId="1B33F2B5" w14:textId="462058E9"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23F562C9" wp14:editId="17DB6BE6">
            <wp:extent cx="4572000" cy="2743200"/>
            <wp:effectExtent l="0" t="0" r="0" b="0"/>
            <wp:docPr id="1" name="Gráfico 1">
              <a:extLst xmlns:a="http://schemas.openxmlformats.org/drawingml/2006/main">
                <a:ext uri="{FF2B5EF4-FFF2-40B4-BE49-F238E27FC236}">
                  <a16:creationId xmlns:a16="http://schemas.microsoft.com/office/drawing/2014/main" id="{2124F63B-F13E-4E86-B358-B08A181E0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FFBFA1" w14:textId="746BF82A" w:rsidR="00D54E74" w:rsidRPr="00D54E74" w:rsidRDefault="00D54E74" w:rsidP="00A36028">
      <w:pPr>
        <w:pStyle w:val="NormalWeb"/>
        <w:spacing w:line="360" w:lineRule="auto"/>
        <w:jc w:val="both"/>
        <w:rPr>
          <w:rFonts w:ascii="Arial" w:hAnsi="Arial" w:cs="Arial"/>
          <w:lang w:val="en-US"/>
        </w:rPr>
      </w:pPr>
      <w:r>
        <w:rPr>
          <w:rFonts w:ascii="Arial" w:hAnsi="Arial" w:cs="Arial"/>
          <w:lang w:val="en-US"/>
        </w:rPr>
        <w:t>Figure 1: Knowledge od the elements of the clinical history according to the Mexican Official Standard.</w:t>
      </w:r>
    </w:p>
    <w:p w14:paraId="360B52A8" w14:textId="32F2C121"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NOM-013-SSA2-2015, 27 students (65.85%) correctly identified the most common periodontal and gingival pathologies. Concerning clinical practices, 41 students (97.56%) answered appropriately about the frequency at which the triple syringe should be changed. When questioned about the sterilization method indicated for high- and low-speed handpieces, 26 participants (63.41%) responded correctly. The question related to the appropriate age for use of toothpastes with 551 to 1500 ppm was not answered by all students. By contrast, 37 students (90.24%) correctly recognized the infrastructure requirements established for dental offices. Figure 2.</w:t>
      </w:r>
    </w:p>
    <w:p w14:paraId="25E7CB62" w14:textId="5470F7BA"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1D4F2DF2" wp14:editId="01A26A05">
            <wp:extent cx="4572000" cy="2743200"/>
            <wp:effectExtent l="0" t="0" r="0" b="0"/>
            <wp:docPr id="2" name="Gráfico 2">
              <a:extLst xmlns:a="http://schemas.openxmlformats.org/drawingml/2006/main">
                <a:ext uri="{FF2B5EF4-FFF2-40B4-BE49-F238E27FC236}">
                  <a16:creationId xmlns:a16="http://schemas.microsoft.com/office/drawing/2014/main" id="{E1D7BDE9-2C48-4D9A-AF6D-37C776BE0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DC7131" w14:textId="11DB5D57"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2: Most common pathologies in Mexico according to the Mexican Official Standard.</w:t>
      </w:r>
    </w:p>
    <w:p w14:paraId="6B6EC375" w14:textId="48723183"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With respect to NOM-087, all participants (100%) correctly identified the requirements for separation, storage and collection of hazardous biological-infectious waste (RPBI). Regarding sanctions for noncompliance, 30 students (73.17%) demonstrated adequate knowledge. Likewise, 33 students (80.48%) knew that permits and licenses can be revoked in case of noncompliance, while 40 (97.56%) correctly identified the sanctioning authority. Concerning the classification of RPBI, 33 participants (80.48%) responded adequately. However, only 14 (34.14%) knew the risk level assigned to a dental clinic, and 24 (58.53%) knew the proper handling of blood in that environment. Regarding the packaging and treatment of RPBI, 34 (82.92%) answered correctly, as did 32 (78.04%) concerning the category corresponding to the volume of waste generated. Questions related to specific classification, container use, maximum storage time and labeling were correctly answered by between 70% and 87% of participants. Only 19 (46.34%) could identify how to handle gingival tissue waste extracted during surgery, and only 14 (34.14%) recognized that sharp instruments used in periodontal procedures are also considered RPBI. Figure 3.</w:t>
      </w:r>
    </w:p>
    <w:p w14:paraId="5FE2504B" w14:textId="3F94BA07" w:rsidR="00A36028"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4FE65DEA" wp14:editId="53ADB7AB">
            <wp:extent cx="4572000" cy="2743200"/>
            <wp:effectExtent l="0" t="0" r="0" b="0"/>
            <wp:docPr id="3" name="Gráfico 3">
              <a:extLst xmlns:a="http://schemas.openxmlformats.org/drawingml/2006/main">
                <a:ext uri="{FF2B5EF4-FFF2-40B4-BE49-F238E27FC236}">
                  <a16:creationId xmlns:a16="http://schemas.microsoft.com/office/drawing/2014/main" id="{3A5D186A-A8DB-4C4F-A2F7-F76F8A6C6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184E5" w14:textId="516D88DC"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3: Blood management in the dental office according to the Official Mexican Standard</w:t>
      </w:r>
    </w:p>
    <w:p w14:paraId="134D43D6" w14:textId="082F480F"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In relation to NOM-005-SSA3-2010, 29 participants (70.73%) correctly identified the mandatory infrastructure requirements in specialized clinics. Characteristics of waiting areas and bathrooms were recognized by 20 students (48.78%), while ventilation and lighting criteria were known by 35 (85.36%). Regarding the sterilization area, 32 students (78.04%) responded correctly. The required basic equipment was recognized by 37 (90.24%), and 34 (82.92%) knew the required maintenance criteria. Biosecurity measures were correctly identified by 36 students (87.80%). Likewise, 32 (78.04%) answered appropriately about specific infrastructure requirements, and 29 (70.73%) about the minimum mandatory equipment. Concerning RPBI management under this standard, 40 participants (97.56%) responded correctly. The majority also identified accessibility requirements (39 participants; 95.12%) and those related to the clinical record (34; 82.92%). Only 7 students (17.07%) correctly identified the documentation required to demonstrate regulatory compliance, while 40 (97.56%) answered appropriately regarding the corresponding legal sanctions. Figure 4.</w:t>
      </w:r>
    </w:p>
    <w:p w14:paraId="5AAA332D" w14:textId="6090B984" w:rsidR="00D54E74" w:rsidRDefault="00D54E74" w:rsidP="00D54E74">
      <w:pPr>
        <w:pStyle w:val="NormalWeb"/>
        <w:spacing w:line="360" w:lineRule="auto"/>
        <w:jc w:val="center"/>
        <w:rPr>
          <w:rFonts w:ascii="Arial" w:hAnsi="Arial" w:cs="Arial"/>
          <w:lang w:val="en-US"/>
        </w:rPr>
      </w:pPr>
      <w:r>
        <w:rPr>
          <w:noProof/>
        </w:rPr>
        <w:lastRenderedPageBreak/>
        <w:drawing>
          <wp:inline distT="0" distB="0" distL="0" distR="0" wp14:anchorId="78AB48CC" wp14:editId="5E14A2EF">
            <wp:extent cx="4572000" cy="2743200"/>
            <wp:effectExtent l="0" t="0" r="0" b="0"/>
            <wp:docPr id="4" name="Gráfico 4">
              <a:extLst xmlns:a="http://schemas.openxmlformats.org/drawingml/2006/main">
                <a:ext uri="{FF2B5EF4-FFF2-40B4-BE49-F238E27FC236}">
                  <a16:creationId xmlns:a16="http://schemas.microsoft.com/office/drawing/2014/main" id="{DCFB1F9F-19EA-4DC4-BAD6-756DACEF8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603B1D" w14:textId="564CEF9A"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4: Minimum infrastructure requirements for a dental office according to the Mexican Official Standard.</w:t>
      </w:r>
    </w:p>
    <w:p w14:paraId="77061ACC" w14:textId="49E43EDF"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Discussion</w:t>
      </w:r>
    </w:p>
    <w:p w14:paraId="1630249D"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NOM-004-SSA3-2012 represent legal provisions that have acquired great relevance in dental practice, being grounded in the Constitution and establishing mandatory guidelines for clinical practice. Their implementation seeks to guarantee patient safety and professional responsibility, although in reality there remain opportunities for improvement regarding their knowledge and application.</w:t>
      </w:r>
    </w:p>
    <w:p w14:paraId="4FF95388" w14:textId="2A149BF2"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NOMs are an indispensable legal framework for dental practice in Mexico, aiming at patient safety and professional responsibility. The results of our study, which show generally acceptable knowledge but with specific deficiencies in critical areas, align with the literature that explores the same problem among different populations of dental professionals and students in the country.</w:t>
      </w:r>
    </w:p>
    <w:p w14:paraId="2B066099" w14:textId="73AF6ABA"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Jaramillo-Pineda MO and Arróniz PS in 2006 reported that only 45% of the dentists surveyed had in-depth knowledge of all the elements that make up a clinical record according to NOM-004-SSA3-2012, highlighting gaps in the section on non-</w:t>
      </w:r>
      <w:r w:rsidRPr="00A36028">
        <w:rPr>
          <w:rFonts w:ascii="Arial" w:hAnsi="Arial" w:cs="Arial"/>
          <w:lang w:val="en-US"/>
        </w:rPr>
        <w:lastRenderedPageBreak/>
        <w:t>pathological history and the evolution note. This suggests a recurrent gap between recognition of the standard and its detailed application in practice</w:t>
      </w:r>
      <w:r w:rsidR="00A36028">
        <w:rPr>
          <w:rFonts w:ascii="Arial" w:hAnsi="Arial" w:cs="Arial"/>
          <w:vertAlign w:val="superscript"/>
          <w:lang w:val="en-US"/>
        </w:rPr>
        <w:t>9</w:t>
      </w:r>
      <w:r w:rsidRPr="00A36028">
        <w:rPr>
          <w:rFonts w:ascii="Arial" w:hAnsi="Arial" w:cs="Arial"/>
          <w:lang w:val="en-US"/>
        </w:rPr>
        <w:t>.</w:t>
      </w:r>
    </w:p>
    <w:p w14:paraId="2EB49F68" w14:textId="733D725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Jiménez-Bastida IP and Quintino CE in 2024 demonstrated that 60% of dentists did not correctly identify the category of sharps after use, and 35% did not know the maximum storage time of RPBI in their clinics, indicating that practical and specific understanding of this standard is a generalized challenge within the profession</w:t>
      </w:r>
      <w:r w:rsidR="00A36028">
        <w:rPr>
          <w:rFonts w:ascii="Arial" w:hAnsi="Arial" w:cs="Arial"/>
          <w:vertAlign w:val="superscript"/>
          <w:lang w:val="en-US"/>
        </w:rPr>
        <w:t>10</w:t>
      </w:r>
      <w:r w:rsidRPr="00A36028">
        <w:rPr>
          <w:rFonts w:ascii="Arial" w:hAnsi="Arial" w:cs="Arial"/>
          <w:lang w:val="en-US"/>
        </w:rPr>
        <w:t>.</w:t>
      </w:r>
    </w:p>
    <w:p w14:paraId="625419BE" w14:textId="4956EE3F"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Marín-Laredo MM, Calderón VB, Servín-Sámano IP, Guzmán VK, Chávez PJ in 2018 established that 70% of clinic owners claimed to know the infrastructure requirements, but only 25% had all permits and licenses updated and on display, suggesting that the “paper culture” and administrative management are important areas for improvement</w:t>
      </w:r>
      <w:r w:rsidR="00A36028">
        <w:rPr>
          <w:rFonts w:ascii="Arial" w:hAnsi="Arial" w:cs="Arial"/>
          <w:vertAlign w:val="superscript"/>
          <w:lang w:val="en-US"/>
        </w:rPr>
        <w:t>11</w:t>
      </w:r>
      <w:r w:rsidRPr="00A36028">
        <w:rPr>
          <w:rFonts w:ascii="Arial" w:hAnsi="Arial" w:cs="Arial"/>
          <w:lang w:val="en-US"/>
        </w:rPr>
        <w:t>.</w:t>
      </w:r>
    </w:p>
    <w:p w14:paraId="622958A1" w14:textId="26FED063"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Conclusions</w:t>
      </w:r>
    </w:p>
    <w:p w14:paraId="4F6C7A5E"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With this study we evidenced that, although residents of different dental specialties show overall acceptable knowledge of the NOMs applicable to clinical practice, there remain opportunities for improvement, especially regarding the complete integration of the clinical history, the administrative documentation that supports regulatory compliance and some specific aspects of hazardous biological-infectious waste management.</w:t>
      </w:r>
    </w:p>
    <w:p w14:paraId="0F9F5B04"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Correct observance of the NOMs should not be understood solely as a legal or administrative demand, but as an essential component to guarantee patient safety, the quality of dental services and professional protection of the specialist. Therefore, it is fundamental to strengthen the teaching and evaluation of these regulations in postgraduate programs, as well as to promote continuous updating in clinical practice.</w:t>
      </w:r>
    </w:p>
    <w:p w14:paraId="6F736D6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This study shows that, although residents from various dental specialties possess acceptable general knowledge of the Mexican Official Standards, significant deficiencies persist that are of greater relevance in periodontics, where clinical </w:t>
      </w:r>
      <w:r w:rsidRPr="00A36028">
        <w:rPr>
          <w:rFonts w:ascii="Arial" w:hAnsi="Arial" w:cs="Arial"/>
          <w:lang w:val="en-US"/>
        </w:rPr>
        <w:lastRenderedPageBreak/>
        <w:t>practice involves surgical procedures, generation of fluids and management of biological-infectious materials. In this specialty, proper handling, compliance and knowledge of the NOMs is crucial to ensure the safety of both patient and professional as well as to support the quality of surgical procedures. Standards such as NOM-004-SSA3-2012 (clinical record), NOM-013-SSA2-2015 (prevention of oral diseases), NOM-087 (handling of RPBI) and NOM-005-SSA3-2010/2018 (infrastructure and equipment) constitute indispensable tools that the periodontist must master not only in theory but in daily application.</w:t>
      </w:r>
    </w:p>
    <w:p w14:paraId="3A513CC1" w14:textId="188D3637"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Therefore, strengthening the teaching and evaluation of the Mexican Official Standards in postgraduate periodontics programs is a priority. Their full integration into clinical practice will consolidate an ethical, safe and legally supported professional exercise, reducing risks for patients and guaranteeing the protection of the specialist against administrative and legal sanctions.</w:t>
      </w:r>
    </w:p>
    <w:p w14:paraId="0592B49E" w14:textId="77777777" w:rsidR="009D3C05" w:rsidRPr="002B2C77" w:rsidRDefault="009D3C05" w:rsidP="00A36028">
      <w:pPr>
        <w:pStyle w:val="NormalWeb"/>
        <w:spacing w:line="360" w:lineRule="auto"/>
        <w:jc w:val="both"/>
        <w:rPr>
          <w:rFonts w:ascii="Arial" w:hAnsi="Arial" w:cs="Arial"/>
          <w:lang w:val="en-US"/>
        </w:rPr>
      </w:pPr>
      <w:bookmarkStart w:id="0" w:name="_GoBack"/>
      <w:bookmarkEnd w:id="0"/>
    </w:p>
    <w:p w14:paraId="1800C953"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r w:rsidRPr="002B2C77">
        <w:rPr>
          <w:rFonts w:ascii="Arial" w:eastAsia="Times New Roman" w:hAnsi="Arial" w:cs="Arial"/>
          <w:b/>
          <w:bCs/>
          <w:sz w:val="24"/>
          <w:szCs w:val="24"/>
          <w:lang w:val="en-US" w:eastAsia="es-MX"/>
        </w:rPr>
        <w:t>References</w:t>
      </w:r>
    </w:p>
    <w:p w14:paraId="71382974"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Resolutions and sanctions. [Internet]. Mexico: Government of Mexico; cited September 2, 2025. Available from: </w:t>
      </w:r>
      <w:hyperlink r:id="rId11" w:tgtFrame="_new" w:history="1">
        <w:r w:rsidRPr="00A36028">
          <w:rPr>
            <w:rFonts w:ascii="Arial" w:eastAsia="Times New Roman" w:hAnsi="Arial" w:cs="Arial"/>
            <w:color w:val="0000FF"/>
            <w:sz w:val="24"/>
            <w:szCs w:val="24"/>
            <w:u w:val="single"/>
            <w:lang w:val="en-US" w:eastAsia="es-MX"/>
          </w:rPr>
          <w:t>https://www.gob.mx/cofepris/acciones-y-programas/resoluciones-y-sanciones</w:t>
        </w:r>
      </w:hyperlink>
    </w:p>
    <w:p w14:paraId="129B2FB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Chamber of Deputies of the Congress of the Union. General Health Law. [Internet]. Mexico: Deputies; cited September 2, 2025. Available from: </w:t>
      </w:r>
      <w:hyperlink r:id="rId12" w:tgtFrame="_new" w:history="1">
        <w:r w:rsidRPr="00A36028">
          <w:rPr>
            <w:rFonts w:ascii="Arial" w:eastAsia="Times New Roman" w:hAnsi="Arial" w:cs="Arial"/>
            <w:color w:val="0000FF"/>
            <w:sz w:val="24"/>
            <w:szCs w:val="24"/>
            <w:u w:val="single"/>
            <w:lang w:val="en-US" w:eastAsia="es-MX"/>
          </w:rPr>
          <w:t>https://www.diputados.gob.mx/LeyesBiblio/pdf/LGS.pdf</w:t>
        </w:r>
      </w:hyperlink>
    </w:p>
    <w:p w14:paraId="66835560"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Fiscal Symposium. COFEPRIS sanctions in medical offices (2025). [Internet]. Mexico: Fiscal Symposium; cited September 2, 2025. Available from: </w:t>
      </w:r>
      <w:hyperlink r:id="rId13" w:tgtFrame="_new" w:history="1">
        <w:r w:rsidRPr="00A36028">
          <w:rPr>
            <w:rFonts w:ascii="Arial" w:eastAsia="Times New Roman" w:hAnsi="Arial" w:cs="Arial"/>
            <w:color w:val="0000FF"/>
            <w:sz w:val="24"/>
            <w:szCs w:val="24"/>
            <w:u w:val="single"/>
            <w:lang w:val="en-US" w:eastAsia="es-MX"/>
          </w:rPr>
          <w:t>https://www.simposiofiscal.com/2025/08/08/sanciones-de-cofepris-en-consultorios-medicos-2025/</w:t>
        </w:r>
      </w:hyperlink>
    </w:p>
    <w:p w14:paraId="576F3D6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NOM-004-SSA3-2012, Clinical Record. [Internet]. Mexico; cited September 2, 2025. Available from: </w:t>
      </w:r>
      <w:hyperlink r:id="rId14" w:tgtFrame="_new" w:history="1">
        <w:r w:rsidRPr="00A36028">
          <w:rPr>
            <w:rFonts w:ascii="Arial" w:eastAsia="Times New Roman" w:hAnsi="Arial" w:cs="Arial"/>
            <w:color w:val="0000FF"/>
            <w:sz w:val="24"/>
            <w:szCs w:val="24"/>
            <w:u w:val="single"/>
            <w:lang w:val="en-US" w:eastAsia="es-MX"/>
          </w:rPr>
          <w:t>https://dof.gob.mx/nota_detalle_popup.php?codigo=5272787</w:t>
        </w:r>
      </w:hyperlink>
    </w:p>
    <w:p w14:paraId="6193B07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lastRenderedPageBreak/>
        <w:t xml:space="preserve">Government of Mexico. Mexican Official Standard NOM-013-SSA2-2015, For the prevention and control of oral diseases. [Internet]. Mexico; cited September 2, 2025. Available from: </w:t>
      </w:r>
      <w:hyperlink r:id="rId15" w:anchor="gsc.tab=0" w:tgtFrame="_new" w:history="1">
        <w:r w:rsidRPr="00A36028">
          <w:rPr>
            <w:rFonts w:ascii="Arial" w:eastAsia="Times New Roman" w:hAnsi="Arial" w:cs="Arial"/>
            <w:color w:val="0000FF"/>
            <w:sz w:val="24"/>
            <w:szCs w:val="24"/>
            <w:u w:val="single"/>
            <w:lang w:val="en-US" w:eastAsia="es-MX"/>
          </w:rPr>
          <w:t>https://www.dof.gob.mx/nota_detalle.php?codigo=5462039&amp;fecha=23/11/2016#gsc.tab=0</w:t>
        </w:r>
      </w:hyperlink>
    </w:p>
    <w:p w14:paraId="79E4F44E"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NOM-087-SSA1-2002, Environmental protection – Environmental health – Hazardous biological-infectious waste – Classification and handling specifications. [Internet]. Mexico; cited September 2, 2025. Available from: </w:t>
      </w:r>
      <w:hyperlink r:id="rId16" w:tgtFrame="_new" w:history="1">
        <w:r w:rsidRPr="00A36028">
          <w:rPr>
            <w:rFonts w:ascii="Arial" w:eastAsia="Times New Roman" w:hAnsi="Arial" w:cs="Arial"/>
            <w:color w:val="0000FF"/>
            <w:sz w:val="24"/>
            <w:szCs w:val="24"/>
            <w:u w:val="single"/>
            <w:lang w:val="en-US" w:eastAsia="es-MX"/>
          </w:rPr>
          <w:t>https://www.cndh.org.mx/DocTR/2016/JUR/A70/01/JUR-20170331-NOR14.pdf</w:t>
        </w:r>
      </w:hyperlink>
    </w:p>
    <w:p w14:paraId="5F7D4DF1"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NOM-005-SSA3-2018, Establishing minimum infrastructure and equipment requirements for outpatient medical care facilities. [Internet]. Mexico; cited September 2, 2025. Available from: </w:t>
      </w:r>
      <w:hyperlink r:id="rId17" w:tgtFrame="_new" w:history="1">
        <w:r w:rsidRPr="00A36028">
          <w:rPr>
            <w:rFonts w:ascii="Arial" w:eastAsia="Times New Roman" w:hAnsi="Arial" w:cs="Arial"/>
            <w:color w:val="0000FF"/>
            <w:sz w:val="24"/>
            <w:szCs w:val="24"/>
            <w:u w:val="single"/>
            <w:lang w:val="en-US" w:eastAsia="es-MX"/>
          </w:rPr>
          <w:t>https://www.dof.gob.mx/normasOficiales/8305/salud11_C/salud11_C.html</w:t>
        </w:r>
      </w:hyperlink>
    </w:p>
    <w:p w14:paraId="65240F42"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Tiburcio ML, Capetillo-Hernández GR, Torres-Capetillo EG, Ochoa-Martínez RE, Leo-Acosta RE, Munguía-Cervantes IS. </w:t>
      </w:r>
      <w:r w:rsidRPr="00A36028">
        <w:rPr>
          <w:rFonts w:ascii="Arial" w:eastAsia="Times New Roman" w:hAnsi="Arial" w:cs="Arial"/>
          <w:sz w:val="24"/>
          <w:szCs w:val="24"/>
          <w:lang w:val="en-US" w:eastAsia="es-MX"/>
        </w:rPr>
        <w:t>Knowledge and application of Mexican Official Standards in dentistry. IMBIOMED. 2022;17(1):117-125.</w:t>
      </w:r>
    </w:p>
    <w:p w14:paraId="336A48B8"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F82265">
        <w:rPr>
          <w:rFonts w:ascii="Arial" w:eastAsia="Times New Roman" w:hAnsi="Arial" w:cs="Arial"/>
          <w:sz w:val="24"/>
          <w:szCs w:val="24"/>
          <w:lang w:eastAsia="es-MX"/>
        </w:rPr>
        <w:t xml:space="preserve">Jaramillo-Pineda MO, Arróniz PS. </w:t>
      </w:r>
      <w:r w:rsidRPr="00A36028">
        <w:rPr>
          <w:rFonts w:ascii="Arial" w:eastAsia="Times New Roman" w:hAnsi="Arial" w:cs="Arial"/>
          <w:sz w:val="24"/>
          <w:szCs w:val="24"/>
          <w:lang w:val="en-US" w:eastAsia="es-MX"/>
        </w:rPr>
        <w:t xml:space="preserve">Knowledge and application of the dental clinical record according to current standards. [Specialty thesis]. Faculty of Higher Studies </w:t>
      </w:r>
      <w:proofErr w:type="spellStart"/>
      <w:r w:rsidRPr="00A36028">
        <w:rPr>
          <w:rFonts w:ascii="Arial" w:eastAsia="Times New Roman" w:hAnsi="Arial" w:cs="Arial"/>
          <w:sz w:val="24"/>
          <w:szCs w:val="24"/>
          <w:lang w:val="en-US" w:eastAsia="es-MX"/>
        </w:rPr>
        <w:t>Iztacala</w:t>
      </w:r>
      <w:proofErr w:type="spellEnd"/>
      <w:r w:rsidRPr="00A36028">
        <w:rPr>
          <w:rFonts w:ascii="Arial" w:eastAsia="Times New Roman" w:hAnsi="Arial" w:cs="Arial"/>
          <w:sz w:val="24"/>
          <w:szCs w:val="24"/>
          <w:lang w:val="en-US" w:eastAsia="es-MX"/>
        </w:rPr>
        <w:t xml:space="preserve">, Division of Research and Postgraduate Studies, </w:t>
      </w:r>
      <w:proofErr w:type="spellStart"/>
      <w:r w:rsidRPr="00A36028">
        <w:rPr>
          <w:rFonts w:ascii="Arial" w:eastAsia="Times New Roman" w:hAnsi="Arial" w:cs="Arial"/>
          <w:sz w:val="24"/>
          <w:szCs w:val="24"/>
          <w:lang w:val="en-US" w:eastAsia="es-MX"/>
        </w:rPr>
        <w:t>Endoperiodontology</w:t>
      </w:r>
      <w:proofErr w:type="spellEnd"/>
      <w:r w:rsidRPr="00A36028">
        <w:rPr>
          <w:rFonts w:ascii="Arial" w:eastAsia="Times New Roman" w:hAnsi="Arial" w:cs="Arial"/>
          <w:sz w:val="24"/>
          <w:szCs w:val="24"/>
          <w:lang w:val="en-US" w:eastAsia="es-MX"/>
        </w:rPr>
        <w:t xml:space="preserve"> Specialization Clinic. </w:t>
      </w:r>
      <w:proofErr w:type="spellStart"/>
      <w:r w:rsidRPr="00A36028">
        <w:rPr>
          <w:rFonts w:ascii="Arial" w:eastAsia="Times New Roman" w:hAnsi="Arial" w:cs="Arial"/>
          <w:sz w:val="24"/>
          <w:szCs w:val="24"/>
          <w:lang w:eastAsia="es-MX"/>
        </w:rPr>
        <w:t>Mexico</w:t>
      </w:r>
      <w:proofErr w:type="spellEnd"/>
      <w:r w:rsidRPr="00A36028">
        <w:rPr>
          <w:rFonts w:ascii="Arial" w:eastAsia="Times New Roman" w:hAnsi="Arial" w:cs="Arial"/>
          <w:sz w:val="24"/>
          <w:szCs w:val="24"/>
          <w:lang w:eastAsia="es-MX"/>
        </w:rPr>
        <w:t xml:space="preserve">; 2006. </w:t>
      </w:r>
      <w:proofErr w:type="spellStart"/>
      <w:r w:rsidRPr="00A36028">
        <w:rPr>
          <w:rFonts w:ascii="Arial" w:eastAsia="Times New Roman" w:hAnsi="Arial" w:cs="Arial"/>
          <w:sz w:val="24"/>
          <w:szCs w:val="24"/>
          <w:lang w:eastAsia="es-MX"/>
        </w:rPr>
        <w:t>Available</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from</w:t>
      </w:r>
      <w:proofErr w:type="spellEnd"/>
      <w:r w:rsidRPr="00A36028">
        <w:rPr>
          <w:rFonts w:ascii="Arial" w:eastAsia="Times New Roman" w:hAnsi="Arial" w:cs="Arial"/>
          <w:sz w:val="24"/>
          <w:szCs w:val="24"/>
          <w:lang w:eastAsia="es-MX"/>
        </w:rPr>
        <w:t xml:space="preserve">: </w:t>
      </w:r>
      <w:hyperlink r:id="rId18" w:tgtFrame="_new" w:history="1">
        <w:r w:rsidRPr="00A36028">
          <w:rPr>
            <w:rFonts w:ascii="Arial" w:eastAsia="Times New Roman" w:hAnsi="Arial" w:cs="Arial"/>
            <w:color w:val="0000FF"/>
            <w:sz w:val="24"/>
            <w:szCs w:val="24"/>
            <w:u w:val="single"/>
            <w:lang w:eastAsia="es-MX"/>
          </w:rPr>
          <w:t>https://ru.dgb.unam.mx/server/api/core/bitstreams/a622b07e-2e33-4369-8a34-21c4b5e87cbb/content</w:t>
        </w:r>
      </w:hyperlink>
    </w:p>
    <w:p w14:paraId="0F748A5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Jiménez-Bastida IP, </w:t>
      </w:r>
      <w:proofErr w:type="spellStart"/>
      <w:r w:rsidRPr="00A36028">
        <w:rPr>
          <w:rFonts w:ascii="Arial" w:eastAsia="Times New Roman" w:hAnsi="Arial" w:cs="Arial"/>
          <w:sz w:val="24"/>
          <w:szCs w:val="24"/>
          <w:lang w:eastAsia="es-MX"/>
        </w:rPr>
        <w:t>Quintino</w:t>
      </w:r>
      <w:proofErr w:type="spellEnd"/>
      <w:r w:rsidRPr="00A36028">
        <w:rPr>
          <w:rFonts w:ascii="Arial" w:eastAsia="Times New Roman" w:hAnsi="Arial" w:cs="Arial"/>
          <w:sz w:val="24"/>
          <w:szCs w:val="24"/>
          <w:lang w:eastAsia="es-MX"/>
        </w:rPr>
        <w:t xml:space="preserve"> CE. </w:t>
      </w:r>
      <w:r w:rsidRPr="00A36028">
        <w:rPr>
          <w:rFonts w:ascii="Arial" w:eastAsia="Times New Roman" w:hAnsi="Arial" w:cs="Arial"/>
          <w:sz w:val="24"/>
          <w:szCs w:val="24"/>
          <w:lang w:val="en-US" w:eastAsia="es-MX"/>
        </w:rPr>
        <w:t xml:space="preserve">Intervention therapy for the development of relationships as a tool to improve communication in dental care for children with autism. [Undergraduate thesis]. Faculty of Dentistry, Mexico; 2024. Available from: </w:t>
      </w:r>
      <w:hyperlink r:id="rId19" w:tgtFrame="_new" w:history="1">
        <w:r w:rsidRPr="00A36028">
          <w:rPr>
            <w:rFonts w:ascii="Arial" w:eastAsia="Times New Roman" w:hAnsi="Arial" w:cs="Arial"/>
            <w:color w:val="0000FF"/>
            <w:sz w:val="24"/>
            <w:szCs w:val="24"/>
            <w:u w:val="single"/>
            <w:lang w:val="en-US" w:eastAsia="es-MX"/>
          </w:rPr>
          <w:t>https://ru.dgb.unam.mx/server/api/core/bitstreams/44bb2aaa-4af7-4794-87fb-8636e030ba86/content</w:t>
        </w:r>
      </w:hyperlink>
    </w:p>
    <w:p w14:paraId="04EC2119" w14:textId="77777777" w:rsidR="002B2C77" w:rsidRPr="00A36028" w:rsidRDefault="002B2C77" w:rsidP="00A36028">
      <w:pPr>
        <w:pStyle w:val="ListParagraph"/>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A36028">
        <w:rPr>
          <w:rFonts w:ascii="Arial" w:eastAsia="Times New Roman" w:hAnsi="Arial" w:cs="Arial"/>
          <w:sz w:val="24"/>
          <w:szCs w:val="24"/>
          <w:lang w:eastAsia="es-MX"/>
        </w:rPr>
        <w:lastRenderedPageBreak/>
        <w:t xml:space="preserve">Marín-Laredo MM, Calderón VB, Servín-Sámano IP, Guzmán VK, Chávez PJ. </w:t>
      </w:r>
      <w:r w:rsidRPr="00A36028">
        <w:rPr>
          <w:rFonts w:ascii="Arial" w:eastAsia="Times New Roman" w:hAnsi="Arial" w:cs="Arial"/>
          <w:sz w:val="24"/>
          <w:szCs w:val="24"/>
          <w:lang w:val="en-US" w:eastAsia="es-MX"/>
        </w:rPr>
        <w:t xml:space="preserve">User satisfaction with outpatient consultation services at a social security clinic. </w:t>
      </w:r>
      <w:proofErr w:type="spellStart"/>
      <w:r w:rsidRPr="00A36028">
        <w:rPr>
          <w:rFonts w:ascii="Arial" w:eastAsia="Times New Roman" w:hAnsi="Arial" w:cs="Arial"/>
          <w:sz w:val="24"/>
          <w:szCs w:val="24"/>
          <w:lang w:eastAsia="es-MX"/>
        </w:rPr>
        <w:t>Proceedings</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of</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the</w:t>
      </w:r>
      <w:proofErr w:type="spellEnd"/>
      <w:r w:rsidRPr="00A36028">
        <w:rPr>
          <w:rFonts w:ascii="Arial" w:eastAsia="Times New Roman" w:hAnsi="Arial" w:cs="Arial"/>
          <w:sz w:val="24"/>
          <w:szCs w:val="24"/>
          <w:lang w:eastAsia="es-MX"/>
        </w:rPr>
        <w:t xml:space="preserve"> International </w:t>
      </w:r>
      <w:proofErr w:type="spellStart"/>
      <w:r w:rsidRPr="00A36028">
        <w:rPr>
          <w:rFonts w:ascii="Arial" w:eastAsia="Times New Roman" w:hAnsi="Arial" w:cs="Arial"/>
          <w:sz w:val="24"/>
          <w:szCs w:val="24"/>
          <w:lang w:eastAsia="es-MX"/>
        </w:rPr>
        <w:t>Research</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Congress</w:t>
      </w:r>
      <w:proofErr w:type="spellEnd"/>
      <w:r w:rsidRPr="00A36028">
        <w:rPr>
          <w:rFonts w:ascii="Arial" w:eastAsia="Times New Roman" w:hAnsi="Arial" w:cs="Arial"/>
          <w:sz w:val="24"/>
          <w:szCs w:val="24"/>
          <w:lang w:eastAsia="es-MX"/>
        </w:rPr>
        <w:t xml:space="preserve">, Academia </w:t>
      </w:r>
      <w:proofErr w:type="spellStart"/>
      <w:r w:rsidRPr="00A36028">
        <w:rPr>
          <w:rFonts w:ascii="Arial" w:eastAsia="Times New Roman" w:hAnsi="Arial" w:cs="Arial"/>
          <w:sz w:val="24"/>
          <w:szCs w:val="24"/>
          <w:lang w:eastAsia="es-MX"/>
        </w:rPr>
        <w:t>Journals</w:t>
      </w:r>
      <w:proofErr w:type="spellEnd"/>
      <w:r w:rsidRPr="00A36028">
        <w:rPr>
          <w:rFonts w:ascii="Arial" w:eastAsia="Times New Roman" w:hAnsi="Arial" w:cs="Arial"/>
          <w:sz w:val="24"/>
          <w:szCs w:val="24"/>
          <w:lang w:eastAsia="es-MX"/>
        </w:rPr>
        <w:t>. 2018;10(3):2023-2197.</w:t>
      </w:r>
    </w:p>
    <w:p w14:paraId="256163A4" w14:textId="77777777" w:rsidR="002B2C77" w:rsidRPr="002B2C77" w:rsidRDefault="002B2C77" w:rsidP="00A36028">
      <w:pPr>
        <w:spacing w:line="360" w:lineRule="auto"/>
        <w:jc w:val="both"/>
        <w:rPr>
          <w:rFonts w:ascii="Arial" w:hAnsi="Arial" w:cs="Arial"/>
          <w:sz w:val="24"/>
          <w:szCs w:val="24"/>
        </w:rPr>
      </w:pPr>
    </w:p>
    <w:sectPr w:rsidR="002B2C77" w:rsidRPr="002B2C77">
      <w:headerReference w:type="even" r:id="rId20"/>
      <w:headerReference w:type="default" r:id="rId21"/>
      <w:footerReference w:type="even" r:id="rId22"/>
      <w:footerReference w:type="default" r:id="rId23"/>
      <w:headerReference w:type="first" r:id="rId24"/>
      <w:footerReference w:type="firs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71F7" w14:textId="77777777" w:rsidR="00ED7AD7" w:rsidRDefault="00ED7AD7" w:rsidP="00D06C16">
      <w:pPr>
        <w:spacing w:after="0" w:line="240" w:lineRule="auto"/>
      </w:pPr>
      <w:r>
        <w:separator/>
      </w:r>
    </w:p>
  </w:endnote>
  <w:endnote w:type="continuationSeparator" w:id="0">
    <w:p w14:paraId="6060B6C7" w14:textId="77777777" w:rsidR="00ED7AD7" w:rsidRDefault="00ED7AD7" w:rsidP="00D0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38A9" w14:textId="77777777" w:rsidR="00D06C16" w:rsidRDefault="00D0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1620" w14:textId="77777777" w:rsidR="00D06C16" w:rsidRDefault="00D0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4612" w14:textId="77777777" w:rsidR="00D06C16" w:rsidRDefault="00D0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DC50" w14:textId="77777777" w:rsidR="00ED7AD7" w:rsidRDefault="00ED7AD7" w:rsidP="00D06C16">
      <w:pPr>
        <w:spacing w:after="0" w:line="240" w:lineRule="auto"/>
      </w:pPr>
      <w:r>
        <w:separator/>
      </w:r>
    </w:p>
  </w:footnote>
  <w:footnote w:type="continuationSeparator" w:id="0">
    <w:p w14:paraId="521F4B11" w14:textId="77777777" w:rsidR="00ED7AD7" w:rsidRDefault="00ED7AD7" w:rsidP="00D0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D59B" w14:textId="1191847F" w:rsidR="00D06C16" w:rsidRDefault="00D06C16">
    <w:pPr>
      <w:pStyle w:val="Header"/>
    </w:pPr>
    <w:r>
      <w:rPr>
        <w:noProof/>
      </w:rPr>
      <w:pict w14:anchorId="1314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3"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598A" w14:textId="379FE985" w:rsidR="00D06C16" w:rsidRDefault="00D06C16">
    <w:pPr>
      <w:pStyle w:val="Header"/>
    </w:pPr>
    <w:r>
      <w:rPr>
        <w:noProof/>
      </w:rPr>
      <w:pict w14:anchorId="569F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4"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C5FE" w14:textId="221CE033" w:rsidR="00D06C16" w:rsidRDefault="00D06C16">
    <w:pPr>
      <w:pStyle w:val="Header"/>
    </w:pPr>
    <w:r>
      <w:rPr>
        <w:noProof/>
      </w:rPr>
      <w:pict w14:anchorId="277A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2"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B5BA4"/>
    <w:multiLevelType w:val="hybridMultilevel"/>
    <w:tmpl w:val="E0AE1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77"/>
    <w:rsid w:val="00001C53"/>
    <w:rsid w:val="002B2C77"/>
    <w:rsid w:val="003E1814"/>
    <w:rsid w:val="009D3C05"/>
    <w:rsid w:val="00A36028"/>
    <w:rsid w:val="00D06C16"/>
    <w:rsid w:val="00D54E74"/>
    <w:rsid w:val="00ED7AD7"/>
    <w:rsid w:val="00F822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7F799"/>
  <w15:chartTrackingRefBased/>
  <w15:docId w15:val="{88389956-9310-415D-A381-9EB5F24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2B2C7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Heading6">
    <w:name w:val="heading 6"/>
    <w:basedOn w:val="Normal"/>
    <w:link w:val="Heading6Char"/>
    <w:uiPriority w:val="9"/>
    <w:qFormat/>
    <w:rsid w:val="002B2C7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2C77"/>
    <w:rPr>
      <w:rFonts w:ascii="Times New Roman" w:eastAsia="Times New Roman" w:hAnsi="Times New Roman" w:cs="Times New Roman"/>
      <w:b/>
      <w:bCs/>
      <w:sz w:val="20"/>
      <w:szCs w:val="20"/>
      <w:lang w:eastAsia="es-MX"/>
    </w:rPr>
  </w:style>
  <w:style w:type="character" w:customStyle="1" w:styleId="Heading6Char">
    <w:name w:val="Heading 6 Char"/>
    <w:basedOn w:val="DefaultParagraphFont"/>
    <w:link w:val="Heading6"/>
    <w:uiPriority w:val="9"/>
    <w:rsid w:val="002B2C77"/>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2B2C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2B2C77"/>
    <w:rPr>
      <w:b/>
      <w:bCs/>
    </w:rPr>
  </w:style>
  <w:style w:type="character" w:styleId="Hyperlink">
    <w:name w:val="Hyperlink"/>
    <w:basedOn w:val="DefaultParagraphFont"/>
    <w:uiPriority w:val="99"/>
    <w:unhideWhenUsed/>
    <w:rsid w:val="002B2C77"/>
    <w:rPr>
      <w:color w:val="0000FF"/>
      <w:u w:val="single"/>
    </w:rPr>
  </w:style>
  <w:style w:type="character" w:styleId="UnresolvedMention">
    <w:name w:val="Unresolved Mention"/>
    <w:basedOn w:val="DefaultParagraphFont"/>
    <w:uiPriority w:val="99"/>
    <w:semiHidden/>
    <w:unhideWhenUsed/>
    <w:rsid w:val="002B2C77"/>
    <w:rPr>
      <w:color w:val="605E5C"/>
      <w:shd w:val="clear" w:color="auto" w:fill="E1DFDD"/>
    </w:rPr>
  </w:style>
  <w:style w:type="paragraph" w:styleId="ListParagraph">
    <w:name w:val="List Paragraph"/>
    <w:basedOn w:val="Normal"/>
    <w:uiPriority w:val="34"/>
    <w:qFormat/>
    <w:rsid w:val="00A36028"/>
    <w:pPr>
      <w:ind w:left="720"/>
      <w:contextualSpacing/>
    </w:pPr>
  </w:style>
  <w:style w:type="paragraph" w:styleId="Header">
    <w:name w:val="header"/>
    <w:basedOn w:val="Normal"/>
    <w:link w:val="HeaderChar"/>
    <w:uiPriority w:val="99"/>
    <w:unhideWhenUsed/>
    <w:rsid w:val="00D0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C16"/>
  </w:style>
  <w:style w:type="paragraph" w:styleId="Footer">
    <w:name w:val="footer"/>
    <w:basedOn w:val="Normal"/>
    <w:link w:val="FooterChar"/>
    <w:uiPriority w:val="99"/>
    <w:unhideWhenUsed/>
    <w:rsid w:val="00D0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1063719363">
      <w:bodyDiv w:val="1"/>
      <w:marLeft w:val="0"/>
      <w:marRight w:val="0"/>
      <w:marTop w:val="0"/>
      <w:marBottom w:val="0"/>
      <w:divBdr>
        <w:top w:val="none" w:sz="0" w:space="0" w:color="auto"/>
        <w:left w:val="none" w:sz="0" w:space="0" w:color="auto"/>
        <w:bottom w:val="none" w:sz="0" w:space="0" w:color="auto"/>
        <w:right w:val="none" w:sz="0" w:space="0" w:color="auto"/>
      </w:divBdr>
    </w:div>
    <w:div w:id="1538271558">
      <w:bodyDiv w:val="1"/>
      <w:marLeft w:val="0"/>
      <w:marRight w:val="0"/>
      <w:marTop w:val="0"/>
      <w:marBottom w:val="0"/>
      <w:divBdr>
        <w:top w:val="none" w:sz="0" w:space="0" w:color="auto"/>
        <w:left w:val="none" w:sz="0" w:space="0" w:color="auto"/>
        <w:bottom w:val="none" w:sz="0" w:space="0" w:color="auto"/>
        <w:right w:val="none" w:sz="0" w:space="0" w:color="auto"/>
      </w:divBdr>
      <w:divsChild>
        <w:div w:id="891305511">
          <w:marLeft w:val="0"/>
          <w:marRight w:val="0"/>
          <w:marTop w:val="0"/>
          <w:marBottom w:val="0"/>
          <w:divBdr>
            <w:top w:val="none" w:sz="0" w:space="0" w:color="auto"/>
            <w:left w:val="none" w:sz="0" w:space="0" w:color="auto"/>
            <w:bottom w:val="none" w:sz="0" w:space="0" w:color="auto"/>
            <w:right w:val="none" w:sz="0" w:space="0" w:color="auto"/>
          </w:divBdr>
          <w:divsChild>
            <w:div w:id="2133478143">
              <w:marLeft w:val="0"/>
              <w:marRight w:val="0"/>
              <w:marTop w:val="0"/>
              <w:marBottom w:val="0"/>
              <w:divBdr>
                <w:top w:val="none" w:sz="0" w:space="0" w:color="auto"/>
                <w:left w:val="none" w:sz="0" w:space="0" w:color="auto"/>
                <w:bottom w:val="none" w:sz="0" w:space="0" w:color="auto"/>
                <w:right w:val="none" w:sz="0" w:space="0" w:color="auto"/>
              </w:divBdr>
              <w:divsChild>
                <w:div w:id="1110127643">
                  <w:marLeft w:val="0"/>
                  <w:marRight w:val="0"/>
                  <w:marTop w:val="0"/>
                  <w:marBottom w:val="0"/>
                  <w:divBdr>
                    <w:top w:val="none" w:sz="0" w:space="0" w:color="auto"/>
                    <w:left w:val="none" w:sz="0" w:space="0" w:color="auto"/>
                    <w:bottom w:val="none" w:sz="0" w:space="0" w:color="auto"/>
                    <w:right w:val="none" w:sz="0" w:space="0" w:color="auto"/>
                  </w:divBdr>
                  <w:divsChild>
                    <w:div w:id="2133940482">
                      <w:marLeft w:val="0"/>
                      <w:marRight w:val="0"/>
                      <w:marTop w:val="0"/>
                      <w:marBottom w:val="0"/>
                      <w:divBdr>
                        <w:top w:val="none" w:sz="0" w:space="0" w:color="auto"/>
                        <w:left w:val="none" w:sz="0" w:space="0" w:color="auto"/>
                        <w:bottom w:val="none" w:sz="0" w:space="0" w:color="auto"/>
                        <w:right w:val="none" w:sz="0" w:space="0" w:color="auto"/>
                      </w:divBdr>
                      <w:divsChild>
                        <w:div w:id="1651861431">
                          <w:marLeft w:val="0"/>
                          <w:marRight w:val="0"/>
                          <w:marTop w:val="0"/>
                          <w:marBottom w:val="0"/>
                          <w:divBdr>
                            <w:top w:val="none" w:sz="0" w:space="0" w:color="auto"/>
                            <w:left w:val="none" w:sz="0" w:space="0" w:color="auto"/>
                            <w:bottom w:val="none" w:sz="0" w:space="0" w:color="auto"/>
                            <w:right w:val="none" w:sz="0" w:space="0" w:color="auto"/>
                          </w:divBdr>
                          <w:divsChild>
                            <w:div w:id="1811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75329">
          <w:marLeft w:val="0"/>
          <w:marRight w:val="0"/>
          <w:marTop w:val="0"/>
          <w:marBottom w:val="0"/>
          <w:divBdr>
            <w:top w:val="none" w:sz="0" w:space="0" w:color="auto"/>
            <w:left w:val="none" w:sz="0" w:space="0" w:color="auto"/>
            <w:bottom w:val="none" w:sz="0" w:space="0" w:color="auto"/>
            <w:right w:val="none" w:sz="0" w:space="0" w:color="auto"/>
          </w:divBdr>
          <w:divsChild>
            <w:div w:id="1645161224">
              <w:marLeft w:val="0"/>
              <w:marRight w:val="0"/>
              <w:marTop w:val="0"/>
              <w:marBottom w:val="0"/>
              <w:divBdr>
                <w:top w:val="none" w:sz="0" w:space="0" w:color="auto"/>
                <w:left w:val="none" w:sz="0" w:space="0" w:color="auto"/>
                <w:bottom w:val="none" w:sz="0" w:space="0" w:color="auto"/>
                <w:right w:val="none" w:sz="0" w:space="0" w:color="auto"/>
              </w:divBdr>
              <w:divsChild>
                <w:div w:id="1257712559">
                  <w:marLeft w:val="0"/>
                  <w:marRight w:val="0"/>
                  <w:marTop w:val="0"/>
                  <w:marBottom w:val="0"/>
                  <w:divBdr>
                    <w:top w:val="none" w:sz="0" w:space="0" w:color="auto"/>
                    <w:left w:val="none" w:sz="0" w:space="0" w:color="auto"/>
                    <w:bottom w:val="none" w:sz="0" w:space="0" w:color="auto"/>
                    <w:right w:val="none" w:sz="0" w:space="0" w:color="auto"/>
                  </w:divBdr>
                  <w:divsChild>
                    <w:div w:id="24721447">
                      <w:marLeft w:val="0"/>
                      <w:marRight w:val="0"/>
                      <w:marTop w:val="0"/>
                      <w:marBottom w:val="0"/>
                      <w:divBdr>
                        <w:top w:val="none" w:sz="0" w:space="0" w:color="auto"/>
                        <w:left w:val="none" w:sz="0" w:space="0" w:color="auto"/>
                        <w:bottom w:val="none" w:sz="0" w:space="0" w:color="auto"/>
                        <w:right w:val="none" w:sz="0" w:space="0" w:color="auto"/>
                      </w:divBdr>
                      <w:divsChild>
                        <w:div w:id="586772434">
                          <w:marLeft w:val="0"/>
                          <w:marRight w:val="0"/>
                          <w:marTop w:val="0"/>
                          <w:marBottom w:val="0"/>
                          <w:divBdr>
                            <w:top w:val="none" w:sz="0" w:space="0" w:color="auto"/>
                            <w:left w:val="none" w:sz="0" w:space="0" w:color="auto"/>
                            <w:bottom w:val="none" w:sz="0" w:space="0" w:color="auto"/>
                            <w:right w:val="none" w:sz="0" w:space="0" w:color="auto"/>
                          </w:divBdr>
                          <w:divsChild>
                            <w:div w:id="1367683063">
                              <w:marLeft w:val="0"/>
                              <w:marRight w:val="0"/>
                              <w:marTop w:val="0"/>
                              <w:marBottom w:val="0"/>
                              <w:divBdr>
                                <w:top w:val="none" w:sz="0" w:space="0" w:color="auto"/>
                                <w:left w:val="none" w:sz="0" w:space="0" w:color="auto"/>
                                <w:bottom w:val="none" w:sz="0" w:space="0" w:color="auto"/>
                                <w:right w:val="none" w:sz="0" w:space="0" w:color="auto"/>
                              </w:divBdr>
                              <w:divsChild>
                                <w:div w:id="1992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7313">
          <w:marLeft w:val="0"/>
          <w:marRight w:val="0"/>
          <w:marTop w:val="0"/>
          <w:marBottom w:val="0"/>
          <w:divBdr>
            <w:top w:val="none" w:sz="0" w:space="0" w:color="auto"/>
            <w:left w:val="none" w:sz="0" w:space="0" w:color="auto"/>
            <w:bottom w:val="none" w:sz="0" w:space="0" w:color="auto"/>
            <w:right w:val="none" w:sz="0" w:space="0" w:color="auto"/>
          </w:divBdr>
          <w:divsChild>
            <w:div w:id="423384085">
              <w:marLeft w:val="0"/>
              <w:marRight w:val="0"/>
              <w:marTop w:val="0"/>
              <w:marBottom w:val="0"/>
              <w:divBdr>
                <w:top w:val="none" w:sz="0" w:space="0" w:color="auto"/>
                <w:left w:val="none" w:sz="0" w:space="0" w:color="auto"/>
                <w:bottom w:val="none" w:sz="0" w:space="0" w:color="auto"/>
                <w:right w:val="none" w:sz="0" w:space="0" w:color="auto"/>
              </w:divBdr>
              <w:divsChild>
                <w:div w:id="780884018">
                  <w:marLeft w:val="0"/>
                  <w:marRight w:val="0"/>
                  <w:marTop w:val="0"/>
                  <w:marBottom w:val="0"/>
                  <w:divBdr>
                    <w:top w:val="none" w:sz="0" w:space="0" w:color="auto"/>
                    <w:left w:val="none" w:sz="0" w:space="0" w:color="auto"/>
                    <w:bottom w:val="none" w:sz="0" w:space="0" w:color="auto"/>
                    <w:right w:val="none" w:sz="0" w:space="0" w:color="auto"/>
                  </w:divBdr>
                  <w:divsChild>
                    <w:div w:id="1715036788">
                      <w:marLeft w:val="0"/>
                      <w:marRight w:val="0"/>
                      <w:marTop w:val="0"/>
                      <w:marBottom w:val="0"/>
                      <w:divBdr>
                        <w:top w:val="none" w:sz="0" w:space="0" w:color="auto"/>
                        <w:left w:val="none" w:sz="0" w:space="0" w:color="auto"/>
                        <w:bottom w:val="none" w:sz="0" w:space="0" w:color="auto"/>
                        <w:right w:val="none" w:sz="0" w:space="0" w:color="auto"/>
                      </w:divBdr>
                      <w:divsChild>
                        <w:div w:id="1543831594">
                          <w:marLeft w:val="0"/>
                          <w:marRight w:val="0"/>
                          <w:marTop w:val="0"/>
                          <w:marBottom w:val="0"/>
                          <w:divBdr>
                            <w:top w:val="none" w:sz="0" w:space="0" w:color="auto"/>
                            <w:left w:val="none" w:sz="0" w:space="0" w:color="auto"/>
                            <w:bottom w:val="none" w:sz="0" w:space="0" w:color="auto"/>
                            <w:right w:val="none" w:sz="0" w:space="0" w:color="auto"/>
                          </w:divBdr>
                          <w:divsChild>
                            <w:div w:id="5703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simposiofiscal.com/2025/08/08/sanciones-de-cofepris-en-consultorios-medicos-2025/" TargetMode="External"/><Relationship Id="rId18" Type="http://schemas.openxmlformats.org/officeDocument/2006/relationships/hyperlink" Target="https://ru.dgb.unam.mx/server/api/core/bitstreams/a622b07e-2e33-4369-8a34-21c4b5e87cbb/cont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www.diputados.gob.mx/LeyesBiblio/pdf/LGS.pdf" TargetMode="External"/><Relationship Id="rId17" Type="http://schemas.openxmlformats.org/officeDocument/2006/relationships/hyperlink" Target="https://www.dof.gob.mx/normasOficiales/8305/salud11_C/salud11_C.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ndh.org.mx/DocTR/2016/JUR/A70/01/JUR-20170331-NOR1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cofepris/acciones-y-programas/resoluciones-y-sancione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of.gob.mx/nota_detalle.php?codigo=5462039&amp;fecha=23/11/2016" TargetMode="Externa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ru.dgb.unam.mx/server/api/core/bitstreams/44bb2aaa-4af7-4794-87fb-8636e030ba86/conten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f.gob.mx/nota_detalle_popup.php?codigo=5272787"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(1).xlsx]Hoja3!TablaDinámica5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WHAT ARE THE ELEMENTS OF THE MEDICAL HISTORY?</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Hoja3!$A$4:$A$7</c:f>
              <c:strCache>
                <c:ptCount val="4"/>
                <c:pt idx="0">
                  <c:v>A</c:v>
                </c:pt>
                <c:pt idx="1">
                  <c:v>B</c:v>
                </c:pt>
                <c:pt idx="2">
                  <c:v>C</c:v>
                </c:pt>
                <c:pt idx="3">
                  <c:v>D</c:v>
                </c:pt>
              </c:strCache>
            </c:strRef>
          </c:cat>
          <c:val>
            <c:numRef>
              <c:f>Hoja3!$B$4:$B$7</c:f>
              <c:numCache>
                <c:formatCode>General</c:formatCode>
                <c:ptCount val="4"/>
                <c:pt idx="0">
                  <c:v>13</c:v>
                </c:pt>
                <c:pt idx="1">
                  <c:v>2</c:v>
                </c:pt>
                <c:pt idx="2">
                  <c:v>1</c:v>
                </c:pt>
                <c:pt idx="3">
                  <c:v>25</c:v>
                </c:pt>
              </c:numCache>
            </c:numRef>
          </c:val>
          <c:extLst>
            <c:ext xmlns:c16="http://schemas.microsoft.com/office/drawing/2014/chart" uri="{C3380CC4-5D6E-409C-BE32-E72D297353CC}">
              <c16:uniqueId val="{00000000-4AC9-4C0A-A7F7-187E9C87AE4A}"/>
            </c:ext>
          </c:extLst>
        </c:ser>
        <c:dLbls>
          <c:showLegendKey val="0"/>
          <c:showVal val="0"/>
          <c:showCatName val="0"/>
          <c:showSerName val="0"/>
          <c:showPercent val="0"/>
          <c:showBubbleSize val="0"/>
        </c:dLbls>
        <c:gapWidth val="219"/>
        <c:overlap val="-27"/>
        <c:axId val="423151727"/>
        <c:axId val="423150063"/>
      </c:barChart>
      <c:catAx>
        <c:axId val="42315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50063"/>
        <c:crosses val="autoZero"/>
        <c:auto val="1"/>
        <c:lblAlgn val="ctr"/>
        <c:lblOffset val="100"/>
        <c:noMultiLvlLbl val="0"/>
      </c:catAx>
      <c:valAx>
        <c:axId val="42315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151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(1).xlsx]Hoja11!TablaDinámica45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013, WHAT ARE THE PATHOLOGIES THAT OCCUR IN THE ORAL CAVITY OF PERIODONTAL AND GINGIVAL DISEASES?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Hoja11!$A$4:$A$6</c:f>
              <c:strCache>
                <c:ptCount val="3"/>
                <c:pt idx="0">
                  <c:v>A</c:v>
                </c:pt>
                <c:pt idx="1">
                  <c:v>B</c:v>
                </c:pt>
                <c:pt idx="2">
                  <c:v>C</c:v>
                </c:pt>
              </c:strCache>
            </c:strRef>
          </c:cat>
          <c:val>
            <c:numRef>
              <c:f>Hoja11!$B$4:$B$6</c:f>
              <c:numCache>
                <c:formatCode>General</c:formatCode>
                <c:ptCount val="3"/>
                <c:pt idx="0">
                  <c:v>5</c:v>
                </c:pt>
                <c:pt idx="1">
                  <c:v>9</c:v>
                </c:pt>
                <c:pt idx="2">
                  <c:v>27</c:v>
                </c:pt>
              </c:numCache>
            </c:numRef>
          </c:val>
          <c:extLst>
            <c:ext xmlns:c16="http://schemas.microsoft.com/office/drawing/2014/chart" uri="{C3380CC4-5D6E-409C-BE32-E72D297353CC}">
              <c16:uniqueId val="{00000000-02B7-4444-953A-D80230DF99CF}"/>
            </c:ext>
          </c:extLst>
        </c:ser>
        <c:dLbls>
          <c:showLegendKey val="0"/>
          <c:showVal val="0"/>
          <c:showCatName val="0"/>
          <c:showSerName val="0"/>
          <c:showPercent val="0"/>
          <c:showBubbleSize val="0"/>
        </c:dLbls>
        <c:gapWidth val="219"/>
        <c:overlap val="-27"/>
        <c:axId val="417592335"/>
        <c:axId val="417592751"/>
      </c:barChart>
      <c:catAx>
        <c:axId val="41759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92751"/>
        <c:crosses val="autoZero"/>
        <c:auto val="1"/>
        <c:lblAlgn val="ctr"/>
        <c:lblOffset val="100"/>
        <c:noMultiLvlLbl val="0"/>
      </c:catAx>
      <c:valAx>
        <c:axId val="417592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9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(1).xlsx]Hoja7!TablaDinámica25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087, WHAT SHOULD BE THE MANAGEMENT OF BLOOD IN A DENTAL OFFICE?</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Hoja7!$A$4:$A$7</c:f>
              <c:strCache>
                <c:ptCount val="4"/>
                <c:pt idx="0">
                  <c:v>A</c:v>
                </c:pt>
                <c:pt idx="1">
                  <c:v>B</c:v>
                </c:pt>
                <c:pt idx="2">
                  <c:v>C</c:v>
                </c:pt>
                <c:pt idx="3">
                  <c:v>S/R</c:v>
                </c:pt>
              </c:strCache>
            </c:strRef>
          </c:cat>
          <c:val>
            <c:numRef>
              <c:f>Hoja7!$B$4:$B$7</c:f>
              <c:numCache>
                <c:formatCode>General</c:formatCode>
                <c:ptCount val="4"/>
                <c:pt idx="0">
                  <c:v>24</c:v>
                </c:pt>
                <c:pt idx="1">
                  <c:v>13</c:v>
                </c:pt>
                <c:pt idx="2">
                  <c:v>3</c:v>
                </c:pt>
                <c:pt idx="3">
                  <c:v>1</c:v>
                </c:pt>
              </c:numCache>
            </c:numRef>
          </c:val>
          <c:extLst>
            <c:ext xmlns:c16="http://schemas.microsoft.com/office/drawing/2014/chart" uri="{C3380CC4-5D6E-409C-BE32-E72D297353CC}">
              <c16:uniqueId val="{00000000-3C12-476E-A506-10F5AC7FE1DC}"/>
            </c:ext>
          </c:extLst>
        </c:ser>
        <c:dLbls>
          <c:showLegendKey val="0"/>
          <c:showVal val="0"/>
          <c:showCatName val="0"/>
          <c:showSerName val="0"/>
          <c:showPercent val="0"/>
          <c:showBubbleSize val="0"/>
        </c:dLbls>
        <c:gapWidth val="219"/>
        <c:overlap val="-27"/>
        <c:axId val="463567615"/>
        <c:axId val="419964191"/>
      </c:barChart>
      <c:catAx>
        <c:axId val="46356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964191"/>
        <c:crosses val="autoZero"/>
        <c:auto val="1"/>
        <c:lblAlgn val="ctr"/>
        <c:lblOffset val="100"/>
        <c:noMultiLvlLbl val="0"/>
      </c:catAx>
      <c:valAx>
        <c:axId val="41996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567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(1).xlsx]Hoja10!TablaDinámica40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br>
              <a:rPr lang="es-MX" sz="1400" b="0" i="0" u="none" strike="noStrike" baseline="0"/>
            </a:br>
            <a:r>
              <a:rPr lang="es-MX" sz="1400" b="0" i="0" u="none" strike="noStrike" baseline="0">
                <a:effectLst/>
              </a:rPr>
              <a:t>WHAT ARE THE SPECIFIC INFRASTRUCTURE REQUIREMENTS THAT A DENTAL OFFICE MUST COMPLY WITH ACCORDING TO NOM-005-SSA3-2018?</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Hoja10!$A$4:$A$6</c:f>
              <c:strCache>
                <c:ptCount val="3"/>
                <c:pt idx="0">
                  <c:v>A</c:v>
                </c:pt>
                <c:pt idx="1">
                  <c:v>B</c:v>
                </c:pt>
                <c:pt idx="2">
                  <c:v>C</c:v>
                </c:pt>
              </c:strCache>
            </c:strRef>
          </c:cat>
          <c:val>
            <c:numRef>
              <c:f>Hoja10!$B$4:$B$6</c:f>
              <c:numCache>
                <c:formatCode>General</c:formatCode>
                <c:ptCount val="3"/>
                <c:pt idx="0">
                  <c:v>8</c:v>
                </c:pt>
                <c:pt idx="1">
                  <c:v>32</c:v>
                </c:pt>
                <c:pt idx="2">
                  <c:v>1</c:v>
                </c:pt>
              </c:numCache>
            </c:numRef>
          </c:val>
          <c:extLst>
            <c:ext xmlns:c16="http://schemas.microsoft.com/office/drawing/2014/chart" uri="{C3380CC4-5D6E-409C-BE32-E72D297353CC}">
              <c16:uniqueId val="{00000000-F12A-4B13-9541-211B984C05B9}"/>
            </c:ext>
          </c:extLst>
        </c:ser>
        <c:dLbls>
          <c:showLegendKey val="0"/>
          <c:showVal val="0"/>
          <c:showCatName val="0"/>
          <c:showSerName val="0"/>
          <c:showPercent val="0"/>
          <c:showBubbleSize val="0"/>
        </c:dLbls>
        <c:gapWidth val="219"/>
        <c:overlap val="-27"/>
        <c:axId val="471030303"/>
        <c:axId val="471030719"/>
      </c:barChart>
      <c:catAx>
        <c:axId val="47103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030719"/>
        <c:crosses val="autoZero"/>
        <c:auto val="1"/>
        <c:lblAlgn val="ctr"/>
        <c:lblOffset val="100"/>
        <c:noMultiLvlLbl val="0"/>
      </c:catAx>
      <c:valAx>
        <c:axId val="47103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030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2915</Words>
  <Characters>16622</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SDI 1084</cp:lastModifiedBy>
  <cp:revision>6</cp:revision>
  <dcterms:created xsi:type="dcterms:W3CDTF">2025-09-12T02:42:00Z</dcterms:created>
  <dcterms:modified xsi:type="dcterms:W3CDTF">2025-09-13T09:49:00Z</dcterms:modified>
</cp:coreProperties>
</file>