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6DEAD" w14:textId="77777777" w:rsidR="00AD5EFE" w:rsidRDefault="00AD5EFE" w:rsidP="00490EED">
      <w:pPr>
        <w:jc w:val="center"/>
        <w:rPr>
          <w:rFonts w:ascii="Arial" w:hAnsi="Arial" w:cs="Arial"/>
          <w:b/>
          <w:sz w:val="28"/>
          <w:szCs w:val="28"/>
        </w:rPr>
      </w:pPr>
      <w:bookmarkStart w:id="0" w:name="_GoBack"/>
      <w:bookmarkEnd w:id="0"/>
      <w:r w:rsidRPr="00E369D9">
        <w:rPr>
          <w:rFonts w:ascii="Arial" w:hAnsi="Arial" w:cs="Arial"/>
          <w:b/>
          <w:sz w:val="28"/>
          <w:szCs w:val="28"/>
        </w:rPr>
        <w:t>"IMPACT OF INTRAVASCULAR IMAGING ON STENT SIZING AND VESSEL WALL DISSECTION COMPARED TO ANGIOGRAPHIC GUIDANCE IN PCI"</w:t>
      </w:r>
    </w:p>
    <w:p w14:paraId="0DFF4C84" w14:textId="77777777" w:rsidR="00E369D9" w:rsidRDefault="00E369D9" w:rsidP="00B44889">
      <w:pPr>
        <w:rPr>
          <w:rFonts w:ascii="Arial" w:hAnsi="Arial" w:cs="Arial"/>
          <w:b/>
          <w:sz w:val="24"/>
          <w:szCs w:val="24"/>
        </w:rPr>
      </w:pPr>
    </w:p>
    <w:p w14:paraId="162727B1" w14:textId="77777777" w:rsidR="008956B0" w:rsidRDefault="008956B0" w:rsidP="00B44889">
      <w:pPr>
        <w:rPr>
          <w:rFonts w:ascii="Arial" w:hAnsi="Arial" w:cs="Arial"/>
          <w:b/>
          <w:sz w:val="24"/>
          <w:szCs w:val="24"/>
        </w:rPr>
      </w:pPr>
      <w:r>
        <w:rPr>
          <w:rFonts w:ascii="Arial" w:hAnsi="Arial" w:cs="Arial"/>
          <w:b/>
          <w:sz w:val="24"/>
          <w:szCs w:val="24"/>
        </w:rPr>
        <w:t>ABSTRACT</w:t>
      </w:r>
    </w:p>
    <w:p w14:paraId="772A6C91" w14:textId="77777777" w:rsidR="00554D58" w:rsidRPr="00F32142" w:rsidRDefault="00840476" w:rsidP="00554D58">
      <w:pPr>
        <w:rPr>
          <w:rFonts w:ascii="Arial" w:hAnsi="Arial" w:cs="Arial"/>
          <w:sz w:val="24"/>
          <w:szCs w:val="24"/>
        </w:rPr>
      </w:pPr>
      <w:r w:rsidRPr="00554D58">
        <w:rPr>
          <w:rFonts w:ascii="Arial" w:hAnsi="Arial" w:cs="Arial"/>
          <w:b/>
          <w:sz w:val="24"/>
          <w:szCs w:val="24"/>
        </w:rPr>
        <w:t>Aim</w:t>
      </w:r>
      <w:r>
        <w:rPr>
          <w:rFonts w:ascii="Arial" w:hAnsi="Arial" w:cs="Arial"/>
          <w:sz w:val="24"/>
          <w:szCs w:val="24"/>
        </w:rPr>
        <w:t xml:space="preserve">: </w:t>
      </w:r>
      <w:r w:rsidR="00554D58" w:rsidRPr="00F32142">
        <w:rPr>
          <w:rFonts w:ascii="Arial" w:hAnsi="Arial" w:cs="Arial"/>
          <w:sz w:val="24"/>
          <w:szCs w:val="24"/>
        </w:rPr>
        <w:t xml:space="preserve">To evaluate the impact of Intravascular imaging (IVI) and </w:t>
      </w:r>
      <w:proofErr w:type="spellStart"/>
      <w:r w:rsidR="00554D58" w:rsidRPr="00F32142">
        <w:rPr>
          <w:rFonts w:ascii="Arial" w:hAnsi="Arial" w:cs="Arial"/>
          <w:sz w:val="24"/>
          <w:szCs w:val="24"/>
        </w:rPr>
        <w:t>angography</w:t>
      </w:r>
      <w:proofErr w:type="spellEnd"/>
      <w:r w:rsidR="00554D58" w:rsidRPr="00F32142">
        <w:rPr>
          <w:rFonts w:ascii="Arial" w:hAnsi="Arial" w:cs="Arial"/>
          <w:sz w:val="24"/>
          <w:szCs w:val="24"/>
        </w:rPr>
        <w:t xml:space="preserve"> in guiding s</w:t>
      </w:r>
      <w:r w:rsidR="004B4005">
        <w:rPr>
          <w:rFonts w:ascii="Arial" w:hAnsi="Arial" w:cs="Arial"/>
          <w:sz w:val="24"/>
          <w:szCs w:val="24"/>
        </w:rPr>
        <w:t>tent size and vessel wall dissection</w:t>
      </w:r>
      <w:r w:rsidR="00554D58" w:rsidRPr="00F32142">
        <w:rPr>
          <w:rFonts w:ascii="Arial" w:hAnsi="Arial" w:cs="Arial"/>
          <w:sz w:val="24"/>
          <w:szCs w:val="24"/>
        </w:rPr>
        <w:t xml:space="preserve"> in patients undergoing percutaneous coronary intervention (PCI).</w:t>
      </w:r>
    </w:p>
    <w:p w14:paraId="3193EA84" w14:textId="77777777" w:rsidR="00840476" w:rsidRPr="00F32142" w:rsidRDefault="00840476" w:rsidP="00B44889">
      <w:pPr>
        <w:rPr>
          <w:rFonts w:ascii="Arial" w:hAnsi="Arial" w:cs="Arial"/>
          <w:b/>
          <w:sz w:val="24"/>
          <w:szCs w:val="24"/>
        </w:rPr>
      </w:pPr>
      <w:r w:rsidRPr="00F32142">
        <w:rPr>
          <w:rFonts w:ascii="Arial" w:hAnsi="Arial" w:cs="Arial"/>
          <w:b/>
          <w:sz w:val="24"/>
          <w:szCs w:val="24"/>
        </w:rPr>
        <w:t>Study design</w:t>
      </w:r>
      <w:r w:rsidR="00734F06" w:rsidRPr="00F32142">
        <w:rPr>
          <w:rFonts w:ascii="Arial" w:hAnsi="Arial" w:cs="Arial"/>
          <w:b/>
          <w:sz w:val="24"/>
          <w:szCs w:val="24"/>
        </w:rPr>
        <w:t xml:space="preserve">: </w:t>
      </w:r>
      <w:r w:rsidR="00734F06" w:rsidRPr="00F32142">
        <w:rPr>
          <w:rFonts w:ascii="Arial" w:hAnsi="Arial" w:cs="Arial"/>
          <w:sz w:val="24"/>
          <w:szCs w:val="24"/>
        </w:rPr>
        <w:t xml:space="preserve">Open-label, double-arm observational study </w:t>
      </w:r>
    </w:p>
    <w:p w14:paraId="12989CE7" w14:textId="77777777" w:rsidR="00734F06" w:rsidRPr="00F32142" w:rsidRDefault="00840476" w:rsidP="00734F06">
      <w:pPr>
        <w:rPr>
          <w:rFonts w:ascii="Arial" w:hAnsi="Arial" w:cs="Arial"/>
          <w:sz w:val="24"/>
          <w:szCs w:val="24"/>
        </w:rPr>
      </w:pPr>
      <w:r w:rsidRPr="00F32142">
        <w:rPr>
          <w:rFonts w:ascii="Arial" w:hAnsi="Arial" w:cs="Arial"/>
          <w:b/>
          <w:sz w:val="24"/>
          <w:szCs w:val="24"/>
        </w:rPr>
        <w:t>Place and duration of study</w:t>
      </w:r>
      <w:r w:rsidRPr="00F32142">
        <w:rPr>
          <w:rFonts w:ascii="Arial" w:hAnsi="Arial" w:cs="Arial"/>
          <w:sz w:val="24"/>
          <w:szCs w:val="24"/>
        </w:rPr>
        <w:t>:</w:t>
      </w:r>
      <w:r w:rsidR="00734F06" w:rsidRPr="00F32142">
        <w:rPr>
          <w:rFonts w:ascii="Arial" w:hAnsi="Arial" w:cs="Arial"/>
          <w:sz w:val="24"/>
          <w:szCs w:val="24"/>
        </w:rPr>
        <w:t xml:space="preserve"> This study was conducted in the Department of Cardiology, Apollo Hospit</w:t>
      </w:r>
      <w:r w:rsidR="00B85DDF">
        <w:rPr>
          <w:rFonts w:ascii="Arial" w:hAnsi="Arial" w:cs="Arial"/>
          <w:sz w:val="24"/>
          <w:szCs w:val="24"/>
        </w:rPr>
        <w:t xml:space="preserve">al, </w:t>
      </w:r>
      <w:proofErr w:type="spellStart"/>
      <w:r w:rsidR="00B85DDF">
        <w:rPr>
          <w:rFonts w:ascii="Arial" w:hAnsi="Arial" w:cs="Arial"/>
          <w:sz w:val="24"/>
          <w:szCs w:val="24"/>
        </w:rPr>
        <w:t>Greams</w:t>
      </w:r>
      <w:proofErr w:type="spellEnd"/>
      <w:r w:rsidR="00B85DDF">
        <w:rPr>
          <w:rFonts w:ascii="Arial" w:hAnsi="Arial" w:cs="Arial"/>
          <w:sz w:val="24"/>
          <w:szCs w:val="24"/>
        </w:rPr>
        <w:t xml:space="preserve"> Road, Chennai</w:t>
      </w:r>
      <w:r w:rsidR="00A97D1E">
        <w:rPr>
          <w:rFonts w:ascii="Arial" w:hAnsi="Arial" w:cs="Arial"/>
          <w:sz w:val="24"/>
          <w:szCs w:val="24"/>
        </w:rPr>
        <w:t>,</w:t>
      </w:r>
      <w:r w:rsidR="00734F06" w:rsidRPr="00F32142">
        <w:rPr>
          <w:rFonts w:ascii="Arial" w:hAnsi="Arial" w:cs="Arial"/>
          <w:sz w:val="24"/>
          <w:szCs w:val="24"/>
        </w:rPr>
        <w:t xml:space="preserve"> between August 2023 to July 2024.</w:t>
      </w:r>
    </w:p>
    <w:p w14:paraId="03C80052" w14:textId="77777777" w:rsidR="00840476" w:rsidRDefault="00840476" w:rsidP="00B44889">
      <w:pPr>
        <w:rPr>
          <w:rFonts w:ascii="Arial" w:hAnsi="Arial" w:cs="Arial"/>
          <w:sz w:val="24"/>
          <w:szCs w:val="24"/>
        </w:rPr>
      </w:pPr>
      <w:r w:rsidRPr="00554D58">
        <w:rPr>
          <w:rFonts w:ascii="Arial" w:hAnsi="Arial" w:cs="Arial"/>
          <w:b/>
          <w:sz w:val="24"/>
          <w:szCs w:val="24"/>
        </w:rPr>
        <w:t>Methodology</w:t>
      </w:r>
      <w:r>
        <w:rPr>
          <w:rFonts w:ascii="Arial" w:hAnsi="Arial" w:cs="Arial"/>
          <w:sz w:val="24"/>
          <w:szCs w:val="24"/>
        </w:rPr>
        <w:t>:</w:t>
      </w:r>
      <w:r w:rsidR="00F32142">
        <w:rPr>
          <w:rFonts w:ascii="Arial" w:hAnsi="Arial" w:cs="Arial"/>
          <w:sz w:val="24"/>
          <w:szCs w:val="24"/>
        </w:rPr>
        <w:t xml:space="preserve"> </w:t>
      </w:r>
      <w:r w:rsidR="00F32142" w:rsidRPr="00F32142">
        <w:rPr>
          <w:rFonts w:ascii="Arial" w:hAnsi="Arial" w:cs="Arial"/>
          <w:sz w:val="24"/>
          <w:szCs w:val="24"/>
        </w:rPr>
        <w:t>Adults over 18 years with coronary artery disease requiring simpl</w:t>
      </w:r>
      <w:r w:rsidR="00BA3C9A">
        <w:rPr>
          <w:rFonts w:ascii="Arial" w:hAnsi="Arial" w:cs="Arial"/>
          <w:sz w:val="24"/>
          <w:szCs w:val="24"/>
        </w:rPr>
        <w:t>e or complex PCI were included.</w:t>
      </w:r>
      <w:r w:rsidR="00F32142" w:rsidRPr="00F32142">
        <w:rPr>
          <w:rFonts w:ascii="Arial" w:hAnsi="Arial" w:cs="Arial"/>
          <w:sz w:val="24"/>
          <w:szCs w:val="24"/>
        </w:rPr>
        <w:t xml:space="preserve"> All patients underwent coronary angiography. In the imaging-guided group, IVUS/OCT was performed before stenting to assess lesion characteristics and guide stent sizing, and post-stenting to evaluat</w:t>
      </w:r>
      <w:r w:rsidR="00BA3C9A">
        <w:rPr>
          <w:rFonts w:ascii="Arial" w:hAnsi="Arial" w:cs="Arial"/>
          <w:sz w:val="24"/>
          <w:szCs w:val="24"/>
        </w:rPr>
        <w:t xml:space="preserve">e </w:t>
      </w:r>
      <w:r w:rsidR="00F32142" w:rsidRPr="00F32142">
        <w:rPr>
          <w:rFonts w:ascii="Arial" w:hAnsi="Arial" w:cs="Arial"/>
          <w:sz w:val="24"/>
          <w:szCs w:val="24"/>
        </w:rPr>
        <w:t xml:space="preserve">dissection. OCT guidance </w:t>
      </w:r>
      <w:proofErr w:type="spellStart"/>
      <w:r w:rsidR="00BA3C9A">
        <w:rPr>
          <w:rFonts w:ascii="Arial" w:hAnsi="Arial" w:cs="Arial"/>
          <w:sz w:val="24"/>
          <w:szCs w:val="24"/>
        </w:rPr>
        <w:t>utilised</w:t>
      </w:r>
      <w:proofErr w:type="spellEnd"/>
      <w:r w:rsidR="00F32142" w:rsidRPr="00F32142">
        <w:rPr>
          <w:rFonts w:ascii="Arial" w:hAnsi="Arial" w:cs="Arial"/>
          <w:sz w:val="24"/>
          <w:szCs w:val="24"/>
        </w:rPr>
        <w:t xml:space="preserve"> the MLD-MAX algorithm. Stent </w:t>
      </w:r>
      <w:proofErr w:type="spellStart"/>
      <w:r w:rsidR="00F32142" w:rsidRPr="00F32142">
        <w:rPr>
          <w:rFonts w:ascii="Arial" w:hAnsi="Arial" w:cs="Arial"/>
          <w:sz w:val="24"/>
          <w:szCs w:val="24"/>
        </w:rPr>
        <w:t>optimisation</w:t>
      </w:r>
      <w:proofErr w:type="spellEnd"/>
      <w:r w:rsidR="00F32142" w:rsidRPr="00F32142">
        <w:rPr>
          <w:rFonts w:ascii="Arial" w:hAnsi="Arial" w:cs="Arial"/>
          <w:sz w:val="24"/>
          <w:szCs w:val="24"/>
        </w:rPr>
        <w:t xml:space="preserve"> in the angiography group relied on visual assessment, whereas in the imaging group, adequate </w:t>
      </w:r>
      <w:proofErr w:type="spellStart"/>
      <w:r w:rsidR="00F32142" w:rsidRPr="00F32142">
        <w:rPr>
          <w:rFonts w:ascii="Arial" w:hAnsi="Arial" w:cs="Arial"/>
          <w:sz w:val="24"/>
          <w:szCs w:val="24"/>
        </w:rPr>
        <w:t>optimisation</w:t>
      </w:r>
      <w:proofErr w:type="spellEnd"/>
      <w:r w:rsidR="00F32142" w:rsidRPr="00F32142">
        <w:rPr>
          <w:rFonts w:ascii="Arial" w:hAnsi="Arial" w:cs="Arial"/>
          <w:sz w:val="24"/>
          <w:szCs w:val="24"/>
        </w:rPr>
        <w:t xml:space="preserve"> required &lt;10% residual stenosis and MSA ≥80% of </w:t>
      </w:r>
      <w:r w:rsidR="00B85DDF">
        <w:rPr>
          <w:rFonts w:ascii="Arial" w:hAnsi="Arial" w:cs="Arial"/>
          <w:sz w:val="24"/>
          <w:szCs w:val="24"/>
        </w:rPr>
        <w:t xml:space="preserve">the </w:t>
      </w:r>
      <w:r w:rsidR="00F32142" w:rsidRPr="00F32142">
        <w:rPr>
          <w:rFonts w:ascii="Arial" w:hAnsi="Arial" w:cs="Arial"/>
          <w:sz w:val="24"/>
          <w:szCs w:val="24"/>
        </w:rPr>
        <w:t>reference lumen area.</w:t>
      </w:r>
    </w:p>
    <w:p w14:paraId="2AC0F852" w14:textId="77777777" w:rsidR="00840476" w:rsidRDefault="00840476" w:rsidP="00B44889">
      <w:pPr>
        <w:rPr>
          <w:rFonts w:ascii="Arial" w:hAnsi="Arial" w:cs="Arial"/>
          <w:sz w:val="24"/>
          <w:szCs w:val="24"/>
        </w:rPr>
      </w:pPr>
      <w:r w:rsidRPr="00554D58">
        <w:rPr>
          <w:rFonts w:ascii="Arial" w:hAnsi="Arial" w:cs="Arial"/>
          <w:b/>
          <w:sz w:val="24"/>
          <w:szCs w:val="24"/>
        </w:rPr>
        <w:t>Results</w:t>
      </w:r>
      <w:r>
        <w:rPr>
          <w:rFonts w:ascii="Arial" w:hAnsi="Arial" w:cs="Arial"/>
          <w:sz w:val="24"/>
          <w:szCs w:val="24"/>
        </w:rPr>
        <w:t>:</w:t>
      </w:r>
      <w:r w:rsidR="00A97D1E">
        <w:rPr>
          <w:rFonts w:ascii="Arial" w:hAnsi="Arial" w:cs="Arial"/>
          <w:sz w:val="24"/>
          <w:szCs w:val="24"/>
        </w:rPr>
        <w:t xml:space="preserve"> </w:t>
      </w:r>
      <w:r w:rsidR="00702503">
        <w:rPr>
          <w:rFonts w:ascii="Arial" w:hAnsi="Arial" w:cs="Arial"/>
          <w:sz w:val="24"/>
          <w:szCs w:val="24"/>
        </w:rPr>
        <w:t>The analysis showed deployment of larger stents in imaging-guided PCI compared to angiographic guidance (Length: 32.8</w:t>
      </w:r>
      <w:r w:rsidR="009914BD">
        <w:rPr>
          <w:rFonts w:ascii="Arial" w:hAnsi="Arial" w:cs="Arial"/>
          <w:sz w:val="24"/>
          <w:szCs w:val="24"/>
        </w:rPr>
        <w:t xml:space="preserve"> </w:t>
      </w:r>
      <w:r w:rsidR="009914BD" w:rsidRPr="00C7742B">
        <w:rPr>
          <w:rFonts w:ascii="Arial" w:hAnsi="Arial" w:cs="Arial"/>
          <w:sz w:val="24"/>
          <w:szCs w:val="24"/>
        </w:rPr>
        <w:t>± 10.16</w:t>
      </w:r>
      <w:r w:rsidR="00702503">
        <w:rPr>
          <w:rFonts w:ascii="Arial" w:hAnsi="Arial" w:cs="Arial"/>
          <w:sz w:val="24"/>
          <w:szCs w:val="24"/>
        </w:rPr>
        <w:t xml:space="preserve"> mm vs 30.04mm</w:t>
      </w:r>
      <w:r w:rsidR="009914BD">
        <w:rPr>
          <w:rFonts w:ascii="Arial" w:hAnsi="Arial" w:cs="Arial"/>
          <w:sz w:val="24"/>
          <w:szCs w:val="24"/>
        </w:rPr>
        <w:t xml:space="preserve"> </w:t>
      </w:r>
      <w:r w:rsidR="009914BD" w:rsidRPr="00C7742B">
        <w:rPr>
          <w:rFonts w:ascii="Arial" w:hAnsi="Arial" w:cs="Arial"/>
          <w:sz w:val="24"/>
          <w:szCs w:val="24"/>
        </w:rPr>
        <w:t>± 10.14</w:t>
      </w:r>
      <w:r w:rsidR="00702503">
        <w:rPr>
          <w:rFonts w:ascii="Arial" w:hAnsi="Arial" w:cs="Arial"/>
          <w:sz w:val="24"/>
          <w:szCs w:val="24"/>
        </w:rPr>
        <w:t>, Diameter: 2.96</w:t>
      </w:r>
      <w:r w:rsidR="00C7742B">
        <w:rPr>
          <w:rFonts w:ascii="Arial" w:hAnsi="Arial" w:cs="Arial"/>
          <w:sz w:val="24"/>
          <w:szCs w:val="24"/>
        </w:rPr>
        <w:t xml:space="preserve"> </w:t>
      </w:r>
      <w:r w:rsidR="00C7742B" w:rsidRPr="00C7742B">
        <w:rPr>
          <w:rFonts w:ascii="Arial" w:hAnsi="Arial" w:cs="Arial"/>
          <w:sz w:val="24"/>
          <w:szCs w:val="24"/>
        </w:rPr>
        <w:t>± 0.54</w:t>
      </w:r>
      <w:r w:rsidR="00C7742B">
        <w:rPr>
          <w:rFonts w:ascii="Arial" w:hAnsi="Arial" w:cs="Arial"/>
          <w:sz w:val="24"/>
          <w:szCs w:val="24"/>
        </w:rPr>
        <w:t xml:space="preserve"> </w:t>
      </w:r>
      <w:r w:rsidR="00702503">
        <w:rPr>
          <w:rFonts w:ascii="Arial" w:hAnsi="Arial" w:cs="Arial"/>
          <w:sz w:val="24"/>
          <w:szCs w:val="24"/>
        </w:rPr>
        <w:t>mm</w:t>
      </w:r>
      <w:r w:rsidR="00C7742B">
        <w:rPr>
          <w:rFonts w:ascii="Arial" w:hAnsi="Arial" w:cs="Arial"/>
          <w:sz w:val="24"/>
          <w:szCs w:val="24"/>
        </w:rPr>
        <w:t xml:space="preserve"> </w:t>
      </w:r>
      <w:r w:rsidR="00702503">
        <w:rPr>
          <w:rFonts w:ascii="Arial" w:hAnsi="Arial" w:cs="Arial"/>
          <w:sz w:val="24"/>
          <w:szCs w:val="24"/>
        </w:rPr>
        <w:t>vs 2.80</w:t>
      </w:r>
      <w:r w:rsidR="00C7742B">
        <w:rPr>
          <w:rFonts w:ascii="Arial" w:hAnsi="Arial" w:cs="Arial"/>
          <w:sz w:val="24"/>
          <w:szCs w:val="24"/>
        </w:rPr>
        <w:t xml:space="preserve"> </w:t>
      </w:r>
      <w:r w:rsidR="00C7742B" w:rsidRPr="00B11A7D">
        <w:rPr>
          <w:rFonts w:ascii="Arial" w:hAnsi="Arial" w:cs="Arial"/>
        </w:rPr>
        <w:t>±</w:t>
      </w:r>
      <w:r w:rsidR="00C7742B">
        <w:rPr>
          <w:rFonts w:ascii="Arial" w:hAnsi="Arial" w:cs="Arial"/>
        </w:rPr>
        <w:t xml:space="preserve"> </w:t>
      </w:r>
      <w:r w:rsidR="00C7742B" w:rsidRPr="00C7742B">
        <w:rPr>
          <w:rFonts w:ascii="Arial" w:hAnsi="Arial" w:cs="Arial"/>
          <w:sz w:val="24"/>
          <w:szCs w:val="24"/>
        </w:rPr>
        <w:t>0.38</w:t>
      </w:r>
      <w:r w:rsidR="00C7742B">
        <w:rPr>
          <w:rFonts w:ascii="Arial" w:hAnsi="Arial" w:cs="Arial"/>
        </w:rPr>
        <w:t xml:space="preserve"> </w:t>
      </w:r>
      <w:r w:rsidR="00702503">
        <w:rPr>
          <w:rFonts w:ascii="Arial" w:hAnsi="Arial" w:cs="Arial"/>
          <w:sz w:val="24"/>
          <w:szCs w:val="24"/>
        </w:rPr>
        <w:t xml:space="preserve">mm). The incidence of vessel wall dissection </w:t>
      </w:r>
      <w:r w:rsidR="00B569C8">
        <w:rPr>
          <w:rFonts w:ascii="Arial" w:hAnsi="Arial" w:cs="Arial"/>
          <w:sz w:val="24"/>
          <w:szCs w:val="24"/>
        </w:rPr>
        <w:t>was</w:t>
      </w:r>
      <w:r w:rsidR="00702503">
        <w:rPr>
          <w:rFonts w:ascii="Arial" w:hAnsi="Arial" w:cs="Arial"/>
          <w:sz w:val="24"/>
          <w:szCs w:val="24"/>
        </w:rPr>
        <w:t xml:space="preserve"> </w:t>
      </w:r>
      <w:r w:rsidR="00B569C8">
        <w:rPr>
          <w:rFonts w:ascii="Arial" w:hAnsi="Arial" w:cs="Arial"/>
          <w:sz w:val="24"/>
          <w:szCs w:val="24"/>
        </w:rPr>
        <w:t xml:space="preserve">considerably less in the imaging arm. (8% vs 20%) </w:t>
      </w:r>
    </w:p>
    <w:p w14:paraId="480333E9" w14:textId="77777777" w:rsidR="00840476" w:rsidRDefault="00840476" w:rsidP="00B44889">
      <w:pPr>
        <w:rPr>
          <w:rFonts w:ascii="Arial" w:hAnsi="Arial" w:cs="Arial"/>
          <w:sz w:val="24"/>
          <w:szCs w:val="24"/>
        </w:rPr>
      </w:pPr>
      <w:r w:rsidRPr="00554D58">
        <w:rPr>
          <w:rFonts w:ascii="Arial" w:hAnsi="Arial" w:cs="Arial"/>
          <w:b/>
          <w:sz w:val="24"/>
          <w:szCs w:val="24"/>
        </w:rPr>
        <w:t>Conclusion</w:t>
      </w:r>
      <w:r>
        <w:rPr>
          <w:rFonts w:ascii="Arial" w:hAnsi="Arial" w:cs="Arial"/>
          <w:sz w:val="24"/>
          <w:szCs w:val="24"/>
        </w:rPr>
        <w:t>:</w:t>
      </w:r>
      <w:r w:rsidR="008132EE">
        <w:rPr>
          <w:rFonts w:ascii="Arial" w:hAnsi="Arial" w:cs="Arial"/>
          <w:sz w:val="24"/>
          <w:szCs w:val="24"/>
        </w:rPr>
        <w:t xml:space="preserve"> </w:t>
      </w:r>
      <w:r w:rsidR="008132EE" w:rsidRPr="008132EE">
        <w:rPr>
          <w:rFonts w:ascii="Arial" w:hAnsi="Arial" w:cs="Arial"/>
          <w:sz w:val="24"/>
          <w:szCs w:val="24"/>
        </w:rPr>
        <w:t xml:space="preserve">Our study showed, larger stents were deployed and a lower incidence of vessel wall dissection in imaging-guided PCI. Studies have shown that intravascular imaging is superior to angiography in determining the appropriate stent size (diameter and length) and has a lower occurrence of dissection due to higher resolution and precision during angioplasty. However, the utility of intravascular imaging in real-time practice is much low when compared to other countries due to various factors. </w:t>
      </w:r>
    </w:p>
    <w:p w14:paraId="3DEB4E7B" w14:textId="77777777" w:rsidR="00D54095" w:rsidRDefault="008956B0" w:rsidP="00B44889">
      <w:pPr>
        <w:rPr>
          <w:rFonts w:ascii="Arial" w:hAnsi="Arial" w:cs="Arial"/>
          <w:sz w:val="24"/>
          <w:szCs w:val="24"/>
        </w:rPr>
      </w:pPr>
      <w:r w:rsidRPr="008956B0">
        <w:rPr>
          <w:rFonts w:ascii="Arial" w:hAnsi="Arial" w:cs="Arial"/>
          <w:b/>
          <w:i/>
          <w:sz w:val="24"/>
          <w:szCs w:val="24"/>
        </w:rPr>
        <w:t>Keywords</w:t>
      </w:r>
      <w:r>
        <w:rPr>
          <w:rFonts w:ascii="Arial" w:hAnsi="Arial" w:cs="Arial"/>
          <w:b/>
          <w:i/>
          <w:sz w:val="24"/>
          <w:szCs w:val="24"/>
        </w:rPr>
        <w:t xml:space="preserve">: </w:t>
      </w:r>
      <w:r w:rsidR="00E81D33">
        <w:rPr>
          <w:rFonts w:ascii="Arial" w:hAnsi="Arial" w:cs="Arial"/>
          <w:sz w:val="24"/>
          <w:szCs w:val="24"/>
        </w:rPr>
        <w:t xml:space="preserve">Percutaneous coronary intervention (PCI), Angiography, Intravascular ultrasound (IVUS), Optical coherence tomography (OCT), Stent </w:t>
      </w:r>
      <w:proofErr w:type="spellStart"/>
      <w:r w:rsidR="00E81D33">
        <w:rPr>
          <w:rFonts w:ascii="Arial" w:hAnsi="Arial" w:cs="Arial"/>
          <w:sz w:val="24"/>
          <w:szCs w:val="24"/>
        </w:rPr>
        <w:t>optimisation</w:t>
      </w:r>
      <w:proofErr w:type="spellEnd"/>
      <w:r w:rsidR="00E81D33">
        <w:rPr>
          <w:rFonts w:ascii="Arial" w:hAnsi="Arial" w:cs="Arial"/>
          <w:sz w:val="24"/>
          <w:szCs w:val="24"/>
        </w:rPr>
        <w:t>, vessel wall dissection</w:t>
      </w:r>
    </w:p>
    <w:p w14:paraId="307FC33E" w14:textId="77777777" w:rsidR="003F4B67" w:rsidRPr="00490EED" w:rsidRDefault="003F4B67" w:rsidP="00B44889">
      <w:pPr>
        <w:rPr>
          <w:rFonts w:ascii="Arial" w:hAnsi="Arial" w:cs="Arial"/>
          <w:sz w:val="24"/>
          <w:szCs w:val="24"/>
        </w:rPr>
      </w:pPr>
    </w:p>
    <w:p w14:paraId="3071DD18" w14:textId="77777777" w:rsidR="00641A5D" w:rsidRPr="00107A17" w:rsidRDefault="00B44889" w:rsidP="00B44889">
      <w:pPr>
        <w:rPr>
          <w:rFonts w:ascii="Arial" w:hAnsi="Arial" w:cs="Arial"/>
          <w:b/>
          <w:sz w:val="24"/>
          <w:szCs w:val="24"/>
        </w:rPr>
      </w:pPr>
      <w:r w:rsidRPr="00107A17">
        <w:rPr>
          <w:rFonts w:ascii="Arial" w:hAnsi="Arial" w:cs="Arial"/>
          <w:b/>
          <w:sz w:val="24"/>
          <w:szCs w:val="24"/>
        </w:rPr>
        <w:t xml:space="preserve">1. </w:t>
      </w:r>
      <w:r w:rsidR="00641A5D" w:rsidRPr="00107A17">
        <w:rPr>
          <w:rFonts w:ascii="Arial" w:hAnsi="Arial" w:cs="Arial"/>
          <w:b/>
          <w:sz w:val="24"/>
          <w:szCs w:val="24"/>
        </w:rPr>
        <w:t>INTRODUCTION</w:t>
      </w:r>
    </w:p>
    <w:p w14:paraId="1B3BA4B5" w14:textId="77777777" w:rsidR="00641A5D" w:rsidRPr="00107A17" w:rsidRDefault="00641A5D" w:rsidP="00760115">
      <w:pPr>
        <w:spacing w:line="240" w:lineRule="auto"/>
        <w:ind w:firstLine="720"/>
        <w:rPr>
          <w:rFonts w:ascii="Arial" w:hAnsi="Arial" w:cs="Arial"/>
          <w:b/>
          <w:sz w:val="24"/>
          <w:szCs w:val="24"/>
        </w:rPr>
      </w:pPr>
      <w:r w:rsidRPr="00107A17">
        <w:rPr>
          <w:rFonts w:ascii="Arial" w:hAnsi="Arial" w:cs="Arial"/>
          <w:sz w:val="24"/>
          <w:szCs w:val="24"/>
        </w:rPr>
        <w:t xml:space="preserve">Over the past few decades, significant improvements in equipment, stent technology, procedural techniques, and pharmacological therapies have led to better </w:t>
      </w:r>
      <w:r w:rsidRPr="00107A17">
        <w:rPr>
          <w:rFonts w:ascii="Arial" w:hAnsi="Arial" w:cs="Arial"/>
          <w:sz w:val="24"/>
          <w:szCs w:val="24"/>
        </w:rPr>
        <w:lastRenderedPageBreak/>
        <w:t>short and long-term outcomes following percutaneo</w:t>
      </w:r>
      <w:r w:rsidR="00A34E0E">
        <w:rPr>
          <w:rFonts w:ascii="Arial" w:hAnsi="Arial" w:cs="Arial"/>
          <w:sz w:val="24"/>
          <w:szCs w:val="24"/>
        </w:rPr>
        <w:t>us coronary intervention</w:t>
      </w:r>
      <w:r w:rsidR="00641A2C">
        <w:rPr>
          <w:rFonts w:ascii="Arial" w:hAnsi="Arial" w:cs="Arial"/>
          <w:sz w:val="24"/>
          <w:szCs w:val="24"/>
        </w:rPr>
        <w:t>¹.</w:t>
      </w:r>
      <w:r w:rsidRPr="00107A17">
        <w:rPr>
          <w:rFonts w:ascii="Arial" w:hAnsi="Arial" w:cs="Arial"/>
          <w:sz w:val="24"/>
          <w:szCs w:val="24"/>
        </w:rPr>
        <w:t xml:space="preserve"> Among these advancements, imaging guidance has emerged as a crucial factor in determining procedural success. It supports all phases of PCI—from evaluating lesion severity and planning the procedure (including stent selection, sizing, and determining landing zones), to </w:t>
      </w:r>
      <w:proofErr w:type="spellStart"/>
      <w:r w:rsidRPr="00107A17">
        <w:rPr>
          <w:rFonts w:ascii="Arial" w:hAnsi="Arial" w:cs="Arial"/>
          <w:sz w:val="24"/>
          <w:szCs w:val="24"/>
        </w:rPr>
        <w:t>optimising</w:t>
      </w:r>
      <w:proofErr w:type="spellEnd"/>
      <w:r w:rsidRPr="00107A17">
        <w:rPr>
          <w:rFonts w:ascii="Arial" w:hAnsi="Arial" w:cs="Arial"/>
          <w:sz w:val="24"/>
          <w:szCs w:val="24"/>
        </w:rPr>
        <w:t xml:space="preserve"> stent deployment and addressing immediate complications such as dissection, thrombus, or side-branch compromise. Furthermore, angiography assesses the lumen alone and not the vessel wall, which often results in misjudgment of stent sizing, potentially</w:t>
      </w:r>
      <w:r w:rsidR="002F33A3">
        <w:rPr>
          <w:rFonts w:ascii="Arial" w:hAnsi="Arial" w:cs="Arial"/>
          <w:sz w:val="24"/>
          <w:szCs w:val="24"/>
        </w:rPr>
        <w:t xml:space="preserve"> leading to geographical miss. </w:t>
      </w:r>
      <w:r w:rsidR="00D27540">
        <w:rPr>
          <w:rFonts w:ascii="Arial" w:hAnsi="Arial" w:cs="Arial"/>
          <w:sz w:val="24"/>
          <w:szCs w:val="24"/>
        </w:rPr>
        <w:t xml:space="preserve">The stent </w:t>
      </w:r>
      <w:proofErr w:type="spellStart"/>
      <w:r w:rsidR="00D27540">
        <w:rPr>
          <w:rFonts w:ascii="Arial" w:hAnsi="Arial" w:cs="Arial"/>
          <w:sz w:val="24"/>
          <w:szCs w:val="24"/>
        </w:rPr>
        <w:t>underexpansion</w:t>
      </w:r>
      <w:proofErr w:type="spellEnd"/>
      <w:r w:rsidR="00D27540">
        <w:rPr>
          <w:rFonts w:ascii="Arial" w:hAnsi="Arial" w:cs="Arial"/>
          <w:sz w:val="24"/>
          <w:szCs w:val="24"/>
        </w:rPr>
        <w:t xml:space="preserve">, </w:t>
      </w:r>
      <w:proofErr w:type="spellStart"/>
      <w:r w:rsidR="00D27540">
        <w:rPr>
          <w:rFonts w:ascii="Arial" w:hAnsi="Arial" w:cs="Arial"/>
          <w:sz w:val="24"/>
          <w:szCs w:val="24"/>
        </w:rPr>
        <w:t>malaposition</w:t>
      </w:r>
      <w:proofErr w:type="spellEnd"/>
      <w:r w:rsidR="00D27540">
        <w:rPr>
          <w:rFonts w:ascii="Arial" w:hAnsi="Arial" w:cs="Arial"/>
          <w:sz w:val="24"/>
          <w:szCs w:val="24"/>
        </w:rPr>
        <w:t>, and edge dissection are important procedural characteristics which determine clinical outcomes, such as ISR and thrombosis</w:t>
      </w:r>
    </w:p>
    <w:p w14:paraId="5A2A7610" w14:textId="77777777" w:rsidR="00B5495B" w:rsidRPr="00107A17" w:rsidRDefault="00B5495B">
      <w:pPr>
        <w:rPr>
          <w:rFonts w:ascii="Arial" w:hAnsi="Arial" w:cs="Arial"/>
        </w:rPr>
      </w:pPr>
    </w:p>
    <w:p w14:paraId="2A003A80" w14:textId="77777777" w:rsidR="00641A5D" w:rsidRPr="00107A17" w:rsidRDefault="00B44889" w:rsidP="00B44889">
      <w:pPr>
        <w:rPr>
          <w:rFonts w:ascii="Arial" w:hAnsi="Arial" w:cs="Arial"/>
          <w:b/>
          <w:sz w:val="24"/>
          <w:szCs w:val="24"/>
        </w:rPr>
      </w:pPr>
      <w:r w:rsidRPr="00107A17">
        <w:rPr>
          <w:rFonts w:ascii="Arial" w:hAnsi="Arial" w:cs="Arial"/>
          <w:b/>
          <w:sz w:val="24"/>
          <w:szCs w:val="24"/>
        </w:rPr>
        <w:t xml:space="preserve">2. </w:t>
      </w:r>
      <w:r w:rsidR="00A10605" w:rsidRPr="00107A17">
        <w:rPr>
          <w:rFonts w:ascii="Arial" w:hAnsi="Arial" w:cs="Arial"/>
          <w:b/>
          <w:sz w:val="24"/>
          <w:szCs w:val="24"/>
        </w:rPr>
        <w:t>METHODS</w:t>
      </w:r>
    </w:p>
    <w:p w14:paraId="65D10F8C" w14:textId="77777777" w:rsidR="00E35BA7" w:rsidRPr="00107A17" w:rsidRDefault="00E35BA7" w:rsidP="00760115">
      <w:pPr>
        <w:spacing w:line="240" w:lineRule="auto"/>
        <w:ind w:firstLine="720"/>
        <w:rPr>
          <w:rFonts w:ascii="Arial" w:hAnsi="Arial" w:cs="Arial"/>
          <w:sz w:val="24"/>
          <w:szCs w:val="24"/>
        </w:rPr>
      </w:pPr>
      <w:r w:rsidRPr="00107A17">
        <w:rPr>
          <w:rFonts w:ascii="Arial" w:hAnsi="Arial" w:cs="Arial"/>
          <w:sz w:val="24"/>
          <w:szCs w:val="24"/>
        </w:rPr>
        <w:t xml:space="preserve">This was an open-label, double-arm observational study approved by our Institutional Ethics Committee. Written informed consent was obtained prior to the study. A total of 100 patients </w:t>
      </w:r>
      <w:r w:rsidR="00CF1861" w:rsidRPr="00107A17">
        <w:rPr>
          <w:rFonts w:ascii="Arial" w:hAnsi="Arial" w:cs="Arial"/>
          <w:sz w:val="24"/>
          <w:szCs w:val="24"/>
        </w:rPr>
        <w:t>fulfilling the inclusion criteria were included</w:t>
      </w:r>
      <w:r w:rsidRPr="00107A17">
        <w:rPr>
          <w:rFonts w:ascii="Arial" w:hAnsi="Arial" w:cs="Arial"/>
          <w:sz w:val="24"/>
          <w:szCs w:val="24"/>
        </w:rPr>
        <w:t xml:space="preserve"> between August 2023 to July 2024. </w:t>
      </w:r>
    </w:p>
    <w:p w14:paraId="204E5FE7" w14:textId="77777777" w:rsidR="00E35BA7" w:rsidRPr="003B6833" w:rsidRDefault="00E35BA7" w:rsidP="00B44889">
      <w:pPr>
        <w:rPr>
          <w:rFonts w:ascii="Arial" w:hAnsi="Arial" w:cs="Arial"/>
          <w:b/>
          <w:sz w:val="24"/>
          <w:szCs w:val="24"/>
        </w:rPr>
      </w:pPr>
      <w:r w:rsidRPr="003B6833">
        <w:rPr>
          <w:rFonts w:ascii="Arial" w:hAnsi="Arial" w:cs="Arial"/>
          <w:b/>
          <w:sz w:val="24"/>
          <w:szCs w:val="24"/>
        </w:rPr>
        <w:t xml:space="preserve">2.1 INCLUSION AND EXCLUSION CRITERIA </w:t>
      </w:r>
    </w:p>
    <w:p w14:paraId="79C1E5EC" w14:textId="77777777" w:rsidR="002C1FBB" w:rsidRPr="00DE67A8" w:rsidRDefault="002C1FBB" w:rsidP="00760115">
      <w:pPr>
        <w:spacing w:line="240" w:lineRule="auto"/>
        <w:ind w:firstLine="360"/>
        <w:rPr>
          <w:rFonts w:ascii="Arial" w:hAnsi="Arial" w:cs="Arial"/>
          <w:sz w:val="24"/>
          <w:szCs w:val="24"/>
        </w:rPr>
      </w:pPr>
      <w:r w:rsidRPr="00DE67A8">
        <w:rPr>
          <w:rFonts w:ascii="Arial" w:hAnsi="Arial" w:cs="Arial"/>
          <w:sz w:val="24"/>
          <w:szCs w:val="24"/>
        </w:rPr>
        <w:t>Participants included in the study were adults over 18 years of age who had a diagnosis of coronary artery disease requiring treatment through either simple or complex percutaneous coronary intervention (PCI). Patients were excluded if they were hemodynamically unstable, had chronic kidney disease classified as KDIGO stage 3b or above (eGFR &lt; 45 mL/min/1.73 m²), were pregnant or breastfeeding, or had known bleeding disorders such as coagulopathies or thrombocytopenia.</w:t>
      </w:r>
    </w:p>
    <w:p w14:paraId="1E9E9A1A" w14:textId="77777777" w:rsidR="0030772F" w:rsidRPr="00107A17" w:rsidRDefault="0030772F" w:rsidP="0030772F">
      <w:pPr>
        <w:pStyle w:val="ListParagraph"/>
        <w:numPr>
          <w:ilvl w:val="1"/>
          <w:numId w:val="7"/>
        </w:numPr>
        <w:rPr>
          <w:rFonts w:ascii="Arial" w:hAnsi="Arial" w:cs="Arial"/>
          <w:b/>
          <w:sz w:val="24"/>
          <w:szCs w:val="24"/>
        </w:rPr>
      </w:pPr>
      <w:r w:rsidRPr="00107A17">
        <w:rPr>
          <w:rFonts w:ascii="Arial" w:hAnsi="Arial" w:cs="Arial"/>
          <w:b/>
          <w:sz w:val="24"/>
          <w:szCs w:val="24"/>
        </w:rPr>
        <w:t xml:space="preserve">METHODOLOGY </w:t>
      </w:r>
    </w:p>
    <w:p w14:paraId="458AAB97" w14:textId="77777777" w:rsidR="0030772F" w:rsidRPr="00107A17" w:rsidRDefault="0030772F" w:rsidP="003D764B">
      <w:pPr>
        <w:pStyle w:val="ListParagraph"/>
        <w:numPr>
          <w:ilvl w:val="0"/>
          <w:numId w:val="8"/>
        </w:numPr>
        <w:spacing w:line="240" w:lineRule="auto"/>
        <w:jc w:val="both"/>
        <w:rPr>
          <w:rFonts w:ascii="Arial" w:hAnsi="Arial" w:cs="Arial"/>
          <w:sz w:val="24"/>
          <w:szCs w:val="24"/>
        </w:rPr>
      </w:pPr>
      <w:r w:rsidRPr="00107A17">
        <w:rPr>
          <w:rFonts w:ascii="Arial" w:hAnsi="Arial" w:cs="Arial"/>
          <w:sz w:val="24"/>
          <w:szCs w:val="24"/>
        </w:rPr>
        <w:t>Relevant data pertaining to angiography and imaging-guided PCI were collected.</w:t>
      </w:r>
    </w:p>
    <w:p w14:paraId="73E59904" w14:textId="77777777" w:rsidR="0030772F" w:rsidRPr="00107A17" w:rsidRDefault="0030772F" w:rsidP="003D764B">
      <w:pPr>
        <w:pStyle w:val="ListParagraph"/>
        <w:numPr>
          <w:ilvl w:val="0"/>
          <w:numId w:val="8"/>
        </w:numPr>
        <w:spacing w:line="240" w:lineRule="auto"/>
        <w:jc w:val="both"/>
        <w:rPr>
          <w:rFonts w:ascii="Arial" w:hAnsi="Arial" w:cs="Arial"/>
          <w:sz w:val="24"/>
          <w:szCs w:val="24"/>
        </w:rPr>
      </w:pPr>
      <w:r w:rsidRPr="00107A17">
        <w:rPr>
          <w:rFonts w:ascii="Arial" w:hAnsi="Arial" w:cs="Arial"/>
          <w:sz w:val="24"/>
          <w:szCs w:val="24"/>
        </w:rPr>
        <w:t>Coronary angiography was done in all patients recruited in the study.</w:t>
      </w:r>
    </w:p>
    <w:p w14:paraId="4A2C3480" w14:textId="77777777" w:rsidR="0030772F" w:rsidRPr="00107A17" w:rsidRDefault="0030772F" w:rsidP="003D764B">
      <w:pPr>
        <w:pStyle w:val="ListParagraph"/>
        <w:numPr>
          <w:ilvl w:val="0"/>
          <w:numId w:val="8"/>
        </w:numPr>
        <w:spacing w:line="240" w:lineRule="auto"/>
        <w:jc w:val="both"/>
        <w:rPr>
          <w:rFonts w:ascii="Arial" w:hAnsi="Arial" w:cs="Arial"/>
          <w:sz w:val="24"/>
          <w:szCs w:val="24"/>
        </w:rPr>
      </w:pPr>
      <w:r w:rsidRPr="00107A17">
        <w:rPr>
          <w:rFonts w:ascii="Arial" w:hAnsi="Arial" w:cs="Arial"/>
          <w:sz w:val="24"/>
          <w:szCs w:val="24"/>
        </w:rPr>
        <w:t>IVUS/OCT run was done prior to stent deployment to assess the characteristics of the lesion (fibroma, calcification) and to decide the appropriate stent length and diameter.</w:t>
      </w:r>
    </w:p>
    <w:p w14:paraId="1CE6EAB1" w14:textId="77777777" w:rsidR="0030772F" w:rsidRPr="00107A17" w:rsidRDefault="0030772F" w:rsidP="003D764B">
      <w:pPr>
        <w:pStyle w:val="ListParagraph"/>
        <w:numPr>
          <w:ilvl w:val="0"/>
          <w:numId w:val="8"/>
        </w:numPr>
        <w:spacing w:line="240" w:lineRule="auto"/>
        <w:jc w:val="both"/>
        <w:rPr>
          <w:rFonts w:ascii="Arial" w:hAnsi="Arial" w:cs="Arial"/>
          <w:sz w:val="24"/>
          <w:szCs w:val="24"/>
        </w:rPr>
      </w:pPr>
      <w:r w:rsidRPr="00107A17">
        <w:rPr>
          <w:rFonts w:ascii="Arial" w:hAnsi="Arial" w:cs="Arial"/>
          <w:sz w:val="24"/>
          <w:szCs w:val="24"/>
        </w:rPr>
        <w:t>A final run of IVUS/OCT was done after the deployment of the stent to assess MSA, stent malposition, expansion and dissection.</w:t>
      </w:r>
    </w:p>
    <w:p w14:paraId="61C65A1F" w14:textId="77777777" w:rsidR="0030772F" w:rsidRPr="00107A17" w:rsidRDefault="0030772F" w:rsidP="003D764B">
      <w:pPr>
        <w:pStyle w:val="ListParagraph"/>
        <w:numPr>
          <w:ilvl w:val="0"/>
          <w:numId w:val="8"/>
        </w:numPr>
        <w:spacing w:line="240" w:lineRule="auto"/>
        <w:jc w:val="both"/>
        <w:rPr>
          <w:rFonts w:ascii="Arial" w:hAnsi="Arial" w:cs="Arial"/>
          <w:sz w:val="24"/>
          <w:szCs w:val="24"/>
        </w:rPr>
      </w:pPr>
      <w:r w:rsidRPr="00107A17">
        <w:rPr>
          <w:rFonts w:ascii="Arial" w:hAnsi="Arial" w:cs="Arial"/>
          <w:sz w:val="24"/>
          <w:szCs w:val="24"/>
        </w:rPr>
        <w:t xml:space="preserve">The </w:t>
      </w:r>
      <w:r w:rsidRPr="00107A17">
        <w:rPr>
          <w:rFonts w:ascii="Arial" w:hAnsi="Arial" w:cs="Arial"/>
          <w:b/>
          <w:sz w:val="24"/>
          <w:szCs w:val="24"/>
        </w:rPr>
        <w:t>MLD-MAX</w:t>
      </w:r>
      <w:r w:rsidRPr="00107A17">
        <w:rPr>
          <w:rFonts w:ascii="Arial" w:hAnsi="Arial" w:cs="Arial"/>
          <w:sz w:val="24"/>
          <w:szCs w:val="24"/>
        </w:rPr>
        <w:t xml:space="preserve"> algorithm was used for OCT-guided PCI.</w:t>
      </w:r>
    </w:p>
    <w:p w14:paraId="117C3E97" w14:textId="77777777" w:rsidR="000221C5" w:rsidRPr="00576EF6" w:rsidRDefault="0030772F" w:rsidP="000221C5">
      <w:pPr>
        <w:pStyle w:val="ListParagraph"/>
        <w:numPr>
          <w:ilvl w:val="0"/>
          <w:numId w:val="8"/>
        </w:numPr>
        <w:spacing w:line="240" w:lineRule="auto"/>
        <w:jc w:val="both"/>
        <w:rPr>
          <w:rFonts w:ascii="Arial" w:hAnsi="Arial" w:cs="Arial"/>
          <w:sz w:val="24"/>
          <w:szCs w:val="24"/>
        </w:rPr>
      </w:pPr>
      <w:r w:rsidRPr="00107A17">
        <w:rPr>
          <w:rFonts w:ascii="Arial" w:hAnsi="Arial" w:cs="Arial"/>
          <w:b/>
          <w:sz w:val="24"/>
          <w:szCs w:val="24"/>
        </w:rPr>
        <w:t xml:space="preserve">Stent </w:t>
      </w:r>
      <w:proofErr w:type="spellStart"/>
      <w:r w:rsidRPr="00107A17">
        <w:rPr>
          <w:rFonts w:ascii="Arial" w:hAnsi="Arial" w:cs="Arial"/>
          <w:b/>
          <w:sz w:val="24"/>
          <w:szCs w:val="24"/>
        </w:rPr>
        <w:t>optimisation</w:t>
      </w:r>
      <w:proofErr w:type="spellEnd"/>
      <w:r w:rsidRPr="00107A17">
        <w:rPr>
          <w:rFonts w:ascii="Arial" w:hAnsi="Arial" w:cs="Arial"/>
          <w:sz w:val="24"/>
          <w:szCs w:val="24"/>
        </w:rPr>
        <w:t xml:space="preserve">- In angiography-guided PCI, stent expansion and dissection were determined by visual assessment. Residual stenosis of &lt;10% of the reference-vessel diameter was acceptable. Whereas in the imaging arm, the criteria of adequate stent </w:t>
      </w:r>
      <w:proofErr w:type="spellStart"/>
      <w:r w:rsidRPr="00107A17">
        <w:rPr>
          <w:rFonts w:ascii="Arial" w:hAnsi="Arial" w:cs="Arial"/>
          <w:sz w:val="24"/>
          <w:szCs w:val="24"/>
        </w:rPr>
        <w:t>optimisation</w:t>
      </w:r>
      <w:proofErr w:type="spellEnd"/>
      <w:r w:rsidRPr="00107A17">
        <w:rPr>
          <w:rFonts w:ascii="Arial" w:hAnsi="Arial" w:cs="Arial"/>
          <w:sz w:val="24"/>
          <w:szCs w:val="24"/>
        </w:rPr>
        <w:t xml:space="preserve"> included residual stenosis of &lt;10% of reference-vessel diameter, minimum stent area (MSA) of more than 80% of the mean reference lumen area.  </w:t>
      </w:r>
    </w:p>
    <w:p w14:paraId="6679ECD6" w14:textId="77777777" w:rsidR="007D39F3" w:rsidRDefault="007D39F3" w:rsidP="007D39F3">
      <w:pPr>
        <w:pStyle w:val="ListParagraph"/>
        <w:spacing w:line="240" w:lineRule="auto"/>
        <w:jc w:val="both"/>
        <w:rPr>
          <w:rFonts w:ascii="Arial" w:hAnsi="Arial" w:cs="Arial"/>
          <w:sz w:val="24"/>
          <w:szCs w:val="24"/>
        </w:rPr>
      </w:pPr>
    </w:p>
    <w:p w14:paraId="6E7FC09B" w14:textId="77777777" w:rsidR="007D39F3" w:rsidRDefault="008A0DC9" w:rsidP="007D39F3">
      <w:pPr>
        <w:pStyle w:val="ListParagraph"/>
        <w:numPr>
          <w:ilvl w:val="1"/>
          <w:numId w:val="7"/>
        </w:numPr>
        <w:spacing w:line="240" w:lineRule="auto"/>
        <w:jc w:val="both"/>
        <w:rPr>
          <w:rFonts w:ascii="Arial" w:hAnsi="Arial" w:cs="Arial"/>
          <w:b/>
          <w:sz w:val="24"/>
          <w:szCs w:val="24"/>
        </w:rPr>
      </w:pPr>
      <w:r w:rsidRPr="007D39F3">
        <w:rPr>
          <w:rFonts w:ascii="Arial" w:hAnsi="Arial" w:cs="Arial"/>
          <w:b/>
          <w:sz w:val="24"/>
          <w:szCs w:val="24"/>
        </w:rPr>
        <w:t xml:space="preserve">OUTCOME VARIABLES </w:t>
      </w:r>
    </w:p>
    <w:p w14:paraId="360CE59B" w14:textId="77777777" w:rsidR="007D39F3" w:rsidRDefault="007D39F3" w:rsidP="00760115">
      <w:pPr>
        <w:spacing w:line="240" w:lineRule="auto"/>
        <w:ind w:firstLine="360"/>
        <w:jc w:val="both"/>
        <w:rPr>
          <w:rFonts w:ascii="Arial" w:hAnsi="Arial" w:cs="Arial"/>
          <w:sz w:val="24"/>
          <w:szCs w:val="24"/>
        </w:rPr>
      </w:pPr>
      <w:r>
        <w:rPr>
          <w:rFonts w:ascii="Arial" w:hAnsi="Arial" w:cs="Arial"/>
          <w:sz w:val="24"/>
          <w:szCs w:val="24"/>
        </w:rPr>
        <w:t>The primary outcome variable was intracoronary stent size, which includes length and diameter and</w:t>
      </w:r>
      <w:r w:rsidR="00F41833">
        <w:rPr>
          <w:rFonts w:ascii="Arial" w:hAnsi="Arial" w:cs="Arial"/>
          <w:sz w:val="24"/>
          <w:szCs w:val="24"/>
        </w:rPr>
        <w:t xml:space="preserve"> vessel</w:t>
      </w:r>
      <w:r>
        <w:rPr>
          <w:rFonts w:ascii="Arial" w:hAnsi="Arial" w:cs="Arial"/>
          <w:sz w:val="24"/>
          <w:szCs w:val="24"/>
        </w:rPr>
        <w:t xml:space="preserve"> dissection after stent deployment. </w:t>
      </w:r>
    </w:p>
    <w:p w14:paraId="27D14958" w14:textId="77777777" w:rsidR="00DB7E85" w:rsidRPr="00500E18" w:rsidRDefault="00DB7E85" w:rsidP="00500E18">
      <w:pPr>
        <w:pStyle w:val="ListParagraph"/>
        <w:numPr>
          <w:ilvl w:val="1"/>
          <w:numId w:val="7"/>
        </w:numPr>
        <w:spacing w:line="240" w:lineRule="auto"/>
        <w:jc w:val="both"/>
        <w:rPr>
          <w:rFonts w:ascii="Arial" w:hAnsi="Arial" w:cs="Arial"/>
          <w:b/>
          <w:sz w:val="24"/>
          <w:szCs w:val="24"/>
        </w:rPr>
      </w:pPr>
      <w:r w:rsidRPr="00500E18">
        <w:rPr>
          <w:rFonts w:ascii="Arial" w:hAnsi="Arial" w:cs="Arial"/>
          <w:b/>
          <w:sz w:val="24"/>
          <w:szCs w:val="24"/>
        </w:rPr>
        <w:lastRenderedPageBreak/>
        <w:t xml:space="preserve">STATISTICAL ANALYSIS </w:t>
      </w:r>
    </w:p>
    <w:p w14:paraId="22F78D3D" w14:textId="77777777" w:rsidR="00445049" w:rsidRDefault="008B6A28" w:rsidP="00760115">
      <w:pPr>
        <w:ind w:firstLine="360"/>
        <w:rPr>
          <w:rFonts w:ascii="Arial" w:hAnsi="Arial" w:cs="Arial"/>
          <w:sz w:val="24"/>
          <w:szCs w:val="24"/>
        </w:rPr>
      </w:pPr>
      <w:r>
        <w:rPr>
          <w:rFonts w:ascii="Arial" w:hAnsi="Arial" w:cs="Arial"/>
          <w:sz w:val="24"/>
          <w:szCs w:val="24"/>
        </w:rPr>
        <w:t>The</w:t>
      </w:r>
      <w:r w:rsidR="00445049" w:rsidRPr="00445049">
        <w:rPr>
          <w:rFonts w:ascii="Arial" w:hAnsi="Arial" w:cs="Arial"/>
          <w:sz w:val="24"/>
          <w:szCs w:val="24"/>
        </w:rPr>
        <w:t xml:space="preserve"> summary statistics were presented with Mean ± SD and</w:t>
      </w:r>
      <w:r w:rsidR="00445049">
        <w:rPr>
          <w:rFonts w:ascii="Arial" w:hAnsi="Arial" w:cs="Arial"/>
          <w:sz w:val="24"/>
          <w:szCs w:val="24"/>
        </w:rPr>
        <w:t xml:space="preserve"> frequency (percentage) for the </w:t>
      </w:r>
      <w:r w:rsidR="00445049" w:rsidRPr="00445049">
        <w:rPr>
          <w:rFonts w:ascii="Arial" w:hAnsi="Arial" w:cs="Arial"/>
          <w:sz w:val="24"/>
          <w:szCs w:val="24"/>
        </w:rPr>
        <w:t>continuous and categorical factors</w:t>
      </w:r>
      <w:r w:rsidR="00445049">
        <w:rPr>
          <w:rFonts w:ascii="Arial" w:hAnsi="Arial" w:cs="Arial"/>
          <w:sz w:val="24"/>
          <w:szCs w:val="24"/>
        </w:rPr>
        <w:t>,</w:t>
      </w:r>
      <w:r w:rsidR="00445049" w:rsidRPr="00445049">
        <w:rPr>
          <w:rFonts w:ascii="Arial" w:hAnsi="Arial" w:cs="Arial"/>
          <w:sz w:val="24"/>
          <w:szCs w:val="24"/>
        </w:rPr>
        <w:t xml:space="preserve"> respectively. The normal</w:t>
      </w:r>
      <w:r w:rsidR="00445049">
        <w:rPr>
          <w:rFonts w:ascii="Arial" w:hAnsi="Arial" w:cs="Arial"/>
          <w:sz w:val="24"/>
          <w:szCs w:val="24"/>
        </w:rPr>
        <w:t xml:space="preserve">ity of the data was tested using the </w:t>
      </w:r>
      <w:r w:rsidR="00445049" w:rsidRPr="00445049">
        <w:rPr>
          <w:rFonts w:ascii="Arial" w:hAnsi="Arial" w:cs="Arial"/>
          <w:sz w:val="24"/>
          <w:szCs w:val="24"/>
        </w:rPr>
        <w:t>Shapiro-Wilk test. Student’s t-test was used to deter</w:t>
      </w:r>
      <w:r w:rsidR="00445049">
        <w:rPr>
          <w:rFonts w:ascii="Arial" w:hAnsi="Arial" w:cs="Arial"/>
          <w:sz w:val="24"/>
          <w:szCs w:val="24"/>
        </w:rPr>
        <w:t xml:space="preserve">mine the significant changes in </w:t>
      </w:r>
      <w:r w:rsidR="00445049" w:rsidRPr="00445049">
        <w:rPr>
          <w:rFonts w:ascii="Arial" w:hAnsi="Arial" w:cs="Arial"/>
          <w:sz w:val="24"/>
          <w:szCs w:val="24"/>
        </w:rPr>
        <w:t>the age</w:t>
      </w:r>
      <w:r w:rsidR="00445049">
        <w:rPr>
          <w:rFonts w:ascii="Arial" w:hAnsi="Arial" w:cs="Arial"/>
          <w:sz w:val="24"/>
          <w:szCs w:val="24"/>
        </w:rPr>
        <w:t xml:space="preserve"> and ejection</w:t>
      </w:r>
      <w:r w:rsidR="00445049" w:rsidRPr="00445049">
        <w:rPr>
          <w:rFonts w:ascii="Arial" w:hAnsi="Arial" w:cs="Arial"/>
          <w:sz w:val="24"/>
          <w:szCs w:val="24"/>
        </w:rPr>
        <w:t xml:space="preserve"> fraction between Angiographi</w:t>
      </w:r>
      <w:r w:rsidR="00445049">
        <w:rPr>
          <w:rFonts w:ascii="Arial" w:hAnsi="Arial" w:cs="Arial"/>
          <w:sz w:val="24"/>
          <w:szCs w:val="24"/>
        </w:rPr>
        <w:t>c and Imaging-guided PCIs. Chi-Square</w:t>
      </w:r>
      <w:r w:rsidR="00445049" w:rsidRPr="00445049">
        <w:rPr>
          <w:rFonts w:ascii="Arial" w:hAnsi="Arial" w:cs="Arial"/>
          <w:sz w:val="24"/>
          <w:szCs w:val="24"/>
        </w:rPr>
        <w:t>/Fisher’s exact test was used to determine the association between two independen</w:t>
      </w:r>
      <w:r w:rsidR="00445049">
        <w:rPr>
          <w:rFonts w:ascii="Arial" w:hAnsi="Arial" w:cs="Arial"/>
          <w:sz w:val="24"/>
          <w:szCs w:val="24"/>
        </w:rPr>
        <w:t xml:space="preserve">t </w:t>
      </w:r>
      <w:r w:rsidR="00445049" w:rsidRPr="00445049">
        <w:rPr>
          <w:rFonts w:ascii="Arial" w:hAnsi="Arial" w:cs="Arial"/>
          <w:sz w:val="24"/>
          <w:szCs w:val="24"/>
        </w:rPr>
        <w:t xml:space="preserve">categorical factors. P-value &amp;lt;0.05 </w:t>
      </w:r>
      <w:r w:rsidR="00445049">
        <w:rPr>
          <w:rFonts w:ascii="Arial" w:hAnsi="Arial" w:cs="Arial"/>
          <w:sz w:val="24"/>
          <w:szCs w:val="24"/>
        </w:rPr>
        <w:t xml:space="preserve">is </w:t>
      </w:r>
      <w:r w:rsidR="00445049" w:rsidRPr="00445049">
        <w:rPr>
          <w:rFonts w:ascii="Arial" w:hAnsi="Arial" w:cs="Arial"/>
          <w:sz w:val="24"/>
          <w:szCs w:val="24"/>
        </w:rPr>
        <w:t>considered statistical si</w:t>
      </w:r>
      <w:r w:rsidR="00445049">
        <w:rPr>
          <w:rFonts w:ascii="Arial" w:hAnsi="Arial" w:cs="Arial"/>
          <w:sz w:val="24"/>
          <w:szCs w:val="24"/>
        </w:rPr>
        <w:t xml:space="preserve">gnificance. All the statistical </w:t>
      </w:r>
      <w:r w:rsidR="00445049" w:rsidRPr="00445049">
        <w:rPr>
          <w:rFonts w:ascii="Arial" w:hAnsi="Arial" w:cs="Arial"/>
          <w:sz w:val="24"/>
          <w:szCs w:val="24"/>
        </w:rPr>
        <w:t>analysis was carried out using SPSS (IBM, 28.0)</w:t>
      </w:r>
    </w:p>
    <w:p w14:paraId="0DF20F97" w14:textId="77777777" w:rsidR="00445049" w:rsidRDefault="00445049" w:rsidP="00445049">
      <w:pPr>
        <w:rPr>
          <w:rFonts w:ascii="Arial" w:hAnsi="Arial" w:cs="Arial"/>
          <w:sz w:val="24"/>
          <w:szCs w:val="24"/>
        </w:rPr>
      </w:pPr>
    </w:p>
    <w:p w14:paraId="1A4CD0B3" w14:textId="77777777" w:rsidR="00764225" w:rsidRDefault="00B44889" w:rsidP="00445049">
      <w:pPr>
        <w:rPr>
          <w:rFonts w:ascii="Arial" w:hAnsi="Arial" w:cs="Arial"/>
          <w:b/>
          <w:sz w:val="24"/>
          <w:szCs w:val="24"/>
        </w:rPr>
      </w:pPr>
      <w:r w:rsidRPr="00107A17">
        <w:rPr>
          <w:rFonts w:ascii="Arial" w:hAnsi="Arial" w:cs="Arial"/>
          <w:b/>
          <w:sz w:val="24"/>
          <w:szCs w:val="24"/>
        </w:rPr>
        <w:t xml:space="preserve">3. </w:t>
      </w:r>
      <w:r w:rsidR="00BD7F5B" w:rsidRPr="00107A17">
        <w:rPr>
          <w:rFonts w:ascii="Arial" w:hAnsi="Arial" w:cs="Arial"/>
          <w:b/>
          <w:sz w:val="24"/>
          <w:szCs w:val="24"/>
        </w:rPr>
        <w:t>RESULTS</w:t>
      </w:r>
    </w:p>
    <w:p w14:paraId="0FEF2963" w14:textId="77777777" w:rsidR="00A02CC8" w:rsidRPr="003D1A4C" w:rsidRDefault="003D1A4C" w:rsidP="00445049">
      <w:pPr>
        <w:rPr>
          <w:rFonts w:ascii="Arial" w:hAnsi="Arial" w:cs="Arial"/>
          <w:sz w:val="24"/>
          <w:szCs w:val="24"/>
        </w:rPr>
      </w:pPr>
      <w:r w:rsidRPr="003D1A4C">
        <w:rPr>
          <w:rFonts w:ascii="Arial" w:hAnsi="Arial" w:cs="Arial"/>
          <w:sz w:val="24"/>
          <w:szCs w:val="24"/>
        </w:rPr>
        <w:tab/>
        <w:t xml:space="preserve">The baseline characteristics of patients undergoing angiography-guided PCI (n=50) and imaging-guided PCI (n=50) were </w:t>
      </w:r>
      <w:r w:rsidR="00B9296C">
        <w:rPr>
          <w:rFonts w:ascii="Arial" w:hAnsi="Arial" w:cs="Arial"/>
          <w:sz w:val="24"/>
          <w:szCs w:val="24"/>
        </w:rPr>
        <w:t>comparable across demography and clinical variables</w:t>
      </w:r>
      <w:r w:rsidR="00841E3F">
        <w:rPr>
          <w:rFonts w:ascii="Arial" w:hAnsi="Arial" w:cs="Arial"/>
          <w:sz w:val="24"/>
          <w:szCs w:val="24"/>
        </w:rPr>
        <w:t>,</w:t>
      </w:r>
      <w:r w:rsidR="00314AEB">
        <w:rPr>
          <w:rFonts w:ascii="Arial" w:hAnsi="Arial" w:cs="Arial"/>
          <w:sz w:val="24"/>
          <w:szCs w:val="24"/>
        </w:rPr>
        <w:t xml:space="preserve"> as illustrated in </w:t>
      </w:r>
      <w:r w:rsidR="00314AEB" w:rsidRPr="00555E90">
        <w:rPr>
          <w:rFonts w:ascii="Arial" w:hAnsi="Arial" w:cs="Arial"/>
          <w:b/>
          <w:sz w:val="24"/>
          <w:szCs w:val="24"/>
        </w:rPr>
        <w:t>Table 1</w:t>
      </w:r>
      <w:r w:rsidRPr="003D1A4C">
        <w:rPr>
          <w:rFonts w:ascii="Arial" w:hAnsi="Arial" w:cs="Arial"/>
          <w:sz w:val="24"/>
          <w:szCs w:val="24"/>
        </w:rPr>
        <w:t>. The mean age in the angiography-guided group was 58.16 ± 10.86 years, while it was slightly higher in the imaging-guided group at 61.88 ± 8.98 years. The majority of patients in both</w:t>
      </w:r>
      <w:r w:rsidR="00401417">
        <w:rPr>
          <w:rFonts w:ascii="Arial" w:hAnsi="Arial" w:cs="Arial"/>
          <w:sz w:val="24"/>
          <w:szCs w:val="24"/>
        </w:rPr>
        <w:t xml:space="preserve"> groups were male, with 82</w:t>
      </w:r>
      <w:r w:rsidR="00B9296C">
        <w:rPr>
          <w:rFonts w:ascii="Arial" w:hAnsi="Arial" w:cs="Arial"/>
          <w:sz w:val="24"/>
          <w:szCs w:val="24"/>
        </w:rPr>
        <w:t>% in the angiography group and 80%</w:t>
      </w:r>
      <w:r w:rsidRPr="003D1A4C">
        <w:rPr>
          <w:rFonts w:ascii="Arial" w:hAnsi="Arial" w:cs="Arial"/>
          <w:sz w:val="24"/>
          <w:szCs w:val="24"/>
        </w:rPr>
        <w:t xml:space="preserve"> in the imaging group. </w:t>
      </w:r>
      <w:r w:rsidR="004D34D0">
        <w:rPr>
          <w:rFonts w:ascii="Arial" w:hAnsi="Arial" w:cs="Arial"/>
          <w:sz w:val="24"/>
          <w:szCs w:val="24"/>
        </w:rPr>
        <w:t xml:space="preserve">The most common risk factor associated was diabetes </w:t>
      </w:r>
      <w:r w:rsidR="00D07C48">
        <w:rPr>
          <w:rFonts w:ascii="Arial" w:hAnsi="Arial" w:cs="Arial"/>
          <w:sz w:val="24"/>
          <w:szCs w:val="24"/>
        </w:rPr>
        <w:t>(62% vs 72</w:t>
      </w:r>
      <w:r w:rsidR="004D34D0">
        <w:rPr>
          <w:rFonts w:ascii="Arial" w:hAnsi="Arial" w:cs="Arial"/>
          <w:sz w:val="24"/>
          <w:szCs w:val="24"/>
        </w:rPr>
        <w:t>%) in both grou</w:t>
      </w:r>
      <w:r w:rsidR="009E62E9">
        <w:rPr>
          <w:rFonts w:ascii="Arial" w:hAnsi="Arial" w:cs="Arial"/>
          <w:sz w:val="24"/>
          <w:szCs w:val="24"/>
        </w:rPr>
        <w:t>ps, followed by hypertension (66% vs 64%) and dyslipidemia (58% vs 48</w:t>
      </w:r>
      <w:r w:rsidR="004D34D0">
        <w:rPr>
          <w:rFonts w:ascii="Arial" w:hAnsi="Arial" w:cs="Arial"/>
          <w:sz w:val="24"/>
          <w:szCs w:val="24"/>
        </w:rPr>
        <w:t>%)</w:t>
      </w:r>
      <w:r w:rsidRPr="003D1A4C">
        <w:rPr>
          <w:rFonts w:ascii="Arial" w:hAnsi="Arial" w:cs="Arial"/>
          <w:sz w:val="24"/>
          <w:szCs w:val="24"/>
        </w:rPr>
        <w:t xml:space="preserve">. </w:t>
      </w:r>
      <w:r w:rsidR="00A84BE1">
        <w:rPr>
          <w:rFonts w:ascii="Arial" w:hAnsi="Arial" w:cs="Arial"/>
          <w:sz w:val="24"/>
          <w:szCs w:val="24"/>
        </w:rPr>
        <w:t>There was no in-between group difference with respect to smoking history</w:t>
      </w:r>
      <w:r w:rsidRPr="003D1A4C">
        <w:rPr>
          <w:rFonts w:ascii="Arial" w:hAnsi="Arial" w:cs="Arial"/>
          <w:sz w:val="24"/>
          <w:szCs w:val="24"/>
        </w:rPr>
        <w:t>. The mean left ventricular ejection fraction was similar in both groups, at 56.32 ± 7.96% in the angiography-guided group and 55.82 ± 8.88% in the imaging-guided group. Notably, acute coronary syndrome (ACS) was more common in the ang</w:t>
      </w:r>
      <w:r w:rsidR="002755E0">
        <w:rPr>
          <w:rFonts w:ascii="Arial" w:hAnsi="Arial" w:cs="Arial"/>
          <w:sz w:val="24"/>
          <w:szCs w:val="24"/>
        </w:rPr>
        <w:t>iography-guided group (68</w:t>
      </w:r>
      <w:r w:rsidR="00B86295">
        <w:rPr>
          <w:rFonts w:ascii="Arial" w:hAnsi="Arial" w:cs="Arial"/>
          <w:sz w:val="24"/>
          <w:szCs w:val="24"/>
        </w:rPr>
        <w:t>%</w:t>
      </w:r>
      <w:r w:rsidR="002755E0">
        <w:rPr>
          <w:rFonts w:ascii="Arial" w:hAnsi="Arial" w:cs="Arial"/>
          <w:sz w:val="24"/>
          <w:szCs w:val="24"/>
        </w:rPr>
        <w:t xml:space="preserve"> vs 48</w:t>
      </w:r>
      <w:r w:rsidR="00B86295">
        <w:rPr>
          <w:rFonts w:ascii="Arial" w:hAnsi="Arial" w:cs="Arial"/>
          <w:sz w:val="24"/>
          <w:szCs w:val="24"/>
        </w:rPr>
        <w:t>%</w:t>
      </w:r>
      <w:r w:rsidRPr="003D1A4C">
        <w:rPr>
          <w:rFonts w:ascii="Arial" w:hAnsi="Arial" w:cs="Arial"/>
          <w:sz w:val="24"/>
          <w:szCs w:val="24"/>
        </w:rPr>
        <w:t>), whereas chronic coronary syndrome (CCS) was more frequent in the</w:t>
      </w:r>
      <w:r w:rsidR="002755E0">
        <w:rPr>
          <w:rFonts w:ascii="Arial" w:hAnsi="Arial" w:cs="Arial"/>
          <w:sz w:val="24"/>
          <w:szCs w:val="24"/>
        </w:rPr>
        <w:t xml:space="preserve"> imaging-guided group (52% vs 32%</w:t>
      </w:r>
      <w:r w:rsidRPr="003D1A4C">
        <w:rPr>
          <w:rFonts w:ascii="Arial" w:hAnsi="Arial" w:cs="Arial"/>
          <w:sz w:val="24"/>
          <w:szCs w:val="24"/>
        </w:rPr>
        <w:t>).</w:t>
      </w:r>
    </w:p>
    <w:p w14:paraId="651383F1" w14:textId="77777777" w:rsidR="00600D76" w:rsidRPr="00475D57" w:rsidRDefault="00972F51" w:rsidP="00B44889">
      <w:pPr>
        <w:rPr>
          <w:rFonts w:ascii="Arial" w:hAnsi="Arial" w:cs="Arial"/>
          <w:b/>
          <w:sz w:val="24"/>
          <w:szCs w:val="24"/>
        </w:rPr>
      </w:pPr>
      <w:r w:rsidRPr="00475D57">
        <w:rPr>
          <w:rFonts w:ascii="Arial" w:hAnsi="Arial" w:cs="Arial"/>
          <w:b/>
          <w:sz w:val="24"/>
          <w:szCs w:val="24"/>
        </w:rPr>
        <w:t xml:space="preserve">Table </w:t>
      </w:r>
      <w:r w:rsidR="00600D76" w:rsidRPr="00475D57">
        <w:rPr>
          <w:rFonts w:ascii="Arial" w:hAnsi="Arial" w:cs="Arial"/>
          <w:b/>
          <w:sz w:val="24"/>
          <w:szCs w:val="24"/>
        </w:rPr>
        <w:t>1</w:t>
      </w:r>
      <w:r w:rsidRPr="00475D57">
        <w:rPr>
          <w:rFonts w:ascii="Arial" w:hAnsi="Arial" w:cs="Arial"/>
          <w:b/>
          <w:sz w:val="24"/>
          <w:szCs w:val="24"/>
        </w:rPr>
        <w:t>:</w:t>
      </w:r>
      <w:r w:rsidR="00475D57" w:rsidRPr="00475D57">
        <w:rPr>
          <w:rFonts w:ascii="Arial" w:hAnsi="Arial" w:cs="Arial"/>
          <w:b/>
          <w:sz w:val="24"/>
          <w:szCs w:val="24"/>
        </w:rPr>
        <w:t xml:space="preserve"> </w:t>
      </w:r>
      <w:r w:rsidR="00475D57">
        <w:rPr>
          <w:rFonts w:ascii="Arial" w:hAnsi="Arial" w:cs="Arial"/>
          <w:b/>
          <w:sz w:val="24"/>
          <w:szCs w:val="24"/>
        </w:rPr>
        <w:t>Comparison of d</w:t>
      </w:r>
      <w:r w:rsidR="00475D57" w:rsidRPr="00475D57">
        <w:rPr>
          <w:rFonts w:ascii="Arial" w:hAnsi="Arial" w:cs="Arial"/>
          <w:b/>
          <w:sz w:val="24"/>
          <w:szCs w:val="24"/>
        </w:rPr>
        <w:t xml:space="preserve">emography, risk factors and clinical factors </w:t>
      </w:r>
    </w:p>
    <w:tbl>
      <w:tblPr>
        <w:tblStyle w:val="TableGrid"/>
        <w:tblW w:w="0" w:type="auto"/>
        <w:tblLook w:val="04A0" w:firstRow="1" w:lastRow="0" w:firstColumn="1" w:lastColumn="0" w:noHBand="0" w:noVBand="1"/>
      </w:tblPr>
      <w:tblGrid>
        <w:gridCol w:w="2479"/>
        <w:gridCol w:w="2795"/>
        <w:gridCol w:w="2282"/>
      </w:tblGrid>
      <w:tr w:rsidR="009274C8" w14:paraId="3D6D0D9C" w14:textId="77777777" w:rsidTr="00EB6080">
        <w:trPr>
          <w:trHeight w:val="506"/>
        </w:trPr>
        <w:tc>
          <w:tcPr>
            <w:tcW w:w="0" w:type="auto"/>
          </w:tcPr>
          <w:p w14:paraId="38B9B19B" w14:textId="77777777" w:rsidR="009274C8" w:rsidRPr="0052066D" w:rsidRDefault="009274C8" w:rsidP="00C1003E">
            <w:pPr>
              <w:jc w:val="center"/>
              <w:rPr>
                <w:rFonts w:ascii="Arial" w:hAnsi="Arial" w:cs="Arial"/>
                <w:b/>
              </w:rPr>
            </w:pPr>
            <w:r w:rsidRPr="0052066D">
              <w:rPr>
                <w:rFonts w:ascii="Arial" w:hAnsi="Arial" w:cs="Arial"/>
                <w:b/>
              </w:rPr>
              <w:t>Parameter</w:t>
            </w:r>
          </w:p>
        </w:tc>
        <w:tc>
          <w:tcPr>
            <w:tcW w:w="0" w:type="auto"/>
          </w:tcPr>
          <w:p w14:paraId="46DF6737" w14:textId="77777777" w:rsidR="009274C8" w:rsidRPr="0052066D" w:rsidRDefault="009274C8" w:rsidP="00C1003E">
            <w:pPr>
              <w:jc w:val="center"/>
              <w:rPr>
                <w:rFonts w:ascii="Arial" w:hAnsi="Arial" w:cs="Arial"/>
                <w:b/>
              </w:rPr>
            </w:pPr>
            <w:r w:rsidRPr="0052066D">
              <w:rPr>
                <w:rFonts w:ascii="Arial" w:hAnsi="Arial" w:cs="Arial"/>
                <w:b/>
              </w:rPr>
              <w:t>Angiography-guided PCI</w:t>
            </w:r>
          </w:p>
          <w:p w14:paraId="03879601" w14:textId="77777777" w:rsidR="009274C8" w:rsidRPr="0052066D" w:rsidRDefault="009274C8" w:rsidP="00C1003E">
            <w:pPr>
              <w:jc w:val="center"/>
              <w:rPr>
                <w:rFonts w:ascii="Arial" w:hAnsi="Arial" w:cs="Arial"/>
                <w:b/>
              </w:rPr>
            </w:pPr>
            <w:r w:rsidRPr="0052066D">
              <w:rPr>
                <w:rFonts w:ascii="Arial" w:hAnsi="Arial" w:cs="Arial"/>
                <w:b/>
              </w:rPr>
              <w:t>N= 50</w:t>
            </w:r>
          </w:p>
        </w:tc>
        <w:tc>
          <w:tcPr>
            <w:tcW w:w="0" w:type="auto"/>
          </w:tcPr>
          <w:p w14:paraId="039262DC" w14:textId="77777777" w:rsidR="009274C8" w:rsidRPr="0052066D" w:rsidRDefault="009274C8" w:rsidP="00C1003E">
            <w:pPr>
              <w:jc w:val="center"/>
              <w:rPr>
                <w:rFonts w:ascii="Arial" w:hAnsi="Arial" w:cs="Arial"/>
                <w:b/>
              </w:rPr>
            </w:pPr>
            <w:r w:rsidRPr="0052066D">
              <w:rPr>
                <w:rFonts w:ascii="Arial" w:hAnsi="Arial" w:cs="Arial"/>
                <w:b/>
              </w:rPr>
              <w:t>Imaging-guided PCI</w:t>
            </w:r>
          </w:p>
          <w:p w14:paraId="21E731C5" w14:textId="77777777" w:rsidR="009274C8" w:rsidRPr="0052066D" w:rsidRDefault="009274C8" w:rsidP="00C1003E">
            <w:pPr>
              <w:jc w:val="center"/>
              <w:rPr>
                <w:rFonts w:ascii="Arial" w:hAnsi="Arial" w:cs="Arial"/>
                <w:b/>
              </w:rPr>
            </w:pPr>
            <w:r w:rsidRPr="0052066D">
              <w:rPr>
                <w:rFonts w:ascii="Arial" w:hAnsi="Arial" w:cs="Arial"/>
                <w:b/>
              </w:rPr>
              <w:t>N=50</w:t>
            </w:r>
          </w:p>
        </w:tc>
      </w:tr>
      <w:tr w:rsidR="009274C8" w14:paraId="1019A2F3" w14:textId="77777777" w:rsidTr="00EB6080">
        <w:trPr>
          <w:trHeight w:val="506"/>
        </w:trPr>
        <w:tc>
          <w:tcPr>
            <w:tcW w:w="0" w:type="auto"/>
          </w:tcPr>
          <w:p w14:paraId="1BAFF89C" w14:textId="77777777" w:rsidR="009274C8" w:rsidRPr="00852339" w:rsidRDefault="009274C8" w:rsidP="00C1003E">
            <w:pPr>
              <w:jc w:val="center"/>
              <w:rPr>
                <w:rFonts w:ascii="Arial" w:hAnsi="Arial" w:cs="Arial"/>
              </w:rPr>
            </w:pPr>
            <w:r w:rsidRPr="00852339">
              <w:rPr>
                <w:rFonts w:ascii="Arial" w:hAnsi="Arial" w:cs="Arial"/>
              </w:rPr>
              <w:t>Age</w:t>
            </w:r>
            <w:r>
              <w:rPr>
                <w:rFonts w:ascii="Arial" w:hAnsi="Arial" w:cs="Arial"/>
              </w:rPr>
              <w:t xml:space="preserve"> (years)</w:t>
            </w:r>
          </w:p>
        </w:tc>
        <w:tc>
          <w:tcPr>
            <w:tcW w:w="0" w:type="auto"/>
          </w:tcPr>
          <w:p w14:paraId="48E13178" w14:textId="77777777" w:rsidR="009274C8" w:rsidRPr="00852339" w:rsidRDefault="009274C8" w:rsidP="00C1003E">
            <w:pPr>
              <w:jc w:val="center"/>
              <w:rPr>
                <w:rFonts w:ascii="Arial" w:hAnsi="Arial" w:cs="Arial"/>
              </w:rPr>
            </w:pPr>
            <w:r>
              <w:rPr>
                <w:rFonts w:ascii="Arial" w:hAnsi="Arial" w:cs="Arial"/>
              </w:rPr>
              <w:t xml:space="preserve">58.16 </w:t>
            </w:r>
            <w:r w:rsidRPr="00B11A7D">
              <w:rPr>
                <w:rFonts w:ascii="Arial" w:hAnsi="Arial" w:cs="Arial"/>
              </w:rPr>
              <w:t>±</w:t>
            </w:r>
            <w:r>
              <w:rPr>
                <w:rFonts w:ascii="Arial" w:hAnsi="Arial" w:cs="Arial"/>
              </w:rPr>
              <w:t xml:space="preserve"> 10.86</w:t>
            </w:r>
          </w:p>
        </w:tc>
        <w:tc>
          <w:tcPr>
            <w:tcW w:w="0" w:type="auto"/>
          </w:tcPr>
          <w:p w14:paraId="0233964C" w14:textId="77777777" w:rsidR="009274C8" w:rsidRPr="00852339" w:rsidRDefault="009274C8" w:rsidP="00C1003E">
            <w:pPr>
              <w:jc w:val="center"/>
              <w:rPr>
                <w:rFonts w:ascii="Arial" w:hAnsi="Arial" w:cs="Arial"/>
              </w:rPr>
            </w:pPr>
            <w:r>
              <w:rPr>
                <w:rFonts w:ascii="Arial" w:hAnsi="Arial" w:cs="Arial"/>
              </w:rPr>
              <w:t xml:space="preserve">61.88 </w:t>
            </w:r>
            <w:r w:rsidRPr="00B11A7D">
              <w:rPr>
                <w:rFonts w:ascii="Arial" w:hAnsi="Arial" w:cs="Arial"/>
              </w:rPr>
              <w:t>±</w:t>
            </w:r>
            <w:r>
              <w:rPr>
                <w:rFonts w:ascii="Arial" w:hAnsi="Arial" w:cs="Arial"/>
              </w:rPr>
              <w:t xml:space="preserve"> 8.98</w:t>
            </w:r>
          </w:p>
        </w:tc>
      </w:tr>
      <w:tr w:rsidR="009274C8" w14:paraId="569F7F5B" w14:textId="77777777" w:rsidTr="00EB6080">
        <w:trPr>
          <w:trHeight w:val="506"/>
        </w:trPr>
        <w:tc>
          <w:tcPr>
            <w:tcW w:w="0" w:type="auto"/>
          </w:tcPr>
          <w:p w14:paraId="428D06BE" w14:textId="77777777" w:rsidR="009274C8" w:rsidRPr="00852339" w:rsidRDefault="009274C8" w:rsidP="00C1003E">
            <w:pPr>
              <w:jc w:val="center"/>
              <w:rPr>
                <w:rFonts w:ascii="Arial" w:hAnsi="Arial" w:cs="Arial"/>
              </w:rPr>
            </w:pPr>
            <w:r w:rsidRPr="00852339">
              <w:rPr>
                <w:rFonts w:ascii="Arial" w:hAnsi="Arial" w:cs="Arial"/>
              </w:rPr>
              <w:t>Gender</w:t>
            </w:r>
            <w:r>
              <w:rPr>
                <w:rFonts w:ascii="Arial" w:hAnsi="Arial" w:cs="Arial"/>
              </w:rPr>
              <w:t xml:space="preserve"> (male)</w:t>
            </w:r>
          </w:p>
        </w:tc>
        <w:tc>
          <w:tcPr>
            <w:tcW w:w="0" w:type="auto"/>
          </w:tcPr>
          <w:p w14:paraId="374875EC" w14:textId="77777777" w:rsidR="009274C8" w:rsidRPr="00852339" w:rsidRDefault="009274C8" w:rsidP="00C1003E">
            <w:pPr>
              <w:jc w:val="center"/>
              <w:rPr>
                <w:rFonts w:ascii="Arial" w:hAnsi="Arial" w:cs="Arial"/>
              </w:rPr>
            </w:pPr>
            <w:r>
              <w:rPr>
                <w:rFonts w:ascii="Arial" w:hAnsi="Arial" w:cs="Arial"/>
              </w:rPr>
              <w:t>41</w:t>
            </w:r>
            <w:r w:rsidR="00B9296C">
              <w:rPr>
                <w:rFonts w:ascii="Arial" w:hAnsi="Arial" w:cs="Arial"/>
              </w:rPr>
              <w:t xml:space="preserve"> (82%)</w:t>
            </w:r>
          </w:p>
        </w:tc>
        <w:tc>
          <w:tcPr>
            <w:tcW w:w="0" w:type="auto"/>
          </w:tcPr>
          <w:p w14:paraId="71E0C2D6" w14:textId="77777777" w:rsidR="009274C8" w:rsidRPr="00852339" w:rsidRDefault="009274C8" w:rsidP="00C1003E">
            <w:pPr>
              <w:jc w:val="center"/>
              <w:rPr>
                <w:rFonts w:ascii="Arial" w:hAnsi="Arial" w:cs="Arial"/>
              </w:rPr>
            </w:pPr>
            <w:r>
              <w:rPr>
                <w:rFonts w:ascii="Arial" w:hAnsi="Arial" w:cs="Arial"/>
              </w:rPr>
              <w:t>40</w:t>
            </w:r>
            <w:r w:rsidR="00B9296C">
              <w:rPr>
                <w:rFonts w:ascii="Arial" w:hAnsi="Arial" w:cs="Arial"/>
              </w:rPr>
              <w:t xml:space="preserve"> (80%)</w:t>
            </w:r>
          </w:p>
        </w:tc>
      </w:tr>
      <w:tr w:rsidR="009274C8" w14:paraId="5AE2E77A" w14:textId="77777777" w:rsidTr="00EB6080">
        <w:trPr>
          <w:trHeight w:val="506"/>
        </w:trPr>
        <w:tc>
          <w:tcPr>
            <w:tcW w:w="0" w:type="auto"/>
          </w:tcPr>
          <w:p w14:paraId="3FE5AA63" w14:textId="77777777" w:rsidR="009274C8" w:rsidRPr="00852339" w:rsidRDefault="009274C8" w:rsidP="00C1003E">
            <w:pPr>
              <w:jc w:val="center"/>
              <w:rPr>
                <w:rFonts w:ascii="Arial" w:hAnsi="Arial" w:cs="Arial"/>
              </w:rPr>
            </w:pPr>
            <w:r w:rsidRPr="00852339">
              <w:rPr>
                <w:rFonts w:ascii="Arial" w:hAnsi="Arial" w:cs="Arial"/>
              </w:rPr>
              <w:t>Diabetes</w:t>
            </w:r>
          </w:p>
        </w:tc>
        <w:tc>
          <w:tcPr>
            <w:tcW w:w="0" w:type="auto"/>
          </w:tcPr>
          <w:p w14:paraId="68C67A1E" w14:textId="77777777" w:rsidR="009274C8" w:rsidRPr="00852339" w:rsidRDefault="009274C8" w:rsidP="00C1003E">
            <w:pPr>
              <w:jc w:val="center"/>
              <w:rPr>
                <w:rFonts w:ascii="Arial" w:hAnsi="Arial" w:cs="Arial"/>
              </w:rPr>
            </w:pPr>
            <w:r>
              <w:rPr>
                <w:rFonts w:ascii="Arial" w:hAnsi="Arial" w:cs="Arial"/>
              </w:rPr>
              <w:t>31</w:t>
            </w:r>
            <w:r w:rsidR="007A1B12">
              <w:rPr>
                <w:rFonts w:ascii="Arial" w:hAnsi="Arial" w:cs="Arial"/>
              </w:rPr>
              <w:t xml:space="preserve"> (62%)</w:t>
            </w:r>
          </w:p>
        </w:tc>
        <w:tc>
          <w:tcPr>
            <w:tcW w:w="0" w:type="auto"/>
          </w:tcPr>
          <w:p w14:paraId="2147CF28" w14:textId="77777777" w:rsidR="009274C8" w:rsidRPr="00852339" w:rsidRDefault="009274C8" w:rsidP="00C1003E">
            <w:pPr>
              <w:jc w:val="center"/>
              <w:rPr>
                <w:rFonts w:ascii="Arial" w:hAnsi="Arial" w:cs="Arial"/>
              </w:rPr>
            </w:pPr>
            <w:r>
              <w:rPr>
                <w:rFonts w:ascii="Arial" w:hAnsi="Arial" w:cs="Arial"/>
              </w:rPr>
              <w:t>36</w:t>
            </w:r>
            <w:r w:rsidR="007A1B12">
              <w:rPr>
                <w:rFonts w:ascii="Arial" w:hAnsi="Arial" w:cs="Arial"/>
              </w:rPr>
              <w:t xml:space="preserve"> (72%)</w:t>
            </w:r>
          </w:p>
        </w:tc>
      </w:tr>
      <w:tr w:rsidR="009274C8" w14:paraId="49B0D682" w14:textId="77777777" w:rsidTr="00EB6080">
        <w:trPr>
          <w:trHeight w:val="506"/>
        </w:trPr>
        <w:tc>
          <w:tcPr>
            <w:tcW w:w="0" w:type="auto"/>
          </w:tcPr>
          <w:p w14:paraId="4DD72B21" w14:textId="77777777" w:rsidR="009274C8" w:rsidRPr="00852339" w:rsidRDefault="009274C8" w:rsidP="00C1003E">
            <w:pPr>
              <w:jc w:val="center"/>
              <w:rPr>
                <w:rFonts w:ascii="Arial" w:hAnsi="Arial" w:cs="Arial"/>
              </w:rPr>
            </w:pPr>
            <w:proofErr w:type="spellStart"/>
            <w:r w:rsidRPr="00852339">
              <w:rPr>
                <w:rFonts w:ascii="Arial" w:hAnsi="Arial" w:cs="Arial"/>
              </w:rPr>
              <w:t>Syetemic</w:t>
            </w:r>
            <w:proofErr w:type="spellEnd"/>
            <w:r w:rsidRPr="00852339">
              <w:rPr>
                <w:rFonts w:ascii="Arial" w:hAnsi="Arial" w:cs="Arial"/>
              </w:rPr>
              <w:t xml:space="preserve"> Hypertension</w:t>
            </w:r>
          </w:p>
        </w:tc>
        <w:tc>
          <w:tcPr>
            <w:tcW w:w="0" w:type="auto"/>
          </w:tcPr>
          <w:p w14:paraId="529E7BD6" w14:textId="77777777" w:rsidR="009274C8" w:rsidRPr="00852339" w:rsidRDefault="009274C8" w:rsidP="00C1003E">
            <w:pPr>
              <w:jc w:val="center"/>
              <w:rPr>
                <w:rFonts w:ascii="Arial" w:hAnsi="Arial" w:cs="Arial"/>
              </w:rPr>
            </w:pPr>
            <w:r>
              <w:rPr>
                <w:rFonts w:ascii="Arial" w:hAnsi="Arial" w:cs="Arial"/>
              </w:rPr>
              <w:t>33</w:t>
            </w:r>
            <w:r w:rsidR="00627C36">
              <w:rPr>
                <w:rFonts w:ascii="Arial" w:hAnsi="Arial" w:cs="Arial"/>
              </w:rPr>
              <w:t xml:space="preserve"> (66%)</w:t>
            </w:r>
          </w:p>
        </w:tc>
        <w:tc>
          <w:tcPr>
            <w:tcW w:w="0" w:type="auto"/>
          </w:tcPr>
          <w:p w14:paraId="25019B55" w14:textId="77777777" w:rsidR="009274C8" w:rsidRPr="00852339" w:rsidRDefault="009274C8" w:rsidP="00C1003E">
            <w:pPr>
              <w:jc w:val="center"/>
              <w:rPr>
                <w:rFonts w:ascii="Arial" w:hAnsi="Arial" w:cs="Arial"/>
              </w:rPr>
            </w:pPr>
            <w:r>
              <w:rPr>
                <w:rFonts w:ascii="Arial" w:hAnsi="Arial" w:cs="Arial"/>
              </w:rPr>
              <w:t>32</w:t>
            </w:r>
            <w:r w:rsidR="00627C36">
              <w:rPr>
                <w:rFonts w:ascii="Arial" w:hAnsi="Arial" w:cs="Arial"/>
              </w:rPr>
              <w:t xml:space="preserve"> (64%)</w:t>
            </w:r>
          </w:p>
        </w:tc>
      </w:tr>
      <w:tr w:rsidR="009274C8" w14:paraId="07A21A04" w14:textId="77777777" w:rsidTr="00EB6080">
        <w:trPr>
          <w:trHeight w:val="506"/>
        </w:trPr>
        <w:tc>
          <w:tcPr>
            <w:tcW w:w="0" w:type="auto"/>
          </w:tcPr>
          <w:p w14:paraId="20220FC5" w14:textId="77777777" w:rsidR="009274C8" w:rsidRPr="00852339" w:rsidRDefault="009274C8" w:rsidP="00C1003E">
            <w:pPr>
              <w:jc w:val="center"/>
              <w:rPr>
                <w:rFonts w:ascii="Arial" w:hAnsi="Arial" w:cs="Arial"/>
              </w:rPr>
            </w:pPr>
            <w:r w:rsidRPr="00852339">
              <w:rPr>
                <w:rFonts w:ascii="Arial" w:hAnsi="Arial" w:cs="Arial"/>
              </w:rPr>
              <w:t>Dyslipidemia</w:t>
            </w:r>
          </w:p>
        </w:tc>
        <w:tc>
          <w:tcPr>
            <w:tcW w:w="0" w:type="auto"/>
          </w:tcPr>
          <w:p w14:paraId="55C3CA89" w14:textId="77777777" w:rsidR="009274C8" w:rsidRPr="00852339" w:rsidRDefault="009274C8" w:rsidP="00C1003E">
            <w:pPr>
              <w:jc w:val="center"/>
              <w:rPr>
                <w:rFonts w:ascii="Arial" w:hAnsi="Arial" w:cs="Arial"/>
              </w:rPr>
            </w:pPr>
            <w:r>
              <w:rPr>
                <w:rFonts w:ascii="Arial" w:hAnsi="Arial" w:cs="Arial"/>
              </w:rPr>
              <w:t>29</w:t>
            </w:r>
            <w:r w:rsidR="00627C36">
              <w:rPr>
                <w:rFonts w:ascii="Arial" w:hAnsi="Arial" w:cs="Arial"/>
              </w:rPr>
              <w:t xml:space="preserve"> (58%)</w:t>
            </w:r>
          </w:p>
        </w:tc>
        <w:tc>
          <w:tcPr>
            <w:tcW w:w="0" w:type="auto"/>
          </w:tcPr>
          <w:p w14:paraId="533DDF08" w14:textId="77777777" w:rsidR="009274C8" w:rsidRPr="00852339" w:rsidRDefault="009274C8" w:rsidP="00C1003E">
            <w:pPr>
              <w:jc w:val="center"/>
              <w:rPr>
                <w:rFonts w:ascii="Arial" w:hAnsi="Arial" w:cs="Arial"/>
              </w:rPr>
            </w:pPr>
            <w:r>
              <w:rPr>
                <w:rFonts w:ascii="Arial" w:hAnsi="Arial" w:cs="Arial"/>
              </w:rPr>
              <w:t>24</w:t>
            </w:r>
            <w:r w:rsidR="00627C36">
              <w:rPr>
                <w:rFonts w:ascii="Arial" w:hAnsi="Arial" w:cs="Arial"/>
              </w:rPr>
              <w:t xml:space="preserve"> (48%)</w:t>
            </w:r>
          </w:p>
        </w:tc>
      </w:tr>
      <w:tr w:rsidR="009274C8" w14:paraId="5B720400" w14:textId="77777777" w:rsidTr="00EB6080">
        <w:trPr>
          <w:trHeight w:val="506"/>
        </w:trPr>
        <w:tc>
          <w:tcPr>
            <w:tcW w:w="0" w:type="auto"/>
          </w:tcPr>
          <w:p w14:paraId="70CCB257" w14:textId="77777777" w:rsidR="009274C8" w:rsidRPr="00852339" w:rsidRDefault="009274C8" w:rsidP="00C1003E">
            <w:pPr>
              <w:jc w:val="center"/>
              <w:rPr>
                <w:rFonts w:ascii="Arial" w:hAnsi="Arial" w:cs="Arial"/>
              </w:rPr>
            </w:pPr>
            <w:r w:rsidRPr="00852339">
              <w:rPr>
                <w:rFonts w:ascii="Arial" w:hAnsi="Arial" w:cs="Arial"/>
              </w:rPr>
              <w:t>Smoking</w:t>
            </w:r>
          </w:p>
        </w:tc>
        <w:tc>
          <w:tcPr>
            <w:tcW w:w="0" w:type="auto"/>
          </w:tcPr>
          <w:p w14:paraId="77E297DB" w14:textId="77777777" w:rsidR="009274C8" w:rsidRPr="00852339" w:rsidRDefault="009274C8" w:rsidP="00C1003E">
            <w:pPr>
              <w:jc w:val="center"/>
              <w:rPr>
                <w:rFonts w:ascii="Arial" w:hAnsi="Arial" w:cs="Arial"/>
              </w:rPr>
            </w:pPr>
            <w:r>
              <w:rPr>
                <w:rFonts w:ascii="Arial" w:hAnsi="Arial" w:cs="Arial"/>
              </w:rPr>
              <w:t>11</w:t>
            </w:r>
            <w:r w:rsidR="00627C36">
              <w:rPr>
                <w:rFonts w:ascii="Arial" w:hAnsi="Arial" w:cs="Arial"/>
              </w:rPr>
              <w:t xml:space="preserve"> (22%)</w:t>
            </w:r>
          </w:p>
        </w:tc>
        <w:tc>
          <w:tcPr>
            <w:tcW w:w="0" w:type="auto"/>
          </w:tcPr>
          <w:p w14:paraId="4AE8AE42" w14:textId="77777777" w:rsidR="009274C8" w:rsidRPr="00852339" w:rsidRDefault="009274C8" w:rsidP="00C1003E">
            <w:pPr>
              <w:jc w:val="center"/>
              <w:rPr>
                <w:rFonts w:ascii="Arial" w:hAnsi="Arial" w:cs="Arial"/>
              </w:rPr>
            </w:pPr>
            <w:r>
              <w:rPr>
                <w:rFonts w:ascii="Arial" w:hAnsi="Arial" w:cs="Arial"/>
              </w:rPr>
              <w:t>10</w:t>
            </w:r>
            <w:r w:rsidR="00627C36">
              <w:rPr>
                <w:rFonts w:ascii="Arial" w:hAnsi="Arial" w:cs="Arial"/>
              </w:rPr>
              <w:t xml:space="preserve"> (20%)</w:t>
            </w:r>
          </w:p>
        </w:tc>
      </w:tr>
      <w:tr w:rsidR="009274C8" w14:paraId="33CB2B08" w14:textId="77777777" w:rsidTr="00EB6080">
        <w:trPr>
          <w:trHeight w:val="506"/>
        </w:trPr>
        <w:tc>
          <w:tcPr>
            <w:tcW w:w="0" w:type="auto"/>
          </w:tcPr>
          <w:p w14:paraId="40104EAA" w14:textId="77777777" w:rsidR="009274C8" w:rsidRPr="00852339" w:rsidRDefault="009274C8" w:rsidP="00C1003E">
            <w:pPr>
              <w:jc w:val="center"/>
              <w:rPr>
                <w:rFonts w:ascii="Arial" w:hAnsi="Arial" w:cs="Arial"/>
              </w:rPr>
            </w:pPr>
            <w:r w:rsidRPr="00852339">
              <w:rPr>
                <w:rFonts w:ascii="Arial" w:hAnsi="Arial" w:cs="Arial"/>
              </w:rPr>
              <w:t xml:space="preserve">Ejection </w:t>
            </w:r>
            <w:proofErr w:type="gramStart"/>
            <w:r w:rsidRPr="00852339">
              <w:rPr>
                <w:rFonts w:ascii="Arial" w:hAnsi="Arial" w:cs="Arial"/>
              </w:rPr>
              <w:t>Fraction(</w:t>
            </w:r>
            <w:proofErr w:type="gramEnd"/>
            <w:r w:rsidRPr="00852339">
              <w:rPr>
                <w:rFonts w:ascii="Arial" w:hAnsi="Arial" w:cs="Arial"/>
              </w:rPr>
              <w:t>%)</w:t>
            </w:r>
          </w:p>
        </w:tc>
        <w:tc>
          <w:tcPr>
            <w:tcW w:w="0" w:type="auto"/>
          </w:tcPr>
          <w:p w14:paraId="4CA6A15B" w14:textId="77777777" w:rsidR="009274C8" w:rsidRPr="00852339" w:rsidRDefault="009274C8" w:rsidP="00C1003E">
            <w:pPr>
              <w:jc w:val="center"/>
              <w:rPr>
                <w:rFonts w:ascii="Arial" w:hAnsi="Arial" w:cs="Arial"/>
              </w:rPr>
            </w:pPr>
            <w:r>
              <w:rPr>
                <w:rFonts w:ascii="Arial" w:hAnsi="Arial" w:cs="Arial"/>
              </w:rPr>
              <w:t xml:space="preserve">56.32 </w:t>
            </w:r>
            <w:r w:rsidRPr="00B11A7D">
              <w:rPr>
                <w:rFonts w:ascii="Arial" w:hAnsi="Arial" w:cs="Arial"/>
              </w:rPr>
              <w:t>±</w:t>
            </w:r>
            <w:r>
              <w:rPr>
                <w:rFonts w:ascii="Arial" w:hAnsi="Arial" w:cs="Arial"/>
              </w:rPr>
              <w:t xml:space="preserve"> 7.96</w:t>
            </w:r>
          </w:p>
        </w:tc>
        <w:tc>
          <w:tcPr>
            <w:tcW w:w="0" w:type="auto"/>
          </w:tcPr>
          <w:p w14:paraId="2F88F27B" w14:textId="77777777" w:rsidR="009274C8" w:rsidRPr="00852339" w:rsidRDefault="009274C8" w:rsidP="00C1003E">
            <w:pPr>
              <w:jc w:val="center"/>
              <w:rPr>
                <w:rFonts w:ascii="Arial" w:hAnsi="Arial" w:cs="Arial"/>
              </w:rPr>
            </w:pPr>
            <w:r>
              <w:rPr>
                <w:rFonts w:ascii="Arial" w:hAnsi="Arial" w:cs="Arial"/>
              </w:rPr>
              <w:t xml:space="preserve">55.82 </w:t>
            </w:r>
            <w:r w:rsidRPr="00B11A7D">
              <w:rPr>
                <w:rFonts w:ascii="Arial" w:hAnsi="Arial" w:cs="Arial"/>
              </w:rPr>
              <w:t>±</w:t>
            </w:r>
            <w:r>
              <w:rPr>
                <w:rFonts w:ascii="Arial" w:hAnsi="Arial" w:cs="Arial"/>
              </w:rPr>
              <w:t xml:space="preserve"> 8.88</w:t>
            </w:r>
          </w:p>
        </w:tc>
      </w:tr>
      <w:tr w:rsidR="009274C8" w14:paraId="37785733" w14:textId="77777777" w:rsidTr="00EB6080">
        <w:trPr>
          <w:trHeight w:val="506"/>
        </w:trPr>
        <w:tc>
          <w:tcPr>
            <w:tcW w:w="0" w:type="auto"/>
          </w:tcPr>
          <w:p w14:paraId="143E9D4A" w14:textId="77777777" w:rsidR="009274C8" w:rsidRPr="00852339" w:rsidRDefault="009274C8" w:rsidP="00C1003E">
            <w:pPr>
              <w:jc w:val="center"/>
              <w:rPr>
                <w:rFonts w:ascii="Arial" w:hAnsi="Arial" w:cs="Arial"/>
              </w:rPr>
            </w:pPr>
            <w:r w:rsidRPr="00852339">
              <w:rPr>
                <w:rFonts w:ascii="Arial" w:hAnsi="Arial" w:cs="Arial"/>
              </w:rPr>
              <w:t>ACS</w:t>
            </w:r>
          </w:p>
        </w:tc>
        <w:tc>
          <w:tcPr>
            <w:tcW w:w="0" w:type="auto"/>
          </w:tcPr>
          <w:p w14:paraId="4124C905" w14:textId="77777777" w:rsidR="009274C8" w:rsidRPr="00852339" w:rsidRDefault="009274C8" w:rsidP="00C1003E">
            <w:pPr>
              <w:jc w:val="center"/>
              <w:rPr>
                <w:rFonts w:ascii="Arial" w:hAnsi="Arial" w:cs="Arial"/>
              </w:rPr>
            </w:pPr>
            <w:r>
              <w:rPr>
                <w:rFonts w:ascii="Arial" w:hAnsi="Arial" w:cs="Arial"/>
              </w:rPr>
              <w:t>34</w:t>
            </w:r>
            <w:r w:rsidR="00627C36">
              <w:rPr>
                <w:rFonts w:ascii="Arial" w:hAnsi="Arial" w:cs="Arial"/>
              </w:rPr>
              <w:t xml:space="preserve"> (68%)</w:t>
            </w:r>
          </w:p>
        </w:tc>
        <w:tc>
          <w:tcPr>
            <w:tcW w:w="0" w:type="auto"/>
          </w:tcPr>
          <w:p w14:paraId="3B4093F1" w14:textId="77777777" w:rsidR="009274C8" w:rsidRPr="00852339" w:rsidRDefault="009274C8" w:rsidP="00C1003E">
            <w:pPr>
              <w:jc w:val="center"/>
              <w:rPr>
                <w:rFonts w:ascii="Arial" w:hAnsi="Arial" w:cs="Arial"/>
              </w:rPr>
            </w:pPr>
            <w:r>
              <w:rPr>
                <w:rFonts w:ascii="Arial" w:hAnsi="Arial" w:cs="Arial"/>
              </w:rPr>
              <w:t>24</w:t>
            </w:r>
            <w:r w:rsidR="00627C36">
              <w:rPr>
                <w:rFonts w:ascii="Arial" w:hAnsi="Arial" w:cs="Arial"/>
              </w:rPr>
              <w:t xml:space="preserve"> (48%)</w:t>
            </w:r>
          </w:p>
        </w:tc>
      </w:tr>
      <w:tr w:rsidR="009274C8" w14:paraId="39C2D6EA" w14:textId="77777777" w:rsidTr="00EB6080">
        <w:trPr>
          <w:trHeight w:val="506"/>
        </w:trPr>
        <w:tc>
          <w:tcPr>
            <w:tcW w:w="0" w:type="auto"/>
          </w:tcPr>
          <w:p w14:paraId="1EB6006B" w14:textId="77777777" w:rsidR="009274C8" w:rsidRPr="00852339" w:rsidRDefault="009274C8" w:rsidP="00C1003E">
            <w:pPr>
              <w:jc w:val="center"/>
              <w:rPr>
                <w:rFonts w:ascii="Arial" w:hAnsi="Arial" w:cs="Arial"/>
              </w:rPr>
            </w:pPr>
            <w:r w:rsidRPr="00852339">
              <w:rPr>
                <w:rFonts w:ascii="Arial" w:hAnsi="Arial" w:cs="Arial"/>
              </w:rPr>
              <w:lastRenderedPageBreak/>
              <w:t>CCS</w:t>
            </w:r>
          </w:p>
        </w:tc>
        <w:tc>
          <w:tcPr>
            <w:tcW w:w="0" w:type="auto"/>
          </w:tcPr>
          <w:p w14:paraId="473AC7E3" w14:textId="77777777" w:rsidR="009274C8" w:rsidRPr="00852339" w:rsidRDefault="009274C8" w:rsidP="00C1003E">
            <w:pPr>
              <w:jc w:val="center"/>
              <w:rPr>
                <w:rFonts w:ascii="Arial" w:hAnsi="Arial" w:cs="Arial"/>
              </w:rPr>
            </w:pPr>
            <w:r>
              <w:rPr>
                <w:rFonts w:ascii="Arial" w:hAnsi="Arial" w:cs="Arial"/>
              </w:rPr>
              <w:t>16</w:t>
            </w:r>
            <w:r w:rsidR="00627C36">
              <w:rPr>
                <w:rFonts w:ascii="Arial" w:hAnsi="Arial" w:cs="Arial"/>
              </w:rPr>
              <w:t xml:space="preserve"> (32%)</w:t>
            </w:r>
          </w:p>
        </w:tc>
        <w:tc>
          <w:tcPr>
            <w:tcW w:w="0" w:type="auto"/>
          </w:tcPr>
          <w:p w14:paraId="35132017" w14:textId="77777777" w:rsidR="009274C8" w:rsidRPr="00852339" w:rsidRDefault="009274C8" w:rsidP="00C1003E">
            <w:pPr>
              <w:jc w:val="center"/>
              <w:rPr>
                <w:rFonts w:ascii="Arial" w:hAnsi="Arial" w:cs="Arial"/>
              </w:rPr>
            </w:pPr>
            <w:r>
              <w:rPr>
                <w:rFonts w:ascii="Arial" w:hAnsi="Arial" w:cs="Arial"/>
              </w:rPr>
              <w:t>26</w:t>
            </w:r>
            <w:r w:rsidR="00627C36">
              <w:rPr>
                <w:rFonts w:ascii="Arial" w:hAnsi="Arial" w:cs="Arial"/>
              </w:rPr>
              <w:t xml:space="preserve"> (52%)</w:t>
            </w:r>
          </w:p>
        </w:tc>
      </w:tr>
    </w:tbl>
    <w:p w14:paraId="02BBB092" w14:textId="77777777" w:rsidR="00DD49D7" w:rsidRDefault="00DD49D7" w:rsidP="00B44889">
      <w:pPr>
        <w:rPr>
          <w:rFonts w:ascii="Arial" w:hAnsi="Arial" w:cs="Arial"/>
          <w:sz w:val="24"/>
          <w:szCs w:val="24"/>
        </w:rPr>
      </w:pPr>
    </w:p>
    <w:p w14:paraId="7571712E" w14:textId="77777777" w:rsidR="00203A05" w:rsidRDefault="00203A05" w:rsidP="005B53BB">
      <w:pPr>
        <w:ind w:firstLine="720"/>
        <w:rPr>
          <w:rFonts w:ascii="Arial" w:hAnsi="Arial" w:cs="Arial"/>
          <w:sz w:val="24"/>
          <w:szCs w:val="24"/>
        </w:rPr>
      </w:pPr>
      <w:r w:rsidRPr="00203A05">
        <w:rPr>
          <w:rFonts w:ascii="Arial" w:hAnsi="Arial" w:cs="Arial"/>
          <w:sz w:val="24"/>
          <w:szCs w:val="24"/>
        </w:rPr>
        <w:t>There was no statistically significant difference in the mean stent diame</w:t>
      </w:r>
      <w:r>
        <w:rPr>
          <w:rFonts w:ascii="Arial" w:hAnsi="Arial" w:cs="Arial"/>
          <w:sz w:val="24"/>
          <w:szCs w:val="24"/>
        </w:rPr>
        <w:t xml:space="preserve">ter between the two groups. The </w:t>
      </w:r>
      <w:r w:rsidRPr="00203A05">
        <w:rPr>
          <w:rFonts w:ascii="Arial" w:hAnsi="Arial" w:cs="Arial"/>
          <w:sz w:val="24"/>
          <w:szCs w:val="24"/>
        </w:rPr>
        <w:t>mean stent diameter in the</w:t>
      </w:r>
      <w:r w:rsidR="003F0BA7">
        <w:rPr>
          <w:rFonts w:ascii="Arial" w:hAnsi="Arial" w:cs="Arial"/>
          <w:sz w:val="24"/>
          <w:szCs w:val="24"/>
        </w:rPr>
        <w:t xml:space="preserve"> Angiographic PCI group was 2.80 ± 0.38 mm, compared to 2.96 ± 0.54</w:t>
      </w:r>
      <w:r>
        <w:rPr>
          <w:rFonts w:ascii="Arial" w:hAnsi="Arial" w:cs="Arial"/>
          <w:sz w:val="24"/>
          <w:szCs w:val="24"/>
        </w:rPr>
        <w:t xml:space="preserve"> mm </w:t>
      </w:r>
      <w:r w:rsidRPr="00203A05">
        <w:rPr>
          <w:rFonts w:ascii="Arial" w:hAnsi="Arial" w:cs="Arial"/>
          <w:sz w:val="24"/>
          <w:szCs w:val="24"/>
        </w:rPr>
        <w:t>in the</w:t>
      </w:r>
      <w:r w:rsidR="003F0BA7">
        <w:rPr>
          <w:rFonts w:ascii="Arial" w:hAnsi="Arial" w:cs="Arial"/>
          <w:sz w:val="24"/>
          <w:szCs w:val="24"/>
        </w:rPr>
        <w:t xml:space="preserve"> Imaging PCI group (p = 0.146</w:t>
      </w:r>
      <w:r>
        <w:rPr>
          <w:rFonts w:ascii="Arial" w:hAnsi="Arial" w:cs="Arial"/>
          <w:sz w:val="24"/>
          <w:szCs w:val="24"/>
        </w:rPr>
        <w:t xml:space="preserve">). </w:t>
      </w:r>
      <w:r w:rsidR="00142DC0">
        <w:rPr>
          <w:rFonts w:ascii="Arial" w:hAnsi="Arial" w:cs="Arial"/>
          <w:sz w:val="24"/>
          <w:szCs w:val="24"/>
        </w:rPr>
        <w:t xml:space="preserve">However, a </w:t>
      </w:r>
      <w:r w:rsidRPr="00203A05">
        <w:rPr>
          <w:rFonts w:ascii="Arial" w:hAnsi="Arial" w:cs="Arial"/>
          <w:sz w:val="24"/>
          <w:szCs w:val="24"/>
        </w:rPr>
        <w:t>significant difference was observed in the mean ste</w:t>
      </w:r>
      <w:r>
        <w:rPr>
          <w:rFonts w:ascii="Arial" w:hAnsi="Arial" w:cs="Arial"/>
          <w:sz w:val="24"/>
          <w:szCs w:val="24"/>
        </w:rPr>
        <w:t xml:space="preserve">nt length. The Angiographic PCI </w:t>
      </w:r>
      <w:r w:rsidRPr="00203A05">
        <w:rPr>
          <w:rFonts w:ascii="Arial" w:hAnsi="Arial" w:cs="Arial"/>
          <w:sz w:val="24"/>
          <w:szCs w:val="24"/>
        </w:rPr>
        <w:t>group had a me</w:t>
      </w:r>
      <w:r w:rsidR="00142DC0">
        <w:rPr>
          <w:rFonts w:ascii="Arial" w:hAnsi="Arial" w:cs="Arial"/>
          <w:sz w:val="24"/>
          <w:szCs w:val="24"/>
        </w:rPr>
        <w:t>an stent length of 30.04 ± 10.14</w:t>
      </w:r>
      <w:r w:rsidRPr="00203A05">
        <w:rPr>
          <w:rFonts w:ascii="Arial" w:hAnsi="Arial" w:cs="Arial"/>
          <w:sz w:val="24"/>
          <w:szCs w:val="24"/>
        </w:rPr>
        <w:t xml:space="preserve"> mm, while the Imaging PCI group</w:t>
      </w:r>
      <w:r>
        <w:rPr>
          <w:rFonts w:ascii="Arial" w:hAnsi="Arial" w:cs="Arial"/>
          <w:sz w:val="24"/>
          <w:szCs w:val="24"/>
        </w:rPr>
        <w:t xml:space="preserve"> had a mean length of </w:t>
      </w:r>
      <w:r w:rsidR="00142DC0">
        <w:rPr>
          <w:rFonts w:ascii="Arial" w:hAnsi="Arial" w:cs="Arial"/>
          <w:sz w:val="24"/>
          <w:szCs w:val="24"/>
        </w:rPr>
        <w:t xml:space="preserve">32.8 ± 10.16 mm (p = 0.048). </w:t>
      </w:r>
      <w:r>
        <w:rPr>
          <w:rFonts w:ascii="Arial" w:hAnsi="Arial" w:cs="Arial"/>
          <w:sz w:val="24"/>
          <w:szCs w:val="24"/>
        </w:rPr>
        <w:t xml:space="preserve"> A summary of these </w:t>
      </w:r>
      <w:r w:rsidR="002B086A">
        <w:rPr>
          <w:rFonts w:ascii="Arial" w:hAnsi="Arial" w:cs="Arial"/>
          <w:sz w:val="24"/>
          <w:szCs w:val="24"/>
        </w:rPr>
        <w:t xml:space="preserve">findings is presented in </w:t>
      </w:r>
      <w:r w:rsidR="002B086A" w:rsidRPr="00555E90">
        <w:rPr>
          <w:rFonts w:ascii="Arial" w:hAnsi="Arial" w:cs="Arial"/>
          <w:b/>
          <w:sz w:val="24"/>
          <w:szCs w:val="24"/>
        </w:rPr>
        <w:t>Table 2</w:t>
      </w:r>
      <w:r w:rsidRPr="00203A05">
        <w:rPr>
          <w:rFonts w:ascii="Arial" w:hAnsi="Arial" w:cs="Arial"/>
          <w:sz w:val="24"/>
          <w:szCs w:val="24"/>
        </w:rPr>
        <w:t>.</w:t>
      </w:r>
    </w:p>
    <w:p w14:paraId="1C0FEEFF" w14:textId="77777777" w:rsidR="009633DF" w:rsidRPr="007D19F7" w:rsidRDefault="009633DF" w:rsidP="00B44889">
      <w:pPr>
        <w:rPr>
          <w:rFonts w:ascii="Arial" w:hAnsi="Arial" w:cs="Arial"/>
          <w:b/>
          <w:sz w:val="24"/>
          <w:szCs w:val="24"/>
        </w:rPr>
      </w:pPr>
      <w:r w:rsidRPr="007D19F7">
        <w:rPr>
          <w:rFonts w:ascii="Arial" w:hAnsi="Arial" w:cs="Arial"/>
          <w:b/>
          <w:sz w:val="24"/>
          <w:szCs w:val="24"/>
        </w:rPr>
        <w:t>Table 2: Comparison of Stent Dimensions</w:t>
      </w:r>
    </w:p>
    <w:tbl>
      <w:tblPr>
        <w:tblStyle w:val="TableGrid"/>
        <w:tblW w:w="0" w:type="auto"/>
        <w:tblLook w:val="04A0" w:firstRow="1" w:lastRow="0" w:firstColumn="1" w:lastColumn="0" w:noHBand="0" w:noVBand="1"/>
      </w:tblPr>
      <w:tblGrid>
        <w:gridCol w:w="1816"/>
        <w:gridCol w:w="2795"/>
        <w:gridCol w:w="2282"/>
        <w:gridCol w:w="1057"/>
      </w:tblGrid>
      <w:tr w:rsidR="009633DF" w14:paraId="277A132D" w14:textId="77777777" w:rsidTr="00FD340E">
        <w:trPr>
          <w:trHeight w:val="759"/>
        </w:trPr>
        <w:tc>
          <w:tcPr>
            <w:tcW w:w="0" w:type="auto"/>
          </w:tcPr>
          <w:p w14:paraId="2A506BCE" w14:textId="77777777" w:rsidR="009633DF" w:rsidRPr="0052066D" w:rsidRDefault="009633DF" w:rsidP="00692775">
            <w:pPr>
              <w:jc w:val="center"/>
              <w:rPr>
                <w:rFonts w:ascii="Arial" w:hAnsi="Arial" w:cs="Arial"/>
                <w:b/>
                <w:sz w:val="24"/>
                <w:szCs w:val="24"/>
              </w:rPr>
            </w:pPr>
            <w:r w:rsidRPr="0052066D">
              <w:rPr>
                <w:rFonts w:ascii="Arial" w:hAnsi="Arial" w:cs="Arial"/>
                <w:b/>
                <w:sz w:val="24"/>
                <w:szCs w:val="24"/>
              </w:rPr>
              <w:t>Parameter</w:t>
            </w:r>
          </w:p>
        </w:tc>
        <w:tc>
          <w:tcPr>
            <w:tcW w:w="0" w:type="auto"/>
          </w:tcPr>
          <w:p w14:paraId="6A447608" w14:textId="77777777" w:rsidR="00692775" w:rsidRPr="0052066D" w:rsidRDefault="00692775" w:rsidP="00692775">
            <w:pPr>
              <w:jc w:val="center"/>
              <w:rPr>
                <w:rFonts w:ascii="Arial" w:hAnsi="Arial" w:cs="Arial"/>
                <w:b/>
              </w:rPr>
            </w:pPr>
            <w:r w:rsidRPr="0052066D">
              <w:rPr>
                <w:rFonts w:ascii="Arial" w:hAnsi="Arial" w:cs="Arial"/>
                <w:b/>
              </w:rPr>
              <w:t>Angiography-guided PCI</w:t>
            </w:r>
          </w:p>
          <w:p w14:paraId="5F70F396" w14:textId="77777777" w:rsidR="009633DF" w:rsidRPr="0052066D" w:rsidRDefault="00692775" w:rsidP="00692775">
            <w:pPr>
              <w:jc w:val="center"/>
              <w:rPr>
                <w:rFonts w:ascii="Arial" w:hAnsi="Arial" w:cs="Arial"/>
                <w:b/>
                <w:sz w:val="24"/>
                <w:szCs w:val="24"/>
              </w:rPr>
            </w:pPr>
            <w:r w:rsidRPr="0052066D">
              <w:rPr>
                <w:rFonts w:ascii="Arial" w:hAnsi="Arial" w:cs="Arial"/>
                <w:b/>
              </w:rPr>
              <w:t>N= 50</w:t>
            </w:r>
          </w:p>
        </w:tc>
        <w:tc>
          <w:tcPr>
            <w:tcW w:w="0" w:type="auto"/>
          </w:tcPr>
          <w:p w14:paraId="0B3DA3CD" w14:textId="77777777" w:rsidR="00692775" w:rsidRPr="0052066D" w:rsidRDefault="00692775" w:rsidP="00692775">
            <w:pPr>
              <w:jc w:val="center"/>
              <w:rPr>
                <w:rFonts w:ascii="Arial" w:hAnsi="Arial" w:cs="Arial"/>
                <w:b/>
              </w:rPr>
            </w:pPr>
            <w:r w:rsidRPr="0052066D">
              <w:rPr>
                <w:rFonts w:ascii="Arial" w:hAnsi="Arial" w:cs="Arial"/>
                <w:b/>
              </w:rPr>
              <w:t>Imaging-guided PCI</w:t>
            </w:r>
          </w:p>
          <w:p w14:paraId="56C1AEF0" w14:textId="77777777" w:rsidR="009633DF" w:rsidRPr="0052066D" w:rsidRDefault="00692775" w:rsidP="00692775">
            <w:pPr>
              <w:jc w:val="center"/>
              <w:rPr>
                <w:rFonts w:ascii="Arial" w:hAnsi="Arial" w:cs="Arial"/>
                <w:b/>
                <w:sz w:val="24"/>
                <w:szCs w:val="24"/>
              </w:rPr>
            </w:pPr>
            <w:r w:rsidRPr="0052066D">
              <w:rPr>
                <w:rFonts w:ascii="Arial" w:hAnsi="Arial" w:cs="Arial"/>
                <w:b/>
              </w:rPr>
              <w:t>N=50</w:t>
            </w:r>
          </w:p>
        </w:tc>
        <w:tc>
          <w:tcPr>
            <w:tcW w:w="0" w:type="auto"/>
          </w:tcPr>
          <w:p w14:paraId="5F610141" w14:textId="77777777" w:rsidR="009633DF" w:rsidRPr="0052066D" w:rsidRDefault="00692775" w:rsidP="00692775">
            <w:pPr>
              <w:jc w:val="center"/>
              <w:rPr>
                <w:rFonts w:ascii="Arial" w:hAnsi="Arial" w:cs="Arial"/>
                <w:b/>
                <w:sz w:val="24"/>
                <w:szCs w:val="24"/>
              </w:rPr>
            </w:pPr>
            <w:r w:rsidRPr="0052066D">
              <w:rPr>
                <w:rFonts w:ascii="Arial" w:hAnsi="Arial" w:cs="Arial"/>
                <w:b/>
                <w:sz w:val="24"/>
                <w:szCs w:val="24"/>
              </w:rPr>
              <w:t>P value</w:t>
            </w:r>
          </w:p>
        </w:tc>
      </w:tr>
      <w:tr w:rsidR="009633DF" w14:paraId="07679C0A" w14:textId="77777777" w:rsidTr="00FD340E">
        <w:trPr>
          <w:trHeight w:val="759"/>
        </w:trPr>
        <w:tc>
          <w:tcPr>
            <w:tcW w:w="0" w:type="auto"/>
          </w:tcPr>
          <w:p w14:paraId="113E62CB" w14:textId="77777777" w:rsidR="009633DF" w:rsidRDefault="009633DF" w:rsidP="00692775">
            <w:pPr>
              <w:jc w:val="center"/>
              <w:rPr>
                <w:rFonts w:ascii="Arial" w:hAnsi="Arial" w:cs="Arial"/>
                <w:sz w:val="24"/>
                <w:szCs w:val="24"/>
              </w:rPr>
            </w:pPr>
            <w:r>
              <w:rPr>
                <w:rFonts w:ascii="Arial" w:hAnsi="Arial" w:cs="Arial"/>
                <w:sz w:val="24"/>
                <w:szCs w:val="24"/>
              </w:rPr>
              <w:t>Length</w:t>
            </w:r>
            <w:r w:rsidR="007151AE">
              <w:rPr>
                <w:rFonts w:ascii="Arial" w:hAnsi="Arial" w:cs="Arial"/>
                <w:sz w:val="24"/>
                <w:szCs w:val="24"/>
              </w:rPr>
              <w:t xml:space="preserve"> (mm)</w:t>
            </w:r>
          </w:p>
        </w:tc>
        <w:tc>
          <w:tcPr>
            <w:tcW w:w="0" w:type="auto"/>
          </w:tcPr>
          <w:p w14:paraId="2160B720" w14:textId="77777777" w:rsidR="009633DF" w:rsidRDefault="00CC5CCB" w:rsidP="00692775">
            <w:pPr>
              <w:jc w:val="center"/>
              <w:rPr>
                <w:rFonts w:ascii="Arial" w:hAnsi="Arial" w:cs="Arial"/>
                <w:sz w:val="24"/>
                <w:szCs w:val="24"/>
              </w:rPr>
            </w:pPr>
            <w:r>
              <w:rPr>
                <w:rFonts w:ascii="Arial" w:hAnsi="Arial" w:cs="Arial"/>
                <w:sz w:val="24"/>
                <w:szCs w:val="24"/>
              </w:rPr>
              <w:t>30.</w:t>
            </w:r>
            <w:r w:rsidRPr="0022056E">
              <w:rPr>
                <w:rFonts w:ascii="Arial" w:hAnsi="Arial" w:cs="Arial"/>
                <w:sz w:val="24"/>
                <w:szCs w:val="24"/>
              </w:rPr>
              <w:t>04</w:t>
            </w:r>
            <w:r w:rsidR="00F77BD9" w:rsidRPr="0022056E">
              <w:rPr>
                <w:rFonts w:ascii="Arial" w:hAnsi="Arial" w:cs="Arial"/>
                <w:sz w:val="24"/>
                <w:szCs w:val="24"/>
              </w:rPr>
              <w:t xml:space="preserve"> ±</w:t>
            </w:r>
            <w:r w:rsidR="00A8436F" w:rsidRPr="0022056E">
              <w:rPr>
                <w:rFonts w:ascii="Arial" w:hAnsi="Arial" w:cs="Arial"/>
                <w:sz w:val="24"/>
                <w:szCs w:val="24"/>
              </w:rPr>
              <w:t xml:space="preserve"> 10.14</w:t>
            </w:r>
            <w:r w:rsidR="00C03642">
              <w:rPr>
                <w:rFonts w:ascii="Arial" w:hAnsi="Arial" w:cs="Arial"/>
              </w:rPr>
              <w:t xml:space="preserve"> </w:t>
            </w:r>
          </w:p>
        </w:tc>
        <w:tc>
          <w:tcPr>
            <w:tcW w:w="0" w:type="auto"/>
          </w:tcPr>
          <w:p w14:paraId="165E1501" w14:textId="77777777" w:rsidR="009633DF" w:rsidRDefault="006E1C25" w:rsidP="00692775">
            <w:pPr>
              <w:jc w:val="center"/>
              <w:rPr>
                <w:rFonts w:ascii="Arial" w:hAnsi="Arial" w:cs="Arial"/>
                <w:sz w:val="24"/>
                <w:szCs w:val="24"/>
              </w:rPr>
            </w:pPr>
            <w:r>
              <w:rPr>
                <w:rFonts w:ascii="Arial" w:hAnsi="Arial" w:cs="Arial"/>
                <w:sz w:val="24"/>
                <w:szCs w:val="24"/>
              </w:rPr>
              <w:t>32.8</w:t>
            </w:r>
            <w:r w:rsidR="00BE429E">
              <w:rPr>
                <w:rFonts w:ascii="Arial" w:hAnsi="Arial" w:cs="Arial"/>
                <w:sz w:val="24"/>
                <w:szCs w:val="24"/>
              </w:rPr>
              <w:t xml:space="preserve"> </w:t>
            </w:r>
            <w:r w:rsidR="00BE429E" w:rsidRPr="0022056E">
              <w:rPr>
                <w:rFonts w:ascii="Arial" w:hAnsi="Arial" w:cs="Arial"/>
                <w:sz w:val="24"/>
                <w:szCs w:val="24"/>
              </w:rPr>
              <w:t>± 10.16</w:t>
            </w:r>
          </w:p>
        </w:tc>
        <w:tc>
          <w:tcPr>
            <w:tcW w:w="0" w:type="auto"/>
          </w:tcPr>
          <w:p w14:paraId="32587AB1" w14:textId="77777777" w:rsidR="009633DF" w:rsidRDefault="005569BC" w:rsidP="00AD23CC">
            <w:pPr>
              <w:jc w:val="center"/>
              <w:rPr>
                <w:rFonts w:ascii="Arial" w:hAnsi="Arial" w:cs="Arial"/>
                <w:sz w:val="24"/>
                <w:szCs w:val="24"/>
              </w:rPr>
            </w:pPr>
            <w:r>
              <w:rPr>
                <w:rFonts w:ascii="Arial" w:hAnsi="Arial" w:cs="Arial"/>
                <w:sz w:val="24"/>
                <w:szCs w:val="24"/>
              </w:rPr>
              <w:t>0.0</w:t>
            </w:r>
            <w:r w:rsidR="003F0BA7">
              <w:rPr>
                <w:rFonts w:ascii="Arial" w:hAnsi="Arial" w:cs="Arial"/>
                <w:sz w:val="24"/>
                <w:szCs w:val="24"/>
              </w:rPr>
              <w:t>48</w:t>
            </w:r>
          </w:p>
        </w:tc>
      </w:tr>
      <w:tr w:rsidR="009633DF" w14:paraId="29CF36EF" w14:textId="77777777" w:rsidTr="00FD340E">
        <w:trPr>
          <w:trHeight w:val="759"/>
        </w:trPr>
        <w:tc>
          <w:tcPr>
            <w:tcW w:w="0" w:type="auto"/>
          </w:tcPr>
          <w:p w14:paraId="2CD9E6E7" w14:textId="77777777" w:rsidR="009633DF" w:rsidRDefault="009633DF" w:rsidP="00692775">
            <w:pPr>
              <w:jc w:val="center"/>
              <w:rPr>
                <w:rFonts w:ascii="Arial" w:hAnsi="Arial" w:cs="Arial"/>
                <w:sz w:val="24"/>
                <w:szCs w:val="24"/>
              </w:rPr>
            </w:pPr>
            <w:r>
              <w:rPr>
                <w:rFonts w:ascii="Arial" w:hAnsi="Arial" w:cs="Arial"/>
                <w:sz w:val="24"/>
                <w:szCs w:val="24"/>
              </w:rPr>
              <w:t>Diameter</w:t>
            </w:r>
            <w:r w:rsidR="007151AE">
              <w:rPr>
                <w:rFonts w:ascii="Arial" w:hAnsi="Arial" w:cs="Arial"/>
                <w:sz w:val="24"/>
                <w:szCs w:val="24"/>
              </w:rPr>
              <w:t xml:space="preserve"> (mm)</w:t>
            </w:r>
          </w:p>
        </w:tc>
        <w:tc>
          <w:tcPr>
            <w:tcW w:w="0" w:type="auto"/>
          </w:tcPr>
          <w:p w14:paraId="3E7BF965" w14:textId="77777777" w:rsidR="009633DF" w:rsidRDefault="006E1C25" w:rsidP="00692775">
            <w:pPr>
              <w:jc w:val="center"/>
              <w:rPr>
                <w:rFonts w:ascii="Arial" w:hAnsi="Arial" w:cs="Arial"/>
                <w:sz w:val="24"/>
                <w:szCs w:val="24"/>
              </w:rPr>
            </w:pPr>
            <w:r>
              <w:rPr>
                <w:rFonts w:ascii="Arial" w:hAnsi="Arial" w:cs="Arial"/>
                <w:sz w:val="24"/>
                <w:szCs w:val="24"/>
              </w:rPr>
              <w:t>2.80</w:t>
            </w:r>
            <w:r w:rsidR="00CC5CCB">
              <w:rPr>
                <w:rFonts w:ascii="Arial" w:hAnsi="Arial" w:cs="Arial"/>
                <w:sz w:val="24"/>
                <w:szCs w:val="24"/>
              </w:rPr>
              <w:t xml:space="preserve"> </w:t>
            </w:r>
            <w:r w:rsidR="00C03642" w:rsidRPr="0022056E">
              <w:rPr>
                <w:rFonts w:ascii="Arial" w:hAnsi="Arial" w:cs="Arial"/>
                <w:sz w:val="24"/>
                <w:szCs w:val="24"/>
              </w:rPr>
              <w:t>± 0.38</w:t>
            </w:r>
          </w:p>
        </w:tc>
        <w:tc>
          <w:tcPr>
            <w:tcW w:w="0" w:type="auto"/>
          </w:tcPr>
          <w:p w14:paraId="351B6A7D" w14:textId="77777777" w:rsidR="009633DF" w:rsidRDefault="000D4897" w:rsidP="00692775">
            <w:pPr>
              <w:jc w:val="center"/>
              <w:rPr>
                <w:rFonts w:ascii="Arial" w:hAnsi="Arial" w:cs="Arial"/>
                <w:sz w:val="24"/>
                <w:szCs w:val="24"/>
              </w:rPr>
            </w:pPr>
            <w:r>
              <w:rPr>
                <w:rFonts w:ascii="Arial" w:hAnsi="Arial" w:cs="Arial"/>
                <w:sz w:val="24"/>
                <w:szCs w:val="24"/>
              </w:rPr>
              <w:t xml:space="preserve">2.96 </w:t>
            </w:r>
            <w:r w:rsidRPr="0022056E">
              <w:rPr>
                <w:rFonts w:ascii="Arial" w:hAnsi="Arial" w:cs="Arial"/>
                <w:sz w:val="24"/>
                <w:szCs w:val="24"/>
              </w:rPr>
              <w:t>± 0.54</w:t>
            </w:r>
          </w:p>
        </w:tc>
        <w:tc>
          <w:tcPr>
            <w:tcW w:w="0" w:type="auto"/>
          </w:tcPr>
          <w:p w14:paraId="77D10C3B" w14:textId="77777777" w:rsidR="009633DF" w:rsidRDefault="003F0BA7" w:rsidP="00692775">
            <w:pPr>
              <w:jc w:val="center"/>
              <w:rPr>
                <w:rFonts w:ascii="Arial" w:hAnsi="Arial" w:cs="Arial"/>
                <w:sz w:val="24"/>
                <w:szCs w:val="24"/>
              </w:rPr>
            </w:pPr>
            <w:r>
              <w:rPr>
                <w:rFonts w:ascii="Arial" w:hAnsi="Arial" w:cs="Arial"/>
                <w:sz w:val="24"/>
                <w:szCs w:val="24"/>
              </w:rPr>
              <w:t>0.146</w:t>
            </w:r>
          </w:p>
        </w:tc>
      </w:tr>
    </w:tbl>
    <w:p w14:paraId="0D7B4046" w14:textId="77777777" w:rsidR="009633DF" w:rsidRDefault="00824015" w:rsidP="00881F68">
      <w:pPr>
        <w:rPr>
          <w:rFonts w:ascii="Arial" w:hAnsi="Arial" w:cs="Arial"/>
          <w:i/>
          <w:sz w:val="20"/>
          <w:szCs w:val="20"/>
        </w:rPr>
      </w:pPr>
      <w:r>
        <w:rPr>
          <w:rFonts w:ascii="Arial" w:hAnsi="Arial" w:cs="Arial"/>
          <w:i/>
          <w:sz w:val="20"/>
          <w:szCs w:val="20"/>
        </w:rPr>
        <w:t xml:space="preserve">Note: Data </w:t>
      </w:r>
      <w:r w:rsidR="00AD5EFE">
        <w:rPr>
          <w:rFonts w:ascii="Arial" w:hAnsi="Arial" w:cs="Arial"/>
          <w:i/>
          <w:sz w:val="20"/>
          <w:szCs w:val="20"/>
        </w:rPr>
        <w:t>shown</w:t>
      </w:r>
      <w:r w:rsidR="009633DF" w:rsidRPr="009274C8">
        <w:rPr>
          <w:rFonts w:ascii="Arial" w:hAnsi="Arial" w:cs="Arial"/>
          <w:i/>
          <w:sz w:val="20"/>
          <w:szCs w:val="20"/>
        </w:rPr>
        <w:t xml:space="preserve"> as mean ± standard deviation</w:t>
      </w:r>
    </w:p>
    <w:p w14:paraId="4C5D81EA" w14:textId="77777777" w:rsidR="005B53BB" w:rsidRPr="00D47186" w:rsidRDefault="005B53BB" w:rsidP="00881F68">
      <w:pPr>
        <w:rPr>
          <w:rFonts w:ascii="Arial" w:hAnsi="Arial" w:cs="Arial"/>
          <w:i/>
          <w:sz w:val="20"/>
          <w:szCs w:val="20"/>
        </w:rPr>
      </w:pPr>
    </w:p>
    <w:p w14:paraId="3A4DC899" w14:textId="77777777" w:rsidR="00DD49D7" w:rsidRDefault="005B53BB" w:rsidP="00F612AA">
      <w:pPr>
        <w:ind w:firstLine="720"/>
        <w:rPr>
          <w:rFonts w:ascii="Arial" w:hAnsi="Arial" w:cs="Arial"/>
          <w:sz w:val="24"/>
          <w:szCs w:val="24"/>
        </w:rPr>
      </w:pPr>
      <w:r w:rsidRPr="005B53BB">
        <w:rPr>
          <w:rFonts w:ascii="Arial" w:hAnsi="Arial" w:cs="Arial"/>
          <w:sz w:val="24"/>
          <w:szCs w:val="24"/>
        </w:rPr>
        <w:t xml:space="preserve">The incidence of coronary dissection was assessed in </w:t>
      </w:r>
      <w:r w:rsidR="00895938">
        <w:rPr>
          <w:rFonts w:ascii="Arial" w:hAnsi="Arial" w:cs="Arial"/>
          <w:sz w:val="24"/>
          <w:szCs w:val="24"/>
        </w:rPr>
        <w:t>both groups</w:t>
      </w:r>
      <w:r w:rsidRPr="005B53BB">
        <w:rPr>
          <w:rFonts w:ascii="Arial" w:hAnsi="Arial" w:cs="Arial"/>
          <w:sz w:val="24"/>
          <w:szCs w:val="24"/>
        </w:rPr>
        <w:t>. The rate of dissectio</w:t>
      </w:r>
      <w:r>
        <w:rPr>
          <w:rFonts w:ascii="Arial" w:hAnsi="Arial" w:cs="Arial"/>
          <w:sz w:val="24"/>
          <w:szCs w:val="24"/>
        </w:rPr>
        <w:t xml:space="preserve">n was </w:t>
      </w:r>
      <w:r w:rsidR="00F64ECB">
        <w:rPr>
          <w:rFonts w:ascii="Arial" w:hAnsi="Arial" w:cs="Arial"/>
          <w:sz w:val="24"/>
          <w:szCs w:val="24"/>
        </w:rPr>
        <w:t>20% (n=10</w:t>
      </w:r>
      <w:r w:rsidRPr="005B53BB">
        <w:rPr>
          <w:rFonts w:ascii="Arial" w:hAnsi="Arial" w:cs="Arial"/>
          <w:sz w:val="24"/>
          <w:szCs w:val="24"/>
        </w:rPr>
        <w:t>) in the Angiog</w:t>
      </w:r>
      <w:r w:rsidR="00F64ECB">
        <w:rPr>
          <w:rFonts w:ascii="Arial" w:hAnsi="Arial" w:cs="Arial"/>
          <w:sz w:val="24"/>
          <w:szCs w:val="24"/>
        </w:rPr>
        <w:t>raphic guided PCI group and 8% (n=4</w:t>
      </w:r>
      <w:r w:rsidRPr="005B53BB">
        <w:rPr>
          <w:rFonts w:ascii="Arial" w:hAnsi="Arial" w:cs="Arial"/>
          <w:sz w:val="24"/>
          <w:szCs w:val="24"/>
        </w:rPr>
        <w:t>) i</w:t>
      </w:r>
      <w:r>
        <w:rPr>
          <w:rFonts w:ascii="Arial" w:hAnsi="Arial" w:cs="Arial"/>
          <w:sz w:val="24"/>
          <w:szCs w:val="24"/>
        </w:rPr>
        <w:t xml:space="preserve">n the Imaging guided PCI group, as detailed in </w:t>
      </w:r>
      <w:r w:rsidRPr="00555E90">
        <w:rPr>
          <w:rFonts w:ascii="Arial" w:hAnsi="Arial" w:cs="Arial"/>
          <w:b/>
          <w:sz w:val="24"/>
          <w:szCs w:val="24"/>
        </w:rPr>
        <w:t>Table 3</w:t>
      </w:r>
      <w:r w:rsidRPr="005B53BB">
        <w:rPr>
          <w:rFonts w:ascii="Arial" w:hAnsi="Arial" w:cs="Arial"/>
          <w:sz w:val="24"/>
          <w:szCs w:val="24"/>
        </w:rPr>
        <w:t>. According to Fisher’s exact test, this difference wa</w:t>
      </w:r>
      <w:r>
        <w:rPr>
          <w:rFonts w:ascii="Arial" w:hAnsi="Arial" w:cs="Arial"/>
          <w:sz w:val="24"/>
          <w:szCs w:val="24"/>
        </w:rPr>
        <w:t xml:space="preserve">s not statistically significant </w:t>
      </w:r>
      <w:r w:rsidRPr="005B53BB">
        <w:rPr>
          <w:rFonts w:ascii="Arial" w:hAnsi="Arial" w:cs="Arial"/>
          <w:sz w:val="24"/>
          <w:szCs w:val="24"/>
        </w:rPr>
        <w:t>(p = 0.148).</w:t>
      </w:r>
    </w:p>
    <w:p w14:paraId="55156036" w14:textId="77777777" w:rsidR="00DD49D7" w:rsidRPr="00DE0DED" w:rsidRDefault="00972F51" w:rsidP="00DD49D7">
      <w:pPr>
        <w:rPr>
          <w:rFonts w:ascii="Arial" w:hAnsi="Arial" w:cs="Arial"/>
          <w:b/>
          <w:sz w:val="24"/>
          <w:szCs w:val="24"/>
        </w:rPr>
      </w:pPr>
      <w:r w:rsidRPr="00DE0DED">
        <w:rPr>
          <w:rFonts w:ascii="Arial" w:hAnsi="Arial" w:cs="Arial"/>
          <w:b/>
          <w:sz w:val="24"/>
          <w:szCs w:val="24"/>
        </w:rPr>
        <w:t xml:space="preserve">Table </w:t>
      </w:r>
      <w:r w:rsidR="00DD49D7" w:rsidRPr="00DE0DED">
        <w:rPr>
          <w:rFonts w:ascii="Arial" w:hAnsi="Arial" w:cs="Arial"/>
          <w:b/>
          <w:sz w:val="24"/>
          <w:szCs w:val="24"/>
        </w:rPr>
        <w:t xml:space="preserve">3: </w:t>
      </w:r>
      <w:r w:rsidR="00DE0DED" w:rsidRPr="00DE0DED">
        <w:rPr>
          <w:rFonts w:ascii="Arial" w:hAnsi="Arial" w:cs="Arial"/>
          <w:b/>
          <w:sz w:val="24"/>
          <w:szCs w:val="24"/>
        </w:rPr>
        <w:t xml:space="preserve">Prevalence </w:t>
      </w:r>
      <w:r w:rsidR="00DD49D7" w:rsidRPr="00DE0DED">
        <w:rPr>
          <w:rFonts w:ascii="Arial" w:hAnsi="Arial" w:cs="Arial"/>
          <w:b/>
          <w:sz w:val="24"/>
          <w:szCs w:val="24"/>
        </w:rPr>
        <w:t>of Coronary Dissection</w:t>
      </w:r>
    </w:p>
    <w:tbl>
      <w:tblPr>
        <w:tblStyle w:val="TableGrid"/>
        <w:tblW w:w="0" w:type="auto"/>
        <w:tblLook w:val="04A0" w:firstRow="1" w:lastRow="0" w:firstColumn="1" w:lastColumn="0" w:noHBand="0" w:noVBand="1"/>
      </w:tblPr>
      <w:tblGrid>
        <w:gridCol w:w="1884"/>
        <w:gridCol w:w="3163"/>
        <w:gridCol w:w="2470"/>
      </w:tblGrid>
      <w:tr w:rsidR="003A659D" w:rsidRPr="00ED1768" w14:paraId="3F1A4A70" w14:textId="77777777" w:rsidTr="0052066D">
        <w:trPr>
          <w:trHeight w:val="635"/>
        </w:trPr>
        <w:tc>
          <w:tcPr>
            <w:tcW w:w="0" w:type="auto"/>
          </w:tcPr>
          <w:p w14:paraId="3018CE29" w14:textId="77777777" w:rsidR="003A659D" w:rsidRPr="0052066D" w:rsidRDefault="003A659D" w:rsidP="00BA3649">
            <w:pPr>
              <w:spacing w:line="276" w:lineRule="auto"/>
              <w:jc w:val="center"/>
              <w:rPr>
                <w:rFonts w:ascii="Arial" w:hAnsi="Arial" w:cs="Arial"/>
                <w:b/>
                <w:bCs/>
                <w:sz w:val="24"/>
                <w:szCs w:val="24"/>
              </w:rPr>
            </w:pPr>
            <w:r w:rsidRPr="0052066D">
              <w:rPr>
                <w:rFonts w:ascii="Arial" w:hAnsi="Arial" w:cs="Arial"/>
                <w:b/>
                <w:bCs/>
                <w:sz w:val="24"/>
                <w:szCs w:val="24"/>
              </w:rPr>
              <w:t xml:space="preserve">Outcome </w:t>
            </w:r>
          </w:p>
        </w:tc>
        <w:tc>
          <w:tcPr>
            <w:tcW w:w="0" w:type="auto"/>
            <w:vAlign w:val="center"/>
          </w:tcPr>
          <w:p w14:paraId="42A9CCDE" w14:textId="77777777" w:rsidR="003A659D" w:rsidRPr="0052066D" w:rsidRDefault="003A659D" w:rsidP="00BA3649">
            <w:pPr>
              <w:spacing w:line="276" w:lineRule="auto"/>
              <w:jc w:val="center"/>
              <w:rPr>
                <w:rFonts w:ascii="Arial" w:hAnsi="Arial" w:cs="Arial"/>
                <w:b/>
                <w:bCs/>
                <w:sz w:val="24"/>
                <w:szCs w:val="24"/>
              </w:rPr>
            </w:pPr>
            <w:r w:rsidRPr="0052066D">
              <w:rPr>
                <w:rFonts w:ascii="Arial" w:hAnsi="Arial" w:cs="Arial"/>
                <w:b/>
                <w:bCs/>
                <w:sz w:val="24"/>
                <w:szCs w:val="24"/>
              </w:rPr>
              <w:t>Angiography- guided PCI,</w:t>
            </w:r>
          </w:p>
          <w:p w14:paraId="07252F8D" w14:textId="77777777" w:rsidR="003A659D" w:rsidRPr="0052066D" w:rsidRDefault="003A659D" w:rsidP="00BA3649">
            <w:pPr>
              <w:spacing w:line="276" w:lineRule="auto"/>
              <w:jc w:val="center"/>
              <w:rPr>
                <w:rFonts w:ascii="Arial" w:hAnsi="Arial" w:cs="Arial"/>
                <w:b/>
                <w:bCs/>
                <w:sz w:val="24"/>
                <w:szCs w:val="24"/>
              </w:rPr>
            </w:pPr>
            <w:r w:rsidRPr="0052066D">
              <w:rPr>
                <w:rFonts w:ascii="Arial" w:hAnsi="Arial" w:cs="Arial"/>
                <w:b/>
                <w:bCs/>
                <w:sz w:val="24"/>
                <w:szCs w:val="24"/>
              </w:rPr>
              <w:t>(n=50)</w:t>
            </w:r>
          </w:p>
        </w:tc>
        <w:tc>
          <w:tcPr>
            <w:tcW w:w="0" w:type="auto"/>
            <w:vAlign w:val="center"/>
          </w:tcPr>
          <w:p w14:paraId="389DF1F7" w14:textId="77777777" w:rsidR="003A659D" w:rsidRPr="0052066D" w:rsidRDefault="003A659D" w:rsidP="00BA3649">
            <w:pPr>
              <w:spacing w:line="276" w:lineRule="auto"/>
              <w:jc w:val="center"/>
              <w:rPr>
                <w:rFonts w:ascii="Arial" w:hAnsi="Arial" w:cs="Arial"/>
                <w:b/>
                <w:bCs/>
                <w:sz w:val="24"/>
                <w:szCs w:val="24"/>
              </w:rPr>
            </w:pPr>
            <w:r w:rsidRPr="0052066D">
              <w:rPr>
                <w:rFonts w:ascii="Arial" w:hAnsi="Arial" w:cs="Arial"/>
                <w:b/>
                <w:bCs/>
                <w:sz w:val="24"/>
                <w:szCs w:val="24"/>
              </w:rPr>
              <w:t>Imaging-guided PCI</w:t>
            </w:r>
          </w:p>
          <w:p w14:paraId="1E585DFC" w14:textId="77777777" w:rsidR="003A659D" w:rsidRPr="0052066D" w:rsidRDefault="003A659D" w:rsidP="00BA3649">
            <w:pPr>
              <w:spacing w:line="276" w:lineRule="auto"/>
              <w:jc w:val="center"/>
              <w:rPr>
                <w:rFonts w:ascii="Arial" w:hAnsi="Arial" w:cs="Arial"/>
                <w:b/>
                <w:bCs/>
                <w:sz w:val="24"/>
                <w:szCs w:val="24"/>
              </w:rPr>
            </w:pPr>
            <w:r w:rsidRPr="0052066D">
              <w:rPr>
                <w:rFonts w:ascii="Arial" w:hAnsi="Arial" w:cs="Arial"/>
                <w:b/>
                <w:bCs/>
                <w:sz w:val="24"/>
                <w:szCs w:val="24"/>
              </w:rPr>
              <w:t>(n=50)</w:t>
            </w:r>
          </w:p>
        </w:tc>
      </w:tr>
      <w:tr w:rsidR="003A659D" w:rsidRPr="00ED1768" w14:paraId="37E8FFFE" w14:textId="77777777" w:rsidTr="0052066D">
        <w:trPr>
          <w:trHeight w:val="635"/>
        </w:trPr>
        <w:tc>
          <w:tcPr>
            <w:tcW w:w="0" w:type="auto"/>
          </w:tcPr>
          <w:p w14:paraId="6EA685DF" w14:textId="77777777" w:rsidR="003A659D" w:rsidRPr="0052066D" w:rsidRDefault="003A659D" w:rsidP="00BA3649">
            <w:pPr>
              <w:spacing w:line="276" w:lineRule="auto"/>
              <w:jc w:val="center"/>
              <w:rPr>
                <w:rFonts w:ascii="Arial" w:hAnsi="Arial" w:cs="Arial"/>
                <w:sz w:val="24"/>
                <w:szCs w:val="24"/>
              </w:rPr>
            </w:pPr>
            <w:r w:rsidRPr="0052066D">
              <w:rPr>
                <w:rFonts w:ascii="Arial" w:hAnsi="Arial" w:cs="Arial"/>
                <w:sz w:val="24"/>
                <w:szCs w:val="24"/>
              </w:rPr>
              <w:t>Dissection- No</w:t>
            </w:r>
          </w:p>
          <w:p w14:paraId="056ABE64" w14:textId="77777777" w:rsidR="003A659D" w:rsidRPr="0052066D" w:rsidRDefault="003A659D" w:rsidP="00BA3649">
            <w:pPr>
              <w:spacing w:line="276" w:lineRule="auto"/>
              <w:jc w:val="center"/>
              <w:rPr>
                <w:rFonts w:ascii="Arial" w:hAnsi="Arial" w:cs="Arial"/>
                <w:sz w:val="24"/>
                <w:szCs w:val="24"/>
              </w:rPr>
            </w:pPr>
            <w:r w:rsidRPr="0052066D">
              <w:rPr>
                <w:rFonts w:ascii="Arial" w:hAnsi="Arial" w:cs="Arial"/>
                <w:sz w:val="24"/>
                <w:szCs w:val="24"/>
              </w:rPr>
              <w:t>Dissection- Yes</w:t>
            </w:r>
          </w:p>
        </w:tc>
        <w:tc>
          <w:tcPr>
            <w:tcW w:w="0" w:type="auto"/>
          </w:tcPr>
          <w:p w14:paraId="6B16B7E6" w14:textId="77777777" w:rsidR="00AD23CC" w:rsidRPr="0052066D" w:rsidRDefault="00AD23CC" w:rsidP="00AD23CC">
            <w:pPr>
              <w:spacing w:line="276" w:lineRule="auto"/>
              <w:jc w:val="center"/>
              <w:rPr>
                <w:rFonts w:ascii="Arial" w:hAnsi="Arial" w:cs="Arial"/>
                <w:sz w:val="24"/>
                <w:szCs w:val="24"/>
              </w:rPr>
            </w:pPr>
            <w:r w:rsidRPr="0052066D">
              <w:rPr>
                <w:rFonts w:ascii="Arial" w:hAnsi="Arial" w:cs="Arial"/>
                <w:sz w:val="24"/>
                <w:szCs w:val="24"/>
              </w:rPr>
              <w:t>40 (80</w:t>
            </w:r>
            <w:r w:rsidR="00363412" w:rsidRPr="0052066D">
              <w:rPr>
                <w:rFonts w:ascii="Arial" w:hAnsi="Arial" w:cs="Arial"/>
                <w:sz w:val="24"/>
                <w:szCs w:val="24"/>
              </w:rPr>
              <w:t>%</w:t>
            </w:r>
            <w:r w:rsidRPr="0052066D">
              <w:rPr>
                <w:rFonts w:ascii="Arial" w:hAnsi="Arial" w:cs="Arial"/>
                <w:sz w:val="24"/>
                <w:szCs w:val="24"/>
              </w:rPr>
              <w:t>)</w:t>
            </w:r>
          </w:p>
          <w:p w14:paraId="6199EDE3" w14:textId="77777777" w:rsidR="003A659D" w:rsidRPr="0052066D" w:rsidRDefault="00AD23CC" w:rsidP="00AD23CC">
            <w:pPr>
              <w:spacing w:line="276" w:lineRule="auto"/>
              <w:jc w:val="center"/>
              <w:rPr>
                <w:rFonts w:ascii="Arial" w:hAnsi="Arial" w:cs="Arial"/>
                <w:sz w:val="24"/>
                <w:szCs w:val="24"/>
              </w:rPr>
            </w:pPr>
            <w:r w:rsidRPr="0052066D">
              <w:rPr>
                <w:rFonts w:ascii="Arial" w:hAnsi="Arial" w:cs="Arial"/>
                <w:sz w:val="24"/>
                <w:szCs w:val="24"/>
              </w:rPr>
              <w:t>10 (20</w:t>
            </w:r>
            <w:r w:rsidR="00363412" w:rsidRPr="0052066D">
              <w:rPr>
                <w:rFonts w:ascii="Arial" w:hAnsi="Arial" w:cs="Arial"/>
                <w:sz w:val="24"/>
                <w:szCs w:val="24"/>
              </w:rPr>
              <w:t>%</w:t>
            </w:r>
            <w:r w:rsidRPr="0052066D">
              <w:rPr>
                <w:rFonts w:ascii="Arial" w:hAnsi="Arial" w:cs="Arial"/>
                <w:sz w:val="24"/>
                <w:szCs w:val="24"/>
              </w:rPr>
              <w:t>)</w:t>
            </w:r>
          </w:p>
        </w:tc>
        <w:tc>
          <w:tcPr>
            <w:tcW w:w="0" w:type="auto"/>
          </w:tcPr>
          <w:p w14:paraId="6947F6B4" w14:textId="77777777" w:rsidR="00AD23CC" w:rsidRPr="0052066D" w:rsidRDefault="00AD23CC" w:rsidP="00AD23CC">
            <w:pPr>
              <w:spacing w:line="276" w:lineRule="auto"/>
              <w:jc w:val="center"/>
              <w:rPr>
                <w:rFonts w:ascii="Arial" w:hAnsi="Arial" w:cs="Arial"/>
                <w:sz w:val="24"/>
                <w:szCs w:val="24"/>
              </w:rPr>
            </w:pPr>
            <w:r w:rsidRPr="0052066D">
              <w:rPr>
                <w:rFonts w:ascii="Arial" w:hAnsi="Arial" w:cs="Arial"/>
                <w:sz w:val="24"/>
                <w:szCs w:val="24"/>
              </w:rPr>
              <w:t>46 (92</w:t>
            </w:r>
            <w:r w:rsidR="00363412" w:rsidRPr="0052066D">
              <w:rPr>
                <w:rFonts w:ascii="Arial" w:hAnsi="Arial" w:cs="Arial"/>
                <w:sz w:val="24"/>
                <w:szCs w:val="24"/>
              </w:rPr>
              <w:t>%</w:t>
            </w:r>
            <w:r w:rsidRPr="0052066D">
              <w:rPr>
                <w:rFonts w:ascii="Arial" w:hAnsi="Arial" w:cs="Arial"/>
                <w:sz w:val="24"/>
                <w:szCs w:val="24"/>
              </w:rPr>
              <w:t>)</w:t>
            </w:r>
          </w:p>
          <w:p w14:paraId="08D03E0C" w14:textId="77777777" w:rsidR="003A659D" w:rsidRPr="0052066D" w:rsidRDefault="00AD23CC" w:rsidP="00AD23CC">
            <w:pPr>
              <w:spacing w:line="276" w:lineRule="auto"/>
              <w:jc w:val="center"/>
              <w:rPr>
                <w:rFonts w:ascii="Arial" w:hAnsi="Arial" w:cs="Arial"/>
                <w:sz w:val="24"/>
                <w:szCs w:val="24"/>
              </w:rPr>
            </w:pPr>
            <w:r w:rsidRPr="0052066D">
              <w:rPr>
                <w:rFonts w:ascii="Arial" w:hAnsi="Arial" w:cs="Arial"/>
                <w:sz w:val="24"/>
                <w:szCs w:val="24"/>
              </w:rPr>
              <w:t>4 (8</w:t>
            </w:r>
            <w:r w:rsidR="00363412" w:rsidRPr="0052066D">
              <w:rPr>
                <w:rFonts w:ascii="Arial" w:hAnsi="Arial" w:cs="Arial"/>
                <w:sz w:val="24"/>
                <w:szCs w:val="24"/>
              </w:rPr>
              <w:t>%</w:t>
            </w:r>
            <w:r w:rsidRPr="0052066D">
              <w:rPr>
                <w:rFonts w:ascii="Arial" w:hAnsi="Arial" w:cs="Arial"/>
                <w:sz w:val="24"/>
                <w:szCs w:val="24"/>
              </w:rPr>
              <w:t>)</w:t>
            </w:r>
          </w:p>
        </w:tc>
      </w:tr>
    </w:tbl>
    <w:p w14:paraId="00B17E81" w14:textId="77777777" w:rsidR="00AA4DD2" w:rsidRDefault="000E3AD0" w:rsidP="00B44889">
      <w:pPr>
        <w:rPr>
          <w:rFonts w:ascii="Arial" w:hAnsi="Arial" w:cs="Arial"/>
          <w:i/>
          <w:sz w:val="20"/>
          <w:szCs w:val="20"/>
        </w:rPr>
      </w:pPr>
      <w:r>
        <w:rPr>
          <w:rFonts w:ascii="Arial" w:hAnsi="Arial" w:cs="Arial"/>
          <w:i/>
          <w:sz w:val="20"/>
          <w:szCs w:val="20"/>
        </w:rPr>
        <w:t>Note: Data</w:t>
      </w:r>
      <w:r w:rsidR="00AD5EFE">
        <w:rPr>
          <w:rFonts w:ascii="Arial" w:hAnsi="Arial" w:cs="Arial"/>
          <w:i/>
          <w:sz w:val="20"/>
          <w:szCs w:val="20"/>
        </w:rPr>
        <w:t xml:space="preserve"> shown</w:t>
      </w:r>
      <w:r w:rsidR="009274C8" w:rsidRPr="009274C8">
        <w:rPr>
          <w:rFonts w:ascii="Arial" w:hAnsi="Arial" w:cs="Arial"/>
          <w:i/>
          <w:sz w:val="20"/>
          <w:szCs w:val="20"/>
        </w:rPr>
        <w:t xml:space="preserve"> as n (%). P-value = 0.148 from Fisher’s exact test.</w:t>
      </w:r>
    </w:p>
    <w:p w14:paraId="344EDC6D" w14:textId="77777777" w:rsidR="00B15A79" w:rsidRPr="009274C8" w:rsidRDefault="00B15A79" w:rsidP="00B44889">
      <w:pPr>
        <w:rPr>
          <w:rFonts w:ascii="Arial" w:hAnsi="Arial" w:cs="Arial"/>
          <w:i/>
          <w:sz w:val="20"/>
          <w:szCs w:val="20"/>
        </w:rPr>
      </w:pPr>
    </w:p>
    <w:p w14:paraId="506B18F7" w14:textId="77777777" w:rsidR="00BD7F5B" w:rsidRDefault="00B44889" w:rsidP="00B44889">
      <w:pPr>
        <w:rPr>
          <w:rFonts w:ascii="Arial" w:hAnsi="Arial" w:cs="Arial"/>
          <w:b/>
          <w:sz w:val="24"/>
          <w:szCs w:val="24"/>
        </w:rPr>
      </w:pPr>
      <w:r w:rsidRPr="00107A17">
        <w:rPr>
          <w:rFonts w:ascii="Arial" w:hAnsi="Arial" w:cs="Arial"/>
          <w:b/>
          <w:sz w:val="24"/>
          <w:szCs w:val="24"/>
        </w:rPr>
        <w:t xml:space="preserve">4. </w:t>
      </w:r>
      <w:r w:rsidR="00BD7F5B" w:rsidRPr="00107A17">
        <w:rPr>
          <w:rFonts w:ascii="Arial" w:hAnsi="Arial" w:cs="Arial"/>
          <w:b/>
          <w:sz w:val="24"/>
          <w:szCs w:val="24"/>
        </w:rPr>
        <w:t>DISCUSSION</w:t>
      </w:r>
    </w:p>
    <w:p w14:paraId="37A99921" w14:textId="77777777" w:rsidR="00EB5E0A" w:rsidRDefault="0051057F" w:rsidP="003349AF">
      <w:pPr>
        <w:ind w:firstLine="720"/>
        <w:rPr>
          <w:rFonts w:ascii="Arial" w:hAnsi="Arial" w:cs="Arial"/>
          <w:sz w:val="24"/>
          <w:szCs w:val="24"/>
        </w:rPr>
      </w:pPr>
      <w:r>
        <w:rPr>
          <w:rFonts w:ascii="Arial" w:hAnsi="Arial" w:cs="Arial"/>
          <w:sz w:val="24"/>
          <w:szCs w:val="24"/>
        </w:rPr>
        <w:t xml:space="preserve">The </w:t>
      </w:r>
      <w:r w:rsidR="003C2A7B" w:rsidRPr="003C2A7B">
        <w:rPr>
          <w:rFonts w:ascii="Arial" w:hAnsi="Arial" w:cs="Arial"/>
          <w:sz w:val="24"/>
          <w:szCs w:val="24"/>
        </w:rPr>
        <w:t>study sought to compare procedural characteristics and a key safe</w:t>
      </w:r>
      <w:r w:rsidR="00071652">
        <w:rPr>
          <w:rFonts w:ascii="Arial" w:hAnsi="Arial" w:cs="Arial"/>
          <w:sz w:val="24"/>
          <w:szCs w:val="24"/>
        </w:rPr>
        <w:t xml:space="preserve">ty outcome between percutaneous </w:t>
      </w:r>
      <w:r w:rsidR="003C2A7B" w:rsidRPr="003C2A7B">
        <w:rPr>
          <w:rFonts w:ascii="Arial" w:hAnsi="Arial" w:cs="Arial"/>
          <w:sz w:val="24"/>
          <w:szCs w:val="24"/>
        </w:rPr>
        <w:t>coronary interventions guided by angiography alone versus those guide</w:t>
      </w:r>
      <w:r w:rsidR="00071652">
        <w:rPr>
          <w:rFonts w:ascii="Arial" w:hAnsi="Arial" w:cs="Arial"/>
          <w:sz w:val="24"/>
          <w:szCs w:val="24"/>
        </w:rPr>
        <w:t>d by intravascular imaging.</w:t>
      </w:r>
      <w:r w:rsidR="00A9351C">
        <w:rPr>
          <w:rFonts w:ascii="Arial" w:hAnsi="Arial" w:cs="Arial"/>
          <w:sz w:val="24"/>
          <w:szCs w:val="24"/>
        </w:rPr>
        <w:t xml:space="preserve"> The ADAPT DES study</w:t>
      </w:r>
      <w:r w:rsidR="00A9351C">
        <w:rPr>
          <w:rFonts w:ascii="Arial" w:hAnsi="Arial" w:cs="Arial"/>
          <w:sz w:val="24"/>
          <w:szCs w:val="24"/>
          <w:vertAlign w:val="superscript"/>
        </w:rPr>
        <w:t>2,3</w:t>
      </w:r>
      <w:r w:rsidR="00A9351C" w:rsidRPr="00A9351C">
        <w:rPr>
          <w:rFonts w:ascii="Arial" w:hAnsi="Arial" w:cs="Arial"/>
          <w:sz w:val="24"/>
          <w:szCs w:val="24"/>
        </w:rPr>
        <w:t xml:space="preserve"> showed that IVUS influenced a change in PCI strategy in about 74% of procedures, most commonly resulting in the selection of larger stents or balloons, increased inflation pressures, or </w:t>
      </w:r>
      <w:r w:rsidR="00A9351C" w:rsidRPr="00A9351C">
        <w:rPr>
          <w:rFonts w:ascii="Arial" w:hAnsi="Arial" w:cs="Arial"/>
          <w:sz w:val="24"/>
          <w:szCs w:val="24"/>
        </w:rPr>
        <w:lastRenderedPageBreak/>
        <w:t xml:space="preserve">the use of post-dilation. </w:t>
      </w:r>
      <w:r w:rsidR="00071652">
        <w:rPr>
          <w:rFonts w:ascii="Arial" w:hAnsi="Arial" w:cs="Arial"/>
          <w:sz w:val="24"/>
          <w:szCs w:val="24"/>
        </w:rPr>
        <w:t xml:space="preserve">The </w:t>
      </w:r>
      <w:r w:rsidR="00C864EB">
        <w:rPr>
          <w:rFonts w:ascii="Arial" w:hAnsi="Arial" w:cs="Arial"/>
          <w:sz w:val="24"/>
          <w:szCs w:val="24"/>
        </w:rPr>
        <w:t>primary</w:t>
      </w:r>
      <w:r w:rsidR="003C2A7B" w:rsidRPr="003C2A7B">
        <w:rPr>
          <w:rFonts w:ascii="Arial" w:hAnsi="Arial" w:cs="Arial"/>
          <w:sz w:val="24"/>
          <w:szCs w:val="24"/>
        </w:rPr>
        <w:t xml:space="preserve"> analysis</w:t>
      </w:r>
      <w:r w:rsidR="00C864EB">
        <w:rPr>
          <w:rFonts w:ascii="Arial" w:hAnsi="Arial" w:cs="Arial"/>
          <w:sz w:val="24"/>
          <w:szCs w:val="24"/>
        </w:rPr>
        <w:t xml:space="preserve"> of our study showed</w:t>
      </w:r>
      <w:r w:rsidR="003C2A7B" w:rsidRPr="003C2A7B">
        <w:rPr>
          <w:rFonts w:ascii="Arial" w:hAnsi="Arial" w:cs="Arial"/>
          <w:sz w:val="24"/>
          <w:szCs w:val="24"/>
        </w:rPr>
        <w:t xml:space="preserve"> that </w:t>
      </w:r>
      <w:r w:rsidR="002557AA">
        <w:rPr>
          <w:rFonts w:ascii="Arial" w:hAnsi="Arial" w:cs="Arial"/>
          <w:sz w:val="24"/>
          <w:szCs w:val="24"/>
        </w:rPr>
        <w:t xml:space="preserve">there was </w:t>
      </w:r>
      <w:r w:rsidR="00D6406E">
        <w:rPr>
          <w:rFonts w:ascii="Arial" w:hAnsi="Arial" w:cs="Arial"/>
          <w:sz w:val="24"/>
          <w:szCs w:val="24"/>
        </w:rPr>
        <w:t>a considerable size difference between the groups, where imaging guidance resulted in larger-sized</w:t>
      </w:r>
      <w:r w:rsidR="00C864EB">
        <w:rPr>
          <w:rFonts w:ascii="Arial" w:hAnsi="Arial" w:cs="Arial"/>
          <w:sz w:val="24"/>
          <w:szCs w:val="24"/>
        </w:rPr>
        <w:t xml:space="preserve"> </w:t>
      </w:r>
      <w:r w:rsidR="00451773">
        <w:rPr>
          <w:rFonts w:ascii="Arial" w:hAnsi="Arial" w:cs="Arial"/>
          <w:sz w:val="24"/>
          <w:szCs w:val="24"/>
        </w:rPr>
        <w:t>stents</w:t>
      </w:r>
      <w:r w:rsidR="00C864EB">
        <w:rPr>
          <w:rFonts w:ascii="Arial" w:hAnsi="Arial" w:cs="Arial"/>
          <w:sz w:val="24"/>
          <w:szCs w:val="24"/>
        </w:rPr>
        <w:t xml:space="preserve"> deployed</w:t>
      </w:r>
      <w:r w:rsidR="00FA221F">
        <w:rPr>
          <w:rFonts w:ascii="Arial" w:hAnsi="Arial" w:cs="Arial"/>
          <w:sz w:val="24"/>
          <w:szCs w:val="24"/>
        </w:rPr>
        <w:t xml:space="preserve"> (Length: </w:t>
      </w:r>
      <w:r w:rsidR="00F24511">
        <w:rPr>
          <w:rFonts w:ascii="Arial" w:hAnsi="Arial" w:cs="Arial"/>
          <w:sz w:val="24"/>
          <w:szCs w:val="24"/>
        </w:rPr>
        <w:t xml:space="preserve">32.8 </w:t>
      </w:r>
      <w:r w:rsidR="00F24511" w:rsidRPr="0022056E">
        <w:rPr>
          <w:rFonts w:ascii="Arial" w:hAnsi="Arial" w:cs="Arial"/>
          <w:sz w:val="24"/>
          <w:szCs w:val="24"/>
        </w:rPr>
        <w:t>± 10.16</w:t>
      </w:r>
      <w:r w:rsidR="00F24511">
        <w:rPr>
          <w:rFonts w:ascii="Arial" w:hAnsi="Arial" w:cs="Arial"/>
          <w:sz w:val="24"/>
          <w:szCs w:val="24"/>
        </w:rPr>
        <w:t xml:space="preserve"> </w:t>
      </w:r>
      <w:r w:rsidR="0012319F">
        <w:rPr>
          <w:rFonts w:ascii="Arial" w:hAnsi="Arial" w:cs="Arial"/>
          <w:sz w:val="24"/>
          <w:szCs w:val="24"/>
        </w:rPr>
        <w:t xml:space="preserve">mm </w:t>
      </w:r>
      <w:r w:rsidR="00F24511">
        <w:rPr>
          <w:rFonts w:ascii="Arial" w:hAnsi="Arial" w:cs="Arial"/>
          <w:sz w:val="24"/>
          <w:szCs w:val="24"/>
        </w:rPr>
        <w:t>vs 30.</w:t>
      </w:r>
      <w:r w:rsidR="00F24511" w:rsidRPr="0022056E">
        <w:rPr>
          <w:rFonts w:ascii="Arial" w:hAnsi="Arial" w:cs="Arial"/>
          <w:sz w:val="24"/>
          <w:szCs w:val="24"/>
        </w:rPr>
        <w:t>04 ± 10.14</w:t>
      </w:r>
      <w:r w:rsidR="00F24511">
        <w:rPr>
          <w:rFonts w:ascii="Arial" w:hAnsi="Arial" w:cs="Arial"/>
        </w:rPr>
        <w:t xml:space="preserve"> </w:t>
      </w:r>
      <w:r w:rsidR="00A27C1D">
        <w:rPr>
          <w:rFonts w:ascii="Arial" w:hAnsi="Arial" w:cs="Arial"/>
          <w:sz w:val="24"/>
          <w:szCs w:val="24"/>
        </w:rPr>
        <w:t>mm, D</w:t>
      </w:r>
      <w:r w:rsidR="00F24511">
        <w:rPr>
          <w:rFonts w:ascii="Arial" w:hAnsi="Arial" w:cs="Arial"/>
          <w:sz w:val="24"/>
          <w:szCs w:val="24"/>
        </w:rPr>
        <w:t xml:space="preserve">iameter: 2.96 </w:t>
      </w:r>
      <w:r w:rsidR="00F24511" w:rsidRPr="0022056E">
        <w:rPr>
          <w:rFonts w:ascii="Arial" w:hAnsi="Arial" w:cs="Arial"/>
          <w:sz w:val="24"/>
          <w:szCs w:val="24"/>
        </w:rPr>
        <w:t>± 0.54</w:t>
      </w:r>
      <w:r w:rsidR="00F24511">
        <w:rPr>
          <w:rFonts w:ascii="Arial" w:hAnsi="Arial" w:cs="Arial"/>
          <w:sz w:val="24"/>
          <w:szCs w:val="24"/>
        </w:rPr>
        <w:t xml:space="preserve"> </w:t>
      </w:r>
      <w:r w:rsidR="0012319F">
        <w:rPr>
          <w:rFonts w:ascii="Arial" w:hAnsi="Arial" w:cs="Arial"/>
          <w:sz w:val="24"/>
          <w:szCs w:val="24"/>
        </w:rPr>
        <w:t>mm</w:t>
      </w:r>
      <w:r w:rsidR="00F24511">
        <w:rPr>
          <w:rFonts w:ascii="Arial" w:hAnsi="Arial" w:cs="Arial"/>
          <w:sz w:val="24"/>
          <w:szCs w:val="24"/>
        </w:rPr>
        <w:t xml:space="preserve"> vs 2.80 </w:t>
      </w:r>
      <w:r w:rsidR="00F24511" w:rsidRPr="0022056E">
        <w:rPr>
          <w:rFonts w:ascii="Arial" w:hAnsi="Arial" w:cs="Arial"/>
          <w:sz w:val="24"/>
          <w:szCs w:val="24"/>
        </w:rPr>
        <w:t>± 0.38</w:t>
      </w:r>
      <w:r w:rsidR="0012319F">
        <w:rPr>
          <w:rFonts w:ascii="Arial" w:hAnsi="Arial" w:cs="Arial"/>
          <w:sz w:val="24"/>
          <w:szCs w:val="24"/>
        </w:rPr>
        <w:t>mm</w:t>
      </w:r>
      <w:r w:rsidR="00FA221F">
        <w:rPr>
          <w:rFonts w:ascii="Arial" w:hAnsi="Arial" w:cs="Arial"/>
          <w:sz w:val="24"/>
          <w:szCs w:val="24"/>
        </w:rPr>
        <w:t>)</w:t>
      </w:r>
      <w:r w:rsidR="00D6406E">
        <w:rPr>
          <w:rFonts w:ascii="Arial" w:hAnsi="Arial" w:cs="Arial"/>
          <w:sz w:val="24"/>
          <w:szCs w:val="24"/>
        </w:rPr>
        <w:t>.</w:t>
      </w:r>
      <w:r w:rsidR="002557AA">
        <w:rPr>
          <w:rFonts w:ascii="Arial" w:hAnsi="Arial" w:cs="Arial"/>
          <w:sz w:val="24"/>
          <w:szCs w:val="24"/>
        </w:rPr>
        <w:t xml:space="preserve"> </w:t>
      </w:r>
      <w:r w:rsidR="006E48A5">
        <w:rPr>
          <w:rFonts w:ascii="Arial" w:hAnsi="Arial" w:cs="Arial"/>
          <w:sz w:val="24"/>
          <w:szCs w:val="24"/>
        </w:rPr>
        <w:t>This is of remarkable importance</w:t>
      </w:r>
      <w:r w:rsidR="00E914BA">
        <w:rPr>
          <w:rFonts w:ascii="Arial" w:hAnsi="Arial" w:cs="Arial"/>
          <w:sz w:val="24"/>
          <w:szCs w:val="24"/>
        </w:rPr>
        <w:t xml:space="preserve"> as it avoids </w:t>
      </w:r>
      <w:proofErr w:type="spellStart"/>
      <w:r w:rsidR="00E914BA">
        <w:rPr>
          <w:rFonts w:ascii="Arial" w:hAnsi="Arial" w:cs="Arial"/>
          <w:sz w:val="24"/>
          <w:szCs w:val="24"/>
        </w:rPr>
        <w:t>underexpansion</w:t>
      </w:r>
      <w:proofErr w:type="spellEnd"/>
      <w:r w:rsidR="00E914BA">
        <w:rPr>
          <w:rFonts w:ascii="Arial" w:hAnsi="Arial" w:cs="Arial"/>
          <w:sz w:val="24"/>
          <w:szCs w:val="24"/>
        </w:rPr>
        <w:t xml:space="preserve"> and geographical miss, which are important predictors of stent failure and adverse clinical </w:t>
      </w:r>
      <w:r w:rsidR="00DE5BE6">
        <w:rPr>
          <w:rFonts w:ascii="Arial" w:hAnsi="Arial" w:cs="Arial"/>
          <w:sz w:val="24"/>
          <w:szCs w:val="24"/>
        </w:rPr>
        <w:t>outcomes</w:t>
      </w:r>
      <w:r w:rsidR="00E914BA">
        <w:rPr>
          <w:rFonts w:ascii="Arial" w:hAnsi="Arial" w:cs="Arial"/>
          <w:sz w:val="24"/>
          <w:szCs w:val="24"/>
        </w:rPr>
        <w:t xml:space="preserve">. </w:t>
      </w:r>
      <w:r w:rsidR="00D14707" w:rsidRPr="00D14707">
        <w:rPr>
          <w:rFonts w:ascii="Arial" w:hAnsi="Arial" w:cs="Arial"/>
          <w:sz w:val="24"/>
          <w:szCs w:val="24"/>
        </w:rPr>
        <w:t xml:space="preserve">The ILUMIEN III trial demonstrated that OCT-guided PCI using external elastic lamina-based measurements for stent </w:t>
      </w:r>
      <w:proofErr w:type="spellStart"/>
      <w:r w:rsidR="00D14707">
        <w:rPr>
          <w:rFonts w:ascii="Arial" w:hAnsi="Arial" w:cs="Arial"/>
          <w:sz w:val="24"/>
          <w:szCs w:val="24"/>
        </w:rPr>
        <w:t>optimisation</w:t>
      </w:r>
      <w:proofErr w:type="spellEnd"/>
      <w:r w:rsidR="00D14707" w:rsidRPr="00D14707">
        <w:rPr>
          <w:rFonts w:ascii="Arial" w:hAnsi="Arial" w:cs="Arial"/>
          <w:sz w:val="24"/>
          <w:szCs w:val="24"/>
        </w:rPr>
        <w:t xml:space="preserve"> achieved post-PCI minimal stent area (MSA) comparable to IVUS guidance, and both modalities outperformed angiography. OCT and IVUS allowed more precise determination of stent length, diameter, and expansion, highlighting their value in </w:t>
      </w:r>
      <w:proofErr w:type="spellStart"/>
      <w:r w:rsidR="00D14707">
        <w:rPr>
          <w:rFonts w:ascii="Arial" w:hAnsi="Arial" w:cs="Arial"/>
          <w:sz w:val="24"/>
          <w:szCs w:val="24"/>
        </w:rPr>
        <w:t>optimising</w:t>
      </w:r>
      <w:proofErr w:type="spellEnd"/>
      <w:r w:rsidR="00D14707" w:rsidRPr="00D14707">
        <w:rPr>
          <w:rFonts w:ascii="Arial" w:hAnsi="Arial" w:cs="Arial"/>
          <w:sz w:val="24"/>
          <w:szCs w:val="24"/>
        </w:rPr>
        <w:t xml:space="preserve"> PCI outcomes and reducing the risk of stent failure.</w:t>
      </w:r>
      <w:r w:rsidR="008C58BF">
        <w:rPr>
          <w:rFonts w:ascii="Arial" w:hAnsi="Arial" w:cs="Arial"/>
          <w:sz w:val="24"/>
          <w:szCs w:val="24"/>
          <w:vertAlign w:val="superscript"/>
        </w:rPr>
        <w:t>4</w:t>
      </w:r>
      <w:r w:rsidR="00D14707">
        <w:rPr>
          <w:rFonts w:ascii="Arial" w:hAnsi="Arial" w:cs="Arial"/>
          <w:sz w:val="24"/>
          <w:szCs w:val="24"/>
        </w:rPr>
        <w:t xml:space="preserve"> </w:t>
      </w:r>
      <w:r w:rsidR="00DE5BE6">
        <w:rPr>
          <w:rFonts w:ascii="Arial" w:hAnsi="Arial" w:cs="Arial"/>
          <w:sz w:val="24"/>
          <w:szCs w:val="24"/>
        </w:rPr>
        <w:t xml:space="preserve">Furthermore, the </w:t>
      </w:r>
      <w:r w:rsidR="003C2A7B" w:rsidRPr="003C2A7B">
        <w:rPr>
          <w:rFonts w:ascii="Arial" w:hAnsi="Arial" w:cs="Arial"/>
          <w:sz w:val="24"/>
          <w:szCs w:val="24"/>
        </w:rPr>
        <w:t>co</w:t>
      </w:r>
      <w:r w:rsidR="00B57DA5">
        <w:rPr>
          <w:rFonts w:ascii="Arial" w:hAnsi="Arial" w:cs="Arial"/>
          <w:sz w:val="24"/>
          <w:szCs w:val="24"/>
        </w:rPr>
        <w:t xml:space="preserve">ronary dissections were less in the imaging-guided arm when compared to </w:t>
      </w:r>
      <w:r w:rsidR="00C103E9">
        <w:rPr>
          <w:rFonts w:ascii="Arial" w:hAnsi="Arial" w:cs="Arial"/>
          <w:sz w:val="24"/>
          <w:szCs w:val="24"/>
        </w:rPr>
        <w:t>angiography-guided PCI (8% vs 20%),</w:t>
      </w:r>
      <w:r w:rsidR="00B57DA5">
        <w:rPr>
          <w:rFonts w:ascii="Arial" w:hAnsi="Arial" w:cs="Arial"/>
          <w:sz w:val="24"/>
          <w:szCs w:val="24"/>
        </w:rPr>
        <w:t xml:space="preserve"> likely due to finer resolution and precision. </w:t>
      </w:r>
    </w:p>
    <w:p w14:paraId="00645D9C" w14:textId="77777777" w:rsidR="00905A08" w:rsidRDefault="003C2A7B" w:rsidP="003349AF">
      <w:pPr>
        <w:ind w:firstLine="720"/>
        <w:rPr>
          <w:rFonts w:ascii="Arial" w:hAnsi="Arial" w:cs="Arial"/>
          <w:sz w:val="24"/>
          <w:szCs w:val="24"/>
        </w:rPr>
      </w:pPr>
      <w:r w:rsidRPr="003C2A7B">
        <w:rPr>
          <w:rFonts w:ascii="Arial" w:hAnsi="Arial" w:cs="Arial"/>
          <w:sz w:val="24"/>
          <w:szCs w:val="24"/>
        </w:rPr>
        <w:t>A prevaili</w:t>
      </w:r>
      <w:r w:rsidR="00071652">
        <w:rPr>
          <w:rFonts w:ascii="Arial" w:hAnsi="Arial" w:cs="Arial"/>
          <w:sz w:val="24"/>
          <w:szCs w:val="24"/>
        </w:rPr>
        <w:t xml:space="preserve">ng hypothesis in interventional </w:t>
      </w:r>
      <w:r w:rsidRPr="003C2A7B">
        <w:rPr>
          <w:rFonts w:ascii="Arial" w:hAnsi="Arial" w:cs="Arial"/>
          <w:sz w:val="24"/>
          <w:szCs w:val="24"/>
        </w:rPr>
        <w:t>cardiology is that intravascular imaging provides more accura</w:t>
      </w:r>
      <w:r w:rsidR="00071652">
        <w:rPr>
          <w:rFonts w:ascii="Arial" w:hAnsi="Arial" w:cs="Arial"/>
          <w:sz w:val="24"/>
          <w:szCs w:val="24"/>
        </w:rPr>
        <w:t xml:space="preserve">te vessel sizing, often leading </w:t>
      </w:r>
      <w:r w:rsidRPr="003C2A7B">
        <w:rPr>
          <w:rFonts w:ascii="Arial" w:hAnsi="Arial" w:cs="Arial"/>
          <w:sz w:val="24"/>
          <w:szCs w:val="24"/>
        </w:rPr>
        <w:t>operators to select larger and/or longer stents to ensure adequate lesion c</w:t>
      </w:r>
      <w:r w:rsidR="00071652">
        <w:rPr>
          <w:rFonts w:ascii="Arial" w:hAnsi="Arial" w:cs="Arial"/>
          <w:sz w:val="24"/>
          <w:szCs w:val="24"/>
        </w:rPr>
        <w:t xml:space="preserve">overage and </w:t>
      </w:r>
      <w:proofErr w:type="spellStart"/>
      <w:r w:rsidR="00F47B6A">
        <w:rPr>
          <w:rFonts w:ascii="Arial" w:hAnsi="Arial" w:cs="Arial"/>
          <w:sz w:val="24"/>
          <w:szCs w:val="24"/>
        </w:rPr>
        <w:t>mal</w:t>
      </w:r>
      <w:r w:rsidR="00071652">
        <w:rPr>
          <w:rFonts w:ascii="Arial" w:hAnsi="Arial" w:cs="Arial"/>
          <w:sz w:val="24"/>
          <w:szCs w:val="24"/>
        </w:rPr>
        <w:t>apposition</w:t>
      </w:r>
      <w:proofErr w:type="spellEnd"/>
      <w:r w:rsidR="00071652">
        <w:rPr>
          <w:rFonts w:ascii="Arial" w:hAnsi="Arial" w:cs="Arial"/>
          <w:sz w:val="24"/>
          <w:szCs w:val="24"/>
        </w:rPr>
        <w:t xml:space="preserve">. Several </w:t>
      </w:r>
      <w:r w:rsidRPr="003C2A7B">
        <w:rPr>
          <w:rFonts w:ascii="Arial" w:hAnsi="Arial" w:cs="Arial"/>
          <w:sz w:val="24"/>
          <w:szCs w:val="24"/>
        </w:rPr>
        <w:t>large-scale trials have supported this, demonstrating that imaging guidance results in larger final s</w:t>
      </w:r>
      <w:r w:rsidR="00071652">
        <w:rPr>
          <w:rFonts w:ascii="Arial" w:hAnsi="Arial" w:cs="Arial"/>
          <w:sz w:val="24"/>
          <w:szCs w:val="24"/>
        </w:rPr>
        <w:t xml:space="preserve">tent </w:t>
      </w:r>
      <w:r w:rsidRPr="003C2A7B">
        <w:rPr>
          <w:rFonts w:ascii="Arial" w:hAnsi="Arial" w:cs="Arial"/>
          <w:sz w:val="24"/>
          <w:szCs w:val="24"/>
        </w:rPr>
        <w:t>dimens</w:t>
      </w:r>
      <w:r w:rsidR="00AE7911">
        <w:rPr>
          <w:rFonts w:ascii="Arial" w:hAnsi="Arial" w:cs="Arial"/>
          <w:sz w:val="24"/>
          <w:szCs w:val="24"/>
        </w:rPr>
        <w:t xml:space="preserve">ions. The lack of a statistical </w:t>
      </w:r>
      <w:r w:rsidR="007E6D4D">
        <w:rPr>
          <w:rFonts w:ascii="Arial" w:hAnsi="Arial" w:cs="Arial"/>
          <w:sz w:val="24"/>
          <w:szCs w:val="24"/>
        </w:rPr>
        <w:t>difference in stent diameter</w:t>
      </w:r>
      <w:r w:rsidRPr="003C2A7B">
        <w:rPr>
          <w:rFonts w:ascii="Arial" w:hAnsi="Arial" w:cs="Arial"/>
          <w:sz w:val="24"/>
          <w:szCs w:val="24"/>
        </w:rPr>
        <w:t xml:space="preserve"> </w:t>
      </w:r>
      <w:r w:rsidR="00807CAB">
        <w:rPr>
          <w:rFonts w:ascii="Arial" w:hAnsi="Arial" w:cs="Arial"/>
          <w:sz w:val="24"/>
          <w:szCs w:val="24"/>
        </w:rPr>
        <w:t xml:space="preserve">(p = 0.146) </w:t>
      </w:r>
      <w:r w:rsidRPr="003C2A7B">
        <w:rPr>
          <w:rFonts w:ascii="Arial" w:hAnsi="Arial" w:cs="Arial"/>
          <w:sz w:val="24"/>
          <w:szCs w:val="24"/>
        </w:rPr>
        <w:t>may be a</w:t>
      </w:r>
      <w:r w:rsidR="00071652">
        <w:rPr>
          <w:rFonts w:ascii="Arial" w:hAnsi="Arial" w:cs="Arial"/>
          <w:sz w:val="24"/>
          <w:szCs w:val="24"/>
        </w:rPr>
        <w:t xml:space="preserve">ttributable to several factors. </w:t>
      </w:r>
      <w:r w:rsidRPr="003C2A7B">
        <w:rPr>
          <w:rFonts w:ascii="Arial" w:hAnsi="Arial" w:cs="Arial"/>
          <w:sz w:val="24"/>
          <w:szCs w:val="24"/>
        </w:rPr>
        <w:t xml:space="preserve">First, our study’s statistical power may have been insufficient to detect </w:t>
      </w:r>
      <w:r w:rsidR="00071652">
        <w:rPr>
          <w:rFonts w:ascii="Arial" w:hAnsi="Arial" w:cs="Arial"/>
          <w:sz w:val="24"/>
          <w:szCs w:val="24"/>
        </w:rPr>
        <w:t xml:space="preserve">a small but clinically relevant </w:t>
      </w:r>
      <w:r w:rsidRPr="003C2A7B">
        <w:rPr>
          <w:rFonts w:ascii="Arial" w:hAnsi="Arial" w:cs="Arial"/>
          <w:sz w:val="24"/>
          <w:szCs w:val="24"/>
        </w:rPr>
        <w:t>difference in stent sizing. The obser</w:t>
      </w:r>
      <w:r w:rsidR="0012319F">
        <w:rPr>
          <w:rFonts w:ascii="Arial" w:hAnsi="Arial" w:cs="Arial"/>
          <w:sz w:val="24"/>
          <w:szCs w:val="24"/>
        </w:rPr>
        <w:t>ved trend towards a larger mean</w:t>
      </w:r>
      <w:r w:rsidR="00AE7911">
        <w:rPr>
          <w:rFonts w:ascii="Arial" w:hAnsi="Arial" w:cs="Arial"/>
          <w:sz w:val="24"/>
          <w:szCs w:val="24"/>
        </w:rPr>
        <w:t xml:space="preserve"> </w:t>
      </w:r>
      <w:r w:rsidRPr="003C2A7B">
        <w:rPr>
          <w:rFonts w:ascii="Arial" w:hAnsi="Arial" w:cs="Arial"/>
          <w:sz w:val="24"/>
          <w:szCs w:val="24"/>
        </w:rPr>
        <w:t>diam</w:t>
      </w:r>
      <w:r w:rsidR="00071652">
        <w:rPr>
          <w:rFonts w:ascii="Arial" w:hAnsi="Arial" w:cs="Arial"/>
          <w:sz w:val="24"/>
          <w:szCs w:val="24"/>
        </w:rPr>
        <w:t>eter in the imaging group (</w:t>
      </w:r>
      <w:r w:rsidR="0012319F">
        <w:rPr>
          <w:rFonts w:ascii="Arial" w:hAnsi="Arial" w:cs="Arial"/>
          <w:sz w:val="24"/>
          <w:szCs w:val="24"/>
        </w:rPr>
        <w:t xml:space="preserve">2.96mm vs </w:t>
      </w:r>
      <w:r w:rsidR="00AE7911">
        <w:rPr>
          <w:rFonts w:ascii="Arial" w:hAnsi="Arial" w:cs="Arial"/>
          <w:sz w:val="24"/>
          <w:szCs w:val="24"/>
        </w:rPr>
        <w:t>2.80</w:t>
      </w:r>
      <w:r w:rsidR="0012319F">
        <w:rPr>
          <w:rFonts w:ascii="Arial" w:hAnsi="Arial" w:cs="Arial"/>
          <w:sz w:val="24"/>
          <w:szCs w:val="24"/>
        </w:rPr>
        <w:t>mm</w:t>
      </w:r>
      <w:r w:rsidRPr="003C2A7B">
        <w:rPr>
          <w:rFonts w:ascii="Arial" w:hAnsi="Arial" w:cs="Arial"/>
          <w:sz w:val="24"/>
          <w:szCs w:val="24"/>
        </w:rPr>
        <w:t>) could potentially become significant in a larger samp</w:t>
      </w:r>
      <w:r w:rsidR="00071652">
        <w:rPr>
          <w:rFonts w:ascii="Arial" w:hAnsi="Arial" w:cs="Arial"/>
          <w:sz w:val="24"/>
          <w:szCs w:val="24"/>
        </w:rPr>
        <w:t xml:space="preserve">le. Second, operator experience </w:t>
      </w:r>
      <w:r w:rsidRPr="003C2A7B">
        <w:rPr>
          <w:rFonts w:ascii="Arial" w:hAnsi="Arial" w:cs="Arial"/>
          <w:sz w:val="24"/>
          <w:szCs w:val="24"/>
        </w:rPr>
        <w:t>and institutional practice patterns may have played a role, with skilled operators potential</w:t>
      </w:r>
      <w:r w:rsidR="00071652">
        <w:rPr>
          <w:rFonts w:ascii="Arial" w:hAnsi="Arial" w:cs="Arial"/>
          <w:sz w:val="24"/>
          <w:szCs w:val="24"/>
        </w:rPr>
        <w:t xml:space="preserve">ly achieving </w:t>
      </w:r>
      <w:r w:rsidRPr="003C2A7B">
        <w:rPr>
          <w:rFonts w:ascii="Arial" w:hAnsi="Arial" w:cs="Arial"/>
          <w:sz w:val="24"/>
          <w:szCs w:val="24"/>
        </w:rPr>
        <w:t>optimal angiographic results that closely</w:t>
      </w:r>
      <w:r w:rsidR="000D4C06">
        <w:rPr>
          <w:rFonts w:ascii="Arial" w:hAnsi="Arial" w:cs="Arial"/>
          <w:sz w:val="24"/>
          <w:szCs w:val="24"/>
        </w:rPr>
        <w:t xml:space="preserve"> mimic those guided by imaging. </w:t>
      </w:r>
      <w:r w:rsidRPr="003C2A7B">
        <w:rPr>
          <w:rFonts w:ascii="Arial" w:hAnsi="Arial" w:cs="Arial"/>
          <w:sz w:val="24"/>
          <w:szCs w:val="24"/>
        </w:rPr>
        <w:t>Perhaps the most intriguing finding is the numerical, albeit non-significant, increase in dissections</w:t>
      </w:r>
      <w:r w:rsidR="00071652">
        <w:rPr>
          <w:rFonts w:ascii="Arial" w:hAnsi="Arial" w:cs="Arial"/>
          <w:sz w:val="24"/>
          <w:szCs w:val="24"/>
        </w:rPr>
        <w:t xml:space="preserve"> </w:t>
      </w:r>
      <w:r w:rsidR="0007333B">
        <w:rPr>
          <w:rFonts w:ascii="Arial" w:hAnsi="Arial" w:cs="Arial"/>
          <w:sz w:val="24"/>
          <w:szCs w:val="24"/>
        </w:rPr>
        <w:t>in the angiography arm</w:t>
      </w:r>
      <w:r w:rsidR="006B32A6">
        <w:rPr>
          <w:rFonts w:ascii="Arial" w:hAnsi="Arial" w:cs="Arial"/>
          <w:sz w:val="24"/>
          <w:szCs w:val="24"/>
        </w:rPr>
        <w:t xml:space="preserve"> (20.0% vs. 8.0%)</w:t>
      </w:r>
      <w:r w:rsidRPr="003C2A7B">
        <w:rPr>
          <w:rFonts w:ascii="Arial" w:hAnsi="Arial" w:cs="Arial"/>
          <w:sz w:val="24"/>
          <w:szCs w:val="24"/>
        </w:rPr>
        <w:t>.</w:t>
      </w:r>
      <w:r w:rsidR="00F54227">
        <w:rPr>
          <w:rFonts w:ascii="Arial" w:hAnsi="Arial" w:cs="Arial"/>
          <w:sz w:val="24"/>
          <w:szCs w:val="24"/>
        </w:rPr>
        <w:t xml:space="preserve"> </w:t>
      </w:r>
      <w:r w:rsidR="00F54227" w:rsidRPr="00F54227">
        <w:rPr>
          <w:rFonts w:ascii="Arial" w:hAnsi="Arial" w:cs="Arial"/>
          <w:sz w:val="24"/>
          <w:szCs w:val="24"/>
        </w:rPr>
        <w:t>Edge dissection refers to the tearing of the vessel wall at the edge of a stent, which can lead to adverse outcomes such as restenosis or stent thrombosis. The Comparison of Edge Dissection in Imaging-Guided versus Angiography</w:t>
      </w:r>
      <w:r w:rsidR="00555E90">
        <w:rPr>
          <w:rFonts w:ascii="Arial" w:hAnsi="Arial" w:cs="Arial"/>
          <w:sz w:val="24"/>
          <w:szCs w:val="24"/>
        </w:rPr>
        <w:t xml:space="preserve">-Guided PCI is shown in </w:t>
      </w:r>
      <w:r w:rsidR="00555E90" w:rsidRPr="00555E90">
        <w:rPr>
          <w:rFonts w:ascii="Arial" w:hAnsi="Arial" w:cs="Arial"/>
          <w:b/>
          <w:sz w:val="24"/>
          <w:szCs w:val="24"/>
        </w:rPr>
        <w:t>Table 4</w:t>
      </w:r>
      <w:r w:rsidR="00F54227" w:rsidRPr="00F54227">
        <w:rPr>
          <w:rFonts w:ascii="Arial" w:hAnsi="Arial" w:cs="Arial"/>
          <w:sz w:val="24"/>
          <w:szCs w:val="24"/>
        </w:rPr>
        <w:t>.</w:t>
      </w:r>
      <w:r w:rsidRPr="003C2A7B">
        <w:rPr>
          <w:rFonts w:ascii="Arial" w:hAnsi="Arial" w:cs="Arial"/>
          <w:sz w:val="24"/>
          <w:szCs w:val="24"/>
        </w:rPr>
        <w:t xml:space="preserve"> </w:t>
      </w:r>
      <w:r w:rsidR="00071652">
        <w:rPr>
          <w:rFonts w:ascii="Arial" w:hAnsi="Arial" w:cs="Arial"/>
          <w:sz w:val="24"/>
          <w:szCs w:val="24"/>
        </w:rPr>
        <w:t xml:space="preserve">While our study was not </w:t>
      </w:r>
      <w:r w:rsidRPr="00071652">
        <w:rPr>
          <w:rFonts w:ascii="Arial" w:hAnsi="Arial" w:cs="Arial"/>
          <w:sz w:val="24"/>
          <w:szCs w:val="24"/>
        </w:rPr>
        <w:t xml:space="preserve">powered </w:t>
      </w:r>
      <w:r w:rsidR="00A91DDD">
        <w:rPr>
          <w:rFonts w:ascii="Arial" w:hAnsi="Arial" w:cs="Arial"/>
          <w:sz w:val="24"/>
          <w:szCs w:val="24"/>
        </w:rPr>
        <w:t>to conclude this definitively</w:t>
      </w:r>
      <w:r w:rsidRPr="00071652">
        <w:rPr>
          <w:rFonts w:ascii="Arial" w:hAnsi="Arial" w:cs="Arial"/>
          <w:sz w:val="24"/>
          <w:szCs w:val="24"/>
        </w:rPr>
        <w:t>, the twofold increase in the event r</w:t>
      </w:r>
      <w:r w:rsidR="00071652">
        <w:rPr>
          <w:rFonts w:ascii="Arial" w:hAnsi="Arial" w:cs="Arial"/>
          <w:sz w:val="24"/>
          <w:szCs w:val="24"/>
        </w:rPr>
        <w:t xml:space="preserve">ate suggests a potential safety </w:t>
      </w:r>
      <w:r w:rsidRPr="00071652">
        <w:rPr>
          <w:rFonts w:ascii="Arial" w:hAnsi="Arial" w:cs="Arial"/>
          <w:sz w:val="24"/>
          <w:szCs w:val="24"/>
        </w:rPr>
        <w:t>signal that should not be dismissed</w:t>
      </w:r>
      <w:r w:rsidR="00F54227">
        <w:rPr>
          <w:rFonts w:ascii="Arial" w:hAnsi="Arial" w:cs="Arial"/>
          <w:sz w:val="24"/>
          <w:szCs w:val="24"/>
        </w:rPr>
        <w:t>.</w:t>
      </w:r>
      <w:r w:rsidR="008D0786">
        <w:rPr>
          <w:rFonts w:ascii="Arial" w:hAnsi="Arial" w:cs="Arial"/>
          <w:sz w:val="24"/>
          <w:szCs w:val="24"/>
        </w:rPr>
        <w:t xml:space="preserve"> </w:t>
      </w:r>
      <w:r w:rsidR="009836AA">
        <w:rPr>
          <w:rFonts w:ascii="Arial" w:hAnsi="Arial" w:cs="Arial"/>
          <w:sz w:val="24"/>
          <w:szCs w:val="24"/>
        </w:rPr>
        <w:t>However, notable studies such as ILLUMIEN IV</w:t>
      </w:r>
      <w:r w:rsidR="00BA5F1B">
        <w:rPr>
          <w:rFonts w:ascii="Arial" w:hAnsi="Arial" w:cs="Arial"/>
          <w:sz w:val="24"/>
          <w:szCs w:val="24"/>
          <w:vertAlign w:val="superscript"/>
        </w:rPr>
        <w:t>5</w:t>
      </w:r>
      <w:r w:rsidR="009836AA">
        <w:rPr>
          <w:rFonts w:ascii="Arial" w:hAnsi="Arial" w:cs="Arial"/>
          <w:sz w:val="24"/>
          <w:szCs w:val="24"/>
        </w:rPr>
        <w:t xml:space="preserve"> and OPINION ACS</w:t>
      </w:r>
      <w:r w:rsidR="000C612A">
        <w:rPr>
          <w:rFonts w:ascii="Arial" w:hAnsi="Arial" w:cs="Arial"/>
          <w:sz w:val="24"/>
          <w:szCs w:val="24"/>
          <w:vertAlign w:val="superscript"/>
        </w:rPr>
        <w:t>6</w:t>
      </w:r>
      <w:r w:rsidR="009836AA">
        <w:rPr>
          <w:rFonts w:ascii="Arial" w:hAnsi="Arial" w:cs="Arial"/>
          <w:sz w:val="24"/>
          <w:szCs w:val="24"/>
        </w:rPr>
        <w:t xml:space="preserve"> have shown that OCT-guided PCI offers superior vessel wall </w:t>
      </w:r>
      <w:proofErr w:type="spellStart"/>
      <w:r w:rsidR="009836AA">
        <w:rPr>
          <w:rFonts w:ascii="Arial" w:hAnsi="Arial" w:cs="Arial"/>
          <w:sz w:val="24"/>
          <w:szCs w:val="24"/>
        </w:rPr>
        <w:t>visualisation</w:t>
      </w:r>
      <w:proofErr w:type="spellEnd"/>
      <w:r w:rsidR="009836AA" w:rsidRPr="009836AA">
        <w:rPr>
          <w:rFonts w:ascii="Arial" w:hAnsi="Arial" w:cs="Arial"/>
          <w:sz w:val="24"/>
          <w:szCs w:val="24"/>
        </w:rPr>
        <w:t xml:space="preserve">, enabling accurate stent placement and reducing edge dissections and </w:t>
      </w:r>
      <w:proofErr w:type="spellStart"/>
      <w:r w:rsidR="009836AA" w:rsidRPr="009836AA">
        <w:rPr>
          <w:rFonts w:ascii="Arial" w:hAnsi="Arial" w:cs="Arial"/>
          <w:sz w:val="24"/>
          <w:szCs w:val="24"/>
        </w:rPr>
        <w:t>malapposition</w:t>
      </w:r>
      <w:proofErr w:type="spellEnd"/>
      <w:r w:rsidR="009836AA" w:rsidRPr="009836AA">
        <w:rPr>
          <w:rFonts w:ascii="Arial" w:hAnsi="Arial" w:cs="Arial"/>
          <w:sz w:val="24"/>
          <w:szCs w:val="24"/>
        </w:rPr>
        <w:t xml:space="preserve"> compared to angiography, leading to improved procedural outcomes and fewer complications.</w:t>
      </w:r>
      <w:r w:rsidR="009836AA">
        <w:rPr>
          <w:rFonts w:ascii="Arial" w:hAnsi="Arial" w:cs="Arial"/>
          <w:sz w:val="24"/>
          <w:szCs w:val="24"/>
        </w:rPr>
        <w:t xml:space="preserve"> </w:t>
      </w:r>
      <w:r w:rsidR="0052332B" w:rsidRPr="0052332B">
        <w:rPr>
          <w:rFonts w:ascii="Arial" w:hAnsi="Arial" w:cs="Arial"/>
          <w:sz w:val="24"/>
          <w:szCs w:val="24"/>
        </w:rPr>
        <w:t>In the GUIDE-DES</w:t>
      </w:r>
      <w:r w:rsidR="00472607">
        <w:rPr>
          <w:rFonts w:ascii="Arial" w:hAnsi="Arial" w:cs="Arial"/>
          <w:sz w:val="24"/>
          <w:szCs w:val="24"/>
          <w:vertAlign w:val="superscript"/>
        </w:rPr>
        <w:t>7</w:t>
      </w:r>
      <w:r w:rsidR="0052332B" w:rsidRPr="0052332B">
        <w:rPr>
          <w:rFonts w:ascii="Arial" w:hAnsi="Arial" w:cs="Arial"/>
          <w:sz w:val="24"/>
          <w:szCs w:val="24"/>
        </w:rPr>
        <w:t xml:space="preserve"> trial, a direct comparison was made between quantitative coronary angiography (QCA)-guided PCI and intravascular ultrasound (IVUS)-guided PCI to evaluate procedural safety and outcomes. One of the key findings was the difference in the rate of stent edge dissections, a complication that can lead to adverse outcomes if left undetected. The study reported an edge dissection rate of 1.2% in the QCA-guided group, compared to a significantly lower rate of 0.7% in the IVUS-guided group. This reduction is attributed to the superior imaging capability of IVUS, which allows for more accurate assessment of vessel size, plaque burden, and stent deployment, thereby </w:t>
      </w:r>
      <w:proofErr w:type="spellStart"/>
      <w:r w:rsidR="007D36D8">
        <w:rPr>
          <w:rFonts w:ascii="Arial" w:hAnsi="Arial" w:cs="Arial"/>
          <w:sz w:val="24"/>
          <w:szCs w:val="24"/>
        </w:rPr>
        <w:t>minimising</w:t>
      </w:r>
      <w:proofErr w:type="spellEnd"/>
      <w:r w:rsidR="0052332B" w:rsidRPr="0052332B">
        <w:rPr>
          <w:rFonts w:ascii="Arial" w:hAnsi="Arial" w:cs="Arial"/>
          <w:sz w:val="24"/>
          <w:szCs w:val="24"/>
        </w:rPr>
        <w:t xml:space="preserve"> mechanical injury </w:t>
      </w:r>
      <w:r w:rsidR="0052332B" w:rsidRPr="0052332B">
        <w:rPr>
          <w:rFonts w:ascii="Arial" w:hAnsi="Arial" w:cs="Arial"/>
          <w:sz w:val="24"/>
          <w:szCs w:val="24"/>
        </w:rPr>
        <w:lastRenderedPageBreak/>
        <w:t>to the vessel edges. These results underscore the advantage of intravascular imaging in detecting and preventing complications that may go unnoticed with angiography alone.</w:t>
      </w:r>
      <w:r w:rsidR="007D36D8">
        <w:rPr>
          <w:rFonts w:ascii="Arial" w:hAnsi="Arial" w:cs="Arial"/>
          <w:sz w:val="24"/>
          <w:szCs w:val="24"/>
        </w:rPr>
        <w:t xml:space="preserve"> </w:t>
      </w:r>
    </w:p>
    <w:p w14:paraId="2567DC40" w14:textId="77777777" w:rsidR="00973978" w:rsidRPr="003D428D" w:rsidRDefault="00555E90" w:rsidP="00973978">
      <w:pPr>
        <w:rPr>
          <w:rFonts w:ascii="Arial" w:hAnsi="Arial" w:cs="Arial"/>
          <w:b/>
          <w:sz w:val="24"/>
          <w:szCs w:val="24"/>
        </w:rPr>
      </w:pPr>
      <w:r>
        <w:rPr>
          <w:rFonts w:ascii="Arial" w:hAnsi="Arial" w:cs="Arial"/>
          <w:b/>
          <w:sz w:val="24"/>
          <w:szCs w:val="24"/>
        </w:rPr>
        <w:t>Table 4</w:t>
      </w:r>
      <w:r w:rsidR="00973978" w:rsidRPr="003D428D">
        <w:rPr>
          <w:rFonts w:ascii="Arial" w:hAnsi="Arial" w:cs="Arial"/>
          <w:b/>
          <w:sz w:val="24"/>
          <w:szCs w:val="24"/>
        </w:rPr>
        <w:t>:</w:t>
      </w:r>
      <w:r w:rsidR="003D428D" w:rsidRPr="003D428D">
        <w:rPr>
          <w:rFonts w:ascii="Arial" w:hAnsi="Arial" w:cs="Arial"/>
          <w:b/>
          <w:sz w:val="24"/>
          <w:szCs w:val="24"/>
        </w:rPr>
        <w:t xml:space="preserve"> Edge dissection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7"/>
        <w:gridCol w:w="3885"/>
        <w:gridCol w:w="3178"/>
      </w:tblGrid>
      <w:tr w:rsidR="00F038F1" w:rsidRPr="00F038F1" w14:paraId="211F774E" w14:textId="77777777" w:rsidTr="00F038F1">
        <w:trPr>
          <w:trHeight w:val="828"/>
          <w:tblHeader/>
          <w:tblCellSpacing w:w="15" w:type="dxa"/>
        </w:trPr>
        <w:tc>
          <w:tcPr>
            <w:tcW w:w="0" w:type="auto"/>
            <w:vAlign w:val="center"/>
            <w:hideMark/>
          </w:tcPr>
          <w:p w14:paraId="1C794E08" w14:textId="77777777" w:rsidR="00F038F1" w:rsidRPr="00F038F1" w:rsidRDefault="00F038F1" w:rsidP="00F038F1">
            <w:pPr>
              <w:spacing w:after="0" w:line="240" w:lineRule="auto"/>
              <w:jc w:val="center"/>
              <w:rPr>
                <w:rFonts w:ascii="Arial" w:eastAsia="Times New Roman" w:hAnsi="Arial" w:cs="Arial"/>
                <w:b/>
                <w:bCs/>
                <w:sz w:val="24"/>
                <w:szCs w:val="24"/>
              </w:rPr>
            </w:pPr>
            <w:r w:rsidRPr="004079A7">
              <w:rPr>
                <w:rFonts w:ascii="Arial" w:eastAsia="Times New Roman" w:hAnsi="Arial" w:cs="Arial"/>
                <w:b/>
                <w:bCs/>
                <w:sz w:val="24"/>
                <w:szCs w:val="24"/>
              </w:rPr>
              <w:t>Parameter</w:t>
            </w:r>
          </w:p>
        </w:tc>
        <w:tc>
          <w:tcPr>
            <w:tcW w:w="0" w:type="auto"/>
            <w:vAlign w:val="center"/>
            <w:hideMark/>
          </w:tcPr>
          <w:p w14:paraId="74B35568" w14:textId="77777777" w:rsidR="00F038F1" w:rsidRPr="00F038F1" w:rsidRDefault="00F038F1" w:rsidP="00F038F1">
            <w:pPr>
              <w:spacing w:after="0" w:line="240" w:lineRule="auto"/>
              <w:jc w:val="center"/>
              <w:rPr>
                <w:rFonts w:ascii="Arial" w:eastAsia="Times New Roman" w:hAnsi="Arial" w:cs="Arial"/>
                <w:b/>
                <w:bCs/>
                <w:sz w:val="24"/>
                <w:szCs w:val="24"/>
              </w:rPr>
            </w:pPr>
            <w:r w:rsidRPr="004079A7">
              <w:rPr>
                <w:rFonts w:ascii="Arial" w:eastAsia="Times New Roman" w:hAnsi="Arial" w:cs="Arial"/>
                <w:b/>
                <w:bCs/>
                <w:sz w:val="24"/>
                <w:szCs w:val="24"/>
              </w:rPr>
              <w:t>Imaging-Guided PCI</w:t>
            </w:r>
          </w:p>
        </w:tc>
        <w:tc>
          <w:tcPr>
            <w:tcW w:w="0" w:type="auto"/>
            <w:vAlign w:val="center"/>
            <w:hideMark/>
          </w:tcPr>
          <w:p w14:paraId="1EE06215" w14:textId="77777777" w:rsidR="00F038F1" w:rsidRPr="00F038F1" w:rsidRDefault="00F038F1" w:rsidP="00F038F1">
            <w:pPr>
              <w:spacing w:after="0" w:line="240" w:lineRule="auto"/>
              <w:jc w:val="center"/>
              <w:rPr>
                <w:rFonts w:ascii="Arial" w:eastAsia="Times New Roman" w:hAnsi="Arial" w:cs="Arial"/>
                <w:b/>
                <w:bCs/>
                <w:sz w:val="24"/>
                <w:szCs w:val="24"/>
              </w:rPr>
            </w:pPr>
            <w:r w:rsidRPr="004079A7">
              <w:rPr>
                <w:rFonts w:ascii="Arial" w:eastAsia="Times New Roman" w:hAnsi="Arial" w:cs="Arial"/>
                <w:b/>
                <w:bCs/>
                <w:sz w:val="24"/>
                <w:szCs w:val="24"/>
              </w:rPr>
              <w:t>Angiography-Guided PCI</w:t>
            </w:r>
          </w:p>
        </w:tc>
      </w:tr>
      <w:tr w:rsidR="00F038F1" w:rsidRPr="00F038F1" w14:paraId="3E604168" w14:textId="77777777" w:rsidTr="00F038F1">
        <w:trPr>
          <w:trHeight w:val="828"/>
          <w:tblCellSpacing w:w="15" w:type="dxa"/>
        </w:trPr>
        <w:tc>
          <w:tcPr>
            <w:tcW w:w="0" w:type="auto"/>
            <w:vAlign w:val="center"/>
            <w:hideMark/>
          </w:tcPr>
          <w:p w14:paraId="4F309D3D" w14:textId="77777777" w:rsidR="00F038F1" w:rsidRPr="00F038F1" w:rsidRDefault="00F038F1" w:rsidP="00F038F1">
            <w:pPr>
              <w:spacing w:after="0" w:line="240" w:lineRule="auto"/>
              <w:rPr>
                <w:rFonts w:ascii="Arial" w:eastAsia="Times New Roman" w:hAnsi="Arial" w:cs="Arial"/>
                <w:sz w:val="24"/>
                <w:szCs w:val="24"/>
              </w:rPr>
            </w:pPr>
            <w:r w:rsidRPr="004079A7">
              <w:rPr>
                <w:rFonts w:ascii="Arial" w:eastAsia="Times New Roman" w:hAnsi="Arial" w:cs="Arial"/>
                <w:b/>
                <w:bCs/>
                <w:sz w:val="24"/>
                <w:szCs w:val="24"/>
              </w:rPr>
              <w:t>Detection rate of edge dissection</w:t>
            </w:r>
          </w:p>
        </w:tc>
        <w:tc>
          <w:tcPr>
            <w:tcW w:w="0" w:type="auto"/>
            <w:vAlign w:val="center"/>
            <w:hideMark/>
          </w:tcPr>
          <w:p w14:paraId="170D05F4"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Higher (more frequently identified due to superior resolution of IVUS/OCT)</w:t>
            </w:r>
          </w:p>
        </w:tc>
        <w:tc>
          <w:tcPr>
            <w:tcW w:w="0" w:type="auto"/>
            <w:vAlign w:val="center"/>
            <w:hideMark/>
          </w:tcPr>
          <w:p w14:paraId="69AA1E7B"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Lower (many subtle dissections missed)</w:t>
            </w:r>
          </w:p>
        </w:tc>
      </w:tr>
      <w:tr w:rsidR="00F038F1" w:rsidRPr="00F038F1" w14:paraId="69A63515" w14:textId="77777777" w:rsidTr="00F038F1">
        <w:trPr>
          <w:trHeight w:val="828"/>
          <w:tblCellSpacing w:w="15" w:type="dxa"/>
        </w:trPr>
        <w:tc>
          <w:tcPr>
            <w:tcW w:w="0" w:type="auto"/>
            <w:vAlign w:val="center"/>
            <w:hideMark/>
          </w:tcPr>
          <w:p w14:paraId="0DB9FBC4" w14:textId="77777777" w:rsidR="00F038F1" w:rsidRPr="00F038F1" w:rsidRDefault="00F038F1" w:rsidP="00F038F1">
            <w:pPr>
              <w:spacing w:after="0" w:line="240" w:lineRule="auto"/>
              <w:rPr>
                <w:rFonts w:ascii="Arial" w:eastAsia="Times New Roman" w:hAnsi="Arial" w:cs="Arial"/>
                <w:sz w:val="24"/>
                <w:szCs w:val="24"/>
              </w:rPr>
            </w:pPr>
            <w:r w:rsidRPr="004079A7">
              <w:rPr>
                <w:rFonts w:ascii="Arial" w:eastAsia="Times New Roman" w:hAnsi="Arial" w:cs="Arial"/>
                <w:b/>
                <w:bCs/>
                <w:sz w:val="24"/>
                <w:szCs w:val="24"/>
              </w:rPr>
              <w:t>True incidence</w:t>
            </w:r>
          </w:p>
        </w:tc>
        <w:tc>
          <w:tcPr>
            <w:tcW w:w="0" w:type="auto"/>
            <w:vAlign w:val="center"/>
            <w:hideMark/>
          </w:tcPr>
          <w:p w14:paraId="32FC3E88"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Similar or slightly higher (due to better detection)</w:t>
            </w:r>
          </w:p>
        </w:tc>
        <w:tc>
          <w:tcPr>
            <w:tcW w:w="0" w:type="auto"/>
            <w:vAlign w:val="center"/>
            <w:hideMark/>
          </w:tcPr>
          <w:p w14:paraId="11F7C751"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Underestimated</w:t>
            </w:r>
          </w:p>
        </w:tc>
      </w:tr>
      <w:tr w:rsidR="00F038F1" w:rsidRPr="00F038F1" w14:paraId="31D14BC0" w14:textId="77777777" w:rsidTr="00F038F1">
        <w:trPr>
          <w:trHeight w:val="828"/>
          <w:tblCellSpacing w:w="15" w:type="dxa"/>
        </w:trPr>
        <w:tc>
          <w:tcPr>
            <w:tcW w:w="0" w:type="auto"/>
            <w:vAlign w:val="center"/>
            <w:hideMark/>
          </w:tcPr>
          <w:p w14:paraId="284F4B7C" w14:textId="77777777" w:rsidR="00F038F1" w:rsidRPr="00F038F1" w:rsidRDefault="00F038F1" w:rsidP="00F038F1">
            <w:pPr>
              <w:spacing w:after="0" w:line="240" w:lineRule="auto"/>
              <w:rPr>
                <w:rFonts w:ascii="Arial" w:eastAsia="Times New Roman" w:hAnsi="Arial" w:cs="Arial"/>
                <w:sz w:val="24"/>
                <w:szCs w:val="24"/>
              </w:rPr>
            </w:pPr>
            <w:r w:rsidRPr="004079A7">
              <w:rPr>
                <w:rFonts w:ascii="Arial" w:eastAsia="Times New Roman" w:hAnsi="Arial" w:cs="Arial"/>
                <w:b/>
                <w:bCs/>
                <w:sz w:val="24"/>
                <w:szCs w:val="24"/>
              </w:rPr>
              <w:t>Clinical significance</w:t>
            </w:r>
          </w:p>
        </w:tc>
        <w:tc>
          <w:tcPr>
            <w:tcW w:w="0" w:type="auto"/>
            <w:vAlign w:val="center"/>
            <w:hideMark/>
          </w:tcPr>
          <w:p w14:paraId="050F9A42"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Most are minor and clinically silent, but major dissections can be promptly managed</w:t>
            </w:r>
            <w:r w:rsidR="004079A7" w:rsidRPr="004079A7">
              <w:rPr>
                <w:rFonts w:ascii="Arial" w:eastAsia="Times New Roman" w:hAnsi="Arial" w:cs="Arial"/>
                <w:sz w:val="24"/>
                <w:szCs w:val="24"/>
              </w:rPr>
              <w:t>.</w:t>
            </w:r>
          </w:p>
        </w:tc>
        <w:tc>
          <w:tcPr>
            <w:tcW w:w="0" w:type="auto"/>
            <w:vAlign w:val="center"/>
            <w:hideMark/>
          </w:tcPr>
          <w:p w14:paraId="429D9105"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Some clinically significant dissections may go unnoticed</w:t>
            </w:r>
            <w:r w:rsidRPr="004079A7">
              <w:rPr>
                <w:rFonts w:ascii="Arial" w:eastAsia="Times New Roman" w:hAnsi="Arial" w:cs="Arial"/>
                <w:sz w:val="24"/>
                <w:szCs w:val="24"/>
              </w:rPr>
              <w:t>.</w:t>
            </w:r>
          </w:p>
        </w:tc>
      </w:tr>
      <w:tr w:rsidR="00F038F1" w:rsidRPr="00F038F1" w14:paraId="2B55CAF3" w14:textId="77777777" w:rsidTr="00F038F1">
        <w:trPr>
          <w:trHeight w:val="828"/>
          <w:tblCellSpacing w:w="15" w:type="dxa"/>
        </w:trPr>
        <w:tc>
          <w:tcPr>
            <w:tcW w:w="0" w:type="auto"/>
            <w:vAlign w:val="center"/>
            <w:hideMark/>
          </w:tcPr>
          <w:p w14:paraId="4553E3E9" w14:textId="77777777" w:rsidR="00F038F1" w:rsidRPr="00F038F1" w:rsidRDefault="00F038F1" w:rsidP="00F038F1">
            <w:pPr>
              <w:spacing w:after="0" w:line="240" w:lineRule="auto"/>
              <w:rPr>
                <w:rFonts w:ascii="Arial" w:eastAsia="Times New Roman" w:hAnsi="Arial" w:cs="Arial"/>
                <w:sz w:val="24"/>
                <w:szCs w:val="24"/>
              </w:rPr>
            </w:pPr>
            <w:r w:rsidRPr="004079A7">
              <w:rPr>
                <w:rFonts w:ascii="Arial" w:eastAsia="Times New Roman" w:hAnsi="Arial" w:cs="Arial"/>
                <w:b/>
                <w:bCs/>
                <w:sz w:val="24"/>
                <w:szCs w:val="24"/>
              </w:rPr>
              <w:t>Management</w:t>
            </w:r>
          </w:p>
        </w:tc>
        <w:tc>
          <w:tcPr>
            <w:tcW w:w="0" w:type="auto"/>
            <w:vAlign w:val="center"/>
            <w:hideMark/>
          </w:tcPr>
          <w:p w14:paraId="3E5B2F58"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Allows for immediate additional stenting or ballooning</w:t>
            </w:r>
          </w:p>
        </w:tc>
        <w:tc>
          <w:tcPr>
            <w:tcW w:w="0" w:type="auto"/>
            <w:vAlign w:val="center"/>
            <w:hideMark/>
          </w:tcPr>
          <w:p w14:paraId="4B342AAB"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May result in missed interventions</w:t>
            </w:r>
          </w:p>
        </w:tc>
      </w:tr>
      <w:tr w:rsidR="00F038F1" w:rsidRPr="00F038F1" w14:paraId="375AFE55" w14:textId="77777777" w:rsidTr="00F038F1">
        <w:trPr>
          <w:trHeight w:val="828"/>
          <w:tblCellSpacing w:w="15" w:type="dxa"/>
        </w:trPr>
        <w:tc>
          <w:tcPr>
            <w:tcW w:w="0" w:type="auto"/>
            <w:vAlign w:val="center"/>
            <w:hideMark/>
          </w:tcPr>
          <w:p w14:paraId="1557842D" w14:textId="77777777" w:rsidR="00F038F1" w:rsidRPr="00F038F1" w:rsidRDefault="00F038F1" w:rsidP="00F038F1">
            <w:pPr>
              <w:spacing w:after="0" w:line="240" w:lineRule="auto"/>
              <w:rPr>
                <w:rFonts w:ascii="Arial" w:eastAsia="Times New Roman" w:hAnsi="Arial" w:cs="Arial"/>
                <w:sz w:val="24"/>
                <w:szCs w:val="24"/>
              </w:rPr>
            </w:pPr>
            <w:r w:rsidRPr="004079A7">
              <w:rPr>
                <w:rFonts w:ascii="Arial" w:eastAsia="Times New Roman" w:hAnsi="Arial" w:cs="Arial"/>
                <w:b/>
                <w:bCs/>
                <w:sz w:val="24"/>
                <w:szCs w:val="24"/>
              </w:rPr>
              <w:t>Outcome</w:t>
            </w:r>
          </w:p>
        </w:tc>
        <w:tc>
          <w:tcPr>
            <w:tcW w:w="0" w:type="auto"/>
            <w:vAlign w:val="center"/>
            <w:hideMark/>
          </w:tcPr>
          <w:p w14:paraId="59767927"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Potentially reduced adverse events by early identification and correction</w:t>
            </w:r>
          </w:p>
        </w:tc>
        <w:tc>
          <w:tcPr>
            <w:tcW w:w="0" w:type="auto"/>
            <w:vAlign w:val="center"/>
            <w:hideMark/>
          </w:tcPr>
          <w:p w14:paraId="3112BFF6" w14:textId="77777777" w:rsidR="00F038F1" w:rsidRPr="00F038F1" w:rsidRDefault="00F038F1" w:rsidP="00F038F1">
            <w:pPr>
              <w:spacing w:after="0" w:line="240" w:lineRule="auto"/>
              <w:rPr>
                <w:rFonts w:ascii="Arial" w:eastAsia="Times New Roman" w:hAnsi="Arial" w:cs="Arial"/>
                <w:sz w:val="24"/>
                <w:szCs w:val="24"/>
              </w:rPr>
            </w:pPr>
            <w:r w:rsidRPr="00F038F1">
              <w:rPr>
                <w:rFonts w:ascii="Arial" w:eastAsia="Times New Roman" w:hAnsi="Arial" w:cs="Arial"/>
                <w:sz w:val="24"/>
                <w:szCs w:val="24"/>
              </w:rPr>
              <w:t>Risk of late events due to undetected dissections</w:t>
            </w:r>
          </w:p>
        </w:tc>
      </w:tr>
    </w:tbl>
    <w:p w14:paraId="38DBE509" w14:textId="77777777" w:rsidR="005C21CC" w:rsidRDefault="005C21CC" w:rsidP="005C21CC">
      <w:pPr>
        <w:rPr>
          <w:rFonts w:ascii="Arial" w:hAnsi="Arial" w:cs="Arial"/>
          <w:sz w:val="24"/>
          <w:szCs w:val="24"/>
        </w:rPr>
      </w:pPr>
    </w:p>
    <w:p w14:paraId="66EE6229" w14:textId="77777777" w:rsidR="00292905" w:rsidRDefault="000D5905" w:rsidP="005C21CC">
      <w:pPr>
        <w:ind w:firstLine="720"/>
        <w:rPr>
          <w:rFonts w:ascii="Arial" w:hAnsi="Arial" w:cs="Arial"/>
          <w:sz w:val="24"/>
          <w:szCs w:val="24"/>
        </w:rPr>
      </w:pPr>
      <w:r>
        <w:rPr>
          <w:rFonts w:ascii="Arial" w:hAnsi="Arial" w:cs="Arial"/>
          <w:sz w:val="24"/>
          <w:szCs w:val="24"/>
        </w:rPr>
        <w:t>Another</w:t>
      </w:r>
      <w:r w:rsidR="003E01B0">
        <w:rPr>
          <w:rFonts w:ascii="Arial" w:hAnsi="Arial" w:cs="Arial"/>
          <w:sz w:val="24"/>
          <w:szCs w:val="24"/>
        </w:rPr>
        <w:t xml:space="preserve"> challenge that needs to be addressed is when dealing with complex coronary lesions, which are at high risk of periprocedural complications. </w:t>
      </w:r>
      <w:r w:rsidR="003E01B0" w:rsidRPr="003E01B0">
        <w:rPr>
          <w:rFonts w:ascii="Arial" w:hAnsi="Arial" w:cs="Arial"/>
          <w:sz w:val="24"/>
          <w:szCs w:val="24"/>
        </w:rPr>
        <w:t>The RENOVATE-COMPLEX PCI</w:t>
      </w:r>
      <w:r w:rsidR="00472607">
        <w:rPr>
          <w:rFonts w:ascii="Arial" w:hAnsi="Arial" w:cs="Arial"/>
          <w:sz w:val="24"/>
          <w:szCs w:val="24"/>
          <w:vertAlign w:val="superscript"/>
        </w:rPr>
        <w:t>8</w:t>
      </w:r>
      <w:r w:rsidR="003E01B0" w:rsidRPr="003E01B0">
        <w:rPr>
          <w:rFonts w:ascii="Arial" w:hAnsi="Arial" w:cs="Arial"/>
          <w:sz w:val="24"/>
          <w:szCs w:val="24"/>
        </w:rPr>
        <w:t xml:space="preserve"> trial demonstrated that major adverse cardiac events (MACE) at 1 year were significantly lower in the imaging-guided PCI group comp</w:t>
      </w:r>
      <w:r w:rsidR="001A6DEA">
        <w:rPr>
          <w:rFonts w:ascii="Arial" w:hAnsi="Arial" w:cs="Arial"/>
          <w:sz w:val="24"/>
          <w:szCs w:val="24"/>
        </w:rPr>
        <w:t>ared to angiography-guided PCI.</w:t>
      </w:r>
      <w:r w:rsidR="003E01B0" w:rsidRPr="003E01B0">
        <w:rPr>
          <w:rFonts w:ascii="Arial" w:hAnsi="Arial" w:cs="Arial"/>
          <w:sz w:val="24"/>
          <w:szCs w:val="24"/>
        </w:rPr>
        <w:t xml:space="preserve"> Imaging guidance resulted in an approximate 49% relative risk reduction in MACE, primarily due to lower rates of target vessel MI and repeat </w:t>
      </w:r>
      <w:proofErr w:type="spellStart"/>
      <w:r w:rsidR="00D26B32">
        <w:rPr>
          <w:rFonts w:ascii="Arial" w:hAnsi="Arial" w:cs="Arial"/>
          <w:sz w:val="24"/>
          <w:szCs w:val="24"/>
        </w:rPr>
        <w:t>revascularisation</w:t>
      </w:r>
      <w:proofErr w:type="spellEnd"/>
      <w:r w:rsidR="003E01B0" w:rsidRPr="003E01B0">
        <w:rPr>
          <w:rFonts w:ascii="Arial" w:hAnsi="Arial" w:cs="Arial"/>
          <w:sz w:val="24"/>
          <w:szCs w:val="24"/>
        </w:rPr>
        <w:t xml:space="preserve">. Stent </w:t>
      </w:r>
      <w:proofErr w:type="spellStart"/>
      <w:r w:rsidR="00D26B32">
        <w:rPr>
          <w:rFonts w:ascii="Arial" w:hAnsi="Arial" w:cs="Arial"/>
          <w:sz w:val="24"/>
          <w:szCs w:val="24"/>
        </w:rPr>
        <w:t>optimisation</w:t>
      </w:r>
      <w:proofErr w:type="spellEnd"/>
      <w:r w:rsidR="003E01B0" w:rsidRPr="003E01B0">
        <w:rPr>
          <w:rFonts w:ascii="Arial" w:hAnsi="Arial" w:cs="Arial"/>
          <w:sz w:val="24"/>
          <w:szCs w:val="24"/>
        </w:rPr>
        <w:t xml:space="preserve"> was superior in the imaging group, with better stent expansion, appropriate sizing, and fewer edge dissections or </w:t>
      </w:r>
      <w:proofErr w:type="spellStart"/>
      <w:r w:rsidR="003E01B0" w:rsidRPr="003E01B0">
        <w:rPr>
          <w:rFonts w:ascii="Arial" w:hAnsi="Arial" w:cs="Arial"/>
          <w:sz w:val="24"/>
          <w:szCs w:val="24"/>
        </w:rPr>
        <w:t>malapposition</w:t>
      </w:r>
      <w:proofErr w:type="spellEnd"/>
      <w:r w:rsidR="003E01B0" w:rsidRPr="003E01B0">
        <w:rPr>
          <w:rFonts w:ascii="Arial" w:hAnsi="Arial" w:cs="Arial"/>
          <w:sz w:val="24"/>
          <w:szCs w:val="24"/>
        </w:rPr>
        <w:t>, along with more frequent use of post-dilation. The clinical benefits of imaging were consistent across subgroups, including patients with diabetes, left main disease, chronic total occlusions, long lesions, and bifurcation lesions. Importantly, these advantages were achieved without an increase in procedural complications, despite longer procedure times and greater contrast use. These findings strongly support the routine use of intravascular imaging (IVUS or OCT) in complex PCI to improve clinical outcomes, and imaging-guided PCI should be the preferred approach in such patients.</w:t>
      </w:r>
      <w:r w:rsidR="003E01B0">
        <w:rPr>
          <w:rFonts w:ascii="Arial" w:hAnsi="Arial" w:cs="Arial"/>
          <w:sz w:val="24"/>
          <w:szCs w:val="24"/>
        </w:rPr>
        <w:t xml:space="preserve"> </w:t>
      </w:r>
      <w:r w:rsidR="003C2A7B" w:rsidRPr="00071652">
        <w:rPr>
          <w:rFonts w:ascii="Arial" w:hAnsi="Arial" w:cs="Arial"/>
          <w:sz w:val="24"/>
          <w:szCs w:val="24"/>
        </w:rPr>
        <w:t xml:space="preserve">The non-significant p-value </w:t>
      </w:r>
      <w:r w:rsidR="001A6DEA">
        <w:rPr>
          <w:rFonts w:ascii="Arial" w:hAnsi="Arial" w:cs="Arial"/>
          <w:sz w:val="24"/>
          <w:szCs w:val="24"/>
        </w:rPr>
        <w:t xml:space="preserve">with respect to dissection </w:t>
      </w:r>
      <w:r w:rsidR="003C2A7B" w:rsidRPr="00071652">
        <w:rPr>
          <w:rFonts w:ascii="Arial" w:hAnsi="Arial" w:cs="Arial"/>
          <w:sz w:val="24"/>
          <w:szCs w:val="24"/>
        </w:rPr>
        <w:t>highli</w:t>
      </w:r>
      <w:r w:rsidR="00071652">
        <w:rPr>
          <w:rFonts w:ascii="Arial" w:hAnsi="Arial" w:cs="Arial"/>
          <w:sz w:val="24"/>
          <w:szCs w:val="24"/>
        </w:rPr>
        <w:t xml:space="preserve">ghts the critical importance of </w:t>
      </w:r>
      <w:r w:rsidR="003C2A7B" w:rsidRPr="00071652">
        <w:rPr>
          <w:rFonts w:ascii="Arial" w:hAnsi="Arial" w:cs="Arial"/>
          <w:sz w:val="24"/>
          <w:szCs w:val="24"/>
        </w:rPr>
        <w:t>adequate sample size in clinical research; a larger trial might find this</w:t>
      </w:r>
      <w:r w:rsidR="00071652">
        <w:rPr>
          <w:rFonts w:ascii="Arial" w:hAnsi="Arial" w:cs="Arial"/>
          <w:sz w:val="24"/>
          <w:szCs w:val="24"/>
        </w:rPr>
        <w:t xml:space="preserve"> difference to be statistically </w:t>
      </w:r>
      <w:r w:rsidR="003349AF">
        <w:rPr>
          <w:rFonts w:ascii="Arial" w:hAnsi="Arial" w:cs="Arial"/>
          <w:sz w:val="24"/>
          <w:szCs w:val="24"/>
        </w:rPr>
        <w:t>significant.</w:t>
      </w:r>
      <w:r w:rsidR="005A67E9">
        <w:rPr>
          <w:rFonts w:ascii="Arial" w:hAnsi="Arial" w:cs="Arial"/>
          <w:sz w:val="24"/>
          <w:szCs w:val="24"/>
        </w:rPr>
        <w:t xml:space="preserve"> Notably, there are very few studies which compared the stent sizing between the groups. </w:t>
      </w:r>
      <w:r w:rsidR="004E4F1F">
        <w:rPr>
          <w:rFonts w:ascii="Arial" w:hAnsi="Arial" w:cs="Arial"/>
          <w:sz w:val="24"/>
          <w:szCs w:val="24"/>
        </w:rPr>
        <w:t>However,</w:t>
      </w:r>
      <w:r w:rsidR="000F65E0">
        <w:rPr>
          <w:rFonts w:ascii="Arial" w:hAnsi="Arial" w:cs="Arial"/>
          <w:sz w:val="24"/>
          <w:szCs w:val="24"/>
        </w:rPr>
        <w:t xml:space="preserve"> </w:t>
      </w:r>
      <w:r w:rsidR="0010668B">
        <w:rPr>
          <w:rFonts w:ascii="Arial" w:hAnsi="Arial" w:cs="Arial"/>
          <w:sz w:val="24"/>
          <w:szCs w:val="24"/>
        </w:rPr>
        <w:t>the RENOVATE-COMPLEX PCI</w:t>
      </w:r>
      <w:r w:rsidR="00472607">
        <w:rPr>
          <w:rFonts w:ascii="Arial" w:hAnsi="Arial" w:cs="Arial"/>
          <w:sz w:val="24"/>
          <w:szCs w:val="24"/>
          <w:vertAlign w:val="superscript"/>
        </w:rPr>
        <w:t>8</w:t>
      </w:r>
      <w:r w:rsidR="004723B3">
        <w:rPr>
          <w:rFonts w:ascii="Arial" w:hAnsi="Arial" w:cs="Arial"/>
          <w:sz w:val="24"/>
          <w:szCs w:val="24"/>
        </w:rPr>
        <w:t xml:space="preserve"> study did show </w:t>
      </w:r>
      <w:r w:rsidR="004723B3">
        <w:rPr>
          <w:rFonts w:ascii="Arial" w:hAnsi="Arial" w:cs="Arial"/>
          <w:sz w:val="24"/>
          <w:szCs w:val="24"/>
        </w:rPr>
        <w:lastRenderedPageBreak/>
        <w:t xml:space="preserve">that </w:t>
      </w:r>
      <w:r w:rsidR="005A67E9" w:rsidRPr="005A67E9">
        <w:rPr>
          <w:rFonts w:ascii="Arial" w:hAnsi="Arial" w:cs="Arial"/>
          <w:sz w:val="24"/>
          <w:szCs w:val="24"/>
        </w:rPr>
        <w:t xml:space="preserve">Intravascular imaging-guided PCI was associated with a higher rate of adjunctive post-dilation using noncompliant balloons—high-pressure devices that retain their shape under stress. Following the procedure, the average minimum lumen diameter was 2.8 ± 0.5 mm in the imaging group versus 2.7 ± 0.5 mm in the angiography-guided </w:t>
      </w:r>
      <w:r w:rsidR="0062018A">
        <w:rPr>
          <w:rFonts w:ascii="Arial" w:hAnsi="Arial" w:cs="Arial"/>
          <w:sz w:val="24"/>
          <w:szCs w:val="24"/>
        </w:rPr>
        <w:t>Group</w:t>
      </w:r>
      <w:r w:rsidR="005A67E9" w:rsidRPr="005A67E9">
        <w:rPr>
          <w:rFonts w:ascii="Arial" w:hAnsi="Arial" w:cs="Arial"/>
          <w:sz w:val="24"/>
          <w:szCs w:val="24"/>
        </w:rPr>
        <w:t>.</w:t>
      </w:r>
    </w:p>
    <w:p w14:paraId="62389B34" w14:textId="77777777" w:rsidR="003349AF" w:rsidRPr="003349AF" w:rsidRDefault="003349AF" w:rsidP="003349AF">
      <w:pPr>
        <w:ind w:firstLine="720"/>
        <w:rPr>
          <w:rFonts w:ascii="Arial" w:hAnsi="Arial" w:cs="Arial"/>
          <w:sz w:val="24"/>
          <w:szCs w:val="24"/>
          <w:vertAlign w:val="superscript"/>
        </w:rPr>
      </w:pPr>
    </w:p>
    <w:p w14:paraId="18656DF7" w14:textId="77777777" w:rsidR="007C36F3" w:rsidRPr="00107A17" w:rsidRDefault="007C36F3" w:rsidP="000A479C">
      <w:pPr>
        <w:ind w:firstLine="720"/>
        <w:rPr>
          <w:rFonts w:ascii="Arial" w:hAnsi="Arial" w:cs="Arial"/>
          <w:b/>
          <w:sz w:val="24"/>
          <w:szCs w:val="24"/>
        </w:rPr>
      </w:pPr>
    </w:p>
    <w:p w14:paraId="0638675D" w14:textId="14DDC01A" w:rsidR="00BD7F5B" w:rsidRPr="00107A17" w:rsidRDefault="00B672FE" w:rsidP="00B44889">
      <w:pPr>
        <w:rPr>
          <w:rFonts w:ascii="Arial" w:hAnsi="Arial" w:cs="Arial"/>
          <w:b/>
          <w:sz w:val="24"/>
          <w:szCs w:val="24"/>
        </w:rPr>
      </w:pPr>
      <w:r>
        <w:rPr>
          <w:rFonts w:ascii="Arial" w:hAnsi="Arial" w:cs="Arial"/>
          <w:b/>
          <w:sz w:val="24"/>
          <w:szCs w:val="24"/>
        </w:rPr>
        <w:t>5</w:t>
      </w:r>
      <w:r w:rsidR="00B44889" w:rsidRPr="00107A17">
        <w:rPr>
          <w:rFonts w:ascii="Arial" w:hAnsi="Arial" w:cs="Arial"/>
          <w:b/>
          <w:sz w:val="24"/>
          <w:szCs w:val="24"/>
        </w:rPr>
        <w:t xml:space="preserve">. </w:t>
      </w:r>
      <w:r w:rsidR="00BD7F5B" w:rsidRPr="00107A17">
        <w:rPr>
          <w:rFonts w:ascii="Arial" w:hAnsi="Arial" w:cs="Arial"/>
          <w:b/>
          <w:sz w:val="24"/>
          <w:szCs w:val="24"/>
        </w:rPr>
        <w:t>CONCLUSION</w:t>
      </w:r>
    </w:p>
    <w:p w14:paraId="3CE20AF7" w14:textId="77777777" w:rsidR="00B44889" w:rsidRDefault="002B18FC" w:rsidP="005F25E7">
      <w:pPr>
        <w:ind w:firstLine="720"/>
        <w:rPr>
          <w:rFonts w:ascii="Arial" w:hAnsi="Arial" w:cs="Arial"/>
          <w:sz w:val="24"/>
          <w:szCs w:val="24"/>
        </w:rPr>
      </w:pPr>
      <w:r>
        <w:rPr>
          <w:rFonts w:ascii="Arial" w:hAnsi="Arial" w:cs="Arial"/>
          <w:sz w:val="24"/>
          <w:szCs w:val="24"/>
        </w:rPr>
        <w:t xml:space="preserve">Our study showed, larger stents were deployed </w:t>
      </w:r>
      <w:r w:rsidR="005D44CF">
        <w:rPr>
          <w:rFonts w:ascii="Arial" w:hAnsi="Arial" w:cs="Arial"/>
          <w:sz w:val="24"/>
          <w:szCs w:val="24"/>
        </w:rPr>
        <w:t xml:space="preserve">and </w:t>
      </w:r>
      <w:r w:rsidR="00A97D1E">
        <w:rPr>
          <w:rFonts w:ascii="Arial" w:hAnsi="Arial" w:cs="Arial"/>
          <w:sz w:val="24"/>
          <w:szCs w:val="24"/>
        </w:rPr>
        <w:t xml:space="preserve">a </w:t>
      </w:r>
      <w:r>
        <w:rPr>
          <w:rFonts w:ascii="Arial" w:hAnsi="Arial" w:cs="Arial"/>
          <w:sz w:val="24"/>
          <w:szCs w:val="24"/>
        </w:rPr>
        <w:t xml:space="preserve">lower incidence </w:t>
      </w:r>
      <w:r w:rsidR="005D44CF">
        <w:rPr>
          <w:rFonts w:ascii="Arial" w:hAnsi="Arial" w:cs="Arial"/>
          <w:sz w:val="24"/>
          <w:szCs w:val="24"/>
        </w:rPr>
        <w:t xml:space="preserve">of vessel wall dissection in </w:t>
      </w:r>
      <w:r w:rsidR="00A97D1E">
        <w:rPr>
          <w:rFonts w:ascii="Arial" w:hAnsi="Arial" w:cs="Arial"/>
          <w:sz w:val="24"/>
          <w:szCs w:val="24"/>
        </w:rPr>
        <w:t>imaging-guided</w:t>
      </w:r>
      <w:r w:rsidR="005D44CF">
        <w:rPr>
          <w:rFonts w:ascii="Arial" w:hAnsi="Arial" w:cs="Arial"/>
          <w:sz w:val="24"/>
          <w:szCs w:val="24"/>
        </w:rPr>
        <w:t xml:space="preserve"> PCI. </w:t>
      </w:r>
      <w:r w:rsidR="00B44889" w:rsidRPr="00107A17">
        <w:rPr>
          <w:rFonts w:ascii="Arial" w:hAnsi="Arial" w:cs="Arial"/>
          <w:sz w:val="24"/>
          <w:szCs w:val="24"/>
        </w:rPr>
        <w:t xml:space="preserve">Studies have shown that intravascular imaging is superior to angiography in determining the appropriate stent size (diameter </w:t>
      </w:r>
      <w:r w:rsidR="00EB651A">
        <w:rPr>
          <w:rFonts w:ascii="Arial" w:hAnsi="Arial" w:cs="Arial"/>
          <w:sz w:val="24"/>
          <w:szCs w:val="24"/>
        </w:rPr>
        <w:t xml:space="preserve">and length) and </w:t>
      </w:r>
      <w:r w:rsidR="00CC2109">
        <w:rPr>
          <w:rFonts w:ascii="Arial" w:hAnsi="Arial" w:cs="Arial"/>
          <w:sz w:val="24"/>
          <w:szCs w:val="24"/>
        </w:rPr>
        <w:t xml:space="preserve">has </w:t>
      </w:r>
      <w:r>
        <w:rPr>
          <w:rFonts w:ascii="Arial" w:hAnsi="Arial" w:cs="Arial"/>
          <w:sz w:val="24"/>
          <w:szCs w:val="24"/>
        </w:rPr>
        <w:t>a lower occurrence of dissection due to higher resolution and precision</w:t>
      </w:r>
      <w:r w:rsidR="00961EF7">
        <w:rPr>
          <w:rFonts w:ascii="Arial" w:hAnsi="Arial" w:cs="Arial"/>
          <w:sz w:val="24"/>
          <w:szCs w:val="24"/>
        </w:rPr>
        <w:t xml:space="preserve"> during </w:t>
      </w:r>
      <w:r w:rsidR="00490EED">
        <w:rPr>
          <w:rFonts w:ascii="Arial" w:hAnsi="Arial" w:cs="Arial"/>
          <w:sz w:val="24"/>
          <w:szCs w:val="24"/>
        </w:rPr>
        <w:t>Angioplasty</w:t>
      </w:r>
      <w:r>
        <w:rPr>
          <w:rFonts w:ascii="Arial" w:hAnsi="Arial" w:cs="Arial"/>
          <w:sz w:val="24"/>
          <w:szCs w:val="24"/>
        </w:rPr>
        <w:t>. However, the utility of intravascular imaging</w:t>
      </w:r>
      <w:r w:rsidR="00B44889" w:rsidRPr="00107A17">
        <w:rPr>
          <w:rFonts w:ascii="Arial" w:hAnsi="Arial" w:cs="Arial"/>
          <w:sz w:val="24"/>
          <w:szCs w:val="24"/>
        </w:rPr>
        <w:t xml:space="preserve"> in real-time practice is much low when compared to other countries due to various factors. </w:t>
      </w:r>
    </w:p>
    <w:p w14:paraId="15E1B16B" w14:textId="2685C617" w:rsidR="00B672FE" w:rsidRDefault="00B672FE" w:rsidP="00B672FE">
      <w:pPr>
        <w:rPr>
          <w:rFonts w:ascii="Arial" w:hAnsi="Arial" w:cs="Arial"/>
          <w:b/>
          <w:sz w:val="24"/>
          <w:szCs w:val="24"/>
        </w:rPr>
      </w:pPr>
      <w:r>
        <w:rPr>
          <w:rFonts w:ascii="Arial" w:hAnsi="Arial" w:cs="Arial"/>
          <w:b/>
          <w:sz w:val="24"/>
          <w:szCs w:val="24"/>
        </w:rPr>
        <w:t>6</w:t>
      </w:r>
      <w:r w:rsidRPr="00107A17">
        <w:rPr>
          <w:rFonts w:ascii="Arial" w:hAnsi="Arial" w:cs="Arial"/>
          <w:b/>
          <w:sz w:val="24"/>
          <w:szCs w:val="24"/>
        </w:rPr>
        <w:t xml:space="preserve">. STUDY LIMITATION </w:t>
      </w:r>
    </w:p>
    <w:p w14:paraId="0E601783" w14:textId="77777777" w:rsidR="00B672FE" w:rsidRDefault="00B672FE" w:rsidP="00B672FE">
      <w:pPr>
        <w:ind w:firstLine="720"/>
        <w:rPr>
          <w:rFonts w:ascii="Arial" w:hAnsi="Arial" w:cs="Arial"/>
          <w:sz w:val="24"/>
          <w:szCs w:val="24"/>
        </w:rPr>
      </w:pPr>
      <w:r w:rsidRPr="00292905">
        <w:rPr>
          <w:rFonts w:ascii="Arial" w:hAnsi="Arial" w:cs="Arial"/>
          <w:sz w:val="24"/>
          <w:szCs w:val="24"/>
        </w:rPr>
        <w:t>The conclusions drawn from this study are subject to several limitations</w:t>
      </w:r>
      <w:r>
        <w:rPr>
          <w:rFonts w:ascii="Arial" w:hAnsi="Arial" w:cs="Arial"/>
          <w:sz w:val="24"/>
          <w:szCs w:val="24"/>
        </w:rPr>
        <w:t xml:space="preserve">. The primary limitation is the </w:t>
      </w:r>
      <w:r w:rsidRPr="00292905">
        <w:rPr>
          <w:rFonts w:ascii="Arial" w:hAnsi="Arial" w:cs="Arial"/>
          <w:sz w:val="24"/>
          <w:szCs w:val="24"/>
        </w:rPr>
        <w:t xml:space="preserve">relatively small sample size for all analyses, which restricts our ability to </w:t>
      </w:r>
      <w:r>
        <w:rPr>
          <w:rFonts w:ascii="Arial" w:hAnsi="Arial" w:cs="Arial"/>
          <w:sz w:val="24"/>
          <w:szCs w:val="24"/>
        </w:rPr>
        <w:t xml:space="preserve">detect true differences between </w:t>
      </w:r>
      <w:r w:rsidRPr="00292905">
        <w:rPr>
          <w:rFonts w:ascii="Arial" w:hAnsi="Arial" w:cs="Arial"/>
          <w:sz w:val="24"/>
          <w:szCs w:val="24"/>
        </w:rPr>
        <w:t>the groups and may have resulted in a Type II statistical error. The study i</w:t>
      </w:r>
      <w:r>
        <w:rPr>
          <w:rFonts w:ascii="Arial" w:hAnsi="Arial" w:cs="Arial"/>
          <w:sz w:val="24"/>
          <w:szCs w:val="24"/>
        </w:rPr>
        <w:t xml:space="preserve">s also observational in nature </w:t>
      </w:r>
      <w:r w:rsidRPr="00292905">
        <w:rPr>
          <w:rFonts w:ascii="Arial" w:hAnsi="Arial" w:cs="Arial"/>
          <w:sz w:val="24"/>
          <w:szCs w:val="24"/>
        </w:rPr>
        <w:t>and thus susceptible to selection bias and confounding variables that w</w:t>
      </w:r>
      <w:r>
        <w:rPr>
          <w:rFonts w:ascii="Arial" w:hAnsi="Arial" w:cs="Arial"/>
          <w:sz w:val="24"/>
          <w:szCs w:val="24"/>
        </w:rPr>
        <w:t xml:space="preserve">ere not controlled for, such as </w:t>
      </w:r>
      <w:r w:rsidRPr="00292905">
        <w:rPr>
          <w:rFonts w:ascii="Arial" w:hAnsi="Arial" w:cs="Arial"/>
          <w:sz w:val="24"/>
          <w:szCs w:val="24"/>
        </w:rPr>
        <w:t>lesion complexity or patient comorbidities.</w:t>
      </w:r>
      <w:r>
        <w:rPr>
          <w:rFonts w:ascii="Arial" w:hAnsi="Arial" w:cs="Arial"/>
          <w:sz w:val="24"/>
          <w:szCs w:val="24"/>
        </w:rPr>
        <w:t xml:space="preserve"> Finally, the identification of dissection by angiography may involve observer bias.</w:t>
      </w:r>
    </w:p>
    <w:p w14:paraId="7486DB45" w14:textId="77777777" w:rsidR="00FA08DA" w:rsidRPr="00D54095" w:rsidRDefault="00FA08DA" w:rsidP="00FA08DA">
      <w:pPr>
        <w:rPr>
          <w:rFonts w:ascii="Arial" w:hAnsi="Arial" w:cs="Arial"/>
          <w:sz w:val="24"/>
          <w:szCs w:val="24"/>
        </w:rPr>
      </w:pPr>
      <w:r>
        <w:rPr>
          <w:rFonts w:ascii="Arial" w:hAnsi="Arial" w:cs="Arial"/>
          <w:b/>
          <w:i/>
          <w:sz w:val="24"/>
          <w:szCs w:val="24"/>
        </w:rPr>
        <w:t>Abbreviations</w:t>
      </w:r>
      <w:r w:rsidRPr="00490EED">
        <w:rPr>
          <w:rFonts w:ascii="Arial" w:hAnsi="Arial" w:cs="Arial"/>
          <w:b/>
          <w:i/>
          <w:sz w:val="24"/>
          <w:szCs w:val="24"/>
        </w:rPr>
        <w:t>:</w:t>
      </w:r>
    </w:p>
    <w:p w14:paraId="7496D0C3" w14:textId="77777777" w:rsidR="00FA08DA" w:rsidRDefault="00FA08DA" w:rsidP="00FA08DA">
      <w:pPr>
        <w:rPr>
          <w:rFonts w:ascii="Arial" w:hAnsi="Arial" w:cs="Arial"/>
          <w:sz w:val="24"/>
          <w:szCs w:val="24"/>
        </w:rPr>
      </w:pPr>
      <w:r>
        <w:rPr>
          <w:rFonts w:ascii="Arial" w:hAnsi="Arial" w:cs="Arial"/>
          <w:sz w:val="24"/>
          <w:szCs w:val="24"/>
        </w:rPr>
        <w:t>PCI- Percutaneous coronary intervention</w:t>
      </w:r>
    </w:p>
    <w:p w14:paraId="58D3BBDB" w14:textId="77777777" w:rsidR="00FA08DA" w:rsidRDefault="00FA08DA" w:rsidP="00FA08DA">
      <w:pPr>
        <w:rPr>
          <w:rFonts w:ascii="Arial" w:hAnsi="Arial" w:cs="Arial"/>
          <w:sz w:val="24"/>
          <w:szCs w:val="24"/>
        </w:rPr>
      </w:pPr>
      <w:r>
        <w:rPr>
          <w:rFonts w:ascii="Arial" w:hAnsi="Arial" w:cs="Arial"/>
          <w:sz w:val="24"/>
          <w:szCs w:val="24"/>
        </w:rPr>
        <w:t xml:space="preserve">ISR- In-stent restenosis </w:t>
      </w:r>
    </w:p>
    <w:p w14:paraId="4DDA9381" w14:textId="77777777" w:rsidR="00FA08DA" w:rsidRDefault="00FA08DA" w:rsidP="00FA08DA">
      <w:pPr>
        <w:rPr>
          <w:rFonts w:ascii="Arial" w:hAnsi="Arial" w:cs="Arial"/>
          <w:sz w:val="24"/>
          <w:szCs w:val="24"/>
        </w:rPr>
      </w:pPr>
      <w:r>
        <w:rPr>
          <w:rFonts w:ascii="Arial" w:hAnsi="Arial" w:cs="Arial"/>
          <w:sz w:val="24"/>
          <w:szCs w:val="24"/>
        </w:rPr>
        <w:t>IVUS- Intravascular ultrasound</w:t>
      </w:r>
    </w:p>
    <w:p w14:paraId="555998A0" w14:textId="77777777" w:rsidR="00FA08DA" w:rsidRDefault="00FA08DA" w:rsidP="00FA08DA">
      <w:pPr>
        <w:rPr>
          <w:rFonts w:ascii="Arial" w:hAnsi="Arial" w:cs="Arial"/>
          <w:sz w:val="24"/>
          <w:szCs w:val="24"/>
        </w:rPr>
      </w:pPr>
      <w:r>
        <w:rPr>
          <w:rFonts w:ascii="Arial" w:hAnsi="Arial" w:cs="Arial"/>
          <w:sz w:val="24"/>
          <w:szCs w:val="24"/>
        </w:rPr>
        <w:t>OCT- Optical coherence tomography</w:t>
      </w:r>
    </w:p>
    <w:p w14:paraId="69410704" w14:textId="77777777" w:rsidR="00FA08DA" w:rsidRDefault="00FA08DA" w:rsidP="00FA08DA">
      <w:pPr>
        <w:rPr>
          <w:rFonts w:ascii="Arial" w:hAnsi="Arial" w:cs="Arial"/>
          <w:sz w:val="24"/>
          <w:szCs w:val="24"/>
        </w:rPr>
      </w:pPr>
      <w:r>
        <w:rPr>
          <w:rFonts w:ascii="Arial" w:hAnsi="Arial" w:cs="Arial"/>
          <w:sz w:val="24"/>
          <w:szCs w:val="24"/>
        </w:rPr>
        <w:t>MSA- Minimum stent area</w:t>
      </w:r>
    </w:p>
    <w:p w14:paraId="7EB71CEF" w14:textId="77777777" w:rsidR="00FA08DA" w:rsidRDefault="00FA08DA" w:rsidP="00FA08DA">
      <w:pPr>
        <w:rPr>
          <w:rFonts w:ascii="Arial" w:hAnsi="Arial" w:cs="Arial"/>
          <w:sz w:val="24"/>
          <w:szCs w:val="24"/>
        </w:rPr>
      </w:pPr>
      <w:r>
        <w:rPr>
          <w:rFonts w:ascii="Arial" w:hAnsi="Arial" w:cs="Arial"/>
          <w:sz w:val="24"/>
          <w:szCs w:val="24"/>
        </w:rPr>
        <w:t>MACE- Major adverse cardiovascular events</w:t>
      </w:r>
    </w:p>
    <w:p w14:paraId="51DE0006" w14:textId="77777777" w:rsidR="00FA08DA" w:rsidRDefault="00FA08DA" w:rsidP="00FA08DA">
      <w:pPr>
        <w:rPr>
          <w:rFonts w:ascii="Arial" w:hAnsi="Arial" w:cs="Arial"/>
          <w:sz w:val="24"/>
          <w:szCs w:val="24"/>
        </w:rPr>
      </w:pPr>
      <w:r>
        <w:rPr>
          <w:rFonts w:ascii="Arial" w:hAnsi="Arial" w:cs="Arial"/>
          <w:sz w:val="24"/>
          <w:szCs w:val="24"/>
        </w:rPr>
        <w:t xml:space="preserve">QCA- Quantitative coronary angiography </w:t>
      </w:r>
    </w:p>
    <w:p w14:paraId="6E51C315" w14:textId="77777777" w:rsidR="00F32D15" w:rsidRDefault="00F32D15" w:rsidP="00B672FE">
      <w:pPr>
        <w:ind w:firstLine="720"/>
        <w:rPr>
          <w:rFonts w:ascii="Arial" w:hAnsi="Arial" w:cs="Arial"/>
          <w:sz w:val="24"/>
          <w:szCs w:val="24"/>
        </w:rPr>
      </w:pPr>
    </w:p>
    <w:p w14:paraId="5BD1ACDE" w14:textId="77777777" w:rsidR="00B672FE" w:rsidRPr="00107A17" w:rsidRDefault="00B672FE" w:rsidP="005F25E7">
      <w:pPr>
        <w:ind w:firstLine="720"/>
        <w:rPr>
          <w:rFonts w:ascii="Arial" w:hAnsi="Arial" w:cs="Arial"/>
          <w:sz w:val="24"/>
          <w:szCs w:val="24"/>
        </w:rPr>
      </w:pPr>
    </w:p>
    <w:p w14:paraId="46CB77B4" w14:textId="77777777" w:rsidR="00490EED" w:rsidRDefault="00490EED">
      <w:pPr>
        <w:rPr>
          <w:rFonts w:ascii="Arial" w:hAnsi="Arial" w:cs="Arial"/>
          <w:b/>
          <w:sz w:val="24"/>
          <w:szCs w:val="24"/>
          <w:u w:val="single"/>
        </w:rPr>
      </w:pPr>
    </w:p>
    <w:p w14:paraId="06BC034B" w14:textId="77777777" w:rsidR="00641A5D" w:rsidRPr="00107A17" w:rsidRDefault="00641A5D">
      <w:pPr>
        <w:rPr>
          <w:rFonts w:ascii="Arial" w:hAnsi="Arial" w:cs="Arial"/>
          <w:b/>
          <w:sz w:val="24"/>
          <w:szCs w:val="24"/>
          <w:u w:val="single"/>
        </w:rPr>
      </w:pPr>
      <w:r w:rsidRPr="00107A17">
        <w:rPr>
          <w:rFonts w:ascii="Arial" w:hAnsi="Arial" w:cs="Arial"/>
          <w:b/>
          <w:sz w:val="24"/>
          <w:szCs w:val="24"/>
          <w:u w:val="single"/>
        </w:rPr>
        <w:lastRenderedPageBreak/>
        <w:t>REFERENCE</w:t>
      </w:r>
      <w:r w:rsidR="000F4F81">
        <w:rPr>
          <w:rFonts w:ascii="Arial" w:hAnsi="Arial" w:cs="Arial"/>
          <w:b/>
          <w:sz w:val="24"/>
          <w:szCs w:val="24"/>
          <w:u w:val="single"/>
        </w:rPr>
        <w:t>S</w:t>
      </w:r>
    </w:p>
    <w:p w14:paraId="75D711FC" w14:textId="77777777" w:rsidR="00641A5D" w:rsidRPr="00C553F2" w:rsidRDefault="00641A5D" w:rsidP="00641A5D">
      <w:pPr>
        <w:pStyle w:val="ListParagraph"/>
        <w:numPr>
          <w:ilvl w:val="0"/>
          <w:numId w:val="1"/>
        </w:numPr>
        <w:rPr>
          <w:rFonts w:ascii="Arial" w:hAnsi="Arial" w:cs="Arial"/>
          <w:sz w:val="20"/>
          <w:szCs w:val="20"/>
        </w:rPr>
      </w:pPr>
      <w:r w:rsidRPr="00C553F2">
        <w:rPr>
          <w:rFonts w:ascii="Arial" w:hAnsi="Arial" w:cs="Arial"/>
          <w:sz w:val="20"/>
          <w:szCs w:val="20"/>
        </w:rPr>
        <w:t>Prati F., Di Vito L., Biondi-</w:t>
      </w:r>
      <w:proofErr w:type="spellStart"/>
      <w:r w:rsidRPr="00C553F2">
        <w:rPr>
          <w:rFonts w:ascii="Arial" w:hAnsi="Arial" w:cs="Arial"/>
          <w:sz w:val="20"/>
          <w:szCs w:val="20"/>
        </w:rPr>
        <w:t>Zoccai</w:t>
      </w:r>
      <w:proofErr w:type="spellEnd"/>
      <w:r w:rsidRPr="00C553F2">
        <w:rPr>
          <w:rFonts w:ascii="Arial" w:hAnsi="Arial" w:cs="Arial"/>
          <w:sz w:val="20"/>
          <w:szCs w:val="20"/>
        </w:rPr>
        <w:t xml:space="preserve"> G. Angiography alone versus angiography plus optical coherence tomography to guide decision-making during percutaneous coronary intervention: the Centro per la Lotta </w:t>
      </w:r>
      <w:proofErr w:type="spellStart"/>
      <w:r w:rsidRPr="00C553F2">
        <w:rPr>
          <w:rFonts w:ascii="Arial" w:hAnsi="Arial" w:cs="Arial"/>
          <w:sz w:val="20"/>
          <w:szCs w:val="20"/>
        </w:rPr>
        <w:t>contro</w:t>
      </w:r>
      <w:proofErr w:type="spellEnd"/>
      <w:r w:rsidRPr="00C553F2">
        <w:rPr>
          <w:rFonts w:ascii="Arial" w:hAnsi="Arial" w:cs="Arial"/>
          <w:sz w:val="20"/>
          <w:szCs w:val="20"/>
        </w:rPr>
        <w:t xml:space="preserve"> </w:t>
      </w:r>
      <w:proofErr w:type="spellStart"/>
      <w:r w:rsidRPr="00C553F2">
        <w:rPr>
          <w:rFonts w:ascii="Arial" w:hAnsi="Arial" w:cs="Arial"/>
          <w:sz w:val="20"/>
          <w:szCs w:val="20"/>
        </w:rPr>
        <w:t>l'Infarto-Optimisation</w:t>
      </w:r>
      <w:proofErr w:type="spellEnd"/>
      <w:r w:rsidRPr="00C553F2">
        <w:rPr>
          <w:rFonts w:ascii="Arial" w:hAnsi="Arial" w:cs="Arial"/>
          <w:sz w:val="20"/>
          <w:szCs w:val="20"/>
        </w:rPr>
        <w:t xml:space="preserve"> of Percutaneous Coronary Intervention (CLI-OPCI) study. </w:t>
      </w:r>
      <w:proofErr w:type="spellStart"/>
      <w:r w:rsidRPr="00C553F2">
        <w:rPr>
          <w:rFonts w:ascii="Arial" w:hAnsi="Arial" w:cs="Arial"/>
          <w:sz w:val="20"/>
          <w:szCs w:val="20"/>
        </w:rPr>
        <w:t>EuroIntervention</w:t>
      </w:r>
      <w:proofErr w:type="spellEnd"/>
      <w:r w:rsidRPr="00C553F2">
        <w:rPr>
          <w:rFonts w:ascii="Arial" w:hAnsi="Arial" w:cs="Arial"/>
          <w:sz w:val="20"/>
          <w:szCs w:val="20"/>
        </w:rPr>
        <w:t>. 2012;8(7):823–829.</w:t>
      </w:r>
    </w:p>
    <w:p w14:paraId="56D9E429" w14:textId="77777777" w:rsidR="00C553F2" w:rsidRPr="00C553F2" w:rsidRDefault="00C553F2" w:rsidP="00C553F2">
      <w:pPr>
        <w:pStyle w:val="ListParagraph"/>
        <w:numPr>
          <w:ilvl w:val="0"/>
          <w:numId w:val="1"/>
        </w:numPr>
        <w:rPr>
          <w:rFonts w:ascii="Arial" w:hAnsi="Arial" w:cs="Arial"/>
          <w:sz w:val="20"/>
          <w:szCs w:val="20"/>
        </w:rPr>
      </w:pPr>
      <w:r w:rsidRPr="00C553F2">
        <w:rPr>
          <w:rFonts w:ascii="Arial" w:hAnsi="Arial" w:cs="Arial"/>
          <w:sz w:val="20"/>
          <w:szCs w:val="20"/>
        </w:rPr>
        <w:t>Maehara A. et al. Relationship between intravascular ultrasound guidance and clinical outcomes after drug-eluting stents: the assessment of dual antiplatelet therapy with drug-eluting stents (ADAPT-DES) study. Circulation. 2014 Jan 28;129(4):463-70.</w:t>
      </w:r>
    </w:p>
    <w:p w14:paraId="0012DD3A" w14:textId="77777777" w:rsidR="00C553F2" w:rsidRPr="00C553F2" w:rsidRDefault="00C553F2" w:rsidP="00C553F2">
      <w:pPr>
        <w:pStyle w:val="ListParagraph"/>
        <w:numPr>
          <w:ilvl w:val="0"/>
          <w:numId w:val="1"/>
        </w:numPr>
        <w:rPr>
          <w:rFonts w:ascii="Arial" w:hAnsi="Arial" w:cs="Arial"/>
          <w:sz w:val="20"/>
          <w:szCs w:val="20"/>
        </w:rPr>
      </w:pPr>
      <w:proofErr w:type="spellStart"/>
      <w:r w:rsidRPr="00C553F2">
        <w:rPr>
          <w:rFonts w:ascii="Arial" w:hAnsi="Arial" w:cs="Arial"/>
          <w:sz w:val="20"/>
          <w:szCs w:val="20"/>
        </w:rPr>
        <w:t>Witzenbichler</w:t>
      </w:r>
      <w:proofErr w:type="spellEnd"/>
      <w:r w:rsidRPr="00C553F2">
        <w:rPr>
          <w:rFonts w:ascii="Arial" w:hAnsi="Arial" w:cs="Arial"/>
          <w:sz w:val="20"/>
          <w:szCs w:val="20"/>
        </w:rPr>
        <w:t xml:space="preserve"> B, et al. Relationship Between Intravascular Ultrasound Guidance and Clinical Outcomes After Drug-Eluting Stents: The ADAPT-DES Study. Circulation 2014 Jan: 129,4;463-470</w:t>
      </w:r>
    </w:p>
    <w:p w14:paraId="6EBDB5DC" w14:textId="77777777" w:rsidR="00D64730" w:rsidRPr="00D64730" w:rsidRDefault="00D64730" w:rsidP="00D64730">
      <w:pPr>
        <w:pStyle w:val="ListParagraph"/>
        <w:numPr>
          <w:ilvl w:val="0"/>
          <w:numId w:val="1"/>
        </w:numPr>
        <w:rPr>
          <w:rFonts w:ascii="Arial" w:hAnsi="Arial" w:cs="Arial"/>
          <w:sz w:val="20"/>
          <w:szCs w:val="20"/>
        </w:rPr>
      </w:pPr>
      <w:r w:rsidRPr="00D64730">
        <w:rPr>
          <w:rFonts w:ascii="Arial" w:hAnsi="Arial" w:cs="Arial"/>
          <w:sz w:val="20"/>
          <w:szCs w:val="20"/>
        </w:rPr>
        <w:t xml:space="preserve">Ali ZA1, Maehara A, Généreux P. et al. Optical coherence tomography compared with intravascular ultrasound and with angiography to guide coronary stent implantation (ILUMIEN III: OPTIMIZE PCI): a </w:t>
      </w:r>
      <w:proofErr w:type="spellStart"/>
      <w:r w:rsidRPr="00D64730">
        <w:rPr>
          <w:rFonts w:ascii="Arial" w:hAnsi="Arial" w:cs="Arial"/>
          <w:sz w:val="20"/>
          <w:szCs w:val="20"/>
        </w:rPr>
        <w:t>randomised</w:t>
      </w:r>
      <w:proofErr w:type="spellEnd"/>
      <w:r w:rsidRPr="00D64730">
        <w:rPr>
          <w:rFonts w:ascii="Arial" w:hAnsi="Arial" w:cs="Arial"/>
          <w:sz w:val="20"/>
          <w:szCs w:val="20"/>
        </w:rPr>
        <w:t xml:space="preserve"> controlled trial. Lancet. 2016. November 26</w:t>
      </w:r>
      <w:r w:rsidR="00D36C6D">
        <w:rPr>
          <w:rFonts w:ascii="Arial" w:hAnsi="Arial" w:cs="Arial"/>
          <w:sz w:val="20"/>
          <w:szCs w:val="20"/>
        </w:rPr>
        <w:t>,</w:t>
      </w:r>
      <w:r w:rsidRPr="00D64730">
        <w:rPr>
          <w:rFonts w:ascii="Arial" w:hAnsi="Arial" w:cs="Arial"/>
          <w:sz w:val="20"/>
          <w:szCs w:val="20"/>
        </w:rPr>
        <w:t xml:space="preserve"> 388 10060: 2618– 28.</w:t>
      </w:r>
    </w:p>
    <w:p w14:paraId="7EF6B72D" w14:textId="77777777" w:rsidR="00C553F2" w:rsidRDefault="00D954F1" w:rsidP="00D954F1">
      <w:pPr>
        <w:pStyle w:val="ListParagraph"/>
        <w:numPr>
          <w:ilvl w:val="0"/>
          <w:numId w:val="1"/>
        </w:numPr>
        <w:rPr>
          <w:rFonts w:ascii="Arial" w:hAnsi="Arial" w:cs="Arial"/>
          <w:sz w:val="20"/>
          <w:szCs w:val="20"/>
        </w:rPr>
      </w:pPr>
      <w:r w:rsidRPr="00D954F1">
        <w:rPr>
          <w:rFonts w:ascii="Arial" w:hAnsi="Arial" w:cs="Arial"/>
          <w:sz w:val="20"/>
          <w:szCs w:val="20"/>
        </w:rPr>
        <w:t xml:space="preserve">Ali ZA, Landmesser U, Maehara A, Matsumura M, </w:t>
      </w:r>
      <w:proofErr w:type="spellStart"/>
      <w:r w:rsidRPr="00D954F1">
        <w:rPr>
          <w:rFonts w:ascii="Arial" w:hAnsi="Arial" w:cs="Arial"/>
          <w:sz w:val="20"/>
          <w:szCs w:val="20"/>
        </w:rPr>
        <w:t>Shlofmitz</w:t>
      </w:r>
      <w:proofErr w:type="spellEnd"/>
      <w:r w:rsidRPr="00D954F1">
        <w:rPr>
          <w:rFonts w:ascii="Arial" w:hAnsi="Arial" w:cs="Arial"/>
          <w:sz w:val="20"/>
          <w:szCs w:val="20"/>
        </w:rPr>
        <w:t xml:space="preserve"> RA, </w:t>
      </w:r>
      <w:proofErr w:type="spellStart"/>
      <w:r w:rsidRPr="00D954F1">
        <w:rPr>
          <w:rFonts w:ascii="Arial" w:hAnsi="Arial" w:cs="Arial"/>
          <w:sz w:val="20"/>
          <w:szCs w:val="20"/>
        </w:rPr>
        <w:t>Guagliumi</w:t>
      </w:r>
      <w:proofErr w:type="spellEnd"/>
      <w:r w:rsidRPr="00D954F1">
        <w:rPr>
          <w:rFonts w:ascii="Arial" w:hAnsi="Arial" w:cs="Arial"/>
          <w:sz w:val="20"/>
          <w:szCs w:val="20"/>
        </w:rPr>
        <w:t xml:space="preserve"> G, et al. Optical coherence tomography–guided versus angiography-guided percutaneous coronary intervention. N Engl J Med. 2023 Aug 31;389(9):837–49. doi:10.1056/NEJMoa2305861.</w:t>
      </w:r>
    </w:p>
    <w:p w14:paraId="59DE235F" w14:textId="77777777" w:rsidR="00BA5F1B" w:rsidRDefault="00BA5F1B" w:rsidP="00BA5F1B">
      <w:pPr>
        <w:pStyle w:val="ListParagraph"/>
        <w:numPr>
          <w:ilvl w:val="0"/>
          <w:numId w:val="1"/>
        </w:numPr>
        <w:rPr>
          <w:rFonts w:ascii="Arial" w:hAnsi="Arial" w:cs="Arial"/>
          <w:sz w:val="20"/>
          <w:szCs w:val="20"/>
        </w:rPr>
      </w:pPr>
      <w:r w:rsidRPr="00BA5F1B">
        <w:rPr>
          <w:rFonts w:ascii="Arial" w:hAnsi="Arial" w:cs="Arial"/>
          <w:sz w:val="20"/>
          <w:szCs w:val="20"/>
        </w:rPr>
        <w:t xml:space="preserve">Otake H, Kubo T, </w:t>
      </w:r>
      <w:proofErr w:type="spellStart"/>
      <w:r w:rsidRPr="00BA5F1B">
        <w:rPr>
          <w:rFonts w:ascii="Arial" w:hAnsi="Arial" w:cs="Arial"/>
          <w:sz w:val="20"/>
          <w:szCs w:val="20"/>
        </w:rPr>
        <w:t>Hibi</w:t>
      </w:r>
      <w:proofErr w:type="spellEnd"/>
      <w:r w:rsidRPr="00BA5F1B">
        <w:rPr>
          <w:rFonts w:ascii="Arial" w:hAnsi="Arial" w:cs="Arial"/>
          <w:sz w:val="20"/>
          <w:szCs w:val="20"/>
        </w:rPr>
        <w:t xml:space="preserve"> K, </w:t>
      </w:r>
      <w:proofErr w:type="spellStart"/>
      <w:r w:rsidRPr="00BA5F1B">
        <w:rPr>
          <w:rFonts w:ascii="Arial" w:hAnsi="Arial" w:cs="Arial"/>
          <w:sz w:val="20"/>
          <w:szCs w:val="20"/>
        </w:rPr>
        <w:t>Natsumeda</w:t>
      </w:r>
      <w:proofErr w:type="spellEnd"/>
      <w:r w:rsidRPr="00BA5F1B">
        <w:rPr>
          <w:rFonts w:ascii="Arial" w:hAnsi="Arial" w:cs="Arial"/>
          <w:sz w:val="20"/>
          <w:szCs w:val="20"/>
        </w:rPr>
        <w:t xml:space="preserve"> M, Ishida M, Kataoka T, et al. Optical frequency domain imaging–guided versus intravascular ultrasound–guided percutaneous coronary intervention for acute coronary syndromes: the OPINION ACS </w:t>
      </w:r>
      <w:proofErr w:type="spellStart"/>
      <w:r w:rsidRPr="00BA5F1B">
        <w:rPr>
          <w:rFonts w:ascii="Arial" w:hAnsi="Arial" w:cs="Arial"/>
          <w:sz w:val="20"/>
          <w:szCs w:val="20"/>
        </w:rPr>
        <w:t>randomised</w:t>
      </w:r>
      <w:proofErr w:type="spellEnd"/>
      <w:r w:rsidRPr="00BA5F1B">
        <w:rPr>
          <w:rFonts w:ascii="Arial" w:hAnsi="Arial" w:cs="Arial"/>
          <w:sz w:val="20"/>
          <w:szCs w:val="20"/>
        </w:rPr>
        <w:t xml:space="preserve"> trial. </w:t>
      </w:r>
      <w:proofErr w:type="spellStart"/>
      <w:r w:rsidRPr="00BA5F1B">
        <w:rPr>
          <w:rFonts w:ascii="Arial" w:hAnsi="Arial" w:cs="Arial"/>
          <w:sz w:val="20"/>
          <w:szCs w:val="20"/>
        </w:rPr>
        <w:t>EuroIntervention</w:t>
      </w:r>
      <w:proofErr w:type="spellEnd"/>
      <w:r w:rsidRPr="00BA5F1B">
        <w:rPr>
          <w:rFonts w:ascii="Arial" w:hAnsi="Arial" w:cs="Arial"/>
          <w:sz w:val="20"/>
          <w:szCs w:val="20"/>
        </w:rPr>
        <w:t>. 2024 Jun 6;20(2</w:t>
      </w:r>
      <w:proofErr w:type="gramStart"/>
      <w:r w:rsidRPr="00BA5F1B">
        <w:rPr>
          <w:rFonts w:ascii="Arial" w:hAnsi="Arial" w:cs="Arial"/>
          <w:sz w:val="20"/>
          <w:szCs w:val="20"/>
        </w:rPr>
        <w:t>):e</w:t>
      </w:r>
      <w:proofErr w:type="gramEnd"/>
      <w:r w:rsidRPr="00BA5F1B">
        <w:rPr>
          <w:rFonts w:ascii="Arial" w:hAnsi="Arial" w:cs="Arial"/>
          <w:sz w:val="20"/>
          <w:szCs w:val="20"/>
        </w:rPr>
        <w:t>150–8. doi:10.4244/EIJ-D-24-00314.</w:t>
      </w:r>
    </w:p>
    <w:p w14:paraId="39FFCE40" w14:textId="77777777" w:rsidR="00472607" w:rsidRDefault="00472607" w:rsidP="00472607">
      <w:pPr>
        <w:pStyle w:val="ListParagraph"/>
        <w:numPr>
          <w:ilvl w:val="0"/>
          <w:numId w:val="1"/>
        </w:numPr>
        <w:rPr>
          <w:rFonts w:ascii="Arial" w:hAnsi="Arial" w:cs="Arial"/>
          <w:sz w:val="20"/>
          <w:szCs w:val="20"/>
        </w:rPr>
      </w:pPr>
      <w:r w:rsidRPr="00472607">
        <w:rPr>
          <w:rFonts w:ascii="Arial" w:hAnsi="Arial" w:cs="Arial"/>
          <w:sz w:val="20"/>
          <w:szCs w:val="20"/>
        </w:rPr>
        <w:t>Lee PH, et al. Quantitative Coronary Angiography (QCA) vs Intravascular Ultrasound (IVUS) Guidance for Drug</w:t>
      </w:r>
      <w:r w:rsidRPr="00472607">
        <w:rPr>
          <w:rFonts w:ascii="Cambria Math" w:hAnsi="Cambria Math" w:cs="Cambria Math"/>
          <w:sz w:val="20"/>
          <w:szCs w:val="20"/>
        </w:rPr>
        <w:t>‑</w:t>
      </w:r>
      <w:r w:rsidRPr="00472607">
        <w:rPr>
          <w:rFonts w:ascii="Arial" w:hAnsi="Arial" w:cs="Arial"/>
          <w:sz w:val="20"/>
          <w:szCs w:val="20"/>
        </w:rPr>
        <w:t>Eluting Stent Implantation. JAMA Cardiology, 2024.</w:t>
      </w:r>
    </w:p>
    <w:p w14:paraId="259845D1" w14:textId="77777777" w:rsidR="001E3736" w:rsidRPr="00D954F1" w:rsidRDefault="001E3736" w:rsidP="001E3736">
      <w:pPr>
        <w:pStyle w:val="ListParagraph"/>
        <w:numPr>
          <w:ilvl w:val="0"/>
          <w:numId w:val="1"/>
        </w:numPr>
        <w:rPr>
          <w:rFonts w:ascii="Arial" w:hAnsi="Arial" w:cs="Arial"/>
          <w:sz w:val="20"/>
          <w:szCs w:val="20"/>
        </w:rPr>
      </w:pPr>
      <w:r w:rsidRPr="001E3736">
        <w:rPr>
          <w:rFonts w:ascii="Arial" w:hAnsi="Arial" w:cs="Arial"/>
          <w:sz w:val="20"/>
          <w:szCs w:val="20"/>
        </w:rPr>
        <w:t>Lee JM, Choi KH, Song YB, Lee JY, Lee SJ, Lee SY, Kim SM, et al. Intravascular imaging–guided or angiography-guided complex percutaneous coronary intervention. N Engl J Med. 2023;388(9):798–809. doi:10.1056/NEJMoa2216607</w:t>
      </w:r>
    </w:p>
    <w:p w14:paraId="5DBB3139" w14:textId="77777777" w:rsidR="00641A5D" w:rsidRPr="00107A17" w:rsidRDefault="00641A5D">
      <w:pPr>
        <w:rPr>
          <w:rFonts w:ascii="Arial" w:hAnsi="Arial" w:cs="Arial"/>
          <w:b/>
          <w:sz w:val="24"/>
          <w:szCs w:val="24"/>
          <w:u w:val="single"/>
        </w:rPr>
      </w:pPr>
    </w:p>
    <w:sectPr w:rsidR="00641A5D" w:rsidRPr="00107A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48FDA" w14:textId="77777777" w:rsidR="005C2F27" w:rsidRDefault="005C2F27" w:rsidP="008956B0">
      <w:pPr>
        <w:spacing w:after="0" w:line="240" w:lineRule="auto"/>
      </w:pPr>
      <w:r>
        <w:separator/>
      </w:r>
    </w:p>
  </w:endnote>
  <w:endnote w:type="continuationSeparator" w:id="0">
    <w:p w14:paraId="3C4E9B67" w14:textId="77777777" w:rsidR="005C2F27" w:rsidRDefault="005C2F27" w:rsidP="0089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C6A10" w14:textId="77777777" w:rsidR="005B615F" w:rsidRDefault="005B6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6962" w14:textId="77777777" w:rsidR="005B615F" w:rsidRDefault="005B6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AE51" w14:textId="77777777" w:rsidR="005B615F" w:rsidRDefault="005B6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91B41" w14:textId="77777777" w:rsidR="005C2F27" w:rsidRDefault="005C2F27" w:rsidP="008956B0">
      <w:pPr>
        <w:spacing w:after="0" w:line="240" w:lineRule="auto"/>
      </w:pPr>
      <w:r>
        <w:separator/>
      </w:r>
    </w:p>
  </w:footnote>
  <w:footnote w:type="continuationSeparator" w:id="0">
    <w:p w14:paraId="0CC4D0D1" w14:textId="77777777" w:rsidR="005C2F27" w:rsidRDefault="005C2F27" w:rsidP="00895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DB8F" w14:textId="7F248EDB" w:rsidR="005B615F" w:rsidRDefault="005B615F">
    <w:pPr>
      <w:pStyle w:val="Header"/>
    </w:pPr>
    <w:r>
      <w:rPr>
        <w:noProof/>
      </w:rPr>
      <w:pict w14:anchorId="1944C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673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FCBB0" w14:textId="56E4807A" w:rsidR="005B615F" w:rsidRDefault="005B615F">
    <w:pPr>
      <w:pStyle w:val="Header"/>
    </w:pPr>
    <w:r>
      <w:rPr>
        <w:noProof/>
      </w:rPr>
      <w:pict w14:anchorId="26744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673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CC4E" w14:textId="6CD38CBF" w:rsidR="005B615F" w:rsidRDefault="005B615F">
    <w:pPr>
      <w:pStyle w:val="Header"/>
    </w:pPr>
    <w:r>
      <w:rPr>
        <w:noProof/>
      </w:rPr>
      <w:pict w14:anchorId="44222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673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3365"/>
    <w:multiLevelType w:val="multilevel"/>
    <w:tmpl w:val="ECC252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E621C"/>
    <w:multiLevelType w:val="hybridMultilevel"/>
    <w:tmpl w:val="33801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C15DD"/>
    <w:multiLevelType w:val="hybridMultilevel"/>
    <w:tmpl w:val="A4BC5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C4F1D"/>
    <w:multiLevelType w:val="hybridMultilevel"/>
    <w:tmpl w:val="6ABAC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813E3"/>
    <w:multiLevelType w:val="hybridMultilevel"/>
    <w:tmpl w:val="98AA5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6345AD"/>
    <w:multiLevelType w:val="hybridMultilevel"/>
    <w:tmpl w:val="44225286"/>
    <w:lvl w:ilvl="0" w:tplc="6AF6B7D8">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E7794"/>
    <w:multiLevelType w:val="hybridMultilevel"/>
    <w:tmpl w:val="6ED6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C40DCC"/>
    <w:multiLevelType w:val="hybridMultilevel"/>
    <w:tmpl w:val="8DEE6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22"/>
    <w:rsid w:val="000221C5"/>
    <w:rsid w:val="00071652"/>
    <w:rsid w:val="0007333B"/>
    <w:rsid w:val="00073489"/>
    <w:rsid w:val="000965D9"/>
    <w:rsid w:val="000A479C"/>
    <w:rsid w:val="000C612A"/>
    <w:rsid w:val="000D4897"/>
    <w:rsid w:val="000D4C06"/>
    <w:rsid w:val="000D5905"/>
    <w:rsid w:val="000E3AD0"/>
    <w:rsid w:val="000F4F81"/>
    <w:rsid w:val="000F65E0"/>
    <w:rsid w:val="0010668B"/>
    <w:rsid w:val="00107A17"/>
    <w:rsid w:val="0012319F"/>
    <w:rsid w:val="00130F03"/>
    <w:rsid w:val="00136D51"/>
    <w:rsid w:val="00142DC0"/>
    <w:rsid w:val="0017052F"/>
    <w:rsid w:val="00175B66"/>
    <w:rsid w:val="001762F4"/>
    <w:rsid w:val="001764E7"/>
    <w:rsid w:val="00194DBC"/>
    <w:rsid w:val="001A6DEA"/>
    <w:rsid w:val="001E3736"/>
    <w:rsid w:val="00203A05"/>
    <w:rsid w:val="0022056E"/>
    <w:rsid w:val="00227BF1"/>
    <w:rsid w:val="00233A57"/>
    <w:rsid w:val="002557AA"/>
    <w:rsid w:val="00255B5B"/>
    <w:rsid w:val="00262D3A"/>
    <w:rsid w:val="002755E0"/>
    <w:rsid w:val="002845F2"/>
    <w:rsid w:val="00292905"/>
    <w:rsid w:val="002B086A"/>
    <w:rsid w:val="002B18FC"/>
    <w:rsid w:val="002B47A6"/>
    <w:rsid w:val="002C1FBB"/>
    <w:rsid w:val="002E7B24"/>
    <w:rsid w:val="002F33A3"/>
    <w:rsid w:val="0030772F"/>
    <w:rsid w:val="00314AEB"/>
    <w:rsid w:val="003349AF"/>
    <w:rsid w:val="00363412"/>
    <w:rsid w:val="00395D21"/>
    <w:rsid w:val="003A659D"/>
    <w:rsid w:val="003A67B3"/>
    <w:rsid w:val="003B6833"/>
    <w:rsid w:val="003C2A7B"/>
    <w:rsid w:val="003D1A4C"/>
    <w:rsid w:val="003D428D"/>
    <w:rsid w:val="003D764B"/>
    <w:rsid w:val="003E01B0"/>
    <w:rsid w:val="003F0BA7"/>
    <w:rsid w:val="003F1BF5"/>
    <w:rsid w:val="003F4B67"/>
    <w:rsid w:val="00401417"/>
    <w:rsid w:val="004079A7"/>
    <w:rsid w:val="004251C1"/>
    <w:rsid w:val="00445049"/>
    <w:rsid w:val="00451773"/>
    <w:rsid w:val="00467DA6"/>
    <w:rsid w:val="00472014"/>
    <w:rsid w:val="004723B3"/>
    <w:rsid w:val="00472607"/>
    <w:rsid w:val="00475D57"/>
    <w:rsid w:val="00482BE1"/>
    <w:rsid w:val="00490EED"/>
    <w:rsid w:val="004B4005"/>
    <w:rsid w:val="004C0BE5"/>
    <w:rsid w:val="004D34D0"/>
    <w:rsid w:val="004E4F1F"/>
    <w:rsid w:val="004E6FA5"/>
    <w:rsid w:val="00500E18"/>
    <w:rsid w:val="0051057F"/>
    <w:rsid w:val="0052066D"/>
    <w:rsid w:val="00520AFC"/>
    <w:rsid w:val="0052332B"/>
    <w:rsid w:val="00554D58"/>
    <w:rsid w:val="00555012"/>
    <w:rsid w:val="00555E90"/>
    <w:rsid w:val="005569BC"/>
    <w:rsid w:val="00563CA5"/>
    <w:rsid w:val="00576EF6"/>
    <w:rsid w:val="005A67E9"/>
    <w:rsid w:val="005B53BB"/>
    <w:rsid w:val="005B615F"/>
    <w:rsid w:val="005C21CC"/>
    <w:rsid w:val="005C2F27"/>
    <w:rsid w:val="005D31A4"/>
    <w:rsid w:val="005D44CF"/>
    <w:rsid w:val="005E0DD9"/>
    <w:rsid w:val="005F25E7"/>
    <w:rsid w:val="00600D76"/>
    <w:rsid w:val="0062018A"/>
    <w:rsid w:val="00627C36"/>
    <w:rsid w:val="00630AE0"/>
    <w:rsid w:val="006340D4"/>
    <w:rsid w:val="00641A2C"/>
    <w:rsid w:val="00641A5D"/>
    <w:rsid w:val="00692775"/>
    <w:rsid w:val="00695FA6"/>
    <w:rsid w:val="006B32A6"/>
    <w:rsid w:val="006D472E"/>
    <w:rsid w:val="006E1C25"/>
    <w:rsid w:val="006E48A5"/>
    <w:rsid w:val="00702503"/>
    <w:rsid w:val="007151AE"/>
    <w:rsid w:val="00734F06"/>
    <w:rsid w:val="00760115"/>
    <w:rsid w:val="00764225"/>
    <w:rsid w:val="00776090"/>
    <w:rsid w:val="007A1B12"/>
    <w:rsid w:val="007C36F3"/>
    <w:rsid w:val="007D19F7"/>
    <w:rsid w:val="007D36D8"/>
    <w:rsid w:val="007D39F3"/>
    <w:rsid w:val="007E6D4D"/>
    <w:rsid w:val="007F2DC2"/>
    <w:rsid w:val="00807CAB"/>
    <w:rsid w:val="00810AE4"/>
    <w:rsid w:val="008132EE"/>
    <w:rsid w:val="00824015"/>
    <w:rsid w:val="00832570"/>
    <w:rsid w:val="00840476"/>
    <w:rsid w:val="00841E3F"/>
    <w:rsid w:val="00857EF4"/>
    <w:rsid w:val="00881F68"/>
    <w:rsid w:val="008956B0"/>
    <w:rsid w:val="00895938"/>
    <w:rsid w:val="008A0DC9"/>
    <w:rsid w:val="008B6A28"/>
    <w:rsid w:val="008C58BF"/>
    <w:rsid w:val="008D0786"/>
    <w:rsid w:val="00905A08"/>
    <w:rsid w:val="00906102"/>
    <w:rsid w:val="00925E18"/>
    <w:rsid w:val="009274C8"/>
    <w:rsid w:val="009578F7"/>
    <w:rsid w:val="00961EF7"/>
    <w:rsid w:val="009628E1"/>
    <w:rsid w:val="009633DF"/>
    <w:rsid w:val="00972F51"/>
    <w:rsid w:val="00973978"/>
    <w:rsid w:val="009836AA"/>
    <w:rsid w:val="009914BD"/>
    <w:rsid w:val="009A076A"/>
    <w:rsid w:val="009E2621"/>
    <w:rsid w:val="009E62E9"/>
    <w:rsid w:val="009F3D15"/>
    <w:rsid w:val="00A02CC8"/>
    <w:rsid w:val="00A10605"/>
    <w:rsid w:val="00A27C1D"/>
    <w:rsid w:val="00A34E0E"/>
    <w:rsid w:val="00A359C9"/>
    <w:rsid w:val="00A50D5A"/>
    <w:rsid w:val="00A8436F"/>
    <w:rsid w:val="00A84BE1"/>
    <w:rsid w:val="00A84E0B"/>
    <w:rsid w:val="00A917D3"/>
    <w:rsid w:val="00A91DDD"/>
    <w:rsid w:val="00A9351C"/>
    <w:rsid w:val="00A97D1E"/>
    <w:rsid w:val="00AA4DD2"/>
    <w:rsid w:val="00AB577B"/>
    <w:rsid w:val="00AD23CC"/>
    <w:rsid w:val="00AD2C63"/>
    <w:rsid w:val="00AD410D"/>
    <w:rsid w:val="00AD5EFE"/>
    <w:rsid w:val="00AE7911"/>
    <w:rsid w:val="00AF440F"/>
    <w:rsid w:val="00B012F3"/>
    <w:rsid w:val="00B11A7D"/>
    <w:rsid w:val="00B15A79"/>
    <w:rsid w:val="00B21086"/>
    <w:rsid w:val="00B44889"/>
    <w:rsid w:val="00B5495B"/>
    <w:rsid w:val="00B569C8"/>
    <w:rsid w:val="00B56B50"/>
    <w:rsid w:val="00B57DA5"/>
    <w:rsid w:val="00B60371"/>
    <w:rsid w:val="00B672FE"/>
    <w:rsid w:val="00B85DDF"/>
    <w:rsid w:val="00B86295"/>
    <w:rsid w:val="00B9296C"/>
    <w:rsid w:val="00BA3649"/>
    <w:rsid w:val="00BA3C9A"/>
    <w:rsid w:val="00BA5F1B"/>
    <w:rsid w:val="00BC1A6A"/>
    <w:rsid w:val="00BD18AB"/>
    <w:rsid w:val="00BD7F5B"/>
    <w:rsid w:val="00BE429E"/>
    <w:rsid w:val="00C03642"/>
    <w:rsid w:val="00C103E9"/>
    <w:rsid w:val="00C367C0"/>
    <w:rsid w:val="00C36AC7"/>
    <w:rsid w:val="00C45D0A"/>
    <w:rsid w:val="00C553F2"/>
    <w:rsid w:val="00C636DE"/>
    <w:rsid w:val="00C7742B"/>
    <w:rsid w:val="00C864EB"/>
    <w:rsid w:val="00C9404D"/>
    <w:rsid w:val="00CC2109"/>
    <w:rsid w:val="00CC5CCB"/>
    <w:rsid w:val="00CC6DC9"/>
    <w:rsid w:val="00CF1861"/>
    <w:rsid w:val="00D07C48"/>
    <w:rsid w:val="00D14707"/>
    <w:rsid w:val="00D2438E"/>
    <w:rsid w:val="00D26B32"/>
    <w:rsid w:val="00D27540"/>
    <w:rsid w:val="00D36C6D"/>
    <w:rsid w:val="00D45389"/>
    <w:rsid w:val="00D47186"/>
    <w:rsid w:val="00D54095"/>
    <w:rsid w:val="00D6406E"/>
    <w:rsid w:val="00D64730"/>
    <w:rsid w:val="00D954F1"/>
    <w:rsid w:val="00DB7E85"/>
    <w:rsid w:val="00DD49D7"/>
    <w:rsid w:val="00DD4DE8"/>
    <w:rsid w:val="00DD713B"/>
    <w:rsid w:val="00DE0DED"/>
    <w:rsid w:val="00DE5BE6"/>
    <w:rsid w:val="00DE67A8"/>
    <w:rsid w:val="00DF19AE"/>
    <w:rsid w:val="00E058DD"/>
    <w:rsid w:val="00E0768D"/>
    <w:rsid w:val="00E30E9E"/>
    <w:rsid w:val="00E35BA7"/>
    <w:rsid w:val="00E369D9"/>
    <w:rsid w:val="00E63A1F"/>
    <w:rsid w:val="00E74FCA"/>
    <w:rsid w:val="00E81D33"/>
    <w:rsid w:val="00E914BA"/>
    <w:rsid w:val="00EB5E0A"/>
    <w:rsid w:val="00EB6080"/>
    <w:rsid w:val="00EB651A"/>
    <w:rsid w:val="00EE23BB"/>
    <w:rsid w:val="00EF66DD"/>
    <w:rsid w:val="00F038F1"/>
    <w:rsid w:val="00F24511"/>
    <w:rsid w:val="00F32142"/>
    <w:rsid w:val="00F32D15"/>
    <w:rsid w:val="00F41833"/>
    <w:rsid w:val="00F42C22"/>
    <w:rsid w:val="00F47B6A"/>
    <w:rsid w:val="00F530B3"/>
    <w:rsid w:val="00F54227"/>
    <w:rsid w:val="00F612AA"/>
    <w:rsid w:val="00F64ECB"/>
    <w:rsid w:val="00F77BCA"/>
    <w:rsid w:val="00F77BD9"/>
    <w:rsid w:val="00F9563C"/>
    <w:rsid w:val="00FA08DA"/>
    <w:rsid w:val="00FA221F"/>
    <w:rsid w:val="00FD340E"/>
    <w:rsid w:val="00FE5507"/>
    <w:rsid w:val="00FF14F6"/>
    <w:rsid w:val="00FF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29585D"/>
  <w15:chartTrackingRefBased/>
  <w15:docId w15:val="{6C21774B-18D9-4A14-8B34-1E533733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A5D"/>
    <w:pPr>
      <w:ind w:left="720"/>
      <w:contextualSpacing/>
    </w:pPr>
  </w:style>
  <w:style w:type="table" w:styleId="TableGrid">
    <w:name w:val="Table Grid"/>
    <w:basedOn w:val="TableNormal"/>
    <w:uiPriority w:val="39"/>
    <w:rsid w:val="0046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5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6B0"/>
  </w:style>
  <w:style w:type="paragraph" w:styleId="Footer">
    <w:name w:val="footer"/>
    <w:basedOn w:val="Normal"/>
    <w:link w:val="FooterChar"/>
    <w:uiPriority w:val="99"/>
    <w:unhideWhenUsed/>
    <w:rsid w:val="00895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B0"/>
  </w:style>
  <w:style w:type="character" w:styleId="Strong">
    <w:name w:val="Strong"/>
    <w:basedOn w:val="DefaultParagraphFont"/>
    <w:uiPriority w:val="22"/>
    <w:qFormat/>
    <w:rsid w:val="00F038F1"/>
    <w:rPr>
      <w:b/>
      <w:bCs/>
    </w:rPr>
  </w:style>
  <w:style w:type="character" w:styleId="Hyperlink">
    <w:name w:val="Hyperlink"/>
    <w:basedOn w:val="DefaultParagraphFont"/>
    <w:uiPriority w:val="99"/>
    <w:unhideWhenUsed/>
    <w:rsid w:val="00B672FE"/>
    <w:rPr>
      <w:color w:val="0563C1" w:themeColor="hyperlink"/>
      <w:u w:val="single"/>
    </w:rPr>
  </w:style>
  <w:style w:type="character" w:styleId="UnresolvedMention">
    <w:name w:val="Unresolved Mention"/>
    <w:basedOn w:val="DefaultParagraphFont"/>
    <w:uiPriority w:val="99"/>
    <w:semiHidden/>
    <w:unhideWhenUsed/>
    <w:rsid w:val="00B67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094053">
      <w:bodyDiv w:val="1"/>
      <w:marLeft w:val="0"/>
      <w:marRight w:val="0"/>
      <w:marTop w:val="0"/>
      <w:marBottom w:val="0"/>
      <w:divBdr>
        <w:top w:val="none" w:sz="0" w:space="0" w:color="auto"/>
        <w:left w:val="none" w:sz="0" w:space="0" w:color="auto"/>
        <w:bottom w:val="none" w:sz="0" w:space="0" w:color="auto"/>
        <w:right w:val="none" w:sz="0" w:space="0" w:color="auto"/>
      </w:divBdr>
    </w:div>
    <w:div w:id="900291128">
      <w:bodyDiv w:val="1"/>
      <w:marLeft w:val="0"/>
      <w:marRight w:val="0"/>
      <w:marTop w:val="0"/>
      <w:marBottom w:val="0"/>
      <w:divBdr>
        <w:top w:val="none" w:sz="0" w:space="0" w:color="auto"/>
        <w:left w:val="none" w:sz="0" w:space="0" w:color="auto"/>
        <w:bottom w:val="none" w:sz="0" w:space="0" w:color="auto"/>
        <w:right w:val="none" w:sz="0" w:space="0" w:color="auto"/>
      </w:divBdr>
    </w:div>
    <w:div w:id="95617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8</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Chennai</dc:creator>
  <cp:keywords/>
  <dc:description/>
  <cp:lastModifiedBy>SDI 1180</cp:lastModifiedBy>
  <cp:revision>288</cp:revision>
  <dcterms:created xsi:type="dcterms:W3CDTF">2025-08-29T10:57:00Z</dcterms:created>
  <dcterms:modified xsi:type="dcterms:W3CDTF">2025-09-16T05:27:00Z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7ab4062c-7810-4baf-afcf-15f779cea6a3</vt:lpwstr>
  </property>
</Properties>
</file>