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7025C" w14:textId="77777777" w:rsidR="00095246" w:rsidRPr="003E2C02" w:rsidRDefault="00095246" w:rsidP="003E2C02">
      <w:pPr>
        <w:rPr>
          <w:rFonts w:ascii="Arial" w:hAnsi="Arial" w:cs="Arial"/>
          <w:lang w:val="en-GB"/>
        </w:rPr>
      </w:pPr>
    </w:p>
    <w:p w14:paraId="6E728977" w14:textId="77777777" w:rsidR="00095246" w:rsidRPr="003E2C02" w:rsidRDefault="00095246" w:rsidP="003E2C02">
      <w:pPr>
        <w:rPr>
          <w:rFonts w:ascii="Arial" w:hAnsi="Arial" w:cs="Arial"/>
          <w:lang w:val="en-GB"/>
        </w:rPr>
      </w:pPr>
    </w:p>
    <w:p w14:paraId="6B468E12" w14:textId="77777777" w:rsidR="00F62A4D" w:rsidRPr="00F62A4D" w:rsidRDefault="00F62A4D" w:rsidP="00F62A4D">
      <w:pPr>
        <w:pStyle w:val="NoSpacing"/>
        <w:rPr>
          <w:rFonts w:ascii="Arial" w:hAnsi="Arial" w:cs="Arial"/>
          <w:b/>
          <w:bCs/>
          <w:i/>
          <w:iCs/>
          <w:sz w:val="36"/>
          <w:szCs w:val="36"/>
          <w:u w:val="single"/>
        </w:rPr>
      </w:pPr>
      <w:r w:rsidRPr="00F62A4D">
        <w:rPr>
          <w:rFonts w:ascii="Arial" w:hAnsi="Arial" w:cs="Arial"/>
          <w:b/>
          <w:bCs/>
          <w:i/>
          <w:iCs/>
          <w:sz w:val="36"/>
          <w:szCs w:val="36"/>
          <w:u w:val="single"/>
        </w:rPr>
        <w:t>Review Article</w:t>
      </w:r>
    </w:p>
    <w:p w14:paraId="3B1098C9" w14:textId="77777777" w:rsidR="003E2C02" w:rsidRPr="0046765E" w:rsidRDefault="003E2C02" w:rsidP="0046765E">
      <w:pPr>
        <w:pStyle w:val="NoSpacing"/>
        <w:jc w:val="right"/>
        <w:rPr>
          <w:rFonts w:ascii="Arial" w:hAnsi="Arial" w:cs="Arial"/>
          <w:b/>
          <w:sz w:val="36"/>
          <w:szCs w:val="36"/>
        </w:rPr>
      </w:pPr>
      <w:r w:rsidRPr="0046765E">
        <w:rPr>
          <w:rFonts w:ascii="Arial" w:hAnsi="Arial" w:cs="Arial"/>
          <w:b/>
          <w:sz w:val="36"/>
          <w:szCs w:val="36"/>
        </w:rPr>
        <w:t>COVID-19 AND ITS EFFECT ON CARDIO VASCULAR SYSTEM</w:t>
      </w:r>
    </w:p>
    <w:p w14:paraId="06C228EC" w14:textId="77777777" w:rsidR="0046765E" w:rsidRPr="0046765E" w:rsidRDefault="0046765E" w:rsidP="0046765E">
      <w:pPr>
        <w:pStyle w:val="NoSpacing"/>
        <w:jc w:val="right"/>
        <w:rPr>
          <w:rFonts w:ascii="Arial" w:hAnsi="Arial" w:cs="Arial"/>
          <w:b/>
        </w:rPr>
      </w:pPr>
    </w:p>
    <w:p w14:paraId="52350C98" w14:textId="35CC2758" w:rsidR="0046765E" w:rsidRDefault="0046765E" w:rsidP="0046765E">
      <w:pPr>
        <w:pStyle w:val="NoSpacing"/>
        <w:jc w:val="right"/>
        <w:rPr>
          <w:rFonts w:ascii="Arial" w:hAnsi="Arial" w:cs="Arial"/>
          <w:i/>
          <w:sz w:val="24"/>
          <w:szCs w:val="24"/>
          <w:lang w:val="en-GB"/>
        </w:rPr>
      </w:pPr>
    </w:p>
    <w:p w14:paraId="740E24D8" w14:textId="77777777" w:rsidR="006E7D58" w:rsidRPr="0046765E" w:rsidRDefault="006E7D58" w:rsidP="0046765E">
      <w:pPr>
        <w:pStyle w:val="NoSpacing"/>
        <w:jc w:val="right"/>
        <w:rPr>
          <w:rFonts w:ascii="Arial" w:hAnsi="Arial" w:cs="Arial"/>
          <w:i/>
          <w:sz w:val="24"/>
          <w:szCs w:val="24"/>
          <w:lang w:val="en-GB"/>
        </w:rPr>
      </w:pPr>
      <w:bookmarkStart w:id="0" w:name="_GoBack"/>
      <w:bookmarkEnd w:id="0"/>
    </w:p>
    <w:p w14:paraId="5830FD5B" w14:textId="77777777" w:rsidR="001879D6" w:rsidRPr="003E2C02" w:rsidRDefault="00062E1C" w:rsidP="003E2C02">
      <w:pPr>
        <w:rPr>
          <w:rFonts w:ascii="Arial" w:hAnsi="Arial" w:cs="Arial"/>
          <w:b/>
          <w:lang w:val="en-GB"/>
        </w:rPr>
      </w:pPr>
      <w:r w:rsidRPr="003E2C02">
        <w:rPr>
          <w:rFonts w:ascii="Arial" w:hAnsi="Arial" w:cs="Arial"/>
          <w:b/>
          <w:lang w:val="en-GB"/>
        </w:rPr>
        <w:t>ABSTRACT</w:t>
      </w:r>
    </w:p>
    <w:p w14:paraId="6A74799A" w14:textId="77777777" w:rsidR="00062E1C" w:rsidRPr="0047651D" w:rsidRDefault="00062E1C" w:rsidP="0047651D">
      <w:pPr>
        <w:pStyle w:val="NoSpacing"/>
        <w:rPr>
          <w:rFonts w:ascii="Arial" w:hAnsi="Arial" w:cs="Arial"/>
        </w:rPr>
      </w:pPr>
      <w:r w:rsidRPr="0047651D">
        <w:rPr>
          <w:rFonts w:ascii="Arial" w:hAnsi="Arial" w:cs="Arial"/>
          <w:b/>
          <w:lang w:val="en-GB"/>
        </w:rPr>
        <w:t>Background</w:t>
      </w:r>
      <w:r w:rsidRPr="0047651D">
        <w:rPr>
          <w:rFonts w:ascii="Arial" w:hAnsi="Arial" w:cs="Arial"/>
          <w:lang w:val="en-GB"/>
        </w:rPr>
        <w:t>:</w:t>
      </w:r>
      <w:r w:rsidRPr="0047651D">
        <w:rPr>
          <w:rFonts w:ascii="Arial" w:hAnsi="Arial" w:cs="Arial"/>
        </w:rPr>
        <w:t xml:space="preserve"> The coronavirus disease 2019 (COVID-19) caused by the severe acute respiratory syndrome coronavirus 2 (SARS-CoV-2) reached pandemic levels in March 2020 and resulted in repeated waves of outbreaks around the world. Coronavirus disease 2019 has many systemic manifestations and major implications for the cardiovascular (CV) system.</w:t>
      </w:r>
    </w:p>
    <w:p w14:paraId="1169F838" w14:textId="242D944C" w:rsidR="00062E1C" w:rsidRPr="0047651D" w:rsidRDefault="00062E1C" w:rsidP="0047651D">
      <w:pPr>
        <w:pStyle w:val="NoSpacing"/>
        <w:rPr>
          <w:rFonts w:ascii="Arial" w:hAnsi="Arial" w:cs="Arial"/>
        </w:rPr>
      </w:pPr>
      <w:r w:rsidRPr="0047651D">
        <w:rPr>
          <w:rFonts w:ascii="Arial" w:hAnsi="Arial" w:cs="Arial"/>
          <w:b/>
          <w:lang w:val="en-GB"/>
        </w:rPr>
        <w:t>Objective:</w:t>
      </w:r>
      <w:r w:rsidR="000E6B13" w:rsidRPr="0047651D">
        <w:rPr>
          <w:rFonts w:ascii="Arial" w:hAnsi="Arial" w:cs="Arial"/>
        </w:rPr>
        <w:t xml:space="preserve"> SARS-CoV-2 mainly affects the lungs, causing pneumonia, acute respiratory distress syndrome, and eventually systemic inflammation. Systemic inflammation has a severe im</w:t>
      </w:r>
      <w:r w:rsidR="00844119">
        <w:rPr>
          <w:rFonts w:ascii="Arial" w:hAnsi="Arial" w:cs="Arial"/>
        </w:rPr>
        <w:t xml:space="preserve">pact on the heart. It </w:t>
      </w:r>
      <w:r w:rsidR="000E6B13" w:rsidRPr="0047651D">
        <w:rPr>
          <w:rFonts w:ascii="Arial" w:hAnsi="Arial" w:cs="Arial"/>
        </w:rPr>
        <w:t xml:space="preserve">can eventually </w:t>
      </w:r>
      <w:proofErr w:type="gramStart"/>
      <w:r w:rsidR="000E6B13" w:rsidRPr="0047651D">
        <w:rPr>
          <w:rFonts w:ascii="Arial" w:hAnsi="Arial" w:cs="Arial"/>
        </w:rPr>
        <w:t>leads</w:t>
      </w:r>
      <w:proofErr w:type="gramEnd"/>
      <w:r w:rsidR="000E6B13" w:rsidRPr="0047651D">
        <w:rPr>
          <w:rFonts w:ascii="Arial" w:hAnsi="Arial" w:cs="Arial"/>
        </w:rPr>
        <w:t xml:space="preserve"> to acute coronary syndrome,</w:t>
      </w:r>
      <w:r w:rsidR="00F62A4D">
        <w:rPr>
          <w:rFonts w:ascii="Arial" w:hAnsi="Arial" w:cs="Arial"/>
        </w:rPr>
        <w:t xml:space="preserve"> </w:t>
      </w:r>
      <w:r w:rsidR="000E6B13" w:rsidRPr="0047651D">
        <w:rPr>
          <w:rFonts w:ascii="Arial" w:hAnsi="Arial" w:cs="Arial"/>
        </w:rPr>
        <w:t>arrhythmias,</w:t>
      </w:r>
      <w:r w:rsidR="00F62A4D">
        <w:rPr>
          <w:rFonts w:ascii="Arial" w:hAnsi="Arial" w:cs="Arial"/>
        </w:rPr>
        <w:t xml:space="preserve"> </w:t>
      </w:r>
      <w:r w:rsidR="000E6B13" w:rsidRPr="0047651D">
        <w:rPr>
          <w:rFonts w:ascii="Arial" w:hAnsi="Arial" w:cs="Arial"/>
        </w:rPr>
        <w:t>myocarditis,</w:t>
      </w:r>
      <w:r w:rsidR="00F62A4D">
        <w:rPr>
          <w:rFonts w:ascii="Arial" w:hAnsi="Arial" w:cs="Arial"/>
        </w:rPr>
        <w:t xml:space="preserve"> </w:t>
      </w:r>
      <w:r w:rsidR="000E6B13" w:rsidRPr="0047651D">
        <w:rPr>
          <w:rFonts w:ascii="Arial" w:hAnsi="Arial" w:cs="Arial"/>
        </w:rPr>
        <w:t>heart failure,</w:t>
      </w:r>
      <w:r w:rsidR="00F62A4D">
        <w:rPr>
          <w:rFonts w:ascii="Arial" w:hAnsi="Arial" w:cs="Arial"/>
        </w:rPr>
        <w:t xml:space="preserve"> </w:t>
      </w:r>
      <w:r w:rsidR="000E6B13" w:rsidRPr="0047651D">
        <w:rPr>
          <w:rFonts w:ascii="Arial" w:hAnsi="Arial" w:cs="Arial"/>
        </w:rPr>
        <w:t>Thromboembolism which can eventually leads to Death</w:t>
      </w:r>
    </w:p>
    <w:p w14:paraId="296425B5" w14:textId="77777777" w:rsidR="00364D82" w:rsidRDefault="00364D82" w:rsidP="0047651D">
      <w:pPr>
        <w:pStyle w:val="NoSpacing"/>
        <w:rPr>
          <w:rFonts w:ascii="Arial" w:hAnsi="Arial" w:cs="Arial"/>
          <w:lang w:val="en-GB"/>
        </w:rPr>
      </w:pPr>
      <w:r w:rsidRPr="0047651D">
        <w:rPr>
          <w:rFonts w:ascii="Arial" w:hAnsi="Arial" w:cs="Arial"/>
          <w:b/>
          <w:lang w:val="en-GB"/>
        </w:rPr>
        <w:t>Conclusion:</w:t>
      </w:r>
      <w:r w:rsidR="00095246" w:rsidRPr="0047651D">
        <w:rPr>
          <w:rFonts w:ascii="Arial" w:hAnsi="Arial" w:cs="Arial"/>
          <w:lang w:val="en-GB"/>
        </w:rPr>
        <w:t xml:space="preserve"> </w:t>
      </w:r>
      <w:r w:rsidR="006A1733" w:rsidRPr="0047651D">
        <w:rPr>
          <w:rFonts w:ascii="Arial" w:hAnsi="Arial" w:cs="Arial"/>
          <w:lang w:val="en-GB"/>
        </w:rPr>
        <w:t>COVID-19 has</w:t>
      </w:r>
      <w:r w:rsidR="00A15716" w:rsidRPr="0047651D">
        <w:rPr>
          <w:rFonts w:ascii="Arial" w:hAnsi="Arial" w:cs="Arial"/>
          <w:lang w:val="en-GB"/>
        </w:rPr>
        <w:t xml:space="preserve"> significant short and long term</w:t>
      </w:r>
      <w:r w:rsidR="006A1733" w:rsidRPr="0047651D">
        <w:rPr>
          <w:rFonts w:ascii="Arial" w:hAnsi="Arial" w:cs="Arial"/>
          <w:lang w:val="en-GB"/>
        </w:rPr>
        <w:t xml:space="preserve"> consequences </w:t>
      </w:r>
      <w:r w:rsidR="00A15716" w:rsidRPr="0047651D">
        <w:rPr>
          <w:rFonts w:ascii="Arial" w:hAnsi="Arial" w:cs="Arial"/>
          <w:lang w:val="en-GB"/>
        </w:rPr>
        <w:t xml:space="preserve">Doctors should be well aware of the involvement of cardio vascular </w:t>
      </w:r>
      <w:proofErr w:type="gramStart"/>
      <w:r w:rsidR="00A15716" w:rsidRPr="0047651D">
        <w:rPr>
          <w:rFonts w:ascii="Arial" w:hAnsi="Arial" w:cs="Arial"/>
          <w:lang w:val="en-GB"/>
        </w:rPr>
        <w:t>system(</w:t>
      </w:r>
      <w:proofErr w:type="gramEnd"/>
      <w:r w:rsidR="00A15716" w:rsidRPr="0047651D">
        <w:rPr>
          <w:rFonts w:ascii="Arial" w:hAnsi="Arial" w:cs="Arial"/>
          <w:lang w:val="en-GB"/>
        </w:rPr>
        <w:t>CVS)</w:t>
      </w:r>
      <w:r w:rsidR="006A1733" w:rsidRPr="0047651D">
        <w:rPr>
          <w:rFonts w:ascii="Arial" w:hAnsi="Arial" w:cs="Arial"/>
          <w:lang w:val="en-GB"/>
        </w:rPr>
        <w:t xml:space="preserve"> </w:t>
      </w:r>
      <w:r w:rsidR="0047651D">
        <w:rPr>
          <w:rFonts w:ascii="Arial" w:hAnsi="Arial" w:cs="Arial"/>
          <w:lang w:val="en-GB"/>
        </w:rPr>
        <w:t xml:space="preserve">early detection and </w:t>
      </w:r>
      <w:proofErr w:type="spellStart"/>
      <w:r w:rsidR="00A15716" w:rsidRPr="0047651D">
        <w:rPr>
          <w:rFonts w:ascii="Arial" w:hAnsi="Arial" w:cs="Arial"/>
          <w:lang w:val="en-GB"/>
        </w:rPr>
        <w:t>treatment.CVS</w:t>
      </w:r>
      <w:proofErr w:type="spellEnd"/>
      <w:r w:rsidR="00A15716" w:rsidRPr="0047651D">
        <w:rPr>
          <w:rFonts w:ascii="Arial" w:hAnsi="Arial" w:cs="Arial"/>
          <w:lang w:val="en-GB"/>
        </w:rPr>
        <w:t xml:space="preserve"> CVS </w:t>
      </w:r>
      <w:proofErr w:type="spellStart"/>
      <w:r w:rsidR="00A15716" w:rsidRPr="0047651D">
        <w:rPr>
          <w:rFonts w:ascii="Arial" w:hAnsi="Arial" w:cs="Arial"/>
          <w:lang w:val="en-GB"/>
        </w:rPr>
        <w:t>involment</w:t>
      </w:r>
      <w:proofErr w:type="spellEnd"/>
      <w:r w:rsidR="00A15716" w:rsidRPr="0047651D">
        <w:rPr>
          <w:rFonts w:ascii="Arial" w:hAnsi="Arial" w:cs="Arial"/>
          <w:lang w:val="en-GB"/>
        </w:rPr>
        <w:t xml:space="preserve"> c</w:t>
      </w:r>
      <w:r w:rsidR="00095246" w:rsidRPr="0047651D">
        <w:rPr>
          <w:rFonts w:ascii="Arial" w:hAnsi="Arial" w:cs="Arial"/>
          <w:lang w:val="en-GB"/>
        </w:rPr>
        <w:t xml:space="preserve">an occur in both Acute and </w:t>
      </w:r>
      <w:proofErr w:type="spellStart"/>
      <w:r w:rsidR="00095246" w:rsidRPr="0047651D">
        <w:rPr>
          <w:rFonts w:ascii="Arial" w:hAnsi="Arial" w:cs="Arial"/>
          <w:lang w:val="en-GB"/>
        </w:rPr>
        <w:t xml:space="preserve">Post </w:t>
      </w:r>
      <w:r w:rsidR="00A15716" w:rsidRPr="0047651D">
        <w:rPr>
          <w:rFonts w:ascii="Arial" w:hAnsi="Arial" w:cs="Arial"/>
          <w:lang w:val="en-GB"/>
        </w:rPr>
        <w:t>acute</w:t>
      </w:r>
      <w:proofErr w:type="spellEnd"/>
      <w:r w:rsidR="00A15716" w:rsidRPr="0047651D">
        <w:rPr>
          <w:rFonts w:ascii="Arial" w:hAnsi="Arial" w:cs="Arial"/>
          <w:lang w:val="en-GB"/>
        </w:rPr>
        <w:t xml:space="preserve"> phase hence Vaccination can prevent severe outcome</w:t>
      </w:r>
      <w:r w:rsidR="0047651D">
        <w:rPr>
          <w:rFonts w:ascii="Arial" w:hAnsi="Arial" w:cs="Arial"/>
          <w:lang w:val="en-GB"/>
        </w:rPr>
        <w:t>.</w:t>
      </w:r>
    </w:p>
    <w:p w14:paraId="02074E6D" w14:textId="77777777" w:rsidR="0047651D" w:rsidRPr="0047651D" w:rsidRDefault="0047651D" w:rsidP="0047651D">
      <w:pPr>
        <w:pStyle w:val="NoSpacing"/>
        <w:rPr>
          <w:rFonts w:ascii="Arial" w:hAnsi="Arial" w:cs="Arial"/>
          <w:lang w:val="en-GB"/>
        </w:rPr>
      </w:pPr>
    </w:p>
    <w:p w14:paraId="6D584B84" w14:textId="77777777" w:rsidR="00966552" w:rsidRPr="0047651D" w:rsidRDefault="00966552" w:rsidP="003E2C02">
      <w:pPr>
        <w:rPr>
          <w:rFonts w:ascii="Arial" w:hAnsi="Arial" w:cs="Arial"/>
          <w:i/>
          <w:lang w:val="en-GB"/>
        </w:rPr>
      </w:pPr>
      <w:r w:rsidRPr="0047651D">
        <w:rPr>
          <w:rFonts w:ascii="Arial" w:hAnsi="Arial" w:cs="Arial"/>
          <w:i/>
          <w:lang w:val="en-GB"/>
        </w:rPr>
        <w:t>Keywords</w:t>
      </w:r>
      <w:r w:rsidR="00170CE0">
        <w:rPr>
          <w:rFonts w:ascii="Arial" w:hAnsi="Arial" w:cs="Arial"/>
          <w:i/>
          <w:lang w:val="en-GB"/>
        </w:rPr>
        <w:t>:</w:t>
      </w:r>
      <w:r w:rsidRPr="0047651D">
        <w:rPr>
          <w:rFonts w:ascii="Arial" w:hAnsi="Arial" w:cs="Arial"/>
          <w:i/>
          <w:lang w:val="en-GB"/>
        </w:rPr>
        <w:t xml:space="preserve"> COVID-</w:t>
      </w:r>
      <w:proofErr w:type="gramStart"/>
      <w:r w:rsidRPr="0047651D">
        <w:rPr>
          <w:rFonts w:ascii="Arial" w:hAnsi="Arial" w:cs="Arial"/>
          <w:i/>
          <w:lang w:val="en-GB"/>
        </w:rPr>
        <w:t>19,CVS</w:t>
      </w:r>
      <w:proofErr w:type="gramEnd"/>
      <w:r w:rsidRPr="0047651D">
        <w:rPr>
          <w:rFonts w:ascii="Arial" w:hAnsi="Arial" w:cs="Arial"/>
          <w:i/>
          <w:lang w:val="en-GB"/>
        </w:rPr>
        <w:t xml:space="preserve"> involvement,</w:t>
      </w:r>
      <w:r w:rsidR="00170CE0">
        <w:rPr>
          <w:rFonts w:ascii="Arial" w:hAnsi="Arial" w:cs="Arial"/>
          <w:i/>
          <w:lang w:val="en-GB"/>
        </w:rPr>
        <w:t xml:space="preserve"> ACS, Myocarditis, Thromboembolism, Arrhythmias, CHF </w:t>
      </w:r>
    </w:p>
    <w:p w14:paraId="6F55EF54" w14:textId="77777777" w:rsidR="008F4221" w:rsidRPr="0047651D" w:rsidRDefault="008F4221" w:rsidP="003E2C02">
      <w:pPr>
        <w:rPr>
          <w:rFonts w:ascii="Arial" w:hAnsi="Arial" w:cs="Arial"/>
          <w:b/>
          <w:lang w:val="en-GB"/>
        </w:rPr>
      </w:pPr>
      <w:r w:rsidRPr="0047651D">
        <w:rPr>
          <w:rFonts w:ascii="Arial" w:hAnsi="Arial" w:cs="Arial"/>
          <w:b/>
          <w:lang w:val="en-GB"/>
        </w:rPr>
        <w:t>INTRODUCTION</w:t>
      </w:r>
    </w:p>
    <w:p w14:paraId="4ECB5B55" w14:textId="77777777" w:rsidR="008F4221" w:rsidRPr="0047651D" w:rsidRDefault="008F4221" w:rsidP="0047651D">
      <w:pPr>
        <w:pStyle w:val="NoSpacing"/>
        <w:jc w:val="both"/>
        <w:rPr>
          <w:rFonts w:ascii="Arial" w:hAnsi="Arial" w:cs="Arial"/>
          <w:sz w:val="20"/>
        </w:rPr>
      </w:pPr>
      <w:r w:rsidRPr="0047651D">
        <w:rPr>
          <w:rFonts w:ascii="Arial" w:hAnsi="Arial" w:cs="Arial"/>
          <w:sz w:val="20"/>
        </w:rPr>
        <w:t>The coronavirus disease 2019 (COVID-19) caused by the severe acute respiratory syndrome coronavirus 2 (SARS-CoV-2) reached pandemic levels in March 2020 and resulted in repeated waves of outbreaks around the world. Coronavirus disease 2019 has many systemic manifestations and major implications for the cardiovascular (CV) system.</w:t>
      </w:r>
    </w:p>
    <w:p w14:paraId="6A7BA26B" w14:textId="77777777" w:rsidR="008F4221" w:rsidRPr="0047651D" w:rsidRDefault="008F4221" w:rsidP="0047651D">
      <w:pPr>
        <w:pStyle w:val="NoSpacing"/>
        <w:jc w:val="both"/>
        <w:rPr>
          <w:rFonts w:ascii="Arial" w:hAnsi="Arial" w:cs="Arial"/>
          <w:sz w:val="20"/>
        </w:rPr>
      </w:pPr>
      <w:r w:rsidRPr="0047651D">
        <w:rPr>
          <w:rFonts w:ascii="Arial" w:hAnsi="Arial" w:cs="Arial"/>
          <w:sz w:val="20"/>
        </w:rPr>
        <w:t>The world is now facing the third zoonotic coronavirus pandemic, this time with a novel coronavirus called SARS-CoV-2. After activation of the spike protein by transmembrane protease serine, SARS-CoV-2 infection is mediated by binding of the viral surface spike protein to the human angiotensin-converting enzyme (ACE2) receptor. The major portal of entry appears to be ACE2, which is expressed in the lung (mostly type II alveolar cells).</w:t>
      </w:r>
    </w:p>
    <w:p w14:paraId="2412DB35" w14:textId="1BEEABC3" w:rsidR="008F4221" w:rsidRPr="0047651D" w:rsidRDefault="008F4221" w:rsidP="0047651D">
      <w:pPr>
        <w:pStyle w:val="NoSpacing"/>
        <w:jc w:val="both"/>
        <w:rPr>
          <w:rFonts w:ascii="Arial" w:hAnsi="Arial" w:cs="Arial"/>
          <w:sz w:val="20"/>
        </w:rPr>
      </w:pPr>
      <w:r w:rsidRPr="0047651D">
        <w:rPr>
          <w:rFonts w:ascii="Arial" w:hAnsi="Arial" w:cs="Arial"/>
          <w:sz w:val="20"/>
        </w:rPr>
        <w:t>In conditions when the renin–angiotensin system is overly activated, such as hypertension, congestive heart failure, and atherosclerosis, ACE2 is significantly expressed in the heart, counteracting the effects of angiotensin II. ACE2 is expressed in the intestinal epithelium, vascular endothelium, and kidneys, in addition to the heart and lung, suggesting a mechanism for the multiorgan dysfunction seen with SARS-CoV-2 infection. Patients with chronic medical conditions such as hypertension and diabetes have the highest morbidity and mortality rates when infected with COVID-19. It has been reported that patients with cardiovascular diseases have the highest mortality rate</w:t>
      </w:r>
      <w:r w:rsidR="00F2471B">
        <w:rPr>
          <w:rFonts w:ascii="Arial" w:hAnsi="Arial" w:cs="Arial"/>
          <w:sz w:val="20"/>
        </w:rPr>
        <w:t xml:space="preserve"> </w:t>
      </w:r>
      <w:r w:rsidR="00F2471B" w:rsidRPr="00F2471B">
        <w:rPr>
          <w:rFonts w:ascii="Arial" w:hAnsi="Arial" w:cs="Arial"/>
          <w:sz w:val="20"/>
        </w:rPr>
        <w:t>(Zhang &amp; Dhalla,2024</w:t>
      </w:r>
      <w:r w:rsidR="00F2471B">
        <w:rPr>
          <w:rFonts w:ascii="Arial" w:hAnsi="Arial" w:cs="Arial"/>
          <w:sz w:val="20"/>
        </w:rPr>
        <w:t xml:space="preserve">; </w:t>
      </w:r>
      <w:r w:rsidR="00F2471B" w:rsidRPr="00F2471B">
        <w:rPr>
          <w:rFonts w:ascii="Arial" w:hAnsi="Arial" w:cs="Arial"/>
          <w:sz w:val="20"/>
        </w:rPr>
        <w:t>Liu et al., 2022)</w:t>
      </w:r>
      <w:r w:rsidRPr="0047651D">
        <w:rPr>
          <w:rFonts w:ascii="Arial" w:hAnsi="Arial" w:cs="Arial"/>
          <w:sz w:val="20"/>
        </w:rPr>
        <w:t>.</w:t>
      </w:r>
    </w:p>
    <w:p w14:paraId="02704F28" w14:textId="77777777" w:rsidR="0047651D" w:rsidRDefault="0047651D" w:rsidP="0047651D">
      <w:pPr>
        <w:pStyle w:val="NoSpacing"/>
      </w:pPr>
    </w:p>
    <w:p w14:paraId="29996F46" w14:textId="77777777" w:rsidR="0047651D" w:rsidRPr="0047651D" w:rsidRDefault="0047651D" w:rsidP="0047651D">
      <w:pPr>
        <w:rPr>
          <w:rFonts w:ascii="Arial" w:hAnsi="Arial" w:cs="Arial"/>
          <w:b/>
          <w:sz w:val="24"/>
          <w:szCs w:val="24"/>
        </w:rPr>
      </w:pPr>
    </w:p>
    <w:p w14:paraId="7E4E9DAE" w14:textId="77777777" w:rsidR="007B36B5" w:rsidRPr="0047651D" w:rsidRDefault="0047651D" w:rsidP="0047651D">
      <w:pPr>
        <w:rPr>
          <w:rFonts w:ascii="Arial" w:hAnsi="Arial" w:cs="Arial"/>
          <w:b/>
          <w:szCs w:val="24"/>
        </w:rPr>
      </w:pPr>
      <w:r w:rsidRPr="0047651D">
        <w:rPr>
          <w:rFonts w:ascii="Arial" w:hAnsi="Arial" w:cs="Arial"/>
          <w:b/>
          <w:szCs w:val="24"/>
        </w:rPr>
        <w:t>COVID-19 AND ITS EFFECTS ON CARDIOVASCULAR SYSTEM</w:t>
      </w:r>
    </w:p>
    <w:p w14:paraId="29041778" w14:textId="77777777" w:rsidR="004F2D9C" w:rsidRPr="0047651D" w:rsidRDefault="004F2D9C" w:rsidP="0047651D">
      <w:pPr>
        <w:pStyle w:val="NoSpacing"/>
        <w:jc w:val="both"/>
        <w:rPr>
          <w:rFonts w:ascii="Arial" w:hAnsi="Arial" w:cs="Arial"/>
          <w:sz w:val="20"/>
          <w:szCs w:val="20"/>
        </w:rPr>
      </w:pPr>
      <w:r w:rsidRPr="0047651D">
        <w:rPr>
          <w:rFonts w:ascii="Arial" w:hAnsi="Arial" w:cs="Arial"/>
          <w:sz w:val="20"/>
          <w:szCs w:val="20"/>
        </w:rPr>
        <w:lastRenderedPageBreak/>
        <w:t>SARS-CoV-2, along with underlying comorbidities like hypertension, coronary heart disease, and diabetes mellitus, leads to a cascade of effects on the body. SARS-CoV-2 mainly affects the lungs, causing pneumonia, acute respiratory distress syndrome, and eventually systemic inflammation. Systemic inflammation has a severe impact on the heart, consequently leading to multiple cardiac complications. One is acute cardiac injury marked by increased troponin levels and acute coronary syndrome.</w:t>
      </w:r>
    </w:p>
    <w:p w14:paraId="1D0528CB" w14:textId="68E7F7E9" w:rsidR="004F2D9C" w:rsidRPr="0047651D" w:rsidRDefault="004F2D9C" w:rsidP="0047651D">
      <w:pPr>
        <w:pStyle w:val="NoSpacing"/>
        <w:jc w:val="both"/>
        <w:rPr>
          <w:rFonts w:ascii="Arial" w:hAnsi="Arial" w:cs="Arial"/>
          <w:sz w:val="20"/>
          <w:szCs w:val="20"/>
        </w:rPr>
      </w:pPr>
      <w:r w:rsidRPr="0047651D">
        <w:rPr>
          <w:rFonts w:ascii="Arial" w:hAnsi="Arial" w:cs="Arial"/>
          <w:sz w:val="20"/>
          <w:szCs w:val="20"/>
        </w:rPr>
        <w:t>SAR-COV2 can directly affect the myocardium of the heart, causing myocarditis. Heart failure may also develop due to the previously mentioned underlying comorbidities. Thromboembolism and arrhythmia are the other cardiac diseases due to systemic inflammation caused by SARS-CoV-2</w:t>
      </w:r>
      <w:r w:rsidR="00F2471B">
        <w:rPr>
          <w:rFonts w:ascii="Arial" w:hAnsi="Arial" w:cs="Arial"/>
          <w:sz w:val="20"/>
          <w:szCs w:val="20"/>
        </w:rPr>
        <w:t xml:space="preserve"> </w:t>
      </w:r>
      <w:r w:rsidR="00F2471B" w:rsidRPr="00F2471B">
        <w:rPr>
          <w:rFonts w:ascii="Arial" w:hAnsi="Arial" w:cs="Arial"/>
          <w:sz w:val="20"/>
          <w:szCs w:val="20"/>
        </w:rPr>
        <w:t>(</w:t>
      </w:r>
      <w:proofErr w:type="spellStart"/>
      <w:r w:rsidR="00F2471B" w:rsidRPr="00F2471B">
        <w:rPr>
          <w:rFonts w:ascii="Arial" w:hAnsi="Arial" w:cs="Arial"/>
          <w:sz w:val="20"/>
          <w:szCs w:val="20"/>
        </w:rPr>
        <w:t>Lamers</w:t>
      </w:r>
      <w:proofErr w:type="spellEnd"/>
      <w:r w:rsidR="00F2471B" w:rsidRPr="00F2471B">
        <w:rPr>
          <w:rFonts w:ascii="Arial" w:hAnsi="Arial" w:cs="Arial"/>
          <w:sz w:val="20"/>
          <w:szCs w:val="20"/>
        </w:rPr>
        <w:t xml:space="preserve"> &amp; </w:t>
      </w:r>
      <w:proofErr w:type="spellStart"/>
      <w:r w:rsidR="00F2471B" w:rsidRPr="00F2471B">
        <w:rPr>
          <w:rFonts w:ascii="Arial" w:hAnsi="Arial" w:cs="Arial"/>
          <w:sz w:val="20"/>
          <w:szCs w:val="20"/>
        </w:rPr>
        <w:t>Haagmans</w:t>
      </w:r>
      <w:proofErr w:type="spellEnd"/>
      <w:r w:rsidR="00F2471B" w:rsidRPr="00F2471B">
        <w:rPr>
          <w:rFonts w:ascii="Arial" w:hAnsi="Arial" w:cs="Arial"/>
          <w:sz w:val="20"/>
          <w:szCs w:val="20"/>
        </w:rPr>
        <w:t>, 2022</w:t>
      </w:r>
      <w:r w:rsidR="00F2471B">
        <w:rPr>
          <w:rFonts w:ascii="Arial" w:hAnsi="Arial" w:cs="Arial"/>
          <w:sz w:val="20"/>
          <w:szCs w:val="20"/>
        </w:rPr>
        <w:t xml:space="preserve">; </w:t>
      </w:r>
      <w:r w:rsidR="00F2471B" w:rsidRPr="00F2471B">
        <w:rPr>
          <w:rFonts w:ascii="Arial" w:hAnsi="Arial" w:cs="Arial"/>
          <w:sz w:val="20"/>
          <w:szCs w:val="20"/>
        </w:rPr>
        <w:t>Markov et al., 2023)</w:t>
      </w:r>
      <w:r w:rsidRPr="0047651D">
        <w:rPr>
          <w:rFonts w:ascii="Arial" w:hAnsi="Arial" w:cs="Arial"/>
          <w:sz w:val="20"/>
          <w:szCs w:val="20"/>
        </w:rPr>
        <w:t xml:space="preserve">. Potential medications proven to counter SARS-CoV-2 infection, namely, hydroxychloroquine, azithromycin, lopinavir-ritonavir, and </w:t>
      </w:r>
      <w:proofErr w:type="spellStart"/>
      <w:r w:rsidRPr="0047651D">
        <w:rPr>
          <w:rFonts w:ascii="Arial" w:hAnsi="Arial" w:cs="Arial"/>
          <w:sz w:val="20"/>
          <w:szCs w:val="20"/>
        </w:rPr>
        <w:t>remdesivir</w:t>
      </w:r>
      <w:proofErr w:type="spellEnd"/>
      <w:r w:rsidRPr="0047651D">
        <w:rPr>
          <w:rFonts w:ascii="Arial" w:hAnsi="Arial" w:cs="Arial"/>
          <w:sz w:val="20"/>
          <w:szCs w:val="20"/>
        </w:rPr>
        <w:t>, have possible underlying cardiovascular adverse effects leading to the most notable arrhythmia. Common cardiovascular drugs like ACE inhibitors, ARBs, and thiazolidinediones may not have any association with SARS-CoV-2 infection in terms of severity and susceptibility.</w:t>
      </w:r>
    </w:p>
    <w:p w14:paraId="69FAB12F" w14:textId="77777777" w:rsidR="004F2D9C" w:rsidRPr="003E2C02" w:rsidRDefault="004F2D9C" w:rsidP="003E2C02">
      <w:pPr>
        <w:rPr>
          <w:rFonts w:ascii="Arial" w:eastAsia="Times New Roman" w:hAnsi="Arial" w:cs="Arial"/>
          <w:color w:val="000000"/>
        </w:rPr>
      </w:pPr>
    </w:p>
    <w:p w14:paraId="516C562E" w14:textId="77777777" w:rsidR="0088733C" w:rsidRDefault="0047651D" w:rsidP="0088733C">
      <w:pPr>
        <w:rPr>
          <w:rFonts w:ascii="Arial" w:hAnsi="Arial" w:cs="Arial"/>
          <w:b/>
        </w:rPr>
      </w:pPr>
      <w:r w:rsidRPr="0047651D">
        <w:rPr>
          <w:rFonts w:ascii="Arial" w:hAnsi="Arial" w:cs="Arial"/>
          <w:b/>
        </w:rPr>
        <w:t xml:space="preserve">MANAGEMENT OF CARDIOVASCULAR </w:t>
      </w:r>
      <w:r w:rsidR="0088733C">
        <w:rPr>
          <w:rFonts w:ascii="Arial" w:hAnsi="Arial" w:cs="Arial"/>
          <w:b/>
        </w:rPr>
        <w:t>CONDITIONS IN COVID-19 PATIENTS</w:t>
      </w:r>
    </w:p>
    <w:p w14:paraId="4432F116" w14:textId="77777777" w:rsidR="00E7009E" w:rsidRPr="00B26863" w:rsidRDefault="00C94CBC" w:rsidP="00C94CBC">
      <w:pPr>
        <w:pStyle w:val="NoSpacing"/>
        <w:rPr>
          <w:rFonts w:ascii="Arial" w:hAnsi="Arial" w:cs="Arial"/>
          <w:b/>
          <w:sz w:val="20"/>
        </w:rPr>
      </w:pPr>
      <w:r w:rsidRPr="00C94CBC">
        <w:rPr>
          <w:rFonts w:ascii="Arial" w:hAnsi="Arial" w:cs="Arial"/>
          <w:b/>
        </w:rPr>
        <w:t xml:space="preserve">1. </w:t>
      </w:r>
      <w:r w:rsidR="00B26863" w:rsidRPr="00B26863">
        <w:rPr>
          <w:rFonts w:ascii="Arial" w:hAnsi="Arial" w:cs="Arial"/>
          <w:b/>
          <w:sz w:val="20"/>
        </w:rPr>
        <w:t>CARDIOGENIC SHOCK</w:t>
      </w:r>
    </w:p>
    <w:p w14:paraId="7157B2AE" w14:textId="77777777" w:rsidR="0093034F" w:rsidRPr="0088733C" w:rsidRDefault="0093034F" w:rsidP="0088733C">
      <w:pPr>
        <w:pStyle w:val="NoSpacing"/>
        <w:jc w:val="both"/>
        <w:rPr>
          <w:rFonts w:ascii="Arial" w:hAnsi="Arial" w:cs="Arial"/>
          <w:sz w:val="20"/>
          <w:szCs w:val="20"/>
        </w:rPr>
      </w:pPr>
      <w:r w:rsidRPr="0088733C">
        <w:rPr>
          <w:rFonts w:ascii="Arial" w:hAnsi="Arial" w:cs="Arial"/>
          <w:sz w:val="20"/>
          <w:szCs w:val="20"/>
        </w:rPr>
        <w:t>The mainstay of treatment in cardiogenic shock includes a thorough evaluation to rule out acute coronary syndrome and other causes of myocardial dysfunction. Invasive coronary angiography (ICA) is recommended for patients with suspected acute coronary syndrome, but special precautions must be taken to minimize the risk of nosocomial infections in the COVID-19 setting. Mechanical circulatory support (MCS) should be considered cautiously in patients with SARS-CoV-2 infection due to the associated risk of coagulopathy and the need for specific respiratory management (e.g., prone positioning). Prone positioning enhances oxygenation and should be considered early in patients with respiratory failure to improve ventilation.</w:t>
      </w:r>
    </w:p>
    <w:p w14:paraId="4C6EA74F" w14:textId="1E89E7A4" w:rsidR="0093034F" w:rsidRPr="0088733C" w:rsidRDefault="0093034F" w:rsidP="0088733C">
      <w:pPr>
        <w:pStyle w:val="NoSpacing"/>
        <w:jc w:val="both"/>
        <w:rPr>
          <w:rFonts w:ascii="Arial" w:hAnsi="Arial" w:cs="Arial"/>
          <w:sz w:val="20"/>
          <w:szCs w:val="20"/>
        </w:rPr>
      </w:pPr>
      <w:r w:rsidRPr="0088733C">
        <w:rPr>
          <w:rFonts w:ascii="Arial" w:hAnsi="Arial" w:cs="Arial"/>
          <w:sz w:val="20"/>
          <w:szCs w:val="20"/>
        </w:rPr>
        <w:t>Norepinephrine is the first-line vasopressor in patients with cardiogenic shock who are hypotensive. If the patient's cardiac output remains severely reduced with signs of organ hypoperfusion as revealed by a clinical, laboratory, and echocardiographic examination (cold extremities, low central venous oxygen saturation, left or right ventricle systolic dysfunction on echocardiography), inotropic agents like dobutamine or epinephrine may be considered. Cardiogenic shock can strike COVID-19 individuals at any time and for a variety of reasons. With a view toward etiological treatment, it is critical to undertake a differential diagnosis. Routine measures, such as amine infusions or the implantation of VA-ECMO as a bridge to recovery, are included in the general approach. Acute myocarditis is caused by myocardial inflammation, and SARS-CoV-2 particles have recently been found in the myocardium of these patients</w:t>
      </w:r>
      <w:r w:rsidR="00F2471B">
        <w:rPr>
          <w:rFonts w:ascii="Arial" w:hAnsi="Arial" w:cs="Arial"/>
          <w:sz w:val="20"/>
          <w:szCs w:val="20"/>
        </w:rPr>
        <w:t xml:space="preserve"> </w:t>
      </w:r>
      <w:r w:rsidR="00F2471B" w:rsidRPr="00F2471B">
        <w:rPr>
          <w:rFonts w:ascii="Arial" w:hAnsi="Arial" w:cs="Arial"/>
          <w:sz w:val="20"/>
          <w:szCs w:val="20"/>
        </w:rPr>
        <w:t>(</w:t>
      </w:r>
      <w:proofErr w:type="spellStart"/>
      <w:r w:rsidR="00F2471B" w:rsidRPr="00F2471B">
        <w:rPr>
          <w:rFonts w:ascii="Arial" w:hAnsi="Arial" w:cs="Arial"/>
          <w:sz w:val="20"/>
          <w:szCs w:val="20"/>
        </w:rPr>
        <w:t>Ammirati</w:t>
      </w:r>
      <w:proofErr w:type="spellEnd"/>
      <w:r w:rsidR="00F2471B" w:rsidRPr="00F2471B">
        <w:rPr>
          <w:rFonts w:ascii="Arial" w:hAnsi="Arial" w:cs="Arial"/>
          <w:sz w:val="20"/>
          <w:szCs w:val="20"/>
        </w:rPr>
        <w:t xml:space="preserve"> &amp; Moslehi, 2023</w:t>
      </w:r>
      <w:r w:rsidR="00F2471B">
        <w:rPr>
          <w:rFonts w:ascii="Arial" w:hAnsi="Arial" w:cs="Arial"/>
          <w:sz w:val="20"/>
          <w:szCs w:val="20"/>
        </w:rPr>
        <w:t xml:space="preserve">; </w:t>
      </w:r>
      <w:r w:rsidR="00F2471B" w:rsidRPr="00F2471B">
        <w:rPr>
          <w:rFonts w:ascii="Arial" w:hAnsi="Arial" w:cs="Arial"/>
          <w:sz w:val="20"/>
          <w:szCs w:val="20"/>
        </w:rPr>
        <w:t xml:space="preserve">Kim </w:t>
      </w:r>
      <w:r w:rsidR="00F2471B" w:rsidRPr="00F2471B">
        <w:rPr>
          <w:rFonts w:ascii="Arial" w:hAnsi="Arial" w:cs="Arial"/>
          <w:i/>
          <w:iCs/>
          <w:sz w:val="20"/>
          <w:szCs w:val="20"/>
        </w:rPr>
        <w:t>et al</w:t>
      </w:r>
      <w:r w:rsidR="00F2471B" w:rsidRPr="00F2471B">
        <w:rPr>
          <w:rFonts w:ascii="Arial" w:hAnsi="Arial" w:cs="Arial"/>
          <w:sz w:val="20"/>
          <w:szCs w:val="20"/>
        </w:rPr>
        <w:t>., 2021)</w:t>
      </w:r>
      <w:r w:rsidRPr="0088733C">
        <w:rPr>
          <w:rFonts w:ascii="Arial" w:hAnsi="Arial" w:cs="Arial"/>
          <w:sz w:val="20"/>
          <w:szCs w:val="20"/>
        </w:rPr>
        <w:t>.</w:t>
      </w:r>
    </w:p>
    <w:p w14:paraId="4C156355" w14:textId="77777777" w:rsidR="0093034F" w:rsidRPr="0088733C" w:rsidRDefault="0093034F" w:rsidP="0088733C">
      <w:pPr>
        <w:pStyle w:val="NoSpacing"/>
        <w:jc w:val="both"/>
        <w:rPr>
          <w:rFonts w:ascii="Arial" w:hAnsi="Arial" w:cs="Arial"/>
          <w:sz w:val="20"/>
          <w:szCs w:val="20"/>
        </w:rPr>
      </w:pPr>
      <w:r w:rsidRPr="0088733C">
        <w:rPr>
          <w:rFonts w:ascii="Arial" w:hAnsi="Arial" w:cs="Arial"/>
          <w:sz w:val="20"/>
          <w:szCs w:val="20"/>
        </w:rPr>
        <w:t>Treatment involves supplemental oxygen through high-flow nasal cannulas, corticosteroids, and immunoglobulins, in addition to respiratory and circulatory support measures. Hyperglycemia, inflammatory reactions, and venous thromboembolism prophylaxis are all treated with insulin, dexamethasone, and enoxaparin. COVID-19 stress cardiomyopathy can be caused by catecholamine release as a result of hypoxia or sepsis, myocardial injury as a result of the systemic inflammatory process, a direct viral infection of the heart, or a combination of these events.</w:t>
      </w:r>
    </w:p>
    <w:p w14:paraId="6B90815A" w14:textId="2696782D" w:rsidR="0093034F" w:rsidRPr="0088733C" w:rsidRDefault="0093034F" w:rsidP="0088733C">
      <w:pPr>
        <w:pStyle w:val="NoSpacing"/>
        <w:jc w:val="both"/>
        <w:rPr>
          <w:rFonts w:ascii="Arial" w:hAnsi="Arial" w:cs="Arial"/>
          <w:sz w:val="20"/>
          <w:szCs w:val="20"/>
        </w:rPr>
      </w:pPr>
      <w:r w:rsidRPr="0088733C">
        <w:rPr>
          <w:rFonts w:ascii="Arial" w:hAnsi="Arial" w:cs="Arial"/>
          <w:sz w:val="20"/>
          <w:szCs w:val="20"/>
        </w:rPr>
        <w:t>For patients with ST-segment elevation and high troponin levels, urgent cardiac catheterization should be considered if acute coronary syndrome is suspected. However, in cases where myocarditis or stress cardiomyopathy is more likely, catheterization may not be necessary. Treatment includes the use of vasopressors, inotropes, and in severe cases, mechanical circulatory support (e.g., VA-ECMO) for patients with refractory cardiogenic shock. VA-ECMO should be reserved for cases where conventional therapies have failed and where the patient has the potential for recovery or is a candidate for heart transplantation</w:t>
      </w:r>
      <w:r w:rsidR="00F2471B">
        <w:rPr>
          <w:rFonts w:ascii="Arial" w:hAnsi="Arial" w:cs="Arial"/>
          <w:sz w:val="20"/>
          <w:szCs w:val="20"/>
        </w:rPr>
        <w:t xml:space="preserve"> </w:t>
      </w:r>
      <w:r w:rsidR="00F2471B" w:rsidRPr="00F2471B">
        <w:rPr>
          <w:rFonts w:ascii="Arial" w:hAnsi="Arial" w:cs="Arial"/>
          <w:sz w:val="20"/>
          <w:szCs w:val="20"/>
        </w:rPr>
        <w:t>(Tsangaris et al., 2021</w:t>
      </w:r>
      <w:r w:rsidR="00FB6CD6">
        <w:rPr>
          <w:rFonts w:ascii="Arial" w:hAnsi="Arial" w:cs="Arial"/>
          <w:sz w:val="20"/>
          <w:szCs w:val="20"/>
        </w:rPr>
        <w:t xml:space="preserve">; </w:t>
      </w:r>
      <w:proofErr w:type="spellStart"/>
      <w:r w:rsidR="00FB6CD6" w:rsidRPr="00FB6CD6">
        <w:rPr>
          <w:rFonts w:ascii="Arial" w:hAnsi="Arial" w:cs="Arial"/>
          <w:sz w:val="20"/>
          <w:szCs w:val="20"/>
        </w:rPr>
        <w:t>Koziol</w:t>
      </w:r>
      <w:proofErr w:type="spellEnd"/>
      <w:r w:rsidR="00FB6CD6" w:rsidRPr="00FB6CD6">
        <w:rPr>
          <w:rFonts w:ascii="Arial" w:hAnsi="Arial" w:cs="Arial"/>
          <w:sz w:val="20"/>
          <w:szCs w:val="20"/>
        </w:rPr>
        <w:t xml:space="preserve"> et al., 2023</w:t>
      </w:r>
      <w:r w:rsidR="00F2471B" w:rsidRPr="00F2471B">
        <w:rPr>
          <w:rFonts w:ascii="Arial" w:hAnsi="Arial" w:cs="Arial"/>
          <w:sz w:val="20"/>
          <w:szCs w:val="20"/>
        </w:rPr>
        <w:t>)</w:t>
      </w:r>
      <w:r w:rsidRPr="0088733C">
        <w:rPr>
          <w:rFonts w:ascii="Arial" w:hAnsi="Arial" w:cs="Arial"/>
          <w:sz w:val="20"/>
          <w:szCs w:val="20"/>
        </w:rPr>
        <w:t>.</w:t>
      </w:r>
    </w:p>
    <w:p w14:paraId="21BF52DB" w14:textId="77777777" w:rsidR="00170CE0" w:rsidRDefault="00170CE0" w:rsidP="00C94CBC">
      <w:pPr>
        <w:pStyle w:val="NoSpacing"/>
        <w:rPr>
          <w:rFonts w:ascii="Arial" w:hAnsi="Arial" w:cs="Arial"/>
          <w:b/>
          <w:sz w:val="20"/>
          <w:szCs w:val="20"/>
        </w:rPr>
      </w:pPr>
    </w:p>
    <w:p w14:paraId="43DA6A75" w14:textId="77777777" w:rsidR="00290A2B" w:rsidRPr="00B26863" w:rsidRDefault="00C94CBC" w:rsidP="00C94CBC">
      <w:pPr>
        <w:pStyle w:val="NoSpacing"/>
        <w:rPr>
          <w:rFonts w:ascii="Arial" w:hAnsi="Arial" w:cs="Arial"/>
          <w:b/>
          <w:sz w:val="20"/>
          <w:szCs w:val="20"/>
        </w:rPr>
      </w:pPr>
      <w:r w:rsidRPr="00B26863">
        <w:rPr>
          <w:rFonts w:ascii="Arial" w:hAnsi="Arial" w:cs="Arial"/>
          <w:b/>
          <w:sz w:val="20"/>
          <w:szCs w:val="20"/>
        </w:rPr>
        <w:t xml:space="preserve">2. </w:t>
      </w:r>
      <w:r w:rsidR="0088733C" w:rsidRPr="00B26863">
        <w:rPr>
          <w:rFonts w:ascii="Arial" w:hAnsi="Arial" w:cs="Arial"/>
          <w:b/>
          <w:sz w:val="20"/>
          <w:szCs w:val="20"/>
        </w:rPr>
        <w:t>ST-SEGMENT ELEVATION MYOCARDIAL INFARCTION (STEMI)</w:t>
      </w:r>
    </w:p>
    <w:p w14:paraId="2D32EE9C" w14:textId="7E48DDE6" w:rsidR="00290A2B" w:rsidRPr="00C94CBC" w:rsidRDefault="00290A2B" w:rsidP="0088733C">
      <w:pPr>
        <w:pStyle w:val="NoSpacing"/>
        <w:jc w:val="both"/>
        <w:rPr>
          <w:rFonts w:ascii="Arial" w:hAnsi="Arial" w:cs="Arial"/>
          <w:sz w:val="20"/>
        </w:rPr>
      </w:pPr>
      <w:r w:rsidRPr="00C94CBC">
        <w:rPr>
          <w:rFonts w:ascii="Arial" w:hAnsi="Arial" w:cs="Arial"/>
          <w:sz w:val="20"/>
        </w:rPr>
        <w:t xml:space="preserve">The COVID-19 pandemic should not severely compromise patients with ST-segment elevation MI (STEMI) receiving timely reperfusion. Reperfusion therapy is still recommended in patients with symptoms of ischemia lasting more than 12 hours and with persistent ST-segment elevation in at least two electrocardiogram (ECG) leads. At the same time, the safety of HCP should be ensured. To that end, and </w:t>
      </w:r>
      <w:r w:rsidRPr="00C94CBC">
        <w:rPr>
          <w:rFonts w:ascii="Arial" w:hAnsi="Arial" w:cs="Arial"/>
          <w:sz w:val="20"/>
        </w:rPr>
        <w:lastRenderedPageBreak/>
        <w:t>in the absence of previous testing of SARS-CoV-2, all STEMI patients should be treated as if they have SARS-CoV-2</w:t>
      </w:r>
      <w:r w:rsidR="00FB6CD6">
        <w:rPr>
          <w:rFonts w:ascii="Arial" w:hAnsi="Arial" w:cs="Arial"/>
          <w:sz w:val="20"/>
        </w:rPr>
        <w:t xml:space="preserve"> </w:t>
      </w:r>
      <w:r w:rsidR="00FB6CD6" w:rsidRPr="00FB6CD6">
        <w:rPr>
          <w:rFonts w:ascii="Arial" w:hAnsi="Arial" w:cs="Arial"/>
          <w:sz w:val="20"/>
        </w:rPr>
        <w:t>(Singh &amp; Yi, 2021</w:t>
      </w:r>
      <w:r w:rsidR="00FB6CD6">
        <w:rPr>
          <w:rFonts w:ascii="Arial" w:hAnsi="Arial" w:cs="Arial"/>
          <w:sz w:val="20"/>
        </w:rPr>
        <w:t xml:space="preserve">; </w:t>
      </w:r>
      <w:r w:rsidR="00FB6CD6" w:rsidRPr="00FB6CD6">
        <w:rPr>
          <w:rFonts w:ascii="Arial" w:hAnsi="Arial" w:cs="Arial"/>
          <w:sz w:val="20"/>
        </w:rPr>
        <w:t>Malik et al., 2022)</w:t>
      </w:r>
      <w:r w:rsidRPr="00C94CBC">
        <w:rPr>
          <w:rFonts w:ascii="Arial" w:hAnsi="Arial" w:cs="Arial"/>
          <w:sz w:val="20"/>
        </w:rPr>
        <w:t>.</w:t>
      </w:r>
    </w:p>
    <w:p w14:paraId="15F8A3ED" w14:textId="77777777" w:rsidR="00290A2B" w:rsidRPr="00C94CBC" w:rsidRDefault="00290A2B" w:rsidP="0088733C">
      <w:pPr>
        <w:pStyle w:val="NoSpacing"/>
        <w:jc w:val="both"/>
        <w:rPr>
          <w:rFonts w:ascii="Arial" w:hAnsi="Arial" w:cs="Arial"/>
          <w:sz w:val="20"/>
        </w:rPr>
      </w:pPr>
      <w:r w:rsidRPr="00C94CBC">
        <w:rPr>
          <w:rFonts w:ascii="Arial" w:hAnsi="Arial" w:cs="Arial"/>
          <w:sz w:val="20"/>
        </w:rPr>
        <w:t>If feasible within this time frame and performed in facilities approved for managing COVID-19 patients more safely for healthcare professionals and other patients, primary percutaneous coronary intervention (PCI) remains the reperfusion therapy of choice.</w:t>
      </w:r>
    </w:p>
    <w:p w14:paraId="7EB578FC" w14:textId="77777777" w:rsidR="00290A2B" w:rsidRPr="00C94CBC" w:rsidRDefault="00290A2B" w:rsidP="0088733C">
      <w:pPr>
        <w:pStyle w:val="NoSpacing"/>
        <w:jc w:val="both"/>
        <w:rPr>
          <w:rFonts w:ascii="Arial" w:hAnsi="Arial" w:cs="Arial"/>
          <w:sz w:val="20"/>
        </w:rPr>
      </w:pPr>
      <w:r w:rsidRPr="00C94CBC">
        <w:rPr>
          <w:rFonts w:ascii="Arial" w:hAnsi="Arial" w:cs="Arial"/>
          <w:sz w:val="20"/>
        </w:rPr>
        <w:t>Due to delays in care delivery and the implementation of protective measures, primary PCI pathways may be delayed during the COVID outbreak (up to 1 hour in some networks).</w:t>
      </w:r>
    </w:p>
    <w:p w14:paraId="12EF5D1A" w14:textId="77777777" w:rsidR="00290A2B" w:rsidRPr="00C94CBC" w:rsidRDefault="00290A2B" w:rsidP="0088733C">
      <w:pPr>
        <w:pStyle w:val="NoSpacing"/>
        <w:jc w:val="both"/>
        <w:rPr>
          <w:rFonts w:ascii="Arial" w:hAnsi="Arial" w:cs="Arial"/>
          <w:sz w:val="20"/>
        </w:rPr>
      </w:pPr>
      <w:r w:rsidRPr="00C94CBC">
        <w:rPr>
          <w:rFonts w:ascii="Arial" w:hAnsi="Arial" w:cs="Arial"/>
          <w:sz w:val="20"/>
        </w:rPr>
        <w:t>If the target time cannot be reached and it is not contraindicated, fibrinolysis should be performed according to the recommendations of the ESC guidelines.</w:t>
      </w:r>
    </w:p>
    <w:p w14:paraId="03D3642C" w14:textId="77777777" w:rsidR="00C94CBC" w:rsidRDefault="00C94CBC" w:rsidP="0088733C">
      <w:pPr>
        <w:pStyle w:val="NoSpacing"/>
        <w:jc w:val="both"/>
        <w:rPr>
          <w:rFonts w:ascii="Arial" w:hAnsi="Arial" w:cs="Arial"/>
        </w:rPr>
      </w:pPr>
    </w:p>
    <w:p w14:paraId="5FB6A886" w14:textId="77777777" w:rsidR="00C94CBC" w:rsidRPr="0088733C" w:rsidRDefault="00C94CBC" w:rsidP="0088733C">
      <w:pPr>
        <w:pStyle w:val="NoSpacing"/>
        <w:jc w:val="both"/>
        <w:rPr>
          <w:rFonts w:ascii="Arial" w:hAnsi="Arial" w:cs="Arial"/>
        </w:rPr>
      </w:pPr>
    </w:p>
    <w:p w14:paraId="7D6C13E3" w14:textId="77777777" w:rsidR="00580495" w:rsidRPr="00B26863" w:rsidRDefault="00C94CBC" w:rsidP="00C94CBC">
      <w:pPr>
        <w:pStyle w:val="NoSpacing"/>
        <w:rPr>
          <w:rFonts w:ascii="Arial" w:hAnsi="Arial" w:cs="Arial"/>
          <w:b/>
          <w:sz w:val="20"/>
        </w:rPr>
      </w:pPr>
      <w:r w:rsidRPr="00B26863">
        <w:rPr>
          <w:rFonts w:ascii="Arial" w:hAnsi="Arial" w:cs="Arial"/>
          <w:b/>
          <w:sz w:val="20"/>
        </w:rPr>
        <w:t>3. NON-ST-SEGMENT ELEVATION MYOCARDIAL INFARCTION (NSTEMI)</w:t>
      </w:r>
    </w:p>
    <w:p w14:paraId="3643EB4B" w14:textId="77777777" w:rsidR="00580495" w:rsidRPr="001104F9" w:rsidRDefault="00580495" w:rsidP="001104F9">
      <w:pPr>
        <w:pStyle w:val="NoSpacing"/>
        <w:jc w:val="both"/>
        <w:rPr>
          <w:rFonts w:ascii="Arial" w:hAnsi="Arial" w:cs="Arial"/>
          <w:sz w:val="20"/>
        </w:rPr>
      </w:pPr>
      <w:r w:rsidRPr="001104F9">
        <w:rPr>
          <w:rFonts w:ascii="Arial" w:hAnsi="Arial" w:cs="Arial"/>
          <w:sz w:val="20"/>
        </w:rPr>
        <w:t>The risk and intensity of involvement in epidemics should guide the management of patients with non-ST-segment elevation ACS. Testing for SARS-CoV-2 should be performed immediately after first medical contact, regardless of treatment strategy, in geographic areas with significant pandemic involvement, to allow HCP to implement adequate protective measures and management pathways.</w:t>
      </w:r>
    </w:p>
    <w:p w14:paraId="66A67196" w14:textId="77777777" w:rsidR="00580495" w:rsidRPr="001104F9" w:rsidRDefault="00580495" w:rsidP="001104F9">
      <w:pPr>
        <w:pStyle w:val="NoSpacing"/>
        <w:jc w:val="both"/>
        <w:rPr>
          <w:rFonts w:ascii="Arial" w:hAnsi="Arial" w:cs="Arial"/>
          <w:sz w:val="20"/>
        </w:rPr>
      </w:pPr>
      <w:r w:rsidRPr="001104F9">
        <w:rPr>
          <w:rFonts w:ascii="Arial" w:hAnsi="Arial" w:cs="Arial"/>
          <w:sz w:val="20"/>
        </w:rPr>
        <w:t>For high-risk patients, the medical strategy aims for stabilization while planning an early (24-hour) invasive strategy. However, depending on the timing of the investigation results, the invasive strategy lasts longer than 24 hours.</w:t>
      </w:r>
    </w:p>
    <w:p w14:paraId="1A60836D" w14:textId="77777777" w:rsidR="00580495" w:rsidRPr="001104F9" w:rsidRDefault="00580495" w:rsidP="001104F9">
      <w:pPr>
        <w:pStyle w:val="NoSpacing"/>
        <w:jc w:val="both"/>
        <w:rPr>
          <w:rFonts w:ascii="Arial" w:hAnsi="Arial" w:cs="Arial"/>
          <w:sz w:val="20"/>
        </w:rPr>
      </w:pPr>
      <w:r w:rsidRPr="001104F9">
        <w:rPr>
          <w:rFonts w:ascii="Arial" w:hAnsi="Arial" w:cs="Arial"/>
          <w:sz w:val="20"/>
        </w:rPr>
        <w:t>Patients at intermediate risk should be evaluated carefully, considering alternative diagnoses to Type I-MI, Type II-MI, myocarditis, or myocardial injury due to respiratory distress, multiorgan failure, or Takotsubo. Suppose any of the differential diagnoses appear plausible. In that case, a non-invasive strategy should be considered, with coronary computed tomography angiography (CCTA) being preferred if the necessary equipment and expertise are available.</w:t>
      </w:r>
    </w:p>
    <w:p w14:paraId="039EB0B6" w14:textId="77777777" w:rsidR="00580495" w:rsidRPr="001104F9" w:rsidRDefault="00580495" w:rsidP="001104F9">
      <w:pPr>
        <w:pStyle w:val="NoSpacing"/>
        <w:jc w:val="both"/>
        <w:rPr>
          <w:rFonts w:ascii="Arial" w:hAnsi="Arial" w:cs="Arial"/>
          <w:sz w:val="20"/>
        </w:rPr>
      </w:pPr>
      <w:r w:rsidRPr="001104F9">
        <w:rPr>
          <w:rFonts w:ascii="Arial" w:hAnsi="Arial" w:cs="Arial"/>
          <w:sz w:val="20"/>
        </w:rPr>
        <w:t>When the SARS-CoV-2 test results in a positive result, patients should be transferred for invasive management to a COVID-19 hospital that is equipped to treat COVID-19-positive patients. In times of high demand on infrastructure and limited availability of catheterization laboratories or operators, non-invasive traditional management with early discharge from the hospital and planned clinical follow-up may be considered.</w:t>
      </w:r>
    </w:p>
    <w:p w14:paraId="79EDEDDC" w14:textId="78BC6382" w:rsidR="00580495" w:rsidRPr="001104F9" w:rsidRDefault="00580495" w:rsidP="001104F9">
      <w:pPr>
        <w:pStyle w:val="NoSpacing"/>
        <w:jc w:val="both"/>
        <w:rPr>
          <w:rFonts w:ascii="Arial" w:hAnsi="Arial" w:cs="Arial"/>
          <w:sz w:val="20"/>
        </w:rPr>
      </w:pPr>
      <w:r w:rsidRPr="001104F9">
        <w:rPr>
          <w:rFonts w:ascii="Arial" w:hAnsi="Arial" w:cs="Arial"/>
          <w:sz w:val="20"/>
        </w:rPr>
        <w:t>Patients with a troponin rise but no acute clinical signs of instability (ECG changes, pain recurrence) may be managed conservatively. Non-invasive imaging with CCTA may help to speed up risk stratification and avoid an invasive approach, allowing for early discharge</w:t>
      </w:r>
      <w:r w:rsidR="00FB6CD6">
        <w:rPr>
          <w:rFonts w:ascii="Arial" w:hAnsi="Arial" w:cs="Arial"/>
          <w:sz w:val="20"/>
        </w:rPr>
        <w:t xml:space="preserve"> </w:t>
      </w:r>
      <w:r w:rsidR="00FB6CD6" w:rsidRPr="00FB6CD6">
        <w:rPr>
          <w:rFonts w:ascii="Arial" w:hAnsi="Arial" w:cs="Arial"/>
          <w:sz w:val="20"/>
        </w:rPr>
        <w:t>(</w:t>
      </w:r>
      <w:proofErr w:type="spellStart"/>
      <w:r w:rsidR="00FB6CD6" w:rsidRPr="00FB6CD6">
        <w:rPr>
          <w:rFonts w:ascii="Arial" w:hAnsi="Arial" w:cs="Arial"/>
          <w:sz w:val="20"/>
        </w:rPr>
        <w:t>Carmo</w:t>
      </w:r>
      <w:proofErr w:type="spellEnd"/>
      <w:r w:rsidR="00FB6CD6" w:rsidRPr="00FB6CD6">
        <w:rPr>
          <w:rFonts w:ascii="Arial" w:hAnsi="Arial" w:cs="Arial"/>
          <w:sz w:val="20"/>
        </w:rPr>
        <w:t xml:space="preserve"> et al., 2022</w:t>
      </w:r>
      <w:r w:rsidR="00FB6CD6">
        <w:rPr>
          <w:rFonts w:ascii="Arial" w:hAnsi="Arial" w:cs="Arial"/>
          <w:sz w:val="20"/>
        </w:rPr>
        <w:t xml:space="preserve">; </w:t>
      </w:r>
      <w:r w:rsidR="00FB6CD6" w:rsidRPr="00FB6CD6">
        <w:rPr>
          <w:rFonts w:ascii="Arial" w:hAnsi="Arial" w:cs="Arial"/>
          <w:sz w:val="20"/>
        </w:rPr>
        <w:t>Bergamaschi et al., 2023)</w:t>
      </w:r>
      <w:r w:rsidRPr="001104F9">
        <w:rPr>
          <w:rFonts w:ascii="Arial" w:hAnsi="Arial" w:cs="Arial"/>
          <w:sz w:val="20"/>
        </w:rPr>
        <w:t>.</w:t>
      </w:r>
    </w:p>
    <w:p w14:paraId="37CB1685" w14:textId="77777777" w:rsidR="001104F9" w:rsidRDefault="001104F9" w:rsidP="001104F9">
      <w:pPr>
        <w:pStyle w:val="NoSpacing"/>
      </w:pPr>
    </w:p>
    <w:p w14:paraId="052BC110" w14:textId="77777777" w:rsidR="001104F9" w:rsidRPr="001104F9" w:rsidRDefault="001104F9" w:rsidP="001104F9">
      <w:pPr>
        <w:pStyle w:val="NoSpacing"/>
      </w:pPr>
    </w:p>
    <w:p w14:paraId="7A9A46FE" w14:textId="77777777" w:rsidR="00580495" w:rsidRPr="001104F9" w:rsidRDefault="001104F9" w:rsidP="001104F9">
      <w:pPr>
        <w:pStyle w:val="NoSpacing"/>
        <w:rPr>
          <w:rFonts w:ascii="Arial" w:hAnsi="Arial" w:cs="Arial"/>
          <w:b/>
        </w:rPr>
      </w:pPr>
      <w:r w:rsidRPr="00B26863">
        <w:rPr>
          <w:rFonts w:ascii="Arial" w:hAnsi="Arial" w:cs="Arial"/>
          <w:b/>
          <w:sz w:val="20"/>
        </w:rPr>
        <w:t>4. MYOCARDITIS</w:t>
      </w:r>
    </w:p>
    <w:p w14:paraId="0BA289B8" w14:textId="77777777" w:rsidR="00580495" w:rsidRPr="001104F9" w:rsidRDefault="00580495" w:rsidP="001104F9">
      <w:pPr>
        <w:pStyle w:val="NoSpacing"/>
        <w:jc w:val="both"/>
        <w:rPr>
          <w:rFonts w:ascii="Arial" w:hAnsi="Arial" w:cs="Arial"/>
          <w:sz w:val="20"/>
        </w:rPr>
      </w:pPr>
      <w:r w:rsidRPr="001104F9">
        <w:rPr>
          <w:rFonts w:ascii="Arial" w:hAnsi="Arial" w:cs="Arial"/>
          <w:sz w:val="20"/>
        </w:rPr>
        <w:t>Myocarditis can manifest itself in a variety of ways, from moderate symptoms like weariness, chest pain, and palpitations to life-threatening ones like cardiogenic shock or sudden cardiac death due to ventricular arrhythmias. Myocarditis typically has a viral prodrome that includes fevers, myalgias, and respiratory/gastrointestinal symptoms, but this can be extremely variable, ranging from 10% to 80%. Men are more likely than women to develop myocarditis, with a male-to-female ratio of 1.5:1 to 1.7:1. Following myocarditis, some patients develop pericardial effusion or viral-induced dilated cardiomyopathy.</w:t>
      </w:r>
    </w:p>
    <w:p w14:paraId="758A0CAA" w14:textId="77777777" w:rsidR="00580495" w:rsidRPr="001104F9" w:rsidRDefault="00580495" w:rsidP="001104F9">
      <w:pPr>
        <w:pStyle w:val="NoSpacing"/>
        <w:jc w:val="both"/>
        <w:rPr>
          <w:rFonts w:ascii="Arial" w:hAnsi="Arial" w:cs="Arial"/>
          <w:sz w:val="20"/>
        </w:rPr>
      </w:pPr>
      <w:r w:rsidRPr="001104F9">
        <w:rPr>
          <w:rFonts w:ascii="Arial" w:hAnsi="Arial" w:cs="Arial"/>
          <w:sz w:val="20"/>
        </w:rPr>
        <w:t>As early reports generally lack specific diagnostic methods to assess myocarditis, the incidence of myocarditis among COVID-19 patients is unknown. Some speculated that myocarditis was to blame for up to 7% of COVID-19-related deaths. The American Heart Association recently released a scientific statement on detecting and treating fulminant myocarditis. It advises that patients with fulminant myocarditis follow a similar approach to cardiogenic shock. This may entail the use of inotropes and/or vasopressors, as well as mechanical ventilation. Mechanical circulatory assistance, such as extracorporeal membrane oxygenation, a ventricular assist device, or an intra-aortic balloon pump, is used for longer-term care.</w:t>
      </w:r>
      <w:r w:rsidR="001104F9">
        <w:rPr>
          <w:rFonts w:ascii="Arial" w:hAnsi="Arial" w:cs="Arial"/>
          <w:sz w:val="20"/>
        </w:rPr>
        <w:t xml:space="preserve"> </w:t>
      </w:r>
      <w:r w:rsidRPr="001104F9">
        <w:rPr>
          <w:rFonts w:ascii="Arial" w:hAnsi="Arial" w:cs="Arial"/>
          <w:sz w:val="20"/>
        </w:rPr>
        <w:t>Management</w:t>
      </w:r>
      <w:r w:rsidR="001104F9" w:rsidRPr="001104F9">
        <w:rPr>
          <w:rFonts w:ascii="Arial" w:hAnsi="Arial" w:cs="Arial"/>
          <w:sz w:val="20"/>
        </w:rPr>
        <w:t xml:space="preserve"> consist of </w:t>
      </w:r>
      <w:r w:rsidRPr="001104F9">
        <w:rPr>
          <w:rFonts w:ascii="Arial" w:hAnsi="Arial" w:cs="Arial"/>
          <w:sz w:val="20"/>
        </w:rPr>
        <w:t>Inotropes and/or vasopressors are given, as well as mechanical ventilation. Mechanical circulatory assistance, such as extracorporeal membrane oxygenation, a ventricular assist device, or an intra-aortic balloon pump, is used for longer-term care.</w:t>
      </w:r>
    </w:p>
    <w:p w14:paraId="4C14D822" w14:textId="77777777" w:rsidR="001104F9" w:rsidRDefault="001104F9" w:rsidP="001104F9">
      <w:pPr>
        <w:pStyle w:val="NoSpacing"/>
      </w:pPr>
    </w:p>
    <w:p w14:paraId="56B46C4A" w14:textId="77777777" w:rsidR="00580495" w:rsidRPr="00B26863" w:rsidRDefault="001104F9" w:rsidP="001104F9">
      <w:pPr>
        <w:pStyle w:val="NoSpacing"/>
        <w:rPr>
          <w:rFonts w:ascii="Arial" w:hAnsi="Arial" w:cs="Arial"/>
          <w:b/>
          <w:sz w:val="20"/>
        </w:rPr>
      </w:pPr>
      <w:r w:rsidRPr="00B26863">
        <w:rPr>
          <w:rFonts w:ascii="Arial" w:hAnsi="Arial" w:cs="Arial"/>
          <w:b/>
          <w:sz w:val="20"/>
        </w:rPr>
        <w:t>5. CHRONIC CORONARY SYNDROMES (CCS)</w:t>
      </w:r>
    </w:p>
    <w:p w14:paraId="62AB27DA" w14:textId="77777777" w:rsidR="00580495" w:rsidRPr="001104F9" w:rsidRDefault="00580495" w:rsidP="001104F9">
      <w:pPr>
        <w:pStyle w:val="NoSpacing"/>
        <w:jc w:val="both"/>
        <w:rPr>
          <w:rFonts w:ascii="Arial" w:hAnsi="Arial" w:cs="Arial"/>
          <w:sz w:val="20"/>
          <w:szCs w:val="20"/>
        </w:rPr>
      </w:pPr>
      <w:r w:rsidRPr="001104F9">
        <w:rPr>
          <w:rFonts w:ascii="Arial" w:hAnsi="Arial" w:cs="Arial"/>
          <w:sz w:val="20"/>
          <w:szCs w:val="20"/>
        </w:rPr>
        <w:lastRenderedPageBreak/>
        <w:t>HCPs caring for patients with CCS in areas heavily affected by the COVID-19 pandemic should keep the following points in mind:</w:t>
      </w:r>
    </w:p>
    <w:p w14:paraId="5B24AF49" w14:textId="77777777" w:rsidR="00580495" w:rsidRPr="001104F9" w:rsidRDefault="00580495" w:rsidP="001104F9">
      <w:pPr>
        <w:pStyle w:val="NoSpacing"/>
        <w:jc w:val="both"/>
        <w:rPr>
          <w:rFonts w:ascii="Arial" w:hAnsi="Arial" w:cs="Arial"/>
          <w:sz w:val="20"/>
          <w:szCs w:val="20"/>
        </w:rPr>
      </w:pPr>
      <w:r w:rsidRPr="001104F9">
        <w:rPr>
          <w:rFonts w:ascii="Arial" w:hAnsi="Arial" w:cs="Arial"/>
          <w:sz w:val="20"/>
          <w:szCs w:val="20"/>
        </w:rPr>
        <w:t>CCS patients are generally at lower risk for cardiovascular events, allowing diagnostic and/or interventional procedures to be postponed in most cases.</w:t>
      </w:r>
    </w:p>
    <w:p w14:paraId="29655C3D" w14:textId="77777777" w:rsidR="00580495" w:rsidRPr="001104F9" w:rsidRDefault="00580495" w:rsidP="001104F9">
      <w:pPr>
        <w:pStyle w:val="NoSpacing"/>
        <w:jc w:val="both"/>
        <w:rPr>
          <w:rFonts w:ascii="Arial" w:hAnsi="Arial" w:cs="Arial"/>
          <w:sz w:val="20"/>
          <w:szCs w:val="20"/>
        </w:rPr>
      </w:pPr>
      <w:r w:rsidRPr="001104F9">
        <w:rPr>
          <w:rFonts w:ascii="Arial" w:hAnsi="Arial" w:cs="Arial"/>
          <w:sz w:val="20"/>
          <w:szCs w:val="20"/>
        </w:rPr>
        <w:t>Depending on the clinical situation, medical therapy should be optimized and/or intensified.</w:t>
      </w:r>
    </w:p>
    <w:p w14:paraId="30904609" w14:textId="77777777" w:rsidR="00580495" w:rsidRDefault="00580495" w:rsidP="001104F9">
      <w:pPr>
        <w:pStyle w:val="NoSpacing"/>
        <w:jc w:val="both"/>
        <w:rPr>
          <w:rFonts w:ascii="Arial" w:hAnsi="Arial" w:cs="Arial"/>
          <w:sz w:val="20"/>
          <w:szCs w:val="20"/>
        </w:rPr>
      </w:pPr>
      <w:r w:rsidRPr="001104F9">
        <w:rPr>
          <w:rFonts w:ascii="Arial" w:hAnsi="Arial" w:cs="Arial"/>
          <w:sz w:val="20"/>
          <w:szCs w:val="20"/>
        </w:rPr>
        <w:t>Remote clinical follow-up should be considered to reassure patients and detect any changes in clinical status that may necessitate hospitalization in high-risk patients.</w:t>
      </w:r>
    </w:p>
    <w:p w14:paraId="29DB91C0" w14:textId="77777777" w:rsidR="001104F9" w:rsidRPr="001104F9" w:rsidRDefault="001104F9" w:rsidP="001104F9">
      <w:pPr>
        <w:pStyle w:val="NoSpacing"/>
        <w:jc w:val="both"/>
        <w:rPr>
          <w:rFonts w:ascii="Arial" w:hAnsi="Arial" w:cs="Arial"/>
          <w:sz w:val="20"/>
          <w:szCs w:val="20"/>
        </w:rPr>
      </w:pPr>
    </w:p>
    <w:p w14:paraId="67733B5A" w14:textId="77777777" w:rsidR="00580495" w:rsidRPr="00F9603E" w:rsidRDefault="001104F9" w:rsidP="00F9603E">
      <w:pPr>
        <w:pStyle w:val="NoSpacing"/>
        <w:rPr>
          <w:rFonts w:ascii="Arial" w:hAnsi="Arial" w:cs="Arial"/>
          <w:b/>
        </w:rPr>
      </w:pPr>
      <w:r w:rsidRPr="00F9603E">
        <w:rPr>
          <w:rFonts w:ascii="Arial" w:hAnsi="Arial" w:cs="Arial"/>
          <w:b/>
        </w:rPr>
        <w:t>MEDICAL THERAPY</w:t>
      </w:r>
    </w:p>
    <w:p w14:paraId="4AB8EC46" w14:textId="77777777" w:rsidR="00580495" w:rsidRPr="001104F9" w:rsidRDefault="00580495" w:rsidP="001104F9">
      <w:pPr>
        <w:pStyle w:val="NoSpacing"/>
        <w:jc w:val="both"/>
        <w:rPr>
          <w:rFonts w:ascii="Arial" w:hAnsi="Arial" w:cs="Arial"/>
          <w:sz w:val="20"/>
        </w:rPr>
      </w:pPr>
      <w:r w:rsidRPr="001104F9">
        <w:rPr>
          <w:rFonts w:ascii="Arial" w:hAnsi="Arial" w:cs="Arial"/>
          <w:sz w:val="20"/>
        </w:rPr>
        <w:t>There were early concerns that NSAIDs could worsen outcomes in COVID-19 patients, but current evidence does not confirm this. NSAIDs may be used with caution in CCS patients, considering their potential effects on renal function and cardiovascular status. Aspirin, on the other hand, has a very limited anti-inflammatory effect at the low dose used in CCS. As a result, CCS patients should not stop taking aspirin for secondary prevention.</w:t>
      </w:r>
    </w:p>
    <w:p w14:paraId="334D0795" w14:textId="77777777" w:rsidR="00580495" w:rsidRDefault="00580495" w:rsidP="001104F9">
      <w:pPr>
        <w:pStyle w:val="NoSpacing"/>
        <w:jc w:val="both"/>
        <w:rPr>
          <w:rFonts w:ascii="Arial" w:hAnsi="Arial" w:cs="Arial"/>
          <w:sz w:val="20"/>
        </w:rPr>
      </w:pPr>
      <w:r w:rsidRPr="001104F9">
        <w:rPr>
          <w:rFonts w:ascii="Arial" w:hAnsi="Arial" w:cs="Arial"/>
          <w:sz w:val="20"/>
        </w:rPr>
        <w:t>In patients admitted with influenza or pneumonia, statin therapy has been associated with a variety of favorable outcomes. COVID-19 patients, on the other hand, have been reported to develop severe rhabdomyolysis or elevated liver enzymes. In these cases, it may be prudent to temporarily discontinue statin therapy.</w:t>
      </w:r>
    </w:p>
    <w:p w14:paraId="2D28A3EA" w14:textId="77777777" w:rsidR="001104F9" w:rsidRDefault="001104F9" w:rsidP="001104F9">
      <w:pPr>
        <w:pStyle w:val="NoSpacing"/>
        <w:jc w:val="both"/>
        <w:rPr>
          <w:rFonts w:ascii="Arial" w:hAnsi="Arial" w:cs="Arial"/>
          <w:sz w:val="20"/>
        </w:rPr>
      </w:pPr>
    </w:p>
    <w:p w14:paraId="0B25181C" w14:textId="77777777" w:rsidR="00580495" w:rsidRPr="00F9603E" w:rsidRDefault="001104F9" w:rsidP="00F9603E">
      <w:pPr>
        <w:pStyle w:val="NoSpacing"/>
        <w:rPr>
          <w:rFonts w:ascii="Arial" w:hAnsi="Arial" w:cs="Arial"/>
          <w:b/>
        </w:rPr>
      </w:pPr>
      <w:r w:rsidRPr="00F9603E">
        <w:rPr>
          <w:rFonts w:ascii="Arial" w:hAnsi="Arial" w:cs="Arial"/>
          <w:b/>
        </w:rPr>
        <w:t>NON-INVASIVE ASSESSMENT</w:t>
      </w:r>
    </w:p>
    <w:p w14:paraId="291AA451" w14:textId="77777777" w:rsidR="00580495" w:rsidRPr="00F9603E" w:rsidRDefault="00580495" w:rsidP="00F9603E">
      <w:pPr>
        <w:pStyle w:val="NoSpacing"/>
        <w:jc w:val="both"/>
        <w:rPr>
          <w:rFonts w:ascii="Arial" w:hAnsi="Arial" w:cs="Arial"/>
          <w:sz w:val="20"/>
        </w:rPr>
      </w:pPr>
      <w:r w:rsidRPr="00F9603E">
        <w:rPr>
          <w:rFonts w:ascii="Arial" w:hAnsi="Arial" w:cs="Arial"/>
          <w:sz w:val="20"/>
        </w:rPr>
        <w:t>Non-invasive testing for CCS patients is tailored to their clinical presentation. In areas with a high rate of SARS-CoV-2 infection, non-invasive testing for asymptomatic CCS patients should be postponed to avoid exposing these patients to an unnecessary risk of infection or overburdening healthcare systems.</w:t>
      </w:r>
    </w:p>
    <w:p w14:paraId="7E1E8F77" w14:textId="77777777" w:rsidR="00580495" w:rsidRDefault="00580495" w:rsidP="00F9603E">
      <w:pPr>
        <w:pStyle w:val="NoSpacing"/>
        <w:jc w:val="both"/>
        <w:rPr>
          <w:rFonts w:ascii="Arial" w:hAnsi="Arial" w:cs="Arial"/>
          <w:sz w:val="20"/>
        </w:rPr>
      </w:pPr>
      <w:r w:rsidRPr="00F9603E">
        <w:rPr>
          <w:rFonts w:ascii="Arial" w:hAnsi="Arial" w:cs="Arial"/>
          <w:sz w:val="20"/>
        </w:rPr>
        <w:t>Functional imaging for the detection of myocardial ischemia, or CCTA, is typically recommended as an initial test to diagnose CAD in symptomatic patients with suspected CAD and a pre-test probability of 5%–15%. CAD screening, even in symptomatic patients, should most likely be postponed in regions experiencing a critical situation and medical systems overburdened by the COVID-19 pandemic. However, depending on local availability and expertise, CTA should be preferred if necessary.</w:t>
      </w:r>
    </w:p>
    <w:p w14:paraId="7572B27A" w14:textId="77777777" w:rsidR="00F9603E" w:rsidRDefault="00F9603E" w:rsidP="00F9603E">
      <w:pPr>
        <w:pStyle w:val="NoSpacing"/>
        <w:jc w:val="both"/>
        <w:rPr>
          <w:rFonts w:ascii="Arial" w:hAnsi="Arial" w:cs="Arial"/>
          <w:sz w:val="20"/>
        </w:rPr>
      </w:pPr>
    </w:p>
    <w:p w14:paraId="4C35E20A" w14:textId="77777777" w:rsidR="00580495" w:rsidRPr="00F9603E" w:rsidRDefault="00F9603E" w:rsidP="00F9603E">
      <w:pPr>
        <w:pStyle w:val="NoSpacing"/>
        <w:rPr>
          <w:rFonts w:ascii="Arial" w:hAnsi="Arial" w:cs="Arial"/>
          <w:b/>
        </w:rPr>
      </w:pPr>
      <w:r w:rsidRPr="00F9603E">
        <w:rPr>
          <w:rFonts w:ascii="Arial" w:hAnsi="Arial" w:cs="Arial"/>
          <w:b/>
        </w:rPr>
        <w:t>INVASIVE ASSESSMENT AND REVASCULARIZATION</w:t>
      </w:r>
    </w:p>
    <w:p w14:paraId="4A2D6CE1" w14:textId="77777777" w:rsidR="006764E7" w:rsidRDefault="006764E7" w:rsidP="00F9603E">
      <w:pPr>
        <w:pStyle w:val="NoSpacing"/>
        <w:jc w:val="both"/>
        <w:rPr>
          <w:rFonts w:ascii="Arial" w:hAnsi="Arial" w:cs="Arial"/>
          <w:sz w:val="20"/>
        </w:rPr>
      </w:pPr>
      <w:r w:rsidRPr="00F9603E">
        <w:rPr>
          <w:rFonts w:ascii="Arial" w:hAnsi="Arial" w:cs="Arial"/>
          <w:sz w:val="20"/>
        </w:rPr>
        <w:t>Without prior non-invasive diagnostic testing, symptomatic patients with a high clinical likelihood of obstructive CAD are generally referred to as ICAs. However, medical treatment should be attempted first, with ICA reserved for clinical instability and ad hoc revascularization only in cases of clinical instability, especially in regions where healthcare systems are heavily overburdened by COVID-19 patients. Most CCS patients can postpone revascularization, either by PCI or by coronary artery bypass graft (CABG). The heart team may consider hybrid revascularization (CABG/PCI) or even full PCI in selected patients based on the patient's clinical condition and local situation.</w:t>
      </w:r>
    </w:p>
    <w:p w14:paraId="4BB6C602" w14:textId="77777777" w:rsidR="00F9603E" w:rsidRPr="00F9603E" w:rsidRDefault="00F9603E" w:rsidP="00F9603E">
      <w:pPr>
        <w:pStyle w:val="NoSpacing"/>
        <w:jc w:val="both"/>
        <w:rPr>
          <w:rFonts w:ascii="Arial" w:hAnsi="Arial" w:cs="Arial"/>
          <w:sz w:val="20"/>
        </w:rPr>
      </w:pPr>
    </w:p>
    <w:p w14:paraId="3DD72580" w14:textId="77777777" w:rsidR="006764E7" w:rsidRPr="00B26863" w:rsidRDefault="00F9603E" w:rsidP="00F9603E">
      <w:pPr>
        <w:pStyle w:val="NoSpacing"/>
        <w:rPr>
          <w:rFonts w:ascii="Arial" w:hAnsi="Arial" w:cs="Arial"/>
          <w:b/>
          <w:sz w:val="20"/>
        </w:rPr>
      </w:pPr>
      <w:r w:rsidRPr="00B26863">
        <w:rPr>
          <w:rFonts w:ascii="Arial" w:hAnsi="Arial" w:cs="Arial"/>
          <w:b/>
          <w:sz w:val="20"/>
        </w:rPr>
        <w:t>6. HEART FAILURE</w:t>
      </w:r>
    </w:p>
    <w:p w14:paraId="01C67320" w14:textId="77777777" w:rsidR="006764E7" w:rsidRPr="00F9603E" w:rsidRDefault="006764E7" w:rsidP="00F9603E">
      <w:pPr>
        <w:pStyle w:val="NoSpacing"/>
        <w:jc w:val="both"/>
        <w:rPr>
          <w:rFonts w:ascii="Arial" w:hAnsi="Arial" w:cs="Arial"/>
          <w:sz w:val="20"/>
          <w:szCs w:val="20"/>
        </w:rPr>
      </w:pPr>
      <w:r w:rsidRPr="00F9603E">
        <w:rPr>
          <w:rFonts w:ascii="Arial" w:hAnsi="Arial" w:cs="Arial"/>
          <w:sz w:val="20"/>
          <w:szCs w:val="20"/>
        </w:rPr>
        <w:t>Patients with cardiovascular comorbidities, specifically heart failure, are at a higher risk of COVID-19, which has a more severe presentation and complications. Patients with chronic heart failure is associated with an increased risk of hospitalization, the need for mechanical ventilation, and mortality. Conversely, patients who develop acute heart failure as a consequence of the SARS-CoV2 infection.</w:t>
      </w:r>
    </w:p>
    <w:p w14:paraId="353B3B03" w14:textId="77777777" w:rsidR="006764E7" w:rsidRPr="00F9603E" w:rsidRDefault="006764E7" w:rsidP="00F9603E">
      <w:pPr>
        <w:pStyle w:val="NoSpacing"/>
        <w:jc w:val="both"/>
        <w:rPr>
          <w:rFonts w:ascii="Arial" w:hAnsi="Arial" w:cs="Arial"/>
          <w:sz w:val="20"/>
          <w:szCs w:val="20"/>
        </w:rPr>
      </w:pPr>
      <w:r w:rsidRPr="00F9603E">
        <w:rPr>
          <w:rFonts w:ascii="Arial" w:hAnsi="Arial" w:cs="Arial"/>
          <w:sz w:val="20"/>
          <w:szCs w:val="20"/>
        </w:rPr>
        <w:t>Acute heart failure, particularly in severe cases, may complicate the clinical course of COVID-19. Acute myocardial injury due to ischemia, infarction, or inflammation (myocarditis), acute respiratory distress syndrome (ARDS), acute kidney injury and hypervolemia, stress-induced cardiomyopathy, and tachyarrhythmia may be the underlying mechanisms of acute heart failure in COVID-19. Acute myocarditis with direct evidence of SARS-CoV-2, inflammatory infiltrate, and myocardial necrosis, on the other hand, is uncommon. COVID-19 pneumonia may worsen hemodynamic status as a result of hypoxemia, dehydration, and hypoperfusion.</w:t>
      </w:r>
    </w:p>
    <w:p w14:paraId="3C53B843" w14:textId="77777777" w:rsidR="006764E7" w:rsidRDefault="006764E7" w:rsidP="00F9603E">
      <w:pPr>
        <w:pStyle w:val="NoSpacing"/>
        <w:jc w:val="both"/>
        <w:rPr>
          <w:rFonts w:ascii="Arial" w:hAnsi="Arial" w:cs="Arial"/>
          <w:sz w:val="20"/>
          <w:szCs w:val="20"/>
        </w:rPr>
      </w:pPr>
      <w:r w:rsidRPr="00F9603E">
        <w:rPr>
          <w:rFonts w:ascii="Arial" w:hAnsi="Arial" w:cs="Arial"/>
          <w:sz w:val="20"/>
          <w:szCs w:val="20"/>
        </w:rPr>
        <w:t>The treatment of acute heart failure in patients with SARS-CoV-2 infection should be the same as in those who do not have COVID-19, and special attention should be paid to the early detection and treatment of complications, such as the need for non-invasive or invasive ventilation, bleeding events, and cardiac arrhythmias.</w:t>
      </w:r>
    </w:p>
    <w:p w14:paraId="72D0A878" w14:textId="77777777" w:rsidR="00F9603E" w:rsidRPr="00F9603E" w:rsidRDefault="00F9603E" w:rsidP="00F9603E">
      <w:pPr>
        <w:pStyle w:val="NoSpacing"/>
        <w:jc w:val="both"/>
        <w:rPr>
          <w:rFonts w:ascii="Arial" w:hAnsi="Arial" w:cs="Arial"/>
          <w:sz w:val="20"/>
          <w:szCs w:val="20"/>
        </w:rPr>
      </w:pPr>
    </w:p>
    <w:p w14:paraId="49DC0465" w14:textId="77777777" w:rsidR="006764E7" w:rsidRPr="00F9603E" w:rsidRDefault="00F9603E" w:rsidP="00F9603E">
      <w:pPr>
        <w:pStyle w:val="NoSpacing"/>
        <w:rPr>
          <w:rFonts w:ascii="Arial" w:hAnsi="Arial" w:cs="Arial"/>
          <w:b/>
        </w:rPr>
      </w:pPr>
      <w:r w:rsidRPr="00F9603E">
        <w:rPr>
          <w:rFonts w:ascii="Arial" w:hAnsi="Arial" w:cs="Arial"/>
          <w:b/>
        </w:rPr>
        <w:lastRenderedPageBreak/>
        <w:t>CHRONIC HEART FAILURE TREATMENT</w:t>
      </w:r>
    </w:p>
    <w:p w14:paraId="18A179D3" w14:textId="77777777" w:rsidR="006764E7" w:rsidRPr="00F9603E" w:rsidRDefault="006764E7" w:rsidP="00F9603E">
      <w:pPr>
        <w:pStyle w:val="NoSpacing"/>
        <w:jc w:val="both"/>
        <w:rPr>
          <w:rFonts w:ascii="Arial" w:hAnsi="Arial" w:cs="Arial"/>
          <w:sz w:val="20"/>
          <w:szCs w:val="20"/>
        </w:rPr>
      </w:pPr>
      <w:r w:rsidRPr="00F9603E">
        <w:rPr>
          <w:rFonts w:ascii="Arial" w:hAnsi="Arial" w:cs="Arial"/>
          <w:sz w:val="20"/>
          <w:szCs w:val="20"/>
        </w:rPr>
        <w:t>SARS-CoV-2 involves angiotensin-converting enzyme-2 (ACE2) receptors for cell entry, and some data suggest that ACEIs and ARBs may up-regulate ACE2, potentially increasing susceptibility to the infection.</w:t>
      </w:r>
    </w:p>
    <w:p w14:paraId="05CB530C" w14:textId="77777777" w:rsidR="006764E7" w:rsidRPr="00F9603E" w:rsidRDefault="006764E7" w:rsidP="00F9603E">
      <w:pPr>
        <w:pStyle w:val="NoSpacing"/>
        <w:jc w:val="both"/>
        <w:rPr>
          <w:rFonts w:ascii="Arial" w:hAnsi="Arial" w:cs="Arial"/>
          <w:sz w:val="20"/>
          <w:szCs w:val="20"/>
        </w:rPr>
      </w:pPr>
      <w:r w:rsidRPr="00F9603E">
        <w:rPr>
          <w:rFonts w:ascii="Arial" w:hAnsi="Arial" w:cs="Arial"/>
          <w:sz w:val="20"/>
          <w:szCs w:val="20"/>
        </w:rPr>
        <w:t>Patients with left ventricular assist devices (LVADs) are more susceptible to infection due to the nature of the device, and strict preventive measures should be taken to avoid it.</w:t>
      </w:r>
    </w:p>
    <w:p w14:paraId="643D9A18" w14:textId="77777777" w:rsidR="006764E7" w:rsidRDefault="006764E7" w:rsidP="00F9603E">
      <w:pPr>
        <w:pStyle w:val="NoSpacing"/>
        <w:jc w:val="both"/>
        <w:rPr>
          <w:rFonts w:ascii="Arial" w:hAnsi="Arial" w:cs="Arial"/>
          <w:sz w:val="20"/>
          <w:szCs w:val="20"/>
        </w:rPr>
      </w:pPr>
      <w:r w:rsidRPr="00F9603E">
        <w:rPr>
          <w:rFonts w:ascii="Arial" w:hAnsi="Arial" w:cs="Arial"/>
          <w:sz w:val="20"/>
          <w:szCs w:val="20"/>
        </w:rPr>
        <w:t>Due to the state of iatrogenic immunosuppression, heart transplant recipients may be at a higher risk of severe COVID-19 disease or prolonged viral shedding; therefore, strict adherence to preventive measures is recommended to avoid infection.</w:t>
      </w:r>
    </w:p>
    <w:p w14:paraId="2A4D8767" w14:textId="77777777" w:rsidR="00F9603E" w:rsidRPr="00F9603E" w:rsidRDefault="00F9603E" w:rsidP="00F9603E">
      <w:pPr>
        <w:pStyle w:val="NoSpacing"/>
        <w:jc w:val="both"/>
        <w:rPr>
          <w:rFonts w:ascii="Arial" w:hAnsi="Arial" w:cs="Arial"/>
          <w:sz w:val="20"/>
          <w:szCs w:val="20"/>
        </w:rPr>
      </w:pPr>
    </w:p>
    <w:p w14:paraId="7B50377B" w14:textId="77777777" w:rsidR="006764E7" w:rsidRPr="00B26863" w:rsidRDefault="00F9603E" w:rsidP="00F9603E">
      <w:pPr>
        <w:pStyle w:val="NoSpacing"/>
        <w:rPr>
          <w:rFonts w:ascii="Arial" w:hAnsi="Arial" w:cs="Arial"/>
          <w:b/>
          <w:sz w:val="20"/>
        </w:rPr>
      </w:pPr>
      <w:r w:rsidRPr="00B26863">
        <w:rPr>
          <w:rFonts w:ascii="Arial" w:hAnsi="Arial" w:cs="Arial"/>
          <w:b/>
          <w:sz w:val="20"/>
        </w:rPr>
        <w:t>8. HYPERTENSION</w:t>
      </w:r>
    </w:p>
    <w:p w14:paraId="4F6D6B4F" w14:textId="77777777" w:rsidR="00580495" w:rsidRDefault="006764E7" w:rsidP="00F9603E">
      <w:pPr>
        <w:pStyle w:val="NoSpacing"/>
        <w:jc w:val="both"/>
        <w:rPr>
          <w:rFonts w:ascii="Arial" w:hAnsi="Arial" w:cs="Arial"/>
          <w:sz w:val="20"/>
        </w:rPr>
      </w:pPr>
      <w:r w:rsidRPr="00F9603E">
        <w:rPr>
          <w:rFonts w:ascii="Arial" w:hAnsi="Arial" w:cs="Arial"/>
          <w:sz w:val="20"/>
        </w:rPr>
        <w:t>The lack of adjustment for age and high-risk comorbidities such as obesity and diabetes, which commonly co-segregate with hypertension, confounded early reports of an association between hypertension and the risk of severe complications or death from COVID-19. There is no current evidence to suggest that hypertension is an independent risk factor for severe COVID-19 complications or death. Despite early speculation that using ACEIs or ARBs increased the risk of COVID-19, evidence from a series of observational cohort studies published in major journals shows that using ACEIs or ARBs does not increase the risk of COVID-19, or the risk of developing severe complications or death from COVID-19, compared to patients taking other antihypertensive drugs. Currently, the ESC-European Society of Hypertension (ESH) Guidelines for managing hypertension remain unchanged among patients with SARS-COV2 and are the mainstay of therapy. A new study covering more than 20 million people and 10,000 COVID-19 deaths found no independent link between hypertension and the probability of dying from COVID-19.</w:t>
      </w:r>
    </w:p>
    <w:p w14:paraId="33BA98D5" w14:textId="77777777" w:rsidR="00F9603E" w:rsidRPr="00F9603E" w:rsidRDefault="00F9603E" w:rsidP="00F9603E">
      <w:pPr>
        <w:pStyle w:val="NoSpacing"/>
        <w:jc w:val="both"/>
        <w:rPr>
          <w:rFonts w:ascii="Arial" w:hAnsi="Arial" w:cs="Arial"/>
          <w:sz w:val="20"/>
        </w:rPr>
      </w:pPr>
    </w:p>
    <w:p w14:paraId="1885E2C5" w14:textId="77777777" w:rsidR="006764E7" w:rsidRPr="00F9603E" w:rsidRDefault="00F9603E" w:rsidP="00F9603E">
      <w:pPr>
        <w:pStyle w:val="NoSpacing"/>
        <w:rPr>
          <w:rFonts w:ascii="Arial" w:hAnsi="Arial" w:cs="Arial"/>
          <w:b/>
        </w:rPr>
      </w:pPr>
      <w:r w:rsidRPr="00F9603E">
        <w:rPr>
          <w:rFonts w:ascii="Arial" w:hAnsi="Arial" w:cs="Arial"/>
          <w:b/>
        </w:rPr>
        <w:t>ANTIHYPERTENSIVE TREATMENT WITH ANGIOTENSIN-CONVERTING ENZYME INHIBITORS OR ANGIOTENSIN RECEPTOR BLOCKERS</w:t>
      </w:r>
    </w:p>
    <w:p w14:paraId="63596CAA" w14:textId="77777777" w:rsidR="006764E7" w:rsidRDefault="006764E7" w:rsidP="00F9603E">
      <w:pPr>
        <w:pStyle w:val="NoSpacing"/>
        <w:jc w:val="both"/>
        <w:rPr>
          <w:rFonts w:ascii="Arial" w:hAnsi="Arial" w:cs="Arial"/>
          <w:sz w:val="20"/>
        </w:rPr>
      </w:pPr>
      <w:r w:rsidRPr="00F9603E">
        <w:rPr>
          <w:rFonts w:ascii="Arial" w:hAnsi="Arial" w:cs="Arial"/>
          <w:sz w:val="20"/>
        </w:rPr>
        <w:t>In the recent ESC–ESH Guidelines for the management of arterial hypertension, renin–angiotensin system (RAS) inhibition with ACEIs or ARBs is the foundation of antihypertensive therapy. For most individuals, a combination of an ACEI or ARB plus a calcium channel blocker (CCB) or thiazide/thiazide-like diuretic is the preferred treatment for hypertension.</w:t>
      </w:r>
    </w:p>
    <w:p w14:paraId="78AAB26F" w14:textId="77777777" w:rsidR="00F9603E" w:rsidRPr="00F9603E" w:rsidRDefault="00F9603E" w:rsidP="00F9603E">
      <w:pPr>
        <w:pStyle w:val="NoSpacing"/>
        <w:jc w:val="both"/>
        <w:rPr>
          <w:rFonts w:ascii="Arial" w:hAnsi="Arial" w:cs="Arial"/>
        </w:rPr>
      </w:pPr>
    </w:p>
    <w:p w14:paraId="478C561E" w14:textId="77777777" w:rsidR="006764E7" w:rsidRPr="00F9603E" w:rsidRDefault="00F9603E" w:rsidP="00F9603E">
      <w:pPr>
        <w:pStyle w:val="NoSpacing"/>
        <w:rPr>
          <w:rFonts w:ascii="Arial" w:hAnsi="Arial" w:cs="Arial"/>
          <w:b/>
        </w:rPr>
      </w:pPr>
      <w:r w:rsidRPr="00F9603E">
        <w:rPr>
          <w:rFonts w:ascii="Arial" w:hAnsi="Arial" w:cs="Arial"/>
          <w:b/>
        </w:rPr>
        <w:t>MANAGEMENT OF HYPERTENSION IN A PATIENT ISOLATED AT HOME</w:t>
      </w:r>
    </w:p>
    <w:p w14:paraId="6DD0983C" w14:textId="77777777" w:rsidR="006764E7" w:rsidRDefault="006764E7" w:rsidP="00515B44">
      <w:pPr>
        <w:pStyle w:val="NoSpacing"/>
        <w:jc w:val="both"/>
        <w:rPr>
          <w:rFonts w:ascii="Arial" w:hAnsi="Arial" w:cs="Arial"/>
          <w:sz w:val="20"/>
        </w:rPr>
      </w:pPr>
      <w:r w:rsidRPr="00515B44">
        <w:rPr>
          <w:rFonts w:ascii="Arial" w:hAnsi="Arial" w:cs="Arial"/>
          <w:sz w:val="20"/>
        </w:rPr>
        <w:t>Most hypertensive patients only need to attend the clinic once or twice a year to keep their blood pressure under control. To limit the risk of COVID-19, many patients with treated hypertension will be self-isolated and unable to attend their routine clinician evaluation. Patients should measure their blood pressure as regularly as they normally would, using a validated home BP monitor whenever possible.</w:t>
      </w:r>
    </w:p>
    <w:p w14:paraId="766D1FBE" w14:textId="77777777" w:rsidR="00515B44" w:rsidRPr="00515B44" w:rsidRDefault="00515B44" w:rsidP="00515B44">
      <w:pPr>
        <w:pStyle w:val="NoSpacing"/>
        <w:rPr>
          <w:rFonts w:ascii="Arial" w:hAnsi="Arial" w:cs="Arial"/>
          <w:sz w:val="20"/>
        </w:rPr>
      </w:pPr>
    </w:p>
    <w:p w14:paraId="5367B63B" w14:textId="77777777" w:rsidR="006764E7" w:rsidRPr="00515B44" w:rsidRDefault="00515B44" w:rsidP="00515B44">
      <w:pPr>
        <w:pStyle w:val="NoSpacing"/>
        <w:rPr>
          <w:rFonts w:ascii="Arial" w:hAnsi="Arial" w:cs="Arial"/>
          <w:b/>
        </w:rPr>
      </w:pPr>
      <w:r w:rsidRPr="00515B44">
        <w:rPr>
          <w:rFonts w:ascii="Arial" w:hAnsi="Arial" w:cs="Arial"/>
          <w:b/>
        </w:rPr>
        <w:t>HYPERTENSION AND THE HOSPITALIZED PATIENT WITH COVID-19</w:t>
      </w:r>
    </w:p>
    <w:p w14:paraId="4CC6D92A" w14:textId="77777777" w:rsidR="006764E7" w:rsidRPr="00515B44" w:rsidRDefault="006764E7" w:rsidP="00515B44">
      <w:pPr>
        <w:pStyle w:val="NoSpacing"/>
        <w:jc w:val="both"/>
        <w:rPr>
          <w:rFonts w:ascii="Arial" w:hAnsi="Arial" w:cs="Arial"/>
          <w:sz w:val="20"/>
        </w:rPr>
      </w:pPr>
      <w:r w:rsidRPr="00515B44">
        <w:rPr>
          <w:rFonts w:ascii="Arial" w:hAnsi="Arial" w:cs="Arial"/>
          <w:sz w:val="20"/>
        </w:rPr>
        <w:t>The majority of people who are admitted to the hospital will have a more serious infection and will require breathing support. They are more likely to be older and to have concomitant conditions like hypertension, diabetes, and chronic renal disease. Patients with serious illnesses are more likely to have multi-organ problems.</w:t>
      </w:r>
    </w:p>
    <w:p w14:paraId="0385F109" w14:textId="77777777" w:rsidR="001851CC" w:rsidRDefault="001851CC" w:rsidP="00515B44">
      <w:pPr>
        <w:pStyle w:val="NoSpacing"/>
        <w:jc w:val="both"/>
        <w:rPr>
          <w:rFonts w:ascii="Arial" w:hAnsi="Arial" w:cs="Arial"/>
          <w:sz w:val="20"/>
        </w:rPr>
      </w:pPr>
      <w:r w:rsidRPr="00515B44">
        <w:rPr>
          <w:rFonts w:ascii="Arial" w:hAnsi="Arial" w:cs="Arial"/>
          <w:sz w:val="20"/>
        </w:rPr>
        <w:t>Patients with hypertension are more likely to have LV hypertrophy or cardiac disease and are more likely to suffer arrhythmias, especially when hypoxic. Low plasma potassium levels, which appear to be more common in hospitalized COVID-19-infected individuals with more severe disease, should be monitored since arrhythmias may be aggravated. This is more likely to be due to increased potassium loss in the urine, which could be aggravated by diuretic medication.</w:t>
      </w:r>
    </w:p>
    <w:p w14:paraId="447C9267" w14:textId="77777777" w:rsidR="00515B44" w:rsidRPr="00515B44" w:rsidRDefault="00515B44" w:rsidP="00515B44">
      <w:pPr>
        <w:pStyle w:val="NoSpacing"/>
        <w:jc w:val="both"/>
        <w:rPr>
          <w:rFonts w:ascii="Arial" w:hAnsi="Arial" w:cs="Arial"/>
          <w:sz w:val="20"/>
        </w:rPr>
      </w:pPr>
    </w:p>
    <w:p w14:paraId="7A0952BB" w14:textId="77777777" w:rsidR="001851CC" w:rsidRPr="00B26863" w:rsidRDefault="009B1216" w:rsidP="009B1216">
      <w:pPr>
        <w:pStyle w:val="NoSpacing"/>
        <w:rPr>
          <w:rFonts w:ascii="Arial" w:hAnsi="Arial" w:cs="Arial"/>
          <w:b/>
          <w:sz w:val="20"/>
          <w:szCs w:val="20"/>
        </w:rPr>
      </w:pPr>
      <w:r w:rsidRPr="00B26863">
        <w:rPr>
          <w:rFonts w:ascii="Arial" w:hAnsi="Arial" w:cs="Arial"/>
          <w:b/>
          <w:sz w:val="20"/>
          <w:szCs w:val="20"/>
        </w:rPr>
        <w:t>9. ACUTE PULMONARY EMBOLISM</w:t>
      </w:r>
    </w:p>
    <w:p w14:paraId="52B7BD8E" w14:textId="77777777" w:rsidR="001851CC" w:rsidRPr="009B1216" w:rsidRDefault="001851CC" w:rsidP="009B1216">
      <w:pPr>
        <w:pStyle w:val="NoSpacing"/>
        <w:jc w:val="both"/>
        <w:rPr>
          <w:rFonts w:ascii="Arial" w:hAnsi="Arial" w:cs="Arial"/>
          <w:sz w:val="20"/>
          <w:szCs w:val="20"/>
        </w:rPr>
      </w:pPr>
      <w:r w:rsidRPr="009B1216">
        <w:rPr>
          <w:rFonts w:ascii="Arial" w:hAnsi="Arial" w:cs="Arial"/>
          <w:sz w:val="20"/>
          <w:szCs w:val="20"/>
        </w:rPr>
        <w:t xml:space="preserve">COVID-19 patients frequently experience respiratory symptoms, chest discomfort, and hemoptysis. These symptoms are quite similar to the signs of acute pulmonary embolism, leading to an </w:t>
      </w:r>
      <w:r w:rsidR="009B1216" w:rsidRPr="009B1216">
        <w:rPr>
          <w:rFonts w:ascii="Arial" w:hAnsi="Arial" w:cs="Arial"/>
          <w:sz w:val="20"/>
          <w:szCs w:val="20"/>
        </w:rPr>
        <w:t>underdiagnoses</w:t>
      </w:r>
      <w:r w:rsidRPr="009B1216">
        <w:rPr>
          <w:rFonts w:ascii="Arial" w:hAnsi="Arial" w:cs="Arial"/>
          <w:sz w:val="20"/>
          <w:szCs w:val="20"/>
        </w:rPr>
        <w:t xml:space="preserve"> of this severe condition. There is unexpected respiratory deterioration, new or unexplained tachycardia, and a </w:t>
      </w:r>
      <w:proofErr w:type="gramStart"/>
      <w:r w:rsidRPr="009B1216">
        <w:rPr>
          <w:rFonts w:ascii="Arial" w:hAnsi="Arial" w:cs="Arial"/>
          <w:sz w:val="20"/>
          <w:szCs w:val="20"/>
        </w:rPr>
        <w:t>drop in</w:t>
      </w:r>
      <w:proofErr w:type="gramEnd"/>
      <w:r w:rsidRPr="009B1216">
        <w:rPr>
          <w:rFonts w:ascii="Arial" w:hAnsi="Arial" w:cs="Arial"/>
          <w:sz w:val="20"/>
          <w:szCs w:val="20"/>
        </w:rPr>
        <w:t xml:space="preserve"> blood pressure not due to tachyarrhythmia. Hypovolemia, sepsis (new-onset), ECG alterations suggestive of pulmonary, and indications of deep vein thrombosis in the extremities should all raise suspicion of pulmonary embolism. It is advised that diagnostic testing for pulmonary embolism be ordered when clinical suspicion exists, even with a low threshold of suspicion. In patients with COVID-19, the specificity and sensitivity of D-dimer testing may be poorer than in other clinical scenarios.</w:t>
      </w:r>
    </w:p>
    <w:p w14:paraId="6DEFC088" w14:textId="77777777" w:rsidR="001851CC" w:rsidRDefault="001851CC" w:rsidP="009B1216">
      <w:pPr>
        <w:pStyle w:val="NoSpacing"/>
        <w:jc w:val="both"/>
        <w:rPr>
          <w:rFonts w:ascii="Arial" w:hAnsi="Arial" w:cs="Arial"/>
          <w:sz w:val="20"/>
          <w:szCs w:val="20"/>
        </w:rPr>
      </w:pPr>
      <w:r w:rsidRPr="009B1216">
        <w:rPr>
          <w:rFonts w:ascii="Arial" w:hAnsi="Arial" w:cs="Arial"/>
          <w:sz w:val="20"/>
          <w:szCs w:val="20"/>
        </w:rPr>
        <w:lastRenderedPageBreak/>
        <w:t>According to the current ESC guidelines, risk stratification should be used to guide treatment when acute pulmonary embolism is established. Reperfusion therapy should be initiated immediately for patients in a state of shock. Hemodynamically stable individuals should be treated with unfractionated heparin (UFH), LMWH, or a non-vitamin K antagonist oral anticoagulant. That depends on the practicality of oral medication, renal function, and other variables (NOAC). When administering in-hospital anticoagulant drugs and regimens, the danger of fast cardiorespiratory or renal deterioration should be recognized (parenteral vs. oral). Acute renal deterioration or failure makes it impossible to continue taking NOACs at the same dose and should be constantly monitored. Vitamin K antagonists should only be explored in unique clinical conditions, such as the existence of mechanical prosthetic valves or the antiphospholipid syndrome. And due to the necessity for anticoagulation monitoring, which may contribute to infection transmission.</w:t>
      </w:r>
    </w:p>
    <w:p w14:paraId="21BA1A58" w14:textId="77777777" w:rsidR="009B1216" w:rsidRPr="009B1216" w:rsidRDefault="009B1216" w:rsidP="009B1216">
      <w:pPr>
        <w:pStyle w:val="NoSpacing"/>
        <w:rPr>
          <w:rFonts w:ascii="Arial" w:hAnsi="Arial" w:cs="Arial"/>
          <w:sz w:val="20"/>
          <w:szCs w:val="20"/>
        </w:rPr>
      </w:pPr>
    </w:p>
    <w:p w14:paraId="7B915C09" w14:textId="77777777" w:rsidR="00E86A5D" w:rsidRPr="009B1216" w:rsidRDefault="009B1216" w:rsidP="009B1216">
      <w:pPr>
        <w:pStyle w:val="NoSpacing"/>
        <w:rPr>
          <w:rFonts w:ascii="Arial" w:hAnsi="Arial" w:cs="Arial"/>
          <w:b/>
          <w:sz w:val="20"/>
          <w:szCs w:val="20"/>
        </w:rPr>
      </w:pPr>
      <w:r w:rsidRPr="00B26863">
        <w:rPr>
          <w:rFonts w:ascii="Arial" w:hAnsi="Arial" w:cs="Arial"/>
          <w:b/>
          <w:sz w:val="20"/>
          <w:szCs w:val="20"/>
        </w:rPr>
        <w:t>10. ARRHYTHMIAS</w:t>
      </w:r>
    </w:p>
    <w:p w14:paraId="1284BCB5" w14:textId="77777777" w:rsidR="00E86A5D" w:rsidRPr="009B1216" w:rsidRDefault="00E86A5D" w:rsidP="009B1216">
      <w:pPr>
        <w:pStyle w:val="NoSpacing"/>
        <w:jc w:val="both"/>
        <w:rPr>
          <w:rFonts w:ascii="Arial" w:hAnsi="Arial" w:cs="Arial"/>
          <w:sz w:val="20"/>
          <w:szCs w:val="20"/>
        </w:rPr>
      </w:pPr>
      <w:r w:rsidRPr="009B1216">
        <w:rPr>
          <w:rFonts w:ascii="Arial" w:hAnsi="Arial" w:cs="Arial"/>
          <w:sz w:val="20"/>
          <w:szCs w:val="20"/>
        </w:rPr>
        <w:t>Drug–drug interactions, including antivirals, antiarrhythmics, and anticoagulants, should be examined before co-administration in arrhythmias.</w:t>
      </w:r>
    </w:p>
    <w:p w14:paraId="094833EA" w14:textId="77777777" w:rsidR="00E86A5D" w:rsidRPr="009B1216" w:rsidRDefault="00E86A5D" w:rsidP="009B1216">
      <w:pPr>
        <w:pStyle w:val="NoSpacing"/>
        <w:jc w:val="both"/>
        <w:rPr>
          <w:rFonts w:ascii="Arial" w:hAnsi="Arial" w:cs="Arial"/>
          <w:sz w:val="20"/>
          <w:szCs w:val="20"/>
        </w:rPr>
      </w:pPr>
      <w:r w:rsidRPr="009B1216">
        <w:rPr>
          <w:rFonts w:ascii="Arial" w:hAnsi="Arial" w:cs="Arial"/>
          <w:sz w:val="20"/>
          <w:szCs w:val="20"/>
        </w:rPr>
        <w:t>Intravenous amiodarone is the antiarrhythmic choice of drug in patients with hemodynamic instability, which is due to recurrent ventricular tachycardia (VT), ventricular fibrillation (VF), or AF/AFL.</w:t>
      </w:r>
    </w:p>
    <w:p w14:paraId="31FC486A" w14:textId="77777777" w:rsidR="00E86A5D" w:rsidRDefault="00E86A5D" w:rsidP="009B1216">
      <w:pPr>
        <w:pStyle w:val="NoSpacing"/>
        <w:jc w:val="both"/>
        <w:rPr>
          <w:rFonts w:ascii="Arial" w:hAnsi="Arial" w:cs="Arial"/>
          <w:sz w:val="20"/>
          <w:szCs w:val="20"/>
        </w:rPr>
      </w:pPr>
      <w:r w:rsidRPr="009B1216">
        <w:rPr>
          <w:rFonts w:ascii="Arial" w:hAnsi="Arial" w:cs="Arial"/>
          <w:sz w:val="20"/>
          <w:szCs w:val="20"/>
        </w:rPr>
        <w:t xml:space="preserve">Withdrawing all QT-prolonging drugs, targeting K+ 4.5 </w:t>
      </w:r>
      <w:proofErr w:type="spellStart"/>
      <w:r w:rsidRPr="009B1216">
        <w:rPr>
          <w:rFonts w:ascii="Arial" w:hAnsi="Arial" w:cs="Arial"/>
          <w:sz w:val="20"/>
          <w:szCs w:val="20"/>
        </w:rPr>
        <w:t>mEq</w:t>
      </w:r>
      <w:proofErr w:type="spellEnd"/>
      <w:r w:rsidRPr="009B1216">
        <w:rPr>
          <w:rFonts w:ascii="Arial" w:hAnsi="Arial" w:cs="Arial"/>
          <w:sz w:val="20"/>
          <w:szCs w:val="20"/>
        </w:rPr>
        <w:t xml:space="preserve">/L, IV magnesium supplementation, and increasing heart rate are the mainstays of </w:t>
      </w:r>
      <w:proofErr w:type="spellStart"/>
      <w:r w:rsidRPr="009B1216">
        <w:rPr>
          <w:rFonts w:ascii="Arial" w:hAnsi="Arial" w:cs="Arial"/>
          <w:sz w:val="20"/>
          <w:szCs w:val="20"/>
        </w:rPr>
        <w:t>TdP</w:t>
      </w:r>
      <w:proofErr w:type="spellEnd"/>
      <w:r w:rsidRPr="009B1216">
        <w:rPr>
          <w:rFonts w:ascii="Arial" w:hAnsi="Arial" w:cs="Arial"/>
          <w:sz w:val="20"/>
          <w:szCs w:val="20"/>
        </w:rPr>
        <w:t xml:space="preserve"> VT treatment. IV lidocaine or oral mexiletine may be considered in refractory cases based on limited clinical data.</w:t>
      </w:r>
    </w:p>
    <w:p w14:paraId="3672CB06" w14:textId="77777777" w:rsidR="009B1216" w:rsidRPr="009B1216" w:rsidRDefault="009B1216" w:rsidP="009B1216">
      <w:pPr>
        <w:pStyle w:val="NoSpacing"/>
        <w:rPr>
          <w:rFonts w:ascii="Arial" w:hAnsi="Arial" w:cs="Arial"/>
          <w:sz w:val="20"/>
          <w:szCs w:val="20"/>
        </w:rPr>
      </w:pPr>
    </w:p>
    <w:p w14:paraId="6CE367B7" w14:textId="77777777" w:rsidR="00BA5D55" w:rsidRDefault="00E86A5D" w:rsidP="009B1216">
      <w:pPr>
        <w:rPr>
          <w:rFonts w:ascii="Arial" w:hAnsi="Arial" w:cs="Arial"/>
          <w:b/>
        </w:rPr>
      </w:pPr>
      <w:r w:rsidRPr="009B1216">
        <w:rPr>
          <w:rFonts w:ascii="Arial" w:hAnsi="Arial" w:cs="Arial"/>
          <w:b/>
        </w:rPr>
        <w:t>10.1. Tachyarrhythmias</w:t>
      </w:r>
      <w:r w:rsidRPr="009B1216">
        <w:rPr>
          <w:rFonts w:ascii="Arial" w:hAnsi="Arial" w:cs="Arial"/>
          <w:b/>
        </w:rPr>
        <w:br/>
      </w:r>
    </w:p>
    <w:p w14:paraId="6B0EBCB5" w14:textId="77777777" w:rsidR="00BA5D55" w:rsidRDefault="00BA5D55" w:rsidP="009B1216">
      <w:pPr>
        <w:rPr>
          <w:rFonts w:ascii="Arial" w:hAnsi="Arial" w:cs="Arial"/>
          <w:b/>
        </w:rPr>
      </w:pPr>
    </w:p>
    <w:tbl>
      <w:tblPr>
        <w:tblStyle w:val="TableGrid"/>
        <w:tblpPr w:leftFromText="180" w:rightFromText="180" w:vertAnchor="page" w:horzAnchor="margin" w:tblpXSpec="center" w:tblpY="976"/>
        <w:tblW w:w="9839" w:type="dxa"/>
        <w:tblLook w:val="04A0" w:firstRow="1" w:lastRow="0" w:firstColumn="1" w:lastColumn="0" w:noHBand="0" w:noVBand="1"/>
      </w:tblPr>
      <w:tblGrid>
        <w:gridCol w:w="1904"/>
        <w:gridCol w:w="7935"/>
      </w:tblGrid>
      <w:tr w:rsidR="00BA5D55" w:rsidRPr="00203816" w14:paraId="228F3746" w14:textId="77777777" w:rsidTr="00074FD1">
        <w:trPr>
          <w:trHeight w:val="1023"/>
        </w:trPr>
        <w:tc>
          <w:tcPr>
            <w:tcW w:w="0" w:type="auto"/>
            <w:hideMark/>
          </w:tcPr>
          <w:p w14:paraId="2F6A54E1"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lastRenderedPageBreak/>
              <w:t>Supraventricular tachycardia</w:t>
            </w:r>
          </w:p>
        </w:tc>
        <w:tc>
          <w:tcPr>
            <w:tcW w:w="0" w:type="auto"/>
            <w:hideMark/>
          </w:tcPr>
          <w:p w14:paraId="1D470F96"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Although intravenous adenosine appears to be safe for acute termination, more evidence is needed.</w:t>
            </w:r>
          </w:p>
          <w:p w14:paraId="4A2DAAC9"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Beta blockers (or CCBs if beta blockers are contraindicated) maintenance medication should be started with a low threshold. Antiviral drug interactions should be assessed, as should the prevention of bradycardia to avoid severe QT prolongation.</w:t>
            </w:r>
          </w:p>
          <w:p w14:paraId="54FDAAD3"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The need for catheter ablation should be reevaluated when the hospital resources are available.</w:t>
            </w:r>
          </w:p>
        </w:tc>
      </w:tr>
      <w:tr w:rsidR="00BA5D55" w:rsidRPr="00203816" w14:paraId="629C6F51" w14:textId="77777777" w:rsidTr="00074FD1">
        <w:trPr>
          <w:trHeight w:val="3097"/>
        </w:trPr>
        <w:tc>
          <w:tcPr>
            <w:tcW w:w="0" w:type="auto"/>
            <w:hideMark/>
          </w:tcPr>
          <w:p w14:paraId="6B482B01"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Atrial fibrillation and flutter</w:t>
            </w:r>
          </w:p>
        </w:tc>
        <w:tc>
          <w:tcPr>
            <w:tcW w:w="0" w:type="auto"/>
            <w:hideMark/>
          </w:tcPr>
          <w:p w14:paraId="4AA6B681"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AF/AFL occurs in 15–20% of COVID-19 patients admitted to the hospital. New onset AF affects approximately 10% of individuals, accounting for up to 60% of COVID-19 patients with AF.</w:t>
            </w:r>
          </w:p>
          <w:p w14:paraId="78B4577D"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In critically ill patients, the incidence of AF is higher, reaching up to 40%.</w:t>
            </w:r>
          </w:p>
          <w:p w14:paraId="398D5471"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IV amiodarone is the antiarrhythmic medicine of choice in critically sick patients with hemodynamic instability due to new onset AF/AFL for rate and rhythm control.</w:t>
            </w:r>
          </w:p>
          <w:p w14:paraId="7DED3A9B"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It should not be taken with hydroxychloroquine and/or azithromycin.</w:t>
            </w:r>
          </w:p>
          <w:p w14:paraId="10EE380F"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Amiodarone is being studied as a possible antiviral medication in the early stages of the disease because it may interfere with cellular SARS-CoV-2 entrance and amplification.</w:t>
            </w:r>
          </w:p>
          <w:p w14:paraId="1DE952B8"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The CHA2DS2-VASc score should be used to recommend anticoagulation for the prevention of AF-related stroke or systemic embolism.</w:t>
            </w:r>
          </w:p>
          <w:p w14:paraId="1B172A52"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 xml:space="preserve">Despite COVID-19's </w:t>
            </w:r>
            <w:proofErr w:type="spellStart"/>
            <w:r w:rsidRPr="00203816">
              <w:rPr>
                <w:rFonts w:ascii="Arial" w:hAnsi="Arial" w:cs="Arial"/>
                <w:sz w:val="20"/>
                <w:szCs w:val="20"/>
              </w:rPr>
              <w:t>thrombophilic</w:t>
            </w:r>
            <w:proofErr w:type="spellEnd"/>
            <w:r w:rsidRPr="00203816">
              <w:rPr>
                <w:rFonts w:ascii="Arial" w:hAnsi="Arial" w:cs="Arial"/>
                <w:sz w:val="20"/>
                <w:szCs w:val="20"/>
              </w:rPr>
              <w:t xml:space="preserve"> environment, there is currently insufficient evidence to propose a different anticoagulation strategy for individuals with or without AF.</w:t>
            </w:r>
          </w:p>
          <w:p w14:paraId="62BF5E95"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In male and female patients with CHA2DS2-VASc scores of ≥1 and ≥2, respectively, therapeutic anticoagulation should be considered, while in male and female patients with CHA2DS2-VASc scores of ≥2 and ≥3, respectively, therapeutic anticoagulation is suggested.</w:t>
            </w:r>
          </w:p>
        </w:tc>
      </w:tr>
      <w:tr w:rsidR="00BA5D55" w:rsidRPr="00203816" w14:paraId="0DBEB3D8" w14:textId="77777777" w:rsidTr="00074FD1">
        <w:trPr>
          <w:trHeight w:val="1643"/>
        </w:trPr>
        <w:tc>
          <w:tcPr>
            <w:tcW w:w="0" w:type="auto"/>
            <w:hideMark/>
          </w:tcPr>
          <w:p w14:paraId="26675390"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Ventricular arrhythmias</w:t>
            </w:r>
          </w:p>
        </w:tc>
        <w:tc>
          <w:tcPr>
            <w:tcW w:w="0" w:type="auto"/>
            <w:hideMark/>
          </w:tcPr>
          <w:p w14:paraId="64FD8CAF"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If underlying myocardial ischemia is suspected, intravenous lidocaine may be considered as a safer but less effective alternative to amiodarone.</w:t>
            </w:r>
          </w:p>
          <w:p w14:paraId="6E0AF973"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Consider adding sympathetic blocking (e.g., esmolol).</w:t>
            </w:r>
          </w:p>
          <w:p w14:paraId="3610B5DA"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To stop a VT storm, intubation, sedation, and ventilation may be used.</w:t>
            </w:r>
          </w:p>
          <w:p w14:paraId="3A1D3673"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The potential therapeutic value of temporary pacemaker implantation for overdrive termination should be weighed against the invasiveness of the lead installation and the risk to personnel. In the event of an emergency, floatation-guided temporary wire insertion may be explored in the absence of a functioning cardiac catheterization lab.</w:t>
            </w:r>
          </w:p>
        </w:tc>
      </w:tr>
    </w:tbl>
    <w:p w14:paraId="680625AE" w14:textId="77777777" w:rsidR="00074FD1" w:rsidRDefault="00074FD1" w:rsidP="00074FD1">
      <w:pPr>
        <w:pStyle w:val="NoSpacing"/>
        <w:jc w:val="center"/>
        <w:rPr>
          <w:rFonts w:ascii="Arial" w:hAnsi="Arial" w:cs="Arial"/>
          <w:b/>
          <w:u w:val="single"/>
        </w:rPr>
      </w:pPr>
    </w:p>
    <w:p w14:paraId="4EE0779A" w14:textId="77777777" w:rsidR="00EF1597" w:rsidRPr="00074FD1" w:rsidRDefault="00EF1597" w:rsidP="00074FD1">
      <w:pPr>
        <w:pStyle w:val="NoSpacing"/>
        <w:jc w:val="center"/>
        <w:rPr>
          <w:rFonts w:ascii="Arial" w:hAnsi="Arial" w:cs="Arial"/>
          <w:b/>
          <w:u w:val="single"/>
        </w:rPr>
      </w:pPr>
      <w:r w:rsidRPr="00074FD1">
        <w:rPr>
          <w:rFonts w:ascii="Arial" w:hAnsi="Arial" w:cs="Arial"/>
          <w:b/>
          <w:u w:val="single"/>
        </w:rPr>
        <w:t>Table 1: Types of tachyarrhythmias</w:t>
      </w:r>
    </w:p>
    <w:p w14:paraId="14591E4C" w14:textId="77777777" w:rsidR="00BA5D55" w:rsidRPr="009B1216" w:rsidRDefault="00BA5D55" w:rsidP="009B1216">
      <w:pPr>
        <w:rPr>
          <w:rFonts w:ascii="Arial" w:hAnsi="Arial" w:cs="Arial"/>
          <w:b/>
        </w:rPr>
      </w:pPr>
    </w:p>
    <w:p w14:paraId="39EC0ACC" w14:textId="77777777" w:rsidR="00E86A5D" w:rsidRPr="00EF1597" w:rsidRDefault="00E86A5D" w:rsidP="00EF1597">
      <w:pPr>
        <w:pStyle w:val="NoSpacing"/>
        <w:jc w:val="both"/>
        <w:rPr>
          <w:rFonts w:ascii="Arial" w:hAnsi="Arial" w:cs="Arial"/>
          <w:b/>
          <w:sz w:val="20"/>
          <w:szCs w:val="20"/>
        </w:rPr>
      </w:pPr>
      <w:r w:rsidRPr="00EF1597">
        <w:rPr>
          <w:rFonts w:ascii="Arial" w:hAnsi="Arial" w:cs="Arial"/>
          <w:b/>
          <w:szCs w:val="20"/>
        </w:rPr>
        <w:t>10.2. Bradyarrhythmia</w:t>
      </w:r>
    </w:p>
    <w:p w14:paraId="2F670F00"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Monitoring drug levels and dose adjustments may be necessary to avoid bradycardia caused by drug-drug interactions.</w:t>
      </w:r>
    </w:p>
    <w:p w14:paraId="1FB73324"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 xml:space="preserve">If the patient has persistent severe bradycardia caused by an AV block or recurrent sinus node dysfunction with pauses, all medications that inadvertently </w:t>
      </w:r>
      <w:proofErr w:type="gramStart"/>
      <w:r w:rsidRPr="00EF1597">
        <w:rPr>
          <w:rFonts w:ascii="Arial" w:hAnsi="Arial" w:cs="Arial"/>
          <w:sz w:val="20"/>
          <w:szCs w:val="20"/>
        </w:rPr>
        <w:t>cause</w:t>
      </w:r>
      <w:proofErr w:type="gramEnd"/>
      <w:r w:rsidRPr="00EF1597">
        <w:rPr>
          <w:rFonts w:ascii="Arial" w:hAnsi="Arial" w:cs="Arial"/>
          <w:sz w:val="20"/>
          <w:szCs w:val="20"/>
        </w:rPr>
        <w:t xml:space="preserve"> bradycardia should be discontinued.</w:t>
      </w:r>
    </w:p>
    <w:p w14:paraId="5231B223"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Atropine and isoprenaline should be given.</w:t>
      </w:r>
    </w:p>
    <w:p w14:paraId="578BBC2F"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PM implantation should be considered on a temporary basis.</w:t>
      </w:r>
    </w:p>
    <w:p w14:paraId="26BF3E41" w14:textId="77777777" w:rsidR="00E86A5D" w:rsidRDefault="00E86A5D" w:rsidP="00EF1597">
      <w:pPr>
        <w:pStyle w:val="NoSpacing"/>
        <w:jc w:val="both"/>
        <w:rPr>
          <w:rFonts w:ascii="Arial" w:hAnsi="Arial" w:cs="Arial"/>
          <w:sz w:val="20"/>
          <w:szCs w:val="20"/>
        </w:rPr>
      </w:pPr>
      <w:r w:rsidRPr="00EF1597">
        <w:rPr>
          <w:rFonts w:ascii="Arial" w:hAnsi="Arial" w:cs="Arial"/>
          <w:sz w:val="20"/>
          <w:szCs w:val="20"/>
        </w:rPr>
        <w:t>If you have new-onset severe symptomatic AV conduction or sinus node dysfunction that isn't explained by your respiratory status, you should get a diagnostic cardiac exam. Ischemia and hypoxia must be ruled out. To measure ventricular function and myocardial involvement, echocardiography should be employed. If myocarditis is suspected, an MRI may be recommended as it may necessitate more aggressive immunosuppressive and antiviral therapy.</w:t>
      </w:r>
    </w:p>
    <w:p w14:paraId="11C3FBAA" w14:textId="77777777" w:rsidR="00EF1597" w:rsidRPr="00EF1597" w:rsidRDefault="00EF1597" w:rsidP="00EF1597">
      <w:pPr>
        <w:pStyle w:val="NoSpacing"/>
        <w:jc w:val="both"/>
        <w:rPr>
          <w:rFonts w:ascii="Arial" w:hAnsi="Arial" w:cs="Arial"/>
          <w:sz w:val="20"/>
          <w:szCs w:val="20"/>
        </w:rPr>
      </w:pPr>
    </w:p>
    <w:p w14:paraId="269A5724" w14:textId="77777777" w:rsidR="00E86A5D" w:rsidRPr="00B26863" w:rsidRDefault="00E86A5D" w:rsidP="00EF1597">
      <w:pPr>
        <w:pStyle w:val="NoSpacing"/>
        <w:jc w:val="both"/>
        <w:rPr>
          <w:rFonts w:ascii="Arial" w:hAnsi="Arial" w:cs="Arial"/>
          <w:b/>
          <w:sz w:val="20"/>
          <w:szCs w:val="20"/>
        </w:rPr>
      </w:pPr>
      <w:r w:rsidRPr="00B26863">
        <w:rPr>
          <w:rFonts w:ascii="Arial" w:hAnsi="Arial" w:cs="Arial"/>
          <w:b/>
          <w:sz w:val="20"/>
          <w:szCs w:val="20"/>
        </w:rPr>
        <w:t xml:space="preserve">11. </w:t>
      </w:r>
      <w:r w:rsidR="00EF1597" w:rsidRPr="00B26863">
        <w:rPr>
          <w:rFonts w:ascii="Arial" w:hAnsi="Arial" w:cs="Arial"/>
          <w:b/>
          <w:sz w:val="20"/>
          <w:szCs w:val="20"/>
        </w:rPr>
        <w:t>THROMBOEMBOLISM</w:t>
      </w:r>
    </w:p>
    <w:p w14:paraId="0A0DC444"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 xml:space="preserve">Thrombotic events, which are primarily pulmonary emboli, occur in up to one-third of COVID-19 patients and are linked to more severe illness and mortality. However, studies vary in terms of cohort makeup (e.g., disease severity, definition of thrombotic events), investigations done, and thromboprophylaxis use. Other viral infections, such as SARS-CoV-1 and H1N1, have significant rates of venous thromboembolism (VTE); however, a direct comparison with COVID-19 is difficult due to different cohorts and methodologies. VTE rates in severe COVID-19 patients are higher than in matched ARDS groups, implying that the high </w:t>
      </w:r>
      <w:r w:rsidRPr="00EF1597">
        <w:rPr>
          <w:rFonts w:ascii="Arial" w:hAnsi="Arial" w:cs="Arial"/>
          <w:sz w:val="20"/>
          <w:szCs w:val="20"/>
        </w:rPr>
        <w:lastRenderedPageBreak/>
        <w:t>occurrence is due to processes other than VTE risk factors in hospitalized patients (e.g., immobility and severe illness).</w:t>
      </w:r>
    </w:p>
    <w:p w14:paraId="4D2F236B"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COVID-19 individuals, compared to other critically ill patients, meet at least two of Virchow's triad criteria:</w:t>
      </w:r>
    </w:p>
    <w:p w14:paraId="246E9AFC"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Reduced venous flow due to immobility and prothrombotic alterations due to inflammatory conditions.</w:t>
      </w:r>
    </w:p>
    <w:p w14:paraId="423C8A97"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Some COVID-19 patients were in the prone posture, which elevates the heart at a hydrostatic level, possibly resulting in some of the venous return reduction. The third criterion of Virchow's triad, vessel wall alterations, may also exist in COVID-19 patients, according to data.</w:t>
      </w:r>
    </w:p>
    <w:p w14:paraId="279DA2EA" w14:textId="77777777" w:rsidR="00E86A5D" w:rsidRDefault="00E86A5D" w:rsidP="00EF1597">
      <w:pPr>
        <w:pStyle w:val="NoSpacing"/>
        <w:jc w:val="both"/>
        <w:rPr>
          <w:rFonts w:ascii="Arial" w:hAnsi="Arial" w:cs="Arial"/>
          <w:sz w:val="20"/>
          <w:szCs w:val="20"/>
        </w:rPr>
      </w:pPr>
      <w:r w:rsidRPr="00EF1597">
        <w:rPr>
          <w:rFonts w:ascii="Arial" w:hAnsi="Arial" w:cs="Arial"/>
          <w:sz w:val="20"/>
          <w:szCs w:val="20"/>
        </w:rPr>
        <w:t>It is critical to address modifiable predisposing factors to QTc prolongation in all patients receiving antiviral therapy, including electrolyte abnormalities, concurrent medications, and bradycardia. Before beginning medication, a baseline ECG may not be required at all, especially if recent past ECGs are available and there are no clinical symptoms of CVD. To reduce the risk of bleeding or thromboembolic consequences in SARS-CoV-2, patients require oral anticoagulant medication. Should examine drug-drug interactions between oral anticoagulants and SARS-CoV-2 medications. Severely ill COVID-19 patients may be shifted to parenteral anticoagulation, which has no clinically relevant drug–drug interactions with COVID-19 treatments (with the exception of azithromycin, which should not be co-administered with UFH).</w:t>
      </w:r>
    </w:p>
    <w:p w14:paraId="657FBF9A" w14:textId="77777777" w:rsidR="00EF1597" w:rsidRPr="00EF1597" w:rsidRDefault="00EF1597" w:rsidP="00EF1597">
      <w:pPr>
        <w:pStyle w:val="NoSpacing"/>
        <w:jc w:val="both"/>
        <w:rPr>
          <w:rFonts w:ascii="Arial" w:hAnsi="Arial" w:cs="Arial"/>
          <w:sz w:val="20"/>
          <w:szCs w:val="20"/>
        </w:rPr>
      </w:pPr>
    </w:p>
    <w:p w14:paraId="70E6538E" w14:textId="77777777" w:rsidR="00E86A5D" w:rsidRPr="00EF1597" w:rsidRDefault="00EF1597" w:rsidP="00EF1597">
      <w:pPr>
        <w:pStyle w:val="NoSpacing"/>
        <w:jc w:val="both"/>
        <w:rPr>
          <w:rFonts w:ascii="Arial" w:hAnsi="Arial" w:cs="Arial"/>
          <w:b/>
          <w:szCs w:val="20"/>
        </w:rPr>
      </w:pPr>
      <w:r w:rsidRPr="00EF1597">
        <w:rPr>
          <w:rFonts w:ascii="Arial" w:hAnsi="Arial" w:cs="Arial"/>
          <w:b/>
          <w:szCs w:val="20"/>
        </w:rPr>
        <w:t>MEDICAL TREATMENT OF COVID-19</w:t>
      </w:r>
    </w:p>
    <w:p w14:paraId="4F205BE8" w14:textId="77777777" w:rsidR="00E86A5D" w:rsidRDefault="00E86A5D" w:rsidP="00EF1597">
      <w:pPr>
        <w:pStyle w:val="NoSpacing"/>
        <w:jc w:val="both"/>
        <w:rPr>
          <w:rFonts w:ascii="Arial" w:hAnsi="Arial" w:cs="Arial"/>
          <w:sz w:val="20"/>
          <w:szCs w:val="20"/>
        </w:rPr>
      </w:pPr>
      <w:r w:rsidRPr="00EF1597">
        <w:rPr>
          <w:rFonts w:ascii="Arial" w:hAnsi="Arial" w:cs="Arial"/>
          <w:sz w:val="20"/>
          <w:szCs w:val="20"/>
        </w:rPr>
        <w:t>Several medications consisting of antiviral, anti-inflammatory, or immunomodulatory effects have been used "off-label" to treat SARS-CoV-2 infection despite the absence of definitive evidence of their efficacy.</w:t>
      </w:r>
    </w:p>
    <w:p w14:paraId="2772ADB9" w14:textId="77777777" w:rsidR="00EF1597" w:rsidRPr="00EF1597" w:rsidRDefault="00EF1597" w:rsidP="00EF1597">
      <w:pPr>
        <w:pStyle w:val="NoSpacing"/>
        <w:jc w:val="both"/>
        <w:rPr>
          <w:rFonts w:ascii="Arial" w:hAnsi="Arial" w:cs="Arial"/>
          <w:sz w:val="20"/>
          <w:szCs w:val="20"/>
        </w:rPr>
      </w:pPr>
    </w:p>
    <w:p w14:paraId="757F4EE5" w14:textId="77777777" w:rsidR="00E86A5D" w:rsidRPr="00EF1597" w:rsidRDefault="00B26863" w:rsidP="00EF1597">
      <w:pPr>
        <w:pStyle w:val="NoSpacing"/>
        <w:jc w:val="both"/>
        <w:rPr>
          <w:rFonts w:ascii="Arial" w:hAnsi="Arial" w:cs="Arial"/>
          <w:b/>
          <w:sz w:val="20"/>
          <w:szCs w:val="20"/>
        </w:rPr>
      </w:pPr>
      <w:r w:rsidRPr="00EF1597">
        <w:rPr>
          <w:rFonts w:ascii="Arial" w:hAnsi="Arial" w:cs="Arial"/>
          <w:b/>
          <w:sz w:val="20"/>
          <w:szCs w:val="20"/>
        </w:rPr>
        <w:t>1. ANTI-VIRAL THERAPIES</w:t>
      </w:r>
    </w:p>
    <w:p w14:paraId="3002AC57"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These medications were initially utilized to treat COVID-19 after in vitro observations of SARS-CoV-2 growth suppression and preliminary investigations with lower SARS-CoV-2 positives in nasopharyngeal secretions. On the other hand, randomized trials have not shown that hydroxychloroquine is effective in treating SARS-CoV-2 hospitalized patients. As a result, chloroquine and hydroxychloroquine are no longer recommended for treatment, while studies about their function in prevention are still under way. In vitro and in animal models, the protease inhibitor lopinavir-ritonavir has been demonstrated to be effective against SARS and MERS coronaviruses, although these findings have yet to be verified in randomized controlled trials in hospitalized patients with severe SARS-CoV-2.</w:t>
      </w:r>
    </w:p>
    <w:p w14:paraId="719A56E6" w14:textId="77777777" w:rsidR="00E86A5D" w:rsidRDefault="00E86A5D" w:rsidP="00EF1597">
      <w:pPr>
        <w:pStyle w:val="NoSpacing"/>
        <w:jc w:val="both"/>
        <w:rPr>
          <w:rFonts w:ascii="Arial" w:hAnsi="Arial" w:cs="Arial"/>
          <w:sz w:val="20"/>
          <w:szCs w:val="20"/>
        </w:rPr>
      </w:pPr>
      <w:proofErr w:type="spellStart"/>
      <w:r w:rsidRPr="00EF1597">
        <w:rPr>
          <w:rFonts w:ascii="Arial" w:hAnsi="Arial" w:cs="Arial"/>
          <w:sz w:val="20"/>
          <w:szCs w:val="20"/>
        </w:rPr>
        <w:t>Remdesivir</w:t>
      </w:r>
      <w:proofErr w:type="spellEnd"/>
      <w:r w:rsidRPr="00EF1597">
        <w:rPr>
          <w:rFonts w:ascii="Arial" w:hAnsi="Arial" w:cs="Arial"/>
          <w:sz w:val="20"/>
          <w:szCs w:val="20"/>
        </w:rPr>
        <w:t xml:space="preserve"> (GS-5734) appears to be effective against zoonotic and epidemic SARS and MERS coronaviruses in vitro and in animals. </w:t>
      </w:r>
      <w:proofErr w:type="spellStart"/>
      <w:r w:rsidRPr="00EF1597">
        <w:rPr>
          <w:rFonts w:ascii="Arial" w:hAnsi="Arial" w:cs="Arial"/>
          <w:sz w:val="20"/>
          <w:szCs w:val="20"/>
        </w:rPr>
        <w:t>Remdesivir</w:t>
      </w:r>
      <w:proofErr w:type="spellEnd"/>
      <w:r w:rsidRPr="00EF1597">
        <w:rPr>
          <w:rFonts w:ascii="Arial" w:hAnsi="Arial" w:cs="Arial"/>
          <w:sz w:val="20"/>
          <w:szCs w:val="20"/>
        </w:rPr>
        <w:t xml:space="preserve"> appears to be more effective than lopinavir-ritonavir in vitro trials. </w:t>
      </w:r>
      <w:proofErr w:type="spellStart"/>
      <w:r w:rsidRPr="00EF1597">
        <w:rPr>
          <w:rFonts w:ascii="Arial" w:hAnsi="Arial" w:cs="Arial"/>
          <w:sz w:val="20"/>
          <w:szCs w:val="20"/>
        </w:rPr>
        <w:t>Remdesivir</w:t>
      </w:r>
      <w:proofErr w:type="spellEnd"/>
      <w:r w:rsidRPr="00EF1597">
        <w:rPr>
          <w:rFonts w:ascii="Arial" w:hAnsi="Arial" w:cs="Arial"/>
          <w:sz w:val="20"/>
          <w:szCs w:val="20"/>
        </w:rPr>
        <w:t xml:space="preserve"> appeared to decrease the recovery time in hospitalized COVID-19 patients in preliminary investigations. Larger randomized trials, on the other hand, have found little or no effect on critical outcomes such as death, ventilation initiation, and hospital stay duration among hospitalized patients.</w:t>
      </w:r>
    </w:p>
    <w:p w14:paraId="4904B8D4" w14:textId="77777777" w:rsidR="00EF1597" w:rsidRPr="00EF1597" w:rsidRDefault="00EF1597" w:rsidP="00EF1597">
      <w:pPr>
        <w:pStyle w:val="NoSpacing"/>
        <w:jc w:val="both"/>
        <w:rPr>
          <w:rFonts w:ascii="Arial" w:hAnsi="Arial" w:cs="Arial"/>
          <w:sz w:val="20"/>
          <w:szCs w:val="20"/>
        </w:rPr>
      </w:pPr>
    </w:p>
    <w:p w14:paraId="55337FD8" w14:textId="77777777" w:rsidR="00E86A5D" w:rsidRPr="00EF1597" w:rsidRDefault="00B26863" w:rsidP="00EF1597">
      <w:pPr>
        <w:pStyle w:val="NoSpacing"/>
        <w:jc w:val="both"/>
        <w:rPr>
          <w:rFonts w:ascii="Arial" w:hAnsi="Arial" w:cs="Arial"/>
          <w:b/>
          <w:sz w:val="20"/>
          <w:szCs w:val="20"/>
        </w:rPr>
      </w:pPr>
      <w:r w:rsidRPr="00EF1597">
        <w:rPr>
          <w:rFonts w:ascii="Arial" w:hAnsi="Arial" w:cs="Arial"/>
          <w:b/>
          <w:sz w:val="20"/>
          <w:szCs w:val="20"/>
        </w:rPr>
        <w:t>2. ANTIBODY-BASED THERAPIES</w:t>
      </w:r>
    </w:p>
    <w:p w14:paraId="33BC71B6"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It's also being used in convalescent plasma from people who have recovered from COVID-19. According to preliminary findings from a large expanded-access initiative in the United States, higher antibody titers had a greater influence on mortality and better outcomes when given within the first three days following diagnosis. As there is no untreated control group in this study, the results should be interpreted with caution. The RECOVERY (randomized evaluation of COVID-19 therapy) experiment looked at high-titer convalescent plasma in 11,558 COVID-19 patients and found no effect in terms of key clinical outcomes. It's still feasible that convalescent plasma plays a role in illness progression, but this theory needs to be proven.</w:t>
      </w:r>
    </w:p>
    <w:p w14:paraId="5F6330B3" w14:textId="77777777" w:rsidR="00E86A5D" w:rsidRDefault="00E86A5D" w:rsidP="00EF1597">
      <w:pPr>
        <w:pStyle w:val="NoSpacing"/>
        <w:jc w:val="both"/>
        <w:rPr>
          <w:rFonts w:ascii="Arial" w:hAnsi="Arial" w:cs="Arial"/>
          <w:sz w:val="20"/>
          <w:szCs w:val="20"/>
        </w:rPr>
      </w:pPr>
      <w:r w:rsidRPr="00EF1597">
        <w:rPr>
          <w:rFonts w:ascii="Arial" w:hAnsi="Arial" w:cs="Arial"/>
          <w:sz w:val="20"/>
          <w:szCs w:val="20"/>
        </w:rPr>
        <w:t xml:space="preserve">Synthetic monoclonal antibodies targeting the SARS-CoV-2 spike protein have recently been evaluated in randomized trials. The use of </w:t>
      </w:r>
      <w:proofErr w:type="spellStart"/>
      <w:r w:rsidRPr="00EF1597">
        <w:rPr>
          <w:rFonts w:ascii="Arial" w:hAnsi="Arial" w:cs="Arial"/>
          <w:sz w:val="20"/>
          <w:szCs w:val="20"/>
        </w:rPr>
        <w:t>bamlanivimab</w:t>
      </w:r>
      <w:proofErr w:type="spellEnd"/>
      <w:r w:rsidRPr="00EF1597">
        <w:rPr>
          <w:rFonts w:ascii="Arial" w:hAnsi="Arial" w:cs="Arial"/>
          <w:sz w:val="20"/>
          <w:szCs w:val="20"/>
        </w:rPr>
        <w:t xml:space="preserve"> with </w:t>
      </w:r>
      <w:proofErr w:type="spellStart"/>
      <w:r w:rsidRPr="00EF1597">
        <w:rPr>
          <w:rFonts w:ascii="Arial" w:hAnsi="Arial" w:cs="Arial"/>
          <w:sz w:val="20"/>
          <w:szCs w:val="20"/>
        </w:rPr>
        <w:t>etesevimab</w:t>
      </w:r>
      <w:proofErr w:type="spellEnd"/>
      <w:r w:rsidRPr="00EF1597">
        <w:rPr>
          <w:rFonts w:ascii="Arial" w:hAnsi="Arial" w:cs="Arial"/>
          <w:sz w:val="20"/>
          <w:szCs w:val="20"/>
        </w:rPr>
        <w:t xml:space="preserve">, </w:t>
      </w:r>
      <w:proofErr w:type="spellStart"/>
      <w:r w:rsidRPr="00EF1597">
        <w:rPr>
          <w:rFonts w:ascii="Arial" w:hAnsi="Arial" w:cs="Arial"/>
          <w:sz w:val="20"/>
          <w:szCs w:val="20"/>
        </w:rPr>
        <w:t>sotrovimab</w:t>
      </w:r>
      <w:proofErr w:type="spellEnd"/>
      <w:r w:rsidRPr="00EF1597">
        <w:rPr>
          <w:rFonts w:ascii="Arial" w:hAnsi="Arial" w:cs="Arial"/>
          <w:sz w:val="20"/>
          <w:szCs w:val="20"/>
        </w:rPr>
        <w:t>, and REGEN-COV in non-hospitalized patients with mild-to-moderate COVID-19 has received Emergency Use Authorization in the US based on their ability to reduce viral load more quickly and avoid the need for hospitalization. Although minor investigations of these medicines in hospitalized patients were abandoned due to futility, REGEN-COV was evaluated in the RECOVERY trial with 9785 participants hospitalized with COVID-19. The allocation to REGEN-COV reduced death at 28 days by 20% among seronegative participants (those who did not have a detectable humoral response to SARS-CoV-2) (24% vs. 30%: rate ratio 0.80, 95% CI 0.70–0.91).</w:t>
      </w:r>
    </w:p>
    <w:p w14:paraId="7B503E35" w14:textId="77777777" w:rsidR="00EF1597" w:rsidRPr="00EF1597" w:rsidRDefault="00EF1597" w:rsidP="00EF1597">
      <w:pPr>
        <w:pStyle w:val="NoSpacing"/>
        <w:jc w:val="both"/>
        <w:rPr>
          <w:rFonts w:ascii="Arial" w:hAnsi="Arial" w:cs="Arial"/>
          <w:sz w:val="20"/>
          <w:szCs w:val="20"/>
        </w:rPr>
      </w:pPr>
    </w:p>
    <w:p w14:paraId="506F68C5" w14:textId="77777777" w:rsidR="00E86A5D" w:rsidRPr="00EF1597" w:rsidRDefault="00B26863" w:rsidP="00EF1597">
      <w:pPr>
        <w:pStyle w:val="NoSpacing"/>
        <w:jc w:val="both"/>
        <w:rPr>
          <w:rFonts w:ascii="Arial" w:hAnsi="Arial" w:cs="Arial"/>
          <w:b/>
          <w:sz w:val="20"/>
          <w:szCs w:val="20"/>
        </w:rPr>
      </w:pPr>
      <w:r w:rsidRPr="00EF1597">
        <w:rPr>
          <w:rFonts w:ascii="Arial" w:hAnsi="Arial" w:cs="Arial"/>
          <w:b/>
          <w:sz w:val="20"/>
          <w:szCs w:val="20"/>
        </w:rPr>
        <w:t>3. IMMUNOMODULATORY THERAPIES</w:t>
      </w:r>
    </w:p>
    <w:p w14:paraId="5D132E99"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lastRenderedPageBreak/>
        <w:t>Dexamethasone reduced the mortality rate in hospitalized COVID-19 patients receiving oxygen in the RECOVERY trial, with the greatest impact among those using mechanical ventilation. This benefit was validated in a meta-analysis of seven randomized clinical studies of critically ill patients with COVID-19 by the WHO REACT working group. When compared to usual care or placebo, systemic corticosteroids (dexamethasone, hydrocortisone, or methylprednisolone) were linked with lower 28-day all-cause mortality. The progression to invasive mechanical ventilation and the necessity for renal replacement treatment were also found to be beneficial. Azithromycin has been proven to be an effective medicine against the SARS-CoV-2 virus in vitro. However, in both mild-to-moderate and severe infections, the COALITION I and II and RECOVERY randomized trials found no advantage from adding azithromycin medication.</w:t>
      </w:r>
    </w:p>
    <w:p w14:paraId="43EF860A"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The amount of IL-6 in COVID-19 patients is linked to viral load, illness severity, and prognosis. 236 tocilizumab, a monoclonal antibody against the IL-6 receptor, has been recommended as a treatment for severe COVID-19. RECOVERY, the largest trial to date, found that tocilizumab reduced the risk of death by 15% in patients with hypoxia and inflammation (CRP 75 mg/L) (rate ratio 0.85, 95% CI 0.76–0.94). 237 This benefit has been confirmed by a WHO-led meta-analysis of all IL-6 antagonist trials.</w:t>
      </w:r>
    </w:p>
    <w:p w14:paraId="56F5FB08" w14:textId="77777777" w:rsidR="00B26863" w:rsidRDefault="00B26863" w:rsidP="00EF1597">
      <w:pPr>
        <w:pStyle w:val="NoSpacing"/>
        <w:jc w:val="both"/>
        <w:rPr>
          <w:rFonts w:ascii="Arial" w:hAnsi="Arial" w:cs="Arial"/>
          <w:sz w:val="20"/>
          <w:szCs w:val="20"/>
        </w:rPr>
      </w:pPr>
    </w:p>
    <w:p w14:paraId="35AC5419" w14:textId="77777777" w:rsidR="00E86A5D" w:rsidRPr="00B26863" w:rsidRDefault="00B26863" w:rsidP="00B26863">
      <w:pPr>
        <w:pStyle w:val="NoSpacing"/>
        <w:rPr>
          <w:rFonts w:ascii="Arial" w:hAnsi="Arial" w:cs="Arial"/>
          <w:b/>
          <w:sz w:val="20"/>
          <w:szCs w:val="20"/>
        </w:rPr>
      </w:pPr>
      <w:r w:rsidRPr="00B26863">
        <w:rPr>
          <w:rFonts w:ascii="Arial" w:hAnsi="Arial" w:cs="Arial"/>
          <w:b/>
          <w:sz w:val="20"/>
          <w:szCs w:val="20"/>
        </w:rPr>
        <w:t>4. ANTITHROMBOTIC THERAPIES</w:t>
      </w:r>
    </w:p>
    <w:p w14:paraId="2F231607"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Due to the significant risk of venous and arterial thrombosis seen in severe COVID-19, antiplatelet medications have been considered as a possible treatment. Aspirin did not improve clinical outcomes in the RECOVERY trial's 14,892 subjects. Heparin-based anticoagulation trials have yielded varying results, depending on the severity of the condition. Three trials found no benefit of therapeutic anticoagulation over standard therapy in critically ill patients. These trials, on the other hand, found that therapeutic anticoagulation enhanced organ support-free days in non-critically ill hospitalized patients.</w:t>
      </w:r>
    </w:p>
    <w:p w14:paraId="7010E74D"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 xml:space="preserve">In summary, the current version of the WHO living guidelines (as of March 31, 2021) advises against using ivermectin in patients with COVID-19 unless in the context of a clinical trial; strongly advises against the use of hydroxychloroquine and lopinavir/ritonavir in patients with COVID-19 of any severity; conditionally advises against the use of </w:t>
      </w:r>
      <w:proofErr w:type="spellStart"/>
      <w:r w:rsidRPr="00EF1597">
        <w:rPr>
          <w:rFonts w:ascii="Arial" w:hAnsi="Arial" w:cs="Arial"/>
          <w:sz w:val="20"/>
          <w:szCs w:val="20"/>
        </w:rPr>
        <w:t>remdesivir</w:t>
      </w:r>
      <w:proofErr w:type="spellEnd"/>
      <w:r w:rsidRPr="00EF1597">
        <w:rPr>
          <w:rFonts w:ascii="Arial" w:hAnsi="Arial" w:cs="Arial"/>
          <w:sz w:val="20"/>
          <w:szCs w:val="20"/>
        </w:rPr>
        <w:t xml:space="preserve"> in hospitalized patients and systemic corticosteroids.</w:t>
      </w:r>
    </w:p>
    <w:p w14:paraId="5386703B" w14:textId="77777777" w:rsidR="00B26863" w:rsidRDefault="00B26863" w:rsidP="003E2C02">
      <w:pPr>
        <w:rPr>
          <w:rFonts w:ascii="Arial" w:eastAsia="Times New Roman" w:hAnsi="Arial" w:cs="Arial"/>
          <w:b/>
          <w:bCs/>
          <w:color w:val="000000"/>
          <w:bdr w:val="single" w:sz="2" w:space="0" w:color="E5E7EB" w:frame="1"/>
        </w:rPr>
      </w:pPr>
    </w:p>
    <w:p w14:paraId="678C59A1" w14:textId="77777777" w:rsidR="00E86A5D" w:rsidRDefault="00B26863" w:rsidP="00B26863">
      <w:pPr>
        <w:pStyle w:val="NoSpacing"/>
        <w:jc w:val="both"/>
        <w:rPr>
          <w:rFonts w:ascii="Arial" w:hAnsi="Arial" w:cs="Arial"/>
          <w:b/>
          <w:szCs w:val="20"/>
        </w:rPr>
      </w:pPr>
      <w:r w:rsidRPr="00B26863">
        <w:rPr>
          <w:rFonts w:ascii="Arial" w:hAnsi="Arial" w:cs="Arial"/>
          <w:b/>
          <w:szCs w:val="20"/>
        </w:rPr>
        <w:t>CONSIDERATIONS OF COVID-19 THERAPIES</w:t>
      </w:r>
    </w:p>
    <w:p w14:paraId="0E57594C" w14:textId="77777777" w:rsidR="00B26863" w:rsidRPr="00B26863" w:rsidRDefault="00B26863" w:rsidP="00B26863">
      <w:pPr>
        <w:pStyle w:val="NoSpacing"/>
        <w:jc w:val="both"/>
        <w:rPr>
          <w:rFonts w:ascii="Arial" w:hAnsi="Arial" w:cs="Arial"/>
          <w:b/>
          <w:szCs w:val="20"/>
        </w:rPr>
      </w:pPr>
    </w:p>
    <w:p w14:paraId="480969FD" w14:textId="77777777" w:rsidR="00E86A5D" w:rsidRPr="00B26863" w:rsidRDefault="00B26863" w:rsidP="00B26863">
      <w:pPr>
        <w:pStyle w:val="NoSpacing"/>
        <w:jc w:val="both"/>
        <w:rPr>
          <w:rFonts w:ascii="Arial" w:hAnsi="Arial" w:cs="Arial"/>
          <w:b/>
          <w:sz w:val="20"/>
          <w:szCs w:val="20"/>
        </w:rPr>
      </w:pPr>
      <w:r w:rsidRPr="00B26863">
        <w:rPr>
          <w:rFonts w:ascii="Arial" w:hAnsi="Arial" w:cs="Arial"/>
          <w:b/>
          <w:sz w:val="20"/>
          <w:szCs w:val="20"/>
        </w:rPr>
        <w:t>1. ARRHYTHMOLOGIC CONSIDERATIONS OF COVID-19 THERAPIES</w:t>
      </w:r>
    </w:p>
    <w:p w14:paraId="2C33DD49" w14:textId="77777777"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 xml:space="preserve">One important concern with COVID-19 medications is the extremely uncommon risk of QTc prolongation and </w:t>
      </w:r>
      <w:proofErr w:type="spellStart"/>
      <w:r w:rsidRPr="00B26863">
        <w:rPr>
          <w:rFonts w:ascii="Arial" w:hAnsi="Arial" w:cs="Arial"/>
          <w:sz w:val="20"/>
          <w:szCs w:val="20"/>
        </w:rPr>
        <w:t>TdP</w:t>
      </w:r>
      <w:proofErr w:type="spellEnd"/>
      <w:r w:rsidRPr="00B26863">
        <w:rPr>
          <w:rFonts w:ascii="Arial" w:hAnsi="Arial" w:cs="Arial"/>
          <w:sz w:val="20"/>
          <w:szCs w:val="20"/>
        </w:rPr>
        <w:t xml:space="preserve">/sudden death, as well as the possibility of conduction abnormalities. According to a recent meta-analysis, the risk of arrhythmogenic cardiotoxicity from quinolines and structurally related antimalarial medicines is low (no events of SCD or documented VF of </w:t>
      </w:r>
      <w:proofErr w:type="spellStart"/>
      <w:r w:rsidRPr="00B26863">
        <w:rPr>
          <w:rFonts w:ascii="Arial" w:hAnsi="Arial" w:cs="Arial"/>
          <w:sz w:val="20"/>
          <w:szCs w:val="20"/>
        </w:rPr>
        <w:t>TdP</w:t>
      </w:r>
      <w:proofErr w:type="spellEnd"/>
      <w:r w:rsidRPr="00B26863">
        <w:rPr>
          <w:rFonts w:ascii="Arial" w:hAnsi="Arial" w:cs="Arial"/>
          <w:sz w:val="20"/>
          <w:szCs w:val="20"/>
        </w:rPr>
        <w:t xml:space="preserve"> in 35,448 individuals, 1207 of whom were taking chloroquine). Concomitant use of other QTc-prolonging medicines and/or electrolyte abnormalities (</w:t>
      </w:r>
      <w:proofErr w:type="spellStart"/>
      <w:r w:rsidRPr="00B26863">
        <w:rPr>
          <w:rFonts w:ascii="Arial" w:hAnsi="Arial" w:cs="Arial"/>
          <w:sz w:val="20"/>
          <w:szCs w:val="20"/>
        </w:rPr>
        <w:t>hypokalaemia</w:t>
      </w:r>
      <w:proofErr w:type="spellEnd"/>
      <w:r w:rsidRPr="00B26863">
        <w:rPr>
          <w:rFonts w:ascii="Arial" w:hAnsi="Arial" w:cs="Arial"/>
          <w:sz w:val="20"/>
          <w:szCs w:val="20"/>
        </w:rPr>
        <w:t xml:space="preserve">, hypomagnesemia, and/or hypocalcemia) may increase the QT-related risk during COVID-19. Furthermore, significant drug–drug interactions have been reported [due to the fact that these powerful CYP3A4 inhibitors interfere with (hydroxy)chloroquine metabolism], which should be </w:t>
      </w:r>
      <w:proofErr w:type="gramStart"/>
      <w:r w:rsidRPr="00B26863">
        <w:rPr>
          <w:rFonts w:ascii="Arial" w:hAnsi="Arial" w:cs="Arial"/>
          <w:sz w:val="20"/>
          <w:szCs w:val="20"/>
        </w:rPr>
        <w:t>taken into account</w:t>
      </w:r>
      <w:proofErr w:type="gramEnd"/>
      <w:r w:rsidRPr="00B26863">
        <w:rPr>
          <w:rFonts w:ascii="Arial" w:hAnsi="Arial" w:cs="Arial"/>
          <w:sz w:val="20"/>
          <w:szCs w:val="20"/>
        </w:rPr>
        <w:t>. Dose modifications or revisions may be required in some combinations.</w:t>
      </w:r>
    </w:p>
    <w:p w14:paraId="5CBD1335" w14:textId="77777777" w:rsidR="00B26863" w:rsidRDefault="00B26863" w:rsidP="00B26863">
      <w:pPr>
        <w:pStyle w:val="NoSpacing"/>
        <w:jc w:val="both"/>
        <w:rPr>
          <w:rFonts w:ascii="Arial" w:hAnsi="Arial" w:cs="Arial"/>
          <w:sz w:val="20"/>
          <w:szCs w:val="20"/>
        </w:rPr>
      </w:pPr>
    </w:p>
    <w:p w14:paraId="5C96C25A" w14:textId="77777777" w:rsidR="00E86A5D" w:rsidRPr="00B26863" w:rsidRDefault="00B26863" w:rsidP="00B26863">
      <w:pPr>
        <w:pStyle w:val="NoSpacing"/>
        <w:jc w:val="both"/>
        <w:rPr>
          <w:rFonts w:ascii="Arial" w:hAnsi="Arial" w:cs="Arial"/>
          <w:b/>
          <w:sz w:val="20"/>
          <w:szCs w:val="20"/>
        </w:rPr>
      </w:pPr>
      <w:r w:rsidRPr="00B26863">
        <w:rPr>
          <w:rFonts w:ascii="Arial" w:hAnsi="Arial" w:cs="Arial"/>
          <w:b/>
          <w:sz w:val="20"/>
          <w:szCs w:val="20"/>
        </w:rPr>
        <w:t>2. CONSIDERATIONS REGARDING THE USE OF ANTICOAGULANTS IN COVID-19 PATIENTS</w:t>
      </w:r>
    </w:p>
    <w:p w14:paraId="1EAAD854" w14:textId="77777777" w:rsidR="00E86A5D" w:rsidRDefault="00E86A5D" w:rsidP="00B26863">
      <w:pPr>
        <w:pStyle w:val="NoSpacing"/>
        <w:jc w:val="both"/>
        <w:rPr>
          <w:rFonts w:ascii="Arial" w:hAnsi="Arial" w:cs="Arial"/>
          <w:sz w:val="20"/>
          <w:szCs w:val="20"/>
        </w:rPr>
      </w:pPr>
      <w:r w:rsidRPr="00B26863">
        <w:rPr>
          <w:rFonts w:ascii="Arial" w:hAnsi="Arial" w:cs="Arial"/>
          <w:sz w:val="20"/>
          <w:szCs w:val="20"/>
        </w:rPr>
        <w:t>COVID-19 is linked to a higher risk of venous, arterial, and microvascular thrombotic and thromboembolic illness, including disseminated intravascular coagulation, according to new research. In general, all COVID-19 patients should be examined for the risk of thrombotic consequences and bleeding, and current guidelines for the prevention and treatment of thrombotic and thromboembolic illnesses should be followed. In COVID-19, the use of decreased and therapeutic-dose anticoagulation has been linked to improved outcomes and death in hospitalized patients in two recent studies.</w:t>
      </w:r>
    </w:p>
    <w:p w14:paraId="1B39DBFE" w14:textId="77777777" w:rsidR="00B26863" w:rsidRPr="00B26863" w:rsidRDefault="00B26863" w:rsidP="00B26863">
      <w:pPr>
        <w:pStyle w:val="NoSpacing"/>
        <w:jc w:val="both"/>
        <w:rPr>
          <w:rFonts w:ascii="Arial" w:hAnsi="Arial" w:cs="Arial"/>
          <w:b/>
          <w:szCs w:val="20"/>
        </w:rPr>
      </w:pPr>
    </w:p>
    <w:p w14:paraId="15B97212" w14:textId="77777777" w:rsidR="00E86A5D" w:rsidRPr="00B26863" w:rsidRDefault="00B26863" w:rsidP="00B26863">
      <w:pPr>
        <w:pStyle w:val="NoSpacing"/>
        <w:jc w:val="both"/>
        <w:rPr>
          <w:rFonts w:ascii="Arial" w:hAnsi="Arial" w:cs="Arial"/>
          <w:b/>
          <w:szCs w:val="20"/>
        </w:rPr>
      </w:pPr>
      <w:r w:rsidRPr="00B26863">
        <w:rPr>
          <w:rFonts w:ascii="Arial" w:hAnsi="Arial" w:cs="Arial"/>
          <w:b/>
          <w:szCs w:val="20"/>
        </w:rPr>
        <w:t>LONG-TERM EFFECTS OF COVID-19</w:t>
      </w:r>
    </w:p>
    <w:p w14:paraId="0659EB5E" w14:textId="77777777" w:rsidR="00B26863" w:rsidRDefault="00B26863" w:rsidP="00B26863">
      <w:pPr>
        <w:pStyle w:val="NoSpacing"/>
        <w:jc w:val="both"/>
        <w:rPr>
          <w:rFonts w:ascii="Arial" w:hAnsi="Arial" w:cs="Arial"/>
          <w:sz w:val="20"/>
          <w:szCs w:val="20"/>
        </w:rPr>
      </w:pPr>
    </w:p>
    <w:p w14:paraId="42A72BEC" w14:textId="77777777" w:rsidR="00E86A5D" w:rsidRPr="00B26863" w:rsidRDefault="00B26863" w:rsidP="00B26863">
      <w:pPr>
        <w:pStyle w:val="NoSpacing"/>
        <w:jc w:val="both"/>
        <w:rPr>
          <w:rFonts w:ascii="Arial" w:hAnsi="Arial" w:cs="Arial"/>
          <w:b/>
          <w:sz w:val="20"/>
          <w:szCs w:val="20"/>
        </w:rPr>
      </w:pPr>
      <w:r w:rsidRPr="00B26863">
        <w:rPr>
          <w:rFonts w:ascii="Arial" w:hAnsi="Arial" w:cs="Arial"/>
          <w:b/>
          <w:sz w:val="20"/>
          <w:szCs w:val="20"/>
        </w:rPr>
        <w:t>POST-COVID-19 CONDITIONS AND CARDIOVASCULAR SYSTEMA</w:t>
      </w:r>
    </w:p>
    <w:p w14:paraId="224CCE1C" w14:textId="77777777"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 xml:space="preserve">Post-acute COVID-19 syndrome (PACS) is characterized by symptoms that last longer than 3–4 weeks after the beginning of COVID-19. Despite the high prevalence of PACS, the mechanism of these persistent symptoms is separate from acute COVID-19 and remains unknown. Chest pain or tightness, palpitations, vertigo, and a rise in resting heart rate are the most prevalent cardiovascular (CV) symptoms in PACS. </w:t>
      </w:r>
      <w:r w:rsidRPr="00B26863">
        <w:rPr>
          <w:rFonts w:ascii="Arial" w:hAnsi="Arial" w:cs="Arial"/>
          <w:sz w:val="20"/>
          <w:szCs w:val="20"/>
        </w:rPr>
        <w:lastRenderedPageBreak/>
        <w:t>These signs and symptoms can be found in both hospitalized and non-hospitalized patients. In PACS, there is no apparent link between CV symptoms and preexisting CV disease. Although no definitive pathologic relationship between PACS and the cardiovascular system has been discovered, various CV disorders may be involved. The long-term effects of COVID-19 on the cardiovascular system include an increased risk of cardiovascular disease. Arrhythmia, heart failure, myocarditis, and coronary artery disease are all conditions that can occur. The most prevalent symptom is palpitation and tachycardia.</w:t>
      </w:r>
    </w:p>
    <w:p w14:paraId="778BC5AF" w14:textId="77777777" w:rsidR="00B26863" w:rsidRDefault="00B26863" w:rsidP="00B26863">
      <w:pPr>
        <w:pStyle w:val="NoSpacing"/>
        <w:jc w:val="both"/>
        <w:rPr>
          <w:rFonts w:ascii="Arial" w:hAnsi="Arial" w:cs="Arial"/>
          <w:sz w:val="20"/>
          <w:szCs w:val="20"/>
        </w:rPr>
      </w:pPr>
    </w:p>
    <w:p w14:paraId="482BCFA6" w14:textId="77777777" w:rsidR="00E86A5D" w:rsidRPr="00B26863" w:rsidRDefault="00B26863" w:rsidP="00B26863">
      <w:pPr>
        <w:pStyle w:val="NoSpacing"/>
        <w:jc w:val="both"/>
        <w:rPr>
          <w:rFonts w:ascii="Arial" w:hAnsi="Arial" w:cs="Arial"/>
          <w:b/>
          <w:szCs w:val="20"/>
        </w:rPr>
      </w:pPr>
      <w:r w:rsidRPr="00B26863">
        <w:rPr>
          <w:rFonts w:ascii="Arial" w:hAnsi="Arial" w:cs="Arial"/>
          <w:b/>
          <w:szCs w:val="20"/>
        </w:rPr>
        <w:t>POST COVID-19 FOLLOW-UP</w:t>
      </w:r>
    </w:p>
    <w:p w14:paraId="53C9DD8F" w14:textId="77777777"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Across the country, many cases of post-COVID acute MI have been reported. As a result, one of the main goals of post-COVID follow-up is to examine all risk factors and protect against the development of MI.</w:t>
      </w:r>
    </w:p>
    <w:p w14:paraId="02459104" w14:textId="77777777"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Pro-inflammatory changes in the cellular composition of atherosclerotic lesions, persistent systemic inflammatory activity, high circulating inflammatory markers, a persistent pro-coagulant state with higher levels of coagulation markers, and persistence of dysfunction in organs such as the kidneys, all of which can directly or indirectly impair CVD parameters, all contribute to an increased risk.</w:t>
      </w:r>
    </w:p>
    <w:p w14:paraId="41D906AB" w14:textId="77777777"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Antihypertensives (including ACE/ARB) should be provided as soon as possible after discharge, and drugs may be adjusted based on blood pressure control during the following visits. Following discharge, it is seen that the patient requires a lower dose of antihypertensives.</w:t>
      </w:r>
    </w:p>
    <w:p w14:paraId="3DE19B26" w14:textId="77777777"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In all patients with myocarditis or pericarditis, intense cardiovascular exercise should be avoided for three months; athletes should take three to six months off from cardiovascular training, followed by specialist follow-up, with a return to sport guided by functional status, biomarkers, the absence of dysrhythmias, and evidence of normal left ventricular systolic function.</w:t>
      </w:r>
    </w:p>
    <w:p w14:paraId="1309E729" w14:textId="77777777"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Palpitation is the most common symptom in post-COVID patients, and it can be a sign of underlying myocarditis; thus, it should be addressed carefully. Normal EF myocarditis is more prevalent than reduced EF myocarditis. Palpitation can be treated with beta blockers [metoprolol and bisoprolol].</w:t>
      </w:r>
    </w:p>
    <w:p w14:paraId="7DF5C803" w14:textId="77777777"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Stress cardiomyopathy is another prevalent condition.</w:t>
      </w:r>
    </w:p>
    <w:p w14:paraId="59071D2A" w14:textId="77777777" w:rsidR="00E86A5D" w:rsidRDefault="00E86A5D" w:rsidP="00B26863">
      <w:pPr>
        <w:pStyle w:val="NoSpacing"/>
        <w:jc w:val="both"/>
        <w:rPr>
          <w:rFonts w:ascii="Arial" w:hAnsi="Arial" w:cs="Arial"/>
          <w:sz w:val="20"/>
          <w:szCs w:val="20"/>
        </w:rPr>
      </w:pPr>
      <w:r w:rsidRPr="00B26863">
        <w:rPr>
          <w:rFonts w:ascii="Arial" w:hAnsi="Arial" w:cs="Arial"/>
          <w:sz w:val="20"/>
          <w:szCs w:val="20"/>
        </w:rPr>
        <w:t>Antiplatelets, statins, and antianginal medications may be continued in regular doses if cardiological indications exist.</w:t>
      </w:r>
    </w:p>
    <w:p w14:paraId="00F6BAB0" w14:textId="77777777" w:rsidR="00B26863" w:rsidRPr="00B26863" w:rsidRDefault="00B26863" w:rsidP="00B26863">
      <w:pPr>
        <w:pStyle w:val="NoSpacing"/>
        <w:jc w:val="both"/>
        <w:rPr>
          <w:rFonts w:ascii="Arial" w:hAnsi="Arial" w:cs="Arial"/>
          <w:sz w:val="20"/>
          <w:szCs w:val="20"/>
        </w:rPr>
      </w:pPr>
    </w:p>
    <w:tbl>
      <w:tblPr>
        <w:tblStyle w:val="TableGrid"/>
        <w:tblW w:w="9314" w:type="dxa"/>
        <w:tblLook w:val="04A0" w:firstRow="1" w:lastRow="0" w:firstColumn="1" w:lastColumn="0" w:noHBand="0" w:noVBand="1"/>
      </w:tblPr>
      <w:tblGrid>
        <w:gridCol w:w="1625"/>
        <w:gridCol w:w="3234"/>
        <w:gridCol w:w="4455"/>
      </w:tblGrid>
      <w:tr w:rsidR="00E86A5D" w:rsidRPr="00074FD1" w14:paraId="2CAB1249" w14:textId="77777777" w:rsidTr="00B26863">
        <w:trPr>
          <w:trHeight w:val="252"/>
        </w:trPr>
        <w:tc>
          <w:tcPr>
            <w:tcW w:w="0" w:type="auto"/>
            <w:hideMark/>
          </w:tcPr>
          <w:p w14:paraId="1464B108" w14:textId="77777777" w:rsidR="00E86A5D" w:rsidRPr="00074FD1" w:rsidRDefault="00074FD1" w:rsidP="00074FD1">
            <w:pPr>
              <w:pStyle w:val="NoSpacing"/>
              <w:rPr>
                <w:rFonts w:ascii="Arial" w:hAnsi="Arial" w:cs="Arial"/>
                <w:b/>
                <w:sz w:val="20"/>
                <w:szCs w:val="20"/>
              </w:rPr>
            </w:pPr>
            <w:r w:rsidRPr="00074FD1">
              <w:rPr>
                <w:rFonts w:ascii="Arial" w:hAnsi="Arial" w:cs="Arial"/>
                <w:b/>
                <w:sz w:val="20"/>
                <w:szCs w:val="20"/>
              </w:rPr>
              <w:t>TYPE OF VACCINE</w:t>
            </w:r>
          </w:p>
        </w:tc>
        <w:tc>
          <w:tcPr>
            <w:tcW w:w="0" w:type="auto"/>
            <w:hideMark/>
          </w:tcPr>
          <w:p w14:paraId="75E83122" w14:textId="77777777" w:rsidR="00E86A5D" w:rsidRPr="00074FD1" w:rsidRDefault="00074FD1" w:rsidP="00074FD1">
            <w:pPr>
              <w:pStyle w:val="NoSpacing"/>
              <w:rPr>
                <w:rFonts w:ascii="Arial" w:hAnsi="Arial" w:cs="Arial"/>
                <w:b/>
                <w:sz w:val="20"/>
                <w:szCs w:val="20"/>
              </w:rPr>
            </w:pPr>
            <w:r w:rsidRPr="00074FD1">
              <w:rPr>
                <w:rFonts w:ascii="Arial" w:hAnsi="Arial" w:cs="Arial"/>
                <w:b/>
                <w:sz w:val="20"/>
                <w:szCs w:val="20"/>
              </w:rPr>
              <w:t>EXAMPLES</w:t>
            </w:r>
          </w:p>
        </w:tc>
        <w:tc>
          <w:tcPr>
            <w:tcW w:w="0" w:type="auto"/>
            <w:hideMark/>
          </w:tcPr>
          <w:p w14:paraId="67B1D7A7" w14:textId="77777777" w:rsidR="00E86A5D" w:rsidRPr="00074FD1" w:rsidRDefault="00074FD1" w:rsidP="00074FD1">
            <w:pPr>
              <w:pStyle w:val="NoSpacing"/>
              <w:rPr>
                <w:rFonts w:ascii="Arial" w:hAnsi="Arial" w:cs="Arial"/>
                <w:b/>
                <w:sz w:val="20"/>
                <w:szCs w:val="20"/>
              </w:rPr>
            </w:pPr>
            <w:r w:rsidRPr="00074FD1">
              <w:rPr>
                <w:rFonts w:ascii="Arial" w:hAnsi="Arial" w:cs="Arial"/>
                <w:b/>
                <w:sz w:val="20"/>
                <w:szCs w:val="20"/>
              </w:rPr>
              <w:t>CARDIOVASCULAR CONSIDERATIONS</w:t>
            </w:r>
          </w:p>
        </w:tc>
      </w:tr>
      <w:tr w:rsidR="00E86A5D" w:rsidRPr="00074FD1" w14:paraId="235CB202" w14:textId="77777777" w:rsidTr="00B26863">
        <w:trPr>
          <w:trHeight w:val="505"/>
        </w:trPr>
        <w:tc>
          <w:tcPr>
            <w:tcW w:w="0" w:type="auto"/>
            <w:hideMark/>
          </w:tcPr>
          <w:p w14:paraId="39E95496" w14:textId="77777777" w:rsidR="00E86A5D" w:rsidRPr="00074FD1" w:rsidRDefault="00E86A5D" w:rsidP="00074FD1">
            <w:pPr>
              <w:pStyle w:val="NoSpacing"/>
              <w:rPr>
                <w:rFonts w:ascii="Arial" w:hAnsi="Arial" w:cs="Arial"/>
                <w:b/>
                <w:sz w:val="20"/>
                <w:szCs w:val="20"/>
              </w:rPr>
            </w:pPr>
            <w:r w:rsidRPr="00074FD1">
              <w:rPr>
                <w:rFonts w:ascii="Arial" w:hAnsi="Arial" w:cs="Arial"/>
                <w:b/>
                <w:sz w:val="20"/>
                <w:szCs w:val="20"/>
              </w:rPr>
              <w:t>MRNA</w:t>
            </w:r>
          </w:p>
        </w:tc>
        <w:tc>
          <w:tcPr>
            <w:tcW w:w="0" w:type="auto"/>
            <w:hideMark/>
          </w:tcPr>
          <w:p w14:paraId="475EBEB5" w14:textId="77777777" w:rsidR="00E86A5D" w:rsidRPr="00074FD1" w:rsidRDefault="00E86A5D" w:rsidP="00074FD1">
            <w:pPr>
              <w:pStyle w:val="NoSpacing"/>
              <w:rPr>
                <w:rFonts w:ascii="Arial" w:hAnsi="Arial" w:cs="Arial"/>
                <w:sz w:val="20"/>
                <w:szCs w:val="20"/>
              </w:rPr>
            </w:pPr>
            <w:r w:rsidRPr="00074FD1">
              <w:rPr>
                <w:rFonts w:ascii="Arial" w:hAnsi="Arial" w:cs="Arial"/>
                <w:sz w:val="20"/>
                <w:szCs w:val="20"/>
              </w:rPr>
              <w:t>Pfizer-</w:t>
            </w:r>
            <w:proofErr w:type="spellStart"/>
            <w:r w:rsidRPr="00074FD1">
              <w:rPr>
                <w:rFonts w:ascii="Arial" w:hAnsi="Arial" w:cs="Arial"/>
                <w:sz w:val="20"/>
                <w:szCs w:val="20"/>
              </w:rPr>
              <w:t>BioNTech</w:t>
            </w:r>
            <w:proofErr w:type="spellEnd"/>
            <w:r w:rsidRPr="00074FD1">
              <w:rPr>
                <w:rFonts w:ascii="Arial" w:hAnsi="Arial" w:cs="Arial"/>
                <w:sz w:val="20"/>
                <w:szCs w:val="20"/>
              </w:rPr>
              <w:t xml:space="preserve">, </w:t>
            </w:r>
            <w:proofErr w:type="spellStart"/>
            <w:r w:rsidRPr="00074FD1">
              <w:rPr>
                <w:rFonts w:ascii="Arial" w:hAnsi="Arial" w:cs="Arial"/>
                <w:sz w:val="20"/>
                <w:szCs w:val="20"/>
              </w:rPr>
              <w:t>Moderna</w:t>
            </w:r>
            <w:proofErr w:type="spellEnd"/>
          </w:p>
        </w:tc>
        <w:tc>
          <w:tcPr>
            <w:tcW w:w="0" w:type="auto"/>
            <w:hideMark/>
          </w:tcPr>
          <w:p w14:paraId="18C6F2C8" w14:textId="77777777" w:rsidR="00E86A5D" w:rsidRPr="00074FD1" w:rsidRDefault="00E86A5D" w:rsidP="00074FD1">
            <w:pPr>
              <w:pStyle w:val="NoSpacing"/>
              <w:rPr>
                <w:rFonts w:ascii="Arial" w:hAnsi="Arial" w:cs="Arial"/>
                <w:sz w:val="20"/>
                <w:szCs w:val="20"/>
              </w:rPr>
            </w:pPr>
            <w:r w:rsidRPr="00074FD1">
              <w:rPr>
                <w:rFonts w:ascii="Arial" w:hAnsi="Arial" w:cs="Arial"/>
                <w:sz w:val="20"/>
                <w:szCs w:val="20"/>
              </w:rPr>
              <w:t>Myocarditis, pericarditis, AMI, arrhythmia, stress cardiomyopathy</w:t>
            </w:r>
          </w:p>
        </w:tc>
      </w:tr>
      <w:tr w:rsidR="00E86A5D" w:rsidRPr="00074FD1" w14:paraId="664B83B8" w14:textId="77777777" w:rsidTr="00B26863">
        <w:trPr>
          <w:trHeight w:val="744"/>
        </w:trPr>
        <w:tc>
          <w:tcPr>
            <w:tcW w:w="0" w:type="auto"/>
            <w:hideMark/>
          </w:tcPr>
          <w:p w14:paraId="3625B7EA" w14:textId="77777777" w:rsidR="00E86A5D" w:rsidRPr="00074FD1" w:rsidRDefault="00E86A5D" w:rsidP="00074FD1">
            <w:pPr>
              <w:pStyle w:val="NoSpacing"/>
              <w:rPr>
                <w:rFonts w:ascii="Arial" w:hAnsi="Arial" w:cs="Arial"/>
                <w:b/>
                <w:sz w:val="20"/>
                <w:szCs w:val="20"/>
              </w:rPr>
            </w:pPr>
            <w:r w:rsidRPr="00074FD1">
              <w:rPr>
                <w:rFonts w:ascii="Arial" w:hAnsi="Arial" w:cs="Arial"/>
                <w:b/>
                <w:sz w:val="20"/>
                <w:szCs w:val="20"/>
              </w:rPr>
              <w:t>Adenoviral vector</w:t>
            </w:r>
          </w:p>
        </w:tc>
        <w:tc>
          <w:tcPr>
            <w:tcW w:w="0" w:type="auto"/>
            <w:hideMark/>
          </w:tcPr>
          <w:p w14:paraId="600D66E5" w14:textId="77777777" w:rsidR="00E86A5D" w:rsidRPr="00074FD1" w:rsidRDefault="00E86A5D" w:rsidP="00074FD1">
            <w:pPr>
              <w:pStyle w:val="NoSpacing"/>
              <w:rPr>
                <w:rFonts w:ascii="Arial" w:hAnsi="Arial" w:cs="Arial"/>
                <w:sz w:val="20"/>
                <w:szCs w:val="20"/>
              </w:rPr>
            </w:pPr>
            <w:r w:rsidRPr="00074FD1">
              <w:rPr>
                <w:rFonts w:ascii="Arial" w:hAnsi="Arial" w:cs="Arial"/>
                <w:sz w:val="20"/>
                <w:szCs w:val="20"/>
              </w:rPr>
              <w:t xml:space="preserve">Sputnik Light, Sputnik V, Oxford-AstraZeneca, </w:t>
            </w:r>
            <w:proofErr w:type="spellStart"/>
            <w:r w:rsidRPr="00074FD1">
              <w:rPr>
                <w:rFonts w:ascii="Arial" w:hAnsi="Arial" w:cs="Arial"/>
                <w:sz w:val="20"/>
                <w:szCs w:val="20"/>
              </w:rPr>
              <w:t>Convidecia</w:t>
            </w:r>
            <w:proofErr w:type="spellEnd"/>
            <w:r w:rsidRPr="00074FD1">
              <w:rPr>
                <w:rFonts w:ascii="Arial" w:hAnsi="Arial" w:cs="Arial"/>
                <w:sz w:val="20"/>
                <w:szCs w:val="20"/>
              </w:rPr>
              <w:t>, Johnson &amp; Johnson</w:t>
            </w:r>
          </w:p>
        </w:tc>
        <w:tc>
          <w:tcPr>
            <w:tcW w:w="0" w:type="auto"/>
            <w:hideMark/>
          </w:tcPr>
          <w:p w14:paraId="7D3145B1" w14:textId="77777777" w:rsidR="00E86A5D" w:rsidRPr="00074FD1" w:rsidRDefault="00E86A5D" w:rsidP="00074FD1">
            <w:pPr>
              <w:pStyle w:val="NoSpacing"/>
              <w:rPr>
                <w:rFonts w:ascii="Arial" w:hAnsi="Arial" w:cs="Arial"/>
                <w:sz w:val="20"/>
                <w:szCs w:val="20"/>
              </w:rPr>
            </w:pPr>
            <w:r w:rsidRPr="00074FD1">
              <w:rPr>
                <w:rFonts w:ascii="Arial" w:hAnsi="Arial" w:cs="Arial"/>
                <w:sz w:val="20"/>
                <w:szCs w:val="20"/>
              </w:rPr>
              <w:t>Myocarditis, pericarditis, AMI, thrombosis, thrombocytopenia</w:t>
            </w:r>
          </w:p>
        </w:tc>
      </w:tr>
      <w:tr w:rsidR="00E86A5D" w:rsidRPr="00074FD1" w14:paraId="0413DC8C" w14:textId="77777777" w:rsidTr="00B26863">
        <w:trPr>
          <w:trHeight w:val="505"/>
        </w:trPr>
        <w:tc>
          <w:tcPr>
            <w:tcW w:w="0" w:type="auto"/>
            <w:hideMark/>
          </w:tcPr>
          <w:p w14:paraId="7A0923C0" w14:textId="77777777" w:rsidR="00E86A5D" w:rsidRPr="00074FD1" w:rsidRDefault="00E86A5D" w:rsidP="00074FD1">
            <w:pPr>
              <w:pStyle w:val="NoSpacing"/>
              <w:rPr>
                <w:rFonts w:ascii="Arial" w:hAnsi="Arial" w:cs="Arial"/>
                <w:b/>
                <w:sz w:val="20"/>
                <w:szCs w:val="20"/>
              </w:rPr>
            </w:pPr>
            <w:r w:rsidRPr="00074FD1">
              <w:rPr>
                <w:rFonts w:ascii="Arial" w:hAnsi="Arial" w:cs="Arial"/>
                <w:b/>
                <w:sz w:val="20"/>
                <w:szCs w:val="20"/>
              </w:rPr>
              <w:t>Inactivated whole virus</w:t>
            </w:r>
          </w:p>
        </w:tc>
        <w:tc>
          <w:tcPr>
            <w:tcW w:w="0" w:type="auto"/>
            <w:hideMark/>
          </w:tcPr>
          <w:p w14:paraId="4BAD6AE5" w14:textId="77777777" w:rsidR="00E86A5D" w:rsidRPr="00074FD1" w:rsidRDefault="00E86A5D" w:rsidP="00074FD1">
            <w:pPr>
              <w:pStyle w:val="NoSpacing"/>
              <w:rPr>
                <w:rFonts w:ascii="Arial" w:hAnsi="Arial" w:cs="Arial"/>
                <w:sz w:val="20"/>
                <w:szCs w:val="20"/>
              </w:rPr>
            </w:pPr>
            <w:r w:rsidRPr="00074FD1">
              <w:rPr>
                <w:rFonts w:ascii="Arial" w:hAnsi="Arial" w:cs="Arial"/>
                <w:sz w:val="20"/>
                <w:szCs w:val="20"/>
              </w:rPr>
              <w:t>BBIBP-</w:t>
            </w:r>
            <w:proofErr w:type="spellStart"/>
            <w:r w:rsidRPr="00074FD1">
              <w:rPr>
                <w:rFonts w:ascii="Arial" w:hAnsi="Arial" w:cs="Arial"/>
                <w:sz w:val="20"/>
                <w:szCs w:val="20"/>
              </w:rPr>
              <w:t>CorV</w:t>
            </w:r>
            <w:proofErr w:type="spellEnd"/>
            <w:r w:rsidRPr="00074FD1">
              <w:rPr>
                <w:rFonts w:ascii="Arial" w:hAnsi="Arial" w:cs="Arial"/>
                <w:sz w:val="20"/>
                <w:szCs w:val="20"/>
              </w:rPr>
              <w:t xml:space="preserve">, </w:t>
            </w:r>
            <w:proofErr w:type="spellStart"/>
            <w:r w:rsidRPr="00074FD1">
              <w:rPr>
                <w:rFonts w:ascii="Arial" w:hAnsi="Arial" w:cs="Arial"/>
                <w:sz w:val="20"/>
                <w:szCs w:val="20"/>
              </w:rPr>
              <w:t>CoronaVac</w:t>
            </w:r>
            <w:proofErr w:type="spellEnd"/>
            <w:r w:rsidRPr="00074FD1">
              <w:rPr>
                <w:rFonts w:ascii="Arial" w:hAnsi="Arial" w:cs="Arial"/>
                <w:sz w:val="20"/>
                <w:szCs w:val="20"/>
              </w:rPr>
              <w:t xml:space="preserve">, </w:t>
            </w:r>
            <w:proofErr w:type="spellStart"/>
            <w:r w:rsidRPr="00074FD1">
              <w:rPr>
                <w:rFonts w:ascii="Arial" w:hAnsi="Arial" w:cs="Arial"/>
                <w:sz w:val="20"/>
                <w:szCs w:val="20"/>
              </w:rPr>
              <w:t>Covaxin</w:t>
            </w:r>
            <w:proofErr w:type="spellEnd"/>
            <w:r w:rsidRPr="00074FD1">
              <w:rPr>
                <w:rFonts w:ascii="Arial" w:hAnsi="Arial" w:cs="Arial"/>
                <w:sz w:val="20"/>
                <w:szCs w:val="20"/>
              </w:rPr>
              <w:t>, WIBP-</w:t>
            </w:r>
            <w:proofErr w:type="spellStart"/>
            <w:r w:rsidRPr="00074FD1">
              <w:rPr>
                <w:rFonts w:ascii="Arial" w:hAnsi="Arial" w:cs="Arial"/>
                <w:sz w:val="20"/>
                <w:szCs w:val="20"/>
              </w:rPr>
              <w:t>CorV</w:t>
            </w:r>
            <w:proofErr w:type="spellEnd"/>
            <w:r w:rsidRPr="00074FD1">
              <w:rPr>
                <w:rFonts w:ascii="Arial" w:hAnsi="Arial" w:cs="Arial"/>
                <w:sz w:val="20"/>
                <w:szCs w:val="20"/>
              </w:rPr>
              <w:t xml:space="preserve">, </w:t>
            </w:r>
            <w:proofErr w:type="spellStart"/>
            <w:r w:rsidRPr="00074FD1">
              <w:rPr>
                <w:rFonts w:ascii="Arial" w:hAnsi="Arial" w:cs="Arial"/>
                <w:sz w:val="20"/>
                <w:szCs w:val="20"/>
              </w:rPr>
              <w:t>CoviVac</w:t>
            </w:r>
            <w:proofErr w:type="spellEnd"/>
            <w:r w:rsidRPr="00074FD1">
              <w:rPr>
                <w:rFonts w:ascii="Arial" w:hAnsi="Arial" w:cs="Arial"/>
                <w:sz w:val="20"/>
                <w:szCs w:val="20"/>
              </w:rPr>
              <w:t xml:space="preserve">, </w:t>
            </w:r>
            <w:proofErr w:type="spellStart"/>
            <w:r w:rsidRPr="00074FD1">
              <w:rPr>
                <w:rFonts w:ascii="Arial" w:hAnsi="Arial" w:cs="Arial"/>
                <w:sz w:val="20"/>
                <w:szCs w:val="20"/>
              </w:rPr>
              <w:t>Covilo</w:t>
            </w:r>
            <w:proofErr w:type="spellEnd"/>
          </w:p>
        </w:tc>
        <w:tc>
          <w:tcPr>
            <w:tcW w:w="0" w:type="auto"/>
            <w:hideMark/>
          </w:tcPr>
          <w:p w14:paraId="56EAADA1" w14:textId="77777777" w:rsidR="00E86A5D" w:rsidRPr="00074FD1" w:rsidRDefault="00E86A5D" w:rsidP="00074FD1">
            <w:pPr>
              <w:pStyle w:val="NoSpacing"/>
              <w:rPr>
                <w:rFonts w:ascii="Arial" w:hAnsi="Arial" w:cs="Arial"/>
                <w:sz w:val="20"/>
                <w:szCs w:val="20"/>
              </w:rPr>
            </w:pPr>
            <w:r w:rsidRPr="00074FD1">
              <w:rPr>
                <w:rFonts w:ascii="Arial" w:hAnsi="Arial" w:cs="Arial"/>
                <w:sz w:val="20"/>
                <w:szCs w:val="20"/>
              </w:rPr>
              <w:t xml:space="preserve">Type 1 </w:t>
            </w:r>
            <w:proofErr w:type="spellStart"/>
            <w:r w:rsidRPr="00074FD1">
              <w:rPr>
                <w:rFonts w:ascii="Arial" w:hAnsi="Arial" w:cs="Arial"/>
                <w:sz w:val="20"/>
                <w:szCs w:val="20"/>
              </w:rPr>
              <w:t>Kounis</w:t>
            </w:r>
            <w:proofErr w:type="spellEnd"/>
            <w:r w:rsidRPr="00074FD1">
              <w:rPr>
                <w:rFonts w:ascii="Arial" w:hAnsi="Arial" w:cs="Arial"/>
                <w:sz w:val="20"/>
                <w:szCs w:val="20"/>
              </w:rPr>
              <w:t xml:space="preserve"> syndrome</w:t>
            </w:r>
          </w:p>
        </w:tc>
      </w:tr>
      <w:tr w:rsidR="00E86A5D" w:rsidRPr="00074FD1" w14:paraId="12521CBE" w14:textId="77777777" w:rsidTr="00B26863">
        <w:trPr>
          <w:trHeight w:val="505"/>
        </w:trPr>
        <w:tc>
          <w:tcPr>
            <w:tcW w:w="0" w:type="auto"/>
            <w:hideMark/>
          </w:tcPr>
          <w:p w14:paraId="09009F49" w14:textId="77777777" w:rsidR="00E86A5D" w:rsidRPr="00074FD1" w:rsidRDefault="00E86A5D" w:rsidP="00074FD1">
            <w:pPr>
              <w:pStyle w:val="NoSpacing"/>
              <w:rPr>
                <w:rFonts w:ascii="Arial" w:hAnsi="Arial" w:cs="Arial"/>
                <w:b/>
                <w:sz w:val="20"/>
                <w:szCs w:val="20"/>
              </w:rPr>
            </w:pPr>
            <w:r w:rsidRPr="00074FD1">
              <w:rPr>
                <w:rFonts w:ascii="Arial" w:hAnsi="Arial" w:cs="Arial"/>
                <w:b/>
                <w:sz w:val="20"/>
                <w:szCs w:val="20"/>
              </w:rPr>
              <w:t>Protein subunit</w:t>
            </w:r>
          </w:p>
        </w:tc>
        <w:tc>
          <w:tcPr>
            <w:tcW w:w="0" w:type="auto"/>
            <w:hideMark/>
          </w:tcPr>
          <w:p w14:paraId="77EB5E60" w14:textId="77777777" w:rsidR="00E86A5D" w:rsidRPr="00074FD1" w:rsidRDefault="00E86A5D" w:rsidP="00074FD1">
            <w:pPr>
              <w:pStyle w:val="NoSpacing"/>
              <w:rPr>
                <w:rFonts w:ascii="Arial" w:hAnsi="Arial" w:cs="Arial"/>
                <w:sz w:val="20"/>
                <w:szCs w:val="20"/>
              </w:rPr>
            </w:pPr>
            <w:proofErr w:type="spellStart"/>
            <w:r w:rsidRPr="00074FD1">
              <w:rPr>
                <w:rFonts w:ascii="Arial" w:hAnsi="Arial" w:cs="Arial"/>
                <w:sz w:val="20"/>
                <w:szCs w:val="20"/>
              </w:rPr>
              <w:t>Covovax</w:t>
            </w:r>
            <w:proofErr w:type="spellEnd"/>
          </w:p>
        </w:tc>
        <w:tc>
          <w:tcPr>
            <w:tcW w:w="0" w:type="auto"/>
            <w:hideMark/>
          </w:tcPr>
          <w:p w14:paraId="1B90852F" w14:textId="77777777" w:rsidR="00E86A5D" w:rsidRPr="00074FD1" w:rsidRDefault="00E86A5D" w:rsidP="00074FD1">
            <w:pPr>
              <w:pStyle w:val="NoSpacing"/>
              <w:rPr>
                <w:rFonts w:ascii="Arial" w:hAnsi="Arial" w:cs="Arial"/>
                <w:sz w:val="20"/>
                <w:szCs w:val="20"/>
              </w:rPr>
            </w:pPr>
            <w:r w:rsidRPr="00074FD1">
              <w:rPr>
                <w:rFonts w:ascii="Arial" w:hAnsi="Arial" w:cs="Arial"/>
                <w:sz w:val="20"/>
                <w:szCs w:val="20"/>
              </w:rPr>
              <w:t>No specific cardiovascular effects reported, though more data are needed for comprehensive assessment</w:t>
            </w:r>
          </w:p>
        </w:tc>
      </w:tr>
    </w:tbl>
    <w:p w14:paraId="73254F21" w14:textId="77777777" w:rsidR="00E86A5D" w:rsidRPr="00074FD1" w:rsidRDefault="00074FD1" w:rsidP="00074FD1">
      <w:pPr>
        <w:pStyle w:val="NoSpacing"/>
        <w:jc w:val="center"/>
        <w:rPr>
          <w:rFonts w:ascii="Arial" w:hAnsi="Arial" w:cs="Arial"/>
          <w:b/>
          <w:sz w:val="18"/>
          <w:szCs w:val="20"/>
          <w:u w:val="single"/>
        </w:rPr>
      </w:pPr>
      <w:r w:rsidRPr="00074FD1">
        <w:rPr>
          <w:rFonts w:ascii="Arial" w:hAnsi="Arial" w:cs="Arial"/>
          <w:b/>
          <w:sz w:val="20"/>
          <w:u w:val="single"/>
        </w:rPr>
        <w:t>Table 2: Effects of COVID-19 vaccinations on cardiovascular disease</w:t>
      </w:r>
      <w:r w:rsidR="00E86A5D" w:rsidRPr="00074FD1">
        <w:rPr>
          <w:rFonts w:ascii="Arial" w:hAnsi="Arial" w:cs="Arial"/>
          <w:b/>
          <w:sz w:val="20"/>
          <w:u w:val="single"/>
        </w:rPr>
        <w:br/>
      </w:r>
    </w:p>
    <w:p w14:paraId="7959A856" w14:textId="77777777" w:rsidR="00E86A5D" w:rsidRPr="00074FD1" w:rsidRDefault="00E86A5D" w:rsidP="00074FD1">
      <w:pPr>
        <w:pStyle w:val="NoSpacing"/>
        <w:jc w:val="both"/>
        <w:rPr>
          <w:rFonts w:ascii="Arial" w:hAnsi="Arial" w:cs="Arial"/>
          <w:sz w:val="20"/>
          <w:szCs w:val="20"/>
        </w:rPr>
      </w:pPr>
      <w:r w:rsidRPr="00074FD1">
        <w:rPr>
          <w:rFonts w:ascii="Arial" w:hAnsi="Arial" w:cs="Arial"/>
          <w:sz w:val="20"/>
          <w:szCs w:val="20"/>
        </w:rPr>
        <w:t>Even though these problems can emerge in people who have been vaccinated, most clinicians and studies agree that vaccination is preferable to not being vaccinated. This is because the severity of these illnesses is becoming increasingly rare. Myocarditis and pericarditis were the most reported cardiac side effects of COVID-19 vaccinations. A few AMI cases, arrhythmia, and stress cardiomyopathy are also the other effects thrown in good measure. Myocarditis and pericarditis are the cardiac side effects of post-mRNA vaccination in adolescents following the second dose. The outcomes of post-vaccine myocarditis and pericarditis were better.</w:t>
      </w:r>
    </w:p>
    <w:p w14:paraId="7F9BD51D" w14:textId="77777777" w:rsidR="00E86A5D" w:rsidRPr="00074FD1" w:rsidRDefault="00E86A5D" w:rsidP="00074FD1">
      <w:pPr>
        <w:pStyle w:val="NoSpacing"/>
        <w:jc w:val="both"/>
        <w:rPr>
          <w:rFonts w:ascii="Arial" w:hAnsi="Arial" w:cs="Arial"/>
          <w:sz w:val="20"/>
          <w:szCs w:val="20"/>
        </w:rPr>
      </w:pPr>
      <w:r w:rsidRPr="00074FD1">
        <w:rPr>
          <w:rFonts w:ascii="Arial" w:hAnsi="Arial" w:cs="Arial"/>
          <w:sz w:val="20"/>
          <w:szCs w:val="20"/>
        </w:rPr>
        <w:t xml:space="preserve">Other immunizations have also been linked to myocarditis caused by vaccines. According to VAERS data from 2011 to 2015, smallpox, meningococcal, typhoid, Japanese encephalitis, and anthrax vaccines are all associated with myocarditis or pericarditis. Passive surveillance rates may not represent genuine incidence since active observation of participants after smallpox immunization revealed a 60-fold higher prevalence of subclinical myocarditis than overt clinical myocarditis. The mechanism underpinning vaccine-associated </w:t>
      </w:r>
      <w:r w:rsidRPr="00074FD1">
        <w:rPr>
          <w:rFonts w:ascii="Arial" w:hAnsi="Arial" w:cs="Arial"/>
          <w:sz w:val="20"/>
          <w:szCs w:val="20"/>
        </w:rPr>
        <w:lastRenderedPageBreak/>
        <w:t>myocarditis could be linked to hypersensitivity because of the large amount of eosinophilia seen in smallpox vaccine-associated myocarditis. With mRNA COVID-19 vaccine-associated myocarditis, however, this has not been found.</w:t>
      </w:r>
    </w:p>
    <w:p w14:paraId="184BACB4" w14:textId="77777777" w:rsidR="00E86A5D" w:rsidRPr="003E2C02" w:rsidRDefault="00E86A5D" w:rsidP="00074FD1">
      <w:pPr>
        <w:pStyle w:val="NoSpacing"/>
        <w:jc w:val="both"/>
        <w:rPr>
          <w:rFonts w:eastAsia="Times New Roman"/>
          <w:color w:val="000000"/>
        </w:rPr>
      </w:pPr>
      <w:r w:rsidRPr="00074FD1">
        <w:rPr>
          <w:rFonts w:ascii="Arial" w:hAnsi="Arial" w:cs="Arial"/>
          <w:sz w:val="20"/>
          <w:szCs w:val="20"/>
        </w:rPr>
        <w:t>AMI, arrhythmia, and cardiomyopathy have been identified as probable adverse cardiac events. AMI is not thought to be linked to the COVID-19 vaccination, while a small number of people may develop AMI in the days and weeks following vaccination.</w:t>
      </w:r>
      <w:r w:rsidRPr="003E2C02">
        <w:rPr>
          <w:rFonts w:eastAsia="Times New Roman"/>
          <w:color w:val="000000"/>
        </w:rPr>
        <w:br/>
      </w:r>
    </w:p>
    <w:tbl>
      <w:tblPr>
        <w:tblStyle w:val="TableGrid"/>
        <w:tblW w:w="9376" w:type="dxa"/>
        <w:tblLook w:val="04A0" w:firstRow="1" w:lastRow="0" w:firstColumn="1" w:lastColumn="0" w:noHBand="0" w:noVBand="1"/>
      </w:tblPr>
      <w:tblGrid>
        <w:gridCol w:w="1919"/>
        <w:gridCol w:w="4483"/>
        <w:gridCol w:w="2974"/>
      </w:tblGrid>
      <w:tr w:rsidR="00E86A5D" w:rsidRPr="00074FD1" w14:paraId="3DFBEAFF" w14:textId="77777777" w:rsidTr="00074FD1">
        <w:trPr>
          <w:trHeight w:val="371"/>
        </w:trPr>
        <w:tc>
          <w:tcPr>
            <w:tcW w:w="0" w:type="auto"/>
            <w:hideMark/>
          </w:tcPr>
          <w:p w14:paraId="2A2D2FE9" w14:textId="77777777" w:rsidR="00E86A5D" w:rsidRPr="00074FD1" w:rsidRDefault="00E86A5D" w:rsidP="00074FD1">
            <w:pPr>
              <w:pStyle w:val="NoSpacing"/>
              <w:rPr>
                <w:rFonts w:ascii="Arial" w:hAnsi="Arial" w:cs="Arial"/>
                <w:b/>
                <w:sz w:val="20"/>
                <w:szCs w:val="20"/>
              </w:rPr>
            </w:pPr>
            <w:r w:rsidRPr="00074FD1">
              <w:rPr>
                <w:rFonts w:ascii="Arial" w:hAnsi="Arial" w:cs="Arial"/>
                <w:b/>
                <w:sz w:val="20"/>
                <w:szCs w:val="20"/>
              </w:rPr>
              <w:t>Class of Drug</w:t>
            </w:r>
          </w:p>
        </w:tc>
        <w:tc>
          <w:tcPr>
            <w:tcW w:w="0" w:type="auto"/>
            <w:hideMark/>
          </w:tcPr>
          <w:p w14:paraId="2293D22A" w14:textId="77777777" w:rsidR="00E86A5D" w:rsidRPr="00074FD1" w:rsidRDefault="00E86A5D" w:rsidP="00074FD1">
            <w:pPr>
              <w:pStyle w:val="NoSpacing"/>
              <w:rPr>
                <w:rFonts w:ascii="Arial" w:hAnsi="Arial" w:cs="Arial"/>
                <w:b/>
                <w:sz w:val="20"/>
                <w:szCs w:val="20"/>
              </w:rPr>
            </w:pPr>
            <w:r w:rsidRPr="00074FD1">
              <w:rPr>
                <w:rFonts w:ascii="Arial" w:hAnsi="Arial" w:cs="Arial"/>
                <w:b/>
                <w:sz w:val="20"/>
                <w:szCs w:val="20"/>
              </w:rPr>
              <w:t>Concerns</w:t>
            </w:r>
          </w:p>
        </w:tc>
        <w:tc>
          <w:tcPr>
            <w:tcW w:w="0" w:type="auto"/>
            <w:hideMark/>
          </w:tcPr>
          <w:p w14:paraId="1BF26AE7" w14:textId="77777777" w:rsidR="00E86A5D" w:rsidRPr="00074FD1" w:rsidRDefault="00E86A5D" w:rsidP="00074FD1">
            <w:pPr>
              <w:pStyle w:val="NoSpacing"/>
              <w:rPr>
                <w:rFonts w:ascii="Arial" w:hAnsi="Arial" w:cs="Arial"/>
                <w:b/>
                <w:sz w:val="20"/>
                <w:szCs w:val="20"/>
              </w:rPr>
            </w:pPr>
            <w:r w:rsidRPr="00074FD1">
              <w:rPr>
                <w:rFonts w:ascii="Arial" w:hAnsi="Arial" w:cs="Arial"/>
                <w:b/>
                <w:sz w:val="20"/>
                <w:szCs w:val="20"/>
              </w:rPr>
              <w:t>Recommendations</w:t>
            </w:r>
          </w:p>
        </w:tc>
      </w:tr>
      <w:tr w:rsidR="00E86A5D" w:rsidRPr="00074FD1" w14:paraId="4C028863" w14:textId="77777777" w:rsidTr="00074FD1">
        <w:trPr>
          <w:trHeight w:val="999"/>
        </w:trPr>
        <w:tc>
          <w:tcPr>
            <w:tcW w:w="0" w:type="auto"/>
            <w:hideMark/>
          </w:tcPr>
          <w:p w14:paraId="047312A1"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Antiplatelets</w:t>
            </w:r>
            <w:r w:rsidRPr="00074FD1">
              <w:rPr>
                <w:rFonts w:ascii="Arial" w:hAnsi="Arial" w:cs="Arial"/>
                <w:color w:val="383838"/>
                <w:sz w:val="20"/>
                <w:szCs w:val="20"/>
              </w:rPr>
              <w:br/>
              <w:t>• P2Y12 inhibitors</w:t>
            </w:r>
          </w:p>
        </w:tc>
        <w:tc>
          <w:tcPr>
            <w:tcW w:w="0" w:type="auto"/>
            <w:hideMark/>
          </w:tcPr>
          <w:p w14:paraId="4D9E63BC"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Increased risk of bleeding</w:t>
            </w:r>
            <w:r w:rsidRPr="00074FD1">
              <w:rPr>
                <w:rFonts w:ascii="Arial" w:hAnsi="Arial" w:cs="Arial"/>
                <w:color w:val="383838"/>
                <w:sz w:val="20"/>
                <w:szCs w:val="20"/>
              </w:rPr>
              <w:br/>
              <w:t>• In patients receiving lopinavir/ritonavir, there is an increased risk of bleeding with ticagrelor and decreased antiplatelet activity with clopidogrel</w:t>
            </w:r>
          </w:p>
        </w:tc>
        <w:tc>
          <w:tcPr>
            <w:tcW w:w="0" w:type="auto"/>
            <w:hideMark/>
          </w:tcPr>
          <w:p w14:paraId="5064F472"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For patients undergoing fibrinolysis, and with coagulopathy, clopidogrel is preferred</w:t>
            </w:r>
            <w:r w:rsidRPr="00074FD1">
              <w:rPr>
                <w:rFonts w:ascii="Arial" w:hAnsi="Arial" w:cs="Arial"/>
                <w:color w:val="383838"/>
                <w:sz w:val="20"/>
                <w:szCs w:val="20"/>
              </w:rPr>
              <w:br/>
              <w:t>• Prasugrel is recommended with lopinavir/ritonavir</w:t>
            </w:r>
          </w:p>
        </w:tc>
      </w:tr>
      <w:tr w:rsidR="00E86A5D" w:rsidRPr="00074FD1" w14:paraId="1733B143" w14:textId="77777777" w:rsidTr="00074FD1">
        <w:trPr>
          <w:trHeight w:val="571"/>
        </w:trPr>
        <w:tc>
          <w:tcPr>
            <w:tcW w:w="0" w:type="auto"/>
            <w:hideMark/>
          </w:tcPr>
          <w:p w14:paraId="1837290A"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Glycoprotein IIb/IIIa inhibitors</w:t>
            </w:r>
          </w:p>
        </w:tc>
        <w:tc>
          <w:tcPr>
            <w:tcW w:w="0" w:type="auto"/>
            <w:hideMark/>
          </w:tcPr>
          <w:p w14:paraId="172E2DC4"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Increased risk of bleeding</w:t>
            </w:r>
          </w:p>
        </w:tc>
        <w:tc>
          <w:tcPr>
            <w:tcW w:w="0" w:type="auto"/>
            <w:hideMark/>
          </w:tcPr>
          <w:p w14:paraId="619E7678" w14:textId="77777777" w:rsidR="00E86A5D" w:rsidRPr="00074FD1" w:rsidRDefault="00E86A5D" w:rsidP="00074FD1">
            <w:pPr>
              <w:pStyle w:val="NoSpacing"/>
              <w:rPr>
                <w:rFonts w:ascii="Arial" w:hAnsi="Arial" w:cs="Arial"/>
                <w:color w:val="383838"/>
                <w:sz w:val="20"/>
                <w:szCs w:val="20"/>
              </w:rPr>
            </w:pPr>
          </w:p>
        </w:tc>
      </w:tr>
      <w:tr w:rsidR="00E86A5D" w:rsidRPr="00074FD1" w14:paraId="2BE30F9F" w14:textId="77777777" w:rsidTr="00074FD1">
        <w:trPr>
          <w:trHeight w:val="585"/>
        </w:trPr>
        <w:tc>
          <w:tcPr>
            <w:tcW w:w="0" w:type="auto"/>
            <w:hideMark/>
          </w:tcPr>
          <w:p w14:paraId="35241EBF"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Anticoagulants</w:t>
            </w:r>
            <w:r w:rsidRPr="00074FD1">
              <w:rPr>
                <w:rFonts w:ascii="Arial" w:hAnsi="Arial" w:cs="Arial"/>
                <w:color w:val="383838"/>
                <w:sz w:val="20"/>
                <w:szCs w:val="20"/>
              </w:rPr>
              <w:br/>
              <w:t>• LMWH</w:t>
            </w:r>
          </w:p>
        </w:tc>
        <w:tc>
          <w:tcPr>
            <w:tcW w:w="0" w:type="auto"/>
            <w:hideMark/>
          </w:tcPr>
          <w:p w14:paraId="45BC6332"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Increased risk of bleeding</w:t>
            </w:r>
          </w:p>
        </w:tc>
        <w:tc>
          <w:tcPr>
            <w:tcW w:w="0" w:type="auto"/>
            <w:hideMark/>
          </w:tcPr>
          <w:p w14:paraId="67365EE3"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 patients with coagulopathy and fibrinolytic therapy, LMWH is preferred</w:t>
            </w:r>
          </w:p>
        </w:tc>
      </w:tr>
      <w:tr w:rsidR="00E86A5D" w:rsidRPr="00074FD1" w14:paraId="35053D19" w14:textId="77777777" w:rsidTr="00074FD1">
        <w:trPr>
          <w:trHeight w:val="785"/>
        </w:trPr>
        <w:tc>
          <w:tcPr>
            <w:tcW w:w="0" w:type="auto"/>
            <w:hideMark/>
          </w:tcPr>
          <w:p w14:paraId="40DB027B"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UFH</w:t>
            </w:r>
          </w:p>
        </w:tc>
        <w:tc>
          <w:tcPr>
            <w:tcW w:w="0" w:type="auto"/>
            <w:hideMark/>
          </w:tcPr>
          <w:p w14:paraId="2CFAF99C"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There is an increased bleeding risk</w:t>
            </w:r>
          </w:p>
        </w:tc>
        <w:tc>
          <w:tcPr>
            <w:tcW w:w="0" w:type="auto"/>
            <w:hideMark/>
          </w:tcPr>
          <w:p w14:paraId="33468FBE"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If the patient is considered to be at high risk of bleeding, UFH should be considered.</w:t>
            </w:r>
          </w:p>
        </w:tc>
      </w:tr>
      <w:tr w:rsidR="00E86A5D" w:rsidRPr="00074FD1" w14:paraId="635BD4F3" w14:textId="77777777" w:rsidTr="00074FD1">
        <w:trPr>
          <w:trHeight w:val="785"/>
        </w:trPr>
        <w:tc>
          <w:tcPr>
            <w:tcW w:w="0" w:type="auto"/>
            <w:hideMark/>
          </w:tcPr>
          <w:p w14:paraId="2505B017"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Rivaroxaban</w:t>
            </w:r>
          </w:p>
        </w:tc>
        <w:tc>
          <w:tcPr>
            <w:tcW w:w="0" w:type="auto"/>
            <w:hideMark/>
          </w:tcPr>
          <w:p w14:paraId="66412B2F"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 patients receiving lopinavir/ritonavir, there is an increased risk of bleeding</w:t>
            </w:r>
            <w:r w:rsidRPr="00074FD1">
              <w:rPr>
                <w:rFonts w:ascii="Arial" w:hAnsi="Arial" w:cs="Arial"/>
                <w:color w:val="383838"/>
                <w:sz w:val="20"/>
                <w:szCs w:val="20"/>
              </w:rPr>
              <w:br/>
              <w:t>• There is interaction with tocilizumab</w:t>
            </w:r>
          </w:p>
        </w:tc>
        <w:tc>
          <w:tcPr>
            <w:tcW w:w="0" w:type="auto"/>
            <w:hideMark/>
          </w:tcPr>
          <w:p w14:paraId="6D229931"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It is contraindicated with lopinavir/ritonavir</w:t>
            </w:r>
            <w:r w:rsidRPr="00074FD1">
              <w:rPr>
                <w:rFonts w:ascii="Arial" w:hAnsi="Arial" w:cs="Arial"/>
                <w:color w:val="383838"/>
                <w:sz w:val="20"/>
                <w:szCs w:val="20"/>
              </w:rPr>
              <w:br/>
              <w:t>• Not recommended with tocilizumab</w:t>
            </w:r>
          </w:p>
        </w:tc>
      </w:tr>
      <w:tr w:rsidR="00E86A5D" w:rsidRPr="00074FD1" w14:paraId="2A46C679" w14:textId="77777777" w:rsidTr="00074FD1">
        <w:trPr>
          <w:trHeight w:val="799"/>
        </w:trPr>
        <w:tc>
          <w:tcPr>
            <w:tcW w:w="0" w:type="auto"/>
            <w:hideMark/>
          </w:tcPr>
          <w:p w14:paraId="55055AB3"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Apixaban</w:t>
            </w:r>
          </w:p>
        </w:tc>
        <w:tc>
          <w:tcPr>
            <w:tcW w:w="0" w:type="auto"/>
            <w:hideMark/>
          </w:tcPr>
          <w:p w14:paraId="4975587F"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 patients receiving lopinavir/ritonavir, there is an increased risk of bleeding</w:t>
            </w:r>
            <w:r w:rsidRPr="00074FD1">
              <w:rPr>
                <w:rFonts w:ascii="Arial" w:hAnsi="Arial" w:cs="Arial"/>
                <w:color w:val="383838"/>
                <w:sz w:val="20"/>
                <w:szCs w:val="20"/>
              </w:rPr>
              <w:br/>
              <w:t>• Interaction with tocilizumab</w:t>
            </w:r>
          </w:p>
        </w:tc>
        <w:tc>
          <w:tcPr>
            <w:tcW w:w="0" w:type="auto"/>
            <w:hideMark/>
          </w:tcPr>
          <w:p w14:paraId="35D0E750"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Contraindicated or reduce dose by 50% with lopinavir/ritonavir</w:t>
            </w:r>
            <w:r w:rsidRPr="00074FD1">
              <w:rPr>
                <w:rFonts w:ascii="Arial" w:hAnsi="Arial" w:cs="Arial"/>
                <w:color w:val="383838"/>
                <w:sz w:val="20"/>
                <w:szCs w:val="20"/>
              </w:rPr>
              <w:br/>
              <w:t>• It is not recommended with tocilizumab</w:t>
            </w:r>
          </w:p>
        </w:tc>
      </w:tr>
      <w:tr w:rsidR="00E86A5D" w:rsidRPr="00074FD1" w14:paraId="08D59E8B" w14:textId="77777777" w:rsidTr="00074FD1">
        <w:trPr>
          <w:trHeight w:val="571"/>
        </w:trPr>
        <w:tc>
          <w:tcPr>
            <w:tcW w:w="0" w:type="auto"/>
            <w:hideMark/>
          </w:tcPr>
          <w:p w14:paraId="7838E4B3"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Dabigatran</w:t>
            </w:r>
          </w:p>
        </w:tc>
        <w:tc>
          <w:tcPr>
            <w:tcW w:w="0" w:type="auto"/>
            <w:hideMark/>
          </w:tcPr>
          <w:p w14:paraId="39AA9193"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 patients receiving lopinavir/ritonavir, there is an increased risk of bleeding</w:t>
            </w:r>
          </w:p>
        </w:tc>
        <w:tc>
          <w:tcPr>
            <w:tcW w:w="0" w:type="auto"/>
            <w:hideMark/>
          </w:tcPr>
          <w:p w14:paraId="5F9F99A1"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It is not recommended as an option, data lacking</w:t>
            </w:r>
          </w:p>
        </w:tc>
      </w:tr>
      <w:tr w:rsidR="00E86A5D" w:rsidRPr="00074FD1" w14:paraId="7963E641" w14:textId="77777777" w:rsidTr="00074FD1">
        <w:trPr>
          <w:trHeight w:val="999"/>
        </w:trPr>
        <w:tc>
          <w:tcPr>
            <w:tcW w:w="0" w:type="auto"/>
            <w:hideMark/>
          </w:tcPr>
          <w:p w14:paraId="062FE0F0"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xml:space="preserve">• </w:t>
            </w:r>
            <w:proofErr w:type="spellStart"/>
            <w:r w:rsidRPr="00074FD1">
              <w:rPr>
                <w:rFonts w:ascii="Arial" w:hAnsi="Arial" w:cs="Arial"/>
                <w:color w:val="383838"/>
                <w:sz w:val="20"/>
                <w:szCs w:val="20"/>
              </w:rPr>
              <w:t>Edoxaban</w:t>
            </w:r>
            <w:proofErr w:type="spellEnd"/>
          </w:p>
        </w:tc>
        <w:tc>
          <w:tcPr>
            <w:tcW w:w="0" w:type="auto"/>
            <w:hideMark/>
          </w:tcPr>
          <w:p w14:paraId="75D511A1"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 patients receiving lopinavir/ritonavir, increased bleeding risk</w:t>
            </w:r>
          </w:p>
        </w:tc>
        <w:tc>
          <w:tcPr>
            <w:tcW w:w="0" w:type="auto"/>
            <w:hideMark/>
          </w:tcPr>
          <w:p w14:paraId="0A124168"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Stroke prevention in non-valvular Atrial fibrillation: there is no adjustment of dose</w:t>
            </w:r>
            <w:r w:rsidRPr="00074FD1">
              <w:rPr>
                <w:rFonts w:ascii="Arial" w:hAnsi="Arial" w:cs="Arial"/>
                <w:color w:val="383838"/>
                <w:sz w:val="20"/>
                <w:szCs w:val="20"/>
              </w:rPr>
              <w:br/>
              <w:t>• Venous thromboembolism indication: to reduce 50% dose</w:t>
            </w:r>
          </w:p>
        </w:tc>
      </w:tr>
      <w:tr w:rsidR="00E86A5D" w:rsidRPr="00074FD1" w14:paraId="6254AC83" w14:textId="77777777" w:rsidTr="00074FD1">
        <w:trPr>
          <w:trHeight w:val="585"/>
        </w:trPr>
        <w:tc>
          <w:tcPr>
            <w:tcW w:w="0" w:type="auto"/>
            <w:hideMark/>
          </w:tcPr>
          <w:p w14:paraId="088543A7"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Warfarin</w:t>
            </w:r>
          </w:p>
        </w:tc>
        <w:tc>
          <w:tcPr>
            <w:tcW w:w="0" w:type="auto"/>
            <w:hideMark/>
          </w:tcPr>
          <w:p w14:paraId="7B8110D7"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Patients receiving lopinavir or ritonavir or tocilizumab may reduce or increase INR</w:t>
            </w:r>
          </w:p>
        </w:tc>
        <w:tc>
          <w:tcPr>
            <w:tcW w:w="0" w:type="auto"/>
            <w:hideMark/>
          </w:tcPr>
          <w:p w14:paraId="21700AA2"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OAC of choice, to monitor INR</w:t>
            </w:r>
          </w:p>
        </w:tc>
      </w:tr>
      <w:tr w:rsidR="00E86A5D" w:rsidRPr="00074FD1" w14:paraId="1E8372FB" w14:textId="77777777" w:rsidTr="00074FD1">
        <w:trPr>
          <w:trHeight w:val="357"/>
        </w:trPr>
        <w:tc>
          <w:tcPr>
            <w:tcW w:w="0" w:type="auto"/>
            <w:hideMark/>
          </w:tcPr>
          <w:p w14:paraId="656AF840"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Fibrinolytics</w:t>
            </w:r>
          </w:p>
        </w:tc>
        <w:tc>
          <w:tcPr>
            <w:tcW w:w="0" w:type="auto"/>
            <w:hideMark/>
          </w:tcPr>
          <w:p w14:paraId="53C2A736"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There is an increased risk of bleeding</w:t>
            </w:r>
          </w:p>
        </w:tc>
        <w:tc>
          <w:tcPr>
            <w:tcW w:w="0" w:type="auto"/>
            <w:hideMark/>
          </w:tcPr>
          <w:p w14:paraId="6D959509"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xml:space="preserve">• </w:t>
            </w:r>
            <w:proofErr w:type="spellStart"/>
            <w:r w:rsidRPr="00074FD1">
              <w:rPr>
                <w:rFonts w:ascii="Arial" w:hAnsi="Arial" w:cs="Arial"/>
                <w:color w:val="383838"/>
                <w:sz w:val="20"/>
                <w:szCs w:val="20"/>
              </w:rPr>
              <w:t>Tenecteplase</w:t>
            </w:r>
            <w:proofErr w:type="spellEnd"/>
            <w:r w:rsidRPr="00074FD1">
              <w:rPr>
                <w:rFonts w:ascii="Arial" w:hAnsi="Arial" w:cs="Arial"/>
                <w:color w:val="383838"/>
                <w:sz w:val="20"/>
                <w:szCs w:val="20"/>
              </w:rPr>
              <w:t xml:space="preserve"> is preferred</w:t>
            </w:r>
          </w:p>
        </w:tc>
      </w:tr>
      <w:tr w:rsidR="00E86A5D" w:rsidRPr="00074FD1" w14:paraId="400A29C9" w14:textId="77777777" w:rsidTr="00074FD1">
        <w:trPr>
          <w:trHeight w:val="785"/>
        </w:trPr>
        <w:tc>
          <w:tcPr>
            <w:tcW w:w="0" w:type="auto"/>
            <w:hideMark/>
          </w:tcPr>
          <w:p w14:paraId="33DED2A3"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Statins</w:t>
            </w:r>
          </w:p>
        </w:tc>
        <w:tc>
          <w:tcPr>
            <w:tcW w:w="0" w:type="auto"/>
            <w:hideMark/>
          </w:tcPr>
          <w:p w14:paraId="06438DB0"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There is an increased risk of hepatotoxicity</w:t>
            </w:r>
            <w:r w:rsidRPr="00074FD1">
              <w:rPr>
                <w:rFonts w:ascii="Arial" w:hAnsi="Arial" w:cs="Arial"/>
                <w:color w:val="383838"/>
                <w:sz w:val="20"/>
                <w:szCs w:val="20"/>
              </w:rPr>
              <w:br/>
              <w:t>• There is an increased effect with lopinavir or ritonavir</w:t>
            </w:r>
            <w:r w:rsidRPr="00074FD1">
              <w:rPr>
                <w:rFonts w:ascii="Arial" w:hAnsi="Arial" w:cs="Arial"/>
                <w:color w:val="383838"/>
                <w:sz w:val="20"/>
                <w:szCs w:val="20"/>
              </w:rPr>
              <w:br/>
              <w:t>• Decreased effect with tocilizumab</w:t>
            </w:r>
          </w:p>
        </w:tc>
        <w:tc>
          <w:tcPr>
            <w:tcW w:w="0" w:type="auto"/>
            <w:hideMark/>
          </w:tcPr>
          <w:p w14:paraId="689F3D93"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Monitor liver function tests</w:t>
            </w:r>
            <w:r w:rsidRPr="00074FD1">
              <w:rPr>
                <w:rFonts w:ascii="Arial" w:hAnsi="Arial" w:cs="Arial"/>
                <w:color w:val="383838"/>
                <w:sz w:val="20"/>
                <w:szCs w:val="20"/>
              </w:rPr>
              <w:br/>
              <w:t>• Reduce dose with lopinavir/ritonavir</w:t>
            </w:r>
            <w:r w:rsidRPr="00074FD1">
              <w:rPr>
                <w:rFonts w:ascii="Arial" w:hAnsi="Arial" w:cs="Arial"/>
                <w:color w:val="383838"/>
                <w:sz w:val="20"/>
                <w:szCs w:val="20"/>
              </w:rPr>
              <w:br/>
              <w:t>• Monitor with tocilizumab</w:t>
            </w:r>
          </w:p>
        </w:tc>
      </w:tr>
      <w:tr w:rsidR="00E86A5D" w:rsidRPr="00074FD1" w14:paraId="0FE7CBAA" w14:textId="77777777" w:rsidTr="00074FD1">
        <w:trPr>
          <w:trHeight w:val="585"/>
        </w:trPr>
        <w:tc>
          <w:tcPr>
            <w:tcW w:w="0" w:type="auto"/>
            <w:hideMark/>
          </w:tcPr>
          <w:p w14:paraId="60F1E7BF"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Beta blockers</w:t>
            </w:r>
          </w:p>
        </w:tc>
        <w:tc>
          <w:tcPr>
            <w:tcW w:w="0" w:type="auto"/>
            <w:hideMark/>
          </w:tcPr>
          <w:p w14:paraId="3B548186"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There is an increased risk of bradycardia, hypotension, and AV block with the use of protease inhibitors.</w:t>
            </w:r>
          </w:p>
        </w:tc>
        <w:tc>
          <w:tcPr>
            <w:tcW w:w="0" w:type="auto"/>
            <w:hideMark/>
          </w:tcPr>
          <w:p w14:paraId="33F9C42D"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Metoprolol and bisoprolol are indicated</w:t>
            </w:r>
            <w:r w:rsidRPr="00074FD1">
              <w:rPr>
                <w:rFonts w:ascii="Arial" w:hAnsi="Arial" w:cs="Arial"/>
                <w:color w:val="383838"/>
                <w:sz w:val="20"/>
                <w:szCs w:val="20"/>
              </w:rPr>
              <w:br/>
              <w:t>• Monitor BP and HR</w:t>
            </w:r>
          </w:p>
        </w:tc>
      </w:tr>
      <w:tr w:rsidR="00E86A5D" w:rsidRPr="00074FD1" w14:paraId="4F536E4D" w14:textId="77777777" w:rsidTr="00074FD1">
        <w:trPr>
          <w:trHeight w:val="999"/>
        </w:trPr>
        <w:tc>
          <w:tcPr>
            <w:tcW w:w="0" w:type="auto"/>
            <w:hideMark/>
          </w:tcPr>
          <w:p w14:paraId="4A7D0004"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ACEI/ARB/ARNI</w:t>
            </w:r>
          </w:p>
        </w:tc>
        <w:tc>
          <w:tcPr>
            <w:tcW w:w="0" w:type="auto"/>
            <w:hideMark/>
          </w:tcPr>
          <w:p w14:paraId="38766954"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There is an increased effect of losartan and irbesartan with lopinavir or ritonavir</w:t>
            </w:r>
            <w:r w:rsidRPr="00074FD1">
              <w:rPr>
                <w:rFonts w:ascii="Arial" w:hAnsi="Arial" w:cs="Arial"/>
                <w:color w:val="383838"/>
                <w:sz w:val="20"/>
                <w:szCs w:val="20"/>
              </w:rPr>
              <w:br/>
              <w:t>• Increased effects of valsartan with lopinavir/ritonavir</w:t>
            </w:r>
            <w:r w:rsidRPr="00074FD1">
              <w:rPr>
                <w:rFonts w:ascii="Arial" w:hAnsi="Arial" w:cs="Arial"/>
                <w:color w:val="383838"/>
                <w:sz w:val="20"/>
                <w:szCs w:val="20"/>
              </w:rPr>
              <w:br/>
            </w:r>
            <w:r w:rsidRPr="00074FD1">
              <w:rPr>
                <w:rFonts w:ascii="Arial" w:hAnsi="Arial" w:cs="Arial"/>
                <w:color w:val="383838"/>
                <w:sz w:val="20"/>
                <w:szCs w:val="20"/>
              </w:rPr>
              <w:lastRenderedPageBreak/>
              <w:t>• Increased concentration of sacubitril with lopinavir/ritonavir</w:t>
            </w:r>
          </w:p>
        </w:tc>
        <w:tc>
          <w:tcPr>
            <w:tcW w:w="0" w:type="auto"/>
            <w:hideMark/>
          </w:tcPr>
          <w:p w14:paraId="31B3871F"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lastRenderedPageBreak/>
              <w:t>• Continuation of ACEI/ARB</w:t>
            </w:r>
            <w:r w:rsidRPr="00074FD1">
              <w:rPr>
                <w:rFonts w:ascii="Arial" w:hAnsi="Arial" w:cs="Arial"/>
                <w:color w:val="383838"/>
                <w:sz w:val="20"/>
                <w:szCs w:val="20"/>
              </w:rPr>
              <w:br/>
              <w:t xml:space="preserve">• Monitor BP, </w:t>
            </w:r>
            <w:proofErr w:type="spellStart"/>
            <w:r w:rsidRPr="00074FD1">
              <w:rPr>
                <w:rFonts w:ascii="Arial" w:hAnsi="Arial" w:cs="Arial"/>
                <w:color w:val="383838"/>
                <w:sz w:val="20"/>
                <w:szCs w:val="20"/>
              </w:rPr>
              <w:t>SCr</w:t>
            </w:r>
            <w:proofErr w:type="spellEnd"/>
            <w:r w:rsidRPr="00074FD1">
              <w:rPr>
                <w:rFonts w:ascii="Arial" w:hAnsi="Arial" w:cs="Arial"/>
                <w:color w:val="383838"/>
                <w:sz w:val="20"/>
                <w:szCs w:val="20"/>
              </w:rPr>
              <w:t>, and K</w:t>
            </w:r>
          </w:p>
        </w:tc>
      </w:tr>
      <w:tr w:rsidR="00E86A5D" w:rsidRPr="00074FD1" w14:paraId="25406607" w14:textId="77777777" w:rsidTr="00074FD1">
        <w:trPr>
          <w:trHeight w:val="785"/>
        </w:trPr>
        <w:tc>
          <w:tcPr>
            <w:tcW w:w="0" w:type="auto"/>
            <w:hideMark/>
          </w:tcPr>
          <w:p w14:paraId="4EBB6919"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Mineralocorticoid antagonists</w:t>
            </w:r>
          </w:p>
        </w:tc>
        <w:tc>
          <w:tcPr>
            <w:tcW w:w="0" w:type="auto"/>
            <w:hideMark/>
          </w:tcPr>
          <w:p w14:paraId="06BBB7DB"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Increased risk of adverse effects with lopinavir/ritonavir</w:t>
            </w:r>
          </w:p>
        </w:tc>
        <w:tc>
          <w:tcPr>
            <w:tcW w:w="0" w:type="auto"/>
            <w:hideMark/>
          </w:tcPr>
          <w:p w14:paraId="6A8902E1"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Spironolactone is preferred</w:t>
            </w:r>
            <w:r w:rsidRPr="00074FD1">
              <w:rPr>
                <w:rFonts w:ascii="Arial" w:hAnsi="Arial" w:cs="Arial"/>
                <w:color w:val="383838"/>
                <w:sz w:val="20"/>
                <w:szCs w:val="20"/>
              </w:rPr>
              <w:br/>
              <w:t>• Eplerenone is contraindicated</w:t>
            </w:r>
            <w:r w:rsidRPr="00074FD1">
              <w:rPr>
                <w:rFonts w:ascii="Arial" w:hAnsi="Arial" w:cs="Arial"/>
                <w:color w:val="383838"/>
                <w:sz w:val="20"/>
                <w:szCs w:val="20"/>
              </w:rPr>
              <w:br/>
              <w:t xml:space="preserve">• Monitor serum electrolytes and </w:t>
            </w:r>
            <w:proofErr w:type="spellStart"/>
            <w:r w:rsidRPr="00074FD1">
              <w:rPr>
                <w:rFonts w:ascii="Arial" w:hAnsi="Arial" w:cs="Arial"/>
                <w:color w:val="383838"/>
                <w:sz w:val="20"/>
                <w:szCs w:val="20"/>
              </w:rPr>
              <w:t>SCr</w:t>
            </w:r>
            <w:proofErr w:type="spellEnd"/>
          </w:p>
        </w:tc>
      </w:tr>
      <w:tr w:rsidR="00E86A5D" w:rsidRPr="00074FD1" w14:paraId="288387C8" w14:textId="77777777" w:rsidTr="00074FD1">
        <w:trPr>
          <w:trHeight w:val="799"/>
        </w:trPr>
        <w:tc>
          <w:tcPr>
            <w:tcW w:w="0" w:type="auto"/>
            <w:hideMark/>
          </w:tcPr>
          <w:p w14:paraId="3296F0C9"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Diuretics</w:t>
            </w:r>
          </w:p>
        </w:tc>
        <w:tc>
          <w:tcPr>
            <w:tcW w:w="0" w:type="auto"/>
            <w:hideMark/>
          </w:tcPr>
          <w:p w14:paraId="63A02B7B"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Increase the concentration of indapamide with lopinavir/ritonavir</w:t>
            </w:r>
          </w:p>
        </w:tc>
        <w:tc>
          <w:tcPr>
            <w:tcW w:w="0" w:type="auto"/>
            <w:hideMark/>
          </w:tcPr>
          <w:p w14:paraId="12B0ED12"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xml:space="preserve">• Monitor BP, serum electrolytes for prevention of </w:t>
            </w:r>
            <w:proofErr w:type="spellStart"/>
            <w:r w:rsidRPr="00074FD1">
              <w:rPr>
                <w:rFonts w:ascii="Arial" w:hAnsi="Arial" w:cs="Arial"/>
                <w:color w:val="383838"/>
                <w:sz w:val="20"/>
                <w:szCs w:val="20"/>
              </w:rPr>
              <w:t>TdP</w:t>
            </w:r>
            <w:proofErr w:type="spellEnd"/>
            <w:r w:rsidRPr="00074FD1">
              <w:rPr>
                <w:rFonts w:ascii="Arial" w:hAnsi="Arial" w:cs="Arial"/>
                <w:color w:val="383838"/>
                <w:sz w:val="20"/>
                <w:szCs w:val="20"/>
              </w:rPr>
              <w:br/>
              <w:t>• Monitor BUN/</w:t>
            </w:r>
            <w:proofErr w:type="spellStart"/>
            <w:r w:rsidRPr="00074FD1">
              <w:rPr>
                <w:rFonts w:ascii="Arial" w:hAnsi="Arial" w:cs="Arial"/>
                <w:color w:val="383838"/>
                <w:sz w:val="20"/>
                <w:szCs w:val="20"/>
              </w:rPr>
              <w:t>SCr</w:t>
            </w:r>
            <w:proofErr w:type="spellEnd"/>
          </w:p>
        </w:tc>
      </w:tr>
      <w:tr w:rsidR="00E86A5D" w:rsidRPr="00074FD1" w14:paraId="65CC0B35" w14:textId="77777777" w:rsidTr="00074FD1">
        <w:trPr>
          <w:trHeight w:val="357"/>
        </w:trPr>
        <w:tc>
          <w:tcPr>
            <w:tcW w:w="0" w:type="auto"/>
            <w:hideMark/>
          </w:tcPr>
          <w:p w14:paraId="58FCDEFE"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Digoxin</w:t>
            </w:r>
          </w:p>
        </w:tc>
        <w:tc>
          <w:tcPr>
            <w:tcW w:w="0" w:type="auto"/>
            <w:hideMark/>
          </w:tcPr>
          <w:p w14:paraId="7803A038"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Increased risk of toxicity</w:t>
            </w:r>
          </w:p>
        </w:tc>
        <w:tc>
          <w:tcPr>
            <w:tcW w:w="0" w:type="auto"/>
            <w:hideMark/>
          </w:tcPr>
          <w:p w14:paraId="3E267E67"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Monitor digoxin concentration</w:t>
            </w:r>
          </w:p>
        </w:tc>
      </w:tr>
      <w:tr w:rsidR="00E86A5D" w:rsidRPr="00074FD1" w14:paraId="2962E3A8" w14:textId="77777777" w:rsidTr="00074FD1">
        <w:trPr>
          <w:trHeight w:val="585"/>
        </w:trPr>
        <w:tc>
          <w:tcPr>
            <w:tcW w:w="0" w:type="auto"/>
            <w:hideMark/>
          </w:tcPr>
          <w:p w14:paraId="5FD6EFA1"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Ivabradine</w:t>
            </w:r>
          </w:p>
        </w:tc>
        <w:tc>
          <w:tcPr>
            <w:tcW w:w="0" w:type="auto"/>
            <w:hideMark/>
          </w:tcPr>
          <w:p w14:paraId="53B3EB99"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Increased risk of adverse effects with lopinavir/ritonavir</w:t>
            </w:r>
          </w:p>
        </w:tc>
        <w:tc>
          <w:tcPr>
            <w:tcW w:w="0" w:type="auto"/>
            <w:hideMark/>
          </w:tcPr>
          <w:p w14:paraId="38622CF1"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Do not co-administer with lopinavir/ritonavir</w:t>
            </w:r>
          </w:p>
        </w:tc>
      </w:tr>
      <w:tr w:rsidR="00E86A5D" w:rsidRPr="00074FD1" w14:paraId="48999400" w14:textId="77777777" w:rsidTr="00074FD1">
        <w:trPr>
          <w:trHeight w:val="2271"/>
        </w:trPr>
        <w:tc>
          <w:tcPr>
            <w:tcW w:w="0" w:type="auto"/>
            <w:hideMark/>
          </w:tcPr>
          <w:p w14:paraId="51C47028"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Antiarrhythmics</w:t>
            </w:r>
          </w:p>
        </w:tc>
        <w:tc>
          <w:tcPr>
            <w:tcW w:w="0" w:type="auto"/>
            <w:hideMark/>
          </w:tcPr>
          <w:p w14:paraId="780F9D59"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xml:space="preserve">• Increased risk of QT prolongation and </w:t>
            </w:r>
            <w:proofErr w:type="spellStart"/>
            <w:r w:rsidRPr="00074FD1">
              <w:rPr>
                <w:rFonts w:ascii="Arial" w:hAnsi="Arial" w:cs="Arial"/>
                <w:color w:val="383838"/>
                <w:sz w:val="20"/>
                <w:szCs w:val="20"/>
              </w:rPr>
              <w:t>TdP</w:t>
            </w:r>
            <w:proofErr w:type="spellEnd"/>
            <w:r w:rsidRPr="00074FD1">
              <w:rPr>
                <w:rFonts w:ascii="Arial" w:hAnsi="Arial" w:cs="Arial"/>
                <w:color w:val="383838"/>
                <w:sz w:val="20"/>
                <w:szCs w:val="20"/>
              </w:rPr>
              <w:t xml:space="preserve"> with concomitant use of chloroquine/hydroxychloroquine</w:t>
            </w:r>
            <w:r w:rsidRPr="00074FD1">
              <w:rPr>
                <w:rFonts w:ascii="Arial" w:hAnsi="Arial" w:cs="Arial"/>
                <w:color w:val="383838"/>
                <w:sz w:val="20"/>
                <w:szCs w:val="20"/>
              </w:rPr>
              <w:br/>
              <w:t>• Increased antiarrhythmic effects with protease inhibitors</w:t>
            </w:r>
          </w:p>
        </w:tc>
        <w:tc>
          <w:tcPr>
            <w:tcW w:w="0" w:type="auto"/>
            <w:hideMark/>
          </w:tcPr>
          <w:p w14:paraId="0A1451FA"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Monitor ECG before initiation</w:t>
            </w:r>
            <w:r w:rsidRPr="00074FD1">
              <w:rPr>
                <w:rFonts w:ascii="Arial" w:hAnsi="Arial" w:cs="Arial"/>
                <w:color w:val="383838"/>
                <w:sz w:val="20"/>
                <w:szCs w:val="20"/>
              </w:rPr>
              <w:br/>
              <w:t>• Maintain serum Mg &gt;2 and K &gt;4 mg/dL</w:t>
            </w:r>
            <w:r w:rsidRPr="00074FD1">
              <w:rPr>
                <w:rFonts w:ascii="Arial" w:hAnsi="Arial" w:cs="Arial"/>
                <w:color w:val="383838"/>
                <w:sz w:val="20"/>
                <w:szCs w:val="20"/>
              </w:rPr>
              <w:br/>
              <w:t>• Lidocaine and quinidine are preferred. Monitor ECG and adjust the dose if necessary</w:t>
            </w:r>
            <w:r w:rsidRPr="00074FD1">
              <w:rPr>
                <w:rFonts w:ascii="Arial" w:hAnsi="Arial" w:cs="Arial"/>
                <w:color w:val="383838"/>
                <w:sz w:val="20"/>
                <w:szCs w:val="20"/>
              </w:rPr>
              <w:br/>
              <w:t>• Flecainide and propafenone are not recommended</w:t>
            </w:r>
            <w:r w:rsidRPr="00074FD1">
              <w:rPr>
                <w:rFonts w:ascii="Arial" w:hAnsi="Arial" w:cs="Arial"/>
                <w:color w:val="383838"/>
                <w:sz w:val="20"/>
                <w:szCs w:val="20"/>
              </w:rPr>
              <w:br/>
              <w:t>• ECG, BP, LFT, and TFT should be monitored periodically with a reduced dose of amiodarone</w:t>
            </w:r>
          </w:p>
        </w:tc>
      </w:tr>
      <w:tr w:rsidR="00E86A5D" w:rsidRPr="00074FD1" w14:paraId="24B9405C" w14:textId="77777777" w:rsidTr="00074FD1">
        <w:trPr>
          <w:trHeight w:val="1214"/>
        </w:trPr>
        <w:tc>
          <w:tcPr>
            <w:tcW w:w="0" w:type="auto"/>
            <w:gridSpan w:val="3"/>
            <w:hideMark/>
          </w:tcPr>
          <w:p w14:paraId="46CF95F9"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xml:space="preserve">ACEI = Angiotensin-converting enzyme inhibitor; ARB = Angiotensin receptor blocker; AF = Atrial Fibrillation; ARNI = Angiotensin receptor </w:t>
            </w:r>
            <w:proofErr w:type="spellStart"/>
            <w:r w:rsidRPr="00074FD1">
              <w:rPr>
                <w:rFonts w:ascii="Arial" w:hAnsi="Arial" w:cs="Arial"/>
                <w:color w:val="383838"/>
                <w:sz w:val="20"/>
                <w:szCs w:val="20"/>
              </w:rPr>
              <w:t>neprilysin</w:t>
            </w:r>
            <w:proofErr w:type="spellEnd"/>
            <w:r w:rsidRPr="00074FD1">
              <w:rPr>
                <w:rFonts w:ascii="Arial" w:hAnsi="Arial" w:cs="Arial"/>
                <w:color w:val="383838"/>
                <w:sz w:val="20"/>
                <w:szCs w:val="20"/>
              </w:rPr>
              <w:t xml:space="preserve"> inhibitor; AV = Atrioventricular; BP = Blood pressure; Bun = Blood urea nitrogen; </w:t>
            </w:r>
            <w:proofErr w:type="spellStart"/>
            <w:r w:rsidRPr="00074FD1">
              <w:rPr>
                <w:rFonts w:ascii="Arial" w:hAnsi="Arial" w:cs="Arial"/>
                <w:color w:val="383838"/>
                <w:sz w:val="20"/>
                <w:szCs w:val="20"/>
              </w:rPr>
              <w:t>Lmwh</w:t>
            </w:r>
            <w:proofErr w:type="spellEnd"/>
            <w:r w:rsidRPr="00074FD1">
              <w:rPr>
                <w:rFonts w:ascii="Arial" w:hAnsi="Arial" w:cs="Arial"/>
                <w:color w:val="383838"/>
                <w:sz w:val="20"/>
                <w:szCs w:val="20"/>
              </w:rPr>
              <w:t xml:space="preserve"> = Low molecular weight heparin; ECG = Electrocardiogram;</w:t>
            </w:r>
            <w:r w:rsidRPr="00074FD1">
              <w:rPr>
                <w:rFonts w:ascii="Arial" w:hAnsi="Arial" w:cs="Arial"/>
                <w:color w:val="383838"/>
                <w:sz w:val="20"/>
                <w:szCs w:val="20"/>
              </w:rPr>
              <w:br/>
              <w:t xml:space="preserve">HR = Heart rate; INR = International normalized ratio; TDP = </w:t>
            </w:r>
            <w:proofErr w:type="spellStart"/>
            <w:r w:rsidRPr="00074FD1">
              <w:rPr>
                <w:rFonts w:ascii="Arial" w:hAnsi="Arial" w:cs="Arial"/>
                <w:color w:val="383838"/>
                <w:sz w:val="20"/>
                <w:szCs w:val="20"/>
              </w:rPr>
              <w:t>Torsades</w:t>
            </w:r>
            <w:proofErr w:type="spellEnd"/>
            <w:r w:rsidRPr="00074FD1">
              <w:rPr>
                <w:rFonts w:ascii="Arial" w:hAnsi="Arial" w:cs="Arial"/>
                <w:color w:val="383838"/>
                <w:sz w:val="20"/>
                <w:szCs w:val="20"/>
              </w:rPr>
              <w:t xml:space="preserve"> de pointes; LFT = Liver function test; TFT = Thyroid function test; OAC = Oral anticoagulant; SCR = Serum creatinine; UFH = Unfractionated heparin; VTE = Venous thromboembolism</w:t>
            </w:r>
          </w:p>
        </w:tc>
      </w:tr>
    </w:tbl>
    <w:p w14:paraId="71E6C729" w14:textId="77777777" w:rsidR="00E86A5D" w:rsidRPr="00844119" w:rsidRDefault="00E86A5D" w:rsidP="00074FD1">
      <w:pPr>
        <w:pStyle w:val="NoSpacing"/>
        <w:jc w:val="center"/>
        <w:rPr>
          <w:rFonts w:ascii="Arial" w:hAnsi="Arial" w:cs="Arial"/>
          <w:b/>
          <w:sz w:val="20"/>
          <w:u w:val="single"/>
        </w:rPr>
      </w:pPr>
      <w:r w:rsidRPr="00844119">
        <w:rPr>
          <w:rFonts w:ascii="Arial" w:hAnsi="Arial" w:cs="Arial"/>
          <w:b/>
          <w:sz w:val="20"/>
          <w:u w:val="single"/>
        </w:rPr>
        <w:t>Table 3: Common drug–drug interactions and recommendations for use in patients with COVID-19</w:t>
      </w:r>
    </w:p>
    <w:p w14:paraId="3D736382" w14:textId="77777777" w:rsidR="00074FD1" w:rsidRDefault="00074FD1" w:rsidP="00074FD1">
      <w:pPr>
        <w:pStyle w:val="NoSpacing"/>
        <w:rPr>
          <w:rFonts w:ascii="Arial" w:hAnsi="Arial" w:cs="Arial"/>
        </w:rPr>
      </w:pPr>
    </w:p>
    <w:p w14:paraId="0EBD568F" w14:textId="70F7E14E" w:rsidR="00E86A5D" w:rsidRPr="00074FD1" w:rsidRDefault="00F62A4D" w:rsidP="00074FD1">
      <w:pPr>
        <w:pStyle w:val="NoSpacing"/>
        <w:rPr>
          <w:rFonts w:ascii="Arial" w:hAnsi="Arial" w:cs="Arial"/>
          <w:b/>
        </w:rPr>
      </w:pPr>
      <w:r>
        <w:rPr>
          <w:rFonts w:ascii="Arial" w:hAnsi="Arial" w:cs="Arial"/>
          <w:b/>
        </w:rPr>
        <w:t xml:space="preserve">Conclusion </w:t>
      </w:r>
    </w:p>
    <w:p w14:paraId="10AE67BF" w14:textId="77777777" w:rsidR="00E86A5D" w:rsidRDefault="00E86A5D" w:rsidP="00074FD1">
      <w:pPr>
        <w:pStyle w:val="NoSpacing"/>
        <w:jc w:val="both"/>
        <w:rPr>
          <w:rFonts w:ascii="Arial" w:eastAsia="Times New Roman" w:hAnsi="Arial" w:cs="Arial"/>
          <w:color w:val="000000"/>
          <w:sz w:val="20"/>
          <w:szCs w:val="20"/>
        </w:rPr>
      </w:pPr>
      <w:r w:rsidRPr="00074FD1">
        <w:rPr>
          <w:rFonts w:ascii="Arial" w:eastAsia="Times New Roman" w:hAnsi="Arial" w:cs="Arial"/>
          <w:color w:val="000000"/>
          <w:sz w:val="20"/>
          <w:szCs w:val="20"/>
        </w:rPr>
        <w:t>Coronavirus disease 2019 (COVID-19) was initially reported in late December 2019 in Wuhan, China. COVID-19 has grown swiftly since then, becoming a global pandemic affecting more than 200 countries and territories. In people infected with SARS, cardiovascular disease is a prevalent comorbidity. Early findings from China indicated that cardiovascular illness and associated risk factors, such as hypertension and diabetes mellitus, were common pre-existing conditions in COVID-19 patients. Management of different cardiovascular conditions in COVID-19 is essential, and follow-up post-COVID is necessary for any complications to be monitored and managed accordingly. There are long-term effects of COVID that should be taken care of. The effects of COVID vaccinations on cardiovascular conditions should be well considered for further management of conditions.</w:t>
      </w:r>
    </w:p>
    <w:p w14:paraId="0DCEBBEB" w14:textId="77777777" w:rsidR="00074FD1" w:rsidRPr="00074FD1" w:rsidRDefault="00074FD1" w:rsidP="00074FD1">
      <w:pPr>
        <w:pStyle w:val="NoSpacing"/>
        <w:jc w:val="both"/>
        <w:rPr>
          <w:rFonts w:ascii="Arial" w:eastAsia="Times New Roman" w:hAnsi="Arial" w:cs="Arial"/>
          <w:color w:val="000000"/>
          <w:sz w:val="20"/>
          <w:szCs w:val="20"/>
        </w:rPr>
      </w:pPr>
    </w:p>
    <w:p w14:paraId="4F0BDC52" w14:textId="77777777" w:rsidR="00E86A5D" w:rsidRPr="00074FD1" w:rsidRDefault="00074FD1" w:rsidP="00074FD1">
      <w:pPr>
        <w:pStyle w:val="NoSpacing"/>
        <w:rPr>
          <w:rFonts w:ascii="Arial" w:hAnsi="Arial" w:cs="Arial"/>
          <w:b/>
          <w:szCs w:val="20"/>
        </w:rPr>
      </w:pPr>
      <w:r w:rsidRPr="00074FD1">
        <w:rPr>
          <w:rFonts w:ascii="Arial" w:hAnsi="Arial" w:cs="Arial"/>
          <w:b/>
          <w:szCs w:val="20"/>
        </w:rPr>
        <w:t>REFERENCES</w:t>
      </w:r>
    </w:p>
    <w:p w14:paraId="1510073D" w14:textId="77777777" w:rsidR="00E86A5D" w:rsidRPr="00074FD1" w:rsidRDefault="00E86A5D" w:rsidP="001041A6">
      <w:pPr>
        <w:pStyle w:val="NoSpacing"/>
        <w:ind w:left="360"/>
        <w:jc w:val="both"/>
        <w:rPr>
          <w:rFonts w:ascii="Arial" w:hAnsi="Arial" w:cs="Arial"/>
          <w:sz w:val="20"/>
          <w:szCs w:val="20"/>
        </w:rPr>
      </w:pPr>
      <w:r w:rsidRPr="00074FD1">
        <w:rPr>
          <w:rFonts w:ascii="Arial" w:hAnsi="Arial" w:cs="Arial"/>
          <w:sz w:val="20"/>
          <w:szCs w:val="20"/>
        </w:rPr>
        <w:t xml:space="preserve">Cave DM, </w:t>
      </w:r>
      <w:proofErr w:type="spellStart"/>
      <w:r w:rsidRPr="00074FD1">
        <w:rPr>
          <w:rFonts w:ascii="Arial" w:hAnsi="Arial" w:cs="Arial"/>
          <w:sz w:val="20"/>
          <w:szCs w:val="20"/>
        </w:rPr>
        <w:t>Gazmuri</w:t>
      </w:r>
      <w:proofErr w:type="spellEnd"/>
      <w:r w:rsidRPr="00074FD1">
        <w:rPr>
          <w:rFonts w:ascii="Arial" w:hAnsi="Arial" w:cs="Arial"/>
          <w:sz w:val="20"/>
          <w:szCs w:val="20"/>
        </w:rPr>
        <w:t xml:space="preserve"> RJ, Otto CW et al. Part 7: CPR techniques and devices: 2010 American Heart Association Guidelines for cardiopulmonary resuscitation and emergency cardiovascular care. Circulation 2010;</w:t>
      </w:r>
      <w:proofErr w:type="gramStart"/>
      <w:r w:rsidRPr="00074FD1">
        <w:rPr>
          <w:rFonts w:ascii="Arial" w:hAnsi="Arial" w:cs="Arial"/>
          <w:sz w:val="20"/>
          <w:szCs w:val="20"/>
        </w:rPr>
        <w:t>122:S</w:t>
      </w:r>
      <w:proofErr w:type="gramEnd"/>
      <w:r w:rsidRPr="00074FD1">
        <w:rPr>
          <w:rFonts w:ascii="Arial" w:hAnsi="Arial" w:cs="Arial"/>
          <w:sz w:val="20"/>
          <w:szCs w:val="20"/>
        </w:rPr>
        <w:t>720–728.</w:t>
      </w:r>
    </w:p>
    <w:p w14:paraId="22F273A6" w14:textId="77777777" w:rsidR="00E86A5D" w:rsidRPr="00074FD1" w:rsidRDefault="00E86A5D" w:rsidP="001041A6">
      <w:pPr>
        <w:pStyle w:val="NoSpacing"/>
        <w:ind w:left="360"/>
        <w:jc w:val="both"/>
        <w:rPr>
          <w:rFonts w:ascii="Arial" w:hAnsi="Arial" w:cs="Arial"/>
          <w:sz w:val="20"/>
        </w:rPr>
      </w:pPr>
      <w:r w:rsidRPr="00074FD1">
        <w:rPr>
          <w:rFonts w:ascii="Arial" w:hAnsi="Arial" w:cs="Arial"/>
          <w:sz w:val="20"/>
        </w:rPr>
        <w:t xml:space="preserve">Mazer SP, </w:t>
      </w:r>
      <w:proofErr w:type="spellStart"/>
      <w:r w:rsidRPr="00074FD1">
        <w:rPr>
          <w:rFonts w:ascii="Arial" w:hAnsi="Arial" w:cs="Arial"/>
          <w:sz w:val="20"/>
        </w:rPr>
        <w:t>Weisfeldt</w:t>
      </w:r>
      <w:proofErr w:type="spellEnd"/>
      <w:r w:rsidRPr="00074FD1">
        <w:rPr>
          <w:rFonts w:ascii="Arial" w:hAnsi="Arial" w:cs="Arial"/>
          <w:sz w:val="20"/>
        </w:rPr>
        <w:t xml:space="preserve"> M, Bai D et al. Reverse CPR: a pilot study of CPR in the prone position. Resuscitation </w:t>
      </w:r>
      <w:proofErr w:type="gramStart"/>
      <w:r w:rsidRPr="00074FD1">
        <w:rPr>
          <w:rFonts w:ascii="Arial" w:hAnsi="Arial" w:cs="Arial"/>
          <w:sz w:val="20"/>
        </w:rPr>
        <w:t>2003;57:279</w:t>
      </w:r>
      <w:proofErr w:type="gramEnd"/>
      <w:r w:rsidRPr="00074FD1">
        <w:rPr>
          <w:rFonts w:ascii="Arial" w:hAnsi="Arial" w:cs="Arial"/>
          <w:sz w:val="20"/>
        </w:rPr>
        <w:t>–285.</w:t>
      </w:r>
    </w:p>
    <w:p w14:paraId="4A4B5B88" w14:textId="77777777" w:rsidR="00E86A5D" w:rsidRPr="00074FD1" w:rsidRDefault="00E86A5D" w:rsidP="001041A6">
      <w:pPr>
        <w:pStyle w:val="NoSpacing"/>
        <w:ind w:left="360"/>
        <w:jc w:val="both"/>
        <w:rPr>
          <w:rFonts w:ascii="Arial" w:hAnsi="Arial" w:cs="Arial"/>
          <w:sz w:val="20"/>
        </w:rPr>
      </w:pPr>
      <w:r w:rsidRPr="00074FD1">
        <w:rPr>
          <w:rFonts w:ascii="Arial" w:hAnsi="Arial" w:cs="Arial"/>
          <w:sz w:val="20"/>
        </w:rPr>
        <w:lastRenderedPageBreak/>
        <w:t>Zhou, P. et al. A pneumonia outbreak associated with a new coronavirus of probable bat origin. Nature 579, 270–273 (2020).</w:t>
      </w:r>
    </w:p>
    <w:p w14:paraId="48033B09" w14:textId="77777777" w:rsidR="00E86A5D" w:rsidRPr="00074FD1" w:rsidRDefault="00E86A5D" w:rsidP="001041A6">
      <w:pPr>
        <w:pStyle w:val="NoSpacing"/>
        <w:ind w:left="360"/>
        <w:jc w:val="both"/>
        <w:rPr>
          <w:rFonts w:ascii="Arial" w:hAnsi="Arial" w:cs="Arial"/>
          <w:sz w:val="20"/>
        </w:rPr>
      </w:pPr>
      <w:r w:rsidRPr="00074FD1">
        <w:rPr>
          <w:rFonts w:ascii="Arial" w:hAnsi="Arial" w:cs="Arial"/>
          <w:sz w:val="20"/>
        </w:rPr>
        <w:t>Wu, F. et al. A new coronavirus associated with human respiratory disease in China. Nature 579, 265–269 (2020).</w:t>
      </w:r>
    </w:p>
    <w:p w14:paraId="3EFC9ED0" w14:textId="77777777" w:rsidR="00E86A5D" w:rsidRPr="00074FD1" w:rsidRDefault="00E86A5D" w:rsidP="001041A6">
      <w:pPr>
        <w:pStyle w:val="NoSpacing"/>
        <w:ind w:left="360"/>
        <w:jc w:val="both"/>
        <w:rPr>
          <w:rFonts w:ascii="Arial" w:hAnsi="Arial" w:cs="Arial"/>
          <w:sz w:val="20"/>
        </w:rPr>
      </w:pPr>
      <w:r w:rsidRPr="00074FD1">
        <w:rPr>
          <w:rFonts w:ascii="Arial" w:hAnsi="Arial" w:cs="Arial"/>
          <w:sz w:val="20"/>
        </w:rPr>
        <w:t xml:space="preserve">Tal S, </w:t>
      </w:r>
      <w:proofErr w:type="spellStart"/>
      <w:r w:rsidRPr="00074FD1">
        <w:rPr>
          <w:rFonts w:ascii="Arial" w:hAnsi="Arial" w:cs="Arial"/>
          <w:sz w:val="20"/>
        </w:rPr>
        <w:t>Spectre</w:t>
      </w:r>
      <w:proofErr w:type="spellEnd"/>
      <w:r w:rsidRPr="00074FD1">
        <w:rPr>
          <w:rFonts w:ascii="Arial" w:hAnsi="Arial" w:cs="Arial"/>
          <w:sz w:val="20"/>
        </w:rPr>
        <w:t xml:space="preserve"> G, </w:t>
      </w:r>
      <w:proofErr w:type="spellStart"/>
      <w:r w:rsidRPr="00074FD1">
        <w:rPr>
          <w:rFonts w:ascii="Arial" w:hAnsi="Arial" w:cs="Arial"/>
          <w:sz w:val="20"/>
        </w:rPr>
        <w:t>Kornowski</w:t>
      </w:r>
      <w:proofErr w:type="spellEnd"/>
      <w:r w:rsidRPr="00074FD1">
        <w:rPr>
          <w:rFonts w:ascii="Arial" w:hAnsi="Arial" w:cs="Arial"/>
          <w:sz w:val="20"/>
        </w:rPr>
        <w:t xml:space="preserve"> R, Perl L. Venous Thromboembolism Complicated with COVID-19: What Do We Know So </w:t>
      </w:r>
      <w:proofErr w:type="gramStart"/>
      <w:r w:rsidRPr="00074FD1">
        <w:rPr>
          <w:rFonts w:ascii="Arial" w:hAnsi="Arial" w:cs="Arial"/>
          <w:sz w:val="20"/>
        </w:rPr>
        <w:t>Far?.</w:t>
      </w:r>
      <w:proofErr w:type="gramEnd"/>
      <w:r w:rsidRPr="00074FD1">
        <w:rPr>
          <w:rFonts w:ascii="Arial" w:hAnsi="Arial" w:cs="Arial"/>
          <w:sz w:val="20"/>
        </w:rPr>
        <w:t xml:space="preserve"> Acta </w:t>
      </w:r>
      <w:proofErr w:type="spellStart"/>
      <w:r w:rsidRPr="00074FD1">
        <w:rPr>
          <w:rFonts w:ascii="Arial" w:hAnsi="Arial" w:cs="Arial"/>
          <w:sz w:val="20"/>
        </w:rPr>
        <w:t>Haematol</w:t>
      </w:r>
      <w:proofErr w:type="spellEnd"/>
      <w:r w:rsidRPr="00074FD1">
        <w:rPr>
          <w:rFonts w:ascii="Arial" w:hAnsi="Arial" w:cs="Arial"/>
          <w:sz w:val="20"/>
        </w:rPr>
        <w:t>. 2020;143(5):417-424. doi:10.1159/000508233.</w:t>
      </w:r>
    </w:p>
    <w:p w14:paraId="7C656388" w14:textId="77777777" w:rsidR="00E86A5D" w:rsidRPr="00074FD1" w:rsidRDefault="00E86A5D" w:rsidP="001041A6">
      <w:pPr>
        <w:pStyle w:val="NoSpacing"/>
        <w:ind w:left="360"/>
        <w:jc w:val="both"/>
        <w:rPr>
          <w:rFonts w:ascii="Arial" w:hAnsi="Arial" w:cs="Arial"/>
          <w:sz w:val="20"/>
        </w:rPr>
      </w:pPr>
      <w:r w:rsidRPr="00074FD1">
        <w:rPr>
          <w:rFonts w:ascii="Arial" w:hAnsi="Arial" w:cs="Arial"/>
          <w:sz w:val="20"/>
        </w:rPr>
        <w:t>COVID-19 rapid guideline: managing the long-term effects of COVID-19. NICE guideline [NG188]. 18 December 2020.</w:t>
      </w:r>
    </w:p>
    <w:p w14:paraId="58A84DAB" w14:textId="77777777" w:rsidR="00E86A5D" w:rsidRPr="00074FD1" w:rsidRDefault="00E86A5D" w:rsidP="001041A6">
      <w:pPr>
        <w:pStyle w:val="NoSpacing"/>
        <w:ind w:left="360"/>
        <w:jc w:val="both"/>
        <w:rPr>
          <w:rFonts w:ascii="Arial" w:hAnsi="Arial" w:cs="Arial"/>
          <w:sz w:val="20"/>
        </w:rPr>
      </w:pPr>
      <w:r w:rsidRPr="00074FD1">
        <w:rPr>
          <w:rFonts w:ascii="Arial" w:hAnsi="Arial" w:cs="Arial"/>
          <w:sz w:val="20"/>
        </w:rPr>
        <w:t xml:space="preserve">Trisha Greenhalgh, Matthew Knight, Christine </w:t>
      </w:r>
      <w:proofErr w:type="spellStart"/>
      <w:r w:rsidRPr="00074FD1">
        <w:rPr>
          <w:rFonts w:ascii="Arial" w:hAnsi="Arial" w:cs="Arial"/>
          <w:sz w:val="20"/>
        </w:rPr>
        <w:t>A’Court</w:t>
      </w:r>
      <w:proofErr w:type="spellEnd"/>
      <w:r w:rsidRPr="00074FD1">
        <w:rPr>
          <w:rFonts w:ascii="Arial" w:hAnsi="Arial" w:cs="Arial"/>
          <w:sz w:val="20"/>
        </w:rPr>
        <w:t xml:space="preserve">, Maria Buxton, </w:t>
      </w:r>
      <w:proofErr w:type="spellStart"/>
      <w:r w:rsidRPr="00074FD1">
        <w:rPr>
          <w:rFonts w:ascii="Arial" w:hAnsi="Arial" w:cs="Arial"/>
          <w:sz w:val="20"/>
        </w:rPr>
        <w:t>Laiba</w:t>
      </w:r>
      <w:proofErr w:type="spellEnd"/>
      <w:r w:rsidRPr="00074FD1">
        <w:rPr>
          <w:rFonts w:ascii="Arial" w:hAnsi="Arial" w:cs="Arial"/>
          <w:sz w:val="20"/>
        </w:rPr>
        <w:t xml:space="preserve"> Husain. Management of post-acute covid-19 in primary care, BMJ 2020;370:m3026.</w:t>
      </w:r>
    </w:p>
    <w:p w14:paraId="4BB87D4D" w14:textId="77777777" w:rsidR="0093034F" w:rsidRDefault="00E86A5D" w:rsidP="001041A6">
      <w:pPr>
        <w:pStyle w:val="NoSpacing"/>
        <w:ind w:left="360"/>
        <w:jc w:val="both"/>
        <w:rPr>
          <w:rFonts w:ascii="Arial" w:hAnsi="Arial" w:cs="Arial"/>
          <w:sz w:val="20"/>
        </w:rPr>
      </w:pPr>
      <w:r w:rsidRPr="00074FD1">
        <w:rPr>
          <w:rFonts w:ascii="Arial" w:hAnsi="Arial" w:cs="Arial"/>
          <w:sz w:val="20"/>
        </w:rPr>
        <w:t xml:space="preserve">Bautista García J, Peña Ortega P, Bonilla Fernández JA, et al. Acute myocarditis after administration of the BNT162b2 vaccine against COVID-19. Rev </w:t>
      </w:r>
      <w:proofErr w:type="spellStart"/>
      <w:r w:rsidRPr="00074FD1">
        <w:rPr>
          <w:rFonts w:ascii="Arial" w:hAnsi="Arial" w:cs="Arial"/>
          <w:sz w:val="20"/>
        </w:rPr>
        <w:t>Esp</w:t>
      </w:r>
      <w:proofErr w:type="spellEnd"/>
      <w:r w:rsidRPr="00074FD1">
        <w:rPr>
          <w:rFonts w:ascii="Arial" w:hAnsi="Arial" w:cs="Arial"/>
          <w:sz w:val="20"/>
        </w:rPr>
        <w:t xml:space="preserve"> </w:t>
      </w:r>
      <w:proofErr w:type="spellStart"/>
      <w:r w:rsidRPr="00074FD1">
        <w:rPr>
          <w:rFonts w:ascii="Arial" w:hAnsi="Arial" w:cs="Arial"/>
          <w:sz w:val="20"/>
        </w:rPr>
        <w:t>Cardiol</w:t>
      </w:r>
      <w:proofErr w:type="spellEnd"/>
      <w:r w:rsidRPr="00074FD1">
        <w:rPr>
          <w:rFonts w:ascii="Arial" w:hAnsi="Arial" w:cs="Arial"/>
          <w:sz w:val="20"/>
        </w:rPr>
        <w:t xml:space="preserve"> (</w:t>
      </w:r>
      <w:proofErr w:type="spellStart"/>
      <w:r w:rsidRPr="00074FD1">
        <w:rPr>
          <w:rFonts w:ascii="Arial" w:hAnsi="Arial" w:cs="Arial"/>
          <w:sz w:val="20"/>
        </w:rPr>
        <w:t>Engl</w:t>
      </w:r>
      <w:proofErr w:type="spellEnd"/>
      <w:r w:rsidRPr="00074FD1">
        <w:rPr>
          <w:rFonts w:ascii="Arial" w:hAnsi="Arial" w:cs="Arial"/>
          <w:sz w:val="20"/>
        </w:rPr>
        <w:t xml:space="preserve"> Ed) 2021; 74:812-4.</w:t>
      </w:r>
    </w:p>
    <w:p w14:paraId="29FB0D9D" w14:textId="4CA82743" w:rsidR="00F2471B" w:rsidRDefault="00F2471B" w:rsidP="001041A6">
      <w:pPr>
        <w:pStyle w:val="NoSpacing"/>
        <w:ind w:left="360"/>
        <w:jc w:val="both"/>
        <w:rPr>
          <w:rFonts w:ascii="Arial" w:hAnsi="Arial" w:cs="Arial"/>
          <w:sz w:val="20"/>
        </w:rPr>
      </w:pPr>
      <w:r w:rsidRPr="00F2471B">
        <w:rPr>
          <w:rFonts w:ascii="Arial" w:hAnsi="Arial" w:cs="Arial"/>
          <w:sz w:val="20"/>
        </w:rPr>
        <w:t xml:space="preserve">Zhang, H., &amp; </w:t>
      </w:r>
      <w:proofErr w:type="spellStart"/>
      <w:r w:rsidRPr="00F2471B">
        <w:rPr>
          <w:rFonts w:ascii="Arial" w:hAnsi="Arial" w:cs="Arial"/>
          <w:sz w:val="20"/>
        </w:rPr>
        <w:t>Dhalla</w:t>
      </w:r>
      <w:proofErr w:type="spellEnd"/>
      <w:r w:rsidRPr="00F2471B">
        <w:rPr>
          <w:rFonts w:ascii="Arial" w:hAnsi="Arial" w:cs="Arial"/>
          <w:sz w:val="20"/>
        </w:rPr>
        <w:t>, N. S. (2024). The role of pro-inflammatory cytokines in the pathogenesis of cardiovascular disease. International Journal of Molecular Sciences, 25(2), 1082.</w:t>
      </w:r>
      <w:r>
        <w:rPr>
          <w:rFonts w:ascii="Arial" w:hAnsi="Arial" w:cs="Arial"/>
          <w:sz w:val="20"/>
        </w:rPr>
        <w:t xml:space="preserve">  </w:t>
      </w:r>
      <w:r w:rsidRPr="00F2471B">
        <w:rPr>
          <w:rFonts w:ascii="Arial" w:hAnsi="Arial" w:cs="Arial"/>
          <w:sz w:val="20"/>
        </w:rPr>
        <w:tab/>
      </w:r>
    </w:p>
    <w:p w14:paraId="71A8D009" w14:textId="088A033D" w:rsidR="00F2471B" w:rsidRDefault="00F2471B" w:rsidP="001041A6">
      <w:pPr>
        <w:pStyle w:val="NoSpacing"/>
        <w:ind w:left="360"/>
        <w:jc w:val="both"/>
        <w:rPr>
          <w:rFonts w:ascii="Arial" w:hAnsi="Arial" w:cs="Arial"/>
          <w:sz w:val="20"/>
        </w:rPr>
      </w:pPr>
      <w:r w:rsidRPr="00F2471B">
        <w:rPr>
          <w:rFonts w:ascii="Arial" w:hAnsi="Arial" w:cs="Arial"/>
          <w:sz w:val="20"/>
        </w:rPr>
        <w:t>Liu, X., Tan, Z., Huang, Y., Zhao, H., Liu, M., Yu, P., ... &amp; Wang, J. (2022). Relationship between the triglyceride-glucose index and risk of cardiovascular diseases and mortality in the general population: a systematic review and meta-analysis. Cardiovascular diabetology, 21(1), 124.</w:t>
      </w:r>
      <w:r>
        <w:rPr>
          <w:rFonts w:ascii="Arial" w:hAnsi="Arial" w:cs="Arial"/>
          <w:sz w:val="20"/>
        </w:rPr>
        <w:t xml:space="preserve">  </w:t>
      </w:r>
      <w:r w:rsidRPr="00F2471B">
        <w:rPr>
          <w:rFonts w:ascii="Arial" w:hAnsi="Arial" w:cs="Arial"/>
          <w:sz w:val="20"/>
        </w:rPr>
        <w:tab/>
      </w:r>
    </w:p>
    <w:p w14:paraId="4DF223A8" w14:textId="2AC6D14A" w:rsidR="00F2471B" w:rsidRDefault="00F2471B" w:rsidP="001041A6">
      <w:pPr>
        <w:pStyle w:val="NoSpacing"/>
        <w:ind w:left="360"/>
        <w:jc w:val="both"/>
        <w:rPr>
          <w:rFonts w:ascii="Arial" w:hAnsi="Arial" w:cs="Arial"/>
          <w:sz w:val="20"/>
        </w:rPr>
      </w:pPr>
      <w:proofErr w:type="spellStart"/>
      <w:r w:rsidRPr="00F2471B">
        <w:rPr>
          <w:rFonts w:ascii="Arial" w:hAnsi="Arial" w:cs="Arial"/>
          <w:sz w:val="20"/>
        </w:rPr>
        <w:t>Lamers</w:t>
      </w:r>
      <w:proofErr w:type="spellEnd"/>
      <w:r w:rsidRPr="00F2471B">
        <w:rPr>
          <w:rFonts w:ascii="Arial" w:hAnsi="Arial" w:cs="Arial"/>
          <w:sz w:val="20"/>
        </w:rPr>
        <w:t xml:space="preserve">, M. M., &amp; </w:t>
      </w:r>
      <w:proofErr w:type="spellStart"/>
      <w:r w:rsidRPr="00F2471B">
        <w:rPr>
          <w:rFonts w:ascii="Arial" w:hAnsi="Arial" w:cs="Arial"/>
          <w:sz w:val="20"/>
        </w:rPr>
        <w:t>Haagmans</w:t>
      </w:r>
      <w:proofErr w:type="spellEnd"/>
      <w:r w:rsidRPr="00F2471B">
        <w:rPr>
          <w:rFonts w:ascii="Arial" w:hAnsi="Arial" w:cs="Arial"/>
          <w:sz w:val="20"/>
        </w:rPr>
        <w:t xml:space="preserve">, B. L. (2022). SARS-CoV-2 pathogenesis. Nature reviews microbiology, 20(5), 270-284.  </w:t>
      </w:r>
    </w:p>
    <w:p w14:paraId="2E732412" w14:textId="4EA3E99D" w:rsidR="00F2471B" w:rsidRDefault="00F2471B" w:rsidP="001041A6">
      <w:pPr>
        <w:pStyle w:val="NoSpacing"/>
        <w:ind w:left="360"/>
        <w:jc w:val="both"/>
        <w:rPr>
          <w:rFonts w:ascii="Arial" w:hAnsi="Arial" w:cs="Arial"/>
          <w:sz w:val="20"/>
        </w:rPr>
      </w:pPr>
      <w:r w:rsidRPr="00F2471B">
        <w:rPr>
          <w:rFonts w:ascii="Arial" w:hAnsi="Arial" w:cs="Arial"/>
          <w:sz w:val="20"/>
        </w:rPr>
        <w:t xml:space="preserve">Markov, P. V., </w:t>
      </w:r>
      <w:proofErr w:type="spellStart"/>
      <w:r w:rsidRPr="00F2471B">
        <w:rPr>
          <w:rFonts w:ascii="Arial" w:hAnsi="Arial" w:cs="Arial"/>
          <w:sz w:val="20"/>
        </w:rPr>
        <w:t>Ghafari</w:t>
      </w:r>
      <w:proofErr w:type="spellEnd"/>
      <w:r w:rsidRPr="00F2471B">
        <w:rPr>
          <w:rFonts w:ascii="Arial" w:hAnsi="Arial" w:cs="Arial"/>
          <w:sz w:val="20"/>
        </w:rPr>
        <w:t xml:space="preserve">, M., Beer, M., Lythgoe, K., Simmonds, P., </w:t>
      </w:r>
      <w:proofErr w:type="spellStart"/>
      <w:r w:rsidRPr="00F2471B">
        <w:rPr>
          <w:rFonts w:ascii="Arial" w:hAnsi="Arial" w:cs="Arial"/>
          <w:sz w:val="20"/>
        </w:rPr>
        <w:t>Stilianakis</w:t>
      </w:r>
      <w:proofErr w:type="spellEnd"/>
      <w:r w:rsidRPr="00F2471B">
        <w:rPr>
          <w:rFonts w:ascii="Arial" w:hAnsi="Arial" w:cs="Arial"/>
          <w:sz w:val="20"/>
        </w:rPr>
        <w:t xml:space="preserve">, N. I., &amp; </w:t>
      </w:r>
      <w:proofErr w:type="spellStart"/>
      <w:r w:rsidRPr="00F2471B">
        <w:rPr>
          <w:rFonts w:ascii="Arial" w:hAnsi="Arial" w:cs="Arial"/>
          <w:sz w:val="20"/>
        </w:rPr>
        <w:t>Katzourakis</w:t>
      </w:r>
      <w:proofErr w:type="spellEnd"/>
      <w:r w:rsidRPr="00F2471B">
        <w:rPr>
          <w:rFonts w:ascii="Arial" w:hAnsi="Arial" w:cs="Arial"/>
          <w:sz w:val="20"/>
        </w:rPr>
        <w:t>, A. (2023). The evolution of SARS-CoV-2. Nature Reviews Microbiology, 21(6), 361-379.</w:t>
      </w:r>
      <w:r>
        <w:rPr>
          <w:rFonts w:ascii="Arial" w:hAnsi="Arial" w:cs="Arial"/>
          <w:sz w:val="20"/>
        </w:rPr>
        <w:t xml:space="preserve">  </w:t>
      </w:r>
      <w:r w:rsidRPr="00F2471B">
        <w:rPr>
          <w:rFonts w:ascii="Arial" w:hAnsi="Arial" w:cs="Arial"/>
          <w:sz w:val="20"/>
        </w:rPr>
        <w:tab/>
      </w:r>
    </w:p>
    <w:p w14:paraId="1A5327C9" w14:textId="235C3262" w:rsidR="00F2471B" w:rsidRDefault="00F2471B" w:rsidP="001041A6">
      <w:pPr>
        <w:pStyle w:val="NoSpacing"/>
        <w:ind w:left="360"/>
        <w:jc w:val="both"/>
        <w:rPr>
          <w:rFonts w:ascii="Arial" w:hAnsi="Arial" w:cs="Arial"/>
          <w:sz w:val="20"/>
        </w:rPr>
      </w:pPr>
      <w:proofErr w:type="spellStart"/>
      <w:r w:rsidRPr="00F2471B">
        <w:rPr>
          <w:rFonts w:ascii="Arial" w:hAnsi="Arial" w:cs="Arial"/>
          <w:sz w:val="20"/>
        </w:rPr>
        <w:t>Ammirati</w:t>
      </w:r>
      <w:proofErr w:type="spellEnd"/>
      <w:r w:rsidRPr="00F2471B">
        <w:rPr>
          <w:rFonts w:ascii="Arial" w:hAnsi="Arial" w:cs="Arial"/>
          <w:sz w:val="20"/>
        </w:rPr>
        <w:t xml:space="preserve">, E., &amp; Moslehi, J. J. (2023). Diagnosis and treatment of acute myocarditis: a review. Jama, 329(13), 1098-1113.  </w:t>
      </w:r>
      <w:r w:rsidRPr="00F2471B">
        <w:rPr>
          <w:rFonts w:ascii="Arial" w:hAnsi="Arial" w:cs="Arial"/>
          <w:sz w:val="20"/>
        </w:rPr>
        <w:tab/>
      </w:r>
    </w:p>
    <w:p w14:paraId="5433DC65" w14:textId="0BD9F3B1" w:rsidR="00F2471B" w:rsidRDefault="00F2471B" w:rsidP="001041A6">
      <w:pPr>
        <w:pStyle w:val="NoSpacing"/>
        <w:ind w:left="360"/>
        <w:jc w:val="both"/>
        <w:rPr>
          <w:rFonts w:ascii="Arial" w:hAnsi="Arial" w:cs="Arial"/>
          <w:sz w:val="20"/>
        </w:rPr>
      </w:pPr>
      <w:r w:rsidRPr="00F2471B">
        <w:rPr>
          <w:rFonts w:ascii="Arial" w:hAnsi="Arial" w:cs="Arial"/>
          <w:sz w:val="20"/>
        </w:rPr>
        <w:t xml:space="preserve">Kim, H. W., </w:t>
      </w:r>
      <w:proofErr w:type="spellStart"/>
      <w:r w:rsidRPr="00F2471B">
        <w:rPr>
          <w:rFonts w:ascii="Arial" w:hAnsi="Arial" w:cs="Arial"/>
          <w:sz w:val="20"/>
        </w:rPr>
        <w:t>Jenista</w:t>
      </w:r>
      <w:proofErr w:type="spellEnd"/>
      <w:r w:rsidRPr="00F2471B">
        <w:rPr>
          <w:rFonts w:ascii="Arial" w:hAnsi="Arial" w:cs="Arial"/>
          <w:sz w:val="20"/>
        </w:rPr>
        <w:t xml:space="preserve">, E. R., Wendell, D. C., Azevedo, C. F., Campbell, M. J., </w:t>
      </w:r>
      <w:proofErr w:type="spellStart"/>
      <w:r w:rsidRPr="00F2471B">
        <w:rPr>
          <w:rFonts w:ascii="Arial" w:hAnsi="Arial" w:cs="Arial"/>
          <w:sz w:val="20"/>
        </w:rPr>
        <w:t>Darty</w:t>
      </w:r>
      <w:proofErr w:type="spellEnd"/>
      <w:r w:rsidRPr="00F2471B">
        <w:rPr>
          <w:rFonts w:ascii="Arial" w:hAnsi="Arial" w:cs="Arial"/>
          <w:sz w:val="20"/>
        </w:rPr>
        <w:t>, S. N., ... &amp; Kim, R. J. (2021). Patients with acute myocarditis following mRNA COVID-19 vaccination. JAMA cardiology, 6(10), 1196-1201.</w:t>
      </w:r>
      <w:r>
        <w:rPr>
          <w:rFonts w:ascii="Arial" w:hAnsi="Arial" w:cs="Arial"/>
          <w:sz w:val="20"/>
        </w:rPr>
        <w:t xml:space="preserve"> </w:t>
      </w:r>
      <w:r w:rsidRPr="00F2471B">
        <w:rPr>
          <w:rFonts w:ascii="Arial" w:hAnsi="Arial" w:cs="Arial"/>
          <w:sz w:val="20"/>
        </w:rPr>
        <w:tab/>
      </w:r>
    </w:p>
    <w:p w14:paraId="03AA79AF" w14:textId="01AFD970" w:rsidR="00F2471B" w:rsidRDefault="00F2471B" w:rsidP="001041A6">
      <w:pPr>
        <w:pStyle w:val="NoSpacing"/>
        <w:ind w:left="360"/>
        <w:jc w:val="both"/>
        <w:rPr>
          <w:rFonts w:ascii="Arial" w:hAnsi="Arial" w:cs="Arial"/>
          <w:sz w:val="20"/>
        </w:rPr>
      </w:pPr>
      <w:r w:rsidRPr="00F2471B">
        <w:rPr>
          <w:rFonts w:ascii="Arial" w:hAnsi="Arial" w:cs="Arial"/>
          <w:sz w:val="20"/>
        </w:rPr>
        <w:t xml:space="preserve">Tsangaris, A., </w:t>
      </w:r>
      <w:proofErr w:type="spellStart"/>
      <w:r w:rsidRPr="00F2471B">
        <w:rPr>
          <w:rFonts w:ascii="Arial" w:hAnsi="Arial" w:cs="Arial"/>
          <w:sz w:val="20"/>
        </w:rPr>
        <w:t>Alexy</w:t>
      </w:r>
      <w:proofErr w:type="spellEnd"/>
      <w:r w:rsidRPr="00F2471B">
        <w:rPr>
          <w:rFonts w:ascii="Arial" w:hAnsi="Arial" w:cs="Arial"/>
          <w:sz w:val="20"/>
        </w:rPr>
        <w:t xml:space="preserve">, T., </w:t>
      </w:r>
      <w:proofErr w:type="spellStart"/>
      <w:r w:rsidRPr="00F2471B">
        <w:rPr>
          <w:rFonts w:ascii="Arial" w:hAnsi="Arial" w:cs="Arial"/>
          <w:sz w:val="20"/>
        </w:rPr>
        <w:t>Kalra</w:t>
      </w:r>
      <w:proofErr w:type="spellEnd"/>
      <w:r w:rsidRPr="00F2471B">
        <w:rPr>
          <w:rFonts w:ascii="Arial" w:hAnsi="Arial" w:cs="Arial"/>
          <w:sz w:val="20"/>
        </w:rPr>
        <w:t xml:space="preserve">, R., </w:t>
      </w:r>
      <w:proofErr w:type="spellStart"/>
      <w:r w:rsidRPr="00F2471B">
        <w:rPr>
          <w:rFonts w:ascii="Arial" w:hAnsi="Arial" w:cs="Arial"/>
          <w:sz w:val="20"/>
        </w:rPr>
        <w:t>Kosmopoulos</w:t>
      </w:r>
      <w:proofErr w:type="spellEnd"/>
      <w:r w:rsidRPr="00F2471B">
        <w:rPr>
          <w:rFonts w:ascii="Arial" w:hAnsi="Arial" w:cs="Arial"/>
          <w:sz w:val="20"/>
        </w:rPr>
        <w:t xml:space="preserve">, M., Elliott, A., </w:t>
      </w:r>
      <w:proofErr w:type="spellStart"/>
      <w:r w:rsidRPr="00F2471B">
        <w:rPr>
          <w:rFonts w:ascii="Arial" w:hAnsi="Arial" w:cs="Arial"/>
          <w:sz w:val="20"/>
        </w:rPr>
        <w:t>Bartos</w:t>
      </w:r>
      <w:proofErr w:type="spellEnd"/>
      <w:r w:rsidRPr="00F2471B">
        <w:rPr>
          <w:rFonts w:ascii="Arial" w:hAnsi="Arial" w:cs="Arial"/>
          <w:sz w:val="20"/>
        </w:rPr>
        <w:t xml:space="preserve">, J. A., &amp; </w:t>
      </w:r>
      <w:proofErr w:type="spellStart"/>
      <w:r w:rsidRPr="00F2471B">
        <w:rPr>
          <w:rFonts w:ascii="Arial" w:hAnsi="Arial" w:cs="Arial"/>
          <w:sz w:val="20"/>
        </w:rPr>
        <w:t>Yannopoulos</w:t>
      </w:r>
      <w:proofErr w:type="spellEnd"/>
      <w:r w:rsidRPr="00F2471B">
        <w:rPr>
          <w:rFonts w:ascii="Arial" w:hAnsi="Arial" w:cs="Arial"/>
          <w:sz w:val="20"/>
        </w:rPr>
        <w:t xml:space="preserve">, D. (2021). Overview of </w:t>
      </w:r>
      <w:proofErr w:type="spellStart"/>
      <w:r w:rsidRPr="00F2471B">
        <w:rPr>
          <w:rFonts w:ascii="Arial" w:hAnsi="Arial" w:cs="Arial"/>
          <w:sz w:val="20"/>
        </w:rPr>
        <w:t>veno</w:t>
      </w:r>
      <w:proofErr w:type="spellEnd"/>
      <w:r w:rsidRPr="00F2471B">
        <w:rPr>
          <w:rFonts w:ascii="Arial" w:hAnsi="Arial" w:cs="Arial"/>
          <w:sz w:val="20"/>
        </w:rPr>
        <w:t>-arterial extracorporeal membrane oxygenation (VA-ECMO) support for the management of cardiogenic shock. Frontiers in cardiovascular medicine, 8, 686558.</w:t>
      </w:r>
      <w:r>
        <w:rPr>
          <w:rFonts w:ascii="Arial" w:hAnsi="Arial" w:cs="Arial"/>
          <w:sz w:val="20"/>
        </w:rPr>
        <w:t xml:space="preserve">  </w:t>
      </w:r>
    </w:p>
    <w:p w14:paraId="4CCB12A9" w14:textId="654E0624" w:rsidR="00FB6CD6" w:rsidRPr="00FB6CD6" w:rsidRDefault="00FB6CD6" w:rsidP="001041A6">
      <w:pPr>
        <w:pStyle w:val="NoSpacing"/>
        <w:ind w:left="360"/>
        <w:jc w:val="both"/>
        <w:rPr>
          <w:rFonts w:ascii="Arial" w:hAnsi="Arial" w:cs="Arial"/>
          <w:sz w:val="20"/>
        </w:rPr>
      </w:pPr>
      <w:proofErr w:type="spellStart"/>
      <w:r w:rsidRPr="00FB6CD6">
        <w:rPr>
          <w:rFonts w:ascii="Arial" w:hAnsi="Arial" w:cs="Arial"/>
          <w:sz w:val="20"/>
        </w:rPr>
        <w:t>Koziol</w:t>
      </w:r>
      <w:proofErr w:type="spellEnd"/>
      <w:r w:rsidRPr="00FB6CD6">
        <w:rPr>
          <w:rFonts w:ascii="Arial" w:hAnsi="Arial" w:cs="Arial"/>
          <w:sz w:val="20"/>
        </w:rPr>
        <w:t xml:space="preserve">, K. J., </w:t>
      </w:r>
      <w:proofErr w:type="spellStart"/>
      <w:r w:rsidRPr="00FB6CD6">
        <w:rPr>
          <w:rFonts w:ascii="Arial" w:hAnsi="Arial" w:cs="Arial"/>
          <w:sz w:val="20"/>
        </w:rPr>
        <w:t>Isath</w:t>
      </w:r>
      <w:proofErr w:type="spellEnd"/>
      <w:r w:rsidRPr="00FB6CD6">
        <w:rPr>
          <w:rFonts w:ascii="Arial" w:hAnsi="Arial" w:cs="Arial"/>
          <w:sz w:val="20"/>
        </w:rPr>
        <w:t xml:space="preserve">, A., Rao, S., Gregory, V., </w:t>
      </w:r>
      <w:proofErr w:type="spellStart"/>
      <w:r w:rsidRPr="00FB6CD6">
        <w:rPr>
          <w:rFonts w:ascii="Arial" w:hAnsi="Arial" w:cs="Arial"/>
          <w:sz w:val="20"/>
        </w:rPr>
        <w:t>Ohira</w:t>
      </w:r>
      <w:proofErr w:type="spellEnd"/>
      <w:r w:rsidRPr="00FB6CD6">
        <w:rPr>
          <w:rFonts w:ascii="Arial" w:hAnsi="Arial" w:cs="Arial"/>
          <w:sz w:val="20"/>
        </w:rPr>
        <w:t xml:space="preserve">, S., Van </w:t>
      </w:r>
      <w:proofErr w:type="spellStart"/>
      <w:r w:rsidRPr="00FB6CD6">
        <w:rPr>
          <w:rFonts w:ascii="Arial" w:hAnsi="Arial" w:cs="Arial"/>
          <w:sz w:val="20"/>
        </w:rPr>
        <w:t>Diepen</w:t>
      </w:r>
      <w:proofErr w:type="spellEnd"/>
      <w:r w:rsidRPr="00FB6CD6">
        <w:rPr>
          <w:rFonts w:ascii="Arial" w:hAnsi="Arial" w:cs="Arial"/>
          <w:sz w:val="20"/>
        </w:rPr>
        <w:t xml:space="preserve">, S., ... &amp; </w:t>
      </w:r>
      <w:proofErr w:type="spellStart"/>
      <w:r w:rsidRPr="00FB6CD6">
        <w:rPr>
          <w:rFonts w:ascii="Arial" w:hAnsi="Arial" w:cs="Arial"/>
          <w:sz w:val="20"/>
        </w:rPr>
        <w:t>Krittanawong</w:t>
      </w:r>
      <w:proofErr w:type="spellEnd"/>
      <w:r w:rsidRPr="00FB6CD6">
        <w:rPr>
          <w:rFonts w:ascii="Arial" w:hAnsi="Arial" w:cs="Arial"/>
          <w:sz w:val="20"/>
        </w:rPr>
        <w:t>, C. (2023). Extracorporeal membrane oxygenation (VA-ECMO) in management of cardiogenic shock. Journal of Clinical Medicine, 12(17), 5576.</w:t>
      </w:r>
      <w:r w:rsidRPr="00FB6CD6">
        <w:rPr>
          <w:rFonts w:ascii="Arial" w:hAnsi="Arial" w:cs="Arial"/>
          <w:b/>
          <w:bCs/>
          <w:sz w:val="20"/>
        </w:rPr>
        <w:t xml:space="preserve">  </w:t>
      </w:r>
    </w:p>
    <w:p w14:paraId="3532595D" w14:textId="53C4EE5A" w:rsidR="00FB6CD6" w:rsidRDefault="00FB6CD6" w:rsidP="001041A6">
      <w:pPr>
        <w:pStyle w:val="NoSpacing"/>
        <w:ind w:left="360"/>
        <w:jc w:val="both"/>
        <w:rPr>
          <w:rFonts w:ascii="Arial" w:hAnsi="Arial" w:cs="Arial"/>
          <w:sz w:val="20"/>
        </w:rPr>
      </w:pPr>
      <w:r w:rsidRPr="00FB6CD6">
        <w:rPr>
          <w:rFonts w:ascii="Arial" w:hAnsi="Arial" w:cs="Arial"/>
          <w:sz w:val="20"/>
        </w:rPr>
        <w:t>Singh, D., &amp; Yi, S. V. (2021). On the origin and evolution of SARS-CoV-2. Experimental &amp; molecular medicine, 53(4), 537-547.</w:t>
      </w:r>
      <w:r>
        <w:rPr>
          <w:rFonts w:ascii="Arial" w:hAnsi="Arial" w:cs="Arial"/>
          <w:sz w:val="20"/>
        </w:rPr>
        <w:t xml:space="preserve"> </w:t>
      </w:r>
    </w:p>
    <w:p w14:paraId="6C3825B5" w14:textId="5A9CC630" w:rsidR="00FB6CD6" w:rsidRDefault="00FB6CD6" w:rsidP="001041A6">
      <w:pPr>
        <w:pStyle w:val="NoSpacing"/>
        <w:ind w:left="360"/>
        <w:jc w:val="both"/>
        <w:rPr>
          <w:rFonts w:ascii="Arial" w:hAnsi="Arial" w:cs="Arial"/>
          <w:sz w:val="20"/>
        </w:rPr>
      </w:pPr>
      <w:r w:rsidRPr="00FB6CD6">
        <w:rPr>
          <w:rFonts w:ascii="Arial" w:hAnsi="Arial" w:cs="Arial"/>
          <w:sz w:val="20"/>
        </w:rPr>
        <w:t xml:space="preserve">Malik, J. A., Ahmed, S., Mir, A., Shinde, M., Bender, O., </w:t>
      </w:r>
      <w:proofErr w:type="spellStart"/>
      <w:r w:rsidRPr="00FB6CD6">
        <w:rPr>
          <w:rFonts w:ascii="Arial" w:hAnsi="Arial" w:cs="Arial"/>
          <w:sz w:val="20"/>
        </w:rPr>
        <w:t>Alshammari</w:t>
      </w:r>
      <w:proofErr w:type="spellEnd"/>
      <w:r w:rsidRPr="00FB6CD6">
        <w:rPr>
          <w:rFonts w:ascii="Arial" w:hAnsi="Arial" w:cs="Arial"/>
          <w:sz w:val="20"/>
        </w:rPr>
        <w:t>, F., ... &amp; Anwar, S. (2022). The SARS-CoV-2 mutations versus vaccine effectiveness: New opportunities to new challenges. Journal of infection and public health, 15(2), 228-240.</w:t>
      </w:r>
      <w:r>
        <w:rPr>
          <w:rFonts w:ascii="Arial" w:hAnsi="Arial" w:cs="Arial"/>
          <w:sz w:val="20"/>
        </w:rPr>
        <w:t xml:space="preserve"> </w:t>
      </w:r>
    </w:p>
    <w:p w14:paraId="2B6C1396" w14:textId="00D6BBD1" w:rsidR="00FB6CD6" w:rsidRDefault="00FB6CD6" w:rsidP="001041A6">
      <w:pPr>
        <w:pStyle w:val="NoSpacing"/>
        <w:ind w:left="360"/>
        <w:jc w:val="both"/>
        <w:rPr>
          <w:rFonts w:ascii="Arial" w:hAnsi="Arial" w:cs="Arial"/>
          <w:sz w:val="20"/>
        </w:rPr>
      </w:pPr>
      <w:proofErr w:type="spellStart"/>
      <w:r w:rsidRPr="00FB6CD6">
        <w:rPr>
          <w:rFonts w:ascii="Arial" w:hAnsi="Arial" w:cs="Arial"/>
          <w:sz w:val="20"/>
        </w:rPr>
        <w:t>Carmo</w:t>
      </w:r>
      <w:proofErr w:type="spellEnd"/>
      <w:r w:rsidRPr="00FB6CD6">
        <w:rPr>
          <w:rFonts w:ascii="Arial" w:hAnsi="Arial" w:cs="Arial"/>
          <w:sz w:val="20"/>
        </w:rPr>
        <w:t xml:space="preserve">, P. B. D., Magliano, C. A. D. S., Rey, H. C. V., Camargo, G. C., </w:t>
      </w:r>
      <w:proofErr w:type="spellStart"/>
      <w:r w:rsidRPr="00FB6CD6">
        <w:rPr>
          <w:rFonts w:ascii="Arial" w:hAnsi="Arial" w:cs="Arial"/>
          <w:sz w:val="20"/>
        </w:rPr>
        <w:t>Trocado</w:t>
      </w:r>
      <w:proofErr w:type="spellEnd"/>
      <w:r w:rsidRPr="00FB6CD6">
        <w:rPr>
          <w:rFonts w:ascii="Arial" w:hAnsi="Arial" w:cs="Arial"/>
          <w:sz w:val="20"/>
        </w:rPr>
        <w:t xml:space="preserve">, L. F. L., &amp; Gottlieb, I. (2022). Cost-effectiveness analysis of CCTA in SUS, as compared to other non-invasive imaging modalities in suspected obstructive CAD. </w:t>
      </w:r>
      <w:proofErr w:type="spellStart"/>
      <w:r w:rsidRPr="00FB6CD6">
        <w:rPr>
          <w:rFonts w:ascii="Arial" w:hAnsi="Arial" w:cs="Arial"/>
          <w:sz w:val="20"/>
        </w:rPr>
        <w:t>Arq</w:t>
      </w:r>
      <w:proofErr w:type="spellEnd"/>
      <w:r w:rsidRPr="00FB6CD6">
        <w:rPr>
          <w:rFonts w:ascii="Arial" w:hAnsi="Arial" w:cs="Arial"/>
          <w:sz w:val="20"/>
        </w:rPr>
        <w:t xml:space="preserve"> Bras </w:t>
      </w:r>
      <w:proofErr w:type="spellStart"/>
      <w:r w:rsidRPr="00FB6CD6">
        <w:rPr>
          <w:rFonts w:ascii="Arial" w:hAnsi="Arial" w:cs="Arial"/>
          <w:sz w:val="20"/>
        </w:rPr>
        <w:t>Cardiol</w:t>
      </w:r>
      <w:proofErr w:type="spellEnd"/>
      <w:r w:rsidRPr="00FB6CD6">
        <w:rPr>
          <w:rFonts w:ascii="Arial" w:hAnsi="Arial" w:cs="Arial"/>
          <w:sz w:val="20"/>
        </w:rPr>
        <w:t xml:space="preserve">, 118(3), 578-85.  </w:t>
      </w:r>
    </w:p>
    <w:p w14:paraId="66D3FB45" w14:textId="18475589" w:rsidR="00FB6CD6" w:rsidRPr="00074FD1" w:rsidRDefault="00FB6CD6" w:rsidP="001041A6">
      <w:pPr>
        <w:pStyle w:val="NoSpacing"/>
        <w:ind w:left="360"/>
        <w:jc w:val="both"/>
        <w:rPr>
          <w:rFonts w:ascii="Arial" w:hAnsi="Arial" w:cs="Arial"/>
          <w:sz w:val="20"/>
        </w:rPr>
      </w:pPr>
      <w:r w:rsidRPr="00FB6CD6">
        <w:rPr>
          <w:rFonts w:ascii="Arial" w:hAnsi="Arial" w:cs="Arial"/>
          <w:sz w:val="20"/>
        </w:rPr>
        <w:t xml:space="preserve">Bergamaschi, L., </w:t>
      </w:r>
      <w:proofErr w:type="spellStart"/>
      <w:r w:rsidRPr="00FB6CD6">
        <w:rPr>
          <w:rFonts w:ascii="Arial" w:hAnsi="Arial" w:cs="Arial"/>
          <w:sz w:val="20"/>
        </w:rPr>
        <w:t>Pavon</w:t>
      </w:r>
      <w:proofErr w:type="spellEnd"/>
      <w:r w:rsidRPr="00FB6CD6">
        <w:rPr>
          <w:rFonts w:ascii="Arial" w:hAnsi="Arial" w:cs="Arial"/>
          <w:sz w:val="20"/>
        </w:rPr>
        <w:t xml:space="preserve">, A. G., </w:t>
      </w:r>
      <w:proofErr w:type="spellStart"/>
      <w:r w:rsidRPr="00FB6CD6">
        <w:rPr>
          <w:rFonts w:ascii="Arial" w:hAnsi="Arial" w:cs="Arial"/>
          <w:sz w:val="20"/>
        </w:rPr>
        <w:t>Angeli</w:t>
      </w:r>
      <w:proofErr w:type="spellEnd"/>
      <w:r w:rsidRPr="00FB6CD6">
        <w:rPr>
          <w:rFonts w:ascii="Arial" w:hAnsi="Arial" w:cs="Arial"/>
          <w:sz w:val="20"/>
        </w:rPr>
        <w:t xml:space="preserve">, F., </w:t>
      </w:r>
      <w:proofErr w:type="spellStart"/>
      <w:r w:rsidRPr="00FB6CD6">
        <w:rPr>
          <w:rFonts w:ascii="Arial" w:hAnsi="Arial" w:cs="Arial"/>
          <w:sz w:val="20"/>
        </w:rPr>
        <w:t>Tuttolomondo</w:t>
      </w:r>
      <w:proofErr w:type="spellEnd"/>
      <w:r w:rsidRPr="00FB6CD6">
        <w:rPr>
          <w:rFonts w:ascii="Arial" w:hAnsi="Arial" w:cs="Arial"/>
          <w:sz w:val="20"/>
        </w:rPr>
        <w:t xml:space="preserve">, D., Belmonte, M., </w:t>
      </w:r>
      <w:proofErr w:type="spellStart"/>
      <w:r w:rsidRPr="00FB6CD6">
        <w:rPr>
          <w:rFonts w:ascii="Arial" w:hAnsi="Arial" w:cs="Arial"/>
          <w:sz w:val="20"/>
        </w:rPr>
        <w:t>Armillotta</w:t>
      </w:r>
      <w:proofErr w:type="spellEnd"/>
      <w:r w:rsidRPr="00FB6CD6">
        <w:rPr>
          <w:rFonts w:ascii="Arial" w:hAnsi="Arial" w:cs="Arial"/>
          <w:sz w:val="20"/>
        </w:rPr>
        <w:t xml:space="preserve">, M., ... &amp; Guglielmo, M. (2023). The role of non-invasive multimodality imaging in chronic coronary syndrome: anatomical and functional pathways. Diagnostics, 13(12), 2083.  </w:t>
      </w:r>
      <w:r w:rsidRPr="00FB6CD6">
        <w:rPr>
          <w:rFonts w:ascii="Arial" w:hAnsi="Arial" w:cs="Arial"/>
          <w:sz w:val="20"/>
        </w:rPr>
        <w:tab/>
      </w:r>
    </w:p>
    <w:sectPr w:rsidR="00FB6CD6" w:rsidRPr="00074F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63F79" w14:textId="77777777" w:rsidR="00CD5DB6" w:rsidRDefault="00CD5DB6" w:rsidP="006E7D58">
      <w:pPr>
        <w:spacing w:after="0" w:line="240" w:lineRule="auto"/>
      </w:pPr>
      <w:r>
        <w:separator/>
      </w:r>
    </w:p>
  </w:endnote>
  <w:endnote w:type="continuationSeparator" w:id="0">
    <w:p w14:paraId="1689EDBD" w14:textId="77777777" w:rsidR="00CD5DB6" w:rsidRDefault="00CD5DB6" w:rsidP="006E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FEEC" w14:textId="77777777" w:rsidR="006E7D58" w:rsidRDefault="006E7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2815B" w14:textId="77777777" w:rsidR="006E7D58" w:rsidRDefault="006E7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F496D" w14:textId="77777777" w:rsidR="006E7D58" w:rsidRDefault="006E7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0A1A6" w14:textId="77777777" w:rsidR="00CD5DB6" w:rsidRDefault="00CD5DB6" w:rsidP="006E7D58">
      <w:pPr>
        <w:spacing w:after="0" w:line="240" w:lineRule="auto"/>
      </w:pPr>
      <w:r>
        <w:separator/>
      </w:r>
    </w:p>
  </w:footnote>
  <w:footnote w:type="continuationSeparator" w:id="0">
    <w:p w14:paraId="30677E82" w14:textId="77777777" w:rsidR="00CD5DB6" w:rsidRDefault="00CD5DB6" w:rsidP="006E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D9A5D" w14:textId="69EF160B" w:rsidR="006E7D58" w:rsidRDefault="006E7D58">
    <w:pPr>
      <w:pStyle w:val="Header"/>
    </w:pPr>
    <w:r>
      <w:rPr>
        <w:noProof/>
      </w:rPr>
      <w:pict w14:anchorId="20048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274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36C1C" w14:textId="445CBFDC" w:rsidR="006E7D58" w:rsidRDefault="006E7D58">
    <w:pPr>
      <w:pStyle w:val="Header"/>
    </w:pPr>
    <w:r>
      <w:rPr>
        <w:noProof/>
      </w:rPr>
      <w:pict w14:anchorId="0D104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274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CAC5" w14:textId="0D3FBD18" w:rsidR="006E7D58" w:rsidRDefault="006E7D58">
    <w:pPr>
      <w:pStyle w:val="Header"/>
    </w:pPr>
    <w:r>
      <w:rPr>
        <w:noProof/>
      </w:rPr>
      <w:pict w14:anchorId="49318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274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82AFE"/>
    <w:multiLevelType w:val="hybridMultilevel"/>
    <w:tmpl w:val="D688C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27C73"/>
    <w:multiLevelType w:val="multilevel"/>
    <w:tmpl w:val="1E36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D2F82"/>
    <w:multiLevelType w:val="multilevel"/>
    <w:tmpl w:val="9090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702856"/>
    <w:multiLevelType w:val="hybridMultilevel"/>
    <w:tmpl w:val="692AD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D343B"/>
    <w:multiLevelType w:val="multilevel"/>
    <w:tmpl w:val="ECAC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FB68E7"/>
    <w:multiLevelType w:val="multilevel"/>
    <w:tmpl w:val="54F6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AC7B5B"/>
    <w:multiLevelType w:val="multilevel"/>
    <w:tmpl w:val="574E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0C1EDA"/>
    <w:multiLevelType w:val="multilevel"/>
    <w:tmpl w:val="A694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6B0A08"/>
    <w:multiLevelType w:val="multilevel"/>
    <w:tmpl w:val="04C0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C35E26"/>
    <w:multiLevelType w:val="multilevel"/>
    <w:tmpl w:val="498A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5"/>
  </w:num>
  <w:num w:numId="4">
    <w:abstractNumId w:val="8"/>
  </w:num>
  <w:num w:numId="5">
    <w:abstractNumId w:val="2"/>
  </w:num>
  <w:num w:numId="6">
    <w:abstractNumId w:val="1"/>
  </w:num>
  <w:num w:numId="7">
    <w:abstractNumId w:val="9"/>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0MDY0NTU1MLE0MjBW0lEKTi0uzszPAykwqgUA4voxTywAAAA="/>
  </w:docVars>
  <w:rsids>
    <w:rsidRoot w:val="00FA5CDC"/>
    <w:rsid w:val="00062E1C"/>
    <w:rsid w:val="00074FD1"/>
    <w:rsid w:val="00095246"/>
    <w:rsid w:val="000B6A98"/>
    <w:rsid w:val="000E6B13"/>
    <w:rsid w:val="001041A6"/>
    <w:rsid w:val="001104F9"/>
    <w:rsid w:val="00170CE0"/>
    <w:rsid w:val="001851CC"/>
    <w:rsid w:val="001879D6"/>
    <w:rsid w:val="00290A2B"/>
    <w:rsid w:val="00306496"/>
    <w:rsid w:val="00364D82"/>
    <w:rsid w:val="003D7557"/>
    <w:rsid w:val="003E2C02"/>
    <w:rsid w:val="0046765E"/>
    <w:rsid w:val="0047651D"/>
    <w:rsid w:val="004F2D9C"/>
    <w:rsid w:val="00515B44"/>
    <w:rsid w:val="00580495"/>
    <w:rsid w:val="006764E7"/>
    <w:rsid w:val="006A1733"/>
    <w:rsid w:val="006E7D58"/>
    <w:rsid w:val="007814D1"/>
    <w:rsid w:val="007B36B5"/>
    <w:rsid w:val="007C639E"/>
    <w:rsid w:val="00844119"/>
    <w:rsid w:val="0088733C"/>
    <w:rsid w:val="008F4221"/>
    <w:rsid w:val="0093034F"/>
    <w:rsid w:val="00966552"/>
    <w:rsid w:val="009B1216"/>
    <w:rsid w:val="00A15716"/>
    <w:rsid w:val="00AB264F"/>
    <w:rsid w:val="00B26863"/>
    <w:rsid w:val="00BA5D55"/>
    <w:rsid w:val="00C94CBC"/>
    <w:rsid w:val="00CD5DB6"/>
    <w:rsid w:val="00D238E9"/>
    <w:rsid w:val="00E7009E"/>
    <w:rsid w:val="00E86A5D"/>
    <w:rsid w:val="00EF1597"/>
    <w:rsid w:val="00F21548"/>
    <w:rsid w:val="00F2471B"/>
    <w:rsid w:val="00F62A4D"/>
    <w:rsid w:val="00F9603E"/>
    <w:rsid w:val="00FA5CDC"/>
    <w:rsid w:val="00FB6CD6"/>
    <w:rsid w:val="00FD4678"/>
    <w:rsid w:val="00FF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A21C67"/>
  <w15:chartTrackingRefBased/>
  <w15:docId w15:val="{392CC98D-ABF5-49CE-ACA5-53D24A8E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495"/>
    <w:pPr>
      <w:ind w:left="720"/>
      <w:contextualSpacing/>
    </w:pPr>
  </w:style>
  <w:style w:type="paragraph" w:styleId="NoSpacing">
    <w:name w:val="No Spacing"/>
    <w:uiPriority w:val="1"/>
    <w:qFormat/>
    <w:rsid w:val="0046765E"/>
    <w:pPr>
      <w:spacing w:after="0" w:line="240" w:lineRule="auto"/>
    </w:pPr>
  </w:style>
  <w:style w:type="paragraph" w:styleId="EndnoteText">
    <w:name w:val="endnote text"/>
    <w:basedOn w:val="Normal"/>
    <w:link w:val="EndnoteTextChar"/>
    <w:uiPriority w:val="99"/>
    <w:rsid w:val="0046765E"/>
    <w:pPr>
      <w:spacing w:before="120" w:after="0" w:line="48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46765E"/>
    <w:rPr>
      <w:rFonts w:ascii="Times New Roman" w:eastAsia="Times New Roman" w:hAnsi="Times New Roman" w:cs="Times New Roman"/>
      <w:sz w:val="20"/>
      <w:szCs w:val="20"/>
    </w:rPr>
  </w:style>
  <w:style w:type="table" w:styleId="TableGrid">
    <w:name w:val="Table Grid"/>
    <w:basedOn w:val="TableNormal"/>
    <w:uiPriority w:val="39"/>
    <w:rsid w:val="00BA5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2A4D"/>
    <w:rPr>
      <w:color w:val="0563C1" w:themeColor="hyperlink"/>
      <w:u w:val="single"/>
    </w:rPr>
  </w:style>
  <w:style w:type="character" w:styleId="UnresolvedMention">
    <w:name w:val="Unresolved Mention"/>
    <w:basedOn w:val="DefaultParagraphFont"/>
    <w:uiPriority w:val="99"/>
    <w:semiHidden/>
    <w:unhideWhenUsed/>
    <w:rsid w:val="00F62A4D"/>
    <w:rPr>
      <w:color w:val="605E5C"/>
      <w:shd w:val="clear" w:color="auto" w:fill="E1DFDD"/>
    </w:rPr>
  </w:style>
  <w:style w:type="paragraph" w:styleId="Header">
    <w:name w:val="header"/>
    <w:basedOn w:val="Normal"/>
    <w:link w:val="HeaderChar"/>
    <w:uiPriority w:val="99"/>
    <w:unhideWhenUsed/>
    <w:rsid w:val="006E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D58"/>
  </w:style>
  <w:style w:type="paragraph" w:styleId="Footer">
    <w:name w:val="footer"/>
    <w:basedOn w:val="Normal"/>
    <w:link w:val="FooterChar"/>
    <w:uiPriority w:val="99"/>
    <w:unhideWhenUsed/>
    <w:rsid w:val="006E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DF04-1D02-4697-B4E2-C64363B3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13</Pages>
  <Words>7240</Words>
  <Characters>41269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23</cp:revision>
  <dcterms:created xsi:type="dcterms:W3CDTF">2025-08-30T11:35:00Z</dcterms:created>
  <dcterms:modified xsi:type="dcterms:W3CDTF">2025-09-01T10:18:00Z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a3166d3e-a725-4528-863b-43c459bbcba1</vt:lpwstr>
  </property>
</Properties>
</file>