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88E" w:rsidRDefault="0056488E">
      <w:pPr>
        <w:jc w:val="both"/>
      </w:pPr>
    </w:p>
    <w:p w:rsidR="0056488E" w:rsidRDefault="0056488E">
      <w:pPr>
        <w:jc w:val="both"/>
      </w:pPr>
    </w:p>
    <w:p w:rsidR="0056488E" w:rsidRDefault="0056488E">
      <w:pPr>
        <w:jc w:val="both"/>
      </w:pPr>
    </w:p>
    <w:p w:rsidR="0056488E" w:rsidRDefault="0056488E">
      <w:pPr>
        <w:jc w:val="center"/>
        <w:rPr>
          <w:rFonts w:ascii="Times New Roman" w:hAnsi="Times New Roman" w:cs="Times New Roman"/>
          <w:b/>
          <w:bCs/>
          <w:sz w:val="32"/>
          <w:szCs w:val="32"/>
        </w:rPr>
      </w:pPr>
    </w:p>
    <w:p w:rsidR="0056488E" w:rsidRDefault="0056488E">
      <w:pPr>
        <w:jc w:val="center"/>
        <w:rPr>
          <w:sz w:val="28"/>
          <w:szCs w:val="28"/>
        </w:rPr>
      </w:pPr>
    </w:p>
    <w:p w:rsidR="0056488E" w:rsidRDefault="0056488E">
      <w:pPr>
        <w:jc w:val="center"/>
        <w:rPr>
          <w:rFonts w:ascii="Times New Roman" w:hAnsi="Times New Roman" w:cs="Times New Roman"/>
          <w:b/>
          <w:bCs/>
          <w:color w:val="002060"/>
          <w:sz w:val="28"/>
          <w:szCs w:val="28"/>
        </w:rPr>
      </w:pPr>
    </w:p>
    <w:p w:rsidR="0056488E" w:rsidRDefault="00D138F5">
      <w:pPr>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Evaluation the Effect of pregnancy on Some Hematological Parameters among Sudanese</w:t>
      </w:r>
    </w:p>
    <w:p w:rsidR="0056488E" w:rsidRDefault="00D138F5">
      <w:pPr>
        <w:jc w:val="center"/>
        <w:rPr>
          <w:rFonts w:ascii="Times New Roman" w:hAnsi="Times New Roman" w:cs="Times New Roman"/>
          <w:b/>
          <w:bCs/>
          <w:color w:val="002060"/>
          <w:sz w:val="28"/>
          <w:szCs w:val="28"/>
          <w:rtl/>
        </w:rPr>
      </w:pPr>
      <w:r>
        <w:rPr>
          <w:rFonts w:ascii="Times New Roman" w:hAnsi="Times New Roman" w:cs="Times New Roman"/>
          <w:b/>
          <w:bCs/>
          <w:color w:val="002060"/>
          <w:sz w:val="28"/>
          <w:szCs w:val="28"/>
        </w:rPr>
        <w:t>Pregnant Women Attending at Maternity Hospital at Dongola, Sudan-2025</w:t>
      </w:r>
    </w:p>
    <w:p w:rsidR="0056488E" w:rsidRDefault="0056488E">
      <w:pPr>
        <w:jc w:val="center"/>
        <w:rPr>
          <w:rFonts w:ascii="Times New Roman" w:hAnsi="Times New Roman" w:cs="Times New Roman"/>
          <w:b/>
          <w:bCs/>
          <w:color w:val="002060"/>
          <w:sz w:val="28"/>
          <w:szCs w:val="28"/>
          <w:rtl/>
        </w:rPr>
      </w:pPr>
    </w:p>
    <w:p w:rsidR="0056488E" w:rsidRDefault="0056488E">
      <w:pPr>
        <w:jc w:val="center"/>
        <w:rPr>
          <w:rFonts w:ascii="Times New Roman" w:hAnsi="Times New Roman" w:cs="Times New Roman"/>
          <w:b/>
          <w:bCs/>
          <w:sz w:val="32"/>
          <w:szCs w:val="32"/>
        </w:rPr>
      </w:pPr>
    </w:p>
    <w:p w:rsidR="0056488E" w:rsidRDefault="0056488E">
      <w:pPr>
        <w:rPr>
          <w:rFonts w:ascii="Lucida Console" w:hAnsi="Lucida Console" w:cs="Times New Roman"/>
          <w:sz w:val="32"/>
          <w:szCs w:val="32"/>
        </w:rPr>
      </w:pPr>
    </w:p>
    <w:p w:rsidR="00C9487A" w:rsidRPr="00C9487A" w:rsidRDefault="00C9487A" w:rsidP="00C9487A">
      <w:pPr>
        <w:jc w:val="both"/>
        <w:rPr>
          <w:sz w:val="28"/>
          <w:szCs w:val="28"/>
        </w:rPr>
      </w:pPr>
      <w:r w:rsidRPr="00C9487A">
        <w:rPr>
          <w:sz w:val="28"/>
          <w:szCs w:val="28"/>
        </w:rPr>
        <w:t xml:space="preserve">Abstract </w:t>
      </w:r>
    </w:p>
    <w:p w:rsidR="00C9487A" w:rsidRPr="00C9487A" w:rsidRDefault="00C9487A" w:rsidP="00C9487A">
      <w:pPr>
        <w:rPr>
          <w:rFonts w:ascii="Times New Roman" w:hAnsi="Times New Roman" w:cs="Times New Roman"/>
          <w:sz w:val="28"/>
          <w:szCs w:val="28"/>
        </w:rPr>
      </w:pPr>
      <w:r w:rsidRPr="00C9487A">
        <w:rPr>
          <w:sz w:val="28"/>
          <w:szCs w:val="28"/>
        </w:rPr>
        <w:t xml:space="preserve">Pregnancy is not a disease; it requires proper prenatal care to ensure positive health outcomes for both the mother and the fetus. It is a natural physiological condition that leads to significant changes in a woman's body, which become more pronounced as pregnancy progresses. The study aims to evaluate the Effect of pregnancy on some </w:t>
      </w:r>
      <w:proofErr w:type="spellStart"/>
      <w:r w:rsidRPr="00C9487A">
        <w:rPr>
          <w:sz w:val="28"/>
          <w:szCs w:val="28"/>
        </w:rPr>
        <w:t>haematological</w:t>
      </w:r>
      <w:proofErr w:type="spellEnd"/>
      <w:r w:rsidRPr="00C9487A">
        <w:rPr>
          <w:sz w:val="28"/>
          <w:szCs w:val="28"/>
        </w:rPr>
        <w:t xml:space="preserve"> parameters among Sudanese Pregnant Women Attending at Maternity Hospital in Dongola, Sudan, 2025. </w:t>
      </w:r>
      <w:r w:rsidRPr="00C9487A">
        <w:rPr>
          <w:rFonts w:ascii="Times New Roman" w:hAnsi="Times New Roman" w:cs="Times New Roman"/>
          <w:sz w:val="28"/>
          <w:szCs w:val="28"/>
        </w:rPr>
        <w:t>The study was conducted in Dongola City, Northern State, Sudan.</w:t>
      </w:r>
      <w:r w:rsidRPr="00C9487A">
        <w:t xml:space="preserve"> </w:t>
      </w:r>
      <w:r w:rsidRPr="00C9487A">
        <w:rPr>
          <w:rFonts w:ascii="Times New Roman" w:hAnsi="Times New Roman" w:cs="Times New Roman"/>
          <w:sz w:val="28"/>
          <w:szCs w:val="28"/>
        </w:rPr>
        <w:t>A total of 100 blood samples were collected from adult Sudanese women</w:t>
      </w:r>
      <w:r w:rsidRPr="00C9487A">
        <w:t xml:space="preserve">. </w:t>
      </w:r>
      <w:r w:rsidRPr="00C9487A">
        <w:rPr>
          <w:rFonts w:ascii="Times New Roman" w:hAnsi="Times New Roman" w:cs="Times New Roman"/>
          <w:sz w:val="28"/>
          <w:szCs w:val="28"/>
        </w:rPr>
        <w:t>Data was collected using a structured questionnaire designed to include all necessary information about the participants</w:t>
      </w:r>
      <w:r w:rsidRPr="00C9487A">
        <w:t xml:space="preserve">. </w:t>
      </w:r>
      <w:r w:rsidRPr="00C9487A">
        <w:rPr>
          <w:rFonts w:ascii="Times New Roman" w:hAnsi="Times New Roman" w:cs="Times New Roman"/>
          <w:sz w:val="28"/>
          <w:szCs w:val="28"/>
        </w:rPr>
        <w:t>A total of 100 blood samples were collected in EDTA anticoagulant tubes for complete blood count (CBC) analysis.</w:t>
      </w:r>
      <w:r w:rsidRPr="00C9487A">
        <w:t xml:space="preserve"> </w:t>
      </w:r>
      <w:r w:rsidRPr="00C9487A">
        <w:rPr>
          <w:rFonts w:ascii="Times New Roman" w:hAnsi="Times New Roman" w:cs="Times New Roman"/>
          <w:sz w:val="28"/>
          <w:szCs w:val="28"/>
        </w:rPr>
        <w:t xml:space="preserve">A Mindray BC-3000 plus </w:t>
      </w:r>
      <w:proofErr w:type="spellStart"/>
      <w:r w:rsidRPr="00C9487A">
        <w:rPr>
          <w:rFonts w:ascii="Times New Roman" w:hAnsi="Times New Roman" w:cs="Times New Roman"/>
          <w:sz w:val="28"/>
          <w:szCs w:val="28"/>
        </w:rPr>
        <w:t>Haematology</w:t>
      </w:r>
      <w:proofErr w:type="spellEnd"/>
      <w:r w:rsidRPr="00C9487A">
        <w:rPr>
          <w:rFonts w:ascii="Times New Roman" w:hAnsi="Times New Roman" w:cs="Times New Roman"/>
          <w:sz w:val="28"/>
          <w:szCs w:val="28"/>
        </w:rPr>
        <w:t xml:space="preserve"> </w:t>
      </w:r>
      <w:proofErr w:type="spellStart"/>
      <w:r w:rsidRPr="00C9487A">
        <w:rPr>
          <w:rFonts w:ascii="Times New Roman" w:hAnsi="Times New Roman" w:cs="Times New Roman"/>
          <w:sz w:val="28"/>
          <w:szCs w:val="28"/>
        </w:rPr>
        <w:t>Analyser</w:t>
      </w:r>
      <w:proofErr w:type="spellEnd"/>
      <w:r w:rsidRPr="00C9487A">
        <w:rPr>
          <w:rFonts w:ascii="Times New Roman" w:hAnsi="Times New Roman" w:cs="Times New Roman"/>
          <w:sz w:val="28"/>
          <w:szCs w:val="28"/>
        </w:rPr>
        <w:t xml:space="preserve"> was used to perform the complete blood count (CBC). 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Lymphocyte and monocyte-eosinophil counts were significantly lower in pregnant women (p &lt; 0.001), which may reflect the immunomodulatory shifts necessary to tolerate the fetal allograft. </w:t>
      </w:r>
      <w:proofErr w:type="spellStart"/>
      <w:r w:rsidRPr="00C9487A">
        <w:rPr>
          <w:rFonts w:ascii="Times New Roman" w:hAnsi="Times New Roman" w:cs="Times New Roman"/>
          <w:sz w:val="28"/>
          <w:szCs w:val="28"/>
        </w:rPr>
        <w:t>Haemoglobin</w:t>
      </w:r>
      <w:proofErr w:type="spellEnd"/>
      <w:r w:rsidRPr="00C9487A">
        <w:rPr>
          <w:rFonts w:ascii="Times New Roman" w:hAnsi="Times New Roman" w:cs="Times New Roman"/>
          <w:sz w:val="28"/>
          <w:szCs w:val="28"/>
        </w:rPr>
        <w:t xml:space="preserve"> (Hb) and red blood cell (RBC) counts were lower in pregnant women; the difference was not statistically significant (p &gt; 0.05). Platelet counts were significantly lower in pregnant women (p = 0.005), although most values remained within the normal range. Correlation analysis showed a significant positive relationship between age and WBCs and neutrophils, while lymphocyte count was negatively correlated with age. This suggests that age-</w:t>
      </w:r>
      <w:r w:rsidRPr="00C9487A">
        <w:rPr>
          <w:rFonts w:ascii="Times New Roman" w:hAnsi="Times New Roman" w:cs="Times New Roman"/>
          <w:sz w:val="28"/>
          <w:szCs w:val="28"/>
        </w:rPr>
        <w:lastRenderedPageBreak/>
        <w:t xml:space="preserve">related immune alterations may further modulate </w:t>
      </w:r>
      <w:proofErr w:type="spellStart"/>
      <w:r w:rsidRPr="00C9487A">
        <w:rPr>
          <w:rFonts w:ascii="Times New Roman" w:hAnsi="Times New Roman" w:cs="Times New Roman"/>
          <w:sz w:val="28"/>
          <w:szCs w:val="28"/>
        </w:rPr>
        <w:t>haematological</w:t>
      </w:r>
      <w:proofErr w:type="spellEnd"/>
      <w:r w:rsidRPr="00C9487A">
        <w:rPr>
          <w:rFonts w:ascii="Times New Roman" w:hAnsi="Times New Roman" w:cs="Times New Roman"/>
          <w:sz w:val="28"/>
          <w:szCs w:val="28"/>
        </w:rPr>
        <w:t xml:space="preserve"> profiles during pregnancy. This study concludes that pregnancy induces significant </w:t>
      </w:r>
      <w:proofErr w:type="spellStart"/>
      <w:r w:rsidRPr="00C9487A">
        <w:rPr>
          <w:rFonts w:ascii="Times New Roman" w:hAnsi="Times New Roman" w:cs="Times New Roman"/>
          <w:sz w:val="28"/>
          <w:szCs w:val="28"/>
        </w:rPr>
        <w:t>haematological</w:t>
      </w:r>
      <w:proofErr w:type="spellEnd"/>
      <w:r w:rsidRPr="00C9487A">
        <w:rPr>
          <w:rFonts w:ascii="Times New Roman" w:hAnsi="Times New Roman" w:cs="Times New Roman"/>
          <w:sz w:val="28"/>
          <w:szCs w:val="28"/>
        </w:rPr>
        <w:t xml:space="preserve"> changes among Sudanese women, particularly increased WBCs and neutrophils, and decreased platelets, lymphocytes, and eosinophils. These findings highlight the importance of routine </w:t>
      </w:r>
      <w:proofErr w:type="spellStart"/>
      <w:r w:rsidRPr="00C9487A">
        <w:rPr>
          <w:rFonts w:ascii="Times New Roman" w:hAnsi="Times New Roman" w:cs="Times New Roman"/>
          <w:sz w:val="28"/>
          <w:szCs w:val="28"/>
        </w:rPr>
        <w:t>haematological</w:t>
      </w:r>
      <w:proofErr w:type="spellEnd"/>
      <w:r w:rsidRPr="00C9487A">
        <w:rPr>
          <w:rFonts w:ascii="Times New Roman" w:hAnsi="Times New Roman" w:cs="Times New Roman"/>
          <w:sz w:val="28"/>
          <w:szCs w:val="28"/>
        </w:rPr>
        <w:t xml:space="preserve"> monitoring during pregnancy to detect potential complications early and guide timely interventions.</w:t>
      </w:r>
    </w:p>
    <w:p w:rsidR="0056488E" w:rsidRDefault="0056488E">
      <w:pPr>
        <w:rPr>
          <w:rFonts w:ascii="Lucida Console" w:hAnsi="Lucida Console" w:cs="Times New Roman"/>
          <w:sz w:val="32"/>
          <w:szCs w:val="32"/>
        </w:rPr>
      </w:pPr>
    </w:p>
    <w:p w:rsidR="0056488E" w:rsidRDefault="0056488E">
      <w:pPr>
        <w:rPr>
          <w:rFonts w:ascii="Lucida Console" w:hAnsi="Lucida Console" w:cs="Times New Roman"/>
          <w:sz w:val="32"/>
          <w:szCs w:val="32"/>
        </w:rPr>
      </w:pPr>
      <w:bookmarkStart w:id="0" w:name="_GoBack"/>
      <w:bookmarkEnd w:id="0"/>
    </w:p>
    <w:p w:rsidR="0056488E" w:rsidRDefault="0056488E">
      <w:pPr>
        <w:rPr>
          <w:rFonts w:ascii="Lucida Console" w:hAnsi="Lucida Console" w:cs="Times New Roman"/>
          <w:sz w:val="32"/>
          <w:szCs w:val="32"/>
        </w:rPr>
      </w:pPr>
    </w:p>
    <w:p w:rsidR="0056488E" w:rsidRDefault="0056488E">
      <w:pPr>
        <w:rPr>
          <w:rFonts w:ascii="Lucida Console" w:hAnsi="Lucida Console" w:cs="Times New Roman"/>
          <w:b/>
          <w:bCs/>
          <w:sz w:val="32"/>
          <w:szCs w:val="32"/>
        </w:rPr>
      </w:pPr>
    </w:p>
    <w:p w:rsidR="0056488E" w:rsidRDefault="00D138F5">
      <w:pPr>
        <w:jc w:val="center"/>
        <w:rPr>
          <w:rFonts w:ascii="Arial" w:hAnsi="Arial"/>
          <w:b/>
          <w:bCs/>
          <w:sz w:val="28"/>
          <w:szCs w:val="28"/>
        </w:rPr>
      </w:pPr>
      <w:r>
        <w:rPr>
          <w:rFonts w:ascii="Arial" w:hAnsi="Arial"/>
          <w:b/>
          <w:bCs/>
          <w:sz w:val="28"/>
          <w:szCs w:val="28"/>
        </w:rPr>
        <w:t>Introduction and literature review</w:t>
      </w:r>
    </w:p>
    <w:p w:rsidR="0056488E" w:rsidRDefault="00D138F5">
      <w:pPr>
        <w:rPr>
          <w:rFonts w:ascii="Arial" w:hAnsi="Arial"/>
          <w:sz w:val="28"/>
          <w:szCs w:val="28"/>
        </w:rPr>
      </w:pPr>
      <w:r>
        <w:rPr>
          <w:rFonts w:ascii="Arial" w:hAnsi="Arial"/>
          <w:sz w:val="28"/>
          <w:szCs w:val="28"/>
        </w:rPr>
        <w:t>Background:</w:t>
      </w:r>
    </w:p>
    <w:p w:rsidR="0056488E" w:rsidRDefault="00D138F5">
      <w:pPr>
        <w:rPr>
          <w:rFonts w:ascii="Times New Roman" w:hAnsi="Times New Roman" w:cs="Times New Roman"/>
          <w:sz w:val="28"/>
          <w:szCs w:val="28"/>
        </w:rPr>
      </w:pPr>
      <w:r>
        <w:rPr>
          <w:rFonts w:ascii="Times New Roman" w:hAnsi="Times New Roman" w:cs="Times New Roman"/>
          <w:sz w:val="28"/>
          <w:szCs w:val="28"/>
        </w:rPr>
        <w:t>Pregnancy is a natural physiological condition that leads to significant changes in a woman's body, which become more pronounced as pregnancy progresses</w:t>
      </w:r>
      <w:r>
        <w:rPr>
          <w:rFonts w:ascii="Times New Roman" w:hAnsi="Times New Roman" w:cs="Times New Roman"/>
          <w:sz w:val="28"/>
          <w:szCs w:val="28"/>
          <w:vertAlign w:val="superscript"/>
        </w:rPr>
        <w:t xml:space="preserve"> (1)</w:t>
      </w:r>
      <w:r>
        <w:rPr>
          <w:rFonts w:ascii="Times New Roman" w:hAnsi="Times New Roman" w:cs="Times New Roman"/>
          <w:sz w:val="28"/>
          <w:szCs w:val="28"/>
        </w:rPr>
        <w:t xml:space="preserve">. Although pregnancy is not a disease, it requires proper prenatal care to ensure positive health outcomes for both the mother and the fetus </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One of the essential laboratory tests used in prenatal care is the complete blood count (CBC), which provides critical information about blood components </w:t>
      </w:r>
      <w:r>
        <w:rPr>
          <w:rFonts w:ascii="Times New Roman" w:hAnsi="Times New Roman" w:cs="Times New Roman"/>
          <w:sz w:val="28"/>
          <w:szCs w:val="28"/>
          <w:vertAlign w:val="superscript"/>
        </w:rPr>
        <w:t>(3)</w:t>
      </w:r>
      <w:r>
        <w:rPr>
          <w:rFonts w:ascii="Times New Roman" w:hAnsi="Times New Roman" w:cs="Times New Roman"/>
          <w:sz w:val="28"/>
          <w:szCs w:val="28"/>
        </w:rPr>
        <w:t xml:space="preserve">. This test helps assess overall health and detect conditions such as anemia or leukemia </w:t>
      </w:r>
      <w:r>
        <w:rPr>
          <w:rFonts w:ascii="Times New Roman" w:hAnsi="Times New Roman" w:cs="Times New Roman"/>
          <w:sz w:val="28"/>
          <w:szCs w:val="28"/>
          <w:vertAlign w:val="superscript"/>
        </w:rPr>
        <w:t>(4)</w:t>
      </w:r>
      <w:r>
        <w:rPr>
          <w:rFonts w:ascii="Times New Roman" w:hAnsi="Times New Roman" w:cs="Times New Roman"/>
          <w:sz w:val="28"/>
          <w:szCs w:val="28"/>
        </w:rPr>
        <w:t xml:space="preserve">. The CBC includes measurements of red blood cells (RBCs), white blood cells (WBCs), and platelets, all of which play crucial roles in maintaining health during pregnancy </w:t>
      </w:r>
      <w:r>
        <w:rPr>
          <w:rFonts w:ascii="Times New Roman" w:hAnsi="Times New Roman" w:cs="Times New Roman"/>
          <w:sz w:val="28"/>
          <w:szCs w:val="28"/>
          <w:vertAlign w:val="superscript"/>
        </w:rPr>
        <w:t>(5)</w:t>
      </w:r>
      <w:r w:rsidR="004B19AC" w:rsidRPr="004B19AC">
        <w:rPr>
          <w:rFonts w:ascii="Times New Roman" w:hAnsi="Times New Roman" w:cs="Times New Roman"/>
          <w:sz w:val="28"/>
          <w:szCs w:val="28"/>
        </w:rPr>
        <w:t xml:space="preserve"> </w:t>
      </w:r>
      <w:r w:rsidR="004B19AC" w:rsidRPr="003174B7">
        <w:rPr>
          <w:rFonts w:ascii="Times New Roman" w:hAnsi="Times New Roman" w:cs="Times New Roman"/>
          <w:sz w:val="28"/>
          <w:szCs w:val="28"/>
        </w:rPr>
        <w:t>(</w:t>
      </w:r>
      <w:proofErr w:type="spellStart"/>
      <w:r w:rsidR="004B19AC" w:rsidRPr="003174B7">
        <w:rPr>
          <w:rFonts w:ascii="Times New Roman" w:hAnsi="Times New Roman" w:cs="Times New Roman"/>
          <w:sz w:val="28"/>
          <w:szCs w:val="28"/>
        </w:rPr>
        <w:t>Seo</w:t>
      </w:r>
      <w:proofErr w:type="spellEnd"/>
      <w:r w:rsidR="004B19AC" w:rsidRPr="003174B7">
        <w:rPr>
          <w:rFonts w:ascii="Times New Roman" w:hAnsi="Times New Roman" w:cs="Times New Roman"/>
          <w:sz w:val="28"/>
          <w:szCs w:val="28"/>
        </w:rPr>
        <w:t xml:space="preserve"> et al., 2022</w:t>
      </w:r>
      <w:r w:rsidR="004B19AC">
        <w:rPr>
          <w:rFonts w:ascii="Times New Roman" w:hAnsi="Times New Roman" w:cs="Times New Roman"/>
          <w:sz w:val="28"/>
          <w:szCs w:val="28"/>
        </w:rPr>
        <w:t xml:space="preserve">; </w:t>
      </w:r>
      <w:proofErr w:type="spellStart"/>
      <w:r w:rsidR="004B19AC" w:rsidRPr="003174B7">
        <w:rPr>
          <w:rFonts w:ascii="Times New Roman" w:hAnsi="Times New Roman" w:cs="Times New Roman"/>
          <w:sz w:val="28"/>
          <w:szCs w:val="28"/>
        </w:rPr>
        <w:t>Elsayid</w:t>
      </w:r>
      <w:proofErr w:type="spellEnd"/>
      <w:r w:rsidR="004B19AC" w:rsidRPr="003174B7">
        <w:rPr>
          <w:rFonts w:ascii="Times New Roman" w:hAnsi="Times New Roman" w:cs="Times New Roman"/>
          <w:sz w:val="28"/>
          <w:szCs w:val="28"/>
        </w:rPr>
        <w:t xml:space="preserve"> et al., 2024)</w:t>
      </w:r>
      <w:r>
        <w:rPr>
          <w:rFonts w:ascii="Times New Roman" w:hAnsi="Times New Roman" w:cs="Times New Roman"/>
          <w:sz w:val="28"/>
          <w:szCs w:val="28"/>
        </w:rPr>
        <w:t>.</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Complete Blood Count (CBC) is one of the most commonly performed laboratory tests, providing essential information about the cellular components of blood. This test includes measurements of red blood cells (RBCs), white blood cells (WBCs), hemoglobin (Hb), hematocrit (Hct), platelets, and other indices such as mean corpuscular volume (MCV) and mean corpuscular hemoglobin concentration (MCHC). These parameters are critical for diagnosing various hematological and systemic </w:t>
      </w:r>
      <w:proofErr w:type="gramStart"/>
      <w:r>
        <w:rPr>
          <w:rFonts w:ascii="Times New Roman" w:hAnsi="Times New Roman" w:cs="Times New Roman"/>
          <w:sz w:val="28"/>
          <w:szCs w:val="28"/>
        </w:rPr>
        <w:t>conditions</w:t>
      </w:r>
      <w:r w:rsidR="006157C0" w:rsidRPr="006157C0">
        <w:rPr>
          <w:rFonts w:ascii="Times New Roman" w:hAnsi="Times New Roman" w:cs="Times New Roman"/>
          <w:sz w:val="28"/>
          <w:szCs w:val="28"/>
        </w:rPr>
        <w:t>(</w:t>
      </w:r>
      <w:proofErr w:type="gramEnd"/>
      <w:r w:rsidR="006157C0" w:rsidRPr="006157C0">
        <w:rPr>
          <w:rFonts w:ascii="Times New Roman" w:hAnsi="Times New Roman" w:cs="Times New Roman"/>
          <w:sz w:val="28"/>
          <w:szCs w:val="28"/>
        </w:rPr>
        <w:t xml:space="preserve">Monteiro Júnior et al., 2019; </w:t>
      </w:r>
      <w:proofErr w:type="spellStart"/>
      <w:r w:rsidR="006157C0" w:rsidRPr="006157C0">
        <w:rPr>
          <w:rFonts w:ascii="Times New Roman" w:hAnsi="Times New Roman" w:cs="Times New Roman"/>
          <w:sz w:val="28"/>
          <w:szCs w:val="28"/>
        </w:rPr>
        <w:t>Rahi</w:t>
      </w:r>
      <w:proofErr w:type="spellEnd"/>
      <w:r w:rsidR="006157C0" w:rsidRPr="006157C0">
        <w:rPr>
          <w:rFonts w:ascii="Times New Roman" w:hAnsi="Times New Roman" w:cs="Times New Roman"/>
          <w:sz w:val="28"/>
          <w:szCs w:val="28"/>
        </w:rPr>
        <w:t xml:space="preserve"> et al., 2021)</w:t>
      </w:r>
      <w:r>
        <w:rPr>
          <w:rFonts w:ascii="Times New Roman" w:hAnsi="Times New Roman" w:cs="Times New Roman"/>
          <w:sz w:val="28"/>
          <w:szCs w:val="28"/>
        </w:rPr>
        <w:t>.</w:t>
      </w:r>
    </w:p>
    <w:p w:rsidR="0056488E" w:rsidRDefault="00D138F5">
      <w:pPr>
        <w:rPr>
          <w:rFonts w:ascii="Arial" w:hAnsi="Arial"/>
          <w:b/>
          <w:bCs/>
          <w:sz w:val="28"/>
          <w:szCs w:val="28"/>
        </w:rPr>
      </w:pPr>
      <w:r>
        <w:rPr>
          <w:b/>
          <w:bCs/>
          <w:sz w:val="28"/>
          <w:szCs w:val="28"/>
        </w:rPr>
        <w:t>1.1 Red Blood Cells (RBCs):</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RBCs are responsible for oxygen transport from the lungs to tissues and carbon dioxide </w:t>
      </w:r>
      <w:proofErr w:type="gramStart"/>
      <w:r>
        <w:rPr>
          <w:rFonts w:ascii="Times New Roman" w:hAnsi="Times New Roman" w:cs="Times New Roman"/>
          <w:sz w:val="28"/>
          <w:szCs w:val="28"/>
        </w:rPr>
        <w:t>removal</w:t>
      </w:r>
      <w:r w:rsidR="00507DAE" w:rsidRPr="003174B7">
        <w:rPr>
          <w:rFonts w:ascii="Times New Roman" w:hAnsi="Times New Roman" w:cs="Times New Roman"/>
          <w:sz w:val="28"/>
          <w:szCs w:val="28"/>
        </w:rPr>
        <w:t>(</w:t>
      </w:r>
      <w:proofErr w:type="gramEnd"/>
      <w:r w:rsidR="00507DAE" w:rsidRPr="003174B7">
        <w:rPr>
          <w:rFonts w:ascii="Times New Roman" w:hAnsi="Times New Roman" w:cs="Times New Roman"/>
          <w:sz w:val="28"/>
          <w:szCs w:val="28"/>
        </w:rPr>
        <w:t>Glenn &amp; Armstrong, 2019)</w:t>
      </w:r>
      <w:r>
        <w:rPr>
          <w:rFonts w:ascii="Times New Roman" w:hAnsi="Times New Roman" w:cs="Times New Roman"/>
          <w:sz w:val="28"/>
          <w:szCs w:val="28"/>
        </w:rPr>
        <w:t xml:space="preserve">. An abnormal RBC count may indicate anemia, polycythemia, or other disorders.  Nearly 50% of anemia cases in low-resource settings, particularly among pregnant women, are attributed to nutritional deficiencies </w:t>
      </w:r>
      <w:r>
        <w:rPr>
          <w:rFonts w:ascii="Times New Roman" w:hAnsi="Times New Roman" w:cs="Times New Roman"/>
          <w:sz w:val="28"/>
          <w:szCs w:val="28"/>
          <w:vertAlign w:val="superscript"/>
        </w:rPr>
        <w:t>(6).</w:t>
      </w:r>
      <w:r>
        <w:rPr>
          <w:rFonts w:ascii="Times New Roman" w:hAnsi="Times New Roman" w:cs="Times New Roman"/>
          <w:sz w:val="28"/>
          <w:szCs w:val="28"/>
        </w:rPr>
        <w:t xml:space="preserve">These cells containing hemoglobin, which is responsible for oxygen transport throughout the body. The </w:t>
      </w:r>
      <w:r>
        <w:rPr>
          <w:rFonts w:ascii="Times New Roman" w:hAnsi="Times New Roman" w:cs="Times New Roman"/>
          <w:sz w:val="28"/>
          <w:szCs w:val="28"/>
        </w:rPr>
        <w:lastRenderedPageBreak/>
        <w:t xml:space="preserve">oxygen inhaled through the lungs is carried by hemoglobin to all body tissues, ensuring proper cellular function </w:t>
      </w:r>
      <w:r>
        <w:rPr>
          <w:rFonts w:ascii="Times New Roman" w:hAnsi="Times New Roman" w:cs="Times New Roman"/>
          <w:sz w:val="28"/>
          <w:szCs w:val="28"/>
          <w:vertAlign w:val="superscript"/>
        </w:rPr>
        <w:t>(7)</w:t>
      </w:r>
      <w:r>
        <w:rPr>
          <w:rFonts w:ascii="Times New Roman" w:hAnsi="Times New Roman" w:cs="Times New Roman"/>
          <w:sz w:val="28"/>
          <w:szCs w:val="28"/>
        </w:rPr>
        <w:t>.</w:t>
      </w:r>
    </w:p>
    <w:p w:rsidR="0056488E" w:rsidRDefault="00D138F5">
      <w:pPr>
        <w:rPr>
          <w:rFonts w:ascii="Arial" w:hAnsi="Arial"/>
          <w:b/>
          <w:bCs/>
          <w:sz w:val="28"/>
          <w:szCs w:val="28"/>
        </w:rPr>
      </w:pPr>
      <w:r>
        <w:rPr>
          <w:b/>
          <w:bCs/>
          <w:sz w:val="28"/>
          <w:szCs w:val="28"/>
        </w:rPr>
        <w:t>1.2. White Blood Cells (WBCs):</w:t>
      </w:r>
    </w:p>
    <w:p w:rsidR="0056488E" w:rsidRDefault="00D138F5">
      <w:pPr>
        <w:rPr>
          <w:rFonts w:ascii="Arial" w:hAnsi="Arial"/>
          <w:sz w:val="28"/>
          <w:szCs w:val="28"/>
        </w:rPr>
      </w:pPr>
      <w:r>
        <w:rPr>
          <w:rFonts w:ascii="Times New Roman" w:hAnsi="Times New Roman" w:cs="Times New Roman"/>
          <w:sz w:val="28"/>
          <w:szCs w:val="28"/>
        </w:rPr>
        <w:t>WBCs are part of the immune system, protecting the body against infections. CBC differentiates between various WBC types, including neutrophils, lymphocytes, monocytes, eosinophils, and basophils, aiding in diagnosing infections, leukemia, and immune disorders.  Highlighted that abnormalities in WBC count during pregnancy are often linked to infections and inflammatory conditions, which can increase the risk of adverse outcomes [10].Produced in the bone marrow and found in the blood and</w:t>
      </w:r>
      <w:r>
        <w:rPr>
          <w:rFonts w:ascii="Arial" w:hAnsi="Arial"/>
          <w:sz w:val="28"/>
          <w:szCs w:val="28"/>
        </w:rPr>
        <w:t xml:space="preserve"> </w:t>
      </w:r>
      <w:r>
        <w:rPr>
          <w:rFonts w:ascii="Times New Roman" w:hAnsi="Times New Roman" w:cs="Times New Roman"/>
          <w:sz w:val="28"/>
          <w:szCs w:val="28"/>
        </w:rPr>
        <w:t xml:space="preserve">lymphatic system, WBCs play a crucial role in immunity by helping the body fight infections and other diseases </w:t>
      </w:r>
      <w:r>
        <w:rPr>
          <w:rFonts w:ascii="Times New Roman" w:hAnsi="Times New Roman" w:cs="Times New Roman"/>
          <w:sz w:val="28"/>
          <w:szCs w:val="28"/>
          <w:vertAlign w:val="superscript"/>
        </w:rPr>
        <w:t>(8)</w:t>
      </w:r>
      <w:r>
        <w:rPr>
          <w:rFonts w:ascii="Times New Roman" w:hAnsi="Times New Roman" w:cs="Times New Roman"/>
          <w:sz w:val="28"/>
          <w:szCs w:val="28"/>
        </w:rPr>
        <w:t>.</w:t>
      </w:r>
    </w:p>
    <w:p w:rsidR="0056488E" w:rsidRDefault="0056488E">
      <w:pPr>
        <w:rPr>
          <w:rFonts w:ascii="Arial" w:hAnsi="Arial"/>
          <w:sz w:val="28"/>
          <w:szCs w:val="28"/>
        </w:rPr>
      </w:pPr>
    </w:p>
    <w:p w:rsidR="0056488E" w:rsidRDefault="0056488E">
      <w:pPr>
        <w:rPr>
          <w:rFonts w:ascii="Times New Roman" w:hAnsi="Times New Roman" w:cs="Times New Roman"/>
          <w:sz w:val="28"/>
          <w:szCs w:val="28"/>
        </w:rPr>
      </w:pPr>
    </w:p>
    <w:p w:rsidR="0056488E" w:rsidRDefault="00D138F5">
      <w:pPr>
        <w:rPr>
          <w:rFonts w:ascii="Times New Roman" w:hAnsi="Times New Roman" w:cs="Times New Roman"/>
          <w:sz w:val="28"/>
          <w:szCs w:val="28"/>
        </w:rPr>
      </w:pPr>
      <w:r>
        <w:rPr>
          <w:rFonts w:ascii="Times New Roman" w:hAnsi="Times New Roman" w:cs="Times New Roman"/>
          <w:sz w:val="28"/>
          <w:szCs w:val="28"/>
        </w:rPr>
        <w:t>There are different types of WBCs, each with specific functions:</w:t>
      </w: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 xml:space="preserve">1.2.1 Neutrophils: </w:t>
      </w:r>
    </w:p>
    <w:p w:rsidR="0056488E" w:rsidRDefault="00D138F5">
      <w:pPr>
        <w:rPr>
          <w:rFonts w:ascii="Times New Roman" w:hAnsi="Times New Roman" w:cs="Times New Roman"/>
          <w:sz w:val="28"/>
          <w:szCs w:val="28"/>
          <w:vertAlign w:val="superscript"/>
        </w:rPr>
      </w:pPr>
      <w:r>
        <w:rPr>
          <w:rFonts w:ascii="Times New Roman" w:hAnsi="Times New Roman" w:cs="Times New Roman"/>
          <w:sz w:val="28"/>
          <w:szCs w:val="28"/>
        </w:rPr>
        <w:t>The most abundant type of WBCs, neutrophils help fight bacterial and fungal infections and aid in wound healing</w:t>
      </w:r>
      <w:r>
        <w:rPr>
          <w:rFonts w:ascii="Times New Roman" w:hAnsi="Times New Roman" w:cs="Times New Roman"/>
          <w:sz w:val="28"/>
          <w:szCs w:val="28"/>
          <w:vertAlign w:val="superscript"/>
        </w:rPr>
        <w:t xml:space="preserve"> (10).</w:t>
      </w: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1.2.2 Lymphocytes:</w:t>
      </w:r>
    </w:p>
    <w:p w:rsidR="0056488E" w:rsidRDefault="00D138F5">
      <w:pPr>
        <w:rPr>
          <w:rFonts w:ascii="Times New Roman" w:hAnsi="Times New Roman" w:cs="Times New Roman"/>
          <w:sz w:val="28"/>
          <w:szCs w:val="28"/>
        </w:rPr>
      </w:pPr>
      <w:r>
        <w:rPr>
          <w:rFonts w:ascii="Arial" w:hAnsi="Arial"/>
          <w:sz w:val="28"/>
          <w:szCs w:val="28"/>
        </w:rPr>
        <w:t xml:space="preserve"> </w:t>
      </w:r>
      <w:r>
        <w:rPr>
          <w:rFonts w:ascii="Times New Roman" w:hAnsi="Times New Roman" w:cs="Times New Roman"/>
          <w:sz w:val="28"/>
          <w:szCs w:val="28"/>
        </w:rPr>
        <w:t xml:space="preserve">These cells contribute to adaptive immunity. B-lymphocytes produce antibodies, while T-lymphocytes help in cellular immune responses. Some lymphocytes act as memory cells, enabling a faster immune response upon re-exposure to pathogens </w:t>
      </w:r>
      <w:r>
        <w:rPr>
          <w:rFonts w:ascii="Times New Roman" w:hAnsi="Times New Roman" w:cs="Times New Roman"/>
          <w:sz w:val="28"/>
          <w:szCs w:val="28"/>
          <w:vertAlign w:val="superscript"/>
        </w:rPr>
        <w:t>(11)</w:t>
      </w:r>
      <w:r>
        <w:rPr>
          <w:rFonts w:ascii="Times New Roman" w:hAnsi="Times New Roman" w:cs="Times New Roman"/>
          <w:sz w:val="28"/>
          <w:szCs w:val="28"/>
        </w:rPr>
        <w:t>.</w:t>
      </w:r>
    </w:p>
    <w:p w:rsidR="0056488E" w:rsidRDefault="00D138F5">
      <w:pPr>
        <w:rPr>
          <w:rFonts w:ascii="Arial" w:hAnsi="Arial"/>
          <w:b/>
          <w:bCs/>
          <w:sz w:val="28"/>
          <w:szCs w:val="28"/>
        </w:rPr>
      </w:pPr>
      <w:r>
        <w:rPr>
          <w:b/>
          <w:bCs/>
          <w:sz w:val="28"/>
          <w:szCs w:val="28"/>
        </w:rPr>
        <w:t>1.2.3 Monocytes:-</w:t>
      </w:r>
    </w:p>
    <w:p w:rsidR="0056488E" w:rsidRDefault="00D138F5">
      <w:pPr>
        <w:rPr>
          <w:rFonts w:ascii="Times New Roman" w:hAnsi="Times New Roman" w:cs="Times New Roman"/>
          <w:sz w:val="28"/>
          <w:szCs w:val="28"/>
        </w:rPr>
      </w:pPr>
      <w:r>
        <w:rPr>
          <w:rFonts w:ascii="Arial" w:hAnsi="Arial"/>
          <w:sz w:val="28"/>
          <w:szCs w:val="28"/>
        </w:rPr>
        <w:t xml:space="preserve"> </w:t>
      </w:r>
      <w:r>
        <w:rPr>
          <w:rFonts w:ascii="Times New Roman" w:hAnsi="Times New Roman" w:cs="Times New Roman"/>
          <w:sz w:val="28"/>
          <w:szCs w:val="28"/>
        </w:rPr>
        <w:t>These act as one of the body's first lines of defense by engulfing pathogens and presenting antigens to other immune cells.</w:t>
      </w: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 xml:space="preserve">1.2.4 Eosinophil’s: </w:t>
      </w:r>
    </w:p>
    <w:p w:rsidR="0056488E" w:rsidRDefault="00D138F5">
      <w:pPr>
        <w:rPr>
          <w:rFonts w:ascii="Times New Roman" w:hAnsi="Times New Roman" w:cs="Times New Roman"/>
          <w:sz w:val="28"/>
          <w:szCs w:val="28"/>
        </w:rPr>
      </w:pPr>
      <w:r>
        <w:rPr>
          <w:rFonts w:ascii="Times New Roman" w:hAnsi="Times New Roman" w:cs="Times New Roman"/>
          <w:sz w:val="28"/>
          <w:szCs w:val="28"/>
        </w:rPr>
        <w:t>Primarily involved in allergic reactions and responses to parasitic infections.</w:t>
      </w:r>
    </w:p>
    <w:p w:rsidR="0056488E" w:rsidRDefault="00D138F5">
      <w:pPr>
        <w:rPr>
          <w:rFonts w:ascii="Times New Roman" w:hAnsi="Times New Roman" w:cs="Times New Roman"/>
          <w:sz w:val="28"/>
          <w:szCs w:val="28"/>
        </w:rPr>
      </w:pPr>
      <w:r>
        <w:rPr>
          <w:rFonts w:ascii="Times New Roman" w:hAnsi="Times New Roman" w:cs="Times New Roman"/>
          <w:sz w:val="28"/>
          <w:szCs w:val="28"/>
        </w:rPr>
        <w:t>1.2.5Basophils:</w:t>
      </w:r>
    </w:p>
    <w:p w:rsidR="0056488E" w:rsidRDefault="00D138F5">
      <w:pPr>
        <w:rPr>
          <w:rFonts w:ascii="Times New Roman" w:hAnsi="Times New Roman" w:cs="Times New Roman"/>
          <w:sz w:val="28"/>
          <w:szCs w:val="28"/>
        </w:rPr>
      </w:pPr>
      <w:r>
        <w:rPr>
          <w:rFonts w:ascii="Times New Roman" w:hAnsi="Times New Roman" w:cs="Times New Roman"/>
          <w:sz w:val="28"/>
          <w:szCs w:val="28"/>
        </w:rPr>
        <w:t>These cells regulate immune responses and wound healing by releasing histamine, which plays a role in allergic reactions and inflammation.</w:t>
      </w: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1.3. Hemoglobin and Hematocrit:</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Hemoglobin, the oxygen-carrying protein, and hematocrit, which measure the percentage of RBCs in the blood, are essential for diagnosing anemia and other hematological conditions.  </w:t>
      </w:r>
      <w:r>
        <w:rPr>
          <w:rFonts w:ascii="Times New Roman" w:hAnsi="Times New Roman" w:cs="Times New Roman"/>
          <w:sz w:val="28"/>
          <w:szCs w:val="28"/>
        </w:rPr>
        <w:lastRenderedPageBreak/>
        <w:t xml:space="preserve">Reported that 60% of pregnant women in rural Sudan suffer from anemia due to iron deficiency and inadequate antenatal care </w:t>
      </w:r>
      <w:r>
        <w:rPr>
          <w:rFonts w:ascii="Times New Roman" w:hAnsi="Times New Roman" w:cs="Times New Roman"/>
          <w:sz w:val="28"/>
          <w:szCs w:val="28"/>
          <w:vertAlign w:val="superscript"/>
        </w:rPr>
        <w:t>(12)</w:t>
      </w:r>
      <w:r>
        <w:rPr>
          <w:rFonts w:ascii="Times New Roman" w:hAnsi="Times New Roman" w:cs="Times New Roman"/>
          <w:sz w:val="28"/>
          <w:szCs w:val="28"/>
        </w:rPr>
        <w:t>.</w:t>
      </w: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1.4. Platelets:</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Platelets play a crucial role in hemostasis. Thrombocytopenia (low platelet count) or thrombocytosis (high platelet count) can indicate bleeding disorders or thrombotic conditions.  Emphasized that platelet abnormalities, especially thrombocytopenia, are associated with severe pregnancy complications such as preeclampsia and postpartum hemorrhage </w:t>
      </w:r>
      <w:r>
        <w:rPr>
          <w:rFonts w:ascii="Times New Roman" w:hAnsi="Times New Roman" w:cs="Times New Roman"/>
          <w:sz w:val="28"/>
          <w:szCs w:val="28"/>
          <w:vertAlign w:val="superscript"/>
        </w:rPr>
        <w:t>(13)</w:t>
      </w:r>
      <w:r>
        <w:rPr>
          <w:rFonts w:ascii="Times New Roman" w:hAnsi="Times New Roman" w:cs="Times New Roman"/>
          <w:sz w:val="28"/>
          <w:szCs w:val="28"/>
        </w:rPr>
        <w:t>.</w:t>
      </w: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1.5. Red Cell Indices (MCV, MCH, MCHC):</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These indices help classify types of anemia, such as microcytic, macrocytic, or normocytic anemia, based on the size and hemoglobin content of red blood cells.  Reported that routine CBC testing and early intervention in pregnant women could reduce complications related to anemia by 30% </w:t>
      </w:r>
      <w:r>
        <w:rPr>
          <w:rFonts w:ascii="Times New Roman" w:hAnsi="Times New Roman" w:cs="Times New Roman"/>
          <w:sz w:val="28"/>
          <w:szCs w:val="28"/>
          <w:vertAlign w:val="superscript"/>
        </w:rPr>
        <w:t>(14)</w:t>
      </w:r>
      <w:r>
        <w:rPr>
          <w:rFonts w:ascii="Times New Roman" w:hAnsi="Times New Roman" w:cs="Times New Roman"/>
          <w:sz w:val="28"/>
          <w:szCs w:val="28"/>
        </w:rPr>
        <w:t>.</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CBC testing is particularly important during pregnancy, as it helps monitor maternal health and detect complications like anemia, infections, and thrombocytopenia, which can adversely affect both maternal and fetal outcomes. These findings underscore the importance of maternal CBC monitoring, as highlighted in the comprehensive review by Brown et al. (2018), which showed the direct correlation between hematological abnormalities and adverse birth outcomes </w:t>
      </w:r>
      <w:r>
        <w:rPr>
          <w:rFonts w:ascii="Times New Roman" w:hAnsi="Times New Roman" w:cs="Times New Roman"/>
          <w:sz w:val="28"/>
          <w:szCs w:val="28"/>
          <w:vertAlign w:val="superscript"/>
        </w:rPr>
        <w:t>(14)</w:t>
      </w:r>
      <w:r>
        <w:rPr>
          <w:rFonts w:ascii="Times New Roman" w:hAnsi="Times New Roman" w:cs="Times New Roman"/>
          <w:sz w:val="28"/>
          <w:szCs w:val="28"/>
        </w:rPr>
        <w:t>.</w:t>
      </w:r>
    </w:p>
    <w:p w:rsidR="0056488E" w:rsidRDefault="00D138F5">
      <w:pPr>
        <w:rPr>
          <w:rFonts w:ascii="Times New Roman" w:hAnsi="Times New Roman" w:cs="Times New Roman"/>
          <w:sz w:val="28"/>
          <w:szCs w:val="28"/>
          <w:rtl/>
        </w:rPr>
      </w:pPr>
      <w:r>
        <w:rPr>
          <w:rFonts w:ascii="Times New Roman" w:hAnsi="Times New Roman" w:cs="Times New Roman"/>
          <w:sz w:val="28"/>
          <w:szCs w:val="28"/>
        </w:rPr>
        <w:t xml:space="preserve">Hematological disorders are among the critical health challenges faced by pregnant women, significantly affecting maternal and fetal health. Studies indicate that anemia is the most common hematological abnormality during pregnancy, with approximately 40% of pregnant women in rural areas suffering from anemia due to iron deficiency and poor nutrition </w:t>
      </w:r>
      <w:r>
        <w:rPr>
          <w:rFonts w:ascii="Times New Roman" w:hAnsi="Times New Roman" w:cs="Times New Roman"/>
          <w:sz w:val="28"/>
          <w:szCs w:val="28"/>
          <w:vertAlign w:val="superscript"/>
        </w:rPr>
        <w:t>(14)</w:t>
      </w:r>
      <w:r>
        <w:rPr>
          <w:rFonts w:ascii="Times New Roman" w:hAnsi="Times New Roman" w:cs="Times New Roman"/>
          <w:sz w:val="28"/>
          <w:szCs w:val="28"/>
        </w:rPr>
        <w:t xml:space="preserve">. Additionally, thrombocytopenia is another significant condition that can lead to severe complications during pregnancy, including postpartum hemorrhage </w:t>
      </w:r>
      <w:r>
        <w:rPr>
          <w:rFonts w:ascii="Times New Roman" w:hAnsi="Times New Roman" w:cs="Times New Roman"/>
          <w:sz w:val="28"/>
          <w:szCs w:val="28"/>
          <w:vertAlign w:val="superscript"/>
        </w:rPr>
        <w:t>(15)</w:t>
      </w:r>
      <w:r>
        <w:rPr>
          <w:rFonts w:ascii="Times New Roman" w:hAnsi="Times New Roman" w:cs="Times New Roman"/>
          <w:sz w:val="28"/>
          <w:szCs w:val="28"/>
        </w:rPr>
        <w:t>.</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In Sudan, reports reveal a considerable gap in field studies focusing on hematological disorders among pregnant women, particularly in rural regions like Dongola. Despite ongoing efforts to improve healthcare services, these areas still lack accurate data on the prevalence and impact of such conditions </w:t>
      </w:r>
      <w:r>
        <w:rPr>
          <w:rFonts w:ascii="Times New Roman" w:hAnsi="Times New Roman" w:cs="Times New Roman"/>
          <w:sz w:val="28"/>
          <w:szCs w:val="28"/>
          <w:vertAlign w:val="superscript"/>
        </w:rPr>
        <w:t>(15)</w:t>
      </w:r>
      <w:r>
        <w:rPr>
          <w:rFonts w:ascii="Times New Roman" w:hAnsi="Times New Roman" w:cs="Times New Roman"/>
          <w:sz w:val="28"/>
          <w:szCs w:val="28"/>
        </w:rPr>
        <w:t xml:space="preserve">. A recent study emphasized those early interventions, such as improved maternal nutrition and antenatal care, could reduce these complications by up to 30% </w:t>
      </w:r>
      <w:r>
        <w:rPr>
          <w:rFonts w:ascii="Times New Roman" w:hAnsi="Times New Roman" w:cs="Times New Roman"/>
          <w:sz w:val="28"/>
          <w:szCs w:val="28"/>
          <w:vertAlign w:val="superscript"/>
        </w:rPr>
        <w:t>(17)</w:t>
      </w:r>
      <w:r>
        <w:rPr>
          <w:rFonts w:ascii="Times New Roman" w:hAnsi="Times New Roman" w:cs="Times New Roman"/>
          <w:sz w:val="28"/>
          <w:szCs w:val="28"/>
        </w:rPr>
        <w:t>.</w:t>
      </w:r>
    </w:p>
    <w:p w:rsidR="0056488E" w:rsidRDefault="00D138F5">
      <w:pPr>
        <w:rPr>
          <w:rFonts w:ascii="Times New Roman" w:hAnsi="Times New Roman" w:cs="Times New Roman"/>
          <w:sz w:val="28"/>
          <w:szCs w:val="28"/>
          <w:vertAlign w:val="superscript"/>
        </w:rPr>
      </w:pPr>
      <w:r>
        <w:rPr>
          <w:rFonts w:ascii="Times New Roman" w:hAnsi="Times New Roman" w:cs="Times New Roman"/>
          <w:sz w:val="28"/>
          <w:szCs w:val="28"/>
        </w:rPr>
        <w:t xml:space="preserve">This study, therefore, aims to address the data gap by analyzing hematological parameters and identifying associated factors among pregnant women in Dongola, Sudan. The findings will provide evidence-based recommendations to enhance healthcare policies and improve the quality of maternal care in rural settings </w:t>
      </w:r>
      <w:r>
        <w:rPr>
          <w:rFonts w:ascii="Times New Roman" w:hAnsi="Times New Roman" w:cs="Times New Roman"/>
          <w:sz w:val="28"/>
          <w:szCs w:val="28"/>
          <w:vertAlign w:val="superscript"/>
        </w:rPr>
        <w:t>(18)</w:t>
      </w:r>
      <w:r>
        <w:rPr>
          <w:rFonts w:ascii="Times New Roman" w:hAnsi="Times New Roman" w:cs="Times New Roman" w:hint="cs"/>
          <w:sz w:val="28"/>
          <w:szCs w:val="28"/>
          <w:vertAlign w:val="superscript"/>
          <w:rtl/>
        </w:rPr>
        <w:t>.</w:t>
      </w:r>
    </w:p>
    <w:p w:rsidR="0056488E" w:rsidRDefault="00D138F5">
      <w:pPr>
        <w:rPr>
          <w:rFonts w:ascii="Times New Roman" w:hAnsi="Times New Roman" w:cs="Times New Roman"/>
          <w:sz w:val="28"/>
          <w:szCs w:val="28"/>
        </w:rPr>
      </w:pPr>
      <w:r>
        <w:rPr>
          <w:rFonts w:ascii="Times New Roman" w:hAnsi="Times New Roman" w:cs="Times New Roman"/>
          <w:sz w:val="28"/>
          <w:szCs w:val="28"/>
        </w:rPr>
        <w:t>.</w:t>
      </w:r>
    </w:p>
    <w:p w:rsidR="0056488E" w:rsidRDefault="00D138F5">
      <w:pPr>
        <w:jc w:val="center"/>
        <w:rPr>
          <w:rFonts w:ascii="Times New Roman" w:hAnsi="Times New Roman" w:cs="Times New Roman"/>
          <w:b/>
          <w:bCs/>
          <w:sz w:val="28"/>
          <w:szCs w:val="28"/>
        </w:rPr>
      </w:pPr>
      <w:r>
        <w:rPr>
          <w:rFonts w:ascii="Times New Roman" w:hAnsi="Times New Roman" w:cs="Times New Roman"/>
          <w:b/>
          <w:bCs/>
          <w:sz w:val="28"/>
          <w:szCs w:val="28"/>
        </w:rPr>
        <w:t>Literature Review</w:t>
      </w:r>
    </w:p>
    <w:p w:rsidR="0056488E" w:rsidRDefault="00D138F5">
      <w:pPr>
        <w:rPr>
          <w:rFonts w:ascii="Times New Roman" w:hAnsi="Times New Roman" w:cs="Times New Roman"/>
          <w:sz w:val="28"/>
          <w:szCs w:val="28"/>
          <w:rtl/>
        </w:rPr>
      </w:pPr>
      <w:r>
        <w:rPr>
          <w:rFonts w:ascii="Times New Roman" w:hAnsi="Times New Roman" w:cs="Times New Roman"/>
          <w:sz w:val="28"/>
          <w:szCs w:val="28"/>
        </w:rPr>
        <w:lastRenderedPageBreak/>
        <w:t>- Smith et al. (2018) reported that pregnancy leads to an increase in plasma volume, resulting in a dilutional decrease in hemoglobin levels, known as physiological anemia.</w:t>
      </w:r>
    </w:p>
    <w:p w:rsidR="0056488E" w:rsidRDefault="00D138F5">
      <w:pPr>
        <w:rPr>
          <w:rFonts w:ascii="Times New Roman" w:hAnsi="Times New Roman" w:cs="Times New Roman"/>
          <w:sz w:val="28"/>
          <w:szCs w:val="28"/>
          <w:rtl/>
        </w:rPr>
      </w:pPr>
      <w:r>
        <w:rPr>
          <w:rFonts w:ascii="Times New Roman" w:hAnsi="Times New Roman" w:cs="Times New Roman"/>
          <w:sz w:val="28"/>
          <w:szCs w:val="28"/>
        </w:rPr>
        <w:t>-Davis &amp; Brown (2019) found that WBC count naturally increases due to immune system adaptations, with neutrophils being the predominant type.</w:t>
      </w:r>
    </w:p>
    <w:p w:rsidR="0056488E" w:rsidRDefault="00D138F5">
      <w:pPr>
        <w:rPr>
          <w:rFonts w:ascii="Times New Roman" w:hAnsi="Times New Roman" w:cs="Times New Roman"/>
          <w:sz w:val="28"/>
          <w:szCs w:val="28"/>
        </w:rPr>
      </w:pPr>
      <w:r>
        <w:rPr>
          <w:rFonts w:ascii="Times New Roman" w:hAnsi="Times New Roman" w:cs="Times New Roman"/>
          <w:sz w:val="28"/>
          <w:szCs w:val="28"/>
        </w:rPr>
        <w:t>- Smith et al. (2019): A comprehensive review highlighting that anemia affects nearly 50% of pregnant women in low-resource settings, primarily due to nutritional deficiencies. The study emphasizes the need for routine screening and nutritional interventions to reduce maternal and fetal complications.</w:t>
      </w:r>
    </w:p>
    <w:p w:rsidR="0056488E" w:rsidRDefault="00D138F5">
      <w:pPr>
        <w:rPr>
          <w:rFonts w:ascii="Times New Roman" w:hAnsi="Times New Roman" w:cs="Times New Roman"/>
          <w:sz w:val="28"/>
          <w:szCs w:val="28"/>
        </w:rPr>
      </w:pPr>
      <w:r>
        <w:rPr>
          <w:rFonts w:ascii="Times New Roman" w:hAnsi="Times New Roman" w:cs="Times New Roman"/>
          <w:sz w:val="28"/>
          <w:szCs w:val="28"/>
        </w:rPr>
        <w:t>- Johnson et al. (2021): This study focused on platelet abnormalities in pregnancy, such as thrombocytopenia, which is strongly associated with severe conditions like preeclampsia and postpartum hemorrhage. Early detection can significantly improve maternal outcomes.</w:t>
      </w:r>
    </w:p>
    <w:p w:rsidR="0056488E" w:rsidRDefault="00D138F5">
      <w:pPr>
        <w:rPr>
          <w:rFonts w:ascii="Times New Roman" w:hAnsi="Times New Roman" w:cs="Times New Roman"/>
          <w:sz w:val="28"/>
          <w:szCs w:val="28"/>
        </w:rPr>
      </w:pPr>
      <w:r>
        <w:rPr>
          <w:rFonts w:ascii="Times New Roman" w:hAnsi="Times New Roman" w:cs="Times New Roman"/>
          <w:sz w:val="28"/>
          <w:szCs w:val="28"/>
        </w:rPr>
        <w:t>. Elhassan and Mohammed (2017): Research conducted in rural Sudan revealed that 60% of pregnant women suffer from anemia, primarily due to poor antenatal care and iron deficiency. The study underscores the importance of accessible healthcare services in rural areas.</w:t>
      </w:r>
    </w:p>
    <w:p w:rsidR="0056488E" w:rsidRDefault="00D138F5">
      <w:pPr>
        <w:rPr>
          <w:rFonts w:ascii="Times New Roman" w:hAnsi="Times New Roman" w:cs="Times New Roman"/>
          <w:sz w:val="28"/>
          <w:szCs w:val="28"/>
        </w:rPr>
      </w:pPr>
      <w:r>
        <w:rPr>
          <w:rFonts w:ascii="Times New Roman" w:hAnsi="Times New Roman" w:cs="Times New Roman"/>
          <w:sz w:val="28"/>
          <w:szCs w:val="28"/>
        </w:rPr>
        <w:t>- World Health Organization (2020): A global report from WHO identified hematological disorders, particularly anemia, as a leading cause of maternal and neonatal morbidity in developing countries. The report recommends integrating CBC testing into routine antenatal care programs.</w:t>
      </w:r>
    </w:p>
    <w:p w:rsidR="0056488E" w:rsidRDefault="00D138F5">
      <w:pPr>
        <w:rPr>
          <w:rFonts w:ascii="Times New Roman" w:hAnsi="Times New Roman" w:cs="Times New Roman"/>
          <w:sz w:val="28"/>
          <w:szCs w:val="28"/>
        </w:rPr>
      </w:pPr>
      <w:r>
        <w:rPr>
          <w:rFonts w:ascii="Times New Roman" w:hAnsi="Times New Roman" w:cs="Times New Roman"/>
          <w:sz w:val="28"/>
          <w:szCs w:val="28"/>
        </w:rPr>
        <w:t xml:space="preserve">- Brown et al. (2018): This study demonstrated a direct correlation between maternal hematological parameters and neonatal outcomes, showing that early identification and treatment of abnormalities can improve neonatal health outcomes by up to 30%. </w:t>
      </w:r>
    </w:p>
    <w:p w:rsidR="0056488E" w:rsidRDefault="00D138F5">
      <w:pPr>
        <w:rPr>
          <w:rFonts w:ascii="Times New Roman" w:hAnsi="Times New Roman" w:cs="Times New Roman"/>
          <w:sz w:val="28"/>
          <w:szCs w:val="28"/>
          <w:rtl/>
        </w:rPr>
      </w:pPr>
      <w:r>
        <w:rPr>
          <w:rFonts w:ascii="Times New Roman" w:hAnsi="Times New Roman" w:cs="Times New Roman"/>
          <w:sz w:val="28"/>
          <w:szCs w:val="28"/>
        </w:rPr>
        <w:t>WHO (2020):</w:t>
      </w:r>
    </w:p>
    <w:p w:rsidR="0056488E" w:rsidRDefault="00D138F5">
      <w:pPr>
        <w:rPr>
          <w:rFonts w:ascii="Times New Roman" w:hAnsi="Times New Roman" w:cs="Times New Roman"/>
          <w:sz w:val="28"/>
          <w:szCs w:val="28"/>
        </w:rPr>
      </w:pPr>
      <w:r>
        <w:rPr>
          <w:rFonts w:ascii="Times New Roman" w:hAnsi="Times New Roman" w:cs="Times New Roman"/>
          <w:sz w:val="28"/>
          <w:szCs w:val="28"/>
        </w:rPr>
        <w:t>Topic: Global and regional prevalence of hematological disorders during pregnancy.</w:t>
      </w:r>
    </w:p>
    <w:p w:rsidR="0056488E" w:rsidRDefault="00D138F5">
      <w:pPr>
        <w:rPr>
          <w:rFonts w:ascii="Times New Roman" w:hAnsi="Times New Roman" w:cs="Times New Roman"/>
          <w:sz w:val="28"/>
          <w:szCs w:val="28"/>
        </w:rPr>
      </w:pPr>
      <w:r>
        <w:rPr>
          <w:rFonts w:ascii="Times New Roman" w:hAnsi="Times New Roman" w:cs="Times New Roman"/>
          <w:sz w:val="28"/>
          <w:szCs w:val="28"/>
        </w:rPr>
        <w:t>Findings: Around 40% of pregnant women worldwide suffer from anemia, particularly in rural areas, due to iron deficiency and poor nutrition.</w:t>
      </w:r>
    </w:p>
    <w:p w:rsidR="0056488E" w:rsidRDefault="00D138F5">
      <w:pPr>
        <w:rPr>
          <w:rFonts w:ascii="Times New Roman" w:hAnsi="Times New Roman" w:cs="Times New Roman"/>
          <w:sz w:val="28"/>
          <w:szCs w:val="28"/>
        </w:rPr>
      </w:pPr>
      <w:r>
        <w:rPr>
          <w:rFonts w:ascii="Times New Roman" w:hAnsi="Times New Roman" w:cs="Times New Roman"/>
          <w:sz w:val="28"/>
          <w:szCs w:val="28"/>
        </w:rPr>
        <w:t>Recommendation: Integrate routine blood tests and nutritional support into antenatal care programs.</w:t>
      </w:r>
    </w:p>
    <w:p w:rsidR="0056488E" w:rsidRDefault="00D138F5">
      <w:pPr>
        <w:rPr>
          <w:rFonts w:ascii="Times New Roman" w:hAnsi="Times New Roman" w:cs="Times New Roman"/>
          <w:sz w:val="28"/>
          <w:szCs w:val="28"/>
        </w:rPr>
      </w:pPr>
      <w:r>
        <w:rPr>
          <w:rFonts w:ascii="Times New Roman" w:hAnsi="Times New Roman" w:cs="Times New Roman"/>
          <w:sz w:val="28"/>
          <w:szCs w:val="28"/>
        </w:rPr>
        <w:t>-Johnson et al. (2021): Topic: Platelet disorders during pregnancy.</w:t>
      </w:r>
    </w:p>
    <w:p w:rsidR="0056488E" w:rsidRDefault="00D138F5">
      <w:pPr>
        <w:rPr>
          <w:rFonts w:ascii="Times New Roman" w:hAnsi="Times New Roman" w:cs="Times New Roman"/>
          <w:sz w:val="28"/>
          <w:szCs w:val="28"/>
        </w:rPr>
      </w:pPr>
      <w:r>
        <w:rPr>
          <w:rFonts w:ascii="Times New Roman" w:hAnsi="Times New Roman" w:cs="Times New Roman"/>
          <w:sz w:val="28"/>
          <w:szCs w:val="28"/>
        </w:rPr>
        <w:t>Findings: 5-10% of pregnant women experience thrombocytopenia, which can lead to severe complications such as postpartum hemorrhage.</w:t>
      </w:r>
    </w:p>
    <w:p w:rsidR="0056488E" w:rsidRDefault="00D138F5">
      <w:pPr>
        <w:rPr>
          <w:rFonts w:ascii="Times New Roman" w:hAnsi="Times New Roman" w:cs="Times New Roman"/>
          <w:sz w:val="28"/>
          <w:szCs w:val="28"/>
        </w:rPr>
      </w:pPr>
      <w:r>
        <w:rPr>
          <w:rFonts w:ascii="Times New Roman" w:hAnsi="Times New Roman" w:cs="Times New Roman"/>
          <w:sz w:val="28"/>
          <w:szCs w:val="28"/>
        </w:rPr>
        <w:t>Recommendation: Early detection of platelet abnormalities to improve pregnancy outcomes.</w:t>
      </w:r>
    </w:p>
    <w:p w:rsidR="0056488E" w:rsidRDefault="00D138F5">
      <w:pPr>
        <w:rPr>
          <w:rFonts w:ascii="Times New Roman" w:hAnsi="Times New Roman" w:cs="Times New Roman"/>
          <w:sz w:val="28"/>
          <w:szCs w:val="28"/>
        </w:rPr>
      </w:pPr>
      <w:r>
        <w:rPr>
          <w:rFonts w:ascii="Times New Roman" w:hAnsi="Times New Roman" w:cs="Times New Roman"/>
          <w:sz w:val="28"/>
          <w:szCs w:val="28"/>
        </w:rPr>
        <w:t>-Elhassan et al. (2017):</w:t>
      </w:r>
    </w:p>
    <w:p w:rsidR="0056488E" w:rsidRDefault="00D138F5">
      <w:pPr>
        <w:rPr>
          <w:rFonts w:ascii="Times New Roman" w:hAnsi="Times New Roman" w:cs="Times New Roman"/>
          <w:sz w:val="28"/>
          <w:szCs w:val="28"/>
        </w:rPr>
      </w:pPr>
      <w:r>
        <w:rPr>
          <w:rFonts w:ascii="Times New Roman" w:hAnsi="Times New Roman" w:cs="Times New Roman"/>
          <w:sz w:val="28"/>
          <w:szCs w:val="28"/>
        </w:rPr>
        <w:t>Topic: Anemia among pregnant women in rural Sudan.</w:t>
      </w:r>
    </w:p>
    <w:p w:rsidR="0056488E" w:rsidRDefault="00D138F5">
      <w:pPr>
        <w:rPr>
          <w:rFonts w:ascii="Times New Roman" w:hAnsi="Times New Roman" w:cs="Times New Roman"/>
          <w:sz w:val="28"/>
          <w:szCs w:val="28"/>
        </w:rPr>
      </w:pPr>
      <w:r>
        <w:rPr>
          <w:rFonts w:ascii="Times New Roman" w:hAnsi="Times New Roman" w:cs="Times New Roman"/>
          <w:sz w:val="28"/>
          <w:szCs w:val="28"/>
        </w:rPr>
        <w:lastRenderedPageBreak/>
        <w:t>Findings: 60% of pregnant women in rural areas suffer from anemia due to iron deficiency and poor antenatal care.</w:t>
      </w:r>
    </w:p>
    <w:p w:rsidR="0056488E" w:rsidRDefault="00D138F5">
      <w:pPr>
        <w:rPr>
          <w:rFonts w:ascii="Times New Roman" w:hAnsi="Times New Roman" w:cs="Times New Roman"/>
          <w:sz w:val="28"/>
          <w:szCs w:val="28"/>
        </w:rPr>
      </w:pPr>
      <w:r>
        <w:rPr>
          <w:rFonts w:ascii="Times New Roman" w:hAnsi="Times New Roman" w:cs="Times New Roman"/>
          <w:sz w:val="28"/>
          <w:szCs w:val="28"/>
        </w:rPr>
        <w:t>Recommendation: Enhance access to healthcare and improve maternal nutrition in rural regions.</w:t>
      </w:r>
    </w:p>
    <w:p w:rsidR="0056488E" w:rsidRDefault="00D138F5">
      <w:pPr>
        <w:rPr>
          <w:rFonts w:ascii="Times New Roman" w:hAnsi="Times New Roman" w:cs="Times New Roman"/>
          <w:sz w:val="28"/>
          <w:szCs w:val="28"/>
        </w:rPr>
      </w:pPr>
      <w:r>
        <w:rPr>
          <w:rFonts w:ascii="Times New Roman" w:hAnsi="Times New Roman" w:cs="Times New Roman"/>
          <w:sz w:val="28"/>
          <w:szCs w:val="28"/>
        </w:rPr>
        <w:t>-Brown et al. (2018):</w:t>
      </w:r>
    </w:p>
    <w:p w:rsidR="0056488E" w:rsidRDefault="00D138F5">
      <w:pPr>
        <w:rPr>
          <w:rFonts w:ascii="Times New Roman" w:hAnsi="Times New Roman" w:cs="Times New Roman"/>
          <w:sz w:val="28"/>
          <w:szCs w:val="28"/>
        </w:rPr>
      </w:pPr>
      <w:r>
        <w:rPr>
          <w:rFonts w:ascii="Times New Roman" w:hAnsi="Times New Roman" w:cs="Times New Roman"/>
          <w:sz w:val="28"/>
          <w:szCs w:val="28"/>
        </w:rPr>
        <w:t>Topic: Impact of early detection of hematological abnormalities on pregnancy outcomes.</w:t>
      </w:r>
    </w:p>
    <w:p w:rsidR="0056488E" w:rsidRDefault="00D138F5">
      <w:pPr>
        <w:rPr>
          <w:rFonts w:ascii="Times New Roman" w:hAnsi="Times New Roman" w:cs="Times New Roman"/>
          <w:sz w:val="28"/>
          <w:szCs w:val="28"/>
          <w:rtl/>
        </w:rPr>
      </w:pPr>
      <w:r>
        <w:rPr>
          <w:rFonts w:ascii="Times New Roman" w:hAnsi="Times New Roman" w:cs="Times New Roman"/>
          <w:sz w:val="28"/>
          <w:szCs w:val="28"/>
        </w:rPr>
        <w:t>Findings: Early interventions, such as improved nutrition and routine CBC testing, can reduce complications during pregnancy by up to 30%.</w:t>
      </w:r>
    </w:p>
    <w:p w:rsidR="0056488E" w:rsidRDefault="00D138F5">
      <w:pPr>
        <w:rPr>
          <w:rFonts w:ascii="Times New Roman" w:hAnsi="Times New Roman" w:cs="Times New Roman"/>
          <w:sz w:val="28"/>
          <w:szCs w:val="28"/>
        </w:rPr>
      </w:pPr>
      <w:r>
        <w:rPr>
          <w:rFonts w:ascii="Times New Roman" w:hAnsi="Times New Roman" w:cs="Times New Roman"/>
          <w:sz w:val="28"/>
          <w:szCs w:val="28"/>
        </w:rPr>
        <w:t>Recommendation: Strengthen maternal healthcare programs, especially in rural areas, to ensure early detection and treatment.</w:t>
      </w:r>
    </w:p>
    <w:p w:rsidR="0056488E" w:rsidRDefault="00D138F5">
      <w:pPr>
        <w:rPr>
          <w:rFonts w:ascii="Times New Roman" w:hAnsi="Times New Roman" w:cs="Times New Roman"/>
          <w:sz w:val="28"/>
          <w:szCs w:val="28"/>
        </w:rPr>
      </w:pPr>
      <w:r>
        <w:rPr>
          <w:rFonts w:ascii="Times New Roman" w:hAnsi="Times New Roman" w:cs="Times New Roman"/>
          <w:sz w:val="28"/>
          <w:szCs w:val="28"/>
        </w:rPr>
        <w:t>-Seid et al. (2018): Topic: Effects of anemia during pregnancy on maternal and neonatal health in Ethiopia.</w:t>
      </w:r>
    </w:p>
    <w:p w:rsidR="0056488E" w:rsidRDefault="00D138F5">
      <w:pPr>
        <w:rPr>
          <w:rFonts w:ascii="Times New Roman" w:hAnsi="Times New Roman" w:cs="Times New Roman"/>
          <w:sz w:val="28"/>
          <w:szCs w:val="28"/>
        </w:rPr>
      </w:pPr>
      <w:r>
        <w:rPr>
          <w:rFonts w:ascii="Times New Roman" w:hAnsi="Times New Roman" w:cs="Times New Roman"/>
          <w:sz w:val="28"/>
          <w:szCs w:val="28"/>
        </w:rPr>
        <w:t>Findings: 62.7% of pregnant women were found to have anemia, increasing the risk of preterm births and low birth weight.</w:t>
      </w:r>
    </w:p>
    <w:p w:rsidR="0056488E" w:rsidRDefault="00D138F5">
      <w:pPr>
        <w:rPr>
          <w:rFonts w:ascii="Times New Roman" w:hAnsi="Times New Roman" w:cs="Times New Roman"/>
          <w:sz w:val="28"/>
          <w:szCs w:val="28"/>
        </w:rPr>
      </w:pPr>
      <w:r>
        <w:rPr>
          <w:rFonts w:ascii="Times New Roman" w:hAnsi="Times New Roman" w:cs="Times New Roman"/>
          <w:sz w:val="28"/>
          <w:szCs w:val="28"/>
        </w:rPr>
        <w:t>Recommendation: Focus on improving maternal nutrition and providing iron supplements during pregnancy.</w:t>
      </w:r>
    </w:p>
    <w:p w:rsidR="0056488E" w:rsidRDefault="0056488E">
      <w:pPr>
        <w:jc w:val="center"/>
        <w:rPr>
          <w:rFonts w:ascii="Arial" w:hAnsi="Arial"/>
          <w:sz w:val="28"/>
          <w:szCs w:val="28"/>
        </w:rPr>
      </w:pPr>
    </w:p>
    <w:p w:rsidR="0056488E" w:rsidRDefault="0056488E">
      <w:pPr>
        <w:jc w:val="center"/>
        <w:rPr>
          <w:rFonts w:ascii="Arial" w:hAnsi="Arial"/>
          <w:color w:val="FF0000"/>
          <w:sz w:val="28"/>
          <w:szCs w:val="28"/>
        </w:rPr>
      </w:pPr>
    </w:p>
    <w:p w:rsidR="0056488E" w:rsidRPr="00D90B30" w:rsidRDefault="00D138F5">
      <w:pPr>
        <w:jc w:val="center"/>
        <w:rPr>
          <w:rFonts w:ascii="Arial" w:hAnsi="Arial"/>
          <w:b/>
          <w:bCs/>
          <w:sz w:val="28"/>
          <w:szCs w:val="28"/>
        </w:rPr>
      </w:pPr>
      <w:r w:rsidRPr="00D90B30">
        <w:rPr>
          <w:rFonts w:ascii="Arial" w:hAnsi="Arial"/>
          <w:b/>
          <w:bCs/>
          <w:sz w:val="28"/>
          <w:szCs w:val="28"/>
        </w:rPr>
        <w:t>Objectives and Rational</w:t>
      </w:r>
    </w:p>
    <w:p w:rsidR="0056488E" w:rsidRDefault="0056488E">
      <w:pPr>
        <w:rPr>
          <w:rFonts w:ascii="Arial" w:hAnsi="Arial"/>
          <w:sz w:val="28"/>
          <w:szCs w:val="28"/>
        </w:rPr>
      </w:pPr>
    </w:p>
    <w:p w:rsidR="0056488E" w:rsidRDefault="00D138F5">
      <w:pPr>
        <w:rPr>
          <w:rFonts w:ascii="Arial" w:hAnsi="Arial"/>
          <w:b/>
          <w:bCs/>
          <w:sz w:val="28"/>
          <w:szCs w:val="28"/>
        </w:rPr>
      </w:pPr>
      <w:r>
        <w:rPr>
          <w:rFonts w:ascii="Arial" w:hAnsi="Arial"/>
          <w:b/>
          <w:bCs/>
          <w:sz w:val="28"/>
          <w:szCs w:val="28"/>
        </w:rPr>
        <w:t>2.1 Objectives</w:t>
      </w:r>
    </w:p>
    <w:p w:rsidR="0056488E" w:rsidRDefault="00D138F5">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2.1.1 General Objective           </w:t>
      </w:r>
    </w:p>
    <w:p w:rsidR="0056488E" w:rsidRDefault="00D138F5">
      <w:pP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To Evaluate the Effect of pregnancy on Hematological parameters among Sudanese</w:t>
      </w:r>
    </w:p>
    <w:p w:rsidR="0056488E" w:rsidRDefault="00D138F5">
      <w:pPr>
        <w:rPr>
          <w:rFonts w:ascii="Times New Roman" w:hAnsi="Times New Roman" w:cs="Times New Roman"/>
          <w:color w:val="000000"/>
          <w:sz w:val="28"/>
          <w:szCs w:val="28"/>
        </w:rPr>
      </w:pPr>
      <w:r>
        <w:rPr>
          <w:rFonts w:ascii="Times New Roman" w:hAnsi="Times New Roman" w:cs="Times New Roman"/>
          <w:color w:val="000000"/>
          <w:sz w:val="28"/>
          <w:szCs w:val="28"/>
        </w:rPr>
        <w:t>Pregnant Women Attending at Maternity Hospital in Dongola</w:t>
      </w:r>
    </w:p>
    <w:p w:rsidR="0056488E" w:rsidRDefault="0056488E">
      <w:pPr>
        <w:rPr>
          <w:rFonts w:ascii="Arial" w:hAnsi="Arial"/>
          <w:sz w:val="28"/>
          <w:szCs w:val="28"/>
        </w:rPr>
      </w:pP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2.1.2 Specific Objectives</w:t>
      </w:r>
    </w:p>
    <w:p w:rsidR="0056488E" w:rsidRDefault="00D138F5">
      <w:pPr>
        <w:rPr>
          <w:rFonts w:ascii="Times New Roman" w:hAnsi="Times New Roman" w:cs="Times New Roman"/>
          <w:sz w:val="28"/>
          <w:szCs w:val="28"/>
        </w:rPr>
      </w:pPr>
      <w:r>
        <w:rPr>
          <w:rFonts w:ascii="Times New Roman" w:hAnsi="Times New Roman" w:cs="Times New Roman"/>
          <w:sz w:val="28"/>
          <w:szCs w:val="28"/>
        </w:rPr>
        <w:t>1. To determine the prevalence of hematological abnormalities (e.g., anemia, thrombocytopenia, leukocytosis) among pregnant women attending the hospital.</w:t>
      </w:r>
    </w:p>
    <w:p w:rsidR="0056488E" w:rsidRDefault="00D138F5">
      <w:pPr>
        <w:rPr>
          <w:rFonts w:ascii="Times New Roman" w:hAnsi="Times New Roman" w:cs="Times New Roman"/>
          <w:sz w:val="28"/>
          <w:szCs w:val="28"/>
        </w:rPr>
      </w:pPr>
      <w:r>
        <w:rPr>
          <w:rFonts w:ascii="Times New Roman" w:hAnsi="Times New Roman" w:cs="Times New Roman"/>
          <w:sz w:val="28"/>
          <w:szCs w:val="28"/>
        </w:rPr>
        <w:t>2. To assess the hematological parameters (hemoglobin, hematocrit, red blood cell count, white blood cell count, and platelet count) across different trimesters of pregnancy.</w:t>
      </w:r>
    </w:p>
    <w:p w:rsidR="0056488E" w:rsidRDefault="00D138F5">
      <w:pPr>
        <w:rPr>
          <w:rFonts w:ascii="Times New Roman" w:hAnsi="Times New Roman" w:cs="Times New Roman"/>
          <w:sz w:val="28"/>
          <w:szCs w:val="28"/>
        </w:rPr>
      </w:pPr>
      <w:r>
        <w:rPr>
          <w:rFonts w:ascii="Times New Roman" w:hAnsi="Times New Roman" w:cs="Times New Roman"/>
          <w:sz w:val="28"/>
          <w:szCs w:val="28"/>
        </w:rPr>
        <w:lastRenderedPageBreak/>
        <w:t>3. To identify the demographic, nutritional, and clinical factors associated with hematological abnormalities among pregnant women.</w:t>
      </w:r>
    </w:p>
    <w:p w:rsidR="0056488E" w:rsidRDefault="00D138F5">
      <w:pPr>
        <w:rPr>
          <w:rFonts w:ascii="Times New Roman" w:hAnsi="Times New Roman" w:cs="Times New Roman"/>
          <w:sz w:val="28"/>
          <w:szCs w:val="28"/>
        </w:rPr>
      </w:pPr>
      <w:r>
        <w:rPr>
          <w:rFonts w:ascii="Times New Roman" w:hAnsi="Times New Roman" w:cs="Times New Roman"/>
          <w:sz w:val="28"/>
          <w:szCs w:val="28"/>
        </w:rPr>
        <w:t>4. To compare the hematological profiles of pregnant women with and without hematological abnormalities using a case-control approach.</w:t>
      </w:r>
    </w:p>
    <w:p w:rsidR="0056488E" w:rsidRDefault="00D138F5">
      <w:pPr>
        <w:rPr>
          <w:rFonts w:ascii="Times New Roman" w:hAnsi="Times New Roman" w:cs="Times New Roman"/>
          <w:sz w:val="28"/>
          <w:szCs w:val="28"/>
        </w:rPr>
      </w:pPr>
      <w:r>
        <w:rPr>
          <w:rFonts w:ascii="Times New Roman" w:hAnsi="Times New Roman" w:cs="Times New Roman"/>
          <w:sz w:val="28"/>
          <w:szCs w:val="28"/>
        </w:rPr>
        <w:t>5. To provide recommendations to improve antenatal care and reduce the burden of hematological disorders in the study population.</w:t>
      </w:r>
    </w:p>
    <w:p w:rsidR="0056488E" w:rsidRDefault="0056488E">
      <w:pPr>
        <w:rPr>
          <w:rFonts w:ascii="Times New Roman" w:hAnsi="Times New Roman" w:cs="Times New Roman"/>
          <w:sz w:val="28"/>
          <w:szCs w:val="28"/>
        </w:rPr>
      </w:pPr>
    </w:p>
    <w:p w:rsidR="0056488E" w:rsidRDefault="0056488E">
      <w:pPr>
        <w:rPr>
          <w:rFonts w:ascii="Times New Roman" w:hAnsi="Times New Roman" w:cs="Times New Roman"/>
          <w:sz w:val="28"/>
          <w:szCs w:val="28"/>
        </w:rPr>
      </w:pPr>
    </w:p>
    <w:p w:rsidR="0056488E" w:rsidRDefault="00D138F5">
      <w:pPr>
        <w:rPr>
          <w:rFonts w:ascii="Times New Roman" w:hAnsi="Times New Roman" w:cs="Times New Roman"/>
          <w:b/>
          <w:bCs/>
          <w:sz w:val="28"/>
          <w:szCs w:val="28"/>
        </w:rPr>
      </w:pPr>
      <w:r>
        <w:rPr>
          <w:rFonts w:ascii="Times New Roman" w:hAnsi="Times New Roman" w:cs="Times New Roman"/>
          <w:b/>
          <w:bCs/>
          <w:sz w:val="28"/>
          <w:szCs w:val="28"/>
        </w:rPr>
        <w:t>2.2 Rationale/Justification</w:t>
      </w:r>
    </w:p>
    <w:p w:rsidR="0056488E" w:rsidRDefault="00D138F5">
      <w:pPr>
        <w:rPr>
          <w:rFonts w:ascii="Arial" w:hAnsi="Arial"/>
          <w:sz w:val="28"/>
          <w:szCs w:val="28"/>
        </w:rPr>
      </w:pPr>
      <w:r>
        <w:rPr>
          <w:rFonts w:ascii="Arial" w:hAnsi="Arial"/>
          <w:sz w:val="28"/>
          <w:szCs w:val="28"/>
        </w:rPr>
        <w:t>2.2.1 Importance of the Study</w:t>
      </w:r>
    </w:p>
    <w:p w:rsidR="0056488E" w:rsidRDefault="00D138F5">
      <w:pPr>
        <w:rPr>
          <w:rFonts w:ascii="Times New Roman" w:hAnsi="Times New Roman" w:cs="Times New Roman"/>
          <w:sz w:val="28"/>
          <w:szCs w:val="28"/>
        </w:rPr>
      </w:pPr>
      <w:r>
        <w:rPr>
          <w:rFonts w:ascii="Times New Roman" w:hAnsi="Times New Roman" w:cs="Times New Roman"/>
          <w:sz w:val="28"/>
          <w:szCs w:val="28"/>
        </w:rPr>
        <w:t>Hematological abnormalities such as anemia, thrombocytopenia, and leukocytosis are significant public health concerns in pregnancy. These conditions can lead to adverse maternal and neonatal outcomes, including preterm delivery, low birth weight, postpartum hemorrhage, and increased maternal and perinatal mortality. In resource-limited settings like Dongola, where access to quality healthcare is constrained, understanding the burden and determinants of these abnormalities is critical for developing targeted interventions.</w:t>
      </w:r>
    </w:p>
    <w:p w:rsidR="0056488E" w:rsidRDefault="00D138F5">
      <w:pPr>
        <w:rPr>
          <w:rFonts w:ascii="Arial" w:hAnsi="Arial"/>
          <w:sz w:val="28"/>
          <w:szCs w:val="28"/>
        </w:rPr>
      </w:pPr>
      <w:r>
        <w:rPr>
          <w:rFonts w:ascii="Arial" w:hAnsi="Arial"/>
          <w:sz w:val="28"/>
          <w:szCs w:val="28"/>
        </w:rPr>
        <w:t>2.2.2 Contextual Justification</w:t>
      </w:r>
    </w:p>
    <w:p w:rsidR="0056488E" w:rsidRDefault="00D138F5">
      <w:pPr>
        <w:rPr>
          <w:rFonts w:ascii="Times New Roman" w:hAnsi="Times New Roman" w:cs="Times New Roman"/>
          <w:sz w:val="28"/>
          <w:szCs w:val="28"/>
        </w:rPr>
      </w:pPr>
      <w:r>
        <w:rPr>
          <w:rFonts w:ascii="Times New Roman" w:hAnsi="Times New Roman" w:cs="Times New Roman"/>
          <w:sz w:val="28"/>
          <w:szCs w:val="28"/>
        </w:rPr>
        <w:t>Limited Data in Sudan: While there are global and regional studies on hematological changes during pregnancy, there is a scarcity of research focusing on rural areas in Sudan. Existing studies primarily focus on urban populations, which may not reflect the unique challenges faced by women in rural settings like Dongola.</w:t>
      </w:r>
      <w:r>
        <w:rPr>
          <w:rFonts w:ascii="Times New Roman" w:hAnsi="Times New Roman" w:cs="Times New Roman" w:hint="cs"/>
          <w:sz w:val="28"/>
          <w:szCs w:val="28"/>
          <w:rtl/>
        </w:rPr>
        <w:t xml:space="preserve"> </w:t>
      </w:r>
      <w:r>
        <w:rPr>
          <w:rFonts w:ascii="Times New Roman" w:hAnsi="Times New Roman" w:cs="Times New Roman"/>
          <w:sz w:val="28"/>
          <w:szCs w:val="28"/>
        </w:rPr>
        <w:t>High Burden of Risk Factors: Women in rural Sudan are disproportionately affected by factors such as poor nutrition, limited access to antenatal care, and high prevalence of infectious diseases (e.g., malaria, parasitic infestations), which exacerbate the risk of hematological abnormalities. Impact on Maternal Health: Addressing hematological abnormalities is crucial for reducing maternal morbidity and mortality. This study will provide evidence-based insights to strengthen maternal healthcare services in the region.</w:t>
      </w:r>
    </w:p>
    <w:p w:rsidR="0056488E" w:rsidRDefault="0056488E">
      <w:pPr>
        <w:rPr>
          <w:rFonts w:ascii="Arial" w:hAnsi="Arial"/>
          <w:sz w:val="28"/>
          <w:szCs w:val="28"/>
        </w:rPr>
      </w:pPr>
    </w:p>
    <w:p w:rsidR="0056488E" w:rsidRPr="00D90B30" w:rsidRDefault="0056488E">
      <w:pPr>
        <w:jc w:val="center"/>
        <w:rPr>
          <w:rFonts w:ascii="Times New Roman" w:hAnsi="Times New Roman" w:cs="Times New Roman"/>
          <w:b/>
          <w:bCs/>
          <w:color w:val="FF0000"/>
          <w:sz w:val="28"/>
          <w:szCs w:val="28"/>
        </w:rPr>
      </w:pPr>
    </w:p>
    <w:p w:rsidR="0056488E" w:rsidRPr="00D90B30" w:rsidRDefault="00D138F5">
      <w:pPr>
        <w:jc w:val="center"/>
        <w:rPr>
          <w:rFonts w:ascii="Arial" w:hAnsi="Arial"/>
          <w:b/>
          <w:bCs/>
          <w:sz w:val="28"/>
          <w:szCs w:val="28"/>
        </w:rPr>
      </w:pPr>
      <w:r w:rsidRPr="00D90B30">
        <w:rPr>
          <w:rFonts w:ascii="Arial" w:hAnsi="Arial"/>
          <w:b/>
          <w:bCs/>
          <w:sz w:val="28"/>
          <w:szCs w:val="28"/>
        </w:rPr>
        <w:t>Materials and Methods</w:t>
      </w:r>
    </w:p>
    <w:p w:rsidR="0056488E" w:rsidRDefault="0056488E">
      <w:pPr>
        <w:rPr>
          <w:rFonts w:ascii="Arial" w:hAnsi="Arial"/>
          <w:sz w:val="28"/>
          <w:szCs w:val="28"/>
        </w:rPr>
      </w:pPr>
    </w:p>
    <w:p w:rsidR="0056488E" w:rsidRDefault="00D138F5">
      <w:pPr>
        <w:rPr>
          <w:rFonts w:ascii="Arial" w:hAnsi="Arial"/>
          <w:sz w:val="28"/>
          <w:szCs w:val="28"/>
        </w:rPr>
      </w:pPr>
      <w:r>
        <w:rPr>
          <w:rFonts w:ascii="Arial" w:hAnsi="Arial"/>
          <w:sz w:val="28"/>
          <w:szCs w:val="28"/>
        </w:rPr>
        <w:t>3.1 Study Design</w:t>
      </w:r>
    </w:p>
    <w:p w:rsidR="0056488E" w:rsidRDefault="00D138F5">
      <w:pPr>
        <w:rPr>
          <w:rFonts w:ascii="Times New Roman" w:hAnsi="Times New Roman" w:cs="Times New Roman"/>
          <w:sz w:val="28"/>
          <w:szCs w:val="28"/>
        </w:rPr>
      </w:pPr>
      <w:r>
        <w:rPr>
          <w:rFonts w:ascii="Times New Roman" w:hAnsi="Times New Roman" w:cs="Times New Roman"/>
          <w:sz w:val="28"/>
          <w:szCs w:val="28"/>
        </w:rPr>
        <w:lastRenderedPageBreak/>
        <w:t>This was an analytical case-control study aimed at assessing the effect of pregnancy on hematological parameters in women.</w:t>
      </w:r>
    </w:p>
    <w:p w:rsidR="0056488E" w:rsidRDefault="00D138F5">
      <w:pPr>
        <w:rPr>
          <w:rFonts w:ascii="Arial" w:hAnsi="Arial"/>
          <w:sz w:val="28"/>
          <w:szCs w:val="28"/>
        </w:rPr>
      </w:pPr>
      <w:r>
        <w:rPr>
          <w:rFonts w:ascii="Arial" w:hAnsi="Arial"/>
          <w:sz w:val="28"/>
          <w:szCs w:val="28"/>
        </w:rPr>
        <w:t>3.2 Study Area</w:t>
      </w:r>
    </w:p>
    <w:p w:rsidR="0056488E" w:rsidRDefault="00D138F5">
      <w:pPr>
        <w:rPr>
          <w:rFonts w:ascii="Times New Roman" w:hAnsi="Times New Roman" w:cs="Times New Roman"/>
          <w:sz w:val="28"/>
          <w:szCs w:val="28"/>
        </w:rPr>
      </w:pPr>
      <w:r>
        <w:rPr>
          <w:rFonts w:ascii="Times New Roman" w:hAnsi="Times New Roman" w:cs="Times New Roman"/>
          <w:sz w:val="28"/>
          <w:szCs w:val="28"/>
        </w:rPr>
        <w:t>The study was conducted in Dongola City, Northern State, Sudan.</w:t>
      </w:r>
    </w:p>
    <w:p w:rsidR="0056488E" w:rsidRDefault="00D138F5">
      <w:pPr>
        <w:rPr>
          <w:rFonts w:ascii="Arial" w:hAnsi="Arial"/>
          <w:sz w:val="28"/>
          <w:szCs w:val="28"/>
        </w:rPr>
      </w:pPr>
      <w:r>
        <w:rPr>
          <w:rFonts w:ascii="Arial" w:hAnsi="Arial"/>
          <w:sz w:val="28"/>
          <w:szCs w:val="28"/>
        </w:rPr>
        <w:t>3.3 Sample Size</w:t>
      </w:r>
    </w:p>
    <w:p w:rsidR="0056488E" w:rsidRDefault="00D138F5">
      <w:pPr>
        <w:rPr>
          <w:rFonts w:ascii="Times New Roman" w:hAnsi="Times New Roman" w:cs="Times New Roman"/>
          <w:sz w:val="28"/>
          <w:szCs w:val="28"/>
        </w:rPr>
      </w:pPr>
      <w:r>
        <w:rPr>
          <w:rFonts w:ascii="Times New Roman" w:hAnsi="Times New Roman" w:cs="Times New Roman"/>
          <w:sz w:val="28"/>
          <w:szCs w:val="28"/>
        </w:rPr>
        <w:t>A total of 100 blood samples were collected from adult Sudanese women, including:</w:t>
      </w:r>
    </w:p>
    <w:p w:rsidR="0056488E" w:rsidRDefault="00D138F5">
      <w:pPr>
        <w:rPr>
          <w:rFonts w:ascii="Times New Roman" w:hAnsi="Times New Roman" w:cs="Times New Roman"/>
          <w:sz w:val="28"/>
          <w:szCs w:val="28"/>
        </w:rPr>
      </w:pPr>
      <w:r>
        <w:rPr>
          <w:rFonts w:ascii="Times New Roman" w:hAnsi="Times New Roman" w:cs="Times New Roman"/>
          <w:sz w:val="28"/>
          <w:szCs w:val="28"/>
        </w:rPr>
        <w:t>50 samples from pregnant women (case group).</w:t>
      </w:r>
    </w:p>
    <w:p w:rsidR="0056488E" w:rsidRDefault="00D138F5">
      <w:pPr>
        <w:rPr>
          <w:rFonts w:ascii="Times New Roman" w:hAnsi="Times New Roman" w:cs="Times New Roman"/>
          <w:sz w:val="28"/>
          <w:szCs w:val="28"/>
        </w:rPr>
      </w:pPr>
      <w:r>
        <w:rPr>
          <w:rFonts w:ascii="Times New Roman" w:hAnsi="Times New Roman" w:cs="Times New Roman"/>
          <w:sz w:val="28"/>
          <w:szCs w:val="28"/>
        </w:rPr>
        <w:t>50 samples from non-pregnant women (control group).</w:t>
      </w:r>
    </w:p>
    <w:p w:rsidR="0056488E" w:rsidRDefault="00D138F5">
      <w:pPr>
        <w:rPr>
          <w:rFonts w:ascii="Times New Roman" w:hAnsi="Times New Roman" w:cs="Times New Roman"/>
          <w:sz w:val="28"/>
          <w:szCs w:val="28"/>
        </w:rPr>
      </w:pPr>
      <w:r>
        <w:rPr>
          <w:rFonts w:ascii="Times New Roman" w:hAnsi="Times New Roman" w:cs="Times New Roman"/>
          <w:sz w:val="28"/>
          <w:szCs w:val="28"/>
        </w:rPr>
        <w:t>Samples were collected using a simple random sampling method.</w:t>
      </w:r>
    </w:p>
    <w:p w:rsidR="0056488E" w:rsidRDefault="00D138F5">
      <w:pPr>
        <w:rPr>
          <w:rFonts w:ascii="Arial" w:hAnsi="Arial"/>
          <w:sz w:val="28"/>
          <w:szCs w:val="28"/>
        </w:rPr>
      </w:pPr>
      <w:r>
        <w:rPr>
          <w:rFonts w:ascii="Arial" w:hAnsi="Arial"/>
          <w:sz w:val="28"/>
          <w:szCs w:val="28"/>
        </w:rPr>
        <w:t>3.4 Study Population</w:t>
      </w:r>
    </w:p>
    <w:p w:rsidR="0056488E" w:rsidRDefault="00D138F5">
      <w:pPr>
        <w:rPr>
          <w:rFonts w:ascii="Times New Roman" w:hAnsi="Times New Roman" w:cs="Times New Roman"/>
          <w:sz w:val="28"/>
          <w:szCs w:val="28"/>
        </w:rPr>
      </w:pPr>
      <w:r>
        <w:rPr>
          <w:rFonts w:ascii="Times New Roman" w:hAnsi="Times New Roman" w:cs="Times New Roman"/>
          <w:sz w:val="28"/>
          <w:szCs w:val="28"/>
        </w:rPr>
        <w:t>The study focused on Sudanese adult women, both pregnant and non-pregnant, within Dongola City.</w:t>
      </w:r>
    </w:p>
    <w:p w:rsidR="0056488E" w:rsidRDefault="00D138F5">
      <w:pPr>
        <w:rPr>
          <w:rFonts w:ascii="Arial" w:hAnsi="Arial"/>
          <w:sz w:val="28"/>
          <w:szCs w:val="28"/>
        </w:rPr>
      </w:pPr>
      <w:r>
        <w:rPr>
          <w:rFonts w:ascii="Arial" w:hAnsi="Arial"/>
          <w:sz w:val="28"/>
          <w:szCs w:val="28"/>
        </w:rPr>
        <w:t>3.4.1 Inclusion Criteria</w:t>
      </w:r>
    </w:p>
    <w:p w:rsidR="0056488E" w:rsidRDefault="00D138F5">
      <w:pPr>
        <w:rPr>
          <w:rFonts w:ascii="Times New Roman" w:hAnsi="Times New Roman" w:cs="Times New Roman"/>
          <w:sz w:val="28"/>
          <w:szCs w:val="28"/>
        </w:rPr>
      </w:pPr>
      <w:r>
        <w:rPr>
          <w:rFonts w:ascii="Times New Roman" w:hAnsi="Times New Roman" w:cs="Times New Roman"/>
          <w:sz w:val="28"/>
          <w:szCs w:val="28"/>
        </w:rPr>
        <w:t>Sudanese adult females residing in Dongola City.</w:t>
      </w:r>
    </w:p>
    <w:p w:rsidR="0056488E" w:rsidRDefault="00D138F5">
      <w:pPr>
        <w:rPr>
          <w:rFonts w:ascii="Times New Roman" w:hAnsi="Times New Roman" w:cs="Times New Roman"/>
          <w:sz w:val="28"/>
          <w:szCs w:val="28"/>
        </w:rPr>
      </w:pPr>
      <w:r>
        <w:rPr>
          <w:rFonts w:ascii="Times New Roman" w:hAnsi="Times New Roman" w:cs="Times New Roman"/>
          <w:sz w:val="28"/>
          <w:szCs w:val="28"/>
        </w:rPr>
        <w:t>No history of chronic or hematological diseases.</w:t>
      </w:r>
    </w:p>
    <w:p w:rsidR="0056488E" w:rsidRDefault="0056488E">
      <w:pPr>
        <w:rPr>
          <w:rFonts w:ascii="Times New Roman" w:hAnsi="Times New Roman" w:cs="Times New Roman"/>
          <w:sz w:val="28"/>
          <w:szCs w:val="28"/>
        </w:rPr>
      </w:pPr>
    </w:p>
    <w:p w:rsidR="0056488E" w:rsidRDefault="00D138F5">
      <w:pPr>
        <w:rPr>
          <w:rFonts w:ascii="Arial" w:hAnsi="Arial"/>
          <w:sz w:val="28"/>
          <w:szCs w:val="28"/>
        </w:rPr>
      </w:pPr>
      <w:r>
        <w:rPr>
          <w:rFonts w:ascii="Arial" w:hAnsi="Arial"/>
          <w:sz w:val="28"/>
          <w:szCs w:val="28"/>
        </w:rPr>
        <w:t>3.4.2 Exclusion Criteria</w:t>
      </w:r>
    </w:p>
    <w:p w:rsidR="0056488E" w:rsidRDefault="00D138F5">
      <w:pPr>
        <w:rPr>
          <w:rFonts w:ascii="Times New Roman" w:hAnsi="Times New Roman" w:cs="Times New Roman"/>
          <w:sz w:val="28"/>
          <w:szCs w:val="28"/>
        </w:rPr>
      </w:pPr>
      <w:r>
        <w:rPr>
          <w:rFonts w:ascii="Times New Roman" w:hAnsi="Times New Roman" w:cs="Times New Roman"/>
          <w:sz w:val="28"/>
          <w:szCs w:val="28"/>
        </w:rPr>
        <w:t>Women with a history of chronic diseases, anemia, or hematological disorders were excluded.</w:t>
      </w:r>
    </w:p>
    <w:p w:rsidR="0056488E" w:rsidRDefault="00D138F5">
      <w:pPr>
        <w:rPr>
          <w:rFonts w:ascii="Arial" w:hAnsi="Arial"/>
          <w:sz w:val="28"/>
          <w:szCs w:val="28"/>
        </w:rPr>
      </w:pPr>
      <w:r>
        <w:rPr>
          <w:rFonts w:ascii="Arial" w:hAnsi="Arial"/>
          <w:sz w:val="28"/>
          <w:szCs w:val="28"/>
        </w:rPr>
        <w:t>3.5 Data Collection</w:t>
      </w:r>
    </w:p>
    <w:p w:rsidR="0056488E" w:rsidRDefault="00D138F5">
      <w:pPr>
        <w:rPr>
          <w:rFonts w:ascii="Times New Roman" w:hAnsi="Times New Roman" w:cs="Times New Roman"/>
          <w:sz w:val="28"/>
          <w:szCs w:val="28"/>
        </w:rPr>
      </w:pPr>
      <w:r>
        <w:rPr>
          <w:rFonts w:ascii="Times New Roman" w:hAnsi="Times New Roman" w:cs="Times New Roman"/>
          <w:sz w:val="28"/>
          <w:szCs w:val="28"/>
        </w:rPr>
        <w:t>Data was collected using a structured questionnaire designed to include all necessary information about the participants.</w:t>
      </w:r>
    </w:p>
    <w:p w:rsidR="0056488E" w:rsidRDefault="00D138F5">
      <w:pPr>
        <w:rPr>
          <w:rFonts w:ascii="Arial" w:hAnsi="Arial"/>
          <w:sz w:val="28"/>
          <w:szCs w:val="28"/>
        </w:rPr>
      </w:pPr>
      <w:r>
        <w:rPr>
          <w:rFonts w:ascii="Arial" w:hAnsi="Arial"/>
          <w:sz w:val="28"/>
          <w:szCs w:val="28"/>
        </w:rPr>
        <w:t>3.6 Sample Processing</w:t>
      </w:r>
    </w:p>
    <w:p w:rsidR="0056488E" w:rsidRDefault="00D138F5">
      <w:pPr>
        <w:rPr>
          <w:rFonts w:ascii="Times New Roman" w:hAnsi="Times New Roman" w:cs="Times New Roman"/>
          <w:sz w:val="28"/>
          <w:szCs w:val="28"/>
        </w:rPr>
      </w:pPr>
      <w:r>
        <w:rPr>
          <w:rFonts w:ascii="Times New Roman" w:hAnsi="Times New Roman" w:cs="Times New Roman"/>
          <w:sz w:val="28"/>
          <w:szCs w:val="28"/>
        </w:rPr>
        <w:t>A total of 100 blood samples were collected in EDTA anticoagulant tubes for complete blood count (CBC) analysis.</w:t>
      </w:r>
    </w:p>
    <w:p w:rsidR="0056488E" w:rsidRDefault="00D138F5">
      <w:pPr>
        <w:rPr>
          <w:rFonts w:ascii="Arial" w:hAnsi="Arial"/>
          <w:sz w:val="28"/>
          <w:szCs w:val="28"/>
        </w:rPr>
      </w:pPr>
      <w:r>
        <w:rPr>
          <w:rFonts w:ascii="Arial" w:hAnsi="Arial"/>
          <w:sz w:val="28"/>
          <w:szCs w:val="28"/>
        </w:rPr>
        <w:t>3.7 Materials for Sample Collection</w:t>
      </w:r>
    </w:p>
    <w:p w:rsidR="0056488E" w:rsidRDefault="00D138F5">
      <w:pPr>
        <w:rPr>
          <w:rFonts w:ascii="Times New Roman" w:hAnsi="Times New Roman" w:cs="Times New Roman"/>
          <w:sz w:val="28"/>
          <w:szCs w:val="28"/>
        </w:rPr>
      </w:pPr>
      <w:r>
        <w:rPr>
          <w:rFonts w:ascii="Times New Roman" w:hAnsi="Times New Roman" w:cs="Times New Roman"/>
          <w:sz w:val="28"/>
          <w:szCs w:val="28"/>
        </w:rPr>
        <w:t>The following materials were used in this study:</w:t>
      </w:r>
    </w:p>
    <w:p w:rsidR="0056488E" w:rsidRDefault="00D138F5">
      <w:pPr>
        <w:rPr>
          <w:rFonts w:ascii="Times New Roman" w:hAnsi="Times New Roman" w:cs="Times New Roman"/>
          <w:sz w:val="28"/>
          <w:szCs w:val="28"/>
        </w:rPr>
      </w:pPr>
      <w:r>
        <w:rPr>
          <w:rFonts w:ascii="Times New Roman" w:hAnsi="Times New Roman" w:cs="Times New Roman"/>
          <w:sz w:val="28"/>
          <w:szCs w:val="28"/>
        </w:rPr>
        <w:t>Lab coat, Gloves, Cotton, Tourniquet, Syringe e, Alcohol, EDTA tubes, CBC analyzer</w:t>
      </w:r>
    </w:p>
    <w:p w:rsidR="0056488E" w:rsidRDefault="00D138F5">
      <w:pPr>
        <w:rPr>
          <w:rFonts w:ascii="Arial" w:hAnsi="Arial"/>
          <w:sz w:val="28"/>
          <w:szCs w:val="28"/>
        </w:rPr>
      </w:pPr>
      <w:r>
        <w:rPr>
          <w:rFonts w:ascii="Arial" w:hAnsi="Arial"/>
          <w:sz w:val="28"/>
          <w:szCs w:val="28"/>
        </w:rPr>
        <w:t>3.8 Procedure for Venous Blood Collection</w:t>
      </w:r>
    </w:p>
    <w:p w:rsidR="0056488E" w:rsidRDefault="00D138F5">
      <w:pPr>
        <w:rPr>
          <w:rFonts w:ascii="Times New Roman" w:hAnsi="Times New Roman" w:cs="Times New Roman"/>
          <w:sz w:val="28"/>
          <w:szCs w:val="28"/>
        </w:rPr>
      </w:pPr>
      <w:r>
        <w:rPr>
          <w:rFonts w:ascii="Times New Roman" w:hAnsi="Times New Roman" w:cs="Times New Roman"/>
          <w:sz w:val="28"/>
          <w:szCs w:val="28"/>
        </w:rPr>
        <w:lastRenderedPageBreak/>
        <w:t>Blood was drawn from an antecubital vein or another visible forearm vein following these steps:</w:t>
      </w:r>
    </w:p>
    <w:p w:rsidR="0056488E" w:rsidRDefault="00D138F5">
      <w:pPr>
        <w:rPr>
          <w:rFonts w:ascii="Times New Roman" w:hAnsi="Times New Roman" w:cs="Times New Roman"/>
          <w:sz w:val="28"/>
          <w:szCs w:val="28"/>
        </w:rPr>
      </w:pPr>
      <w:r>
        <w:rPr>
          <w:rFonts w:ascii="Times New Roman" w:hAnsi="Times New Roman" w:cs="Times New Roman"/>
          <w:sz w:val="28"/>
          <w:szCs w:val="28"/>
        </w:rPr>
        <w:t>1. The skin was cleaned with 70% alcohol and allowed to dry.</w:t>
      </w:r>
    </w:p>
    <w:p w:rsidR="0056488E" w:rsidRDefault="00D138F5">
      <w:pPr>
        <w:rPr>
          <w:rFonts w:ascii="Times New Roman" w:hAnsi="Times New Roman" w:cs="Times New Roman"/>
          <w:sz w:val="28"/>
          <w:szCs w:val="28"/>
        </w:rPr>
      </w:pPr>
      <w:r>
        <w:rPr>
          <w:rFonts w:ascii="Times New Roman" w:hAnsi="Times New Roman" w:cs="Times New Roman"/>
          <w:sz w:val="28"/>
          <w:szCs w:val="28"/>
        </w:rPr>
        <w:t>2. A tourniquet was applied just above the venipuncture site.</w:t>
      </w:r>
    </w:p>
    <w:p w:rsidR="0056488E" w:rsidRDefault="00D138F5">
      <w:pPr>
        <w:rPr>
          <w:rFonts w:ascii="Times New Roman" w:hAnsi="Times New Roman" w:cs="Times New Roman"/>
          <w:sz w:val="28"/>
          <w:szCs w:val="28"/>
        </w:rPr>
      </w:pPr>
      <w:r>
        <w:rPr>
          <w:rFonts w:ascii="Times New Roman" w:hAnsi="Times New Roman" w:cs="Times New Roman"/>
          <w:sz w:val="28"/>
          <w:szCs w:val="28"/>
        </w:rPr>
        <w:t>3. The participant was asked to make a fist a few times.</w:t>
      </w:r>
    </w:p>
    <w:p w:rsidR="0056488E" w:rsidRDefault="00D138F5">
      <w:pPr>
        <w:rPr>
          <w:rFonts w:ascii="Times New Roman" w:hAnsi="Times New Roman" w:cs="Times New Roman"/>
          <w:sz w:val="28"/>
          <w:szCs w:val="28"/>
        </w:rPr>
      </w:pPr>
      <w:r>
        <w:rPr>
          <w:rFonts w:ascii="Times New Roman" w:hAnsi="Times New Roman" w:cs="Times New Roman"/>
          <w:sz w:val="28"/>
          <w:szCs w:val="28"/>
        </w:rPr>
        <w:t>4. A sterile needle was inserted into the vein, and once blood appeared, the tourniquet was released.</w:t>
      </w:r>
    </w:p>
    <w:p w:rsidR="0056488E" w:rsidRDefault="00D138F5">
      <w:pPr>
        <w:rPr>
          <w:rFonts w:ascii="Times New Roman" w:hAnsi="Times New Roman" w:cs="Times New Roman"/>
          <w:sz w:val="28"/>
          <w:szCs w:val="28"/>
        </w:rPr>
      </w:pPr>
      <w:r>
        <w:rPr>
          <w:rFonts w:ascii="Times New Roman" w:hAnsi="Times New Roman" w:cs="Times New Roman"/>
          <w:sz w:val="28"/>
          <w:szCs w:val="28"/>
        </w:rPr>
        <w:t>5. The required volume of blood was collected by gentle suction.</w:t>
      </w:r>
    </w:p>
    <w:p w:rsidR="0056488E" w:rsidRDefault="00D138F5">
      <w:pPr>
        <w:rPr>
          <w:rFonts w:ascii="Times New Roman" w:hAnsi="Times New Roman" w:cs="Times New Roman"/>
          <w:sz w:val="28"/>
          <w:szCs w:val="28"/>
        </w:rPr>
      </w:pPr>
      <w:r>
        <w:rPr>
          <w:rFonts w:ascii="Times New Roman" w:hAnsi="Times New Roman" w:cs="Times New Roman"/>
          <w:sz w:val="28"/>
          <w:szCs w:val="28"/>
        </w:rPr>
        <w:t>6. After obtaining the sample, the needle was removed, and a sterile swab was pressed over the puncture site.</w:t>
      </w:r>
    </w:p>
    <w:p w:rsidR="0056488E" w:rsidRDefault="00D138F5">
      <w:pPr>
        <w:rPr>
          <w:rFonts w:ascii="Times New Roman" w:hAnsi="Times New Roman" w:cs="Times New Roman"/>
          <w:sz w:val="28"/>
          <w:szCs w:val="28"/>
        </w:rPr>
      </w:pPr>
      <w:r>
        <w:rPr>
          <w:rFonts w:ascii="Times New Roman" w:hAnsi="Times New Roman" w:cs="Times New Roman"/>
          <w:sz w:val="28"/>
          <w:szCs w:val="28"/>
        </w:rPr>
        <w:t>7. The sample was gently mixed by inverting the EDTA tube several times before analysis.</w:t>
      </w:r>
    </w:p>
    <w:p w:rsidR="0056488E" w:rsidRDefault="00D138F5">
      <w:pPr>
        <w:rPr>
          <w:rFonts w:ascii="Arial" w:hAnsi="Arial"/>
          <w:sz w:val="28"/>
          <w:szCs w:val="28"/>
        </w:rPr>
      </w:pPr>
      <w:r>
        <w:rPr>
          <w:rFonts w:ascii="Arial" w:hAnsi="Arial"/>
          <w:sz w:val="28"/>
          <w:szCs w:val="28"/>
        </w:rPr>
        <w:t>3.9 Sample Analysis Method</w:t>
      </w:r>
    </w:p>
    <w:p w:rsidR="0056488E" w:rsidRDefault="00D138F5">
      <w:pPr>
        <w:rPr>
          <w:rFonts w:ascii="Times New Roman" w:hAnsi="Times New Roman" w:cs="Times New Roman"/>
          <w:sz w:val="28"/>
          <w:szCs w:val="28"/>
        </w:rPr>
      </w:pPr>
      <w:r>
        <w:rPr>
          <w:rFonts w:ascii="Times New Roman" w:hAnsi="Times New Roman" w:cs="Times New Roman"/>
          <w:sz w:val="28"/>
          <w:szCs w:val="28"/>
        </w:rPr>
        <w:t>A Mindray BC-3000 plus Hematology Analyzer was used to perform the complete blood count (CBC).</w:t>
      </w:r>
    </w:p>
    <w:p w:rsidR="0056488E" w:rsidRDefault="0056488E">
      <w:pPr>
        <w:rPr>
          <w:rFonts w:ascii="Arial" w:hAnsi="Arial"/>
          <w:sz w:val="28"/>
          <w:szCs w:val="28"/>
        </w:rPr>
      </w:pPr>
    </w:p>
    <w:p w:rsidR="0056488E" w:rsidRDefault="00D138F5">
      <w:pPr>
        <w:rPr>
          <w:rFonts w:ascii="Arial" w:hAnsi="Arial"/>
          <w:sz w:val="28"/>
          <w:szCs w:val="28"/>
        </w:rPr>
      </w:pPr>
      <w:r>
        <w:rPr>
          <w:rFonts w:ascii="Arial" w:hAnsi="Arial"/>
          <w:sz w:val="28"/>
          <w:szCs w:val="28"/>
        </w:rPr>
        <w:t>3.10 Principle of CBC Analysis</w:t>
      </w:r>
    </w:p>
    <w:p w:rsidR="0056488E" w:rsidRDefault="00D138F5">
      <w:pPr>
        <w:rPr>
          <w:rFonts w:ascii="Times New Roman" w:hAnsi="Times New Roman" w:cs="Times New Roman"/>
          <w:sz w:val="28"/>
          <w:szCs w:val="28"/>
        </w:rPr>
      </w:pPr>
      <w:r>
        <w:rPr>
          <w:rFonts w:ascii="Times New Roman" w:hAnsi="Times New Roman" w:cs="Times New Roman"/>
          <w:sz w:val="28"/>
          <w:szCs w:val="28"/>
        </w:rPr>
        <w:t>The CBC analysis was performed using the impedance method for WBC, RBC, and PLT. The blood was sampled, diluted, and passed through a thin tube where individual cells were counted using electrical impedance.</w:t>
      </w:r>
    </w:p>
    <w:p w:rsidR="0056488E" w:rsidRDefault="00D138F5">
      <w:pPr>
        <w:rPr>
          <w:rFonts w:ascii="Arial" w:hAnsi="Arial"/>
          <w:sz w:val="28"/>
          <w:szCs w:val="28"/>
        </w:rPr>
      </w:pPr>
      <w:r>
        <w:rPr>
          <w:rFonts w:ascii="Arial" w:hAnsi="Arial"/>
          <w:sz w:val="28"/>
          <w:szCs w:val="28"/>
        </w:rPr>
        <w:t>3.11 Technique</w:t>
      </w:r>
    </w:p>
    <w:p w:rsidR="0056488E" w:rsidRDefault="00D138F5">
      <w:pPr>
        <w:rPr>
          <w:rFonts w:ascii="Times New Roman" w:hAnsi="Times New Roman" w:cs="Times New Roman"/>
          <w:sz w:val="28"/>
          <w:szCs w:val="28"/>
        </w:rPr>
      </w:pPr>
      <w:r>
        <w:rPr>
          <w:rFonts w:ascii="Times New Roman" w:hAnsi="Times New Roman" w:cs="Times New Roman"/>
          <w:sz w:val="28"/>
          <w:szCs w:val="28"/>
        </w:rPr>
        <w:t>The collected blood sample was introduced into the aspiration needle.</w:t>
      </w:r>
    </w:p>
    <w:p w:rsidR="0056488E" w:rsidRDefault="00D138F5">
      <w:pPr>
        <w:rPr>
          <w:rFonts w:ascii="Times New Roman" w:hAnsi="Times New Roman" w:cs="Times New Roman"/>
          <w:sz w:val="28"/>
          <w:szCs w:val="28"/>
        </w:rPr>
      </w:pPr>
      <w:r>
        <w:rPr>
          <w:rFonts w:ascii="Times New Roman" w:hAnsi="Times New Roman" w:cs="Times New Roman"/>
          <w:sz w:val="28"/>
          <w:szCs w:val="28"/>
        </w:rPr>
        <w:t>The analyzer aspirated the whole blood and dispensed it into testing chambers.</w:t>
      </w:r>
    </w:p>
    <w:p w:rsidR="0056488E" w:rsidRDefault="00D138F5">
      <w:pPr>
        <w:rPr>
          <w:rFonts w:ascii="Times New Roman" w:hAnsi="Times New Roman" w:cs="Times New Roman"/>
          <w:sz w:val="28"/>
          <w:szCs w:val="28"/>
        </w:rPr>
      </w:pPr>
      <w:r>
        <w:rPr>
          <w:rFonts w:ascii="Times New Roman" w:hAnsi="Times New Roman" w:cs="Times New Roman"/>
          <w:sz w:val="28"/>
          <w:szCs w:val="28"/>
        </w:rPr>
        <w:t>The machine mixed the sample with diluent and lyses reagents for analysis.</w:t>
      </w:r>
    </w:p>
    <w:p w:rsidR="0056488E" w:rsidRDefault="00D138F5">
      <w:pPr>
        <w:rPr>
          <w:rFonts w:ascii="Times New Roman" w:hAnsi="Times New Roman" w:cs="Times New Roman"/>
          <w:sz w:val="28"/>
          <w:szCs w:val="28"/>
        </w:rPr>
      </w:pPr>
      <w:r>
        <w:rPr>
          <w:rFonts w:ascii="Times New Roman" w:hAnsi="Times New Roman" w:cs="Times New Roman"/>
          <w:sz w:val="28"/>
          <w:szCs w:val="28"/>
        </w:rPr>
        <w:t>The reaction occurred inside the chamber, separating blood components for counting.</w:t>
      </w:r>
    </w:p>
    <w:p w:rsidR="0056488E" w:rsidRDefault="00D138F5">
      <w:pPr>
        <w:rPr>
          <w:rFonts w:ascii="Times New Roman" w:hAnsi="Times New Roman" w:cs="Times New Roman"/>
          <w:sz w:val="28"/>
          <w:szCs w:val="28"/>
        </w:rPr>
      </w:pPr>
      <w:r>
        <w:rPr>
          <w:rFonts w:ascii="Times New Roman" w:hAnsi="Times New Roman" w:cs="Times New Roman"/>
          <w:sz w:val="28"/>
          <w:szCs w:val="28"/>
        </w:rPr>
        <w:t>The CBC analyzer performed automatic probe cleaning and waste disposal after testing.</w:t>
      </w:r>
    </w:p>
    <w:p w:rsidR="0056488E" w:rsidRDefault="00D138F5">
      <w:pPr>
        <w:rPr>
          <w:rFonts w:ascii="Arial" w:hAnsi="Arial"/>
          <w:sz w:val="28"/>
          <w:szCs w:val="28"/>
        </w:rPr>
      </w:pPr>
      <w:r>
        <w:rPr>
          <w:rFonts w:ascii="Arial" w:hAnsi="Arial"/>
          <w:sz w:val="28"/>
          <w:szCs w:val="28"/>
        </w:rPr>
        <w:t>3.12 Data Analysis</w:t>
      </w:r>
    </w:p>
    <w:p w:rsidR="0056488E" w:rsidRDefault="00D138F5">
      <w:pPr>
        <w:rPr>
          <w:rFonts w:ascii="Times New Roman" w:hAnsi="Times New Roman" w:cs="Times New Roman"/>
          <w:sz w:val="28"/>
          <w:szCs w:val="28"/>
        </w:rPr>
      </w:pPr>
      <w:r>
        <w:rPr>
          <w:rFonts w:ascii="Times New Roman" w:hAnsi="Times New Roman" w:cs="Times New Roman"/>
          <w:sz w:val="28"/>
          <w:szCs w:val="28"/>
        </w:rPr>
        <w:t>All collected data was entered into a master sheet and computerized using Microsoft Excel. Statistical analysis was performed using SPSS version 27, where the mean (± SD) values of hematological parameters were calculated. A T-test was applied to compare the case and control groups.</w:t>
      </w:r>
    </w:p>
    <w:p w:rsidR="0056488E" w:rsidRDefault="0056488E">
      <w:pPr>
        <w:rPr>
          <w:rFonts w:ascii="Times New Roman" w:hAnsi="Times New Roman" w:cs="Times New Roman"/>
          <w:sz w:val="28"/>
          <w:szCs w:val="28"/>
          <w:rtl/>
        </w:rPr>
      </w:pPr>
    </w:p>
    <w:p w:rsidR="0056488E" w:rsidRDefault="0056488E">
      <w:pPr>
        <w:jc w:val="center"/>
        <w:rPr>
          <w:rFonts w:ascii="Times New Roman" w:hAnsi="Times New Roman" w:cs="Times New Roman"/>
          <w:b/>
          <w:bCs/>
          <w:color w:val="FF0000"/>
          <w:sz w:val="32"/>
          <w:szCs w:val="32"/>
          <w:u w:val="single"/>
        </w:rPr>
      </w:pPr>
    </w:p>
    <w:p w:rsidR="0056488E" w:rsidRDefault="00D138F5">
      <w:pPr>
        <w:jc w:val="center"/>
        <w:rPr>
          <w:rFonts w:ascii="Times New Roman" w:hAnsi="Times New Roman" w:cs="Times New Roman"/>
          <w:b/>
          <w:bCs/>
          <w:color w:val="FF0000"/>
          <w:sz w:val="32"/>
          <w:szCs w:val="32"/>
          <w:u w:val="single"/>
        </w:rPr>
      </w:pPr>
      <w:r>
        <w:rPr>
          <w:rFonts w:ascii="Times New Roman" w:hAnsi="Times New Roman" w:cs="Times New Roman"/>
          <w:b/>
          <w:bCs/>
          <w:color w:val="FF0000"/>
          <w:sz w:val="32"/>
          <w:szCs w:val="32"/>
          <w:u w:val="single"/>
        </w:rPr>
        <w:t>RESULTS</w:t>
      </w:r>
    </w:p>
    <w:p w:rsidR="0056488E" w:rsidRDefault="00D138F5">
      <w:pPr>
        <w:rPr>
          <w:rFonts w:ascii="Times New Roman" w:eastAsia="Times New Roman" w:hAnsi="Times New Roman" w:cs="Times New Roman"/>
          <w:kern w:val="0"/>
          <w:sz w:val="28"/>
          <w:szCs w:val="28"/>
        </w:rPr>
      </w:pPr>
      <w:r>
        <w:rPr>
          <w:rFonts w:ascii="Times New Roman" w:hAnsi="Times New Roman" w:cs="Times New Roman"/>
          <w:sz w:val="32"/>
          <w:szCs w:val="32"/>
        </w:rPr>
        <w:t>A</w:t>
      </w:r>
      <w:r>
        <w:rPr>
          <w:rFonts w:ascii="Times New Roman" w:hAnsi="Times New Roman" w:cs="Times New Roman"/>
          <w:b/>
          <w:bCs/>
          <w:sz w:val="32"/>
          <w:szCs w:val="32"/>
        </w:rPr>
        <w:t xml:space="preserve"> </w:t>
      </w:r>
      <w:r>
        <w:rPr>
          <w:rFonts w:ascii="Times New Roman" w:eastAsia="Times New Roman" w:hAnsi="Times New Roman" w:cs="Times New Roman"/>
          <w:kern w:val="0"/>
          <w:sz w:val="28"/>
          <w:szCs w:val="28"/>
        </w:rPr>
        <w:t xml:space="preserve">total of 50 </w:t>
      </w:r>
      <w:r>
        <w:rPr>
          <w:rFonts w:ascii="Times New Roman" w:hAnsi="Times New Roman" w:cs="Times New Roman"/>
          <w:kern w:val="0"/>
          <w:sz w:val="28"/>
          <w:szCs w:val="28"/>
          <w:lang w:bidi="ar-EG"/>
        </w:rPr>
        <w:t>studied Pregnancy Women were</w:t>
      </w:r>
      <w:r>
        <w:rPr>
          <w:rFonts w:ascii="Times New Roman" w:eastAsia="Times New Roman" w:hAnsi="Times New Roman" w:cs="Times New Roman"/>
          <w:kern w:val="0"/>
          <w:sz w:val="28"/>
          <w:szCs w:val="28"/>
        </w:rPr>
        <w:t xml:space="preserve"> involved in this study, the age of </w:t>
      </w:r>
      <w:r>
        <w:rPr>
          <w:rFonts w:ascii="Times New Roman" w:hAnsi="Times New Roman" w:cs="Times New Roman"/>
          <w:kern w:val="0"/>
          <w:sz w:val="28"/>
          <w:szCs w:val="28"/>
        </w:rPr>
        <w:t>37 (74 %)</w:t>
      </w:r>
      <w:r>
        <w:rPr>
          <w:rFonts w:ascii="Times New Roman" w:eastAsia="Times New Roman" w:hAnsi="Times New Roman" w:cs="Times New Roman"/>
          <w:kern w:val="0"/>
          <w:sz w:val="36"/>
          <w:szCs w:val="36"/>
        </w:rPr>
        <w:t xml:space="preserve"> </w:t>
      </w:r>
      <w:r>
        <w:rPr>
          <w:rFonts w:ascii="Times New Roman" w:eastAsia="Times New Roman" w:hAnsi="Times New Roman" w:cs="Times New Roman"/>
          <w:kern w:val="0"/>
          <w:sz w:val="28"/>
          <w:szCs w:val="28"/>
        </w:rPr>
        <w:t>were 18 – 30 years old and, 13 (26%) were aged more than 30 years old.</w:t>
      </w:r>
    </w:p>
    <w:p w:rsidR="0056488E" w:rsidRDefault="00D138F5">
      <w:pPr>
        <w:rPr>
          <w:noProof/>
          <w:kern w:val="0"/>
        </w:rPr>
      </w:pPr>
      <w:r>
        <w:rPr>
          <w:rFonts w:ascii="Times New Roman" w:eastAsia="Times New Roman" w:hAnsi="Times New Roman" w:cs="Times New Roman"/>
          <w:kern w:val="0"/>
          <w:sz w:val="28"/>
          <w:szCs w:val="28"/>
        </w:rPr>
        <w:t xml:space="preserve">Total of 50 </w:t>
      </w:r>
      <w:r>
        <w:rPr>
          <w:rFonts w:ascii="Times New Roman" w:hAnsi="Times New Roman" w:cs="Times New Roman"/>
          <w:kern w:val="0"/>
          <w:sz w:val="28"/>
          <w:szCs w:val="28"/>
          <w:lang w:bidi="ar-EG"/>
        </w:rPr>
        <w:t>studied Non Pregnancy Women were</w:t>
      </w:r>
      <w:r>
        <w:rPr>
          <w:rFonts w:ascii="Times New Roman" w:eastAsia="Times New Roman" w:hAnsi="Times New Roman" w:cs="Times New Roman"/>
          <w:kern w:val="0"/>
          <w:sz w:val="28"/>
          <w:szCs w:val="28"/>
        </w:rPr>
        <w:t xml:space="preserve"> involved in this study, the age of </w:t>
      </w:r>
      <w:r>
        <w:rPr>
          <w:rFonts w:ascii="Times New Roman" w:hAnsi="Times New Roman" w:cs="Times New Roman"/>
          <w:kern w:val="0"/>
          <w:sz w:val="28"/>
          <w:szCs w:val="28"/>
        </w:rPr>
        <w:t>39 (78 %)</w:t>
      </w:r>
      <w:r>
        <w:rPr>
          <w:rFonts w:ascii="Times New Roman" w:eastAsia="Times New Roman" w:hAnsi="Times New Roman" w:cs="Times New Roman"/>
          <w:kern w:val="0"/>
          <w:sz w:val="36"/>
          <w:szCs w:val="36"/>
        </w:rPr>
        <w:t xml:space="preserve"> </w:t>
      </w:r>
      <w:r>
        <w:rPr>
          <w:rFonts w:ascii="Times New Roman" w:eastAsia="Times New Roman" w:hAnsi="Times New Roman" w:cs="Times New Roman"/>
          <w:kern w:val="0"/>
          <w:sz w:val="28"/>
          <w:szCs w:val="28"/>
        </w:rPr>
        <w:t>were 18 – 30 years old and, 11 (22%) were aged more than 30 years old.</w:t>
      </w:r>
    </w:p>
    <w:p w:rsidR="0056488E" w:rsidRDefault="00D138F5">
      <w:pPr>
        <w:jc w:val="center"/>
        <w:rPr>
          <w:kern w:val="0"/>
        </w:rPr>
      </w:pPr>
      <w:r>
        <w:rPr>
          <w:noProof/>
          <w:kern w:val="0"/>
        </w:rPr>
        <w:drawing>
          <wp:inline distT="0" distB="0" distL="114300" distR="114300">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488E" w:rsidRDefault="00D138F5">
      <w:pPr>
        <w:autoSpaceDE w:val="0"/>
        <w:autoSpaceDN w:val="0"/>
        <w:adjustRightInd w:val="0"/>
        <w:spacing w:after="0" w:line="240" w:lineRule="auto"/>
        <w:jc w:val="center"/>
        <w:rPr>
          <w:rFonts w:ascii="Times New Roman" w:hAnsi="Times New Roman" w:cs="Times New Roman"/>
          <w:b/>
          <w:bCs/>
          <w:color w:val="000000"/>
          <w:kern w:val="0"/>
          <w:sz w:val="28"/>
          <w:szCs w:val="28"/>
          <w:rtl/>
        </w:rPr>
      </w:pPr>
      <w:r>
        <w:rPr>
          <w:rFonts w:ascii="Times New Roman" w:hAnsi="Times New Roman" w:cs="Times New Roman"/>
          <w:b/>
          <w:bCs/>
          <w:color w:val="000000"/>
          <w:kern w:val="0"/>
          <w:sz w:val="28"/>
          <w:szCs w:val="28"/>
        </w:rPr>
        <w:t xml:space="preserve">Figure (1):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age groups. </w:t>
      </w:r>
    </w:p>
    <w:p w:rsidR="0056488E" w:rsidRDefault="0056488E">
      <w:pPr>
        <w:spacing w:after="200" w:line="276" w:lineRule="auto"/>
        <w:rPr>
          <w:rFonts w:ascii="Times New Roman" w:eastAsia="Times New Roman" w:hAnsi="Times New Roman" w:cs="Times New Roman"/>
          <w:kern w:val="0"/>
          <w:sz w:val="28"/>
          <w:szCs w:val="28"/>
        </w:rPr>
      </w:pPr>
    </w:p>
    <w:p w:rsidR="0056488E" w:rsidRDefault="0056488E">
      <w:pPr>
        <w:spacing w:after="200" w:line="276" w:lineRule="auto"/>
        <w:rPr>
          <w:kern w:val="0"/>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autoSpaceDE w:val="0"/>
        <w:autoSpaceDN w:val="0"/>
        <w:adjustRightInd w:val="0"/>
        <w:spacing w:after="0" w:line="400" w:lineRule="atLeast"/>
        <w:rPr>
          <w:rFonts w:ascii="Times New Roman" w:hAnsi="Times New Roman" w:cs="Times New Roman"/>
          <w:kern w:val="0"/>
          <w:sz w:val="24"/>
          <w:szCs w:val="24"/>
        </w:rPr>
      </w:pPr>
    </w:p>
    <w:p w:rsidR="0056488E" w:rsidRDefault="00D138F5">
      <w:pPr>
        <w:spacing w:after="200" w:line="276"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 xml:space="preserve">were involved in this study, The </w:t>
      </w:r>
      <w:r>
        <w:rPr>
          <w:rFonts w:ascii="Times New Roman" w:hAnsi="Times New Roman" w:cs="Times New Roman"/>
          <w:kern w:val="0"/>
          <w:sz w:val="28"/>
          <w:szCs w:val="28"/>
        </w:rPr>
        <w:t xml:space="preserve">9 (18%) of them </w:t>
      </w:r>
      <w:r>
        <w:rPr>
          <w:rFonts w:ascii="Times New Roman" w:eastAsia="Times New Roman" w:hAnsi="Times New Roman" w:cs="Times New Roman"/>
          <w:kern w:val="0"/>
          <w:sz w:val="28"/>
          <w:szCs w:val="28"/>
        </w:rPr>
        <w:t xml:space="preserve">were in </w:t>
      </w:r>
      <w:r>
        <w:rPr>
          <w:rFonts w:ascii="Times New Roman" w:hAnsi="Times New Roman" w:cs="Times New Roman"/>
          <w:kern w:val="0"/>
          <w:sz w:val="28"/>
          <w:szCs w:val="28"/>
        </w:rPr>
        <w:t>First Trimester, 9(18%) in Second Trimester</w:t>
      </w:r>
      <w:r>
        <w:rPr>
          <w:rFonts w:ascii="Times New Roman" w:eastAsia="Times New Roman" w:hAnsi="Times New Roman" w:cs="Times New Roman"/>
          <w:kern w:val="0"/>
          <w:sz w:val="28"/>
          <w:szCs w:val="28"/>
        </w:rPr>
        <w:t xml:space="preserve"> and, </w:t>
      </w:r>
      <w:r>
        <w:rPr>
          <w:rFonts w:ascii="Times New Roman" w:hAnsi="Times New Roman" w:cs="Times New Roman"/>
          <w:kern w:val="0"/>
          <w:sz w:val="28"/>
          <w:szCs w:val="28"/>
        </w:rPr>
        <w:t>32(64%)</w:t>
      </w:r>
      <w:r>
        <w:rPr>
          <w:rFonts w:ascii="Times New Roman" w:eastAsia="Times New Roman" w:hAnsi="Times New Roman" w:cs="Times New Roman"/>
          <w:kern w:val="0"/>
          <w:sz w:val="28"/>
          <w:szCs w:val="28"/>
        </w:rPr>
        <w:t xml:space="preserve"> were in </w:t>
      </w:r>
      <w:r>
        <w:rPr>
          <w:rFonts w:ascii="Times New Roman" w:hAnsi="Times New Roman" w:cs="Times New Roman"/>
          <w:kern w:val="0"/>
          <w:sz w:val="28"/>
          <w:szCs w:val="28"/>
        </w:rPr>
        <w:t>Third Trimester</w:t>
      </w:r>
      <w:r>
        <w:rPr>
          <w:rFonts w:ascii="Times New Roman" w:eastAsia="Times New Roman" w:hAnsi="Times New Roman" w:cs="Times New Roman"/>
          <w:kern w:val="0"/>
          <w:sz w:val="28"/>
          <w:szCs w:val="28"/>
        </w:rPr>
        <w:t>.</w:t>
      </w:r>
    </w:p>
    <w:p w:rsidR="0056488E" w:rsidRDefault="00D138F5">
      <w:pPr>
        <w:spacing w:after="200" w:line="276" w:lineRule="auto"/>
        <w:jc w:val="center"/>
        <w:rPr>
          <w:kern w:val="0"/>
        </w:rPr>
      </w:pPr>
      <w:r>
        <w:rPr>
          <w:noProof/>
          <w:kern w:val="0"/>
        </w:rPr>
        <w:lastRenderedPageBreak/>
        <w:drawing>
          <wp:inline distT="0" distB="0" distL="114300" distR="114300">
            <wp:extent cx="4572000" cy="27432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488E" w:rsidRDefault="00D138F5">
      <w:pPr>
        <w:autoSpaceDE w:val="0"/>
        <w:autoSpaceDN w:val="0"/>
        <w:adjustRightInd w:val="0"/>
        <w:spacing w:after="0" w:line="240" w:lineRule="auto"/>
        <w:jc w:val="center"/>
        <w:rPr>
          <w:rFonts w:ascii="Times New Roman" w:hAnsi="Times New Roman" w:cs="Times New Roman"/>
          <w:b/>
          <w:bCs/>
          <w:color w:val="000000"/>
          <w:kern w:val="0"/>
          <w:sz w:val="28"/>
          <w:szCs w:val="28"/>
          <w:rtl/>
        </w:rPr>
      </w:pPr>
      <w:r>
        <w:rPr>
          <w:rFonts w:ascii="Times New Roman" w:hAnsi="Times New Roman" w:cs="Times New Roman"/>
          <w:b/>
          <w:bCs/>
          <w:color w:val="000000"/>
          <w:kern w:val="0"/>
          <w:sz w:val="28"/>
          <w:szCs w:val="28"/>
        </w:rPr>
        <w:t xml:space="preserve">Figure (2): Distribution of the </w:t>
      </w:r>
      <w:r>
        <w:rPr>
          <w:rFonts w:ascii="Times New Roman" w:hAnsi="Times New Roman" w:cs="Times New Roman"/>
          <w:b/>
          <w:bCs/>
          <w:kern w:val="0"/>
          <w:sz w:val="28"/>
          <w:szCs w:val="28"/>
        </w:rPr>
        <w:t xml:space="preserve">Pregnancy women </w:t>
      </w:r>
      <w:r>
        <w:rPr>
          <w:rFonts w:ascii="Times New Roman" w:hAnsi="Times New Roman" w:cs="Times New Roman"/>
          <w:b/>
          <w:bCs/>
          <w:color w:val="000000"/>
          <w:kern w:val="0"/>
          <w:sz w:val="28"/>
          <w:szCs w:val="28"/>
        </w:rPr>
        <w:t xml:space="preserve">according to Trimester. </w:t>
      </w: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jc w:val="center"/>
        <w:rPr>
          <w:rFonts w:ascii="Times New Roman" w:hAnsi="Times New Roman" w:cs="Times New Roman"/>
          <w:b/>
          <w:bCs/>
          <w:sz w:val="32"/>
          <w:szCs w:val="32"/>
          <w:u w:val="single"/>
        </w:rPr>
      </w:pPr>
    </w:p>
    <w:p w:rsidR="0056488E" w:rsidRDefault="0056488E">
      <w:pPr>
        <w:spacing w:after="200" w:line="276" w:lineRule="auto"/>
        <w:jc w:val="center"/>
        <w:rPr>
          <w:rFonts w:ascii="Times New Roman" w:hAnsi="Times New Roman" w:cs="Times New Roman"/>
          <w:b/>
          <w:bCs/>
          <w:color w:val="000000"/>
          <w:kern w:val="0"/>
          <w:sz w:val="28"/>
          <w:szCs w:val="28"/>
        </w:rPr>
      </w:pPr>
    </w:p>
    <w:p w:rsidR="0056488E" w:rsidRDefault="0056488E">
      <w:pPr>
        <w:spacing w:after="200" w:line="276" w:lineRule="auto"/>
        <w:jc w:val="center"/>
        <w:rPr>
          <w:rFonts w:ascii="Times New Roman" w:hAnsi="Times New Roman" w:cs="Times New Roman"/>
          <w:kern w:val="0"/>
          <w:sz w:val="28"/>
          <w:szCs w:val="28"/>
        </w:rPr>
      </w:pPr>
    </w:p>
    <w:p w:rsidR="0056488E" w:rsidRDefault="0056488E">
      <w:pPr>
        <w:spacing w:after="200" w:line="276" w:lineRule="auto"/>
        <w:rPr>
          <w:rFonts w:ascii="Times New Roman" w:eastAsia="Times New Roman" w:hAnsi="Times New Roman" w:cs="Times New Roman"/>
          <w:kern w:val="0"/>
          <w:sz w:val="28"/>
          <w:szCs w:val="28"/>
        </w:rPr>
      </w:pPr>
    </w:p>
    <w:p w:rsidR="0056488E" w:rsidRDefault="0056488E">
      <w:pPr>
        <w:spacing w:after="200" w:line="360" w:lineRule="auto"/>
        <w:rPr>
          <w:rFonts w:ascii="Times New Roman" w:eastAsia="Times New Roman" w:hAnsi="Times New Roman" w:cs="Times New Roman"/>
          <w:kern w:val="0"/>
          <w:sz w:val="28"/>
          <w:szCs w:val="28"/>
        </w:rPr>
      </w:pPr>
    </w:p>
    <w:p w:rsidR="0056488E" w:rsidRDefault="00D138F5">
      <w:pPr>
        <w:spacing w:after="200" w:line="276" w:lineRule="auto"/>
        <w:jc w:val="center"/>
        <w:rPr>
          <w:rFonts w:ascii="Times New Roman" w:hAnsi="Times New Roman" w:cs="Times New Roman"/>
          <w:kern w:val="0"/>
          <w:sz w:val="28"/>
          <w:szCs w:val="28"/>
        </w:rPr>
      </w:pPr>
      <w:r>
        <w:rPr>
          <w:noProof/>
          <w:kern w:val="0"/>
        </w:rPr>
        <w:drawing>
          <wp:inline distT="0" distB="0" distL="114300" distR="11430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488E" w:rsidRDefault="00D138F5">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(5): Distribution of the </w:t>
      </w:r>
      <w:r>
        <w:rPr>
          <w:rFonts w:ascii="Times New Roman" w:hAnsi="Times New Roman" w:cs="Times New Roman"/>
          <w:b/>
          <w:bCs/>
          <w:kern w:val="0"/>
          <w:sz w:val="28"/>
          <w:szCs w:val="28"/>
        </w:rPr>
        <w:t xml:space="preserve">Pregnancy women </w:t>
      </w:r>
      <w:r>
        <w:rPr>
          <w:rFonts w:ascii="Times New Roman" w:hAnsi="Times New Roman" w:cs="Times New Roman"/>
          <w:b/>
          <w:bCs/>
          <w:color w:val="000000"/>
          <w:kern w:val="0"/>
          <w:sz w:val="28"/>
          <w:szCs w:val="28"/>
        </w:rPr>
        <w:t xml:space="preserve">according to </w:t>
      </w:r>
      <w:r>
        <w:rPr>
          <w:rFonts w:ascii="Times New Roman" w:hAnsi="Times New Roman" w:cs="Times New Roman"/>
          <w:b/>
          <w:bCs/>
          <w:kern w:val="0"/>
          <w:sz w:val="28"/>
          <w:szCs w:val="28"/>
        </w:rPr>
        <w:t>Nutritional Supplement.</w:t>
      </w: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rPr>
          <w:rFonts w:ascii="Arial" w:hAnsi="Arial"/>
          <w:sz w:val="28"/>
          <w:szCs w:val="28"/>
        </w:rPr>
      </w:pPr>
    </w:p>
    <w:p w:rsidR="0056488E" w:rsidRDefault="00D138F5">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lastRenderedPageBreak/>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 of HB level (11.6 – 13.9 g/dl)</w:t>
      </w:r>
      <w:r>
        <w:rPr>
          <w:rFonts w:ascii="Times New Roman" w:eastAsia="Times New Roman" w:hAnsi="Times New Roman" w:cs="Times New Roman"/>
          <w:kern w:val="0"/>
          <w:sz w:val="28"/>
          <w:szCs w:val="28"/>
        </w:rPr>
        <w:t xml:space="preserve">, The 36 </w:t>
      </w:r>
      <w:r>
        <w:rPr>
          <w:rFonts w:ascii="Times New Roman" w:hAnsi="Times New Roman" w:cs="Times New Roman"/>
          <w:kern w:val="0"/>
          <w:sz w:val="28"/>
          <w:szCs w:val="28"/>
        </w:rPr>
        <w:t xml:space="preserve">(72%) of Them low HB level </w:t>
      </w:r>
      <w:r>
        <w:rPr>
          <w:rFonts w:ascii="Times New Roman" w:eastAsia="Times New Roman" w:hAnsi="Times New Roman" w:cs="Times New Roman"/>
          <w:kern w:val="0"/>
          <w:sz w:val="28"/>
          <w:szCs w:val="28"/>
        </w:rPr>
        <w:t xml:space="preserve"> and</w:t>
      </w:r>
      <w:r>
        <w:rPr>
          <w:rFonts w:ascii="Times New Roman" w:hAnsi="Times New Roman" w:cs="Times New Roman"/>
          <w:kern w:val="0"/>
          <w:sz w:val="28"/>
          <w:szCs w:val="28"/>
        </w:rPr>
        <w:t>, 14 (28%) of them Normal HB Level</w:t>
      </w:r>
      <w:r>
        <w:rPr>
          <w:rFonts w:ascii="Times New Roman" w:eastAsia="Times New Roman" w:hAnsi="Times New Roman" w:cs="Times New Roman"/>
          <w:kern w:val="0"/>
          <w:sz w:val="28"/>
          <w:szCs w:val="28"/>
        </w:rPr>
        <w:t>.</w:t>
      </w:r>
    </w:p>
    <w:p w:rsidR="0056488E" w:rsidRDefault="00D138F5">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studied Non Pregnancy Women were</w:t>
      </w:r>
      <w:r>
        <w:rPr>
          <w:rFonts w:ascii="Times New Roman" w:eastAsia="Times New Roman" w:hAnsi="Times New Roman" w:cs="Times New Roman"/>
          <w:kern w:val="0"/>
          <w:sz w:val="28"/>
          <w:szCs w:val="28"/>
        </w:rPr>
        <w:t xml:space="preserve"> involved in this study, The 43 </w:t>
      </w:r>
      <w:r>
        <w:rPr>
          <w:rFonts w:ascii="Times New Roman" w:hAnsi="Times New Roman" w:cs="Times New Roman"/>
          <w:kern w:val="0"/>
          <w:sz w:val="28"/>
          <w:szCs w:val="28"/>
        </w:rPr>
        <w:t xml:space="preserve">(86%) of them low HB levels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7 (14%) of them Normal HB Levels</w:t>
      </w:r>
      <w:r>
        <w:rPr>
          <w:rFonts w:ascii="Times New Roman" w:eastAsia="Times New Roman" w:hAnsi="Times New Roman" w:cs="Times New Roman"/>
          <w:kern w:val="0"/>
          <w:sz w:val="28"/>
          <w:szCs w:val="28"/>
        </w:rPr>
        <w:t>.</w:t>
      </w:r>
    </w:p>
    <w:p w:rsidR="0056488E" w:rsidRDefault="0056488E">
      <w:pPr>
        <w:spacing w:after="200" w:line="360" w:lineRule="auto"/>
        <w:rPr>
          <w:rFonts w:ascii="Times New Roman" w:eastAsia="Times New Roman" w:hAnsi="Times New Roman" w:cs="Times New Roman"/>
          <w:kern w:val="0"/>
          <w:sz w:val="28"/>
          <w:szCs w:val="28"/>
        </w:rPr>
      </w:pPr>
    </w:p>
    <w:p w:rsidR="0056488E" w:rsidRDefault="00D138F5">
      <w:pPr>
        <w:spacing w:after="200" w:line="276" w:lineRule="auto"/>
        <w:jc w:val="center"/>
        <w:rPr>
          <w:rFonts w:ascii="Times New Roman" w:hAnsi="Times New Roman" w:cs="Times New Roman"/>
          <w:kern w:val="0"/>
          <w:sz w:val="28"/>
          <w:szCs w:val="28"/>
        </w:rPr>
      </w:pPr>
      <w:r>
        <w:rPr>
          <w:noProof/>
          <w:kern w:val="0"/>
        </w:rPr>
        <w:drawing>
          <wp:inline distT="0" distB="0" distL="114300" distR="114300">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488E" w:rsidRDefault="00D138F5">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(6):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HB levels Groups</w:t>
      </w:r>
      <w:r>
        <w:rPr>
          <w:rFonts w:ascii="Times New Roman" w:hAnsi="Times New Roman" w:cs="Times New Roman"/>
          <w:b/>
          <w:bCs/>
          <w:kern w:val="0"/>
          <w:sz w:val="28"/>
          <w:szCs w:val="28"/>
        </w:rPr>
        <w:t>.</w:t>
      </w: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D138F5">
      <w:pPr>
        <w:spacing w:after="200" w:line="360" w:lineRule="auto"/>
        <w:rPr>
          <w:rFonts w:ascii="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 of RBCs levels (3.92 – 5.13 )</w:t>
      </w:r>
      <w:r>
        <w:rPr>
          <w:rFonts w:ascii="Times New Roman" w:eastAsia="Times New Roman" w:hAnsi="Times New Roman" w:cs="Times New Roman"/>
          <w:kern w:val="0"/>
          <w:sz w:val="28"/>
          <w:szCs w:val="28"/>
        </w:rPr>
        <w:t xml:space="preserve">, The 17 </w:t>
      </w:r>
      <w:r>
        <w:rPr>
          <w:rFonts w:ascii="Times New Roman" w:hAnsi="Times New Roman" w:cs="Times New Roman"/>
          <w:kern w:val="0"/>
          <w:sz w:val="28"/>
          <w:szCs w:val="28"/>
        </w:rPr>
        <w:t xml:space="preserve">(34%) of Them has low RBCs level </w:t>
      </w:r>
      <w:r>
        <w:rPr>
          <w:rFonts w:ascii="Times New Roman" w:eastAsia="Times New Roman" w:hAnsi="Times New Roman" w:cs="Times New Roman"/>
          <w:kern w:val="0"/>
          <w:sz w:val="28"/>
          <w:szCs w:val="28"/>
        </w:rPr>
        <w:t xml:space="preserve"> and</w:t>
      </w:r>
      <w:r>
        <w:rPr>
          <w:rFonts w:ascii="Times New Roman" w:hAnsi="Times New Roman" w:cs="Times New Roman"/>
          <w:kern w:val="0"/>
          <w:sz w:val="28"/>
          <w:szCs w:val="28"/>
        </w:rPr>
        <w:t>, 30 (60%) of them Normal RBCs Levels</w:t>
      </w:r>
      <w:r>
        <w:rPr>
          <w:rFonts w:ascii="Times New Roman" w:eastAsia="Times New Roman" w:hAnsi="Times New Roman" w:cs="Times New Roman"/>
          <w:kern w:val="0"/>
          <w:sz w:val="28"/>
          <w:szCs w:val="28"/>
        </w:rPr>
        <w:t xml:space="preserve">, while 3(6%) </w:t>
      </w:r>
      <w:r>
        <w:rPr>
          <w:rFonts w:ascii="Times New Roman" w:hAnsi="Times New Roman" w:cs="Times New Roman"/>
          <w:kern w:val="0"/>
          <w:sz w:val="28"/>
          <w:szCs w:val="28"/>
        </w:rPr>
        <w:t>of them High RBCs Levels.</w:t>
      </w:r>
    </w:p>
    <w:p w:rsidR="0056488E" w:rsidRDefault="00D138F5">
      <w:pPr>
        <w:spacing w:after="200" w:line="276" w:lineRule="auto"/>
        <w:jc w:val="center"/>
        <w:rPr>
          <w:rFonts w:ascii="Times New Roman" w:hAnsi="Times New Roman" w:cs="Times New Roman"/>
          <w:kern w:val="0"/>
          <w:sz w:val="28"/>
          <w:szCs w:val="28"/>
        </w:rPr>
      </w:pPr>
      <w:r>
        <w:rPr>
          <w:noProof/>
          <w:kern w:val="0"/>
        </w:rPr>
        <w:lastRenderedPageBreak/>
        <w:drawing>
          <wp:inline distT="0" distB="0" distL="114300" distR="114300">
            <wp:extent cx="4572000" cy="27432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488E" w:rsidRDefault="00D138F5">
      <w:pPr>
        <w:spacing w:after="200" w:line="276" w:lineRule="auto"/>
        <w:jc w:val="center"/>
        <w:rPr>
          <w:rFonts w:ascii="Times New Roman" w:hAnsi="Times New Roman" w:cs="Times New Roman"/>
          <w:b/>
          <w:bCs/>
          <w:kern w:val="0"/>
          <w:sz w:val="28"/>
          <w:szCs w:val="28"/>
        </w:rPr>
      </w:pPr>
      <w:r>
        <w:rPr>
          <w:rFonts w:ascii="Times New Roman" w:hAnsi="Times New Roman" w:cs="Times New Roman"/>
          <w:kern w:val="0"/>
          <w:sz w:val="28"/>
          <w:szCs w:val="28"/>
        </w:rPr>
        <w:tab/>
      </w:r>
      <w:r>
        <w:rPr>
          <w:rFonts w:ascii="Times New Roman" w:hAnsi="Times New Roman" w:cs="Times New Roman"/>
          <w:b/>
          <w:bCs/>
          <w:color w:val="000000"/>
          <w:kern w:val="0"/>
          <w:sz w:val="28"/>
          <w:szCs w:val="28"/>
        </w:rPr>
        <w:t xml:space="preserve">Figure (7):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RBCs levels Groups</w:t>
      </w:r>
      <w:r>
        <w:rPr>
          <w:rFonts w:ascii="Times New Roman" w:hAnsi="Times New Roman" w:cs="Times New Roman"/>
          <w:b/>
          <w:bCs/>
          <w:kern w:val="0"/>
          <w:sz w:val="28"/>
          <w:szCs w:val="28"/>
        </w:rPr>
        <w:t>.</w:t>
      </w: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360" w:lineRule="auto"/>
        <w:rPr>
          <w:rFonts w:ascii="Times New Roman" w:eastAsia="Times New Roman" w:hAnsi="Times New Roman" w:cs="Times New Roman"/>
          <w:kern w:val="0"/>
          <w:sz w:val="28"/>
          <w:szCs w:val="28"/>
        </w:rPr>
      </w:pPr>
    </w:p>
    <w:p w:rsidR="0056488E" w:rsidRDefault="0056488E">
      <w:pPr>
        <w:spacing w:after="200" w:line="360" w:lineRule="auto"/>
        <w:rPr>
          <w:rFonts w:ascii="Times New Roman" w:eastAsia="Times New Roman" w:hAnsi="Times New Roman" w:cs="Times New Roman"/>
          <w:kern w:val="0"/>
          <w:sz w:val="28"/>
          <w:szCs w:val="28"/>
        </w:rPr>
      </w:pPr>
    </w:p>
    <w:p w:rsidR="0056488E" w:rsidRDefault="00D138F5">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 of WBC levels (3.0 – 9.1 m/cmm)</w:t>
      </w:r>
      <w:r>
        <w:rPr>
          <w:rFonts w:ascii="Times New Roman" w:eastAsia="Times New Roman" w:hAnsi="Times New Roman" w:cs="Times New Roman"/>
          <w:kern w:val="0"/>
          <w:sz w:val="28"/>
          <w:szCs w:val="28"/>
        </w:rPr>
        <w:t xml:space="preserve">, The 38 </w:t>
      </w:r>
      <w:r>
        <w:rPr>
          <w:rFonts w:ascii="Times New Roman" w:hAnsi="Times New Roman" w:cs="Times New Roman"/>
          <w:kern w:val="0"/>
          <w:sz w:val="28"/>
          <w:szCs w:val="28"/>
        </w:rPr>
        <w:t xml:space="preserve">(76%) of Them has Normal WBC levels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12 (24%) of them High WBC Level</w:t>
      </w:r>
      <w:r>
        <w:rPr>
          <w:rFonts w:ascii="Times New Roman" w:eastAsia="Times New Roman" w:hAnsi="Times New Roman" w:cs="Times New Roman"/>
          <w:kern w:val="0"/>
          <w:sz w:val="28"/>
          <w:szCs w:val="28"/>
        </w:rPr>
        <w:t>.</w:t>
      </w:r>
    </w:p>
    <w:p w:rsidR="0056488E" w:rsidRDefault="00D138F5">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Non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color w:val="000000"/>
          <w:kern w:val="0"/>
          <w:sz w:val="28"/>
          <w:szCs w:val="28"/>
        </w:rPr>
        <w:t xml:space="preserve"> according to Normal Range of WBC level (3.0 – 9.1 m/cmm)</w:t>
      </w:r>
      <w:r>
        <w:rPr>
          <w:rFonts w:ascii="Times New Roman" w:eastAsia="Times New Roman" w:hAnsi="Times New Roman" w:cs="Times New Roman"/>
          <w:kern w:val="0"/>
          <w:sz w:val="28"/>
          <w:szCs w:val="28"/>
        </w:rPr>
        <w:t xml:space="preserve">, The </w:t>
      </w:r>
      <w:r>
        <w:rPr>
          <w:rFonts w:ascii="Times New Roman" w:hAnsi="Times New Roman" w:cs="Times New Roman"/>
          <w:kern w:val="0"/>
          <w:sz w:val="28"/>
          <w:szCs w:val="28"/>
        </w:rPr>
        <w:t xml:space="preserve">48(96%) of Them has Normal WBC level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2 (4%) of them have High WBC Levels</w:t>
      </w:r>
      <w:r>
        <w:rPr>
          <w:rFonts w:ascii="Times New Roman" w:eastAsia="Times New Roman" w:hAnsi="Times New Roman" w:cs="Times New Roman"/>
          <w:kern w:val="0"/>
          <w:sz w:val="28"/>
          <w:szCs w:val="28"/>
        </w:rPr>
        <w:t>.</w:t>
      </w:r>
    </w:p>
    <w:p w:rsidR="0056488E" w:rsidRDefault="00D138F5">
      <w:pPr>
        <w:spacing w:after="200" w:line="276" w:lineRule="auto"/>
        <w:jc w:val="center"/>
        <w:rPr>
          <w:rFonts w:ascii="Times New Roman" w:hAnsi="Times New Roman" w:cs="Times New Roman"/>
          <w:kern w:val="0"/>
          <w:sz w:val="28"/>
          <w:szCs w:val="28"/>
        </w:rPr>
      </w:pPr>
      <w:r>
        <w:rPr>
          <w:noProof/>
          <w:kern w:val="0"/>
        </w:rPr>
        <w:lastRenderedPageBreak/>
        <w:drawing>
          <wp:inline distT="0" distB="0" distL="114300" distR="114300">
            <wp:extent cx="4572000" cy="274320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488E" w:rsidRDefault="00D138F5">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(8):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WBC levels Groups</w:t>
      </w:r>
      <w:r>
        <w:rPr>
          <w:rFonts w:ascii="Times New Roman" w:hAnsi="Times New Roman" w:cs="Times New Roman"/>
          <w:b/>
          <w:bCs/>
          <w:kern w:val="0"/>
          <w:sz w:val="28"/>
          <w:szCs w:val="28"/>
        </w:rPr>
        <w:t>.</w:t>
      </w:r>
    </w:p>
    <w:p w:rsidR="0056488E" w:rsidRDefault="0056488E">
      <w:pPr>
        <w:spacing w:after="200" w:line="360" w:lineRule="auto"/>
        <w:rPr>
          <w:rFonts w:ascii="Times New Roman" w:hAnsi="Times New Roman" w:cs="Times New Roman"/>
          <w:kern w:val="0"/>
          <w:sz w:val="28"/>
          <w:szCs w:val="28"/>
        </w:rPr>
      </w:pPr>
    </w:p>
    <w:p w:rsidR="0056488E" w:rsidRDefault="0056488E">
      <w:pPr>
        <w:spacing w:after="200" w:line="360" w:lineRule="auto"/>
        <w:rPr>
          <w:rFonts w:ascii="Times New Roman" w:hAnsi="Times New Roman" w:cs="Times New Roman"/>
          <w:kern w:val="0"/>
          <w:sz w:val="28"/>
          <w:szCs w:val="28"/>
        </w:rPr>
      </w:pPr>
    </w:p>
    <w:p w:rsidR="0056488E" w:rsidRDefault="0056488E">
      <w:pPr>
        <w:spacing w:after="200" w:line="360" w:lineRule="auto"/>
        <w:rPr>
          <w:rFonts w:ascii="Times New Roman" w:hAnsi="Times New Roman" w:cs="Times New Roman"/>
          <w:kern w:val="0"/>
          <w:sz w:val="28"/>
          <w:szCs w:val="28"/>
        </w:rPr>
      </w:pPr>
    </w:p>
    <w:p w:rsidR="0056488E" w:rsidRDefault="0056488E">
      <w:pPr>
        <w:spacing w:after="200" w:line="360" w:lineRule="auto"/>
        <w:rPr>
          <w:rFonts w:ascii="Times New Roman" w:hAnsi="Times New Roman" w:cs="Times New Roman"/>
          <w:kern w:val="0"/>
          <w:sz w:val="28"/>
          <w:szCs w:val="28"/>
        </w:rPr>
      </w:pPr>
    </w:p>
    <w:p w:rsidR="0056488E" w:rsidRDefault="0056488E">
      <w:pPr>
        <w:spacing w:after="200" w:line="360" w:lineRule="auto"/>
        <w:rPr>
          <w:rFonts w:ascii="Times New Roman" w:hAnsi="Times New Roman" w:cs="Times New Roman"/>
          <w:kern w:val="0"/>
          <w:sz w:val="28"/>
          <w:szCs w:val="28"/>
        </w:rPr>
      </w:pPr>
    </w:p>
    <w:p w:rsidR="0056488E" w:rsidRDefault="00D138F5">
      <w:pPr>
        <w:spacing w:after="200" w:line="360" w:lineRule="auto"/>
        <w:jc w:val="both"/>
        <w:rPr>
          <w:noProof/>
          <w:kern w:val="0"/>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Ranges of Platelet levels (150 – 450 t/cmm)</w:t>
      </w:r>
      <w:r>
        <w:rPr>
          <w:rFonts w:ascii="Times New Roman" w:eastAsia="Times New Roman" w:hAnsi="Times New Roman" w:cs="Times New Roman"/>
          <w:kern w:val="0"/>
          <w:sz w:val="28"/>
          <w:szCs w:val="28"/>
        </w:rPr>
        <w:t xml:space="preserve">, The 4 </w:t>
      </w:r>
      <w:r>
        <w:rPr>
          <w:rFonts w:ascii="Times New Roman" w:hAnsi="Times New Roman" w:cs="Times New Roman"/>
          <w:kern w:val="0"/>
          <w:sz w:val="28"/>
          <w:szCs w:val="28"/>
        </w:rPr>
        <w:t xml:space="preserve">(8%) of them has low </w:t>
      </w:r>
      <w:r>
        <w:rPr>
          <w:rFonts w:ascii="Times New Roman" w:hAnsi="Times New Roman" w:cs="Times New Roman"/>
          <w:color w:val="000000"/>
          <w:kern w:val="0"/>
          <w:sz w:val="28"/>
          <w:szCs w:val="28"/>
        </w:rPr>
        <w:t>Platelet</w:t>
      </w:r>
      <w:r>
        <w:rPr>
          <w:rFonts w:ascii="Times New Roman" w:hAnsi="Times New Roman" w:cs="Times New Roman"/>
          <w:kern w:val="0"/>
          <w:sz w:val="28"/>
          <w:szCs w:val="28"/>
        </w:rPr>
        <w:t xml:space="preserve"> levels, </w:t>
      </w:r>
      <w:r>
        <w:rPr>
          <w:rFonts w:ascii="Times New Roman" w:eastAsia="Times New Roman" w:hAnsi="Times New Roman" w:cs="Times New Roman"/>
          <w:kern w:val="0"/>
          <w:sz w:val="28"/>
          <w:szCs w:val="28"/>
        </w:rPr>
        <w:t xml:space="preserve">The 46 </w:t>
      </w:r>
      <w:r>
        <w:rPr>
          <w:rFonts w:ascii="Times New Roman" w:hAnsi="Times New Roman" w:cs="Times New Roman"/>
          <w:kern w:val="0"/>
          <w:sz w:val="28"/>
          <w:szCs w:val="28"/>
        </w:rPr>
        <w:t xml:space="preserve">(92%) of them has Normal </w:t>
      </w:r>
      <w:r>
        <w:rPr>
          <w:rFonts w:ascii="Times New Roman" w:hAnsi="Times New Roman" w:cs="Times New Roman"/>
          <w:color w:val="000000"/>
          <w:kern w:val="0"/>
          <w:sz w:val="28"/>
          <w:szCs w:val="28"/>
        </w:rPr>
        <w:t xml:space="preserve">Platelet </w:t>
      </w:r>
      <w:r>
        <w:rPr>
          <w:rFonts w:ascii="Times New Roman" w:hAnsi="Times New Roman" w:cs="Times New Roman"/>
          <w:kern w:val="0"/>
          <w:sz w:val="28"/>
          <w:szCs w:val="28"/>
        </w:rPr>
        <w:t>level .</w:t>
      </w: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Non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color w:val="000000"/>
          <w:kern w:val="0"/>
          <w:sz w:val="28"/>
          <w:szCs w:val="28"/>
        </w:rPr>
        <w:t xml:space="preserve"> according to Normal Range  of Platelet levels (150 – 450 t/cmm)</w:t>
      </w:r>
      <w:r>
        <w:rPr>
          <w:rFonts w:ascii="Times New Roman" w:eastAsia="Times New Roman" w:hAnsi="Times New Roman" w:cs="Times New Roman"/>
          <w:kern w:val="0"/>
          <w:sz w:val="28"/>
          <w:szCs w:val="28"/>
        </w:rPr>
        <w:t xml:space="preserve">, The </w:t>
      </w:r>
      <w:r>
        <w:rPr>
          <w:rFonts w:ascii="Times New Roman" w:hAnsi="Times New Roman" w:cs="Times New Roman"/>
          <w:kern w:val="0"/>
          <w:sz w:val="28"/>
          <w:szCs w:val="28"/>
        </w:rPr>
        <w:t xml:space="preserve">47 (94%) of Them has Normal </w:t>
      </w:r>
      <w:r>
        <w:rPr>
          <w:rFonts w:ascii="Times New Roman" w:hAnsi="Times New Roman" w:cs="Times New Roman"/>
          <w:color w:val="000000"/>
          <w:kern w:val="0"/>
          <w:sz w:val="28"/>
          <w:szCs w:val="28"/>
        </w:rPr>
        <w:t>Platelet</w:t>
      </w:r>
      <w:r>
        <w:rPr>
          <w:rFonts w:ascii="Times New Roman" w:hAnsi="Times New Roman" w:cs="Times New Roman"/>
          <w:kern w:val="0"/>
          <w:sz w:val="28"/>
          <w:szCs w:val="28"/>
        </w:rPr>
        <w:t xml:space="preserve"> level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xml:space="preserve">, 3 (6%) of them have High </w:t>
      </w:r>
      <w:r>
        <w:rPr>
          <w:rFonts w:ascii="Times New Roman" w:hAnsi="Times New Roman" w:cs="Times New Roman"/>
          <w:color w:val="000000"/>
          <w:kern w:val="0"/>
          <w:sz w:val="28"/>
          <w:szCs w:val="28"/>
        </w:rPr>
        <w:t xml:space="preserve">Platelet  </w:t>
      </w:r>
      <w:r>
        <w:rPr>
          <w:rFonts w:ascii="Times New Roman" w:hAnsi="Times New Roman" w:cs="Times New Roman"/>
          <w:kern w:val="0"/>
          <w:sz w:val="28"/>
          <w:szCs w:val="28"/>
        </w:rPr>
        <w:t>Levels</w:t>
      </w:r>
      <w:r>
        <w:rPr>
          <w:rFonts w:ascii="Times New Roman" w:eastAsia="Times New Roman" w:hAnsi="Times New Roman" w:cs="Times New Roman"/>
          <w:kern w:val="0"/>
          <w:sz w:val="28"/>
          <w:szCs w:val="28"/>
        </w:rPr>
        <w:t>.</w:t>
      </w:r>
      <w:r>
        <w:rPr>
          <w:noProof/>
          <w:kern w:val="0"/>
        </w:rPr>
        <w:t xml:space="preserve"> </w:t>
      </w:r>
    </w:p>
    <w:p w:rsidR="0056488E" w:rsidRDefault="0056488E">
      <w:pPr>
        <w:spacing w:after="200" w:line="360" w:lineRule="auto"/>
        <w:jc w:val="both"/>
        <w:rPr>
          <w:noProof/>
          <w:kern w:val="0"/>
        </w:rPr>
      </w:pPr>
    </w:p>
    <w:p w:rsidR="0056488E" w:rsidRDefault="00D138F5">
      <w:pPr>
        <w:spacing w:after="200" w:line="360" w:lineRule="auto"/>
        <w:jc w:val="both"/>
        <w:rPr>
          <w:rFonts w:ascii="Times New Roman" w:eastAsia="Times New Roman" w:hAnsi="Times New Roman" w:cs="Times New Roman"/>
          <w:kern w:val="0"/>
          <w:sz w:val="28"/>
          <w:szCs w:val="28"/>
        </w:rPr>
      </w:pPr>
      <w:r>
        <w:rPr>
          <w:noProof/>
          <w:kern w:val="0"/>
        </w:rPr>
        <w:lastRenderedPageBreak/>
        <w:drawing>
          <wp:inline distT="0" distB="0" distL="114300" distR="114300">
            <wp:extent cx="4676775" cy="2743200"/>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488E" w:rsidRDefault="00D138F5">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(9):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Platelet levels Groups</w:t>
      </w:r>
      <w:r>
        <w:rPr>
          <w:rFonts w:ascii="Times New Roman" w:hAnsi="Times New Roman" w:cs="Times New Roman"/>
          <w:b/>
          <w:bCs/>
          <w:kern w:val="0"/>
          <w:sz w:val="28"/>
          <w:szCs w:val="28"/>
        </w:rPr>
        <w:t>.</w:t>
      </w:r>
    </w:p>
    <w:p w:rsidR="0056488E" w:rsidRDefault="0056488E">
      <w:pPr>
        <w:spacing w:after="200" w:line="276" w:lineRule="auto"/>
        <w:jc w:val="center"/>
        <w:rPr>
          <w:rFonts w:ascii="Times New Roman" w:hAnsi="Times New Roman" w:cs="Times New Roman"/>
          <w:b/>
          <w:bCs/>
          <w:kern w:val="0"/>
          <w:sz w:val="28"/>
          <w:szCs w:val="28"/>
        </w:rPr>
      </w:pPr>
    </w:p>
    <w:p w:rsidR="0056488E" w:rsidRDefault="00D138F5">
      <w:pPr>
        <w:spacing w:after="200" w:line="360" w:lineRule="auto"/>
        <w:rPr>
          <w:rFonts w:ascii="Times New Roman" w:hAnsi="Times New Roman" w:cs="Times New Roman"/>
          <w:b/>
          <w:bCs/>
          <w:color w:val="000000"/>
          <w:kern w:val="0"/>
          <w:sz w:val="28"/>
          <w:szCs w:val="28"/>
        </w:rPr>
      </w:pPr>
      <w:r>
        <w:rPr>
          <w:rFonts w:ascii="Times New Roman" w:hAnsi="Times New Roman" w:cs="Times New Roman"/>
          <w:b/>
          <w:bCs/>
          <w:kern w:val="0"/>
          <w:sz w:val="28"/>
          <w:szCs w:val="28"/>
        </w:rPr>
        <w:t xml:space="preserve">Table (1): </w:t>
      </w:r>
      <w:r>
        <w:rPr>
          <w:rFonts w:ascii="Times New Roman" w:hAnsi="Times New Roman" w:cs="Times New Roman"/>
          <w:b/>
          <w:bCs/>
          <w:color w:val="000000"/>
          <w:kern w:val="0"/>
          <w:sz w:val="28"/>
          <w:szCs w:val="28"/>
        </w:rPr>
        <w:t xml:space="preserve">Mean Different of Age, HB, RBC, WBC, Platelet, Lymphocyte Monocytes &amp; Eosinophil’s and, Neutrophil in Pregnancy women Non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2742"/>
        <w:gridCol w:w="2658"/>
        <w:gridCol w:w="1506"/>
      </w:tblGrid>
      <w:tr w:rsidR="0056488E">
        <w:trPr>
          <w:trHeight w:val="456"/>
          <w:jc w:val="center"/>
        </w:trPr>
        <w:tc>
          <w:tcPr>
            <w:tcW w:w="3108" w:type="dxa"/>
            <w:shd w:val="clear" w:color="auto" w:fill="CCC0D9"/>
          </w:tcPr>
          <w:p w:rsidR="0056488E" w:rsidRDefault="0056488E">
            <w:pPr>
              <w:spacing w:after="200" w:line="276" w:lineRule="auto"/>
              <w:jc w:val="both"/>
              <w:rPr>
                <w:rFonts w:ascii="Times New Roman" w:hAnsi="Times New Roman" w:cs="Times New Roman"/>
                <w:b/>
                <w:bCs/>
                <w:kern w:val="0"/>
                <w:sz w:val="28"/>
                <w:szCs w:val="28"/>
              </w:rPr>
            </w:pPr>
          </w:p>
          <w:p w:rsidR="0056488E" w:rsidRDefault="00D138F5">
            <w:pPr>
              <w:spacing w:after="200" w:line="276" w:lineRule="auto"/>
              <w:jc w:val="both"/>
              <w:rPr>
                <w:rFonts w:ascii="Times New Roman" w:hAnsi="Times New Roman" w:cs="Times New Roman"/>
                <w:b/>
                <w:bCs/>
                <w:color w:val="000000"/>
                <w:kern w:val="0"/>
                <w:sz w:val="28"/>
                <w:szCs w:val="28"/>
              </w:rPr>
            </w:pPr>
            <w:r>
              <w:rPr>
                <w:rFonts w:ascii="Times New Roman" w:hAnsi="Times New Roman" w:cs="Times New Roman"/>
                <w:b/>
                <w:bCs/>
                <w:kern w:val="0"/>
                <w:sz w:val="28"/>
                <w:szCs w:val="28"/>
              </w:rPr>
              <w:t>Variable</w:t>
            </w:r>
          </w:p>
        </w:tc>
        <w:tc>
          <w:tcPr>
            <w:tcW w:w="2742"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Pregnancy women</w:t>
            </w:r>
          </w:p>
          <w:p w:rsidR="0056488E" w:rsidRDefault="0056488E">
            <w:pPr>
              <w:spacing w:after="200" w:line="276" w:lineRule="auto"/>
              <w:jc w:val="center"/>
              <w:rPr>
                <w:rFonts w:ascii="Times New Roman" w:hAnsi="Times New Roman" w:cs="Times New Roman"/>
                <w:b/>
                <w:bCs/>
                <w:color w:val="000000"/>
                <w:kern w:val="0"/>
                <w:sz w:val="28"/>
                <w:szCs w:val="28"/>
              </w:rPr>
            </w:pP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2658"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Non Pregnancy  women</w:t>
            </w: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506" w:type="dxa"/>
            <w:shd w:val="clear" w:color="auto" w:fill="CCC0D9"/>
          </w:tcPr>
          <w:p w:rsidR="0056488E" w:rsidRDefault="0056488E">
            <w:pPr>
              <w:spacing w:after="200" w:line="276" w:lineRule="auto"/>
              <w:jc w:val="center"/>
              <w:rPr>
                <w:rFonts w:ascii="Times New Roman" w:hAnsi="Times New Roman" w:cs="Times New Roman"/>
                <w:b/>
                <w:bCs/>
                <w:color w:val="000000"/>
                <w:kern w:val="0"/>
                <w:sz w:val="28"/>
                <w:szCs w:val="28"/>
              </w:rPr>
            </w:pP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p-value</w:t>
            </w:r>
          </w:p>
        </w:tc>
      </w:tr>
      <w:tr w:rsidR="0056488E">
        <w:trPr>
          <w:trHeight w:val="283"/>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Age</w:t>
            </w:r>
          </w:p>
        </w:tc>
        <w:tc>
          <w:tcPr>
            <w:tcW w:w="2742"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28 ± 6</w:t>
            </w:r>
          </w:p>
        </w:tc>
        <w:tc>
          <w:tcPr>
            <w:tcW w:w="265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26 ± 6</w:t>
            </w:r>
          </w:p>
        </w:tc>
        <w:tc>
          <w:tcPr>
            <w:tcW w:w="1506"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0.085</w:t>
            </w:r>
          </w:p>
        </w:tc>
      </w:tr>
      <w:tr w:rsidR="0056488E">
        <w:trPr>
          <w:trHeight w:val="365"/>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HB</w:t>
            </w:r>
          </w:p>
        </w:tc>
        <w:tc>
          <w:tcPr>
            <w:tcW w:w="2742"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10.8 ± 1.2</w:t>
            </w:r>
          </w:p>
        </w:tc>
        <w:tc>
          <w:tcPr>
            <w:tcW w:w="265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10.6 ± 1.0</w:t>
            </w:r>
          </w:p>
        </w:tc>
        <w:tc>
          <w:tcPr>
            <w:tcW w:w="1506" w:type="dxa"/>
            <w:shd w:val="clear" w:color="auto" w:fill="E5DFEC"/>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0.435</w:t>
            </w:r>
          </w:p>
        </w:tc>
      </w:tr>
      <w:tr w:rsidR="0056488E">
        <w:trPr>
          <w:trHeight w:val="401"/>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RBC</w:t>
            </w:r>
          </w:p>
        </w:tc>
        <w:tc>
          <w:tcPr>
            <w:tcW w:w="2742"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4.19 ± 0.59</w:t>
            </w:r>
          </w:p>
        </w:tc>
        <w:tc>
          <w:tcPr>
            <w:tcW w:w="265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4.01 ± 0.35</w:t>
            </w:r>
          </w:p>
        </w:tc>
        <w:tc>
          <w:tcPr>
            <w:tcW w:w="1506"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0.065</w:t>
            </w:r>
          </w:p>
        </w:tc>
      </w:tr>
      <w:tr w:rsidR="0056488E">
        <w:trPr>
          <w:trHeight w:val="392"/>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WBC</w:t>
            </w:r>
          </w:p>
        </w:tc>
        <w:tc>
          <w:tcPr>
            <w:tcW w:w="2742"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7.4 ± 2.1</w:t>
            </w:r>
          </w:p>
        </w:tc>
        <w:tc>
          <w:tcPr>
            <w:tcW w:w="265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6.1 ± 1.5</w:t>
            </w:r>
          </w:p>
        </w:tc>
        <w:tc>
          <w:tcPr>
            <w:tcW w:w="1506" w:type="dxa"/>
            <w:shd w:val="clear" w:color="auto" w:fill="E5DFEC"/>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56488E">
        <w:trPr>
          <w:trHeight w:val="474"/>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Platelet</w:t>
            </w:r>
          </w:p>
        </w:tc>
        <w:tc>
          <w:tcPr>
            <w:tcW w:w="2742"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251 ± 71</w:t>
            </w:r>
          </w:p>
        </w:tc>
        <w:tc>
          <w:tcPr>
            <w:tcW w:w="265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296 ± 84</w:t>
            </w:r>
          </w:p>
        </w:tc>
        <w:tc>
          <w:tcPr>
            <w:tcW w:w="1506"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0.005</w:t>
            </w:r>
          </w:p>
        </w:tc>
      </w:tr>
      <w:tr w:rsidR="0056488E">
        <w:trPr>
          <w:trHeight w:val="510"/>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Lymphocyte</w:t>
            </w:r>
          </w:p>
        </w:tc>
        <w:tc>
          <w:tcPr>
            <w:tcW w:w="2742"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27 ± 9</w:t>
            </w:r>
          </w:p>
        </w:tc>
        <w:tc>
          <w:tcPr>
            <w:tcW w:w="265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39 ± 6</w:t>
            </w:r>
          </w:p>
        </w:tc>
        <w:tc>
          <w:tcPr>
            <w:tcW w:w="1506" w:type="dxa"/>
            <w:shd w:val="clear" w:color="auto" w:fill="E5DFEC"/>
          </w:tcPr>
          <w:p w:rsidR="0056488E" w:rsidRDefault="00D138F5">
            <w:pPr>
              <w:spacing w:after="200" w:line="276" w:lineRule="auto"/>
              <w:jc w:val="center"/>
              <w:rPr>
                <w:kern w:val="0"/>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56488E">
        <w:trPr>
          <w:trHeight w:val="484"/>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Neutrophil</w:t>
            </w:r>
          </w:p>
        </w:tc>
        <w:tc>
          <w:tcPr>
            <w:tcW w:w="2742"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66 ± 9 </w:t>
            </w:r>
          </w:p>
        </w:tc>
        <w:tc>
          <w:tcPr>
            <w:tcW w:w="265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51 ± 7 </w:t>
            </w:r>
          </w:p>
        </w:tc>
        <w:tc>
          <w:tcPr>
            <w:tcW w:w="1506" w:type="dxa"/>
          </w:tcPr>
          <w:p w:rsidR="0056488E" w:rsidRDefault="00D138F5">
            <w:pPr>
              <w:spacing w:after="200" w:line="276" w:lineRule="auto"/>
              <w:jc w:val="center"/>
              <w:rPr>
                <w:kern w:val="0"/>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56488E">
        <w:trPr>
          <w:trHeight w:val="237"/>
          <w:jc w:val="center"/>
        </w:trPr>
        <w:tc>
          <w:tcPr>
            <w:tcW w:w="310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lastRenderedPageBreak/>
              <w:t xml:space="preserve">Monocytes &amp; eosinophil’s </w:t>
            </w:r>
          </w:p>
        </w:tc>
        <w:tc>
          <w:tcPr>
            <w:tcW w:w="2742"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5 ± 3</w:t>
            </w:r>
          </w:p>
        </w:tc>
        <w:tc>
          <w:tcPr>
            <w:tcW w:w="265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9 ± 2</w:t>
            </w:r>
          </w:p>
        </w:tc>
        <w:tc>
          <w:tcPr>
            <w:tcW w:w="1506" w:type="dxa"/>
            <w:shd w:val="clear" w:color="auto" w:fill="E5DFEC"/>
          </w:tcPr>
          <w:p w:rsidR="0056488E" w:rsidRDefault="00D138F5">
            <w:pPr>
              <w:spacing w:after="200" w:line="276" w:lineRule="auto"/>
              <w:jc w:val="center"/>
              <w:rPr>
                <w:kern w:val="0"/>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56488E">
        <w:trPr>
          <w:trHeight w:val="520"/>
          <w:jc w:val="center"/>
        </w:trPr>
        <w:tc>
          <w:tcPr>
            <w:tcW w:w="3108" w:type="dxa"/>
            <w:shd w:val="clear" w:color="auto" w:fill="E5DFEC"/>
          </w:tcPr>
          <w:p w:rsidR="0056488E" w:rsidRDefault="00D138F5">
            <w:pPr>
              <w:spacing w:after="200" w:line="276" w:lineRule="auto"/>
              <w:ind w:left="328"/>
              <w:rPr>
                <w:rFonts w:ascii="Times New Roman" w:hAnsi="Times New Roman" w:cs="Times New Roman"/>
                <w:kern w:val="0"/>
                <w:sz w:val="28"/>
                <w:szCs w:val="28"/>
              </w:rPr>
            </w:pPr>
            <w:r>
              <w:rPr>
                <w:rFonts w:ascii="Times New Roman" w:hAnsi="Times New Roman" w:cs="Times New Roman"/>
                <w:kern w:val="0"/>
                <w:sz w:val="28"/>
                <w:szCs w:val="28"/>
              </w:rPr>
              <w:t xml:space="preserve">Total </w:t>
            </w:r>
          </w:p>
        </w:tc>
        <w:tc>
          <w:tcPr>
            <w:tcW w:w="2742" w:type="dxa"/>
          </w:tcPr>
          <w:p w:rsidR="0056488E" w:rsidRDefault="00D138F5">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50</w:t>
            </w:r>
          </w:p>
        </w:tc>
        <w:tc>
          <w:tcPr>
            <w:tcW w:w="2658" w:type="dxa"/>
          </w:tcPr>
          <w:p w:rsidR="0056488E" w:rsidRDefault="00D138F5">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50</w:t>
            </w:r>
          </w:p>
        </w:tc>
        <w:tc>
          <w:tcPr>
            <w:tcW w:w="1506"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100</w:t>
            </w:r>
          </w:p>
        </w:tc>
      </w:tr>
    </w:tbl>
    <w:p w:rsidR="0056488E" w:rsidRDefault="0056488E">
      <w:pPr>
        <w:spacing w:after="200" w:line="276" w:lineRule="auto"/>
        <w:jc w:val="both"/>
        <w:rPr>
          <w:rFonts w:ascii="Times New Roman" w:hAnsi="Times New Roman" w:cs="Times New Roman"/>
          <w:color w:val="000000"/>
          <w:kern w:val="0"/>
          <w:sz w:val="28"/>
          <w:szCs w:val="28"/>
        </w:rPr>
      </w:pPr>
    </w:p>
    <w:p w:rsidR="0056488E" w:rsidRDefault="00D138F5">
      <w:pPr>
        <w:spacing w:after="200" w:line="360" w:lineRule="auto"/>
        <w:jc w:val="both"/>
        <w:rPr>
          <w:kern w:val="0"/>
          <w:sz w:val="28"/>
          <w:szCs w:val="28"/>
        </w:rPr>
      </w:pPr>
      <w:r>
        <w:rPr>
          <w:rFonts w:ascii="Times New Roman" w:hAnsi="Times New Roman" w:cs="Times New Roman"/>
          <w:color w:val="000000"/>
          <w:kern w:val="0"/>
          <w:sz w:val="28"/>
          <w:szCs w:val="28"/>
        </w:rPr>
        <w:t xml:space="preserve">The  Mean of Age, HB, RBC, WBC, Platelet, Lymphocyte Monocytes &amp; Eosinophil’s  and, Neutrophil in Pregnancy women  Non Pregnancy  women in table (1), There a significant statistical in the  WBC, Platelet, Lymphocyte Monocytes &amp; Eosinophil’s  and, Neutrophil of Pregnancy women  </w:t>
      </w:r>
      <w:r>
        <w:rPr>
          <w:rFonts w:ascii="Times New Roman" w:hAnsi="Times New Roman" w:cs="Times New Roman"/>
          <w:kern w:val="0"/>
          <w:sz w:val="28"/>
          <w:szCs w:val="28"/>
        </w:rPr>
        <w:t>when compere with</w:t>
      </w:r>
      <w:r>
        <w:rPr>
          <w:rFonts w:ascii="Times New Roman" w:hAnsi="Times New Roman" w:cs="Times New Roman"/>
          <w:color w:val="000000"/>
          <w:kern w:val="0"/>
          <w:sz w:val="28"/>
          <w:szCs w:val="28"/>
        </w:rPr>
        <w:t xml:space="preserve"> Non Pregnancy  women with P value </w:t>
      </w:r>
      <w:r>
        <w:rPr>
          <w:rFonts w:ascii="Times New Roman" w:hAnsi="Times New Roman" w:cs="Times New Roman"/>
          <w:b/>
          <w:bCs/>
          <w:color w:val="000000"/>
          <w:kern w:val="0"/>
          <w:sz w:val="28"/>
          <w:szCs w:val="28"/>
        </w:rPr>
        <w:t>&lt;</w:t>
      </w:r>
      <w:r>
        <w:rPr>
          <w:rFonts w:ascii="Times New Roman" w:hAnsi="Times New Roman" w:cs="Times New Roman"/>
          <w:color w:val="000000"/>
          <w:kern w:val="0"/>
          <w:sz w:val="28"/>
          <w:szCs w:val="28"/>
        </w:rPr>
        <w:t xml:space="preserve"> 0.05. While an insignificant statistical in the HB, RBC,</w:t>
      </w:r>
      <w:r>
        <w:rPr>
          <w:rFonts w:ascii="Times New Roman" w:hAnsi="Times New Roman" w:cs="Times New Roman"/>
          <w:kern w:val="0"/>
          <w:sz w:val="28"/>
          <w:szCs w:val="28"/>
        </w:rPr>
        <w:t xml:space="preserve"> when compere with</w:t>
      </w:r>
      <w:r>
        <w:rPr>
          <w:rFonts w:ascii="Times New Roman" w:hAnsi="Times New Roman" w:cs="Times New Roman"/>
          <w:color w:val="000000"/>
          <w:kern w:val="0"/>
          <w:sz w:val="28"/>
          <w:szCs w:val="28"/>
        </w:rPr>
        <w:t xml:space="preserve"> Non Pregnancy women with P value </w:t>
      </w:r>
      <w:r>
        <w:rPr>
          <w:rFonts w:ascii="Times New Roman" w:hAnsi="Times New Roman" w:cs="Times New Roman"/>
          <w:b/>
          <w:bCs/>
          <w:color w:val="000000"/>
          <w:kern w:val="0"/>
          <w:sz w:val="28"/>
          <w:szCs w:val="28"/>
        </w:rPr>
        <w:t>&gt;</w:t>
      </w:r>
      <w:r>
        <w:rPr>
          <w:rFonts w:ascii="Times New Roman" w:hAnsi="Times New Roman" w:cs="Times New Roman"/>
          <w:color w:val="000000"/>
          <w:kern w:val="0"/>
          <w:sz w:val="28"/>
          <w:szCs w:val="28"/>
        </w:rPr>
        <w:t xml:space="preserve"> 0.05.</w:t>
      </w:r>
    </w:p>
    <w:p w:rsidR="0056488E" w:rsidRDefault="0056488E">
      <w:pPr>
        <w:spacing w:after="200" w:line="276" w:lineRule="auto"/>
        <w:rPr>
          <w:rFonts w:ascii="Times New Roman" w:hAnsi="Times New Roman" w:cs="Times New Roman"/>
          <w:kern w:val="0"/>
          <w:sz w:val="28"/>
          <w:szCs w:val="28"/>
        </w:rPr>
      </w:pPr>
    </w:p>
    <w:p w:rsidR="0056488E" w:rsidRDefault="00D138F5">
      <w:pPr>
        <w:spacing w:after="200" w:line="360" w:lineRule="auto"/>
        <w:rPr>
          <w:rFonts w:ascii="Times New Roman" w:hAnsi="Times New Roman" w:cs="Times New Roman"/>
          <w:b/>
          <w:bCs/>
          <w:color w:val="000000"/>
          <w:kern w:val="0"/>
          <w:sz w:val="28"/>
          <w:szCs w:val="28"/>
        </w:rPr>
      </w:pPr>
      <w:r>
        <w:rPr>
          <w:rFonts w:ascii="Times New Roman" w:hAnsi="Times New Roman" w:cs="Times New Roman"/>
          <w:b/>
          <w:bCs/>
          <w:kern w:val="0"/>
          <w:sz w:val="28"/>
          <w:szCs w:val="28"/>
        </w:rPr>
        <w:t xml:space="preserve">Table (2): </w:t>
      </w:r>
      <w:r>
        <w:rPr>
          <w:rFonts w:ascii="Times New Roman" w:hAnsi="Times New Roman" w:cs="Times New Roman"/>
          <w:b/>
          <w:bCs/>
          <w:color w:val="000000"/>
          <w:kern w:val="0"/>
          <w:sz w:val="28"/>
          <w:szCs w:val="28"/>
        </w:rPr>
        <w:t xml:space="preserve">Mean Different of Age, HB, RBC, WBC, Platelet, Lymphocyte Monocytes &amp; Eosinophil’s and, Neutrophil in Trimester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1978"/>
        <w:gridCol w:w="1890"/>
        <w:gridCol w:w="1800"/>
        <w:gridCol w:w="1303"/>
      </w:tblGrid>
      <w:tr w:rsidR="0056488E">
        <w:trPr>
          <w:trHeight w:val="456"/>
          <w:jc w:val="center"/>
        </w:trPr>
        <w:tc>
          <w:tcPr>
            <w:tcW w:w="3735" w:type="dxa"/>
            <w:shd w:val="clear" w:color="auto" w:fill="CCC0D9"/>
          </w:tcPr>
          <w:p w:rsidR="0056488E" w:rsidRDefault="0056488E">
            <w:pPr>
              <w:spacing w:after="200" w:line="276" w:lineRule="auto"/>
              <w:jc w:val="both"/>
              <w:rPr>
                <w:rFonts w:ascii="Times New Roman" w:hAnsi="Times New Roman" w:cs="Times New Roman"/>
                <w:b/>
                <w:bCs/>
                <w:kern w:val="0"/>
                <w:sz w:val="28"/>
                <w:szCs w:val="28"/>
              </w:rPr>
            </w:pP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kern w:val="0"/>
                <w:sz w:val="28"/>
                <w:szCs w:val="28"/>
              </w:rPr>
              <w:t>Variable</w:t>
            </w:r>
          </w:p>
        </w:tc>
        <w:tc>
          <w:tcPr>
            <w:tcW w:w="1978"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First Trimester </w:t>
            </w: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890"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Second Trimester</w:t>
            </w: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800"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Third Trimester </w:t>
            </w: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303" w:type="dxa"/>
            <w:shd w:val="clear" w:color="auto" w:fill="CCC0D9"/>
          </w:tcPr>
          <w:p w:rsidR="0056488E" w:rsidRDefault="0056488E">
            <w:pPr>
              <w:spacing w:after="200" w:line="276" w:lineRule="auto"/>
              <w:jc w:val="center"/>
              <w:rPr>
                <w:rFonts w:ascii="Times New Roman" w:hAnsi="Times New Roman" w:cs="Times New Roman"/>
                <w:b/>
                <w:bCs/>
                <w:color w:val="000000"/>
                <w:kern w:val="0"/>
                <w:sz w:val="28"/>
                <w:szCs w:val="28"/>
              </w:rPr>
            </w:pPr>
          </w:p>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p-value</w:t>
            </w:r>
          </w:p>
        </w:tc>
      </w:tr>
      <w:tr w:rsidR="0056488E">
        <w:trPr>
          <w:trHeight w:val="283"/>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Age</w:t>
            </w:r>
          </w:p>
        </w:tc>
        <w:tc>
          <w:tcPr>
            <w:tcW w:w="197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27 ± 6</w:t>
            </w:r>
          </w:p>
        </w:tc>
        <w:tc>
          <w:tcPr>
            <w:tcW w:w="1890" w:type="dxa"/>
          </w:tcPr>
          <w:p w:rsidR="0056488E" w:rsidRDefault="00D138F5">
            <w:pPr>
              <w:spacing w:after="200" w:line="276" w:lineRule="auto"/>
              <w:jc w:val="center"/>
              <w:rPr>
                <w:kern w:val="0"/>
              </w:rPr>
            </w:pPr>
            <w:r>
              <w:rPr>
                <w:rFonts w:ascii="Times New Roman" w:hAnsi="Times New Roman" w:cs="Times New Roman"/>
                <w:kern w:val="0"/>
                <w:sz w:val="28"/>
                <w:szCs w:val="28"/>
              </w:rPr>
              <w:t>28 ± 9</w:t>
            </w:r>
          </w:p>
        </w:tc>
        <w:tc>
          <w:tcPr>
            <w:tcW w:w="1800"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27 ± 5</w:t>
            </w:r>
          </w:p>
        </w:tc>
        <w:tc>
          <w:tcPr>
            <w:tcW w:w="1303"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0.644</w:t>
            </w:r>
          </w:p>
        </w:tc>
      </w:tr>
      <w:tr w:rsidR="0056488E">
        <w:trPr>
          <w:trHeight w:val="365"/>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HB</w:t>
            </w:r>
          </w:p>
        </w:tc>
        <w:tc>
          <w:tcPr>
            <w:tcW w:w="197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11.2 ± 1.5</w:t>
            </w:r>
          </w:p>
        </w:tc>
        <w:tc>
          <w:tcPr>
            <w:tcW w:w="1890"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8"/>
                <w:szCs w:val="28"/>
              </w:rPr>
              <w:t>10.4 ± 1.6</w:t>
            </w:r>
          </w:p>
        </w:tc>
        <w:tc>
          <w:tcPr>
            <w:tcW w:w="1800"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10.8 ± 1.1</w:t>
            </w:r>
          </w:p>
        </w:tc>
        <w:tc>
          <w:tcPr>
            <w:tcW w:w="1303" w:type="dxa"/>
            <w:shd w:val="clear" w:color="auto" w:fill="E5DFEC"/>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0.170</w:t>
            </w:r>
          </w:p>
        </w:tc>
      </w:tr>
      <w:tr w:rsidR="0056488E">
        <w:trPr>
          <w:trHeight w:val="401"/>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RBC</w:t>
            </w:r>
          </w:p>
        </w:tc>
        <w:tc>
          <w:tcPr>
            <w:tcW w:w="197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4.34 ± 0.46</w:t>
            </w:r>
          </w:p>
        </w:tc>
        <w:tc>
          <w:tcPr>
            <w:tcW w:w="1890" w:type="dxa"/>
          </w:tcPr>
          <w:p w:rsidR="0056488E" w:rsidRDefault="00D138F5">
            <w:pPr>
              <w:spacing w:after="200" w:line="276" w:lineRule="auto"/>
              <w:jc w:val="center"/>
              <w:rPr>
                <w:kern w:val="0"/>
              </w:rPr>
            </w:pPr>
            <w:r>
              <w:rPr>
                <w:rFonts w:ascii="Times New Roman" w:hAnsi="Times New Roman" w:cs="Times New Roman"/>
                <w:kern w:val="0"/>
                <w:sz w:val="28"/>
                <w:szCs w:val="28"/>
              </w:rPr>
              <w:t>4.11 ± 0.76</w:t>
            </w:r>
          </w:p>
        </w:tc>
        <w:tc>
          <w:tcPr>
            <w:tcW w:w="1800"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4.17 ± 0.53</w:t>
            </w:r>
          </w:p>
        </w:tc>
        <w:tc>
          <w:tcPr>
            <w:tcW w:w="1303"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0.608</w:t>
            </w:r>
          </w:p>
        </w:tc>
      </w:tr>
      <w:tr w:rsidR="0056488E">
        <w:trPr>
          <w:trHeight w:val="392"/>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WBC</w:t>
            </w:r>
          </w:p>
        </w:tc>
        <w:tc>
          <w:tcPr>
            <w:tcW w:w="197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7.6 ± 2.6</w:t>
            </w:r>
          </w:p>
        </w:tc>
        <w:tc>
          <w:tcPr>
            <w:tcW w:w="1890"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8"/>
                <w:szCs w:val="28"/>
              </w:rPr>
              <w:t>7.4 ± 2.3</w:t>
            </w:r>
          </w:p>
        </w:tc>
        <w:tc>
          <w:tcPr>
            <w:tcW w:w="1800"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7.4 ± 2.0</w:t>
            </w:r>
          </w:p>
        </w:tc>
        <w:tc>
          <w:tcPr>
            <w:tcW w:w="1303" w:type="dxa"/>
            <w:shd w:val="clear" w:color="auto" w:fill="E5DFEC"/>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32"/>
                <w:szCs w:val="32"/>
              </w:rPr>
              <w:t>0.574</w:t>
            </w:r>
          </w:p>
        </w:tc>
      </w:tr>
      <w:tr w:rsidR="0056488E">
        <w:trPr>
          <w:trHeight w:val="474"/>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Platelet</w:t>
            </w:r>
          </w:p>
        </w:tc>
        <w:tc>
          <w:tcPr>
            <w:tcW w:w="197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291 ± 58</w:t>
            </w:r>
          </w:p>
        </w:tc>
        <w:tc>
          <w:tcPr>
            <w:tcW w:w="1890" w:type="dxa"/>
          </w:tcPr>
          <w:p w:rsidR="0056488E" w:rsidRDefault="00D138F5">
            <w:pPr>
              <w:spacing w:after="200" w:line="276" w:lineRule="auto"/>
              <w:jc w:val="center"/>
              <w:rPr>
                <w:kern w:val="0"/>
              </w:rPr>
            </w:pPr>
            <w:r>
              <w:rPr>
                <w:rFonts w:ascii="Times New Roman" w:hAnsi="Times New Roman" w:cs="Times New Roman"/>
                <w:kern w:val="0"/>
                <w:sz w:val="28"/>
                <w:szCs w:val="28"/>
              </w:rPr>
              <w:t>298 ± 66</w:t>
            </w:r>
          </w:p>
        </w:tc>
        <w:tc>
          <w:tcPr>
            <w:tcW w:w="1800"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226 ± 66</w:t>
            </w:r>
          </w:p>
        </w:tc>
        <w:tc>
          <w:tcPr>
            <w:tcW w:w="1303"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0.287</w:t>
            </w:r>
          </w:p>
        </w:tc>
      </w:tr>
      <w:tr w:rsidR="0056488E">
        <w:trPr>
          <w:trHeight w:val="510"/>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Lymphocyte</w:t>
            </w:r>
          </w:p>
        </w:tc>
        <w:tc>
          <w:tcPr>
            <w:tcW w:w="197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31 ± 12</w:t>
            </w:r>
          </w:p>
        </w:tc>
        <w:tc>
          <w:tcPr>
            <w:tcW w:w="1890"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8"/>
                <w:szCs w:val="28"/>
              </w:rPr>
              <w:t>29 ± 9</w:t>
            </w:r>
          </w:p>
        </w:tc>
        <w:tc>
          <w:tcPr>
            <w:tcW w:w="1800"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26 ± 7</w:t>
            </w:r>
          </w:p>
        </w:tc>
        <w:tc>
          <w:tcPr>
            <w:tcW w:w="1303" w:type="dxa"/>
            <w:shd w:val="clear" w:color="auto" w:fill="E5DFEC"/>
          </w:tcPr>
          <w:p w:rsidR="0056488E" w:rsidRDefault="00D138F5">
            <w:pPr>
              <w:spacing w:after="200" w:line="276" w:lineRule="auto"/>
              <w:jc w:val="center"/>
              <w:rPr>
                <w:kern w:val="0"/>
              </w:rPr>
            </w:pPr>
            <w:r>
              <w:rPr>
                <w:rFonts w:ascii="Times New Roman" w:hAnsi="Times New Roman" w:cs="Times New Roman"/>
                <w:color w:val="000000"/>
                <w:kern w:val="0"/>
                <w:sz w:val="32"/>
                <w:szCs w:val="32"/>
              </w:rPr>
              <w:t>0.397</w:t>
            </w:r>
          </w:p>
        </w:tc>
      </w:tr>
      <w:tr w:rsidR="0056488E">
        <w:trPr>
          <w:trHeight w:val="484"/>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Neutrophil</w:t>
            </w:r>
          </w:p>
        </w:tc>
        <w:tc>
          <w:tcPr>
            <w:tcW w:w="1978"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64 ± 14 </w:t>
            </w:r>
          </w:p>
        </w:tc>
        <w:tc>
          <w:tcPr>
            <w:tcW w:w="1890" w:type="dxa"/>
          </w:tcPr>
          <w:p w:rsidR="0056488E" w:rsidRDefault="00D138F5">
            <w:pPr>
              <w:spacing w:after="200" w:line="276" w:lineRule="auto"/>
              <w:jc w:val="center"/>
              <w:rPr>
                <w:kern w:val="0"/>
              </w:rPr>
            </w:pPr>
            <w:r>
              <w:rPr>
                <w:rFonts w:ascii="Times New Roman" w:hAnsi="Times New Roman" w:cs="Times New Roman"/>
                <w:kern w:val="0"/>
                <w:sz w:val="28"/>
                <w:szCs w:val="28"/>
              </w:rPr>
              <w:t>65 ± 11</w:t>
            </w:r>
          </w:p>
        </w:tc>
        <w:tc>
          <w:tcPr>
            <w:tcW w:w="1800"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67 ± 7 </w:t>
            </w:r>
          </w:p>
        </w:tc>
        <w:tc>
          <w:tcPr>
            <w:tcW w:w="1303" w:type="dxa"/>
          </w:tcPr>
          <w:p w:rsidR="0056488E" w:rsidRDefault="00D138F5">
            <w:pPr>
              <w:spacing w:after="200" w:line="276" w:lineRule="auto"/>
              <w:jc w:val="center"/>
              <w:rPr>
                <w:kern w:val="0"/>
              </w:rPr>
            </w:pPr>
            <w:r>
              <w:rPr>
                <w:rFonts w:ascii="Times New Roman" w:hAnsi="Times New Roman" w:cs="Times New Roman"/>
                <w:color w:val="000000"/>
                <w:kern w:val="0"/>
                <w:sz w:val="32"/>
                <w:szCs w:val="32"/>
              </w:rPr>
              <w:t>0.441</w:t>
            </w:r>
          </w:p>
        </w:tc>
      </w:tr>
      <w:tr w:rsidR="0056488E">
        <w:trPr>
          <w:trHeight w:val="237"/>
          <w:jc w:val="center"/>
        </w:trPr>
        <w:tc>
          <w:tcPr>
            <w:tcW w:w="3735"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 xml:space="preserve">Monocytes &amp; Eosinophil’s </w:t>
            </w:r>
          </w:p>
        </w:tc>
        <w:tc>
          <w:tcPr>
            <w:tcW w:w="1978"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 ± 3</w:t>
            </w:r>
          </w:p>
        </w:tc>
        <w:tc>
          <w:tcPr>
            <w:tcW w:w="1890"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8"/>
                <w:szCs w:val="28"/>
              </w:rPr>
              <w:t>5 ± 3</w:t>
            </w:r>
          </w:p>
        </w:tc>
        <w:tc>
          <w:tcPr>
            <w:tcW w:w="1800"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6 ± 3</w:t>
            </w:r>
          </w:p>
        </w:tc>
        <w:tc>
          <w:tcPr>
            <w:tcW w:w="1303" w:type="dxa"/>
            <w:shd w:val="clear" w:color="auto" w:fill="E5DFEC"/>
          </w:tcPr>
          <w:p w:rsidR="0056488E" w:rsidRDefault="00D138F5">
            <w:pPr>
              <w:spacing w:after="200" w:line="276" w:lineRule="auto"/>
              <w:jc w:val="center"/>
              <w:rPr>
                <w:kern w:val="0"/>
              </w:rPr>
            </w:pPr>
            <w:r>
              <w:rPr>
                <w:rFonts w:ascii="Times New Roman" w:hAnsi="Times New Roman" w:cs="Times New Roman"/>
                <w:color w:val="000000"/>
                <w:kern w:val="0"/>
                <w:sz w:val="32"/>
                <w:szCs w:val="32"/>
              </w:rPr>
              <w:t>0.210</w:t>
            </w:r>
          </w:p>
        </w:tc>
      </w:tr>
      <w:tr w:rsidR="0056488E">
        <w:trPr>
          <w:trHeight w:val="520"/>
          <w:jc w:val="center"/>
        </w:trPr>
        <w:tc>
          <w:tcPr>
            <w:tcW w:w="3735" w:type="dxa"/>
            <w:shd w:val="clear" w:color="auto" w:fill="E5DFEC"/>
          </w:tcPr>
          <w:p w:rsidR="0056488E" w:rsidRDefault="00D138F5">
            <w:pPr>
              <w:spacing w:after="200" w:line="276" w:lineRule="auto"/>
              <w:ind w:left="328"/>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Total </w:t>
            </w:r>
          </w:p>
        </w:tc>
        <w:tc>
          <w:tcPr>
            <w:tcW w:w="1978" w:type="dxa"/>
          </w:tcPr>
          <w:p w:rsidR="0056488E" w:rsidRDefault="00D138F5">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9</w:t>
            </w:r>
          </w:p>
        </w:tc>
        <w:tc>
          <w:tcPr>
            <w:tcW w:w="1890"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9</w:t>
            </w:r>
          </w:p>
        </w:tc>
        <w:tc>
          <w:tcPr>
            <w:tcW w:w="1800" w:type="dxa"/>
          </w:tcPr>
          <w:p w:rsidR="0056488E" w:rsidRDefault="00D138F5">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32</w:t>
            </w:r>
          </w:p>
        </w:tc>
        <w:tc>
          <w:tcPr>
            <w:tcW w:w="1303"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50</w:t>
            </w:r>
          </w:p>
        </w:tc>
      </w:tr>
    </w:tbl>
    <w:p w:rsidR="0056488E" w:rsidRDefault="0056488E">
      <w:pPr>
        <w:spacing w:after="200" w:line="276" w:lineRule="auto"/>
        <w:rPr>
          <w:rFonts w:ascii="Times New Roman" w:hAnsi="Times New Roman" w:cs="Times New Roman"/>
          <w:kern w:val="0"/>
          <w:sz w:val="28"/>
          <w:szCs w:val="28"/>
        </w:rPr>
      </w:pPr>
    </w:p>
    <w:p w:rsidR="0056488E" w:rsidRDefault="00D138F5">
      <w:pPr>
        <w:spacing w:after="200" w:line="360" w:lineRule="auto"/>
        <w:jc w:val="both"/>
        <w:rPr>
          <w:kern w:val="0"/>
          <w:sz w:val="28"/>
          <w:szCs w:val="28"/>
        </w:rPr>
      </w:pPr>
      <w:r>
        <w:rPr>
          <w:rFonts w:ascii="Times New Roman" w:hAnsi="Times New Roman" w:cs="Times New Roman"/>
          <w:color w:val="000000"/>
          <w:kern w:val="0"/>
          <w:sz w:val="28"/>
          <w:szCs w:val="28"/>
        </w:rPr>
        <w:t xml:space="preserve">The  Mean of Age, HB, RBC, WBC, Platelet, Lymphocyte Monocytes &amp; Eosinophil’s  and, Neutrophil in Trimester Pregnancy women in table (1), There an insignificant statistical in the Age, HB, RBC, WBC, Platelet, Lymphocyte Monocytes &amp; Eosinophil’s  and, Neutrophil of Pregnancy women  </w:t>
      </w:r>
      <w:r>
        <w:rPr>
          <w:rFonts w:ascii="Times New Roman" w:hAnsi="Times New Roman" w:cs="Times New Roman"/>
          <w:kern w:val="0"/>
          <w:sz w:val="28"/>
          <w:szCs w:val="28"/>
        </w:rPr>
        <w:t>when compere with</w:t>
      </w:r>
      <w:r>
        <w:rPr>
          <w:rFonts w:ascii="Times New Roman" w:hAnsi="Times New Roman" w:cs="Times New Roman"/>
          <w:color w:val="000000"/>
          <w:kern w:val="0"/>
          <w:sz w:val="28"/>
          <w:szCs w:val="28"/>
        </w:rPr>
        <w:t xml:space="preserve"> Trimester with P value </w:t>
      </w:r>
      <w:r>
        <w:rPr>
          <w:rFonts w:ascii="Times New Roman" w:hAnsi="Times New Roman" w:cs="Times New Roman"/>
          <w:b/>
          <w:bCs/>
          <w:color w:val="000000"/>
          <w:kern w:val="0"/>
          <w:sz w:val="28"/>
          <w:szCs w:val="28"/>
        </w:rPr>
        <w:t>&gt;</w:t>
      </w:r>
      <w:r>
        <w:rPr>
          <w:rFonts w:ascii="Times New Roman" w:hAnsi="Times New Roman" w:cs="Times New Roman"/>
          <w:color w:val="000000"/>
          <w:kern w:val="0"/>
          <w:sz w:val="28"/>
          <w:szCs w:val="28"/>
        </w:rPr>
        <w:t xml:space="preserve"> 0.05. </w:t>
      </w:r>
    </w:p>
    <w:p w:rsidR="0056488E" w:rsidRDefault="0056488E">
      <w:pPr>
        <w:spacing w:after="200" w:line="276" w:lineRule="auto"/>
        <w:rPr>
          <w:rFonts w:ascii="Times New Roman" w:hAnsi="Times New Roman" w:cs="Times New Roman"/>
          <w:kern w:val="0"/>
          <w:sz w:val="28"/>
          <w:szCs w:val="28"/>
        </w:rPr>
      </w:pPr>
    </w:p>
    <w:p w:rsidR="0056488E" w:rsidRDefault="0056488E">
      <w:pPr>
        <w:spacing w:after="200" w:line="276" w:lineRule="auto"/>
        <w:rPr>
          <w:rFonts w:ascii="Times New Roman" w:hAnsi="Times New Roman" w:cs="Times New Roman"/>
          <w:kern w:val="0"/>
          <w:sz w:val="28"/>
          <w:szCs w:val="28"/>
        </w:rPr>
      </w:pPr>
    </w:p>
    <w:p w:rsidR="0056488E" w:rsidRDefault="0056488E">
      <w:pPr>
        <w:spacing w:after="200" w:line="276" w:lineRule="auto"/>
        <w:rPr>
          <w:rFonts w:ascii="Times New Roman" w:hAnsi="Times New Roman" w:cs="Times New Roman"/>
          <w:kern w:val="0"/>
          <w:sz w:val="28"/>
          <w:szCs w:val="28"/>
        </w:rPr>
      </w:pPr>
    </w:p>
    <w:p w:rsidR="0056488E" w:rsidRDefault="00D138F5">
      <w:pPr>
        <w:tabs>
          <w:tab w:val="left" w:pos="201"/>
        </w:tabs>
        <w:spacing w:after="0" w:line="360" w:lineRule="auto"/>
        <w:jc w:val="both"/>
        <w:rPr>
          <w:rFonts w:ascii="Times New Roman" w:eastAsia="Times New Roman" w:hAnsi="Times New Roman" w:cs="Times New Roman"/>
          <w:kern w:val="0"/>
          <w:sz w:val="28"/>
          <w:szCs w:val="28"/>
          <w:rtl/>
        </w:rPr>
      </w:pPr>
      <w:r>
        <w:rPr>
          <w:rFonts w:ascii="Times New Roman" w:eastAsia="Times New Roman" w:hAnsi="Times New Roman" w:cs="Times New Roman"/>
          <w:b/>
          <w:bCs/>
          <w:kern w:val="0"/>
          <w:sz w:val="28"/>
          <w:szCs w:val="28"/>
        </w:rPr>
        <w:t xml:space="preserve">Table (3): Correlations between </w:t>
      </w:r>
      <w:r>
        <w:rPr>
          <w:rFonts w:ascii="Times New Roman" w:hAnsi="Times New Roman" w:cs="Times New Roman"/>
          <w:b/>
          <w:bCs/>
          <w:color w:val="000000"/>
          <w:kern w:val="0"/>
          <w:sz w:val="28"/>
          <w:szCs w:val="28"/>
        </w:rPr>
        <w:t xml:space="preserve">HB, RBC, WBC, Platelet, Lymphocyte Monocytes &amp; Eosinophil’s and, Neutrophil </w:t>
      </w:r>
      <w:r>
        <w:rPr>
          <w:rFonts w:ascii="Times New Roman" w:eastAsia="Times New Roman" w:hAnsi="Times New Roman" w:cs="Times New Roman"/>
          <w:b/>
          <w:bCs/>
          <w:color w:val="000000"/>
          <w:kern w:val="0"/>
          <w:sz w:val="28"/>
          <w:szCs w:val="28"/>
        </w:rPr>
        <w:t>and, study variables Age.</w:t>
      </w:r>
    </w:p>
    <w:p w:rsidR="0056488E" w:rsidRDefault="0056488E">
      <w:pPr>
        <w:spacing w:after="200" w:line="276" w:lineRule="auto"/>
        <w:rPr>
          <w:rFonts w:ascii="Times New Roman" w:hAnsi="Times New Roman" w:cs="Times New Roman"/>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gridCol w:w="1382"/>
        <w:gridCol w:w="1350"/>
        <w:gridCol w:w="1545"/>
        <w:gridCol w:w="1621"/>
      </w:tblGrid>
      <w:tr w:rsidR="0056488E">
        <w:trPr>
          <w:trHeight w:val="456"/>
          <w:jc w:val="center"/>
        </w:trPr>
        <w:tc>
          <w:tcPr>
            <w:tcW w:w="4468" w:type="dxa"/>
            <w:shd w:val="clear" w:color="auto" w:fill="CCC0D9"/>
          </w:tcPr>
          <w:p w:rsidR="0056488E" w:rsidRDefault="00D138F5">
            <w:pPr>
              <w:spacing w:after="200" w:line="276" w:lineRule="auto"/>
              <w:jc w:val="both"/>
              <w:rPr>
                <w:rFonts w:ascii="Times New Roman" w:hAnsi="Times New Roman" w:cs="Times New Roman"/>
                <w:b/>
                <w:bCs/>
                <w:color w:val="000000"/>
                <w:kern w:val="0"/>
                <w:sz w:val="28"/>
                <w:szCs w:val="28"/>
              </w:rPr>
            </w:pPr>
            <w:r>
              <w:rPr>
                <w:rFonts w:ascii="Times New Roman" w:hAnsi="Times New Roman" w:cs="Times New Roman"/>
                <w:b/>
                <w:kern w:val="0"/>
                <w:sz w:val="24"/>
                <w:szCs w:val="24"/>
              </w:rPr>
              <w:t>Correlation variables</w:t>
            </w:r>
          </w:p>
        </w:tc>
        <w:tc>
          <w:tcPr>
            <w:tcW w:w="1382"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R Value</w:t>
            </w:r>
          </w:p>
        </w:tc>
        <w:tc>
          <w:tcPr>
            <w:tcW w:w="1350" w:type="dxa"/>
            <w:shd w:val="clear" w:color="auto" w:fill="CCC0D9"/>
          </w:tcPr>
          <w:p w:rsidR="0056488E" w:rsidRDefault="00D138F5">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P-value</w:t>
            </w:r>
          </w:p>
        </w:tc>
        <w:tc>
          <w:tcPr>
            <w:tcW w:w="1545" w:type="dxa"/>
            <w:shd w:val="clear" w:color="auto" w:fill="CCC0D9"/>
          </w:tcPr>
          <w:p w:rsidR="0056488E" w:rsidRDefault="00D138F5">
            <w:pPr>
              <w:autoSpaceDE w:val="0"/>
              <w:autoSpaceDN w:val="0"/>
              <w:adjustRightInd w:val="0"/>
              <w:spacing w:after="200" w:line="276"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Strength</w:t>
            </w:r>
          </w:p>
        </w:tc>
        <w:tc>
          <w:tcPr>
            <w:tcW w:w="1621" w:type="dxa"/>
            <w:shd w:val="clear" w:color="auto" w:fill="CCC0D9"/>
          </w:tcPr>
          <w:p w:rsidR="0056488E" w:rsidRDefault="00D138F5">
            <w:pPr>
              <w:autoSpaceDE w:val="0"/>
              <w:autoSpaceDN w:val="0"/>
              <w:adjustRightInd w:val="0"/>
              <w:spacing w:after="200" w:line="276"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Direction</w:t>
            </w:r>
          </w:p>
        </w:tc>
      </w:tr>
      <w:tr w:rsidR="0056488E">
        <w:trPr>
          <w:trHeight w:val="365"/>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HB</w:t>
            </w:r>
          </w:p>
        </w:tc>
        <w:tc>
          <w:tcPr>
            <w:tcW w:w="1382"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0.022</w:t>
            </w:r>
          </w:p>
        </w:tc>
        <w:tc>
          <w:tcPr>
            <w:tcW w:w="1350"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0. 830</w:t>
            </w:r>
          </w:p>
        </w:tc>
        <w:tc>
          <w:tcPr>
            <w:tcW w:w="1545" w:type="dxa"/>
          </w:tcPr>
          <w:p w:rsidR="0056488E" w:rsidRDefault="00D138F5">
            <w:pPr>
              <w:tabs>
                <w:tab w:val="center" w:pos="1296"/>
              </w:tabs>
              <w:autoSpaceDE w:val="0"/>
              <w:autoSpaceDN w:val="0"/>
              <w:adjustRightInd w:val="0"/>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Week</w:t>
            </w:r>
          </w:p>
        </w:tc>
        <w:tc>
          <w:tcPr>
            <w:tcW w:w="1621" w:type="dxa"/>
          </w:tcPr>
          <w:p w:rsidR="0056488E" w:rsidRDefault="00D138F5">
            <w:pPr>
              <w:spacing w:after="200" w:line="276" w:lineRule="auto"/>
              <w:jc w:val="center"/>
              <w:rPr>
                <w:kern w:val="0"/>
                <w:sz w:val="28"/>
                <w:szCs w:val="28"/>
              </w:rPr>
            </w:pPr>
            <w:r>
              <w:rPr>
                <w:rFonts w:ascii="Times New Roman" w:hAnsi="Times New Roman" w:cs="Times New Roman"/>
                <w:kern w:val="0"/>
                <w:sz w:val="28"/>
                <w:szCs w:val="28"/>
              </w:rPr>
              <w:t>Positive</w:t>
            </w:r>
          </w:p>
        </w:tc>
      </w:tr>
      <w:tr w:rsidR="0056488E">
        <w:trPr>
          <w:trHeight w:val="401"/>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RBC</w:t>
            </w:r>
          </w:p>
        </w:tc>
        <w:tc>
          <w:tcPr>
            <w:tcW w:w="1382" w:type="dxa"/>
            <w:shd w:val="clear" w:color="auto" w:fill="E5DFEC"/>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- 0.009</w:t>
            </w:r>
          </w:p>
        </w:tc>
        <w:tc>
          <w:tcPr>
            <w:tcW w:w="1350" w:type="dxa"/>
            <w:shd w:val="clear" w:color="auto" w:fill="E5DFEC"/>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0.927</w:t>
            </w:r>
          </w:p>
        </w:tc>
        <w:tc>
          <w:tcPr>
            <w:tcW w:w="1545" w:type="dxa"/>
            <w:shd w:val="clear" w:color="auto" w:fill="E5DFEC"/>
          </w:tcPr>
          <w:p w:rsidR="0056488E" w:rsidRDefault="00D138F5">
            <w:pPr>
              <w:spacing w:after="200" w:line="276" w:lineRule="auto"/>
              <w:jc w:val="center"/>
              <w:rPr>
                <w:kern w:val="0"/>
                <w:sz w:val="28"/>
                <w:szCs w:val="28"/>
              </w:rPr>
            </w:pPr>
            <w:r>
              <w:rPr>
                <w:rFonts w:ascii="Times New Roman" w:hAnsi="Times New Roman" w:cs="Times New Roman"/>
                <w:kern w:val="0"/>
                <w:sz w:val="28"/>
                <w:szCs w:val="28"/>
              </w:rPr>
              <w:t>Week</w:t>
            </w:r>
          </w:p>
        </w:tc>
        <w:tc>
          <w:tcPr>
            <w:tcW w:w="1621" w:type="dxa"/>
            <w:shd w:val="clear" w:color="auto" w:fill="E5DFEC"/>
          </w:tcPr>
          <w:p w:rsidR="0056488E" w:rsidRDefault="00D138F5">
            <w:pPr>
              <w:spacing w:after="200" w:line="276" w:lineRule="auto"/>
              <w:jc w:val="center"/>
              <w:rPr>
                <w:kern w:val="0"/>
                <w:sz w:val="28"/>
                <w:szCs w:val="28"/>
              </w:rPr>
            </w:pPr>
            <w:r>
              <w:rPr>
                <w:rFonts w:ascii="Times New Roman" w:hAnsi="Times New Roman" w:cs="Times New Roman"/>
                <w:kern w:val="0"/>
                <w:sz w:val="24"/>
                <w:szCs w:val="24"/>
              </w:rPr>
              <w:t>Negative</w:t>
            </w:r>
          </w:p>
        </w:tc>
      </w:tr>
      <w:tr w:rsidR="0056488E">
        <w:trPr>
          <w:trHeight w:val="392"/>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WBC</w:t>
            </w:r>
          </w:p>
        </w:tc>
        <w:tc>
          <w:tcPr>
            <w:tcW w:w="1382"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0.250</w:t>
            </w:r>
          </w:p>
        </w:tc>
        <w:tc>
          <w:tcPr>
            <w:tcW w:w="1350"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0.012</w:t>
            </w:r>
          </w:p>
        </w:tc>
        <w:tc>
          <w:tcPr>
            <w:tcW w:w="1545"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Strong</w:t>
            </w:r>
          </w:p>
        </w:tc>
        <w:tc>
          <w:tcPr>
            <w:tcW w:w="1621" w:type="dxa"/>
            <w:vAlign w:val="bottom"/>
          </w:tcPr>
          <w:p w:rsidR="0056488E" w:rsidRDefault="00D138F5">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kern w:val="0"/>
                <w:sz w:val="28"/>
                <w:szCs w:val="28"/>
              </w:rPr>
              <w:t>Positive</w:t>
            </w:r>
          </w:p>
        </w:tc>
      </w:tr>
      <w:tr w:rsidR="0056488E">
        <w:trPr>
          <w:trHeight w:val="474"/>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Platelet</w:t>
            </w:r>
          </w:p>
        </w:tc>
        <w:tc>
          <w:tcPr>
            <w:tcW w:w="1382" w:type="dxa"/>
            <w:shd w:val="clear" w:color="auto" w:fill="E5DFEC"/>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- 0.012</w:t>
            </w:r>
          </w:p>
        </w:tc>
        <w:tc>
          <w:tcPr>
            <w:tcW w:w="1350" w:type="dxa"/>
            <w:shd w:val="clear" w:color="auto" w:fill="E5DFEC"/>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0.906</w:t>
            </w:r>
          </w:p>
        </w:tc>
        <w:tc>
          <w:tcPr>
            <w:tcW w:w="1545" w:type="dxa"/>
            <w:shd w:val="clear" w:color="auto" w:fill="E5DFEC"/>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Week</w:t>
            </w:r>
          </w:p>
        </w:tc>
        <w:tc>
          <w:tcPr>
            <w:tcW w:w="1621"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4"/>
                <w:szCs w:val="24"/>
              </w:rPr>
              <w:t>Negative</w:t>
            </w:r>
          </w:p>
        </w:tc>
      </w:tr>
      <w:tr w:rsidR="0056488E">
        <w:trPr>
          <w:trHeight w:val="510"/>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Lymphocyte</w:t>
            </w:r>
          </w:p>
        </w:tc>
        <w:tc>
          <w:tcPr>
            <w:tcW w:w="1382"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- 0.202</w:t>
            </w:r>
          </w:p>
        </w:tc>
        <w:tc>
          <w:tcPr>
            <w:tcW w:w="1350"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0.044</w:t>
            </w:r>
          </w:p>
        </w:tc>
        <w:tc>
          <w:tcPr>
            <w:tcW w:w="1545" w:type="dxa"/>
          </w:tcPr>
          <w:p w:rsidR="0056488E" w:rsidRDefault="00D138F5">
            <w:pPr>
              <w:spacing w:after="200" w:line="276" w:lineRule="auto"/>
              <w:jc w:val="center"/>
              <w:rPr>
                <w:kern w:val="0"/>
              </w:rPr>
            </w:pPr>
            <w:r>
              <w:rPr>
                <w:rFonts w:ascii="Times New Roman" w:hAnsi="Times New Roman" w:cs="Times New Roman"/>
                <w:kern w:val="0"/>
                <w:sz w:val="28"/>
                <w:szCs w:val="28"/>
              </w:rPr>
              <w:t>Strong</w:t>
            </w:r>
          </w:p>
        </w:tc>
        <w:tc>
          <w:tcPr>
            <w:tcW w:w="1621" w:type="dxa"/>
          </w:tcPr>
          <w:p w:rsidR="0056488E" w:rsidRDefault="00D138F5">
            <w:pPr>
              <w:spacing w:after="200" w:line="276" w:lineRule="auto"/>
              <w:jc w:val="center"/>
              <w:rPr>
                <w:kern w:val="0"/>
              </w:rPr>
            </w:pPr>
            <w:r>
              <w:rPr>
                <w:rFonts w:ascii="Times New Roman" w:hAnsi="Times New Roman" w:cs="Times New Roman"/>
                <w:kern w:val="0"/>
                <w:sz w:val="24"/>
                <w:szCs w:val="24"/>
              </w:rPr>
              <w:t>Negative</w:t>
            </w:r>
          </w:p>
        </w:tc>
      </w:tr>
      <w:tr w:rsidR="0056488E">
        <w:trPr>
          <w:trHeight w:val="484"/>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Neutrophil</w:t>
            </w:r>
          </w:p>
        </w:tc>
        <w:tc>
          <w:tcPr>
            <w:tcW w:w="1382" w:type="dxa"/>
            <w:shd w:val="clear" w:color="auto" w:fill="E5DFEC"/>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0.245</w:t>
            </w:r>
          </w:p>
        </w:tc>
        <w:tc>
          <w:tcPr>
            <w:tcW w:w="1350" w:type="dxa"/>
            <w:shd w:val="clear" w:color="auto" w:fill="E5DFEC"/>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0.014</w:t>
            </w:r>
          </w:p>
        </w:tc>
        <w:tc>
          <w:tcPr>
            <w:tcW w:w="1545"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8"/>
                <w:szCs w:val="28"/>
              </w:rPr>
              <w:t>Strong</w:t>
            </w:r>
          </w:p>
        </w:tc>
        <w:tc>
          <w:tcPr>
            <w:tcW w:w="1621" w:type="dxa"/>
            <w:shd w:val="clear" w:color="auto" w:fill="E5DFEC"/>
          </w:tcPr>
          <w:p w:rsidR="0056488E" w:rsidRDefault="00D138F5">
            <w:pPr>
              <w:spacing w:after="200" w:line="276" w:lineRule="auto"/>
              <w:jc w:val="center"/>
              <w:rPr>
                <w:kern w:val="0"/>
              </w:rPr>
            </w:pPr>
            <w:r>
              <w:rPr>
                <w:rFonts w:ascii="Times New Roman" w:hAnsi="Times New Roman" w:cs="Times New Roman"/>
                <w:kern w:val="0"/>
                <w:sz w:val="28"/>
                <w:szCs w:val="28"/>
              </w:rPr>
              <w:t>Positive</w:t>
            </w:r>
          </w:p>
        </w:tc>
      </w:tr>
      <w:tr w:rsidR="0056488E">
        <w:trPr>
          <w:trHeight w:val="237"/>
          <w:jc w:val="center"/>
        </w:trPr>
        <w:tc>
          <w:tcPr>
            <w:tcW w:w="4468" w:type="dxa"/>
            <w:shd w:val="clear" w:color="auto" w:fill="E5DFEC"/>
          </w:tcPr>
          <w:p w:rsidR="0056488E" w:rsidRDefault="00D138F5">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 xml:space="preserve">Monocytes &amp; Eosinophil’s </w:t>
            </w:r>
          </w:p>
        </w:tc>
        <w:tc>
          <w:tcPr>
            <w:tcW w:w="1382"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- 0.124</w:t>
            </w:r>
          </w:p>
        </w:tc>
        <w:tc>
          <w:tcPr>
            <w:tcW w:w="1350" w:type="dxa"/>
            <w:vAlign w:val="bottom"/>
          </w:tcPr>
          <w:p w:rsidR="0056488E" w:rsidRDefault="00D138F5">
            <w:pPr>
              <w:spacing w:after="200" w:line="276" w:lineRule="auto"/>
              <w:jc w:val="center"/>
              <w:rPr>
                <w:rFonts w:cs="Calibri"/>
                <w:color w:val="000000"/>
                <w:kern w:val="0"/>
                <w:sz w:val="28"/>
                <w:szCs w:val="28"/>
              </w:rPr>
            </w:pPr>
            <w:r>
              <w:rPr>
                <w:rFonts w:cs="Calibri"/>
                <w:color w:val="000000"/>
                <w:kern w:val="0"/>
                <w:sz w:val="28"/>
                <w:szCs w:val="28"/>
              </w:rPr>
              <w:t>0.219</w:t>
            </w:r>
          </w:p>
        </w:tc>
        <w:tc>
          <w:tcPr>
            <w:tcW w:w="1545" w:type="dxa"/>
          </w:tcPr>
          <w:p w:rsidR="0056488E" w:rsidRDefault="00D138F5">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Week</w:t>
            </w:r>
          </w:p>
        </w:tc>
        <w:tc>
          <w:tcPr>
            <w:tcW w:w="1621" w:type="dxa"/>
          </w:tcPr>
          <w:p w:rsidR="0056488E" w:rsidRDefault="00D138F5">
            <w:pPr>
              <w:spacing w:after="200" w:line="276" w:lineRule="auto"/>
              <w:jc w:val="center"/>
              <w:rPr>
                <w:kern w:val="0"/>
              </w:rPr>
            </w:pPr>
            <w:r>
              <w:rPr>
                <w:rFonts w:ascii="Times New Roman" w:hAnsi="Times New Roman" w:cs="Times New Roman"/>
                <w:kern w:val="0"/>
                <w:sz w:val="24"/>
                <w:szCs w:val="24"/>
              </w:rPr>
              <w:t>Negative</w:t>
            </w:r>
          </w:p>
        </w:tc>
      </w:tr>
    </w:tbl>
    <w:p w:rsidR="0056488E" w:rsidRDefault="0056488E">
      <w:pPr>
        <w:spacing w:after="200" w:line="276" w:lineRule="auto"/>
        <w:rPr>
          <w:rFonts w:ascii="Times New Roman" w:hAnsi="Times New Roman" w:cs="Times New Roman"/>
          <w:kern w:val="0"/>
          <w:sz w:val="28"/>
          <w:szCs w:val="28"/>
        </w:rPr>
      </w:pPr>
    </w:p>
    <w:p w:rsidR="0056488E" w:rsidRDefault="00D138F5">
      <w:pPr>
        <w:jc w:val="center"/>
        <w:rPr>
          <w:rFonts w:ascii="Times New Roman" w:hAnsi="Times New Roman" w:cs="Times New Roman"/>
          <w:b/>
          <w:bCs/>
          <w:noProof/>
          <w:kern w:val="0"/>
          <w:sz w:val="28"/>
          <w:szCs w:val="28"/>
        </w:rPr>
      </w:pPr>
      <w:r>
        <w:rPr>
          <w:rFonts w:ascii="Times New Roman" w:eastAsia="Times New Roman" w:hAnsi="Times New Roman" w:cs="Times New Roman"/>
          <w:kern w:val="0"/>
          <w:sz w:val="28"/>
          <w:szCs w:val="28"/>
        </w:rPr>
        <w:t xml:space="preserve">Correlations between </w:t>
      </w:r>
      <w:r>
        <w:rPr>
          <w:rFonts w:ascii="Times New Roman" w:hAnsi="Times New Roman" w:cs="Times New Roman"/>
          <w:color w:val="000000"/>
          <w:kern w:val="0"/>
          <w:sz w:val="28"/>
          <w:szCs w:val="28"/>
        </w:rPr>
        <w:t xml:space="preserve">HB, RBC, WBC, Platelet, Lymphocyte, Monocytes &amp; Eosinophil’s, Neutrophil </w:t>
      </w:r>
      <w:r>
        <w:rPr>
          <w:rFonts w:ascii="Times New Roman" w:eastAsia="Times New Roman" w:hAnsi="Times New Roman" w:cs="Times New Roman"/>
          <w:color w:val="000000"/>
          <w:kern w:val="0"/>
          <w:sz w:val="28"/>
          <w:szCs w:val="28"/>
        </w:rPr>
        <w:t>and, Study variables Age</w:t>
      </w:r>
      <w:r>
        <w:rPr>
          <w:rFonts w:ascii="Times New Roman" w:hAnsi="Times New Roman" w:cs="Times New Roman"/>
          <w:noProof/>
          <w:kern w:val="0"/>
          <w:sz w:val="28"/>
          <w:szCs w:val="28"/>
        </w:rPr>
        <w:t>; The results indicated that</w:t>
      </w:r>
      <w:r>
        <w:rPr>
          <w:rFonts w:ascii="Times New Roman" w:hAnsi="Times New Roman" w:cs="Times New Roman"/>
          <w:b/>
          <w:bCs/>
          <w:noProof/>
          <w:kern w:val="0"/>
          <w:sz w:val="28"/>
          <w:szCs w:val="28"/>
        </w:rPr>
        <w:t xml:space="preserve"> </w:t>
      </w:r>
      <w:r>
        <w:rPr>
          <w:rFonts w:ascii="Times New Roman" w:hAnsi="Times New Roman" w:cs="Times New Roman"/>
          <w:noProof/>
          <w:kern w:val="0"/>
          <w:sz w:val="28"/>
          <w:szCs w:val="28"/>
        </w:rPr>
        <w:t>Level</w:t>
      </w:r>
      <w:r>
        <w:rPr>
          <w:rFonts w:ascii="Times New Roman" w:hAnsi="Times New Roman" w:cs="Times New Roman"/>
          <w:b/>
          <w:bCs/>
          <w:noProof/>
          <w:kern w:val="0"/>
          <w:sz w:val="28"/>
          <w:szCs w:val="28"/>
        </w:rPr>
        <w:t xml:space="preserve"> </w:t>
      </w:r>
      <w:r>
        <w:rPr>
          <w:rFonts w:ascii="Times New Roman" w:hAnsi="Times New Roman" w:cs="Times New Roman"/>
          <w:color w:val="000000"/>
          <w:kern w:val="0"/>
          <w:sz w:val="28"/>
          <w:szCs w:val="28"/>
        </w:rPr>
        <w:t>WBCs, Neutrophil</w:t>
      </w:r>
      <w:r>
        <w:rPr>
          <w:rFonts w:ascii="Times New Roman" w:eastAsia="Times New Roman" w:hAnsi="Times New Roman" w:cs="Times New Roman"/>
          <w:color w:val="000000"/>
          <w:kern w:val="0"/>
          <w:sz w:val="28"/>
          <w:szCs w:val="28"/>
        </w:rPr>
        <w:t xml:space="preserve"> </w:t>
      </w:r>
      <w:r>
        <w:rPr>
          <w:rFonts w:ascii="Times New Roman" w:hAnsi="Times New Roman" w:cs="Times New Roman"/>
          <w:noProof/>
          <w:kern w:val="0"/>
          <w:sz w:val="28"/>
          <w:szCs w:val="28"/>
        </w:rPr>
        <w:t xml:space="preserve">has a significant positive association with Age, level of  </w:t>
      </w:r>
      <w:r>
        <w:rPr>
          <w:rFonts w:ascii="Times New Roman" w:hAnsi="Times New Roman" w:cs="Times New Roman"/>
          <w:color w:val="000000"/>
          <w:kern w:val="0"/>
          <w:sz w:val="28"/>
          <w:szCs w:val="28"/>
        </w:rPr>
        <w:t xml:space="preserve">Lymphocyte </w:t>
      </w:r>
      <w:r>
        <w:rPr>
          <w:rFonts w:ascii="Times New Roman" w:hAnsi="Times New Roman" w:cs="Times New Roman"/>
          <w:noProof/>
          <w:kern w:val="0"/>
          <w:sz w:val="28"/>
          <w:szCs w:val="28"/>
        </w:rPr>
        <w:t xml:space="preserve">had a significant Negative association with Age, While Level </w:t>
      </w:r>
      <w:r>
        <w:rPr>
          <w:rFonts w:ascii="Times New Roman" w:hAnsi="Times New Roman" w:cs="Times New Roman"/>
          <w:color w:val="000000"/>
          <w:kern w:val="0"/>
          <w:sz w:val="28"/>
          <w:szCs w:val="28"/>
        </w:rPr>
        <w:t xml:space="preserve">HB, RBC, Platelets, Monocytes &amp; Eosinophil’s, </w:t>
      </w:r>
      <w:r>
        <w:rPr>
          <w:rFonts w:ascii="Times New Roman" w:hAnsi="Times New Roman" w:cs="Times New Roman"/>
          <w:noProof/>
          <w:kern w:val="0"/>
          <w:sz w:val="28"/>
          <w:szCs w:val="28"/>
        </w:rPr>
        <w:t>has no association with Age</w:t>
      </w:r>
      <w:r>
        <w:rPr>
          <w:rFonts w:ascii="Times New Roman" w:hAnsi="Times New Roman" w:cs="Times New Roman"/>
          <w:b/>
          <w:bCs/>
          <w:noProof/>
          <w:kern w:val="0"/>
          <w:sz w:val="28"/>
          <w:szCs w:val="28"/>
        </w:rPr>
        <w:t xml:space="preserve"> .</w:t>
      </w:r>
      <w:r>
        <w:rPr>
          <w:rFonts w:ascii="Times New Roman" w:hAnsi="Times New Roman" w:cs="Times New Roman" w:hint="cs"/>
          <w:b/>
          <w:bCs/>
          <w:noProof/>
          <w:kern w:val="0"/>
          <w:sz w:val="28"/>
          <w:szCs w:val="28"/>
          <w:rtl/>
        </w:rPr>
        <w:t xml:space="preserve">                                                                                                       </w:t>
      </w:r>
    </w:p>
    <w:p w:rsidR="0056488E" w:rsidRDefault="0056488E">
      <w:pPr>
        <w:rPr>
          <w:rFonts w:ascii="Times New Roman" w:hAnsi="Times New Roman" w:cs="Times New Roman"/>
          <w:b/>
          <w:bCs/>
          <w:noProof/>
          <w:kern w:val="0"/>
          <w:sz w:val="28"/>
          <w:szCs w:val="28"/>
        </w:rPr>
      </w:pPr>
    </w:p>
    <w:p w:rsidR="0056488E" w:rsidRDefault="0056488E">
      <w:pPr>
        <w:rPr>
          <w:rFonts w:ascii="Times New Roman" w:hAnsi="Times New Roman" w:cs="Times New Roman"/>
          <w:b/>
          <w:bCs/>
          <w:noProof/>
          <w:kern w:val="0"/>
          <w:sz w:val="28"/>
          <w:szCs w:val="28"/>
        </w:rPr>
      </w:pPr>
    </w:p>
    <w:p w:rsidR="0056488E" w:rsidRDefault="0056488E">
      <w:pPr>
        <w:rPr>
          <w:rFonts w:ascii="Times New Roman" w:hAnsi="Times New Roman" w:cs="Times New Roman"/>
          <w:b/>
          <w:bCs/>
          <w:noProof/>
          <w:kern w:val="0"/>
          <w:sz w:val="28"/>
          <w:szCs w:val="28"/>
        </w:rPr>
      </w:pPr>
    </w:p>
    <w:p w:rsidR="0056488E" w:rsidRDefault="0056488E">
      <w:pPr>
        <w:rPr>
          <w:rFonts w:ascii="Times New Roman" w:hAnsi="Times New Roman" w:cs="Times New Roman"/>
          <w:b/>
          <w:bCs/>
          <w:noProof/>
          <w:kern w:val="0"/>
          <w:sz w:val="28"/>
          <w:szCs w:val="28"/>
        </w:rPr>
      </w:pPr>
    </w:p>
    <w:p w:rsidR="0056488E" w:rsidRDefault="0056488E">
      <w:pPr>
        <w:rPr>
          <w:rFonts w:ascii="Times New Roman" w:hAnsi="Times New Roman" w:cs="Times New Roman"/>
          <w:b/>
          <w:bCs/>
          <w:noProof/>
          <w:kern w:val="0"/>
          <w:sz w:val="28"/>
          <w:szCs w:val="28"/>
        </w:rPr>
      </w:pPr>
    </w:p>
    <w:p w:rsidR="0056488E" w:rsidRDefault="0056488E">
      <w:pPr>
        <w:rPr>
          <w:rFonts w:ascii="Times New Roman" w:hAnsi="Times New Roman" w:cs="Times New Roman"/>
          <w:b/>
          <w:bCs/>
          <w:noProof/>
          <w:kern w:val="0"/>
          <w:sz w:val="28"/>
          <w:szCs w:val="28"/>
        </w:rPr>
      </w:pPr>
    </w:p>
    <w:p w:rsidR="0056488E" w:rsidRDefault="00D138F5">
      <w:pPr>
        <w:rPr>
          <w:rFonts w:ascii="Times New Roman" w:hAnsi="Times New Roman" w:cs="Times New Roman"/>
          <w:b/>
          <w:bCs/>
          <w:noProof/>
          <w:kern w:val="0"/>
          <w:sz w:val="28"/>
          <w:szCs w:val="28"/>
          <w:u w:val="single"/>
        </w:rPr>
      </w:pPr>
      <w:r>
        <w:rPr>
          <w:rFonts w:ascii="Times New Roman" w:hAnsi="Times New Roman" w:cs="Times New Roman"/>
          <w:b/>
          <w:bCs/>
          <w:noProof/>
          <w:kern w:val="0"/>
          <w:sz w:val="28"/>
          <w:szCs w:val="28"/>
          <w:u w:val="single"/>
        </w:rPr>
        <w:t>Disscussion :</w:t>
      </w: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This study evaluated the effect of pregnancy on hematological parameters among Sudanese women attending Dongola Maternity Hospital. The findings revealed significant differences in several hematological indices between pregnant and non-pregnant women.</w:t>
      </w:r>
    </w:p>
    <w:p w:rsidR="0056488E" w:rsidRDefault="0056488E">
      <w:pPr>
        <w:spacing w:after="0"/>
        <w:jc w:val="both"/>
        <w:rPr>
          <w:rFonts w:ascii="Times New Roman" w:eastAsia="Times New Roman" w:hAnsi="Times New Roman" w:cs="Times New Roman"/>
          <w:kern w:val="0"/>
          <w:sz w:val="28"/>
          <w:szCs w:val="28"/>
        </w:rPr>
      </w:pP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These findings are consistent with Davis &amp; Brown (2019), who noted a predominant neutrophil increase in pregnancy as part of adaptive immune changes.</w:t>
      </w:r>
    </w:p>
    <w:p w:rsidR="0056488E" w:rsidRDefault="0056488E">
      <w:pPr>
        <w:spacing w:after="0"/>
        <w:jc w:val="both"/>
        <w:rPr>
          <w:rFonts w:ascii="Times New Roman" w:eastAsia="Times New Roman" w:hAnsi="Times New Roman" w:cs="Times New Roman"/>
          <w:kern w:val="0"/>
          <w:sz w:val="28"/>
          <w:szCs w:val="28"/>
        </w:rPr>
      </w:pP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In contrast, lymphocyte and monocyte-eosinophil counts were significantly lower in pregnant women (p &lt; 0.001), which may reflect the immunomodulatory shifts necessary to tolerate the fetal allograft. This immunosuppressive shift is essential to avoid maternal immune rejection of the fetus, as supported by Johnson et al. (2021).</w:t>
      </w:r>
    </w:p>
    <w:p w:rsidR="0056488E" w:rsidRDefault="0056488E">
      <w:pPr>
        <w:spacing w:after="0"/>
        <w:jc w:val="both"/>
        <w:rPr>
          <w:rFonts w:ascii="Times New Roman" w:eastAsia="Times New Roman" w:hAnsi="Times New Roman" w:cs="Times New Roman"/>
          <w:kern w:val="0"/>
          <w:sz w:val="28"/>
          <w:szCs w:val="28"/>
        </w:rPr>
      </w:pP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Although hemoglobin (Hb) and red blood cell (RBC) counts were lower in pregnant women, the difference was not statistically significant (p &gt; 0.05). However, 72% of pregnant women had hemoglobin levels below the normal range, indicating a high prevalence of anemia, consistent with previous reports in rural Sudan (Elhassan &amp; Mohammed, 2017). This anemia is likely attributed to iron deficiency and poor antenatal nutrition.</w:t>
      </w:r>
    </w:p>
    <w:p w:rsidR="0056488E" w:rsidRDefault="0056488E">
      <w:pPr>
        <w:spacing w:after="0"/>
        <w:jc w:val="both"/>
        <w:rPr>
          <w:rFonts w:ascii="Times New Roman" w:eastAsia="Times New Roman" w:hAnsi="Times New Roman" w:cs="Times New Roman"/>
          <w:kern w:val="0"/>
          <w:sz w:val="28"/>
          <w:szCs w:val="28"/>
        </w:rPr>
      </w:pP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Platelet counts were significantly lower in pregnant women (p = 0.005), although most values remained within the normal range. A drop in platelet levels is commonly associated with gestational thrombocytopenia, a benign condition but one that requires monitoring due to its potential association with preeclampsia or postpartum hemorrhage.</w:t>
      </w:r>
    </w:p>
    <w:p w:rsidR="0056488E" w:rsidRDefault="0056488E">
      <w:pPr>
        <w:spacing w:after="0"/>
        <w:jc w:val="both"/>
        <w:rPr>
          <w:rFonts w:ascii="Times New Roman" w:eastAsia="Times New Roman" w:hAnsi="Times New Roman" w:cs="Times New Roman"/>
          <w:kern w:val="0"/>
          <w:sz w:val="28"/>
          <w:szCs w:val="28"/>
        </w:rPr>
      </w:pP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 xml:space="preserve">Across trimesters, no statistically significant differences were observed in hematological parameters, though platelet levels appeared to decline progressively from the first to the third </w:t>
      </w:r>
      <w:r>
        <w:rPr>
          <w:rFonts w:ascii="Times New Roman" w:eastAsia="Times New Roman" w:hAnsi="Times New Roman" w:cs="Times New Roman" w:hint="cs"/>
          <w:kern w:val="0"/>
          <w:sz w:val="28"/>
          <w:szCs w:val="28"/>
          <w:rtl/>
        </w:rPr>
        <w:lastRenderedPageBreak/>
        <w:t>trimester. This trend suggests that physiological changes intensify as pregnancy progresses, particularly hemodilution and increased platelet consumption.</w:t>
      </w:r>
    </w:p>
    <w:p w:rsidR="0056488E" w:rsidRDefault="0056488E">
      <w:pPr>
        <w:spacing w:after="0"/>
        <w:jc w:val="both"/>
        <w:rPr>
          <w:rFonts w:ascii="Times New Roman" w:eastAsia="Times New Roman" w:hAnsi="Times New Roman" w:cs="Times New Roman"/>
          <w:kern w:val="0"/>
          <w:sz w:val="28"/>
          <w:szCs w:val="28"/>
        </w:rPr>
      </w:pP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Correlation analysis showed a significant positive relationship between age and WBCs and neutrophils, while lymphocyte count was negatively correlated with age. This suggests that age-related immune alterations may further modulate hematological profiles during pregnancy.</w:t>
      </w:r>
    </w:p>
    <w:p w:rsidR="0056488E" w:rsidRDefault="0056488E">
      <w:pPr>
        <w:jc w:val="center"/>
        <w:rPr>
          <w:rFonts w:ascii="Times New Roman" w:hAnsi="Times New Roman" w:cs="Times New Roman"/>
          <w:b/>
          <w:bCs/>
          <w:noProof/>
          <w:kern w:val="0"/>
          <w:sz w:val="28"/>
          <w:szCs w:val="28"/>
        </w:rPr>
      </w:pPr>
    </w:p>
    <w:p w:rsidR="0056488E" w:rsidRDefault="0056488E">
      <w:pPr>
        <w:spacing w:after="0"/>
        <w:jc w:val="both"/>
        <w:rPr>
          <w:rFonts w:ascii="Times New Roman" w:eastAsia="Times New Roman" w:hAnsi="Times New Roman" w:cs="Times New Roman"/>
          <w:kern w:val="0"/>
          <w:sz w:val="28"/>
          <w:szCs w:val="28"/>
        </w:rPr>
      </w:pPr>
    </w:p>
    <w:p w:rsidR="0056488E" w:rsidRDefault="0056488E">
      <w:pPr>
        <w:spacing w:after="0"/>
        <w:jc w:val="both"/>
        <w:rPr>
          <w:rFonts w:ascii="Times New Roman" w:hAnsi="Times New Roman" w:cs="Times New Roman"/>
          <w:b/>
          <w:bCs/>
          <w:noProof/>
          <w:kern w:val="0"/>
          <w:sz w:val="28"/>
          <w:szCs w:val="28"/>
        </w:rPr>
      </w:pPr>
    </w:p>
    <w:p w:rsidR="0056488E" w:rsidRDefault="0056488E">
      <w:pPr>
        <w:jc w:val="center"/>
        <w:rPr>
          <w:rFonts w:ascii="Times New Roman" w:hAnsi="Times New Roman" w:cs="Times New Roman"/>
          <w:b/>
          <w:bCs/>
          <w:noProof/>
          <w:kern w:val="0"/>
          <w:sz w:val="28"/>
          <w:szCs w:val="28"/>
        </w:rPr>
      </w:pPr>
    </w:p>
    <w:p w:rsidR="0056488E" w:rsidRPr="00D138F5" w:rsidRDefault="00D138F5">
      <w:pPr>
        <w:jc w:val="center"/>
        <w:rPr>
          <w:rFonts w:ascii="Times New Roman" w:hAnsi="Times New Roman" w:cs="Times New Roman"/>
          <w:b/>
          <w:bCs/>
          <w:color w:val="FF0000"/>
          <w:sz w:val="32"/>
          <w:szCs w:val="32"/>
          <w:u w:val="single"/>
        </w:rPr>
      </w:pPr>
      <w:r>
        <w:rPr>
          <w:rFonts w:ascii="Times New Roman" w:eastAsia="Times New Roman" w:hAnsi="Times New Roman" w:cs="Times New Roman"/>
          <w:color w:val="000000"/>
          <w:kern w:val="0"/>
          <w:sz w:val="28"/>
          <w:szCs w:val="28"/>
        </w:rPr>
        <w:t xml:space="preserve"> </w:t>
      </w:r>
    </w:p>
    <w:p w:rsidR="0056488E" w:rsidRPr="00D138F5" w:rsidRDefault="00D138F5">
      <w:pPr>
        <w:spacing w:after="200" w:line="276" w:lineRule="auto"/>
        <w:jc w:val="center"/>
        <w:rPr>
          <w:rFonts w:ascii="Times New Roman" w:hAnsi="Times New Roman" w:cs="Times New Roman"/>
          <w:b/>
          <w:bCs/>
          <w:kern w:val="0"/>
          <w:sz w:val="32"/>
          <w:szCs w:val="32"/>
          <w:u w:val="single"/>
        </w:rPr>
      </w:pPr>
      <w:r w:rsidRPr="00D138F5">
        <w:rPr>
          <w:rFonts w:ascii="Times New Roman" w:hAnsi="Times New Roman" w:cs="Times New Roman"/>
          <w:b/>
          <w:bCs/>
          <w:kern w:val="0"/>
          <w:sz w:val="32"/>
          <w:szCs w:val="32"/>
          <w:u w:val="single"/>
        </w:rPr>
        <w:t>Conclusion and recommendations</w:t>
      </w: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D138F5">
      <w:pPr>
        <w:spacing w:after="200" w:line="276" w:lineRule="auto"/>
        <w:rPr>
          <w:rFonts w:ascii="Times New Roman" w:hAnsi="Times New Roman" w:cs="Times New Roman"/>
          <w:b/>
          <w:bCs/>
          <w:kern w:val="0"/>
          <w:sz w:val="32"/>
          <w:szCs w:val="32"/>
          <w:u w:val="single"/>
        </w:rPr>
      </w:pPr>
      <w:r>
        <w:rPr>
          <w:rFonts w:ascii="Times New Roman" w:hAnsi="Times New Roman" w:cs="Times New Roman"/>
          <w:b/>
          <w:bCs/>
          <w:kern w:val="0"/>
          <w:sz w:val="32"/>
          <w:szCs w:val="32"/>
          <w:u w:val="single"/>
        </w:rPr>
        <w:t xml:space="preserve">Conclution:    </w:t>
      </w:r>
    </w:p>
    <w:p w:rsidR="0056488E" w:rsidRDefault="00D138F5">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This study concludes that pregnancy induces significant hematological changes among Sudanese women, particularly increased WBCs and neutrophils, and decreased platelets, lymphocytes, and eosinophils. While anemia was common among pregnant women, it did not differ significantly in mean values compared to non-pregnant women. These findings highlight the importance of routine hematological monitoring during pregnancy to detect potential complications early and guide timely interventions.</w:t>
      </w:r>
      <w:r>
        <w:rPr>
          <w:rFonts w:ascii="Times New Roman" w:eastAsia="Times New Roman" w:hAnsi="Times New Roman" w:cs="Times New Roman"/>
          <w:kern w:val="0"/>
          <w:sz w:val="28"/>
          <w:szCs w:val="28"/>
        </w:rPr>
        <w:t>.</w:t>
      </w: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rPr>
          <w:rFonts w:ascii="Times New Roman" w:hAnsi="Times New Roman" w:cs="Times New Roman"/>
          <w:b/>
          <w:bCs/>
          <w:kern w:val="0"/>
          <w:sz w:val="32"/>
          <w:szCs w:val="32"/>
          <w:u w:val="single"/>
        </w:rPr>
      </w:pPr>
    </w:p>
    <w:p w:rsidR="0056488E" w:rsidRDefault="00D138F5">
      <w:pPr>
        <w:spacing w:after="200" w:line="276" w:lineRule="auto"/>
        <w:rPr>
          <w:rFonts w:ascii="Times New Roman" w:hAnsi="Times New Roman" w:cs="Times New Roman"/>
          <w:b/>
          <w:bCs/>
          <w:kern w:val="0"/>
          <w:sz w:val="32"/>
          <w:szCs w:val="32"/>
          <w:u w:val="single"/>
        </w:rPr>
      </w:pPr>
      <w:r>
        <w:rPr>
          <w:rFonts w:ascii="Times New Roman" w:hAnsi="Times New Roman" w:cs="Times New Roman"/>
          <w:b/>
          <w:bCs/>
          <w:kern w:val="0"/>
          <w:sz w:val="32"/>
          <w:szCs w:val="32"/>
          <w:u w:val="single"/>
        </w:rPr>
        <w:t>Recommendations:</w:t>
      </w:r>
    </w:p>
    <w:p w:rsidR="0056488E" w:rsidRDefault="00D138F5">
      <w:pPr>
        <w:pStyle w:val="ListParagraph"/>
        <w:numPr>
          <w:ilvl w:val="0"/>
          <w:numId w:val="9"/>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Integrate Routine CBC Testing:</w:t>
      </w:r>
      <w:r>
        <w:rPr>
          <w:rFonts w:ascii="Times New Roman" w:eastAsia="Times New Roman" w:hAnsi="Times New Roman" w:cs="Times New Roman" w:hint="cs"/>
          <w:kern w:val="0"/>
          <w:sz w:val="28"/>
          <w:szCs w:val="28"/>
          <w:rtl/>
        </w:rPr>
        <w:t xml:space="preserve"> Incorporate complete blood count analysis as part of standard antenatal care, especially during the first visit and each trimester.</w:t>
      </w:r>
    </w:p>
    <w:p w:rsidR="0056488E" w:rsidRDefault="00D138F5">
      <w:pPr>
        <w:pStyle w:val="ListParagraph"/>
        <w:numPr>
          <w:ilvl w:val="0"/>
          <w:numId w:val="9"/>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Address Anemia in Early Pregnancy:</w:t>
      </w:r>
      <w:r>
        <w:rPr>
          <w:rFonts w:ascii="Times New Roman" w:eastAsia="Times New Roman" w:hAnsi="Times New Roman" w:cs="Times New Roman" w:hint="cs"/>
          <w:kern w:val="0"/>
          <w:sz w:val="28"/>
          <w:szCs w:val="28"/>
          <w:rtl/>
        </w:rPr>
        <w:t xml:space="preserve"> Early detection and treatment of anemia through iron and folate supplementation should be emphasized.</w:t>
      </w:r>
    </w:p>
    <w:p w:rsidR="0056488E" w:rsidRDefault="00D138F5">
      <w:pPr>
        <w:pStyle w:val="ListParagraph"/>
        <w:numPr>
          <w:ilvl w:val="0"/>
          <w:numId w:val="9"/>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Nutritional Counseling:</w:t>
      </w:r>
      <w:r>
        <w:rPr>
          <w:rFonts w:ascii="Times New Roman" w:eastAsia="Times New Roman" w:hAnsi="Times New Roman" w:cs="Times New Roman" w:hint="cs"/>
          <w:kern w:val="0"/>
          <w:sz w:val="28"/>
          <w:szCs w:val="28"/>
          <w:rtl/>
        </w:rPr>
        <w:t xml:space="preserve"> Pregnant women should receive proper nutritional guidance and support to prevent hematological complications.</w:t>
      </w:r>
    </w:p>
    <w:p w:rsidR="0056488E" w:rsidRDefault="00D138F5">
      <w:pPr>
        <w:pStyle w:val="ListParagraph"/>
        <w:numPr>
          <w:ilvl w:val="0"/>
          <w:numId w:val="9"/>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Targeted Interventions for At-Risk Groups:</w:t>
      </w:r>
      <w:r>
        <w:rPr>
          <w:rFonts w:ascii="Times New Roman" w:eastAsia="Times New Roman" w:hAnsi="Times New Roman" w:cs="Times New Roman" w:hint="cs"/>
          <w:kern w:val="0"/>
          <w:sz w:val="28"/>
          <w:szCs w:val="28"/>
          <w:rtl/>
        </w:rPr>
        <w:t xml:space="preserve"> Women in rural areas, particularly those with limited access to healthcare, should be prioritized for screening and follow-up.</w:t>
      </w:r>
    </w:p>
    <w:p w:rsidR="0056488E" w:rsidRDefault="00D138F5">
      <w:pPr>
        <w:pStyle w:val="ListParagraph"/>
        <w:numPr>
          <w:ilvl w:val="0"/>
          <w:numId w:val="9"/>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lastRenderedPageBreak/>
        <w:t>Further Research:</w:t>
      </w:r>
      <w:r>
        <w:rPr>
          <w:rFonts w:ascii="Times New Roman" w:eastAsia="Times New Roman" w:hAnsi="Times New Roman" w:cs="Times New Roman" w:hint="cs"/>
          <w:kern w:val="0"/>
          <w:sz w:val="28"/>
          <w:szCs w:val="28"/>
          <w:rtl/>
        </w:rPr>
        <w:t xml:space="preserve"> Larger studies across multiple rural settings in Sudan are recommended to generalize findings and explore other hematological and biochemical changes during pregnancy.</w:t>
      </w: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D138F5">
      <w:pPr>
        <w:spacing w:after="200" w:line="276" w:lineRule="auto"/>
        <w:jc w:val="center"/>
        <w:rPr>
          <w:rFonts w:ascii="Times New Roman" w:hAnsi="Times New Roman" w:cs="Times New Roman"/>
          <w:b/>
          <w:bCs/>
          <w:kern w:val="0"/>
          <w:sz w:val="32"/>
          <w:szCs w:val="32"/>
          <w:u w:val="single"/>
          <w:rtl/>
        </w:rPr>
      </w:pPr>
      <w:r>
        <w:rPr>
          <w:rFonts w:ascii="Times New Roman" w:hAnsi="Times New Roman" w:cs="Times New Roman"/>
          <w:b/>
          <w:bCs/>
          <w:kern w:val="0"/>
          <w:sz w:val="32"/>
          <w:szCs w:val="32"/>
          <w:u w:val="single"/>
        </w:rPr>
        <w:t>References:</w:t>
      </w:r>
    </w:p>
    <w:p w:rsidR="00926A7E" w:rsidRPr="00265B00" w:rsidRDefault="00926A7E" w:rsidP="00265B00">
      <w:pPr>
        <w:spacing w:after="200" w:line="276" w:lineRule="auto"/>
        <w:ind w:left="720"/>
        <w:rPr>
          <w:rFonts w:ascii="Times New Roman" w:hAnsi="Times New Roman" w:cs="Times New Roman"/>
          <w:kern w:val="0"/>
          <w:sz w:val="24"/>
          <w:szCs w:val="24"/>
        </w:rPr>
      </w:pPr>
      <w:r w:rsidRPr="00265B00">
        <w:rPr>
          <w:rFonts w:ascii="Times New Roman" w:hAnsi="Times New Roman" w:cs="Times New Roman"/>
          <w:kern w:val="0"/>
          <w:sz w:val="24"/>
          <w:szCs w:val="24"/>
        </w:rPr>
        <w:t xml:space="preserve">1-Anne Stien-Martin E. cherly, </w:t>
      </w:r>
      <w:proofErr w:type="gramStart"/>
      <w:r w:rsidRPr="00265B00">
        <w:rPr>
          <w:rFonts w:ascii="Times New Roman" w:hAnsi="Times New Roman" w:cs="Times New Roman"/>
          <w:kern w:val="0"/>
          <w:sz w:val="24"/>
          <w:szCs w:val="24"/>
        </w:rPr>
        <w:t>A.Lotspeich</w:t>
      </w:r>
      <w:proofErr w:type="gramEnd"/>
      <w:r w:rsidRPr="00265B00">
        <w:rPr>
          <w:rFonts w:ascii="Times New Roman" w:hAnsi="Times New Roman" w:cs="Times New Roman"/>
          <w:kern w:val="0"/>
          <w:sz w:val="24"/>
          <w:szCs w:val="24"/>
        </w:rPr>
        <w:t>-Steininger.John,A.K.(1998).Clinical Hematology,principle,Procedure and correlatin.2</w:t>
      </w:r>
      <w:r w:rsidRPr="00265B00">
        <w:rPr>
          <w:rFonts w:ascii="Times New Roman" w:hAnsi="Times New Roman" w:cs="Times New Roman"/>
          <w:kern w:val="0"/>
          <w:sz w:val="24"/>
          <w:szCs w:val="24"/>
          <w:vertAlign w:val="superscript"/>
        </w:rPr>
        <w:t>nd</w:t>
      </w:r>
      <w:r w:rsidRPr="00265B00">
        <w:rPr>
          <w:rFonts w:ascii="Times New Roman" w:hAnsi="Times New Roman" w:cs="Times New Roman"/>
          <w:kern w:val="0"/>
          <w:sz w:val="24"/>
          <w:szCs w:val="24"/>
        </w:rPr>
        <w:t xml:space="preserve"> ed.Philadilphia:Lippincott-Raven.</w:t>
      </w:r>
    </w:p>
    <w:p w:rsidR="00926A7E" w:rsidRPr="00265B00" w:rsidRDefault="00926A7E" w:rsidP="00265B00">
      <w:pPr>
        <w:spacing w:after="200" w:line="276" w:lineRule="auto"/>
        <w:ind w:left="720"/>
        <w:rPr>
          <w:rFonts w:ascii="Times New Roman" w:hAnsi="Times New Roman" w:cs="Times New Roman"/>
          <w:kern w:val="0"/>
          <w:sz w:val="24"/>
          <w:szCs w:val="24"/>
        </w:rPr>
      </w:pPr>
    </w:p>
    <w:p w:rsidR="00926A7E" w:rsidRPr="00265B00" w:rsidRDefault="00926A7E" w:rsidP="00265B00">
      <w:pPr>
        <w:spacing w:after="200" w:line="276" w:lineRule="auto"/>
        <w:ind w:left="720"/>
        <w:rPr>
          <w:rFonts w:ascii="Times New Roman" w:hAnsi="Times New Roman" w:cs="Times New Roman"/>
          <w:kern w:val="0"/>
          <w:sz w:val="24"/>
          <w:szCs w:val="24"/>
        </w:rPr>
      </w:pPr>
      <w:r w:rsidRPr="00265B00">
        <w:rPr>
          <w:rFonts w:ascii="Times New Roman" w:hAnsi="Times New Roman" w:cs="Times New Roman"/>
          <w:kern w:val="0"/>
          <w:sz w:val="24"/>
          <w:szCs w:val="24"/>
        </w:rPr>
        <w:t>2-</w:t>
      </w:r>
      <w:proofErr w:type="gramStart"/>
      <w:r w:rsidRPr="00265B00">
        <w:rPr>
          <w:rFonts w:ascii="Times New Roman" w:hAnsi="Times New Roman" w:cs="Times New Roman"/>
          <w:kern w:val="0"/>
          <w:sz w:val="24"/>
          <w:szCs w:val="24"/>
        </w:rPr>
        <w:t>Bashiri,A.</w:t>
      </w:r>
      <w:proofErr w:type="gramEnd"/>
      <w:r w:rsidRPr="00265B00">
        <w:rPr>
          <w:rFonts w:ascii="Times New Roman" w:hAnsi="Times New Roman" w:cs="Times New Roman"/>
          <w:kern w:val="0"/>
          <w:sz w:val="24"/>
          <w:szCs w:val="24"/>
        </w:rPr>
        <w:t xml:space="preserve"> Burstein,E.Sheiner,E. and mazor,M. (2003). Anemia during pregnancy and treatment with intervenous iron: review of </w:t>
      </w:r>
      <w:proofErr w:type="spellStart"/>
      <w:r w:rsidRPr="00265B00">
        <w:rPr>
          <w:rFonts w:ascii="Times New Roman" w:hAnsi="Times New Roman" w:cs="Times New Roman"/>
          <w:kern w:val="0"/>
          <w:sz w:val="24"/>
          <w:szCs w:val="24"/>
        </w:rPr>
        <w:t>litreture,Eur</w:t>
      </w:r>
      <w:proofErr w:type="spellEnd"/>
      <w:r w:rsidRPr="00265B00">
        <w:rPr>
          <w:rFonts w:ascii="Times New Roman" w:hAnsi="Times New Roman" w:cs="Times New Roman"/>
          <w:kern w:val="0"/>
          <w:sz w:val="24"/>
          <w:szCs w:val="24"/>
        </w:rPr>
        <w:t xml:space="preserve"> J </w:t>
      </w:r>
      <w:proofErr w:type="spellStart"/>
      <w:r w:rsidRPr="00265B00">
        <w:rPr>
          <w:rFonts w:ascii="Times New Roman" w:hAnsi="Times New Roman" w:cs="Times New Roman"/>
          <w:kern w:val="0"/>
          <w:sz w:val="24"/>
          <w:szCs w:val="24"/>
        </w:rPr>
        <w:t>obstet</w:t>
      </w:r>
      <w:proofErr w:type="spellEnd"/>
      <w:r w:rsidRPr="00265B00">
        <w:rPr>
          <w:rFonts w:ascii="Times New Roman" w:hAnsi="Times New Roman" w:cs="Times New Roman"/>
          <w:kern w:val="0"/>
          <w:sz w:val="24"/>
          <w:szCs w:val="24"/>
        </w:rPr>
        <w:t xml:space="preserve"> </w:t>
      </w:r>
      <w:proofErr w:type="spellStart"/>
      <w:r w:rsidRPr="00265B00">
        <w:rPr>
          <w:rFonts w:ascii="Times New Roman" w:hAnsi="Times New Roman" w:cs="Times New Roman"/>
          <w:kern w:val="0"/>
          <w:sz w:val="24"/>
          <w:szCs w:val="24"/>
        </w:rPr>
        <w:t>Gynecol</w:t>
      </w:r>
      <w:proofErr w:type="spellEnd"/>
      <w:r w:rsidRPr="00265B00">
        <w:rPr>
          <w:rFonts w:ascii="Times New Roman" w:hAnsi="Times New Roman" w:cs="Times New Roman"/>
          <w:kern w:val="0"/>
          <w:sz w:val="24"/>
          <w:szCs w:val="24"/>
        </w:rPr>
        <w:t xml:space="preserve"> </w:t>
      </w:r>
      <w:proofErr w:type="spellStart"/>
      <w:r w:rsidRPr="00265B00">
        <w:rPr>
          <w:rFonts w:ascii="Times New Roman" w:hAnsi="Times New Roman" w:cs="Times New Roman"/>
          <w:kern w:val="0"/>
          <w:sz w:val="24"/>
          <w:szCs w:val="24"/>
        </w:rPr>
        <w:t>repord</w:t>
      </w:r>
      <w:proofErr w:type="spellEnd"/>
      <w:r w:rsidRPr="00265B00">
        <w:rPr>
          <w:rFonts w:ascii="Times New Roman" w:hAnsi="Times New Roman" w:cs="Times New Roman"/>
          <w:kern w:val="0"/>
          <w:sz w:val="24"/>
          <w:szCs w:val="24"/>
        </w:rPr>
        <w:t xml:space="preserve"> Biol, 110(1): 2-7</w:t>
      </w:r>
    </w:p>
    <w:p w:rsidR="0056488E" w:rsidRPr="00265B00" w:rsidRDefault="0056488E" w:rsidP="00265B00">
      <w:pPr>
        <w:spacing w:after="0"/>
        <w:rPr>
          <w:rFonts w:ascii="Times New Roman" w:eastAsia="Times New Roman" w:hAnsi="Times New Roman" w:cs="Times New Roman"/>
          <w:kern w:val="0"/>
          <w:sz w:val="24"/>
          <w:szCs w:val="24"/>
        </w:rPr>
      </w:pPr>
    </w:p>
    <w:p w:rsidR="0056488E" w:rsidRPr="00265B00" w:rsidRDefault="00ED04AA" w:rsidP="00265B00">
      <w:pPr>
        <w:pStyle w:val="ListParagraph"/>
        <w:spacing w:after="0"/>
        <w:ind w:left="810"/>
        <w:rPr>
          <w:rFonts w:ascii="Times New Roman" w:eastAsia="Times New Roman" w:hAnsi="Times New Roman" w:cs="Times New Roman"/>
          <w:kern w:val="0"/>
          <w:sz w:val="24"/>
          <w:szCs w:val="24"/>
        </w:rPr>
      </w:pPr>
      <w:r w:rsidRPr="00265B00">
        <w:rPr>
          <w:rFonts w:ascii="Times New Roman" w:eastAsia="Times New Roman" w:hAnsi="Times New Roman" w:cs="Times New Roman"/>
          <w:kern w:val="0"/>
          <w:sz w:val="24"/>
          <w:szCs w:val="24"/>
        </w:rPr>
        <w:t xml:space="preserve">3-William, J.G and </w:t>
      </w:r>
      <w:proofErr w:type="gramStart"/>
      <w:r w:rsidRPr="00265B00">
        <w:rPr>
          <w:rFonts w:ascii="Times New Roman" w:eastAsia="Times New Roman" w:hAnsi="Times New Roman" w:cs="Times New Roman"/>
          <w:kern w:val="0"/>
          <w:sz w:val="24"/>
          <w:szCs w:val="24"/>
        </w:rPr>
        <w:t>Cindy,L</w:t>
      </w:r>
      <w:proofErr w:type="gramEnd"/>
      <w:r w:rsidRPr="00265B00">
        <w:rPr>
          <w:rFonts w:ascii="Times New Roman" w:eastAsia="Times New Roman" w:hAnsi="Times New Roman" w:cs="Times New Roman"/>
          <w:kern w:val="0"/>
          <w:sz w:val="24"/>
          <w:szCs w:val="24"/>
        </w:rPr>
        <w:t>.S (2005). Principles of human physiology.2</w:t>
      </w:r>
      <w:proofErr w:type="gramStart"/>
      <w:r w:rsidRPr="00265B00">
        <w:rPr>
          <w:rFonts w:ascii="Times New Roman" w:eastAsia="Times New Roman" w:hAnsi="Times New Roman" w:cs="Times New Roman"/>
          <w:kern w:val="0"/>
          <w:sz w:val="24"/>
          <w:szCs w:val="24"/>
          <w:vertAlign w:val="superscript"/>
        </w:rPr>
        <w:t>nd</w:t>
      </w:r>
      <w:r w:rsidRPr="00265B00">
        <w:rPr>
          <w:rFonts w:ascii="Times New Roman" w:eastAsia="Times New Roman" w:hAnsi="Times New Roman" w:cs="Times New Roman"/>
          <w:kern w:val="0"/>
          <w:sz w:val="24"/>
          <w:szCs w:val="24"/>
        </w:rPr>
        <w:t xml:space="preserve">  ed</w:t>
      </w:r>
      <w:proofErr w:type="gramEnd"/>
      <w:r w:rsidRPr="00265B00">
        <w:rPr>
          <w:rFonts w:ascii="Times New Roman" w:eastAsia="Times New Roman" w:hAnsi="Times New Roman" w:cs="Times New Roman"/>
          <w:kern w:val="0"/>
          <w:sz w:val="24"/>
          <w:szCs w:val="24"/>
        </w:rPr>
        <w:t xml:space="preserve"> .united state .</w:t>
      </w:r>
    </w:p>
    <w:p w:rsidR="00ED04AA" w:rsidRPr="00265B00" w:rsidRDefault="00ED04AA" w:rsidP="00265B00">
      <w:pPr>
        <w:pStyle w:val="ListParagraph"/>
        <w:spacing w:after="0"/>
        <w:ind w:left="810"/>
        <w:rPr>
          <w:rFonts w:ascii="Times New Roman" w:eastAsia="Times New Roman" w:hAnsi="Times New Roman" w:cs="Times New Roman"/>
          <w:kern w:val="0"/>
          <w:sz w:val="24"/>
          <w:szCs w:val="24"/>
        </w:rPr>
      </w:pPr>
    </w:p>
    <w:p w:rsidR="00ED04AA" w:rsidRPr="00265B00" w:rsidRDefault="00ED04AA" w:rsidP="00265B00">
      <w:pPr>
        <w:pStyle w:val="ListParagraph"/>
        <w:spacing w:after="0"/>
        <w:ind w:left="810"/>
        <w:rPr>
          <w:rFonts w:ascii="Times New Roman" w:eastAsia="Times New Roman" w:hAnsi="Times New Roman" w:cs="Times New Roman"/>
          <w:kern w:val="0"/>
          <w:sz w:val="24"/>
          <w:szCs w:val="24"/>
        </w:rPr>
      </w:pPr>
      <w:r w:rsidRPr="00265B00">
        <w:rPr>
          <w:rFonts w:ascii="Times New Roman" w:eastAsia="Times New Roman" w:hAnsi="Times New Roman" w:cs="Times New Roman"/>
          <w:kern w:val="0"/>
          <w:sz w:val="24"/>
          <w:szCs w:val="24"/>
        </w:rPr>
        <w:t>4- Verdy  E Bessous V and Dreyfus M. (1997). Longitudinal analysis of platelets count and volume in normal pregnancy.</w:t>
      </w:r>
    </w:p>
    <w:p w:rsidR="00ED04AA" w:rsidRPr="00265B00" w:rsidRDefault="00ED04AA" w:rsidP="00265B00">
      <w:pPr>
        <w:pStyle w:val="ListParagraph"/>
        <w:spacing w:after="0"/>
        <w:ind w:left="810"/>
        <w:rPr>
          <w:rFonts w:ascii="Times New Roman" w:eastAsia="Times New Roman" w:hAnsi="Times New Roman" w:cs="Times New Roman"/>
          <w:kern w:val="0"/>
          <w:sz w:val="24"/>
          <w:szCs w:val="24"/>
        </w:rPr>
      </w:pPr>
    </w:p>
    <w:p w:rsidR="00ED04AA" w:rsidRPr="00265B00" w:rsidRDefault="00ED04AA" w:rsidP="00265B00">
      <w:pPr>
        <w:pStyle w:val="ListParagraph"/>
        <w:spacing w:after="0"/>
        <w:ind w:left="810"/>
        <w:rPr>
          <w:rFonts w:ascii="Times New Roman" w:hAnsi="Times New Roman" w:cs="Times New Roman"/>
          <w:kern w:val="0"/>
          <w:sz w:val="24"/>
          <w:szCs w:val="24"/>
          <w:u w:val="single"/>
        </w:rPr>
      </w:pPr>
      <w:r w:rsidRPr="00265B00">
        <w:rPr>
          <w:rFonts w:ascii="Times New Roman" w:eastAsia="Times New Roman" w:hAnsi="Times New Roman" w:cs="Times New Roman"/>
          <w:kern w:val="0"/>
          <w:sz w:val="24"/>
          <w:szCs w:val="24"/>
        </w:rPr>
        <w:t xml:space="preserve">5- </w:t>
      </w:r>
      <w:proofErr w:type="gramStart"/>
      <w:r w:rsidRPr="00265B00">
        <w:rPr>
          <w:rFonts w:ascii="Times New Roman" w:eastAsia="Times New Roman" w:hAnsi="Times New Roman" w:cs="Times New Roman"/>
          <w:kern w:val="0"/>
          <w:sz w:val="24"/>
          <w:szCs w:val="24"/>
        </w:rPr>
        <w:t>Valdimarsson  H</w:t>
      </w:r>
      <w:proofErr w:type="gramEnd"/>
      <w:r w:rsidRPr="00265B00">
        <w:rPr>
          <w:rFonts w:ascii="Times New Roman" w:eastAsia="Times New Roman" w:hAnsi="Times New Roman" w:cs="Times New Roman"/>
          <w:kern w:val="0"/>
          <w:sz w:val="24"/>
          <w:szCs w:val="24"/>
        </w:rPr>
        <w:t xml:space="preserve">   Mulholland  C , fridrinksdottir v et al  1993 A longitudinal study of leucocyte blood counts and ly</w:t>
      </w:r>
      <w:r w:rsidR="00265B00" w:rsidRPr="00265B00">
        <w:rPr>
          <w:rFonts w:ascii="Times New Roman" w:eastAsia="Times New Roman" w:hAnsi="Times New Roman" w:cs="Times New Roman"/>
          <w:kern w:val="0"/>
          <w:sz w:val="24"/>
          <w:szCs w:val="24"/>
        </w:rPr>
        <w:t>mphocyte responses in pregnancy.</w:t>
      </w:r>
    </w:p>
    <w:p w:rsidR="0056488E" w:rsidRDefault="0056488E">
      <w:pPr>
        <w:spacing w:after="200" w:line="276" w:lineRule="auto"/>
        <w:jc w:val="center"/>
        <w:rPr>
          <w:rFonts w:ascii="Times New Roman" w:hAnsi="Times New Roman" w:cs="Times New Roman"/>
          <w:b/>
          <w:bCs/>
          <w:kern w:val="0"/>
          <w:sz w:val="32"/>
          <w:szCs w:val="32"/>
          <w:u w:val="single"/>
        </w:rPr>
      </w:pPr>
    </w:p>
    <w:p w:rsidR="00192284" w:rsidRPr="00192284" w:rsidRDefault="00192284" w:rsidP="00192284">
      <w:pPr>
        <w:spacing w:after="0"/>
        <w:ind w:left="720"/>
        <w:contextualSpacing/>
        <w:jc w:val="both"/>
        <w:rPr>
          <w:rFonts w:ascii="Times New Roman" w:eastAsia="Times New Roman" w:hAnsi="Times New Roman" w:cs="Times New Roman"/>
          <w:kern w:val="0"/>
          <w:sz w:val="28"/>
          <w:szCs w:val="28"/>
        </w:rPr>
      </w:pPr>
      <w:proofErr w:type="spellStart"/>
      <w:r w:rsidRPr="00192284">
        <w:rPr>
          <w:rFonts w:ascii="Times New Roman" w:eastAsia="Times New Roman" w:hAnsi="Times New Roman" w:cs="Times New Roman"/>
          <w:kern w:val="0"/>
          <w:sz w:val="28"/>
          <w:szCs w:val="28"/>
        </w:rPr>
        <w:t>Seo</w:t>
      </w:r>
      <w:proofErr w:type="spellEnd"/>
      <w:r w:rsidRPr="00192284">
        <w:rPr>
          <w:rFonts w:ascii="Times New Roman" w:eastAsia="Times New Roman" w:hAnsi="Times New Roman" w:cs="Times New Roman"/>
          <w:kern w:val="0"/>
          <w:sz w:val="28"/>
          <w:szCs w:val="28"/>
        </w:rPr>
        <w:t xml:space="preserve">, I. H., &amp; Lee, Y. J. (2022). Usefulness of complete blood count (CBC) to assess cardiovascular and metabolic diseases in clinical settings: a comprehensive literature review. Biomedicines, 10(11), 2697.  </w:t>
      </w:r>
    </w:p>
    <w:p w:rsidR="00192284" w:rsidRPr="00192284" w:rsidRDefault="00192284" w:rsidP="00192284">
      <w:pPr>
        <w:ind w:left="720"/>
        <w:contextualSpacing/>
        <w:rPr>
          <w:rFonts w:ascii="Times New Roman" w:eastAsia="Times New Roman" w:hAnsi="Times New Roman" w:cs="Times New Roman"/>
          <w:kern w:val="0"/>
          <w:sz w:val="28"/>
          <w:szCs w:val="28"/>
        </w:rPr>
      </w:pPr>
    </w:p>
    <w:p w:rsidR="00192284" w:rsidRPr="00192284" w:rsidRDefault="00192284" w:rsidP="00192284">
      <w:pPr>
        <w:spacing w:after="200" w:line="276" w:lineRule="auto"/>
        <w:ind w:left="720"/>
        <w:contextualSpacing/>
        <w:rPr>
          <w:rFonts w:ascii="Times New Roman" w:hAnsi="Times New Roman" w:cs="Times New Roman"/>
          <w:b/>
          <w:bCs/>
          <w:kern w:val="0"/>
          <w:sz w:val="32"/>
          <w:szCs w:val="32"/>
          <w:u w:val="single"/>
        </w:rPr>
      </w:pPr>
      <w:proofErr w:type="spellStart"/>
      <w:r w:rsidRPr="00192284">
        <w:rPr>
          <w:rFonts w:ascii="Times New Roman" w:eastAsia="Times New Roman" w:hAnsi="Times New Roman" w:cs="Times New Roman"/>
          <w:kern w:val="0"/>
          <w:sz w:val="28"/>
          <w:szCs w:val="28"/>
        </w:rPr>
        <w:t>Elsayid</w:t>
      </w:r>
      <w:proofErr w:type="spellEnd"/>
      <w:r w:rsidRPr="00192284">
        <w:rPr>
          <w:rFonts w:ascii="Times New Roman" w:eastAsia="Times New Roman" w:hAnsi="Times New Roman" w:cs="Times New Roman"/>
          <w:kern w:val="0"/>
          <w:sz w:val="28"/>
          <w:szCs w:val="28"/>
        </w:rPr>
        <w:t xml:space="preserve">, M. A., </w:t>
      </w:r>
      <w:proofErr w:type="spellStart"/>
      <w:r w:rsidRPr="00192284">
        <w:rPr>
          <w:rFonts w:ascii="Times New Roman" w:eastAsia="Times New Roman" w:hAnsi="Times New Roman" w:cs="Times New Roman"/>
          <w:kern w:val="0"/>
          <w:sz w:val="28"/>
          <w:szCs w:val="28"/>
        </w:rPr>
        <w:t>Alqahtani</w:t>
      </w:r>
      <w:proofErr w:type="spellEnd"/>
      <w:r w:rsidRPr="00192284">
        <w:rPr>
          <w:rFonts w:ascii="Times New Roman" w:eastAsia="Times New Roman" w:hAnsi="Times New Roman" w:cs="Times New Roman"/>
          <w:kern w:val="0"/>
          <w:sz w:val="28"/>
          <w:szCs w:val="28"/>
        </w:rPr>
        <w:t xml:space="preserve">, M. B., </w:t>
      </w:r>
      <w:proofErr w:type="spellStart"/>
      <w:r w:rsidRPr="00192284">
        <w:rPr>
          <w:rFonts w:ascii="Times New Roman" w:eastAsia="Times New Roman" w:hAnsi="Times New Roman" w:cs="Times New Roman"/>
          <w:kern w:val="0"/>
          <w:sz w:val="28"/>
          <w:szCs w:val="28"/>
        </w:rPr>
        <w:t>Khashwayn</w:t>
      </w:r>
      <w:proofErr w:type="spellEnd"/>
      <w:r w:rsidRPr="00192284">
        <w:rPr>
          <w:rFonts w:ascii="Times New Roman" w:eastAsia="Times New Roman" w:hAnsi="Times New Roman" w:cs="Times New Roman"/>
          <w:kern w:val="0"/>
          <w:sz w:val="28"/>
          <w:szCs w:val="28"/>
        </w:rPr>
        <w:t xml:space="preserve">, S. A., Khayat, R. F., </w:t>
      </w:r>
      <w:proofErr w:type="spellStart"/>
      <w:r w:rsidRPr="00192284">
        <w:rPr>
          <w:rFonts w:ascii="Times New Roman" w:eastAsia="Times New Roman" w:hAnsi="Times New Roman" w:cs="Times New Roman"/>
          <w:kern w:val="0"/>
          <w:sz w:val="28"/>
          <w:szCs w:val="28"/>
        </w:rPr>
        <w:t>Alsibyani</w:t>
      </w:r>
      <w:proofErr w:type="spellEnd"/>
      <w:r w:rsidRPr="00192284">
        <w:rPr>
          <w:rFonts w:ascii="Times New Roman" w:eastAsia="Times New Roman" w:hAnsi="Times New Roman" w:cs="Times New Roman"/>
          <w:kern w:val="0"/>
          <w:sz w:val="28"/>
          <w:szCs w:val="28"/>
        </w:rPr>
        <w:t xml:space="preserve">, F. A., </w:t>
      </w:r>
      <w:proofErr w:type="spellStart"/>
      <w:r w:rsidRPr="00192284">
        <w:rPr>
          <w:rFonts w:ascii="Times New Roman" w:eastAsia="Times New Roman" w:hAnsi="Times New Roman" w:cs="Times New Roman"/>
          <w:kern w:val="0"/>
          <w:sz w:val="28"/>
          <w:szCs w:val="28"/>
        </w:rPr>
        <w:t>Almalki</w:t>
      </w:r>
      <w:proofErr w:type="spellEnd"/>
      <w:r w:rsidRPr="00192284">
        <w:rPr>
          <w:rFonts w:ascii="Times New Roman" w:eastAsia="Times New Roman" w:hAnsi="Times New Roman" w:cs="Times New Roman"/>
          <w:kern w:val="0"/>
          <w:sz w:val="28"/>
          <w:szCs w:val="28"/>
        </w:rPr>
        <w:t xml:space="preserve">, S. F., ... &amp; </w:t>
      </w:r>
      <w:proofErr w:type="spellStart"/>
      <w:r w:rsidRPr="00192284">
        <w:rPr>
          <w:rFonts w:ascii="Times New Roman" w:eastAsia="Times New Roman" w:hAnsi="Times New Roman" w:cs="Times New Roman"/>
          <w:kern w:val="0"/>
          <w:sz w:val="28"/>
          <w:szCs w:val="28"/>
        </w:rPr>
        <w:t>Abushouk</w:t>
      </w:r>
      <w:proofErr w:type="spellEnd"/>
      <w:r w:rsidRPr="00192284">
        <w:rPr>
          <w:rFonts w:ascii="Times New Roman" w:eastAsia="Times New Roman" w:hAnsi="Times New Roman" w:cs="Times New Roman"/>
          <w:kern w:val="0"/>
          <w:sz w:val="28"/>
          <w:szCs w:val="28"/>
        </w:rPr>
        <w:t xml:space="preserve">, A. (2024). Variations in Complete Blood Count </w:t>
      </w:r>
      <w:r w:rsidRPr="00192284">
        <w:rPr>
          <w:rFonts w:ascii="Times New Roman" w:eastAsia="Times New Roman" w:hAnsi="Times New Roman" w:cs="Times New Roman"/>
          <w:kern w:val="0"/>
          <w:sz w:val="28"/>
          <w:szCs w:val="28"/>
        </w:rPr>
        <w:lastRenderedPageBreak/>
        <w:t xml:space="preserve">Parameters during Pregnancy and their Association with Maternal Age and Gravidity. Journal of Nature and Science of Medicine, 7(2), 108-113.  </w:t>
      </w:r>
    </w:p>
    <w:p w:rsidR="00192284" w:rsidRPr="00192284" w:rsidRDefault="00192284" w:rsidP="00192284">
      <w:pPr>
        <w:ind w:left="720"/>
        <w:contextualSpacing/>
        <w:rPr>
          <w:rFonts w:ascii="Times New Roman" w:hAnsi="Times New Roman" w:cs="Times New Roman"/>
          <w:b/>
          <w:bCs/>
          <w:kern w:val="0"/>
          <w:sz w:val="32"/>
          <w:szCs w:val="32"/>
          <w:u w:val="single"/>
        </w:rPr>
      </w:pPr>
    </w:p>
    <w:p w:rsidR="00192284" w:rsidRPr="00192284" w:rsidRDefault="00192284" w:rsidP="00192284">
      <w:pPr>
        <w:spacing w:after="200" w:line="276" w:lineRule="auto"/>
        <w:ind w:left="720"/>
        <w:contextualSpacing/>
        <w:rPr>
          <w:rFonts w:ascii="Times New Roman" w:hAnsi="Times New Roman" w:cs="Times New Roman"/>
          <w:b/>
          <w:bCs/>
          <w:kern w:val="0"/>
          <w:sz w:val="28"/>
          <w:szCs w:val="28"/>
          <w:u w:val="single"/>
        </w:rPr>
      </w:pPr>
      <w:r w:rsidRPr="00192284">
        <w:rPr>
          <w:rFonts w:ascii="Times New Roman" w:hAnsi="Times New Roman" w:cs="Times New Roman"/>
          <w:color w:val="222222"/>
          <w:sz w:val="28"/>
          <w:szCs w:val="28"/>
          <w:shd w:val="clear" w:color="auto" w:fill="FFFFFF"/>
        </w:rPr>
        <w:t>Monteiro Júnior, J. G. D. M., &amp; de Oliveira Cipriano Torres, D. (2019). Hematological parameters as prognostic biomarkers in patients with cardiovascular diseases. </w:t>
      </w:r>
      <w:r w:rsidRPr="00192284">
        <w:rPr>
          <w:rFonts w:ascii="Times New Roman" w:hAnsi="Times New Roman" w:cs="Times New Roman"/>
          <w:i/>
          <w:iCs/>
          <w:color w:val="222222"/>
          <w:sz w:val="28"/>
          <w:szCs w:val="28"/>
          <w:shd w:val="clear" w:color="auto" w:fill="FFFFFF"/>
        </w:rPr>
        <w:t>Current cardiology reviews</w:t>
      </w:r>
      <w:r w:rsidRPr="00192284">
        <w:rPr>
          <w:rFonts w:ascii="Times New Roman" w:hAnsi="Times New Roman" w:cs="Times New Roman"/>
          <w:color w:val="222222"/>
          <w:sz w:val="28"/>
          <w:szCs w:val="28"/>
          <w:shd w:val="clear" w:color="auto" w:fill="FFFFFF"/>
        </w:rPr>
        <w:t>, </w:t>
      </w:r>
      <w:r w:rsidRPr="00192284">
        <w:rPr>
          <w:rFonts w:ascii="Times New Roman" w:hAnsi="Times New Roman" w:cs="Times New Roman"/>
          <w:i/>
          <w:iCs/>
          <w:color w:val="222222"/>
          <w:sz w:val="28"/>
          <w:szCs w:val="28"/>
          <w:shd w:val="clear" w:color="auto" w:fill="FFFFFF"/>
        </w:rPr>
        <w:t>15</w:t>
      </w:r>
      <w:r w:rsidRPr="00192284">
        <w:rPr>
          <w:rFonts w:ascii="Times New Roman" w:hAnsi="Times New Roman" w:cs="Times New Roman"/>
          <w:color w:val="222222"/>
          <w:sz w:val="28"/>
          <w:szCs w:val="28"/>
          <w:shd w:val="clear" w:color="auto" w:fill="FFFFFF"/>
        </w:rPr>
        <w:t xml:space="preserve">(4), 274-282.  </w:t>
      </w:r>
    </w:p>
    <w:p w:rsidR="00192284" w:rsidRPr="00192284" w:rsidRDefault="00192284" w:rsidP="00192284">
      <w:pPr>
        <w:ind w:left="720"/>
        <w:contextualSpacing/>
        <w:rPr>
          <w:rFonts w:ascii="Times New Roman" w:hAnsi="Times New Roman" w:cs="Times New Roman"/>
          <w:b/>
          <w:bCs/>
          <w:kern w:val="0"/>
          <w:sz w:val="28"/>
          <w:szCs w:val="28"/>
          <w:u w:val="single"/>
        </w:rPr>
      </w:pPr>
    </w:p>
    <w:p w:rsidR="00192284" w:rsidRPr="00192284" w:rsidRDefault="00192284" w:rsidP="00192284">
      <w:pPr>
        <w:spacing w:after="200" w:line="276" w:lineRule="auto"/>
        <w:ind w:left="720"/>
        <w:contextualSpacing/>
        <w:rPr>
          <w:rFonts w:ascii="Times New Roman" w:hAnsi="Times New Roman" w:cs="Times New Roman"/>
          <w:b/>
          <w:bCs/>
          <w:kern w:val="0"/>
          <w:sz w:val="28"/>
          <w:szCs w:val="28"/>
          <w:u w:val="single"/>
        </w:rPr>
      </w:pPr>
      <w:proofErr w:type="spellStart"/>
      <w:r w:rsidRPr="00192284">
        <w:rPr>
          <w:rFonts w:ascii="Times New Roman" w:hAnsi="Times New Roman" w:cs="Times New Roman"/>
          <w:b/>
          <w:bCs/>
          <w:kern w:val="0"/>
          <w:sz w:val="28"/>
          <w:szCs w:val="28"/>
          <w:u w:val="single"/>
        </w:rPr>
        <w:t>Rahi</w:t>
      </w:r>
      <w:proofErr w:type="spellEnd"/>
      <w:r w:rsidRPr="00192284">
        <w:rPr>
          <w:rFonts w:ascii="Times New Roman" w:hAnsi="Times New Roman" w:cs="Times New Roman"/>
          <w:b/>
          <w:bCs/>
          <w:kern w:val="0"/>
          <w:sz w:val="28"/>
          <w:szCs w:val="28"/>
          <w:u w:val="single"/>
        </w:rPr>
        <w:t xml:space="preserve">, M. S., Jindal, V., Reyes, S. P., Gunasekaran, K., Gupta, R., &amp; </w:t>
      </w:r>
      <w:proofErr w:type="spellStart"/>
      <w:r w:rsidRPr="00192284">
        <w:rPr>
          <w:rFonts w:ascii="Times New Roman" w:hAnsi="Times New Roman" w:cs="Times New Roman"/>
          <w:b/>
          <w:bCs/>
          <w:kern w:val="0"/>
          <w:sz w:val="28"/>
          <w:szCs w:val="28"/>
          <w:u w:val="single"/>
        </w:rPr>
        <w:t>Jaiyesimi</w:t>
      </w:r>
      <w:proofErr w:type="spellEnd"/>
      <w:r w:rsidRPr="00192284">
        <w:rPr>
          <w:rFonts w:ascii="Times New Roman" w:hAnsi="Times New Roman" w:cs="Times New Roman"/>
          <w:b/>
          <w:bCs/>
          <w:kern w:val="0"/>
          <w:sz w:val="28"/>
          <w:szCs w:val="28"/>
          <w:u w:val="single"/>
        </w:rPr>
        <w:t xml:space="preserve">, I. (2021). Hematologic disorders associated with COVID-19: a review. Annals of hematology, 100(2), 309-320.  </w:t>
      </w:r>
    </w:p>
    <w:p w:rsidR="00192284" w:rsidRPr="00192284" w:rsidRDefault="00192284" w:rsidP="00192284">
      <w:pPr>
        <w:ind w:left="720"/>
        <w:contextualSpacing/>
        <w:rPr>
          <w:rFonts w:ascii="Times New Roman" w:hAnsi="Times New Roman" w:cs="Times New Roman"/>
          <w:b/>
          <w:bCs/>
          <w:kern w:val="0"/>
          <w:sz w:val="28"/>
          <w:szCs w:val="28"/>
          <w:u w:val="single"/>
        </w:rPr>
      </w:pPr>
    </w:p>
    <w:p w:rsidR="00192284" w:rsidRPr="00192284" w:rsidRDefault="00192284" w:rsidP="00192284">
      <w:pPr>
        <w:spacing w:after="200" w:line="276" w:lineRule="auto"/>
        <w:ind w:left="720"/>
        <w:contextualSpacing/>
        <w:rPr>
          <w:rFonts w:ascii="Times New Roman" w:hAnsi="Times New Roman" w:cs="Times New Roman"/>
          <w:b/>
          <w:bCs/>
          <w:kern w:val="0"/>
          <w:sz w:val="28"/>
          <w:szCs w:val="28"/>
          <w:u w:val="single"/>
        </w:rPr>
      </w:pPr>
      <w:r w:rsidRPr="00192284">
        <w:rPr>
          <w:rFonts w:ascii="Times New Roman" w:hAnsi="Times New Roman" w:cs="Times New Roman"/>
          <w:b/>
          <w:bCs/>
          <w:kern w:val="0"/>
          <w:sz w:val="28"/>
          <w:szCs w:val="28"/>
          <w:u w:val="single"/>
        </w:rPr>
        <w:t xml:space="preserve">Glenn, A., &amp; Armstrong, C. E. (2019). Physiology of red and white blood cells. </w:t>
      </w:r>
      <w:proofErr w:type="spellStart"/>
      <w:r w:rsidRPr="00192284">
        <w:rPr>
          <w:rFonts w:ascii="Times New Roman" w:hAnsi="Times New Roman" w:cs="Times New Roman"/>
          <w:b/>
          <w:bCs/>
          <w:kern w:val="0"/>
          <w:sz w:val="28"/>
          <w:szCs w:val="28"/>
          <w:u w:val="single"/>
        </w:rPr>
        <w:t>Anaesthesia</w:t>
      </w:r>
      <w:proofErr w:type="spellEnd"/>
      <w:r w:rsidRPr="00192284">
        <w:rPr>
          <w:rFonts w:ascii="Times New Roman" w:hAnsi="Times New Roman" w:cs="Times New Roman"/>
          <w:b/>
          <w:bCs/>
          <w:kern w:val="0"/>
          <w:sz w:val="28"/>
          <w:szCs w:val="28"/>
          <w:u w:val="single"/>
        </w:rPr>
        <w:t xml:space="preserve"> &amp; Intensive Care Medicine, 20(3), 170-174.  </w:t>
      </w: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32"/>
          <w:szCs w:val="32"/>
          <w:u w:val="single"/>
        </w:rPr>
      </w:pPr>
    </w:p>
    <w:p w:rsidR="0056488E" w:rsidRDefault="0056488E">
      <w:pPr>
        <w:spacing w:after="200" w:line="276" w:lineRule="auto"/>
        <w:jc w:val="center"/>
        <w:rPr>
          <w:rFonts w:ascii="Times New Roman" w:hAnsi="Times New Roman" w:cs="Times New Roman"/>
          <w:b/>
          <w:bCs/>
          <w:kern w:val="0"/>
          <w:sz w:val="28"/>
          <w:szCs w:val="28"/>
        </w:rPr>
      </w:pPr>
    </w:p>
    <w:p w:rsidR="0056488E" w:rsidRDefault="0056488E">
      <w:pPr>
        <w:spacing w:after="200" w:line="360" w:lineRule="auto"/>
        <w:jc w:val="both"/>
        <w:rPr>
          <w:rFonts w:ascii="Times New Roman" w:eastAsia="Times New Roman" w:hAnsi="Times New Roman" w:cs="Times New Roman"/>
          <w:kern w:val="0"/>
          <w:sz w:val="28"/>
          <w:szCs w:val="28"/>
        </w:rPr>
      </w:pPr>
    </w:p>
    <w:p w:rsidR="0056488E" w:rsidRDefault="0056488E">
      <w:pPr>
        <w:spacing w:after="200" w:line="360" w:lineRule="auto"/>
        <w:jc w:val="both"/>
        <w:rPr>
          <w:rFonts w:ascii="Times New Roman" w:eastAsia="Times New Roman" w:hAnsi="Times New Roman" w:cs="Times New Roman"/>
          <w:kern w:val="0"/>
          <w:sz w:val="28"/>
          <w:szCs w:val="28"/>
        </w:rPr>
      </w:pPr>
    </w:p>
    <w:p w:rsidR="0056488E" w:rsidRDefault="0056488E">
      <w:pPr>
        <w:spacing w:after="200" w:line="360" w:lineRule="auto"/>
        <w:jc w:val="both"/>
        <w:rPr>
          <w:rFonts w:ascii="Times New Roman" w:hAnsi="Times New Roman" w:cs="Times New Roman"/>
          <w:kern w:val="0"/>
          <w:sz w:val="28"/>
          <w:szCs w:val="28"/>
        </w:rPr>
      </w:pPr>
    </w:p>
    <w:p w:rsidR="0056488E" w:rsidRDefault="0056488E">
      <w:pPr>
        <w:rPr>
          <w:rFonts w:ascii="Arial" w:hAnsi="Arial"/>
          <w:sz w:val="28"/>
          <w:szCs w:val="28"/>
        </w:rPr>
      </w:pPr>
    </w:p>
    <w:sectPr w:rsidR="0056488E">
      <w:headerReference w:type="even" r:id="rId14"/>
      <w:headerReference w:type="default" r:id="rId15"/>
      <w:footerReference w:type="even" r:id="rId16"/>
      <w:footerReference w:type="default" r:id="rId17"/>
      <w:headerReference w:type="first" r:id="rId18"/>
      <w:footerReference w:type="first" r:id="rId19"/>
      <w:pgSz w:w="12240" w:h="15840"/>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A68" w:rsidRDefault="00BA5A68" w:rsidP="000547B1">
      <w:pPr>
        <w:spacing w:after="0" w:line="240" w:lineRule="auto"/>
      </w:pPr>
      <w:r>
        <w:separator/>
      </w:r>
    </w:p>
  </w:endnote>
  <w:endnote w:type="continuationSeparator" w:id="0">
    <w:p w:rsidR="00BA5A68" w:rsidRDefault="00BA5A68" w:rsidP="0005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B1" w:rsidRDefault="00054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B1" w:rsidRDefault="00054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B1" w:rsidRDefault="00054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A68" w:rsidRDefault="00BA5A68" w:rsidP="000547B1">
      <w:pPr>
        <w:spacing w:after="0" w:line="240" w:lineRule="auto"/>
      </w:pPr>
      <w:r>
        <w:separator/>
      </w:r>
    </w:p>
  </w:footnote>
  <w:footnote w:type="continuationSeparator" w:id="0">
    <w:p w:rsidR="00BA5A68" w:rsidRDefault="00BA5A68" w:rsidP="0005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B1" w:rsidRDefault="00054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02485"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B1" w:rsidRDefault="00054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02486"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B1" w:rsidRDefault="00054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02484"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C401C22"/>
    <w:lvl w:ilvl="0" w:tplc="7834FEC0">
      <w:start w:val="1"/>
      <w:numFmt w:val="decimal"/>
      <w:lvlText w:val="%1-"/>
      <w:lvlJc w:val="left"/>
      <w:pPr>
        <w:ind w:left="810" w:hanging="360"/>
      </w:pPr>
      <w:rPr>
        <w:rFonts w:hint="default"/>
        <w:sz w:val="24"/>
        <w:szCs w:val="24"/>
      </w:rPr>
    </w:lvl>
    <w:lvl w:ilvl="1" w:tplc="CC72A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B3B80728"/>
    <w:lvl w:ilvl="0" w:tplc="BC72169C">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06F2EA7A"/>
    <w:lvl w:ilvl="0" w:tplc="FF76E328">
      <w:start w:val="2"/>
      <w:numFmt w:val="bullet"/>
      <w:lvlText w:val=""/>
      <w:lvlJc w:val="left"/>
      <w:pPr>
        <w:ind w:left="1170" w:hanging="360"/>
      </w:pPr>
      <w:rPr>
        <w:rFonts w:ascii="Symbol" w:eastAsia="Calibri"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0000004"/>
    <w:multiLevelType w:val="hybridMultilevel"/>
    <w:tmpl w:val="467A01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0000005"/>
    <w:multiLevelType w:val="hybridMultilevel"/>
    <w:tmpl w:val="0C1E3668"/>
    <w:lvl w:ilvl="0" w:tplc="0409000F">
      <w:start w:val="1"/>
      <w:numFmt w:val="decimal"/>
      <w:lvlText w:val="%1."/>
      <w:lvlJc w:val="left"/>
      <w:pPr>
        <w:ind w:left="786" w:hanging="360"/>
      </w:pPr>
    </w:lvl>
    <w:lvl w:ilvl="1" w:tplc="16C61070" w:tentative="1">
      <w:start w:val="1"/>
      <w:numFmt w:val="lowerLetter"/>
      <w:lvlText w:val="%2."/>
      <w:lvlJc w:val="left"/>
      <w:pPr>
        <w:ind w:left="2160" w:hanging="360"/>
      </w:pPr>
    </w:lvl>
    <w:lvl w:ilvl="2" w:tplc="0C849050" w:tentative="1">
      <w:start w:val="1"/>
      <w:numFmt w:val="lowerRoman"/>
      <w:lvlText w:val="%3."/>
      <w:lvlJc w:val="right"/>
      <w:pPr>
        <w:ind w:left="2880" w:hanging="180"/>
      </w:pPr>
    </w:lvl>
    <w:lvl w:ilvl="3" w:tplc="B73274AE" w:tentative="1">
      <w:start w:val="1"/>
      <w:numFmt w:val="decimal"/>
      <w:lvlText w:val="%4."/>
      <w:lvlJc w:val="left"/>
      <w:pPr>
        <w:ind w:left="3600" w:hanging="360"/>
      </w:pPr>
    </w:lvl>
    <w:lvl w:ilvl="4" w:tplc="BDAAD298" w:tentative="1">
      <w:start w:val="1"/>
      <w:numFmt w:val="lowerLetter"/>
      <w:lvlText w:val="%5."/>
      <w:lvlJc w:val="left"/>
      <w:pPr>
        <w:ind w:left="4320" w:hanging="360"/>
      </w:pPr>
    </w:lvl>
    <w:lvl w:ilvl="5" w:tplc="8B687A9C" w:tentative="1">
      <w:start w:val="1"/>
      <w:numFmt w:val="lowerRoman"/>
      <w:lvlText w:val="%6."/>
      <w:lvlJc w:val="right"/>
      <w:pPr>
        <w:ind w:left="5040" w:hanging="180"/>
      </w:pPr>
    </w:lvl>
    <w:lvl w:ilvl="6" w:tplc="3E50D2B8" w:tentative="1">
      <w:start w:val="1"/>
      <w:numFmt w:val="decimal"/>
      <w:lvlText w:val="%7."/>
      <w:lvlJc w:val="left"/>
      <w:pPr>
        <w:ind w:left="5760" w:hanging="360"/>
      </w:pPr>
    </w:lvl>
    <w:lvl w:ilvl="7" w:tplc="8544F5F8" w:tentative="1">
      <w:start w:val="1"/>
      <w:numFmt w:val="lowerLetter"/>
      <w:lvlText w:val="%8."/>
      <w:lvlJc w:val="left"/>
      <w:pPr>
        <w:ind w:left="6480" w:hanging="360"/>
      </w:pPr>
    </w:lvl>
    <w:lvl w:ilvl="8" w:tplc="EF1A8248" w:tentative="1">
      <w:start w:val="1"/>
      <w:numFmt w:val="lowerRoman"/>
      <w:lvlText w:val="%9."/>
      <w:lvlJc w:val="right"/>
      <w:pPr>
        <w:ind w:left="7200" w:hanging="180"/>
      </w:pPr>
    </w:lvl>
  </w:abstractNum>
  <w:abstractNum w:abstractNumId="5" w15:restartNumberingAfterBreak="0">
    <w:nsid w:val="00000006"/>
    <w:multiLevelType w:val="hybridMultilevel"/>
    <w:tmpl w:val="55A4F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00CE2828"/>
    <w:lvl w:ilvl="0" w:tplc="04090019">
      <w:start w:val="1"/>
      <w:numFmt w:val="low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0000008"/>
    <w:multiLevelType w:val="hybridMultilevel"/>
    <w:tmpl w:val="376C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15B50"/>
    <w:multiLevelType w:val="hybridMultilevel"/>
    <w:tmpl w:val="568CBADE"/>
    <w:lvl w:ilvl="0" w:tplc="B6B27BD0">
      <w:start w:val="2"/>
      <w:numFmt w:val="bullet"/>
      <w:lvlText w:val=""/>
      <w:lvlJc w:val="left"/>
      <w:pPr>
        <w:ind w:left="1530" w:hanging="360"/>
      </w:pPr>
      <w:rPr>
        <w:rFonts w:ascii="Symbol" w:eastAsia="Calibri"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88E"/>
    <w:rsid w:val="000547B1"/>
    <w:rsid w:val="000C6ECF"/>
    <w:rsid w:val="00192284"/>
    <w:rsid w:val="00265B00"/>
    <w:rsid w:val="00317998"/>
    <w:rsid w:val="003B5529"/>
    <w:rsid w:val="004B19AC"/>
    <w:rsid w:val="00507DAE"/>
    <w:rsid w:val="00540E62"/>
    <w:rsid w:val="00554026"/>
    <w:rsid w:val="0056488E"/>
    <w:rsid w:val="006157C0"/>
    <w:rsid w:val="00687F39"/>
    <w:rsid w:val="00926A7E"/>
    <w:rsid w:val="00BA5A68"/>
    <w:rsid w:val="00C9487A"/>
    <w:rsid w:val="00CA6B23"/>
    <w:rsid w:val="00D138F5"/>
    <w:rsid w:val="00D90B30"/>
    <w:rsid w:val="00E37F5F"/>
    <w:rsid w:val="00ED04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FE855B-1347-474D-9A26-EC939174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54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B1"/>
  </w:style>
  <w:style w:type="paragraph" w:styleId="Footer">
    <w:name w:val="footer"/>
    <w:basedOn w:val="Normal"/>
    <w:link w:val="FooterChar"/>
    <w:uiPriority w:val="99"/>
    <w:unhideWhenUsed/>
    <w:rsid w:val="00054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cs typeface="Aldhabi" pitchFamily="2" charset="-78"/>
              </a:rPr>
              <a:t>Age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Sheet4!$J$4</c:f>
              <c:strCache>
                <c:ptCount val="1"/>
                <c:pt idx="0">
                  <c:v>18 - 30 Years</c:v>
                </c:pt>
              </c:strCache>
            </c:strRef>
          </c:tx>
          <c:spPr>
            <a:solidFill>
              <a:schemeClr val="accent6">
                <a:lumMod val="60000"/>
                <a:lumOff val="40000"/>
              </a:schemeClr>
            </a:solidFill>
          </c:spPr>
          <c:invertIfNegative val="0"/>
          <c:dLbls>
            <c:dLbl>
              <c:idx val="0"/>
              <c:layout>
                <c:manualLayout>
                  <c:x val="3.055555555555555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C2-4242-BA3B-218FCB898039}"/>
                </c:ext>
              </c:extLst>
            </c:dLbl>
            <c:dLbl>
              <c:idx val="1"/>
              <c:layout>
                <c:manualLayout>
                  <c:x val="3.6111111111111108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C2-4242-BA3B-218FCB898039}"/>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Sheet4!$K$4:$L$4</c:f>
              <c:numCache>
                <c:formatCode>0%</c:formatCode>
                <c:ptCount val="2"/>
                <c:pt idx="0">
                  <c:v>0.74</c:v>
                </c:pt>
                <c:pt idx="1">
                  <c:v>0.78</c:v>
                </c:pt>
              </c:numCache>
            </c:numRef>
          </c:val>
          <c:extLst>
            <c:ext xmlns:c16="http://schemas.microsoft.com/office/drawing/2014/chart" uri="{C3380CC4-5D6E-409C-BE32-E72D297353CC}">
              <c16:uniqueId val="{00000002-BFC2-4242-BA3B-218FCB898039}"/>
            </c:ext>
          </c:extLst>
        </c:ser>
        <c:ser>
          <c:idx val="1"/>
          <c:order val="1"/>
          <c:tx>
            <c:strRef>
              <c:f>Sheet4!$J$5</c:f>
              <c:strCache>
                <c:ptCount val="1"/>
                <c:pt idx="0">
                  <c:v>More than 30 Years</c:v>
                </c:pt>
              </c:strCache>
            </c:strRef>
          </c:tx>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C2-4242-BA3B-218FCB898039}"/>
                </c:ext>
              </c:extLst>
            </c:dLbl>
            <c:dLbl>
              <c:idx val="1"/>
              <c:layout>
                <c:manualLayout>
                  <c:x val="5.8333333333333334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C2-4242-BA3B-218FCB898039}"/>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Sheet4!$K$5:$L$5</c:f>
              <c:numCache>
                <c:formatCode>0%</c:formatCode>
                <c:ptCount val="2"/>
                <c:pt idx="0">
                  <c:v>0.26</c:v>
                </c:pt>
                <c:pt idx="1">
                  <c:v>0.22</c:v>
                </c:pt>
              </c:numCache>
            </c:numRef>
          </c:val>
          <c:extLst>
            <c:ext xmlns:c16="http://schemas.microsoft.com/office/drawing/2014/chart" uri="{C3380CC4-5D6E-409C-BE32-E72D297353CC}">
              <c16:uniqueId val="{00000005-BFC2-4242-BA3B-218FCB898039}"/>
            </c:ext>
          </c:extLst>
        </c:ser>
        <c:dLbls>
          <c:showLegendKey val="0"/>
          <c:showVal val="1"/>
          <c:showCatName val="0"/>
          <c:showSerName val="0"/>
          <c:showPercent val="0"/>
          <c:showBubbleSize val="0"/>
        </c:dLbls>
        <c:gapWidth val="150"/>
        <c:shape val="box"/>
        <c:axId val="94337664"/>
        <c:axId val="65065344"/>
        <c:axId val="0"/>
      </c:bar3DChart>
      <c:catAx>
        <c:axId val="94337664"/>
        <c:scaling>
          <c:orientation val="minMax"/>
        </c:scaling>
        <c:delete val="0"/>
        <c:axPos val="b"/>
        <c:numFmt formatCode="General" sourceLinked="0"/>
        <c:majorTickMark val="none"/>
        <c:minorTickMark val="none"/>
        <c:tickLblPos val="nextTo"/>
        <c:txPr>
          <a:bodyPr/>
          <a:lstStyle/>
          <a:p>
            <a:pPr>
              <a:defRPr sz="1200" b="1"/>
            </a:pPr>
            <a:endParaRPr lang="en-US"/>
          </a:p>
        </c:txPr>
        <c:crossAx val="65065344"/>
        <c:crosses val="autoZero"/>
        <c:auto val="1"/>
        <c:lblAlgn val="ctr"/>
        <c:lblOffset val="100"/>
        <c:noMultiLvlLbl val="0"/>
      </c:catAx>
      <c:valAx>
        <c:axId val="65065344"/>
        <c:scaling>
          <c:orientation val="minMax"/>
        </c:scaling>
        <c:delete val="1"/>
        <c:axPos val="l"/>
        <c:numFmt formatCode="0%" sourceLinked="1"/>
        <c:majorTickMark val="none"/>
        <c:minorTickMark val="none"/>
        <c:tickLblPos val="nextTo"/>
        <c:crossAx val="94337664"/>
        <c:crosses val="autoZero"/>
        <c:crossBetween val="between"/>
      </c:valAx>
    </c:plotArea>
    <c:legend>
      <c:legendPos val="t"/>
      <c:overlay val="0"/>
      <c:txPr>
        <a:bodyPr/>
        <a:lstStyle/>
        <a:p>
          <a:pPr>
            <a:defRPr sz="1100"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800">
                <a:solidFill>
                  <a:schemeClr val="accent6">
                    <a:lumMod val="75000"/>
                  </a:schemeClr>
                </a:solidFill>
                <a:latin typeface="Agency FB" pitchFamily="34" charset="0"/>
              </a:rPr>
              <a:t>Trimester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5">
                  <a:lumMod val="60000"/>
                  <a:lumOff val="40000"/>
                </a:schemeClr>
              </a:solidFill>
            </c:spPr>
            <c:extLst>
              <c:ext xmlns:c16="http://schemas.microsoft.com/office/drawing/2014/chart" uri="{C3380CC4-5D6E-409C-BE32-E72D297353CC}">
                <c16:uniqueId val="{00000001-EC66-4CCC-AFD0-8D4DB94C4092}"/>
              </c:ext>
            </c:extLst>
          </c:dPt>
          <c:dPt>
            <c:idx val="1"/>
            <c:bubble3D val="0"/>
            <c:spPr>
              <a:solidFill>
                <a:schemeClr val="accent4">
                  <a:lumMod val="60000"/>
                  <a:lumOff val="40000"/>
                </a:schemeClr>
              </a:solidFill>
            </c:spPr>
            <c:extLst>
              <c:ext xmlns:c16="http://schemas.microsoft.com/office/drawing/2014/chart" uri="{C3380CC4-5D6E-409C-BE32-E72D297353CC}">
                <c16:uniqueId val="{00000003-EC66-4CCC-AFD0-8D4DB94C4092}"/>
              </c:ext>
            </c:extLst>
          </c:dPt>
          <c:dPt>
            <c:idx val="2"/>
            <c:bubble3D val="0"/>
            <c:spPr>
              <a:solidFill>
                <a:schemeClr val="accent2">
                  <a:lumMod val="60000"/>
                  <a:lumOff val="40000"/>
                </a:schemeClr>
              </a:solidFill>
            </c:spPr>
            <c:extLst>
              <c:ext xmlns:c16="http://schemas.microsoft.com/office/drawing/2014/chart" uri="{C3380CC4-5D6E-409C-BE32-E72D297353CC}">
                <c16:uniqueId val="{00000005-EC66-4CCC-AFD0-8D4DB94C4092}"/>
              </c:ext>
            </c:extLst>
          </c:dPt>
          <c:dLbls>
            <c:spPr>
              <a:noFill/>
              <a:ln>
                <a:noFill/>
              </a:ln>
              <a:effectLst/>
            </c:spPr>
            <c:txPr>
              <a:bodyPr/>
              <a:lstStyle/>
              <a:p>
                <a:pPr>
                  <a:defRPr sz="14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Sheet4!$P$5:$P$7</c:f>
              <c:strCache>
                <c:ptCount val="3"/>
                <c:pt idx="0">
                  <c:v>First Trimester</c:v>
                </c:pt>
                <c:pt idx="1">
                  <c:v>Second Trimester</c:v>
                </c:pt>
                <c:pt idx="2">
                  <c:v>Third Trimester</c:v>
                </c:pt>
              </c:strCache>
            </c:strRef>
          </c:cat>
          <c:val>
            <c:numRef>
              <c:f>Sheet4!$Q$5:$Q$7</c:f>
              <c:numCache>
                <c:formatCode>General</c:formatCode>
                <c:ptCount val="3"/>
                <c:pt idx="0">
                  <c:v>18</c:v>
                </c:pt>
                <c:pt idx="1">
                  <c:v>18</c:v>
                </c:pt>
                <c:pt idx="2">
                  <c:v>64</c:v>
                </c:pt>
              </c:numCache>
            </c:numRef>
          </c:val>
          <c:extLst>
            <c:ext xmlns:c16="http://schemas.microsoft.com/office/drawing/2014/chart" uri="{C3380CC4-5D6E-409C-BE32-E72D297353CC}">
              <c16:uniqueId val="{00000006-EC66-4CCC-AFD0-8D4DB94C4092}"/>
            </c:ext>
          </c:extLst>
        </c:ser>
        <c:dLbls>
          <c:showLegendKey val="0"/>
          <c:showVal val="0"/>
          <c:showCatName val="0"/>
          <c:showSerName val="0"/>
          <c:showPercent val="1"/>
          <c:showBubbleSize val="0"/>
          <c:showLeaderLines val="1"/>
        </c:dLbls>
      </c:pie3DChart>
    </c:plotArea>
    <c:legend>
      <c:legendPos val="r"/>
      <c:overlay val="0"/>
      <c:txPr>
        <a:bodyPr/>
        <a:lstStyle/>
        <a:p>
          <a:pPr>
            <a:defRPr sz="1100"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a:solidFill>
                  <a:schemeClr val="accent6">
                    <a:lumMod val="75000"/>
                  </a:schemeClr>
                </a:solidFill>
                <a:effectLst/>
                <a:latin typeface="Agency FB" pitchFamily="34" charset="0"/>
              </a:rPr>
              <a:t>Nutritional Supplement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extLst>
              <c:ext xmlns:c16="http://schemas.microsoft.com/office/drawing/2014/chart" uri="{C3380CC4-5D6E-409C-BE32-E72D297353CC}">
                <c16:uniqueId val="{00000001-54D1-4192-AC45-EEF5A64D05B5}"/>
              </c:ext>
            </c:extLst>
          </c:dPt>
          <c:dPt>
            <c:idx val="1"/>
            <c:bubble3D val="0"/>
            <c:spPr>
              <a:solidFill>
                <a:schemeClr val="accent2"/>
              </a:solidFill>
            </c:spPr>
            <c:extLst>
              <c:ext xmlns:c16="http://schemas.microsoft.com/office/drawing/2014/chart" uri="{C3380CC4-5D6E-409C-BE32-E72D297353CC}">
                <c16:uniqueId val="{00000003-54D1-4192-AC45-EEF5A64D05B5}"/>
              </c:ext>
            </c:extLst>
          </c:dPt>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Sheet4!$V$26:$V$27</c:f>
              <c:strCache>
                <c:ptCount val="2"/>
                <c:pt idx="0">
                  <c:v>Yes</c:v>
                </c:pt>
                <c:pt idx="1">
                  <c:v>No</c:v>
                </c:pt>
              </c:strCache>
            </c:strRef>
          </c:cat>
          <c:val>
            <c:numRef>
              <c:f>Sheet4!$W$26:$W$27</c:f>
              <c:numCache>
                <c:formatCode>General</c:formatCode>
                <c:ptCount val="2"/>
                <c:pt idx="0">
                  <c:v>47</c:v>
                </c:pt>
                <c:pt idx="1">
                  <c:v>3</c:v>
                </c:pt>
              </c:numCache>
            </c:numRef>
          </c:val>
          <c:extLst>
            <c:ext xmlns:c16="http://schemas.microsoft.com/office/drawing/2014/chart" uri="{C3380CC4-5D6E-409C-BE32-E72D297353CC}">
              <c16:uniqueId val="{00000004-54D1-4192-AC45-EEF5A64D05B5}"/>
            </c:ext>
          </c:extLst>
        </c:ser>
        <c:dLbls>
          <c:showLegendKey val="0"/>
          <c:showVal val="0"/>
          <c:showCatName val="0"/>
          <c:showSerName val="0"/>
          <c:showPercent val="1"/>
          <c:showBubbleSize val="0"/>
          <c:showLeaderLines val="1"/>
        </c:dLbls>
      </c:pie3DChart>
    </c:plotArea>
    <c:legend>
      <c:legendPos val="r"/>
      <c:overlay val="0"/>
      <c:txPr>
        <a:bodyPr/>
        <a:lstStyle/>
        <a:p>
          <a:pPr>
            <a:defRPr sz="1400"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HB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Sheet5!$M$9</c:f>
              <c:strCache>
                <c:ptCount val="1"/>
                <c:pt idx="0">
                  <c:v>low</c:v>
                </c:pt>
              </c:strCache>
            </c:strRef>
          </c:tx>
          <c:invertIfNegative val="0"/>
          <c:dLbls>
            <c:dLbl>
              <c:idx val="0"/>
              <c:layout>
                <c:manualLayout>
                  <c:x val="3.88888888888888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9B-4EBD-A113-0A2D51527CBC}"/>
                </c:ext>
              </c:extLst>
            </c:dLbl>
            <c:dLbl>
              <c:idx val="1"/>
              <c:layout>
                <c:manualLayout>
                  <c:x val="4.722222222222222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9B-4EBD-A113-0A2D51527CBC}"/>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Sheet5!$N$9:$O$9</c:f>
              <c:numCache>
                <c:formatCode>0%</c:formatCode>
                <c:ptCount val="2"/>
                <c:pt idx="0">
                  <c:v>0.72</c:v>
                </c:pt>
                <c:pt idx="1">
                  <c:v>0.86</c:v>
                </c:pt>
              </c:numCache>
            </c:numRef>
          </c:val>
          <c:extLst>
            <c:ext xmlns:c16="http://schemas.microsoft.com/office/drawing/2014/chart" uri="{C3380CC4-5D6E-409C-BE32-E72D297353CC}">
              <c16:uniqueId val="{00000002-C69B-4EBD-A113-0A2D51527CBC}"/>
            </c:ext>
          </c:extLst>
        </c:ser>
        <c:ser>
          <c:idx val="1"/>
          <c:order val="1"/>
          <c:tx>
            <c:strRef>
              <c:f>Sheet5!$M$10</c:f>
              <c:strCache>
                <c:ptCount val="1"/>
                <c:pt idx="0">
                  <c:v>Normal</c:v>
                </c:pt>
              </c:strCache>
            </c:strRef>
          </c:tx>
          <c:invertIfNegative val="0"/>
          <c:dLbls>
            <c:dLbl>
              <c:idx val="0"/>
              <c:layout>
                <c:manualLayout>
                  <c:x val="3.333333333333328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9B-4EBD-A113-0A2D51527CBC}"/>
                </c:ext>
              </c:extLst>
            </c:dLbl>
            <c:dLbl>
              <c:idx val="1"/>
              <c:layout>
                <c:manualLayout>
                  <c:x val="4.1666666666666664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9B-4EBD-A113-0A2D51527CBC}"/>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Sheet5!$N$10:$O$10</c:f>
              <c:numCache>
                <c:formatCode>0%</c:formatCode>
                <c:ptCount val="2"/>
                <c:pt idx="0">
                  <c:v>0.28000000000000003</c:v>
                </c:pt>
                <c:pt idx="1">
                  <c:v>0.14000000000000001</c:v>
                </c:pt>
              </c:numCache>
            </c:numRef>
          </c:val>
          <c:extLst>
            <c:ext xmlns:c16="http://schemas.microsoft.com/office/drawing/2014/chart" uri="{C3380CC4-5D6E-409C-BE32-E72D297353CC}">
              <c16:uniqueId val="{00000005-C69B-4EBD-A113-0A2D51527CBC}"/>
            </c:ext>
          </c:extLst>
        </c:ser>
        <c:dLbls>
          <c:showLegendKey val="0"/>
          <c:showVal val="1"/>
          <c:showCatName val="0"/>
          <c:showSerName val="0"/>
          <c:showPercent val="0"/>
          <c:showBubbleSize val="0"/>
        </c:dLbls>
        <c:gapWidth val="150"/>
        <c:shape val="cylinder"/>
        <c:axId val="65328640"/>
        <c:axId val="65330176"/>
        <c:axId val="0"/>
      </c:bar3DChart>
      <c:catAx>
        <c:axId val="65328640"/>
        <c:scaling>
          <c:orientation val="minMax"/>
        </c:scaling>
        <c:delete val="0"/>
        <c:axPos val="b"/>
        <c:numFmt formatCode="General" sourceLinked="0"/>
        <c:majorTickMark val="none"/>
        <c:minorTickMark val="none"/>
        <c:tickLblPos val="nextTo"/>
        <c:txPr>
          <a:bodyPr/>
          <a:lstStyle/>
          <a:p>
            <a:pPr>
              <a:defRPr sz="1200" b="1"/>
            </a:pPr>
            <a:endParaRPr lang="en-US"/>
          </a:p>
        </c:txPr>
        <c:crossAx val="65330176"/>
        <c:crosses val="autoZero"/>
        <c:auto val="1"/>
        <c:lblAlgn val="ctr"/>
        <c:lblOffset val="100"/>
        <c:noMultiLvlLbl val="0"/>
      </c:catAx>
      <c:valAx>
        <c:axId val="65330176"/>
        <c:scaling>
          <c:orientation val="minMax"/>
        </c:scaling>
        <c:delete val="1"/>
        <c:axPos val="l"/>
        <c:numFmt formatCode="0%" sourceLinked="1"/>
        <c:majorTickMark val="out"/>
        <c:minorTickMark val="none"/>
        <c:tickLblPos val="nextTo"/>
        <c:crossAx val="65328640"/>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RBCs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Sheet5!$U$14</c:f>
              <c:strCache>
                <c:ptCount val="1"/>
                <c:pt idx="0">
                  <c:v>Pregnancy women  </c:v>
                </c:pt>
              </c:strCache>
            </c:strRef>
          </c:tx>
          <c:spPr>
            <a:solidFill>
              <a:srgbClr val="00B0F0"/>
            </a:solidFill>
          </c:spPr>
          <c:invertIfNegative val="0"/>
          <c:dLbls>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Sheet5!$U$15:$U$17</c:f>
              <c:numCache>
                <c:formatCode>0%</c:formatCode>
                <c:ptCount val="3"/>
                <c:pt idx="0">
                  <c:v>0.34</c:v>
                </c:pt>
                <c:pt idx="1">
                  <c:v>0.6</c:v>
                </c:pt>
                <c:pt idx="2">
                  <c:v>0.06</c:v>
                </c:pt>
              </c:numCache>
            </c:numRef>
          </c:val>
          <c:extLst>
            <c:ext xmlns:c16="http://schemas.microsoft.com/office/drawing/2014/chart" uri="{C3380CC4-5D6E-409C-BE32-E72D297353CC}">
              <c16:uniqueId val="{00000000-6D94-4D7B-8B78-B2D2C0A6EBAA}"/>
            </c:ext>
          </c:extLst>
        </c:ser>
        <c:ser>
          <c:idx val="1"/>
          <c:order val="1"/>
          <c:tx>
            <c:strRef>
              <c:f>Sheet5!$V$14</c:f>
              <c:strCache>
                <c:ptCount val="1"/>
                <c:pt idx="0">
                  <c:v>Non Pregnancy  women</c:v>
                </c:pt>
              </c:strCache>
            </c:strRef>
          </c:tx>
          <c:spPr>
            <a:solidFill>
              <a:srgbClr val="92D050"/>
            </a:solidFill>
          </c:spPr>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Sheet5!$V$15:$V$17</c:f>
              <c:numCache>
                <c:formatCode>0%</c:formatCode>
                <c:ptCount val="3"/>
                <c:pt idx="0">
                  <c:v>0.36</c:v>
                </c:pt>
                <c:pt idx="1">
                  <c:v>0.64</c:v>
                </c:pt>
                <c:pt idx="2">
                  <c:v>0</c:v>
                </c:pt>
              </c:numCache>
            </c:numRef>
          </c:val>
          <c:extLst>
            <c:ext xmlns:c16="http://schemas.microsoft.com/office/drawing/2014/chart" uri="{C3380CC4-5D6E-409C-BE32-E72D297353CC}">
              <c16:uniqueId val="{00000001-6D94-4D7B-8B78-B2D2C0A6EBAA}"/>
            </c:ext>
          </c:extLst>
        </c:ser>
        <c:dLbls>
          <c:showLegendKey val="0"/>
          <c:showVal val="1"/>
          <c:showCatName val="0"/>
          <c:showSerName val="0"/>
          <c:showPercent val="0"/>
          <c:showBubbleSize val="0"/>
        </c:dLbls>
        <c:gapWidth val="150"/>
        <c:shape val="pyramid"/>
        <c:axId val="65434752"/>
        <c:axId val="65436288"/>
        <c:axId val="0"/>
      </c:bar3DChart>
      <c:catAx>
        <c:axId val="65434752"/>
        <c:scaling>
          <c:orientation val="minMax"/>
        </c:scaling>
        <c:delete val="0"/>
        <c:axPos val="b"/>
        <c:numFmt formatCode="General" sourceLinked="0"/>
        <c:majorTickMark val="none"/>
        <c:minorTickMark val="none"/>
        <c:tickLblPos val="nextTo"/>
        <c:txPr>
          <a:bodyPr/>
          <a:lstStyle/>
          <a:p>
            <a:pPr>
              <a:defRPr sz="1400" b="1"/>
            </a:pPr>
            <a:endParaRPr lang="en-US"/>
          </a:p>
        </c:txPr>
        <c:crossAx val="65436288"/>
        <c:crosses val="autoZero"/>
        <c:auto val="1"/>
        <c:lblAlgn val="ctr"/>
        <c:lblOffset val="100"/>
        <c:noMultiLvlLbl val="0"/>
      </c:catAx>
      <c:valAx>
        <c:axId val="65436288"/>
        <c:scaling>
          <c:orientation val="minMax"/>
        </c:scaling>
        <c:delete val="1"/>
        <c:axPos val="l"/>
        <c:numFmt formatCode="0%" sourceLinked="1"/>
        <c:majorTickMark val="out"/>
        <c:minorTickMark val="none"/>
        <c:tickLblPos val="nextTo"/>
        <c:crossAx val="65434752"/>
        <c:crosses val="autoZero"/>
        <c:crossBetween val="between"/>
      </c:valAx>
    </c:plotArea>
    <c:legend>
      <c:legendPos val="t"/>
      <c:layout>
        <c:manualLayout>
          <c:xMode val="edge"/>
          <c:yMode val="edge"/>
          <c:x val="5.9729440069991251E-2"/>
          <c:y val="0.18030110819480899"/>
          <c:w val="0.87776334208223972"/>
          <c:h val="9.4923811606882472E-2"/>
        </c:manualLayout>
      </c:layout>
      <c:overlay val="0"/>
      <c:txPr>
        <a:bodyPr/>
        <a:lstStyle/>
        <a:p>
          <a:pPr>
            <a:defRPr sz="1200" b="1"/>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WBC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Sheet5!$V$23</c:f>
              <c:strCache>
                <c:ptCount val="1"/>
                <c:pt idx="0">
                  <c:v>Pregnancy women  </c:v>
                </c:pt>
              </c:strCache>
            </c:strRef>
          </c:tx>
          <c:spPr>
            <a:solidFill>
              <a:srgbClr val="FF65FF">
                <a:alpha val="98039"/>
              </a:srgbClr>
            </a:solidFill>
          </c:spPr>
          <c:invertIfNegative val="0"/>
          <c:dLbls>
            <c:dLbl>
              <c:idx val="1"/>
              <c:layout>
                <c:manualLayout>
                  <c:x val="1.1111111111111112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6E-4844-94AE-14271B84E56E}"/>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Sheet5!$W$23:$X$23</c:f>
              <c:numCache>
                <c:formatCode>0%</c:formatCode>
                <c:ptCount val="2"/>
                <c:pt idx="0">
                  <c:v>0.76</c:v>
                </c:pt>
                <c:pt idx="1">
                  <c:v>0.24</c:v>
                </c:pt>
              </c:numCache>
            </c:numRef>
          </c:val>
          <c:extLst>
            <c:ext xmlns:c16="http://schemas.microsoft.com/office/drawing/2014/chart" uri="{C3380CC4-5D6E-409C-BE32-E72D297353CC}">
              <c16:uniqueId val="{00000001-5B6E-4844-94AE-14271B84E56E}"/>
            </c:ext>
          </c:extLst>
        </c:ser>
        <c:ser>
          <c:idx val="1"/>
          <c:order val="1"/>
          <c:tx>
            <c:strRef>
              <c:f>Sheet5!$V$24</c:f>
              <c:strCache>
                <c:ptCount val="1"/>
                <c:pt idx="0">
                  <c:v>Non Pregnancy  women</c:v>
                </c:pt>
              </c:strCache>
            </c:strRef>
          </c:tx>
          <c:spPr>
            <a:solidFill>
              <a:srgbClr val="92D050"/>
            </a:solidFill>
          </c:spPr>
          <c:invertIfNegative val="0"/>
          <c:dLbls>
            <c:dLbl>
              <c:idx val="0"/>
              <c:layout>
                <c:manualLayout>
                  <c:x val="2.2222222222222223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6E-4844-94AE-14271B84E56E}"/>
                </c:ext>
              </c:extLst>
            </c:dLbl>
            <c:dLbl>
              <c:idx val="1"/>
              <c:layout>
                <c:manualLayout>
                  <c:x val="3.055555555555565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6E-4844-94AE-14271B84E56E}"/>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Sheet5!$W$24:$X$24</c:f>
              <c:numCache>
                <c:formatCode>0%</c:formatCode>
                <c:ptCount val="2"/>
                <c:pt idx="0">
                  <c:v>0.96</c:v>
                </c:pt>
                <c:pt idx="1">
                  <c:v>0.04</c:v>
                </c:pt>
              </c:numCache>
            </c:numRef>
          </c:val>
          <c:extLst>
            <c:ext xmlns:c16="http://schemas.microsoft.com/office/drawing/2014/chart" uri="{C3380CC4-5D6E-409C-BE32-E72D297353CC}">
              <c16:uniqueId val="{00000004-5B6E-4844-94AE-14271B84E56E}"/>
            </c:ext>
          </c:extLst>
        </c:ser>
        <c:dLbls>
          <c:showLegendKey val="0"/>
          <c:showVal val="1"/>
          <c:showCatName val="0"/>
          <c:showSerName val="0"/>
          <c:showPercent val="0"/>
          <c:showBubbleSize val="0"/>
        </c:dLbls>
        <c:gapWidth val="150"/>
        <c:shape val="pyramid"/>
        <c:axId val="66450176"/>
        <c:axId val="66451712"/>
        <c:axId val="0"/>
      </c:bar3DChart>
      <c:catAx>
        <c:axId val="66450176"/>
        <c:scaling>
          <c:orientation val="minMax"/>
        </c:scaling>
        <c:delete val="0"/>
        <c:axPos val="b"/>
        <c:numFmt formatCode="General" sourceLinked="0"/>
        <c:majorTickMark val="none"/>
        <c:minorTickMark val="none"/>
        <c:tickLblPos val="nextTo"/>
        <c:txPr>
          <a:bodyPr/>
          <a:lstStyle/>
          <a:p>
            <a:pPr>
              <a:defRPr sz="1400" b="1"/>
            </a:pPr>
            <a:endParaRPr lang="en-US"/>
          </a:p>
        </c:txPr>
        <c:crossAx val="66451712"/>
        <c:crosses val="autoZero"/>
        <c:auto val="1"/>
        <c:lblAlgn val="ctr"/>
        <c:lblOffset val="100"/>
        <c:noMultiLvlLbl val="0"/>
      </c:catAx>
      <c:valAx>
        <c:axId val="66451712"/>
        <c:scaling>
          <c:orientation val="minMax"/>
        </c:scaling>
        <c:delete val="1"/>
        <c:axPos val="l"/>
        <c:numFmt formatCode="0%" sourceLinked="1"/>
        <c:majorTickMark val="none"/>
        <c:minorTickMark val="none"/>
        <c:tickLblPos val="nextTo"/>
        <c:crossAx val="66450176"/>
        <c:crosses val="autoZero"/>
        <c:crossBetween val="between"/>
      </c:valAx>
    </c:plotArea>
    <c:legend>
      <c:legendPos val="t"/>
      <c:overlay val="0"/>
      <c:txPr>
        <a:bodyPr/>
        <a:lstStyle/>
        <a:p>
          <a:pPr>
            <a:defRPr sz="1400" b="1"/>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Plts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0555555555555555E-2"/>
          <c:y val="0.31689158646835808"/>
          <c:w val="0.93888888888888888"/>
          <c:h val="0.54066965587634874"/>
        </c:manualLayout>
      </c:layout>
      <c:bar3DChart>
        <c:barDir val="col"/>
        <c:grouping val="clustered"/>
        <c:varyColors val="0"/>
        <c:ser>
          <c:idx val="0"/>
          <c:order val="0"/>
          <c:tx>
            <c:strRef>
              <c:f>Sheet5!$Z$29</c:f>
              <c:strCache>
                <c:ptCount val="1"/>
                <c:pt idx="0">
                  <c:v>Pregnancy women  </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Sheet5!$AA$29:$AC$29</c:f>
              <c:numCache>
                <c:formatCode>0%</c:formatCode>
                <c:ptCount val="3"/>
                <c:pt idx="0">
                  <c:v>0.08</c:v>
                </c:pt>
                <c:pt idx="1">
                  <c:v>0.92</c:v>
                </c:pt>
                <c:pt idx="2">
                  <c:v>0</c:v>
                </c:pt>
              </c:numCache>
            </c:numRef>
          </c:val>
          <c:extLst>
            <c:ext xmlns:c16="http://schemas.microsoft.com/office/drawing/2014/chart" uri="{C3380CC4-5D6E-409C-BE32-E72D297353CC}">
              <c16:uniqueId val="{00000000-DE99-4044-8067-ACD74D54DE3F}"/>
            </c:ext>
          </c:extLst>
        </c:ser>
        <c:ser>
          <c:idx val="1"/>
          <c:order val="1"/>
          <c:tx>
            <c:strRef>
              <c:f>Sheet5!$Z$30</c:f>
              <c:strCache>
                <c:ptCount val="1"/>
                <c:pt idx="0">
                  <c:v>Non Pregnancy  women</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Sheet5!$AA$30:$AC$30</c:f>
              <c:numCache>
                <c:formatCode>0%</c:formatCode>
                <c:ptCount val="3"/>
                <c:pt idx="0">
                  <c:v>0</c:v>
                </c:pt>
                <c:pt idx="1">
                  <c:v>0.94</c:v>
                </c:pt>
                <c:pt idx="2">
                  <c:v>0.06</c:v>
                </c:pt>
              </c:numCache>
            </c:numRef>
          </c:val>
          <c:extLst>
            <c:ext xmlns:c16="http://schemas.microsoft.com/office/drawing/2014/chart" uri="{C3380CC4-5D6E-409C-BE32-E72D297353CC}">
              <c16:uniqueId val="{00000001-DE99-4044-8067-ACD74D54DE3F}"/>
            </c:ext>
          </c:extLst>
        </c:ser>
        <c:dLbls>
          <c:showLegendKey val="0"/>
          <c:showVal val="1"/>
          <c:showCatName val="0"/>
          <c:showSerName val="0"/>
          <c:showPercent val="0"/>
          <c:showBubbleSize val="0"/>
        </c:dLbls>
        <c:gapWidth val="150"/>
        <c:shape val="pyramid"/>
        <c:axId val="67264896"/>
        <c:axId val="67266432"/>
        <c:axId val="0"/>
      </c:bar3DChart>
      <c:catAx>
        <c:axId val="67264896"/>
        <c:scaling>
          <c:orientation val="minMax"/>
        </c:scaling>
        <c:delete val="0"/>
        <c:axPos val="b"/>
        <c:numFmt formatCode="General" sourceLinked="0"/>
        <c:majorTickMark val="none"/>
        <c:minorTickMark val="none"/>
        <c:tickLblPos val="nextTo"/>
        <c:txPr>
          <a:bodyPr/>
          <a:lstStyle/>
          <a:p>
            <a:pPr>
              <a:defRPr sz="1200" b="1"/>
            </a:pPr>
            <a:endParaRPr lang="en-US"/>
          </a:p>
        </c:txPr>
        <c:crossAx val="67266432"/>
        <c:crosses val="autoZero"/>
        <c:auto val="1"/>
        <c:lblAlgn val="ctr"/>
        <c:lblOffset val="100"/>
        <c:noMultiLvlLbl val="0"/>
      </c:catAx>
      <c:valAx>
        <c:axId val="67266432"/>
        <c:scaling>
          <c:orientation val="minMax"/>
        </c:scaling>
        <c:delete val="1"/>
        <c:axPos val="l"/>
        <c:numFmt formatCode="0%" sourceLinked="1"/>
        <c:majorTickMark val="out"/>
        <c:minorTickMark val="none"/>
        <c:tickLblPos val="nextTo"/>
        <c:crossAx val="67264896"/>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TotalTime>
  <Pages>22</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dc:creator>
  <cp:lastModifiedBy>SDI 1084</cp:lastModifiedBy>
  <cp:revision>21</cp:revision>
  <dcterms:created xsi:type="dcterms:W3CDTF">2025-07-27T06:48:00Z</dcterms:created>
  <dcterms:modified xsi:type="dcterms:W3CDTF">2025-07-31T06:20:00Z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48ed4d2dd3fe4a759ae0c994fbad3e2e</vt:lpwstr>
  </property>
</Properties>
</file>