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53E3" w14:textId="77777777" w:rsidR="003F0957" w:rsidRDefault="003F0957" w:rsidP="009835FA">
      <w:pPr>
        <w:pStyle w:val="Heading1"/>
      </w:pPr>
      <w:r w:rsidRPr="003F0957">
        <w:t xml:space="preserve">Case report </w:t>
      </w:r>
    </w:p>
    <w:p w14:paraId="3E684AC1" w14:textId="73150FA6" w:rsidR="00F0689A" w:rsidRDefault="00CA4B64" w:rsidP="009835FA">
      <w:pPr>
        <w:pStyle w:val="Heading1"/>
      </w:pPr>
      <w:proofErr w:type="spellStart"/>
      <w:r>
        <w:t>Bouveret</w:t>
      </w:r>
      <w:proofErr w:type="spellEnd"/>
      <w:r>
        <w:t xml:space="preserve"> syndrome: </w:t>
      </w:r>
      <w:r w:rsidR="009835FA">
        <w:t>G</w:t>
      </w:r>
      <w:r w:rsidR="009835FA" w:rsidRPr="009835FA">
        <w:t xml:space="preserve">astric </w:t>
      </w:r>
      <w:r w:rsidR="009835FA">
        <w:t>O</w:t>
      </w:r>
      <w:r w:rsidR="009835FA" w:rsidRPr="009835FA">
        <w:t xml:space="preserve">utlet </w:t>
      </w:r>
      <w:r w:rsidR="009835FA">
        <w:t>O</w:t>
      </w:r>
      <w:r w:rsidR="009835FA" w:rsidRPr="009835FA">
        <w:t xml:space="preserve">bstruction </w:t>
      </w:r>
      <w:r w:rsidR="009835FA">
        <w:t>S</w:t>
      </w:r>
      <w:r w:rsidR="009835FA" w:rsidRPr="009835FA">
        <w:t xml:space="preserve">econdary to </w:t>
      </w:r>
      <w:proofErr w:type="spellStart"/>
      <w:r w:rsidR="00E73BBB">
        <w:t>Cholecysto</w:t>
      </w:r>
      <w:proofErr w:type="spellEnd"/>
      <w:r w:rsidR="00E73BBB">
        <w:t xml:space="preserve">-duodenal Fistula </w:t>
      </w:r>
    </w:p>
    <w:p w14:paraId="0B25284A" w14:textId="77777777" w:rsidR="00A12BA7" w:rsidRDefault="00A12BA7" w:rsidP="00A12BA7"/>
    <w:p w14:paraId="2F72CA79" w14:textId="77777777" w:rsidR="007771B7" w:rsidRPr="007771B7" w:rsidRDefault="007771B7" w:rsidP="007771B7">
      <w:pPr>
        <w:spacing w:line="420" w:lineRule="auto"/>
        <w:rPr>
          <w:rFonts w:cs="Arial"/>
          <w:b/>
          <w:color w:val="000000" w:themeColor="text1"/>
          <w:sz w:val="24"/>
        </w:rPr>
      </w:pPr>
    </w:p>
    <w:p w14:paraId="4E85A476" w14:textId="77777777" w:rsidR="00D916EA" w:rsidRDefault="00F0689A" w:rsidP="0041167F">
      <w:pPr>
        <w:pStyle w:val="p1"/>
        <w:rPr>
          <w:b/>
          <w:bCs/>
        </w:rPr>
      </w:pPr>
      <w:r w:rsidRPr="00F0689A">
        <w:rPr>
          <w:b/>
          <w:bCs/>
        </w:rPr>
        <w:t>Abstract</w:t>
      </w:r>
    </w:p>
    <w:p w14:paraId="28F88E5F" w14:textId="77777777" w:rsidR="00D916EA" w:rsidRDefault="00D916EA" w:rsidP="0041167F">
      <w:pPr>
        <w:pStyle w:val="p1"/>
        <w:rPr>
          <w:b/>
          <w:bCs/>
        </w:rPr>
      </w:pPr>
    </w:p>
    <w:p w14:paraId="34EADE13" w14:textId="780312E3" w:rsidR="0041167F" w:rsidRDefault="00F0689A" w:rsidP="0041167F">
      <w:pPr>
        <w:pStyle w:val="p1"/>
      </w:pPr>
      <w:r w:rsidRPr="00F0689A">
        <w:br/>
      </w:r>
      <w:r w:rsidR="0041167F">
        <w:rPr>
          <w:rStyle w:val="s1"/>
        </w:rPr>
        <w:t>Background:</w:t>
      </w:r>
    </w:p>
    <w:p w14:paraId="315660FC" w14:textId="77777777" w:rsidR="0041167F" w:rsidRDefault="0041167F" w:rsidP="0041167F">
      <w:pPr>
        <w:pStyle w:val="p1"/>
      </w:pPr>
      <w:r>
        <w:rPr>
          <w:rStyle w:val="s2"/>
        </w:rPr>
        <w:t xml:space="preserve">Gastric outlet obstruction (GOO) due to gallstone disease, known as </w:t>
      </w:r>
      <w:proofErr w:type="spellStart"/>
      <w:r>
        <w:rPr>
          <w:rStyle w:val="s2"/>
        </w:rPr>
        <w:t>Bouveret</w:t>
      </w:r>
      <w:proofErr w:type="spellEnd"/>
      <w:r>
        <w:rPr>
          <w:rStyle w:val="s2"/>
        </w:rPr>
        <w:t xml:space="preserve"> syndrome, is a rare but serious complication typically seen in elderly patients. Early recognition and appropriate management are crucial to prevent morbidity.</w:t>
      </w:r>
    </w:p>
    <w:p w14:paraId="59D37478" w14:textId="77777777" w:rsidR="0041167F" w:rsidRDefault="0041167F" w:rsidP="0041167F">
      <w:pPr>
        <w:pStyle w:val="p1"/>
      </w:pPr>
      <w:r>
        <w:rPr>
          <w:rStyle w:val="s1"/>
        </w:rPr>
        <w:t>Methods:</w:t>
      </w:r>
    </w:p>
    <w:p w14:paraId="0A8EF5F9" w14:textId="098E0F42" w:rsidR="007771B7" w:rsidRDefault="0041167F" w:rsidP="0041167F">
      <w:pPr>
        <w:pStyle w:val="p1"/>
      </w:pPr>
      <w:r>
        <w:rPr>
          <w:rStyle w:val="s2"/>
        </w:rPr>
        <w:t xml:space="preserve">A 29-year-old female presented with a 15-day history of recurrent mild upper abdominal pain, nausea, and non-bilious vomiting. Imaging and endoscopy revealed chronic cholecystitis with a large gallbladder calculus causing GOO via a </w:t>
      </w:r>
      <w:proofErr w:type="spellStart"/>
      <w:r>
        <w:rPr>
          <w:rStyle w:val="s2"/>
        </w:rPr>
        <w:t>cholecysto</w:t>
      </w:r>
      <w:proofErr w:type="spellEnd"/>
      <w:r>
        <w:rPr>
          <w:rStyle w:val="s2"/>
        </w:rPr>
        <w:t>-duodenal fistula. Endoscopic retrieval attempts were unsuccessful.</w:t>
      </w:r>
    </w:p>
    <w:p w14:paraId="5F31979F" w14:textId="77777777" w:rsidR="007771B7" w:rsidRDefault="007771B7" w:rsidP="0041167F">
      <w:pPr>
        <w:pStyle w:val="p1"/>
        <w:rPr>
          <w:rStyle w:val="s1"/>
        </w:rPr>
      </w:pPr>
    </w:p>
    <w:p w14:paraId="5DF1BC3C" w14:textId="77777777" w:rsidR="007771B7" w:rsidRDefault="0041167F" w:rsidP="0041167F">
      <w:pPr>
        <w:pStyle w:val="p1"/>
        <w:rPr>
          <w:rStyle w:val="s1"/>
        </w:rPr>
      </w:pPr>
      <w:r>
        <w:rPr>
          <w:rStyle w:val="s1"/>
        </w:rPr>
        <w:t>Results</w:t>
      </w:r>
      <w:r w:rsidR="007771B7">
        <w:rPr>
          <w:rStyle w:val="s1"/>
        </w:rPr>
        <w:t>:</w:t>
      </w:r>
    </w:p>
    <w:p w14:paraId="4563BE68" w14:textId="352A294A" w:rsidR="0041167F" w:rsidRDefault="0041167F" w:rsidP="0041167F">
      <w:pPr>
        <w:pStyle w:val="p1"/>
      </w:pPr>
      <w:r>
        <w:rPr>
          <w:rStyle w:val="s2"/>
        </w:rPr>
        <w:t>The patient underwent open cholecystectomy, duodenotomy for stone removal, and gastrojejunostomy. Postoperative recovery was uneventful</w:t>
      </w:r>
      <w:r w:rsidR="007771B7">
        <w:rPr>
          <w:rStyle w:val="s2"/>
        </w:rPr>
        <w:t>, with</w:t>
      </w:r>
      <w:r>
        <w:rPr>
          <w:rStyle w:val="s2"/>
        </w:rPr>
        <w:t xml:space="preserve"> </w:t>
      </w:r>
      <w:r w:rsidR="007771B7">
        <w:rPr>
          <w:rStyle w:val="s2"/>
        </w:rPr>
        <w:t xml:space="preserve">complete </w:t>
      </w:r>
      <w:r>
        <w:rPr>
          <w:rStyle w:val="s2"/>
        </w:rPr>
        <w:t>resolution of symptoms.</w:t>
      </w:r>
    </w:p>
    <w:p w14:paraId="1E8C649D" w14:textId="77777777" w:rsidR="0041167F" w:rsidRDefault="0041167F" w:rsidP="0041167F">
      <w:pPr>
        <w:pStyle w:val="p1"/>
      </w:pPr>
      <w:r>
        <w:rPr>
          <w:rStyle w:val="s1"/>
        </w:rPr>
        <w:t>Conclusions:</w:t>
      </w:r>
    </w:p>
    <w:p w14:paraId="0AFCA3CB" w14:textId="1A48DF77" w:rsidR="0041167F" w:rsidRDefault="0041167F" w:rsidP="0041167F">
      <w:pPr>
        <w:pStyle w:val="p1"/>
        <w:rPr>
          <w:rStyle w:val="s1"/>
        </w:rPr>
      </w:pPr>
      <w:proofErr w:type="spellStart"/>
      <w:r>
        <w:rPr>
          <w:rStyle w:val="s1"/>
        </w:rPr>
        <w:t>Bouveret</w:t>
      </w:r>
      <w:proofErr w:type="spellEnd"/>
      <w:r>
        <w:rPr>
          <w:rStyle w:val="s1"/>
        </w:rPr>
        <w:t xml:space="preserve"> syndrome, though uncommon, should be considered in cases of gastric outlet obstruction and a history of Gallstone disease. In younger patients, surgical management with definitive fistula closure is advisable to prevent recurrence and long-term complications. In elderly or high-risk patients, endoscopic extraction with conservative management of the fistula may be appropriate when stone clearance is complete.</w:t>
      </w:r>
    </w:p>
    <w:p w14:paraId="0A6649C8" w14:textId="77777777" w:rsidR="003921C9" w:rsidRDefault="003921C9" w:rsidP="003921C9">
      <w:pPr>
        <w:spacing w:line="420" w:lineRule="auto"/>
        <w:rPr>
          <w:rFonts w:cs="Arial"/>
          <w:b/>
          <w:color w:val="000000" w:themeColor="text1"/>
          <w:sz w:val="24"/>
        </w:rPr>
      </w:pPr>
      <w:r>
        <w:rPr>
          <w:rFonts w:cs="Arial"/>
          <w:b/>
          <w:color w:val="000000" w:themeColor="text1"/>
          <w:sz w:val="24"/>
        </w:rPr>
        <w:t xml:space="preserve">Keywords: </w:t>
      </w:r>
      <w:proofErr w:type="spellStart"/>
      <w:r>
        <w:rPr>
          <w:rFonts w:cs="Arial"/>
          <w:b/>
          <w:color w:val="000000" w:themeColor="text1"/>
          <w:sz w:val="24"/>
        </w:rPr>
        <w:t>Bouveret</w:t>
      </w:r>
      <w:proofErr w:type="spellEnd"/>
      <w:r>
        <w:rPr>
          <w:rFonts w:cs="Arial"/>
          <w:b/>
          <w:color w:val="000000" w:themeColor="text1"/>
          <w:sz w:val="24"/>
        </w:rPr>
        <w:t xml:space="preserve"> Syndrome, Gastric Outlet Obstruction, </w:t>
      </w:r>
      <w:proofErr w:type="spellStart"/>
      <w:r>
        <w:rPr>
          <w:rFonts w:cs="Arial"/>
          <w:b/>
          <w:color w:val="000000" w:themeColor="text1"/>
          <w:sz w:val="24"/>
        </w:rPr>
        <w:t>Cholecysto</w:t>
      </w:r>
      <w:proofErr w:type="spellEnd"/>
      <w:r>
        <w:rPr>
          <w:rFonts w:cs="Arial"/>
          <w:b/>
          <w:color w:val="000000" w:themeColor="text1"/>
          <w:sz w:val="24"/>
        </w:rPr>
        <w:t xml:space="preserve">-duodenal Fistula </w:t>
      </w:r>
    </w:p>
    <w:p w14:paraId="78B1A9E6" w14:textId="77777777" w:rsidR="003921C9" w:rsidRDefault="003921C9" w:rsidP="0041167F">
      <w:pPr>
        <w:pStyle w:val="p1"/>
      </w:pPr>
      <w:bookmarkStart w:id="0" w:name="_GoBack"/>
      <w:bookmarkEnd w:id="0"/>
    </w:p>
    <w:p w14:paraId="4208B118" w14:textId="19246489" w:rsidR="00F0689A" w:rsidRPr="00F0689A" w:rsidRDefault="00F0689A" w:rsidP="00F0689A"/>
    <w:p w14:paraId="42204230" w14:textId="77777777" w:rsidR="00451C8E" w:rsidRPr="00451C8E" w:rsidRDefault="00F0689A" w:rsidP="00451C8E">
      <w:pPr>
        <w:rPr>
          <w:lang w:val="en-US"/>
        </w:rPr>
      </w:pPr>
      <w:r w:rsidRPr="00F0689A">
        <w:rPr>
          <w:b/>
          <w:bCs/>
        </w:rPr>
        <w:t>Introduction</w:t>
      </w:r>
      <w:r w:rsidRPr="00F0689A">
        <w:br/>
        <w:t xml:space="preserve">Gastric outlet obstruction (GOO) is an uncommon complication of gallstone disease, often resulting from gallstone migration through a </w:t>
      </w:r>
      <w:proofErr w:type="spellStart"/>
      <w:r w:rsidRPr="00F0689A">
        <w:t>cholecysto</w:t>
      </w:r>
      <w:proofErr w:type="spellEnd"/>
      <w:r w:rsidRPr="00F0689A">
        <w:t xml:space="preserve">-duodenal fistula. This rare condition, known as gallstone ileus, typically occurs in elderly patients and is associated with significant morbidity. </w:t>
      </w:r>
      <w:r w:rsidR="00451C8E" w:rsidRPr="00451C8E">
        <w:rPr>
          <w:lang w:val="en-US"/>
        </w:rPr>
        <w:t>Diagnosis is often delayed due to nonspecific symptoms, and management ranges from endoscopic retrieval to definitive surgical repair. Herein, we present an unusual case in a young patient and discuss the rationale for definitive fistula closure in this demographic.</w:t>
      </w:r>
    </w:p>
    <w:p w14:paraId="19C8AF10" w14:textId="6A9802E0" w:rsidR="00F0689A" w:rsidRPr="00F0689A" w:rsidRDefault="00F0689A" w:rsidP="00F0689A"/>
    <w:p w14:paraId="42F0BDD2" w14:textId="77777777" w:rsidR="00F0689A" w:rsidRPr="00F0689A" w:rsidRDefault="00530FE5" w:rsidP="00F0689A">
      <w:r>
        <w:rPr>
          <w:noProof/>
        </w:rPr>
        <w:pict w14:anchorId="791445D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AF064B" w14:textId="1D6F988E" w:rsidR="00F0689A" w:rsidRPr="00F0689A" w:rsidRDefault="00F0689A" w:rsidP="00F0689A">
      <w:r w:rsidRPr="00F0689A">
        <w:rPr>
          <w:b/>
          <w:bCs/>
        </w:rPr>
        <w:t xml:space="preserve">Case </w:t>
      </w:r>
      <w:r>
        <w:rPr>
          <w:b/>
          <w:bCs/>
        </w:rPr>
        <w:t>Report</w:t>
      </w:r>
    </w:p>
    <w:p w14:paraId="5D913F64" w14:textId="2A9222EC" w:rsidR="00F0689A" w:rsidRPr="00F0689A" w:rsidRDefault="00F0689A" w:rsidP="00F0689A">
      <w:r w:rsidRPr="00F0689A">
        <w:rPr>
          <w:b/>
          <w:bCs/>
        </w:rPr>
        <w:t>Patient History</w:t>
      </w:r>
      <w:r w:rsidRPr="00F0689A">
        <w:br/>
        <w:t xml:space="preserve">A 29-year-old </w:t>
      </w:r>
      <w:r w:rsidR="00094772">
        <w:t>lady</w:t>
      </w:r>
      <w:r w:rsidRPr="00F0689A">
        <w:t xml:space="preserve"> </w:t>
      </w:r>
      <w:r w:rsidR="00094772">
        <w:t xml:space="preserve">came </w:t>
      </w:r>
      <w:r w:rsidRPr="00F0689A">
        <w:t xml:space="preserve">with complaints of recurrent mild pain in the upper abdomen for 15 days. </w:t>
      </w:r>
      <w:r w:rsidR="00094772">
        <w:t xml:space="preserve">Pain </w:t>
      </w:r>
      <w:r w:rsidRPr="00F0689A">
        <w:t xml:space="preserve">was accompanied by multiple episodes of postprandial nausea and non-bilious vomiting. She denied fever, jaundice, or other abdominal symptoms. </w:t>
      </w:r>
    </w:p>
    <w:p w14:paraId="05AB263A" w14:textId="5B45EDD6" w:rsidR="00094772" w:rsidRDefault="00F0689A" w:rsidP="00F0689A">
      <w:r w:rsidRPr="00F0689A">
        <w:rPr>
          <w:b/>
          <w:bCs/>
        </w:rPr>
        <w:t>Clinical Examination</w:t>
      </w:r>
      <w:r w:rsidRPr="00F0689A">
        <w:br/>
        <w:t>On examination, the patient was afebrile with stable vital signs. Abdominal examination revealed mild tenderness in the epigastrium and right hypochondrium</w:t>
      </w:r>
      <w:r w:rsidR="00094772">
        <w:t>. Her routine investigations were within normal limits.</w:t>
      </w:r>
    </w:p>
    <w:p w14:paraId="2676F59F" w14:textId="2B840F33" w:rsidR="00F0689A" w:rsidRPr="00F0689A" w:rsidRDefault="00F0689A" w:rsidP="00F0689A">
      <w:r w:rsidRPr="00F0689A">
        <w:rPr>
          <w:b/>
          <w:bCs/>
        </w:rPr>
        <w:t>Imaging Studies</w:t>
      </w:r>
      <w:r w:rsidRPr="00F0689A">
        <w:br/>
        <w:t xml:space="preserve">Abdominal ultrasonography revealed a </w:t>
      </w:r>
      <w:r w:rsidR="00EF64ED">
        <w:t>collapsed</w:t>
      </w:r>
      <w:r w:rsidRPr="00F0689A">
        <w:t>, thick-walled gallbladder with calculi in the lumen</w:t>
      </w:r>
      <w:r w:rsidR="00094772">
        <w:t>.</w:t>
      </w:r>
    </w:p>
    <w:p w14:paraId="3CB99F9E" w14:textId="0336F35E" w:rsidR="00F0689A" w:rsidRDefault="00F0689A" w:rsidP="00F0689A">
      <w:pPr>
        <w:rPr>
          <w:color w:val="FF0000"/>
        </w:rPr>
      </w:pPr>
      <w:r w:rsidRPr="00F0689A">
        <w:rPr>
          <w:b/>
          <w:bCs/>
        </w:rPr>
        <w:t>Endoscopic Findings</w:t>
      </w:r>
      <w:r w:rsidRPr="00F0689A">
        <w:br/>
        <w:t xml:space="preserve">Upper gastrointestinal endoscopy demonstrated a large black-pigmented gallstone (&gt;2 cm) lodged at the pylorus, causing complete </w:t>
      </w:r>
      <w:proofErr w:type="gramStart"/>
      <w:r w:rsidRPr="00F0689A">
        <w:t>GOO.</w:t>
      </w:r>
      <w:r w:rsidR="0013156D">
        <w:t>(</w:t>
      </w:r>
      <w:proofErr w:type="gramEnd"/>
      <w:r w:rsidR="0013156D" w:rsidRPr="00285090">
        <w:rPr>
          <w:color w:val="000000" w:themeColor="text1"/>
        </w:rPr>
        <w:t>F</w:t>
      </w:r>
      <w:r w:rsidR="00285090">
        <w:rPr>
          <w:color w:val="000000" w:themeColor="text1"/>
        </w:rPr>
        <w:t>igure</w:t>
      </w:r>
      <w:r w:rsidR="0084630E">
        <w:rPr>
          <w:color w:val="000000" w:themeColor="text1"/>
        </w:rPr>
        <w:t>.</w:t>
      </w:r>
      <w:r w:rsidR="0013156D" w:rsidRPr="00285090">
        <w:rPr>
          <w:color w:val="000000" w:themeColor="text1"/>
        </w:rPr>
        <w:t xml:space="preserve"> 1)</w:t>
      </w:r>
    </w:p>
    <w:p w14:paraId="25313325" w14:textId="77777777" w:rsidR="0029527B" w:rsidRDefault="0029527B" w:rsidP="00F0689A">
      <w:pPr>
        <w:rPr>
          <w:color w:val="FF0000"/>
        </w:rPr>
      </w:pPr>
    </w:p>
    <w:p w14:paraId="7AA2DCE6" w14:textId="77777777" w:rsidR="00837CAB" w:rsidRDefault="00837CAB" w:rsidP="00F0689A"/>
    <w:p w14:paraId="3034C878" w14:textId="77777777" w:rsidR="00837CAB" w:rsidRDefault="00837CAB" w:rsidP="00F0689A"/>
    <w:p w14:paraId="3EDE59E6" w14:textId="5BEEDFB3" w:rsidR="0029527B" w:rsidRPr="00F0689A" w:rsidRDefault="0029527B" w:rsidP="00F0689A"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BCE78C0" wp14:editId="37EA83E2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064000" cy="2578100"/>
            <wp:effectExtent l="0" t="0" r="0" b="0"/>
            <wp:wrapSquare wrapText="bothSides"/>
            <wp:docPr id="1278476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76686" name="Picture 12784766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7ABE">
        <w:br w:type="textWrapping" w:clear="all"/>
      </w:r>
      <w:r w:rsidR="00C136A6" w:rsidRPr="00C136A6">
        <w:t>Figure. 1.</w:t>
      </w:r>
      <w:r w:rsidR="00C136A6">
        <w:t xml:space="preserve"> </w:t>
      </w:r>
      <w:r w:rsidR="009C5EAA">
        <w:t xml:space="preserve"> </w:t>
      </w:r>
      <w:r w:rsidR="003276D5" w:rsidRPr="003276D5">
        <w:rPr>
          <w:b/>
          <w:bCs/>
        </w:rPr>
        <w:t>Endoscopic image showing a black foreign object (likely a stone or pill) in the stomach lining.</w:t>
      </w:r>
    </w:p>
    <w:p w14:paraId="382D357C" w14:textId="7CF2A539" w:rsidR="00F0689A" w:rsidRPr="00F0689A" w:rsidRDefault="00F0689A" w:rsidP="00F0689A">
      <w:r w:rsidRPr="00F0689A">
        <w:rPr>
          <w:b/>
          <w:bCs/>
        </w:rPr>
        <w:t>Management</w:t>
      </w:r>
    </w:p>
    <w:p w14:paraId="39699BA8" w14:textId="1A2B6FAA" w:rsidR="00F0689A" w:rsidRDefault="00F0689A" w:rsidP="00F0689A">
      <w:pPr>
        <w:rPr>
          <w:color w:val="FF0000"/>
        </w:rPr>
      </w:pPr>
      <w:r w:rsidRPr="00F0689A">
        <w:rPr>
          <w:b/>
          <w:bCs/>
        </w:rPr>
        <w:t>Endoscopic Interventions</w:t>
      </w:r>
      <w:r w:rsidRPr="00F0689A">
        <w:br/>
      </w:r>
      <w:proofErr w:type="gramStart"/>
      <w:r w:rsidRPr="00F0689A">
        <w:t>Endoscopic  stone</w:t>
      </w:r>
      <w:proofErr w:type="gramEnd"/>
      <w:r w:rsidRPr="00F0689A">
        <w:t xml:space="preserve"> retrieval</w:t>
      </w:r>
      <w:r w:rsidR="00094772">
        <w:t xml:space="preserve"> with a </w:t>
      </w:r>
      <w:r w:rsidRPr="00F0689A">
        <w:t>conventional basket, polyp extraction mesh</w:t>
      </w:r>
      <w:r w:rsidR="00094772">
        <w:t xml:space="preserve"> </w:t>
      </w:r>
      <w:r w:rsidRPr="00F0689A">
        <w:t>and laser lithotripsy, but all attempts to remove or fragment the calculus failed.</w:t>
      </w:r>
      <w:r w:rsidR="0013156D">
        <w:t>(</w:t>
      </w:r>
      <w:r w:rsidR="00285090">
        <w:rPr>
          <w:color w:val="000000" w:themeColor="text1"/>
        </w:rPr>
        <w:t>Figure</w:t>
      </w:r>
      <w:r w:rsidR="0084630E">
        <w:rPr>
          <w:color w:val="000000" w:themeColor="text1"/>
        </w:rPr>
        <w:t>.</w:t>
      </w:r>
      <w:r w:rsidR="00285090">
        <w:rPr>
          <w:color w:val="000000" w:themeColor="text1"/>
        </w:rPr>
        <w:t xml:space="preserve"> 2)</w:t>
      </w:r>
    </w:p>
    <w:p w14:paraId="7288FC22" w14:textId="4495AA32" w:rsidR="00297ABE" w:rsidRPr="00F0689A" w:rsidRDefault="00297ABE" w:rsidP="00F0689A">
      <w:r>
        <w:rPr>
          <w:noProof/>
          <w:lang w:val="en-US"/>
        </w:rPr>
        <w:drawing>
          <wp:inline distT="0" distB="0" distL="0" distR="0" wp14:anchorId="7B743E78" wp14:editId="10B3811E">
            <wp:extent cx="4064000" cy="3048000"/>
            <wp:effectExtent l="0" t="0" r="0" b="0"/>
            <wp:docPr id="12922568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56824" name="Picture 12922568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30E">
        <w:t>.</w:t>
      </w:r>
      <w:r>
        <w:t xml:space="preserve"> </w:t>
      </w:r>
    </w:p>
    <w:p w14:paraId="23854C0F" w14:textId="04E88EC4" w:rsidR="00F0689A" w:rsidRPr="00F0689A" w:rsidRDefault="00833050" w:rsidP="00F0689A">
      <w:r>
        <w:rPr>
          <w:b/>
          <w:bCs/>
        </w:rPr>
        <w:t xml:space="preserve">Figure. 2. </w:t>
      </w:r>
      <w:r w:rsidR="00F0689A" w:rsidRPr="00F0689A">
        <w:rPr>
          <w:b/>
          <w:bCs/>
        </w:rPr>
        <w:t>Surgical Approach</w:t>
      </w:r>
      <w:r w:rsidR="00F0689A" w:rsidRPr="00F0689A">
        <w:br/>
        <w:t xml:space="preserve">Given the failure of endoscopic management, the patient was scheduled for </w:t>
      </w:r>
      <w:r w:rsidR="00094772">
        <w:t xml:space="preserve">exploratory laparotomy, during which </w:t>
      </w:r>
      <w:r w:rsidR="00F0689A" w:rsidRPr="00F0689A">
        <w:t>a chole</w:t>
      </w:r>
      <w:r w:rsidR="00094772">
        <w:t xml:space="preserve"> </w:t>
      </w:r>
      <w:r w:rsidR="00F0689A" w:rsidRPr="00F0689A">
        <w:t>cysto-duodenal fistula was identified, with a large gallbladder calculus obstructing the fistula.</w:t>
      </w:r>
    </w:p>
    <w:p w14:paraId="2E6B8077" w14:textId="77777777" w:rsidR="005B73A1" w:rsidRDefault="005B73A1" w:rsidP="00F0689A">
      <w:pPr>
        <w:rPr>
          <w:b/>
          <w:bCs/>
        </w:rPr>
      </w:pPr>
    </w:p>
    <w:p w14:paraId="4BC38EA0" w14:textId="7A47C55D" w:rsidR="00F0689A" w:rsidRPr="00F0689A" w:rsidRDefault="00F0689A" w:rsidP="00F0689A">
      <w:r w:rsidRPr="00F0689A">
        <w:rPr>
          <w:b/>
          <w:bCs/>
        </w:rPr>
        <w:t>Surgical Procedure</w:t>
      </w:r>
    </w:p>
    <w:p w14:paraId="28436C4A" w14:textId="30DF907B" w:rsidR="00F0689A" w:rsidRPr="00297ABE" w:rsidRDefault="00F0689A" w:rsidP="00F0689A">
      <w:pPr>
        <w:numPr>
          <w:ilvl w:val="0"/>
          <w:numId w:val="1"/>
        </w:numPr>
      </w:pPr>
      <w:r w:rsidRPr="00F0689A">
        <w:rPr>
          <w:b/>
          <w:bCs/>
        </w:rPr>
        <w:lastRenderedPageBreak/>
        <w:t>Duodenotomy and Stone Extraction</w:t>
      </w:r>
      <w:r w:rsidRPr="00F0689A">
        <w:t>: A duodenotomy was performed at the fistula site, allowing the extraction of two large gallbladder calculi</w:t>
      </w:r>
      <w:r w:rsidR="0084630E">
        <w:t xml:space="preserve"> </w:t>
      </w:r>
      <w:r w:rsidR="0013156D" w:rsidRPr="0084630E">
        <w:rPr>
          <w:color w:val="000000" w:themeColor="text1"/>
        </w:rPr>
        <w:t>(F</w:t>
      </w:r>
      <w:r w:rsidR="0084630E">
        <w:rPr>
          <w:color w:val="000000" w:themeColor="text1"/>
        </w:rPr>
        <w:t>igure. 3 -4).</w:t>
      </w:r>
    </w:p>
    <w:p w14:paraId="3DBCACA7" w14:textId="6B6149A2" w:rsidR="00297ABE" w:rsidRDefault="00152E6C" w:rsidP="00297ABE">
      <w:pPr>
        <w:ind w:left="720"/>
      </w:pPr>
      <w:r>
        <w:rPr>
          <w:noProof/>
          <w:lang w:val="en-US"/>
        </w:rPr>
        <w:drawing>
          <wp:inline distT="0" distB="0" distL="0" distR="0" wp14:anchorId="0E52B880" wp14:editId="1EDE3B3A">
            <wp:extent cx="5731510" cy="3138805"/>
            <wp:effectExtent l="0" t="0" r="0" b="0"/>
            <wp:docPr id="20119651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6513" name="Picture 2011965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EEF62" w14:textId="5ED95813" w:rsidR="00152E6C" w:rsidRDefault="00152E6C" w:rsidP="00297ABE">
      <w:pPr>
        <w:ind w:left="720"/>
      </w:pPr>
      <w:r>
        <w:tab/>
      </w:r>
      <w:r>
        <w:tab/>
        <w:t>Fig</w:t>
      </w:r>
      <w:r w:rsidR="0084630E">
        <w:t>.</w:t>
      </w:r>
      <w:r>
        <w:t xml:space="preserve"> 3 </w:t>
      </w:r>
      <w:r>
        <w:tab/>
      </w:r>
      <w:r>
        <w:tab/>
      </w:r>
      <w:r>
        <w:tab/>
      </w:r>
      <w:r>
        <w:tab/>
      </w:r>
      <w:r>
        <w:tab/>
      </w:r>
      <w:r>
        <w:tab/>
        <w:t>Fig</w:t>
      </w:r>
      <w:r w:rsidR="0084630E">
        <w:t xml:space="preserve">. </w:t>
      </w:r>
      <w:r>
        <w:t xml:space="preserve">4 </w:t>
      </w:r>
    </w:p>
    <w:p w14:paraId="5314BB99" w14:textId="59F610F2" w:rsidR="00833050" w:rsidRDefault="00833050" w:rsidP="00297ABE">
      <w:pPr>
        <w:ind w:left="720"/>
      </w:pPr>
      <w:r w:rsidRPr="00833050">
        <w:t xml:space="preserve">Fig. </w:t>
      </w:r>
      <w:proofErr w:type="gramStart"/>
      <w:r w:rsidRPr="00833050">
        <w:t>3</w:t>
      </w:r>
      <w:r>
        <w:t xml:space="preserve"> .</w:t>
      </w:r>
      <w:proofErr w:type="gramEnd"/>
      <w:r>
        <w:t xml:space="preserve">  </w:t>
      </w:r>
      <w:r w:rsidR="003276D5" w:rsidRPr="003276D5">
        <w:t>Surgical removal of a stone from the intestine</w:t>
      </w:r>
    </w:p>
    <w:p w14:paraId="1DAF24EC" w14:textId="4B32214B" w:rsidR="00833050" w:rsidRDefault="00833050" w:rsidP="00297ABE">
      <w:pPr>
        <w:ind w:left="720"/>
      </w:pPr>
      <w:r w:rsidRPr="00833050">
        <w:t>Fig. 4</w:t>
      </w:r>
      <w:r>
        <w:t>.</w:t>
      </w:r>
      <w:r w:rsidR="003276D5">
        <w:t xml:space="preserve"> After the stone removal from the intestine</w:t>
      </w:r>
    </w:p>
    <w:p w14:paraId="58C1F374" w14:textId="77777777" w:rsidR="00833050" w:rsidRPr="00F0689A" w:rsidRDefault="00833050" w:rsidP="00297ABE">
      <w:pPr>
        <w:ind w:left="720"/>
      </w:pPr>
    </w:p>
    <w:p w14:paraId="3D9E1665" w14:textId="77777777" w:rsidR="00F0689A" w:rsidRPr="00F0689A" w:rsidRDefault="00F0689A" w:rsidP="00F0689A">
      <w:pPr>
        <w:numPr>
          <w:ilvl w:val="0"/>
          <w:numId w:val="1"/>
        </w:numPr>
      </w:pPr>
      <w:r w:rsidRPr="00F0689A">
        <w:rPr>
          <w:b/>
          <w:bCs/>
        </w:rPr>
        <w:t>Cholecystectomy</w:t>
      </w:r>
      <w:r w:rsidRPr="00F0689A">
        <w:t>: The gallbladder was removed to prevent recurrence and further complications.</w:t>
      </w:r>
    </w:p>
    <w:p w14:paraId="74CDED6A" w14:textId="77777777" w:rsidR="00F0689A" w:rsidRPr="00F0689A" w:rsidRDefault="00F0689A" w:rsidP="00F0689A">
      <w:pPr>
        <w:numPr>
          <w:ilvl w:val="0"/>
          <w:numId w:val="1"/>
        </w:numPr>
      </w:pPr>
      <w:r w:rsidRPr="00F0689A">
        <w:rPr>
          <w:b/>
          <w:bCs/>
        </w:rPr>
        <w:t>Primary Duodenotomy Repair</w:t>
      </w:r>
      <w:r w:rsidRPr="00F0689A">
        <w:t>: The duodenotomy was closed primarily to restore the integrity of the duodenal wall.</w:t>
      </w:r>
    </w:p>
    <w:p w14:paraId="1B19FBB6" w14:textId="77777777" w:rsidR="00F0689A" w:rsidRPr="00F0689A" w:rsidRDefault="00F0689A" w:rsidP="00F0689A">
      <w:pPr>
        <w:numPr>
          <w:ilvl w:val="0"/>
          <w:numId w:val="1"/>
        </w:numPr>
      </w:pPr>
      <w:r w:rsidRPr="00F0689A">
        <w:rPr>
          <w:b/>
          <w:bCs/>
        </w:rPr>
        <w:t>Gastrojejunostomy</w:t>
      </w:r>
      <w:r w:rsidRPr="00F0689A">
        <w:t>: To bypass the obstructed gastric outlet and ensure adequate gastric emptying, a gastrojejunostomy was created.</w:t>
      </w:r>
    </w:p>
    <w:p w14:paraId="4EDA46DD" w14:textId="488865A4" w:rsidR="00F0689A" w:rsidRPr="00F0689A" w:rsidRDefault="00F0689A" w:rsidP="00F0689A">
      <w:r w:rsidRPr="00F0689A">
        <w:rPr>
          <w:b/>
          <w:bCs/>
        </w:rPr>
        <w:t>Postoperative Course</w:t>
      </w:r>
      <w:r w:rsidRPr="00F0689A">
        <w:br/>
        <w:t xml:space="preserve">The patient’s recovery was uneventful.  Follow-up at </w:t>
      </w:r>
      <w:r w:rsidR="00B40B6D">
        <w:t>2</w:t>
      </w:r>
      <w:r w:rsidRPr="00F0689A">
        <w:t xml:space="preserve"> months showed complete resolution of symptoms with no evidence of recurrence or complications.</w:t>
      </w:r>
    </w:p>
    <w:p w14:paraId="31DBDF93" w14:textId="77777777" w:rsidR="00F0689A" w:rsidRPr="00F0689A" w:rsidRDefault="00F0689A" w:rsidP="00F0689A">
      <w:r w:rsidRPr="00F0689A">
        <w:rPr>
          <w:b/>
          <w:bCs/>
        </w:rPr>
        <w:t>Discussion</w:t>
      </w:r>
    </w:p>
    <w:p w14:paraId="5B1CD52E" w14:textId="42C4922B" w:rsidR="00F0689A" w:rsidRPr="00F0689A" w:rsidRDefault="00F0689A" w:rsidP="00F0689A">
      <w:r w:rsidRPr="00F0689A">
        <w:rPr>
          <w:b/>
          <w:bCs/>
        </w:rPr>
        <w:t>Pathophysiology</w:t>
      </w:r>
      <w:r w:rsidRPr="00F0689A">
        <w:br/>
        <w:t xml:space="preserve">Gallstone-related GOO, also known as </w:t>
      </w:r>
      <w:proofErr w:type="spellStart"/>
      <w:r w:rsidRPr="00F0689A">
        <w:t>Bouveret’s</w:t>
      </w:r>
      <w:proofErr w:type="spellEnd"/>
      <w:r w:rsidRPr="00F0689A">
        <w:t xml:space="preserve"> syndrome, is a rare manifestation of chronic cholecystitis. Persistent inflammation can lead to the formation of a fistula between the gallbladder and adjacent structures,</w:t>
      </w:r>
      <w:r w:rsidR="003D442C">
        <w:t xml:space="preserve"> </w:t>
      </w:r>
      <w:proofErr w:type="gramStart"/>
      <w:r w:rsidR="00291B21">
        <w:t>I</w:t>
      </w:r>
      <w:r w:rsidR="003D442C">
        <w:t>t</w:t>
      </w:r>
      <w:proofErr w:type="gramEnd"/>
      <w:r w:rsidR="003D442C">
        <w:t xml:space="preserve"> complicates around 3-5% of cholelithiasis cases</w:t>
      </w:r>
      <w:r w:rsidRPr="00F0689A">
        <w:t xml:space="preserve"> </w:t>
      </w:r>
      <w:r w:rsidR="003D442C">
        <w:t xml:space="preserve">and </w:t>
      </w:r>
      <w:r w:rsidRPr="00F0689A">
        <w:t>most commonly the duodenum</w:t>
      </w:r>
      <w:r w:rsidR="003D442C">
        <w:t xml:space="preserve"> </w:t>
      </w:r>
      <w:r w:rsidR="005B73A1">
        <w:t>harbour</w:t>
      </w:r>
      <w:r w:rsidR="003D442C">
        <w:t xml:space="preserve"> the fistula</w:t>
      </w:r>
      <w:r w:rsidRPr="00F0689A">
        <w:t xml:space="preserve">. Large calculi may migrate through the fistula, causing mechanical obstruction </w:t>
      </w:r>
      <w:r w:rsidR="0084630E">
        <w:t>[</w:t>
      </w:r>
      <w:r w:rsidRPr="00F0689A">
        <w:t>1, 3</w:t>
      </w:r>
      <w:proofErr w:type="gramStart"/>
      <w:r w:rsidR="0084630E">
        <w:t>]</w:t>
      </w:r>
      <w:r w:rsidR="00291B21">
        <w:t>,</w:t>
      </w:r>
      <w:r w:rsidR="003D442C">
        <w:t>most</w:t>
      </w:r>
      <w:proofErr w:type="gramEnd"/>
      <w:r w:rsidR="003D442C">
        <w:t xml:space="preserve"> commonly obstruction occur at distal ileum</w:t>
      </w:r>
      <w:r w:rsidR="00B40B6D">
        <w:t>.</w:t>
      </w:r>
      <w:r w:rsidR="00BC07EF" w:rsidRPr="00BC07EF">
        <w:rPr>
          <w:rFonts w:eastAsiaTheme="minorEastAsia"/>
          <w:color w:val="FF0000"/>
          <w:kern w:val="0"/>
          <w:lang w:val="en-US"/>
          <w14:ligatures w14:val="none"/>
        </w:rPr>
        <w:t xml:space="preserve"> </w:t>
      </w:r>
      <w:r w:rsidR="00BC07EF" w:rsidRPr="00BC07EF">
        <w:rPr>
          <w:lang w:val="en-US"/>
        </w:rPr>
        <w:t>Its incidence peaks in elderly females, making our young patient’s presentation particularly noteworthy.</w:t>
      </w:r>
    </w:p>
    <w:p w14:paraId="7C2B2A30" w14:textId="49B88443" w:rsidR="00F0689A" w:rsidRPr="00F0689A" w:rsidRDefault="00F0689A" w:rsidP="00F0689A">
      <w:r w:rsidRPr="00F0689A">
        <w:rPr>
          <w:b/>
          <w:bCs/>
        </w:rPr>
        <w:lastRenderedPageBreak/>
        <w:t>Clinical Presentation</w:t>
      </w:r>
      <w:r w:rsidRPr="00F0689A">
        <w:br/>
        <w:t xml:space="preserve">The classic presentation includes symptoms of GOO, such as nausea, vomiting, and epigastric </w:t>
      </w:r>
      <w:proofErr w:type="gramStart"/>
      <w:r w:rsidRPr="00F0689A">
        <w:t>pain</w:t>
      </w:r>
      <w:r w:rsidR="0084630E">
        <w:t>[</w:t>
      </w:r>
      <w:proofErr w:type="gramEnd"/>
      <w:r w:rsidRPr="00F0689A">
        <w:t>2, 4</w:t>
      </w:r>
      <w:r w:rsidR="0084630E">
        <w:t>]</w:t>
      </w:r>
      <w:r w:rsidRPr="00F0689A">
        <w:t>. In our case, the absence of systemic signs and normal laboratory findings initially obscured the diagnosis, emphasizing the importance of detailed imaging and endoscopy</w:t>
      </w:r>
      <w:r w:rsidR="007D35F3">
        <w:t>.</w:t>
      </w:r>
    </w:p>
    <w:p w14:paraId="1EFE6388" w14:textId="35A5AA47" w:rsidR="00F0689A" w:rsidRPr="00F0689A" w:rsidRDefault="00F0689A" w:rsidP="00F0689A">
      <w:r w:rsidRPr="00F0689A">
        <w:rPr>
          <w:b/>
          <w:bCs/>
        </w:rPr>
        <w:t>Diagnostic Challenges</w:t>
      </w:r>
      <w:r w:rsidRPr="00F0689A">
        <w:br/>
        <w:t xml:space="preserve">Ultrasonography is a valuable initial tool for identifying gallstones and gallbladder pathology </w:t>
      </w:r>
      <w:r w:rsidR="0084630E">
        <w:t>[</w:t>
      </w:r>
      <w:r w:rsidR="007D35F3">
        <w:t>5</w:t>
      </w:r>
      <w:r w:rsidR="0084630E">
        <w:t>]</w:t>
      </w:r>
      <w:r w:rsidRPr="00F0689A">
        <w:t>. Endoscopy is essential for diagnosing GOO and visualizing impacted stones. Cross-sectional imaging, such as computed tomography (CT),</w:t>
      </w:r>
      <w:r w:rsidR="005B73A1">
        <w:t xml:space="preserve"> </w:t>
      </w:r>
      <w:r w:rsidR="003D442C" w:rsidRPr="003D442C">
        <w:t>classical Rigler's triad of a dilated stomach,</w:t>
      </w:r>
      <w:r w:rsidR="005B73A1">
        <w:t xml:space="preserve"> </w:t>
      </w:r>
      <w:proofErr w:type="spellStart"/>
      <w:r w:rsidR="003D442C" w:rsidRPr="003D442C">
        <w:t>pneumobilia</w:t>
      </w:r>
      <w:proofErr w:type="spellEnd"/>
      <w:r w:rsidR="003D442C" w:rsidRPr="003D442C">
        <w:t xml:space="preserve"> and a radio-opaque shadow in the region of the duodenum</w:t>
      </w:r>
      <w:r w:rsidRPr="00F0689A">
        <w:t>, although it was not performed</w:t>
      </w:r>
      <w:r w:rsidR="003D442C">
        <w:t xml:space="preserve"> </w:t>
      </w:r>
      <w:r w:rsidRPr="00F0689A">
        <w:t xml:space="preserve">in this case due to clear endoscopic findings </w:t>
      </w:r>
      <w:r w:rsidR="0084630E">
        <w:t>[</w:t>
      </w:r>
      <w:r w:rsidRPr="00F0689A">
        <w:t>4</w:t>
      </w:r>
      <w:r w:rsidR="0084630E">
        <w:t>].</w:t>
      </w:r>
    </w:p>
    <w:p w14:paraId="203D280F" w14:textId="18C4C339" w:rsidR="00F0689A" w:rsidRPr="00F0689A" w:rsidRDefault="00F0689A" w:rsidP="00F0689A">
      <w:r w:rsidRPr="00F0689A">
        <w:rPr>
          <w:b/>
          <w:bCs/>
        </w:rPr>
        <w:t>Management Strategies</w:t>
      </w:r>
      <w:r w:rsidRPr="00F0689A">
        <w:br/>
        <w:t xml:space="preserve">The treatment of gallstone-related GOO involves relieving the obstruction and addressing the underlying pathology </w:t>
      </w:r>
      <w:r w:rsidR="00B40B6D">
        <w:t>[</w:t>
      </w:r>
      <w:r w:rsidR="007D35F3">
        <w:t>6</w:t>
      </w:r>
      <w:r w:rsidR="00B40B6D">
        <w:t>]</w:t>
      </w:r>
      <w:r w:rsidRPr="00F0689A">
        <w:t xml:space="preserve">. Endoscopic techniques, including lithotripsy and basket retrieval, are often attempted first. However, surgical intervention remains the definitive treatment in cases of failed endoscopic management or complex anatomy </w:t>
      </w:r>
      <w:r w:rsidR="0084630E">
        <w:t>[</w:t>
      </w:r>
      <w:r w:rsidR="007D35F3">
        <w:t>7</w:t>
      </w:r>
      <w:r w:rsidR="0084630E">
        <w:t>].</w:t>
      </w:r>
    </w:p>
    <w:p w14:paraId="47BBF6E3" w14:textId="54BABFA5" w:rsidR="00FF3C92" w:rsidRPr="00FF3C92" w:rsidRDefault="00F0689A" w:rsidP="00FF3C92">
      <w:pPr>
        <w:rPr>
          <w:lang w:val="en-US"/>
        </w:rPr>
      </w:pPr>
      <w:r w:rsidRPr="00F0689A">
        <w:rPr>
          <w:b/>
          <w:bCs/>
        </w:rPr>
        <w:t>Surgical Considerations</w:t>
      </w:r>
      <w:r w:rsidRPr="00F0689A">
        <w:br/>
        <w:t xml:space="preserve">Open surgery is preferred for large calculi and fistula repair. In our case, the combination of duodenotomy, cholecystectomy, and gastrojejunostomy ensured complete resolution of the obstruction and prevention of recurrence </w:t>
      </w:r>
      <w:r w:rsidR="0084630E">
        <w:t>[</w:t>
      </w:r>
      <w:r w:rsidRPr="00F0689A">
        <w:t xml:space="preserve">1, </w:t>
      </w:r>
      <w:r w:rsidR="007D35F3">
        <w:t>8</w:t>
      </w:r>
      <w:r w:rsidR="0084630E">
        <w:t>]</w:t>
      </w:r>
      <w:r w:rsidRPr="00F0689A">
        <w:t xml:space="preserve">. </w:t>
      </w:r>
      <w:r w:rsidR="00FF3C92" w:rsidRPr="00FF3C92">
        <w:rPr>
          <w:lang w:val="en-US"/>
        </w:rPr>
        <w:t>Elderly or high-risk patients may be managed with stone extraction alone if endoscopic clearance is achieved, and the fistula can be left intact without significant morbidity</w:t>
      </w:r>
      <w:r w:rsidR="00FF3C92">
        <w:rPr>
          <w:lang w:val="en-US"/>
        </w:rPr>
        <w:t xml:space="preserve"> </w:t>
      </w:r>
      <w:r w:rsidR="00FF3C92" w:rsidRPr="00FF3C92">
        <w:rPr>
          <w:lang w:val="en-US"/>
        </w:rPr>
        <w:t>[9,10].</w:t>
      </w:r>
    </w:p>
    <w:p w14:paraId="4C979C51" w14:textId="54C9AF61" w:rsidR="00887BFD" w:rsidRDefault="00F0689A" w:rsidP="00F0689A">
      <w:pPr>
        <w:rPr>
          <w:rFonts w:ascii="Cambria" w:hAnsi="Cambria"/>
          <w:color w:val="1B1B1B"/>
          <w:sz w:val="28"/>
          <w:szCs w:val="28"/>
          <w:shd w:val="clear" w:color="auto" w:fill="FFFFFF"/>
        </w:rPr>
      </w:pPr>
      <w:r w:rsidRPr="00F0689A">
        <w:rPr>
          <w:b/>
          <w:bCs/>
        </w:rPr>
        <w:t>Prognosis and Follow-Up</w:t>
      </w:r>
      <w:r w:rsidRPr="00F0689A">
        <w:br/>
        <w:t>The prognosis for gallstone-related GOO is generally favo</w:t>
      </w:r>
      <w:r w:rsidR="003D442C">
        <w:t>u</w:t>
      </w:r>
      <w:r w:rsidRPr="00F0689A">
        <w:t xml:space="preserve">rable with timely intervention. Long-term follow-up is necessary to monitor for complications, such as recurrent fistula formation or adhesive bowel obstruction </w:t>
      </w:r>
      <w:r w:rsidR="0084630E">
        <w:t>[</w:t>
      </w:r>
      <w:r w:rsidRPr="00F0689A">
        <w:t xml:space="preserve">3, </w:t>
      </w:r>
      <w:r w:rsidR="007D35F3">
        <w:t>5</w:t>
      </w:r>
      <w:r w:rsidR="0084630E">
        <w:t>]</w:t>
      </w:r>
      <w:r w:rsidRPr="00F0689A">
        <w:t>.</w:t>
      </w:r>
      <w:r w:rsidR="00887BFD" w:rsidRPr="00887BFD">
        <w:rPr>
          <w:rFonts w:ascii="Cambria" w:hAnsi="Cambria"/>
          <w:color w:val="1B1B1B"/>
          <w:sz w:val="28"/>
          <w:szCs w:val="28"/>
          <w:shd w:val="clear" w:color="auto" w:fill="FFFFFF"/>
        </w:rPr>
        <w:t xml:space="preserve"> </w:t>
      </w:r>
    </w:p>
    <w:p w14:paraId="1DE6BC35" w14:textId="0951D9B7" w:rsidR="003D442C" w:rsidRPr="003D442C" w:rsidRDefault="00837CAB" w:rsidP="00F0689A">
      <w:pPr>
        <w:rPr>
          <w:rFonts w:ascii="Calibri" w:hAnsi="Calibri" w:cs="Calibri"/>
          <w:b/>
          <w:bCs/>
          <w:color w:val="1B1B1B"/>
          <w:shd w:val="clear" w:color="auto" w:fill="FFFFFF"/>
        </w:rPr>
      </w:pPr>
      <w:r>
        <w:rPr>
          <w:rFonts w:ascii="Calibri" w:hAnsi="Calibri" w:cs="Calibri"/>
          <w:b/>
          <w:bCs/>
          <w:color w:val="1B1B1B"/>
          <w:shd w:val="clear" w:color="auto" w:fill="FFFFFF"/>
        </w:rPr>
        <w:t>CONCULSION</w:t>
      </w:r>
    </w:p>
    <w:p w14:paraId="26890D84" w14:textId="77777777" w:rsidR="00451C8E" w:rsidRPr="00451C8E" w:rsidRDefault="007D35F3" w:rsidP="00451C8E">
      <w:pPr>
        <w:rPr>
          <w:rFonts w:cstheme="minorHAnsi"/>
          <w:color w:val="1B1B1B"/>
          <w:shd w:val="clear" w:color="auto" w:fill="FFFFFF"/>
          <w:lang w:val="en-US"/>
        </w:rPr>
      </w:pPr>
      <w:r w:rsidRPr="007D35F3">
        <w:rPr>
          <w:rFonts w:cstheme="minorHAnsi"/>
          <w:color w:val="1B1B1B"/>
          <w:shd w:val="clear" w:color="auto" w:fill="FFFFFF"/>
        </w:rPr>
        <w:t xml:space="preserve">Gallstone-related GOO is a rare but serious complication of chronic cholecystitis. Early diagnosis and prompt management are essential for preventing significant morbidity. Endoscopy is useful for diagnosis and initial management; however, surgery remains the gold standard in cases of endoscopic failure. </w:t>
      </w:r>
      <w:r w:rsidR="00451C8E" w:rsidRPr="00451C8E">
        <w:rPr>
          <w:rFonts w:cstheme="minorHAnsi"/>
          <w:color w:val="1B1B1B"/>
          <w:shd w:val="clear" w:color="auto" w:fill="FFFFFF"/>
          <w:lang w:val="en-US"/>
        </w:rPr>
        <w:t>Our case underscores the importance of a multidisciplinary approach: prompt imaging, judicious endoscopic attempts, and timely conversion to surgery with definitive fistula closure in a young patient to optimize outcomes.</w:t>
      </w:r>
    </w:p>
    <w:p w14:paraId="11EC9288" w14:textId="72D83DDE" w:rsidR="0035615A" w:rsidRPr="003D442C" w:rsidRDefault="0035615A" w:rsidP="005E7EAA">
      <w:pPr>
        <w:rPr>
          <w:rFonts w:cstheme="minorHAnsi"/>
          <w:color w:val="1B1B1B"/>
          <w:shd w:val="clear" w:color="auto" w:fill="FFFFFF"/>
          <w:vertAlign w:val="superscript"/>
        </w:rPr>
      </w:pPr>
    </w:p>
    <w:p w14:paraId="4943A772" w14:textId="77777777" w:rsidR="00887BFD" w:rsidRPr="00F0689A" w:rsidRDefault="00887BFD" w:rsidP="00F0689A"/>
    <w:p w14:paraId="2D28BE68" w14:textId="77777777" w:rsidR="00F0689A" w:rsidRPr="00F0689A" w:rsidRDefault="00530FE5" w:rsidP="00F0689A">
      <w:r>
        <w:rPr>
          <w:noProof/>
        </w:rPr>
        <w:pict w14:anchorId="580AB0A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1D624B" w14:textId="77777777" w:rsidR="00F0689A" w:rsidRPr="00F0689A" w:rsidRDefault="00F0689A" w:rsidP="00F0689A">
      <w:r w:rsidRPr="00F0689A">
        <w:rPr>
          <w:b/>
          <w:bCs/>
        </w:rPr>
        <w:t>References</w:t>
      </w:r>
    </w:p>
    <w:p w14:paraId="755087CC" w14:textId="77777777" w:rsidR="00F0689A" w:rsidRPr="00F0689A" w:rsidRDefault="00F0689A" w:rsidP="00F0689A">
      <w:pPr>
        <w:numPr>
          <w:ilvl w:val="0"/>
          <w:numId w:val="2"/>
        </w:numPr>
      </w:pPr>
      <w:r w:rsidRPr="00F0689A">
        <w:t>Van Hillo M, van der Vliet JA, van Rijswijk JE, et al. Gallstone ileus: diagnosis and treatment. Arch Surg. 1987;122(5):497-501.</w:t>
      </w:r>
    </w:p>
    <w:p w14:paraId="2D7691ED" w14:textId="77777777" w:rsidR="00F0689A" w:rsidRPr="00F0689A" w:rsidRDefault="00F0689A" w:rsidP="00F0689A">
      <w:pPr>
        <w:numPr>
          <w:ilvl w:val="0"/>
          <w:numId w:val="2"/>
        </w:numPr>
      </w:pPr>
      <w:proofErr w:type="spellStart"/>
      <w:r w:rsidRPr="00F0689A">
        <w:t>Bouveret</w:t>
      </w:r>
      <w:proofErr w:type="spellEnd"/>
      <w:r w:rsidRPr="00F0689A">
        <w:t xml:space="preserve"> L. Stenosis du </w:t>
      </w:r>
      <w:proofErr w:type="spellStart"/>
      <w:r w:rsidRPr="00F0689A">
        <w:t>pylore</w:t>
      </w:r>
      <w:proofErr w:type="spellEnd"/>
      <w:r w:rsidRPr="00F0689A">
        <w:t xml:space="preserve"> adherent a la </w:t>
      </w:r>
      <w:proofErr w:type="spellStart"/>
      <w:r w:rsidRPr="00F0689A">
        <w:t>vesicule</w:t>
      </w:r>
      <w:proofErr w:type="spellEnd"/>
      <w:r w:rsidRPr="00F0689A">
        <w:t xml:space="preserve">. Rev Med (Paris). </w:t>
      </w:r>
      <w:proofErr w:type="gramStart"/>
      <w:r w:rsidRPr="00F0689A">
        <w:t>1896;16:1</w:t>
      </w:r>
      <w:proofErr w:type="gramEnd"/>
      <w:r w:rsidRPr="00F0689A">
        <w:t>-16.</w:t>
      </w:r>
    </w:p>
    <w:p w14:paraId="38C8EB78" w14:textId="77777777" w:rsidR="00F0689A" w:rsidRPr="00F0689A" w:rsidRDefault="00F0689A" w:rsidP="00F0689A">
      <w:pPr>
        <w:numPr>
          <w:ilvl w:val="0"/>
          <w:numId w:val="2"/>
        </w:numPr>
      </w:pPr>
      <w:r w:rsidRPr="00F0689A">
        <w:t>Reisner RM, Cohen JR. Gallstone ileus: a review of 1001 reported cases. Am Surg. 1994;60(6):441-446.</w:t>
      </w:r>
    </w:p>
    <w:p w14:paraId="0EFE212E" w14:textId="77777777" w:rsidR="00F0689A" w:rsidRPr="00F0689A" w:rsidRDefault="00F0689A" w:rsidP="00F0689A">
      <w:pPr>
        <w:numPr>
          <w:ilvl w:val="0"/>
          <w:numId w:val="2"/>
        </w:numPr>
      </w:pPr>
      <w:r w:rsidRPr="00F0689A">
        <w:lastRenderedPageBreak/>
        <w:t xml:space="preserve">Lassandro F, Romano S, Ragozzino A, et al. Role of imaging in the diagnosis of gallstone ileus and related conditions. AJR Am J </w:t>
      </w:r>
      <w:proofErr w:type="spellStart"/>
      <w:r w:rsidRPr="00F0689A">
        <w:t>Roentgenol</w:t>
      </w:r>
      <w:proofErr w:type="spellEnd"/>
      <w:r w:rsidRPr="00F0689A">
        <w:t>. 2005;185(5):1159-1165.</w:t>
      </w:r>
    </w:p>
    <w:p w14:paraId="5D425D20" w14:textId="77777777" w:rsidR="00F0689A" w:rsidRPr="00F0689A" w:rsidRDefault="00F0689A" w:rsidP="00F0689A">
      <w:pPr>
        <w:numPr>
          <w:ilvl w:val="0"/>
          <w:numId w:val="2"/>
        </w:numPr>
      </w:pPr>
      <w:r w:rsidRPr="00F0689A">
        <w:t xml:space="preserve">Glenn F, Reed C, Grafe WR. Biliary enteric fistula. </w:t>
      </w:r>
      <w:proofErr w:type="spellStart"/>
      <w:r w:rsidRPr="00F0689A">
        <w:t>Surg</w:t>
      </w:r>
      <w:proofErr w:type="spellEnd"/>
      <w:r w:rsidRPr="00F0689A">
        <w:t xml:space="preserve"> </w:t>
      </w:r>
      <w:proofErr w:type="spellStart"/>
      <w:r w:rsidRPr="00F0689A">
        <w:t>Gynecol</w:t>
      </w:r>
      <w:proofErr w:type="spellEnd"/>
      <w:r w:rsidRPr="00F0689A">
        <w:t xml:space="preserve"> Obstet. 1981;153(4):497-502.</w:t>
      </w:r>
    </w:p>
    <w:p w14:paraId="2ADD907D" w14:textId="77777777" w:rsidR="00F0689A" w:rsidRPr="00F0689A" w:rsidRDefault="00F0689A" w:rsidP="00F0689A">
      <w:pPr>
        <w:numPr>
          <w:ilvl w:val="0"/>
          <w:numId w:val="2"/>
        </w:numPr>
      </w:pPr>
      <w:r w:rsidRPr="00F0689A">
        <w:t>Rigler LG, Borman CN, Noble JF. Gallstone obstruction: pathogenesis and roentgen manifestations. JAMA. 1941;117(21):1753-1759.</w:t>
      </w:r>
    </w:p>
    <w:p w14:paraId="10FCD8D0" w14:textId="77777777" w:rsidR="00F0689A" w:rsidRPr="00F0689A" w:rsidRDefault="00F0689A" w:rsidP="00F0689A">
      <w:pPr>
        <w:numPr>
          <w:ilvl w:val="0"/>
          <w:numId w:val="2"/>
        </w:numPr>
      </w:pPr>
      <w:r w:rsidRPr="00F0689A">
        <w:t>Malik AA, Ul-Haq I, Wani KA, et al. Gallstone ileus: a review. Saudi J Gastroenterol. 2007;13(2):78-82.</w:t>
      </w:r>
    </w:p>
    <w:p w14:paraId="4F166F64" w14:textId="77777777" w:rsidR="00F0689A" w:rsidRDefault="00F0689A" w:rsidP="00F0689A">
      <w:pPr>
        <w:numPr>
          <w:ilvl w:val="0"/>
          <w:numId w:val="2"/>
        </w:numPr>
      </w:pPr>
      <w:proofErr w:type="spellStart"/>
      <w:r w:rsidRPr="00F0689A">
        <w:t>Clavien</w:t>
      </w:r>
      <w:proofErr w:type="spellEnd"/>
      <w:r w:rsidRPr="00F0689A">
        <w:t xml:space="preserve"> PA, Baillie J. Gallstone ileus: a review of the literature. Br J Surg. 1990;77(7):727-729.</w:t>
      </w:r>
    </w:p>
    <w:p w14:paraId="162CA678" w14:textId="346903AB" w:rsidR="00FF3C92" w:rsidRDefault="00FF3C92" w:rsidP="00FF3C92">
      <w:pPr>
        <w:pStyle w:val="ListParagraph"/>
        <w:numPr>
          <w:ilvl w:val="0"/>
          <w:numId w:val="2"/>
        </w:numPr>
      </w:pPr>
      <w:proofErr w:type="spellStart"/>
      <w:r>
        <w:t>Ayantunde</w:t>
      </w:r>
      <w:proofErr w:type="spellEnd"/>
      <w:r>
        <w:t xml:space="preserve"> AA, Agrawal A. Gallstone ileus: diagnosis and management. World J Surg. 2007;31(6):1292–1297.</w:t>
      </w:r>
    </w:p>
    <w:p w14:paraId="49FB11D3" w14:textId="77777777" w:rsidR="00FF3C92" w:rsidRDefault="00FF3C92" w:rsidP="00FF3C92">
      <w:pPr>
        <w:pStyle w:val="ListParagraph"/>
        <w:numPr>
          <w:ilvl w:val="0"/>
          <w:numId w:val="2"/>
        </w:numPr>
      </w:pPr>
      <w:r>
        <w:t xml:space="preserve">10. Nuño-Guzmán CM, Marín-Contreras ME, Figueroa-Sánchez M, Corona JL. Gallstone ileus, clinical presentation, diagnostic and treatment approach. World J </w:t>
      </w:r>
      <w:proofErr w:type="spellStart"/>
      <w:r>
        <w:t>Gastrointest</w:t>
      </w:r>
      <w:proofErr w:type="spellEnd"/>
      <w:r>
        <w:t xml:space="preserve"> Surg. 2016;8(1):65–76.</w:t>
      </w:r>
    </w:p>
    <w:p w14:paraId="00042775" w14:textId="77777777" w:rsidR="00FF3C92" w:rsidRPr="00F0689A" w:rsidRDefault="00FF3C92" w:rsidP="00FF3C92">
      <w:pPr>
        <w:ind w:left="360"/>
      </w:pPr>
    </w:p>
    <w:p w14:paraId="36591C1F" w14:textId="77777777" w:rsidR="00EC28CD" w:rsidRDefault="00EC28CD"/>
    <w:sectPr w:rsidR="00EC28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CBDBC" w14:textId="77777777" w:rsidR="00530FE5" w:rsidRDefault="00530FE5" w:rsidP="003921C9">
      <w:pPr>
        <w:spacing w:after="0" w:line="240" w:lineRule="auto"/>
      </w:pPr>
      <w:r>
        <w:separator/>
      </w:r>
    </w:p>
  </w:endnote>
  <w:endnote w:type="continuationSeparator" w:id="0">
    <w:p w14:paraId="71349D5D" w14:textId="77777777" w:rsidR="00530FE5" w:rsidRDefault="00530FE5" w:rsidP="0039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A52DB" w14:textId="77777777" w:rsidR="003921C9" w:rsidRDefault="00392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C634" w14:textId="77777777" w:rsidR="003921C9" w:rsidRDefault="00392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40E3" w14:textId="77777777" w:rsidR="003921C9" w:rsidRDefault="00392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2669" w14:textId="77777777" w:rsidR="00530FE5" w:rsidRDefault="00530FE5" w:rsidP="003921C9">
      <w:pPr>
        <w:spacing w:after="0" w:line="240" w:lineRule="auto"/>
      </w:pPr>
      <w:r>
        <w:separator/>
      </w:r>
    </w:p>
  </w:footnote>
  <w:footnote w:type="continuationSeparator" w:id="0">
    <w:p w14:paraId="3F56D8F3" w14:textId="77777777" w:rsidR="00530FE5" w:rsidRDefault="00530FE5" w:rsidP="0039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DE62" w14:textId="4EC6093F" w:rsidR="003921C9" w:rsidRDefault="003921C9">
    <w:pPr>
      <w:pStyle w:val="Header"/>
    </w:pPr>
    <w:r>
      <w:rPr>
        <w:noProof/>
      </w:rPr>
      <w:pict w14:anchorId="6E911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415297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F9F2" w14:textId="545602AB" w:rsidR="003921C9" w:rsidRDefault="003921C9">
    <w:pPr>
      <w:pStyle w:val="Header"/>
    </w:pPr>
    <w:r>
      <w:rPr>
        <w:noProof/>
      </w:rPr>
      <w:pict w14:anchorId="47B05F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415298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D62C" w14:textId="7DFCC468" w:rsidR="003921C9" w:rsidRDefault="003921C9">
    <w:pPr>
      <w:pStyle w:val="Header"/>
    </w:pPr>
    <w:r>
      <w:rPr>
        <w:noProof/>
      </w:rPr>
      <w:pict w14:anchorId="24D798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415296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8791F"/>
    <w:multiLevelType w:val="multilevel"/>
    <w:tmpl w:val="EDE0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73FAA"/>
    <w:multiLevelType w:val="multilevel"/>
    <w:tmpl w:val="37CC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xsDQwMbG0NDG1NDNQ0lEKTi0uzszPAykwqgUA8hgXHCwAAAA="/>
  </w:docVars>
  <w:rsids>
    <w:rsidRoot w:val="00F0689A"/>
    <w:rsid w:val="0000329D"/>
    <w:rsid w:val="00031E84"/>
    <w:rsid w:val="00094772"/>
    <w:rsid w:val="000D2781"/>
    <w:rsid w:val="0013156D"/>
    <w:rsid w:val="00152E6C"/>
    <w:rsid w:val="001D1FCA"/>
    <w:rsid w:val="00220B24"/>
    <w:rsid w:val="00243F5E"/>
    <w:rsid w:val="00285090"/>
    <w:rsid w:val="00287682"/>
    <w:rsid w:val="00290297"/>
    <w:rsid w:val="00291B21"/>
    <w:rsid w:val="0029527B"/>
    <w:rsid w:val="00297ABE"/>
    <w:rsid w:val="002D19C1"/>
    <w:rsid w:val="002D4351"/>
    <w:rsid w:val="002D5D7B"/>
    <w:rsid w:val="0032735B"/>
    <w:rsid w:val="003276D5"/>
    <w:rsid w:val="0035615A"/>
    <w:rsid w:val="003921C9"/>
    <w:rsid w:val="003D442C"/>
    <w:rsid w:val="003F0957"/>
    <w:rsid w:val="0041167F"/>
    <w:rsid w:val="00451243"/>
    <w:rsid w:val="00451C8E"/>
    <w:rsid w:val="00495E17"/>
    <w:rsid w:val="004C11FE"/>
    <w:rsid w:val="004C5643"/>
    <w:rsid w:val="004D5891"/>
    <w:rsid w:val="00530FE5"/>
    <w:rsid w:val="005B73A1"/>
    <w:rsid w:val="005C2B4A"/>
    <w:rsid w:val="005E7EAA"/>
    <w:rsid w:val="006325D7"/>
    <w:rsid w:val="006F5CB6"/>
    <w:rsid w:val="00716CC6"/>
    <w:rsid w:val="007215D5"/>
    <w:rsid w:val="007771B7"/>
    <w:rsid w:val="007A0923"/>
    <w:rsid w:val="007B5837"/>
    <w:rsid w:val="007D35F3"/>
    <w:rsid w:val="00833050"/>
    <w:rsid w:val="00837CAB"/>
    <w:rsid w:val="0084630E"/>
    <w:rsid w:val="00887BFD"/>
    <w:rsid w:val="008F6F94"/>
    <w:rsid w:val="0093222A"/>
    <w:rsid w:val="009835FA"/>
    <w:rsid w:val="009C5EAA"/>
    <w:rsid w:val="00A12BA7"/>
    <w:rsid w:val="00AA78A1"/>
    <w:rsid w:val="00AB5A9F"/>
    <w:rsid w:val="00B025F6"/>
    <w:rsid w:val="00B277F1"/>
    <w:rsid w:val="00B40B6D"/>
    <w:rsid w:val="00B83EE5"/>
    <w:rsid w:val="00BC07EF"/>
    <w:rsid w:val="00C136A6"/>
    <w:rsid w:val="00C77996"/>
    <w:rsid w:val="00C87FA8"/>
    <w:rsid w:val="00C9256F"/>
    <w:rsid w:val="00CA4B64"/>
    <w:rsid w:val="00CA64E2"/>
    <w:rsid w:val="00CF7D3D"/>
    <w:rsid w:val="00D24F9D"/>
    <w:rsid w:val="00D916EA"/>
    <w:rsid w:val="00E73BBB"/>
    <w:rsid w:val="00E8725B"/>
    <w:rsid w:val="00E930F1"/>
    <w:rsid w:val="00EA517C"/>
    <w:rsid w:val="00EC28CD"/>
    <w:rsid w:val="00EE094B"/>
    <w:rsid w:val="00EF64ED"/>
    <w:rsid w:val="00F0689A"/>
    <w:rsid w:val="00F951A1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71B6578"/>
  <w15:chartTrackingRefBased/>
  <w15:docId w15:val="{6F872168-1F66-4D03-8946-5EAFC573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BFD"/>
    <w:rPr>
      <w:color w:val="0000FF"/>
      <w:u w:val="single"/>
    </w:rPr>
  </w:style>
  <w:style w:type="paragraph" w:styleId="NoSpacing">
    <w:name w:val="No Spacing"/>
    <w:uiPriority w:val="1"/>
    <w:qFormat/>
    <w:rsid w:val="009835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83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1243"/>
    <w:rPr>
      <w:color w:val="605E5C"/>
      <w:shd w:val="clear" w:color="auto" w:fill="E1DFDD"/>
    </w:rPr>
  </w:style>
  <w:style w:type="paragraph" w:customStyle="1" w:styleId="p1">
    <w:name w:val="p1"/>
    <w:basedOn w:val="Normal"/>
    <w:rsid w:val="004116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1">
    <w:name w:val="s1"/>
    <w:basedOn w:val="DefaultParagraphFont"/>
    <w:rsid w:val="0041167F"/>
  </w:style>
  <w:style w:type="character" w:customStyle="1" w:styleId="s2">
    <w:name w:val="s2"/>
    <w:basedOn w:val="DefaultParagraphFont"/>
    <w:rsid w:val="0041167F"/>
  </w:style>
  <w:style w:type="paragraph" w:styleId="ListParagraph">
    <w:name w:val="List Paragraph"/>
    <w:basedOn w:val="Normal"/>
    <w:uiPriority w:val="34"/>
    <w:qFormat/>
    <w:rsid w:val="00FF3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1C9"/>
  </w:style>
  <w:style w:type="paragraph" w:styleId="Footer">
    <w:name w:val="footer"/>
    <w:basedOn w:val="Normal"/>
    <w:link w:val="FooterChar"/>
    <w:uiPriority w:val="99"/>
    <w:unhideWhenUsed/>
    <w:rsid w:val="0039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S</dc:creator>
  <cp:keywords/>
  <dc:description/>
  <cp:lastModifiedBy>SDI 1084</cp:lastModifiedBy>
  <cp:revision>23</cp:revision>
  <dcterms:created xsi:type="dcterms:W3CDTF">2025-02-16T13:01:00Z</dcterms:created>
  <dcterms:modified xsi:type="dcterms:W3CDTF">2025-08-23T10:03:00Z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250531d7-2545-477c-b59e-c408496f24d9</vt:lpwstr>
  </property>
</Properties>
</file>