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1BF13F" w14:textId="377CEA43" w:rsidR="001E1679" w:rsidRDefault="00924C20" w:rsidP="003360D0">
      <w:pPr>
        <w:jc w:val="center"/>
        <w:rPr>
          <w:rFonts w:ascii="Times New Roman" w:eastAsia="Calibri" w:hAnsi="Times New Roman" w:cs="Times New Roman"/>
          <w:kern w:val="0"/>
          <w:sz w:val="34"/>
          <w:szCs w:val="34"/>
          <w:lang w:val="id-ID" w:eastAsia="ko-KR"/>
          <w14:ligatures w14:val="none"/>
        </w:rPr>
      </w:pPr>
      <w:r w:rsidRPr="003360D0">
        <w:rPr>
          <w:rFonts w:ascii="Times New Roman" w:eastAsia="Calibri" w:hAnsi="Times New Roman" w:cs="Times New Roman"/>
          <w:kern w:val="0"/>
          <w:sz w:val="34"/>
          <w:szCs w:val="34"/>
          <w:lang w:val="id-ID" w:eastAsia="ko-KR"/>
          <w14:ligatures w14:val="none"/>
        </w:rPr>
        <w:t>Relationship</w:t>
      </w:r>
      <w:r w:rsidR="003360D0" w:rsidRPr="003360D0">
        <w:rPr>
          <w:rFonts w:ascii="Times New Roman" w:eastAsia="Calibri" w:hAnsi="Times New Roman" w:cs="Times New Roman"/>
          <w:kern w:val="0"/>
          <w:sz w:val="34"/>
          <w:szCs w:val="34"/>
          <w:lang w:val="id-ID" w:eastAsia="ko-KR"/>
          <w14:ligatures w14:val="none"/>
        </w:rPr>
        <w:t xml:space="preserve"> between the alignment of the project design with the donor priorities and the grant award decisions for humanitarian projects in Juba, South Sudan</w:t>
      </w:r>
    </w:p>
    <w:p w14:paraId="7E7A71B1" w14:textId="77777777" w:rsidR="00052F98" w:rsidRDefault="00052F98" w:rsidP="003360D0">
      <w:pPr>
        <w:jc w:val="center"/>
        <w:rPr>
          <w:rFonts w:ascii="Times New Roman" w:eastAsia="Calibri" w:hAnsi="Times New Roman" w:cs="Times New Roman"/>
          <w:kern w:val="0"/>
          <w:sz w:val="34"/>
          <w:szCs w:val="34"/>
          <w:lang w:val="id-ID" w:eastAsia="ko-KR"/>
          <w14:ligatures w14:val="none"/>
        </w:rPr>
      </w:pPr>
    </w:p>
    <w:p w14:paraId="26814848" w14:textId="77777777" w:rsidR="00B81F7E" w:rsidRDefault="00B81F7E" w:rsidP="00B81F7E">
      <w:pPr>
        <w:jc w:val="center"/>
        <w:rPr>
          <w:rFonts w:ascii="Times New Roman" w:hAnsi="Times New Roman" w:cs="Times New Roman"/>
        </w:rPr>
      </w:pPr>
      <w:bookmarkStart w:id="0" w:name="_GoBack"/>
      <w:bookmarkEnd w:id="0"/>
      <w:r>
        <w:rPr>
          <w:rFonts w:ascii="Times New Roman" w:hAnsi="Times New Roman" w:cs="Times New Roman"/>
        </w:rPr>
        <w:t>Abstract</w:t>
      </w:r>
    </w:p>
    <w:p w14:paraId="48BEB24B" w14:textId="77777777" w:rsidR="003360D0" w:rsidRPr="00826FDC" w:rsidRDefault="003360D0" w:rsidP="00AB5530">
      <w:pPr>
        <w:spacing w:after="0"/>
        <w:jc w:val="both"/>
        <w:rPr>
          <w:rFonts w:ascii="Times New Roman" w:hAnsi="Times New Roman" w:cs="Times New Roman"/>
          <w:sz w:val="22"/>
          <w:szCs w:val="22"/>
        </w:rPr>
      </w:pPr>
      <w:r w:rsidRPr="00826FDC">
        <w:rPr>
          <w:rFonts w:ascii="Times New Roman" w:hAnsi="Times New Roman" w:cs="Times New Roman"/>
          <w:sz w:val="22"/>
          <w:szCs w:val="22"/>
        </w:rPr>
        <w:t>Humanitarian grants provide the operational and financial foundation of humanitarian assistance. These grants</w:t>
      </w:r>
      <w:r w:rsidR="00826FDC">
        <w:rPr>
          <w:rFonts w:ascii="Times New Roman" w:hAnsi="Times New Roman" w:cs="Times New Roman"/>
          <w:sz w:val="22"/>
          <w:szCs w:val="22"/>
          <w:lang w:val="en-US"/>
        </w:rPr>
        <w:t xml:space="preserve"> </w:t>
      </w:r>
      <w:r w:rsidRPr="00826FDC">
        <w:rPr>
          <w:rFonts w:ascii="Times New Roman" w:hAnsi="Times New Roman" w:cs="Times New Roman"/>
          <w:sz w:val="22"/>
          <w:szCs w:val="22"/>
        </w:rPr>
        <w:t>offer vital financial and material resources to assist those impacted by emergencies, ultimately preserving lives,</w:t>
      </w:r>
      <w:r w:rsidR="00826FDC">
        <w:rPr>
          <w:rFonts w:ascii="Times New Roman" w:hAnsi="Times New Roman" w:cs="Times New Roman"/>
          <w:sz w:val="22"/>
          <w:szCs w:val="22"/>
          <w:lang w:val="en-US"/>
        </w:rPr>
        <w:t xml:space="preserve"> </w:t>
      </w:r>
      <w:r w:rsidRPr="00826FDC">
        <w:rPr>
          <w:rFonts w:ascii="Times New Roman" w:hAnsi="Times New Roman" w:cs="Times New Roman"/>
          <w:sz w:val="22"/>
          <w:szCs w:val="22"/>
        </w:rPr>
        <w:t xml:space="preserve">reducing suffering, and advancing respect and dignity for those facing adversity. This study examined </w:t>
      </w:r>
      <w:r w:rsidR="00E75932" w:rsidRPr="00826FDC">
        <w:rPr>
          <w:rFonts w:ascii="Times New Roman" w:hAnsi="Times New Roman" w:cs="Times New Roman"/>
          <w:sz w:val="22"/>
          <w:szCs w:val="22"/>
        </w:rPr>
        <w:t>the relationship between the alignment of the project design with the donor priorities and the grant award decisions for humanitarian projects in Juba, South Sudan</w:t>
      </w:r>
      <w:r w:rsidRPr="00826FDC">
        <w:rPr>
          <w:rFonts w:ascii="Times New Roman" w:hAnsi="Times New Roman" w:cs="Times New Roman"/>
          <w:sz w:val="22"/>
          <w:szCs w:val="22"/>
        </w:rPr>
        <w:t>. This study</w:t>
      </w:r>
      <w:r w:rsidR="00E75932" w:rsidRPr="00826FDC">
        <w:rPr>
          <w:rFonts w:ascii="Times New Roman" w:hAnsi="Times New Roman" w:cs="Times New Roman"/>
          <w:sz w:val="22"/>
          <w:szCs w:val="22"/>
          <w:lang w:val="en-US"/>
        </w:rPr>
        <w:t xml:space="preserve"> </w:t>
      </w:r>
      <w:r w:rsidRPr="00826FDC">
        <w:rPr>
          <w:rFonts w:ascii="Times New Roman" w:hAnsi="Times New Roman" w:cs="Times New Roman"/>
          <w:sz w:val="22"/>
          <w:szCs w:val="22"/>
        </w:rPr>
        <w:t>appraised Institutional Theory building on the hypothesis that these theories infl</w:t>
      </w:r>
      <w:r w:rsidR="00E75932" w:rsidRPr="00826FDC">
        <w:rPr>
          <w:rFonts w:ascii="Times New Roman" w:hAnsi="Times New Roman" w:cs="Times New Roman"/>
          <w:sz w:val="22"/>
          <w:szCs w:val="22"/>
        </w:rPr>
        <w:t>uence, to a significant extent,</w:t>
      </w:r>
      <w:r w:rsidR="00E75932" w:rsidRPr="00826FDC">
        <w:rPr>
          <w:rFonts w:ascii="Times New Roman" w:hAnsi="Times New Roman" w:cs="Times New Roman"/>
          <w:sz w:val="22"/>
          <w:szCs w:val="22"/>
          <w:lang w:val="en-US"/>
        </w:rPr>
        <w:t xml:space="preserve"> </w:t>
      </w:r>
      <w:r w:rsidRPr="00826FDC">
        <w:rPr>
          <w:rFonts w:ascii="Times New Roman" w:hAnsi="Times New Roman" w:cs="Times New Roman"/>
          <w:sz w:val="22"/>
          <w:szCs w:val="22"/>
        </w:rPr>
        <w:t>the grant award decision on a proposal. A descriptive research design</w:t>
      </w:r>
      <w:r w:rsidR="00E75932" w:rsidRPr="00826FDC">
        <w:rPr>
          <w:rFonts w:ascii="Times New Roman" w:hAnsi="Times New Roman" w:cs="Times New Roman"/>
          <w:sz w:val="22"/>
          <w:szCs w:val="22"/>
        </w:rPr>
        <w:t xml:space="preserve"> was adopted by the study. Non-</w:t>
      </w:r>
      <w:r w:rsidRPr="00826FDC">
        <w:rPr>
          <w:rFonts w:ascii="Times New Roman" w:hAnsi="Times New Roman" w:cs="Times New Roman"/>
          <w:sz w:val="22"/>
          <w:szCs w:val="22"/>
        </w:rPr>
        <w:t>Governmental Organizations (NGOs) and humanitarian donors operating in S</w:t>
      </w:r>
      <w:r w:rsidR="00E75932" w:rsidRPr="00826FDC">
        <w:rPr>
          <w:rFonts w:ascii="Times New Roman" w:hAnsi="Times New Roman" w:cs="Times New Roman"/>
          <w:sz w:val="22"/>
          <w:szCs w:val="22"/>
        </w:rPr>
        <w:t>outh Sudan were targeted by the</w:t>
      </w:r>
      <w:r w:rsidR="00E75932" w:rsidRPr="00826FDC">
        <w:rPr>
          <w:rFonts w:ascii="Times New Roman" w:hAnsi="Times New Roman" w:cs="Times New Roman"/>
          <w:sz w:val="22"/>
          <w:szCs w:val="22"/>
          <w:lang w:val="en-US"/>
        </w:rPr>
        <w:t xml:space="preserve"> </w:t>
      </w:r>
      <w:r w:rsidRPr="00826FDC">
        <w:rPr>
          <w:rFonts w:ascii="Times New Roman" w:hAnsi="Times New Roman" w:cs="Times New Roman"/>
          <w:sz w:val="22"/>
          <w:szCs w:val="22"/>
        </w:rPr>
        <w:t>study, with a sample of 14 NGOs and one donor representative using a stratifie</w:t>
      </w:r>
      <w:r w:rsidR="00E75932" w:rsidRPr="00826FDC">
        <w:rPr>
          <w:rFonts w:ascii="Times New Roman" w:hAnsi="Times New Roman" w:cs="Times New Roman"/>
          <w:sz w:val="22"/>
          <w:szCs w:val="22"/>
        </w:rPr>
        <w:t>d random sampling technique by</w:t>
      </w:r>
      <w:r w:rsidR="00E75932" w:rsidRPr="00826FDC">
        <w:rPr>
          <w:rFonts w:ascii="Times New Roman" w:hAnsi="Times New Roman" w:cs="Times New Roman"/>
          <w:sz w:val="22"/>
          <w:szCs w:val="22"/>
          <w:lang w:val="en-US"/>
        </w:rPr>
        <w:t xml:space="preserve"> </w:t>
      </w:r>
      <w:r w:rsidRPr="00826FDC">
        <w:rPr>
          <w:rFonts w:ascii="Times New Roman" w:hAnsi="Times New Roman" w:cs="Times New Roman"/>
          <w:sz w:val="22"/>
          <w:szCs w:val="22"/>
        </w:rPr>
        <w:t xml:space="preserve">employing </w:t>
      </w:r>
      <w:proofErr w:type="spellStart"/>
      <w:r w:rsidRPr="00826FDC">
        <w:rPr>
          <w:rFonts w:ascii="Times New Roman" w:hAnsi="Times New Roman" w:cs="Times New Roman"/>
          <w:sz w:val="22"/>
          <w:szCs w:val="22"/>
        </w:rPr>
        <w:t>Krejcie</w:t>
      </w:r>
      <w:proofErr w:type="spellEnd"/>
      <w:r w:rsidRPr="00826FDC">
        <w:rPr>
          <w:rFonts w:ascii="Times New Roman" w:hAnsi="Times New Roman" w:cs="Times New Roman"/>
          <w:sz w:val="22"/>
          <w:szCs w:val="22"/>
        </w:rPr>
        <w:t xml:space="preserve"> &amp;amp; Morgan sampling formula. A 5-point Likert scale was </w:t>
      </w:r>
      <w:r w:rsidR="00E75932" w:rsidRPr="00826FDC">
        <w:rPr>
          <w:rFonts w:ascii="Times New Roman" w:hAnsi="Times New Roman" w:cs="Times New Roman"/>
          <w:sz w:val="22"/>
          <w:szCs w:val="22"/>
        </w:rPr>
        <w:t>used for data collection. Pilot</w:t>
      </w:r>
      <w:r w:rsidR="00E75932" w:rsidRPr="00826FDC">
        <w:rPr>
          <w:rFonts w:ascii="Times New Roman" w:hAnsi="Times New Roman" w:cs="Times New Roman"/>
          <w:sz w:val="22"/>
          <w:szCs w:val="22"/>
          <w:lang w:val="en-US"/>
        </w:rPr>
        <w:t xml:space="preserve"> </w:t>
      </w:r>
      <w:r w:rsidRPr="00826FDC">
        <w:rPr>
          <w:rFonts w:ascii="Times New Roman" w:hAnsi="Times New Roman" w:cs="Times New Roman"/>
          <w:sz w:val="22"/>
          <w:szCs w:val="22"/>
        </w:rPr>
        <w:t>testing was done to check the user-friendliness/appropriateness of the study q</w:t>
      </w:r>
      <w:r w:rsidR="00E75932" w:rsidRPr="00826FDC">
        <w:rPr>
          <w:rFonts w:ascii="Times New Roman" w:hAnsi="Times New Roman" w:cs="Times New Roman"/>
          <w:sz w:val="22"/>
          <w:szCs w:val="22"/>
        </w:rPr>
        <w:t>uestionnaire. Data cleaning was</w:t>
      </w:r>
      <w:r w:rsidR="00E75932" w:rsidRPr="00826FDC">
        <w:rPr>
          <w:rFonts w:ascii="Times New Roman" w:hAnsi="Times New Roman" w:cs="Times New Roman"/>
          <w:sz w:val="22"/>
          <w:szCs w:val="22"/>
          <w:lang w:val="en-US"/>
        </w:rPr>
        <w:t xml:space="preserve"> </w:t>
      </w:r>
      <w:r w:rsidRPr="00826FDC">
        <w:rPr>
          <w:rFonts w:ascii="Times New Roman" w:hAnsi="Times New Roman" w:cs="Times New Roman"/>
          <w:sz w:val="22"/>
          <w:szCs w:val="22"/>
        </w:rPr>
        <w:t>carefully done and the completed and returned questionnaires were examined</w:t>
      </w:r>
      <w:r w:rsidR="00E75932" w:rsidRPr="00826FDC">
        <w:rPr>
          <w:rFonts w:ascii="Times New Roman" w:hAnsi="Times New Roman" w:cs="Times New Roman"/>
          <w:sz w:val="22"/>
          <w:szCs w:val="22"/>
        </w:rPr>
        <w:t xml:space="preserve"> for accuracy, reliability, and</w:t>
      </w:r>
      <w:r w:rsidR="00E75932" w:rsidRPr="00826FDC">
        <w:rPr>
          <w:rFonts w:ascii="Times New Roman" w:hAnsi="Times New Roman" w:cs="Times New Roman"/>
          <w:sz w:val="22"/>
          <w:szCs w:val="22"/>
          <w:lang w:val="en-US"/>
        </w:rPr>
        <w:t xml:space="preserve"> </w:t>
      </w:r>
      <w:r w:rsidRPr="00826FDC">
        <w:rPr>
          <w:rFonts w:ascii="Times New Roman" w:hAnsi="Times New Roman" w:cs="Times New Roman"/>
          <w:sz w:val="22"/>
          <w:szCs w:val="22"/>
        </w:rPr>
        <w:t xml:space="preserve">coded. Raw data was processed and </w:t>
      </w:r>
      <w:proofErr w:type="spellStart"/>
      <w:r w:rsidRPr="00826FDC">
        <w:rPr>
          <w:rFonts w:ascii="Times New Roman" w:hAnsi="Times New Roman" w:cs="Times New Roman"/>
          <w:sz w:val="22"/>
          <w:szCs w:val="22"/>
        </w:rPr>
        <w:t>analyzed</w:t>
      </w:r>
      <w:proofErr w:type="spellEnd"/>
      <w:r w:rsidRPr="00826FDC">
        <w:rPr>
          <w:rFonts w:ascii="Times New Roman" w:hAnsi="Times New Roman" w:cs="Times New Roman"/>
          <w:sz w:val="22"/>
          <w:szCs w:val="22"/>
        </w:rPr>
        <w:t xml:space="preserve"> using Statistical Package for Social</w:t>
      </w:r>
      <w:r w:rsidR="00E75932" w:rsidRPr="00826FDC">
        <w:rPr>
          <w:rFonts w:ascii="Times New Roman" w:hAnsi="Times New Roman" w:cs="Times New Roman"/>
          <w:sz w:val="22"/>
          <w:szCs w:val="22"/>
        </w:rPr>
        <w:t xml:space="preserve"> Sciences. The study finds that</w:t>
      </w:r>
      <w:r w:rsidR="00E75932" w:rsidRPr="00826FDC">
        <w:rPr>
          <w:rFonts w:ascii="Times New Roman" w:hAnsi="Times New Roman" w:cs="Times New Roman"/>
          <w:sz w:val="22"/>
          <w:szCs w:val="22"/>
          <w:lang w:val="en-US"/>
        </w:rPr>
        <w:t xml:space="preserve"> </w:t>
      </w:r>
      <w:r w:rsidRPr="00826FDC">
        <w:rPr>
          <w:rFonts w:ascii="Times New Roman" w:hAnsi="Times New Roman" w:cs="Times New Roman"/>
          <w:sz w:val="22"/>
          <w:szCs w:val="22"/>
        </w:rPr>
        <w:t>a grant proposal can hardly be funded if the needs of the affected people are not</w:t>
      </w:r>
      <w:r w:rsidR="00E75932" w:rsidRPr="00826FDC">
        <w:rPr>
          <w:rFonts w:ascii="Times New Roman" w:hAnsi="Times New Roman" w:cs="Times New Roman"/>
          <w:sz w:val="22"/>
          <w:szCs w:val="22"/>
        </w:rPr>
        <w:t xml:space="preserve"> well articulated, the proposal</w:t>
      </w:r>
      <w:r w:rsidR="00E75932" w:rsidRPr="00826FDC">
        <w:rPr>
          <w:rFonts w:ascii="Times New Roman" w:hAnsi="Times New Roman" w:cs="Times New Roman"/>
          <w:sz w:val="22"/>
          <w:szCs w:val="22"/>
          <w:lang w:val="en-US"/>
        </w:rPr>
        <w:t xml:space="preserve"> </w:t>
      </w:r>
      <w:r w:rsidRPr="00826FDC">
        <w:rPr>
          <w:rFonts w:ascii="Times New Roman" w:hAnsi="Times New Roman" w:cs="Times New Roman"/>
          <w:sz w:val="22"/>
          <w:szCs w:val="22"/>
        </w:rPr>
        <w:t>doesn’t align with donor priorities, the proposal doesn’t showcase exp</w:t>
      </w:r>
      <w:r w:rsidR="00E75932" w:rsidRPr="00826FDC">
        <w:rPr>
          <w:rFonts w:ascii="Times New Roman" w:hAnsi="Times New Roman" w:cs="Times New Roman"/>
          <w:sz w:val="22"/>
          <w:szCs w:val="22"/>
        </w:rPr>
        <w:t>erience or the proposal doesn’t</w:t>
      </w:r>
      <w:r w:rsidR="00E75932" w:rsidRPr="00826FDC">
        <w:rPr>
          <w:rFonts w:ascii="Times New Roman" w:hAnsi="Times New Roman" w:cs="Times New Roman"/>
          <w:sz w:val="22"/>
          <w:szCs w:val="22"/>
          <w:lang w:val="en-US"/>
        </w:rPr>
        <w:t xml:space="preserve"> </w:t>
      </w:r>
      <w:r w:rsidRPr="00826FDC">
        <w:rPr>
          <w:rFonts w:ascii="Times New Roman" w:hAnsi="Times New Roman" w:cs="Times New Roman"/>
          <w:sz w:val="22"/>
          <w:szCs w:val="22"/>
        </w:rPr>
        <w:t>demonstrate a realistic sustainability model. The study concludes that it’s para</w:t>
      </w:r>
      <w:r w:rsidR="00E75932" w:rsidRPr="00826FDC">
        <w:rPr>
          <w:rFonts w:ascii="Times New Roman" w:hAnsi="Times New Roman" w:cs="Times New Roman"/>
          <w:sz w:val="22"/>
          <w:szCs w:val="22"/>
        </w:rPr>
        <w:t>mount to clearly articulate the</w:t>
      </w:r>
      <w:r w:rsidR="00E75932" w:rsidRPr="00826FDC">
        <w:rPr>
          <w:rFonts w:ascii="Times New Roman" w:hAnsi="Times New Roman" w:cs="Times New Roman"/>
          <w:sz w:val="22"/>
          <w:szCs w:val="22"/>
          <w:lang w:val="en-US"/>
        </w:rPr>
        <w:t xml:space="preserve"> </w:t>
      </w:r>
      <w:r w:rsidRPr="00826FDC">
        <w:rPr>
          <w:rFonts w:ascii="Times New Roman" w:hAnsi="Times New Roman" w:cs="Times New Roman"/>
          <w:sz w:val="22"/>
          <w:szCs w:val="22"/>
        </w:rPr>
        <w:t>needs of the affected population in a grant proposal, that alignment with donor pri</w:t>
      </w:r>
      <w:r w:rsidR="00E75932" w:rsidRPr="00826FDC">
        <w:rPr>
          <w:rFonts w:ascii="Times New Roman" w:hAnsi="Times New Roman" w:cs="Times New Roman"/>
          <w:sz w:val="22"/>
          <w:szCs w:val="22"/>
        </w:rPr>
        <w:t>orities is a critical factor to</w:t>
      </w:r>
      <w:r w:rsidR="00E75932" w:rsidRPr="00826FDC">
        <w:rPr>
          <w:rFonts w:ascii="Times New Roman" w:hAnsi="Times New Roman" w:cs="Times New Roman"/>
          <w:sz w:val="22"/>
          <w:szCs w:val="22"/>
          <w:lang w:val="en-US"/>
        </w:rPr>
        <w:t xml:space="preserve"> </w:t>
      </w:r>
      <w:r w:rsidRPr="00826FDC">
        <w:rPr>
          <w:rFonts w:ascii="Times New Roman" w:hAnsi="Times New Roman" w:cs="Times New Roman"/>
          <w:sz w:val="22"/>
          <w:szCs w:val="22"/>
        </w:rPr>
        <w:t>consider when designing grant proposals, that experience is a critical ele</w:t>
      </w:r>
      <w:r w:rsidR="00E75932" w:rsidRPr="00826FDC">
        <w:rPr>
          <w:rFonts w:ascii="Times New Roman" w:hAnsi="Times New Roman" w:cs="Times New Roman"/>
          <w:sz w:val="22"/>
          <w:szCs w:val="22"/>
        </w:rPr>
        <w:t>ment prioritized by donors when</w:t>
      </w:r>
      <w:r w:rsidR="00E75932" w:rsidRPr="00826FDC">
        <w:rPr>
          <w:rFonts w:ascii="Times New Roman" w:hAnsi="Times New Roman" w:cs="Times New Roman"/>
          <w:sz w:val="22"/>
          <w:szCs w:val="22"/>
          <w:lang w:val="en-US"/>
        </w:rPr>
        <w:t xml:space="preserve"> </w:t>
      </w:r>
      <w:r w:rsidRPr="00826FDC">
        <w:rPr>
          <w:rFonts w:ascii="Times New Roman" w:hAnsi="Times New Roman" w:cs="Times New Roman"/>
          <w:sz w:val="22"/>
          <w:szCs w:val="22"/>
        </w:rPr>
        <w:t xml:space="preserve">making competitive grant award decisions, that a project’s sustainability </w:t>
      </w:r>
      <w:r w:rsidR="00E75932" w:rsidRPr="00826FDC">
        <w:rPr>
          <w:rFonts w:ascii="Times New Roman" w:hAnsi="Times New Roman" w:cs="Times New Roman"/>
          <w:sz w:val="22"/>
          <w:szCs w:val="22"/>
        </w:rPr>
        <w:t>model is a key determinant of a</w:t>
      </w:r>
      <w:r w:rsidR="00E75932" w:rsidRPr="00826FDC">
        <w:rPr>
          <w:rFonts w:ascii="Times New Roman" w:hAnsi="Times New Roman" w:cs="Times New Roman"/>
          <w:sz w:val="22"/>
          <w:szCs w:val="22"/>
          <w:lang w:val="en-US"/>
        </w:rPr>
        <w:t xml:space="preserve"> </w:t>
      </w:r>
      <w:r w:rsidRPr="00826FDC">
        <w:rPr>
          <w:rFonts w:ascii="Times New Roman" w:hAnsi="Times New Roman" w:cs="Times New Roman"/>
          <w:sz w:val="22"/>
          <w:szCs w:val="22"/>
        </w:rPr>
        <w:t>positive grant award decision, and that a project may still be funded even if</w:t>
      </w:r>
      <w:r w:rsidR="00E75932" w:rsidRPr="00826FDC">
        <w:rPr>
          <w:rFonts w:ascii="Times New Roman" w:hAnsi="Times New Roman" w:cs="Times New Roman"/>
          <w:sz w:val="22"/>
          <w:szCs w:val="22"/>
        </w:rPr>
        <w:t xml:space="preserve"> it doesn’t include a theory of</w:t>
      </w:r>
      <w:r w:rsidR="00E75932" w:rsidRPr="00826FDC">
        <w:rPr>
          <w:rFonts w:ascii="Times New Roman" w:hAnsi="Times New Roman" w:cs="Times New Roman"/>
          <w:sz w:val="22"/>
          <w:szCs w:val="22"/>
          <w:lang w:val="en-US"/>
        </w:rPr>
        <w:t xml:space="preserve"> </w:t>
      </w:r>
      <w:r w:rsidRPr="00826FDC">
        <w:rPr>
          <w:rFonts w:ascii="Times New Roman" w:hAnsi="Times New Roman" w:cs="Times New Roman"/>
          <w:sz w:val="22"/>
          <w:szCs w:val="22"/>
        </w:rPr>
        <w:t>change.</w:t>
      </w:r>
    </w:p>
    <w:p w14:paraId="56CAD3AB" w14:textId="77777777" w:rsidR="001E1679" w:rsidRPr="00826FDC" w:rsidRDefault="001E1679" w:rsidP="00AB5530">
      <w:pPr>
        <w:spacing w:after="0"/>
        <w:jc w:val="both"/>
        <w:rPr>
          <w:rFonts w:ascii="Times New Roman" w:hAnsi="Times New Roman" w:cs="Times New Roman"/>
          <w:sz w:val="22"/>
          <w:szCs w:val="22"/>
        </w:rPr>
      </w:pPr>
      <w:r w:rsidRPr="00826FDC">
        <w:rPr>
          <w:rFonts w:ascii="Times New Roman" w:hAnsi="Times New Roman" w:cs="Times New Roman"/>
          <w:b/>
          <w:sz w:val="22"/>
          <w:szCs w:val="22"/>
        </w:rPr>
        <w:t>Key words:</w:t>
      </w:r>
      <w:r w:rsidRPr="00826FDC">
        <w:rPr>
          <w:rFonts w:ascii="Times New Roman" w:hAnsi="Times New Roman" w:cs="Times New Roman"/>
          <w:sz w:val="22"/>
          <w:szCs w:val="22"/>
        </w:rPr>
        <w:t xml:space="preserve"> </w:t>
      </w:r>
      <w:r w:rsidR="00E75932" w:rsidRPr="00826FDC">
        <w:rPr>
          <w:rFonts w:ascii="Times New Roman" w:hAnsi="Times New Roman" w:cs="Times New Roman"/>
          <w:sz w:val="22"/>
          <w:szCs w:val="22"/>
        </w:rPr>
        <w:t>humanitarian grants, needs articulation, donors</w:t>
      </w:r>
    </w:p>
    <w:p w14:paraId="3E271A97" w14:textId="77777777" w:rsidR="00B24990" w:rsidRDefault="00B24990" w:rsidP="00AB5530">
      <w:pPr>
        <w:spacing w:after="0"/>
        <w:jc w:val="both"/>
        <w:rPr>
          <w:rFonts w:ascii="Times New Roman" w:hAnsi="Times New Roman" w:cs="Times New Roman"/>
          <w:sz w:val="20"/>
          <w:szCs w:val="20"/>
        </w:rPr>
      </w:pPr>
    </w:p>
    <w:p w14:paraId="7D33FA07" w14:textId="77777777" w:rsidR="00B24990" w:rsidRPr="00277771" w:rsidRDefault="00B24990" w:rsidP="00277771">
      <w:pPr>
        <w:spacing w:after="0"/>
        <w:rPr>
          <w:rFonts w:ascii="Times New Roman" w:hAnsi="Times New Roman" w:cs="Times New Roman"/>
          <w:b/>
          <w:bCs/>
        </w:rPr>
      </w:pPr>
      <w:r w:rsidRPr="00277771">
        <w:rPr>
          <w:rFonts w:ascii="Times New Roman" w:hAnsi="Times New Roman" w:cs="Times New Roman"/>
          <w:b/>
          <w:bCs/>
        </w:rPr>
        <w:t xml:space="preserve">Introduction </w:t>
      </w:r>
    </w:p>
    <w:p w14:paraId="4E0BE351" w14:textId="77777777" w:rsidR="00E75932" w:rsidRPr="00E75932" w:rsidRDefault="00E75932" w:rsidP="00E75932">
      <w:pPr>
        <w:spacing w:after="0"/>
        <w:jc w:val="both"/>
        <w:rPr>
          <w:rFonts w:ascii="Times New Roman" w:hAnsi="Times New Roman" w:cs="Times New Roman"/>
          <w:sz w:val="22"/>
          <w:szCs w:val="22"/>
          <w:lang w:val="en-US"/>
        </w:rPr>
      </w:pPr>
      <w:r w:rsidRPr="00E75932">
        <w:rPr>
          <w:rFonts w:ascii="Times New Roman" w:hAnsi="Times New Roman" w:cs="Times New Roman"/>
          <w:sz w:val="22"/>
          <w:szCs w:val="22"/>
          <w:lang w:val="en-US"/>
        </w:rPr>
        <w:t>Humanitarian grants provide the operational and financial foundation of humanitarian assistance globally. The Organization for Economic Co-operation and Development (OECD, 2023) defines humanitarian assistance as aid intended to preserve and uphold human dignity both during and after emergencies while also saving lives and reducing suffering. These grants are highly significant as they offer vital financial resources to assist those impacted by emergencies or natural catastrophes. Humanitarian initiatives support those who have suffered trauma or loss, help to strengthen the resilience of those in need, and shield those who are susceptible from danger (OECD, 2023). Ultimately, humanitarian efforts help to preserve life, reduce human suffering, and restore respect and dignity for people facing adversity. Sectorial or multi-sectorial approaches are used to develop and offer this assistance, which includes but is not limited to giving those in need of access to food, water, shelter, education, safety, psychosocial support, and medical treatment.</w:t>
      </w:r>
    </w:p>
    <w:p w14:paraId="391C6F2C" w14:textId="77777777" w:rsidR="00E75932" w:rsidRPr="00E75932" w:rsidRDefault="00E75932" w:rsidP="00E75932">
      <w:pPr>
        <w:spacing w:after="0"/>
        <w:jc w:val="both"/>
        <w:rPr>
          <w:rFonts w:ascii="Times New Roman" w:hAnsi="Times New Roman" w:cs="Times New Roman"/>
          <w:sz w:val="22"/>
          <w:szCs w:val="22"/>
          <w:lang w:val="en-US"/>
        </w:rPr>
      </w:pPr>
      <w:r w:rsidRPr="00E75932">
        <w:rPr>
          <w:rFonts w:ascii="Times New Roman" w:hAnsi="Times New Roman" w:cs="Times New Roman"/>
          <w:sz w:val="22"/>
          <w:szCs w:val="22"/>
          <w:lang w:val="en-US"/>
        </w:rPr>
        <w:t xml:space="preserve">Over the decades, Non-governmental Organizations (NGOs) have shown crucial function and meaningful results in designing and delivering humanitarian assistance to the affected communities globally (Daniela, 2010). This is partly because NGOs are widely believed to be more efficient and </w:t>
      </w:r>
      <w:r w:rsidRPr="00E75932">
        <w:rPr>
          <w:rFonts w:ascii="Times New Roman" w:hAnsi="Times New Roman" w:cs="Times New Roman"/>
          <w:sz w:val="22"/>
          <w:szCs w:val="22"/>
          <w:lang w:val="en-US"/>
        </w:rPr>
        <w:lastRenderedPageBreak/>
        <w:t xml:space="preserve">closer to the affected people than the donors in providing aid to the poor and needy recipients, also known as project participants. On the other hand, donors (government, private sector, individuals) play a critical role in ensuring that funds (humanitarian grants) are available for the NGOs to reach the affected populations. </w:t>
      </w:r>
    </w:p>
    <w:p w14:paraId="12E1AF2C" w14:textId="77777777" w:rsidR="00E75932" w:rsidRPr="00E75932" w:rsidRDefault="00E75932" w:rsidP="00E75932">
      <w:pPr>
        <w:spacing w:after="0"/>
        <w:jc w:val="both"/>
        <w:rPr>
          <w:rFonts w:ascii="Times New Roman" w:hAnsi="Times New Roman" w:cs="Times New Roman"/>
          <w:sz w:val="22"/>
          <w:szCs w:val="22"/>
          <w:lang w:val="en-US"/>
        </w:rPr>
      </w:pPr>
      <w:r w:rsidRPr="00E75932">
        <w:rPr>
          <w:rFonts w:ascii="Times New Roman" w:hAnsi="Times New Roman" w:cs="Times New Roman"/>
          <w:sz w:val="22"/>
          <w:szCs w:val="22"/>
          <w:lang w:val="en-US"/>
        </w:rPr>
        <w:t xml:space="preserve">Funding humanitarian responses is marred with its unique challenges, including the capacity to design projects that impact donor humanitarian assistance funding decisions. As conflicts, natural disasters, and climate emergencies continue to rise, humanitarian needs continue to swell globally while funding shrinks (United Nations Office for the Coordination of Humanitarian Affairs, 2022). </w:t>
      </w:r>
    </w:p>
    <w:p w14:paraId="7709E9B2" w14:textId="77777777" w:rsidR="00E75932" w:rsidRPr="00E75932" w:rsidRDefault="00E75932" w:rsidP="00E75932">
      <w:pPr>
        <w:spacing w:after="0"/>
        <w:jc w:val="both"/>
        <w:rPr>
          <w:rFonts w:ascii="Times New Roman" w:hAnsi="Times New Roman" w:cs="Times New Roman"/>
          <w:sz w:val="22"/>
          <w:szCs w:val="22"/>
          <w:lang w:val="en-US"/>
        </w:rPr>
      </w:pPr>
      <w:r w:rsidRPr="00E75932">
        <w:rPr>
          <w:rFonts w:ascii="Times New Roman" w:hAnsi="Times New Roman" w:cs="Times New Roman"/>
          <w:sz w:val="22"/>
          <w:szCs w:val="22"/>
          <w:lang w:val="en-US"/>
        </w:rPr>
        <w:t xml:space="preserve">With insufficient funding and more humanitarian agencies at play, the competition for funding has risen in recent years explicitly bringing to light the capacity issues of the grant applicants to design projects that influence the grant award decisions by the donors. In 2022 alone, the donor resources were spread across major crises like the Ukraine conflict crisis, Syria crisis, Somalia hunger crisis, South Sudan conflict crisis, Ethiopian conflict among other humanitarian responses. Globally, 274 million individuals needed humanitarian protection and humanitarian aid in general in 2022, compared to 235 million people the previous year, which was the largest number in so many years; these numbers represent a huge increase in humanitarian needs (OCHA, 2022). </w:t>
      </w:r>
      <w:proofErr w:type="spellStart"/>
      <w:r w:rsidRPr="00E75932">
        <w:rPr>
          <w:rFonts w:ascii="Times New Roman" w:hAnsi="Times New Roman" w:cs="Times New Roman"/>
          <w:sz w:val="22"/>
          <w:szCs w:val="22"/>
          <w:lang w:val="en-US"/>
        </w:rPr>
        <w:t>Moreso</w:t>
      </w:r>
      <w:proofErr w:type="spellEnd"/>
      <w:r w:rsidRPr="00E75932">
        <w:rPr>
          <w:rFonts w:ascii="Times New Roman" w:hAnsi="Times New Roman" w:cs="Times New Roman"/>
          <w:sz w:val="22"/>
          <w:szCs w:val="22"/>
          <w:lang w:val="en-US"/>
        </w:rPr>
        <w:t>, these humanitarian crises suggest a strained donor capacity and fatigue to provide the necessary financial resources to satisfy the urgent humanitarian requirements. This further implies that the implementing agencies on the ground must now ‘compete’ for the few donor resources to maintain their life-saving operations in crisis zones like South Sudan, Somalia, and Afghanistan among others.</w:t>
      </w:r>
    </w:p>
    <w:p w14:paraId="52575324" w14:textId="77777777" w:rsidR="00E75932" w:rsidRPr="00E75932" w:rsidRDefault="00E75932" w:rsidP="00E75932">
      <w:pPr>
        <w:spacing w:after="0"/>
        <w:jc w:val="both"/>
        <w:rPr>
          <w:rFonts w:ascii="Times New Roman" w:hAnsi="Times New Roman" w:cs="Times New Roman"/>
          <w:sz w:val="22"/>
          <w:szCs w:val="22"/>
          <w:lang w:val="en-US"/>
        </w:rPr>
      </w:pPr>
      <w:r w:rsidRPr="00E75932">
        <w:rPr>
          <w:rFonts w:ascii="Times New Roman" w:hAnsi="Times New Roman" w:cs="Times New Roman"/>
          <w:sz w:val="22"/>
          <w:szCs w:val="22"/>
          <w:lang w:val="en-US"/>
        </w:rPr>
        <w:t>The South Sudan Humanitarian Fund (SSHF), the country’s donor-pooled fund, allocated US$68.8 million to 64 humanitarian partners operating in the country in 2022, through the standard and reserve allocation modalities (OCHA, 2022). The SSHF is a country-based pooled fund in which major donors contribute to one funding pool, with UNOCHA as the fund manager in the country.</w:t>
      </w:r>
    </w:p>
    <w:p w14:paraId="7B1D611E" w14:textId="77777777" w:rsidR="00E75932" w:rsidRPr="00E75932" w:rsidRDefault="00E75932" w:rsidP="00E75932">
      <w:pPr>
        <w:spacing w:after="0"/>
        <w:jc w:val="both"/>
        <w:rPr>
          <w:rFonts w:ascii="Times New Roman" w:hAnsi="Times New Roman" w:cs="Times New Roman"/>
          <w:sz w:val="22"/>
          <w:szCs w:val="22"/>
          <w:lang w:val="en-US"/>
        </w:rPr>
      </w:pPr>
      <w:r w:rsidRPr="00E75932">
        <w:rPr>
          <w:rFonts w:ascii="Times New Roman" w:hAnsi="Times New Roman" w:cs="Times New Roman"/>
          <w:sz w:val="22"/>
          <w:szCs w:val="22"/>
          <w:lang w:val="en-US"/>
        </w:rPr>
        <w:t xml:space="preserve">By July 2022, the SSHF allocation for the year only amounted to US$25 million (close to 64% reduced funding level relative to the previous year); this was intended to give a major boost to humanitarian assistance activities in tackling the effects of heightened violence and food shortages in ten counties of the four most severely affected states of South Sudan: </w:t>
      </w:r>
      <w:proofErr w:type="spellStart"/>
      <w:r w:rsidRPr="00E75932">
        <w:rPr>
          <w:rFonts w:ascii="Times New Roman" w:hAnsi="Times New Roman" w:cs="Times New Roman"/>
          <w:sz w:val="22"/>
          <w:szCs w:val="22"/>
          <w:lang w:val="en-US"/>
        </w:rPr>
        <w:t>Warrap</w:t>
      </w:r>
      <w:proofErr w:type="spellEnd"/>
      <w:r w:rsidRPr="00E75932">
        <w:rPr>
          <w:rFonts w:ascii="Times New Roman" w:hAnsi="Times New Roman" w:cs="Times New Roman"/>
          <w:sz w:val="22"/>
          <w:szCs w:val="22"/>
          <w:lang w:val="en-US"/>
        </w:rPr>
        <w:t xml:space="preserve">, Jonglei, Unity, and Western </w:t>
      </w:r>
      <w:proofErr w:type="spellStart"/>
      <w:r w:rsidRPr="00E75932">
        <w:rPr>
          <w:rFonts w:ascii="Times New Roman" w:hAnsi="Times New Roman" w:cs="Times New Roman"/>
          <w:sz w:val="22"/>
          <w:szCs w:val="22"/>
          <w:lang w:val="en-US"/>
        </w:rPr>
        <w:t>Equatoria</w:t>
      </w:r>
      <w:proofErr w:type="spellEnd"/>
      <w:r w:rsidRPr="00E75932">
        <w:rPr>
          <w:rFonts w:ascii="Times New Roman" w:hAnsi="Times New Roman" w:cs="Times New Roman"/>
          <w:sz w:val="22"/>
          <w:szCs w:val="22"/>
          <w:lang w:val="en-US"/>
        </w:rPr>
        <w:t xml:space="preserve"> states (OCHA, 2022).</w:t>
      </w:r>
    </w:p>
    <w:p w14:paraId="3123C252" w14:textId="77777777" w:rsidR="00E75932" w:rsidRPr="00E75932" w:rsidRDefault="00E75932" w:rsidP="00E75932">
      <w:pPr>
        <w:spacing w:after="0"/>
        <w:jc w:val="both"/>
        <w:rPr>
          <w:rFonts w:ascii="Times New Roman" w:hAnsi="Times New Roman" w:cs="Times New Roman"/>
          <w:sz w:val="22"/>
          <w:szCs w:val="22"/>
          <w:lang w:val="en-US"/>
        </w:rPr>
      </w:pPr>
      <w:r w:rsidRPr="00E75932">
        <w:rPr>
          <w:rFonts w:ascii="Times New Roman" w:hAnsi="Times New Roman" w:cs="Times New Roman"/>
          <w:sz w:val="22"/>
          <w:szCs w:val="22"/>
          <w:lang w:val="en-US"/>
        </w:rPr>
        <w:t>With the 64% reduction in SSHF funding in 2022 in comparison to the funding levels in the previous year, the number of partners eligible to receive this funding increased from 64 to 125, close to double the number eligible in 2021. This implies serious ‘competition’ for funding slots in the pooled fund; this is definitely not the ‘usual’ state of things in the country’s humanitarian industry. Suddenly, there is a 64% reduction in resources (funds) and a close to 50% increase in the number of implementing partners, the potential fund recipients. This is a case of more eligible (potential) implementing partners, less funding in the pool; more needs, and stringent partner (fund recipient) selection criteria.</w:t>
      </w:r>
      <w:bookmarkStart w:id="1" w:name="_Hlk162159912"/>
      <w:r w:rsidRPr="00E75932">
        <w:rPr>
          <w:rFonts w:ascii="Times New Roman" w:hAnsi="Times New Roman" w:cs="Times New Roman"/>
          <w:sz w:val="22"/>
          <w:szCs w:val="22"/>
          <w:lang w:val="en-US"/>
        </w:rPr>
        <w:t xml:space="preserve"> As the competition for funds becomes steep, and as the number of eligible partners becomes twice as much, the chances that a grant proposal by an eligible applicant gets funded are diminishing. This further implies that project designs will be subjected to more stringent selection criteria during grant award decision-making process by the donors. With the low funding levels, there is a high risk of grant proposals being rejected for funding, which ultimately implies that the needs of the affected populations will not be met adequately which further triggers a crisis within crisis. The reduced donor appetite and little prioritization of funding allocations to South Sudan crisis is a recent phenomenon that humanitarian agencies in the country are facing in the last few years, given that South Sudan has been on the priority list of the major humanitarian donors since the country became independent in 2011. </w:t>
      </w:r>
    </w:p>
    <w:p w14:paraId="43E29888" w14:textId="77777777" w:rsidR="00E75932" w:rsidRPr="00E75932" w:rsidRDefault="00E75932" w:rsidP="00E75932">
      <w:pPr>
        <w:spacing w:after="0"/>
        <w:jc w:val="both"/>
        <w:rPr>
          <w:rFonts w:ascii="Times New Roman" w:hAnsi="Times New Roman" w:cs="Times New Roman"/>
          <w:sz w:val="22"/>
          <w:szCs w:val="22"/>
          <w:lang w:val="en-US"/>
        </w:rPr>
      </w:pPr>
      <w:r w:rsidRPr="00E75932">
        <w:rPr>
          <w:rFonts w:ascii="Times New Roman" w:hAnsi="Times New Roman" w:cs="Times New Roman"/>
          <w:sz w:val="22"/>
          <w:szCs w:val="22"/>
          <w:lang w:val="en-US"/>
        </w:rPr>
        <w:t xml:space="preserve">Amidst the looping funding shortages globally and in the country particularly, an astounding 76 percent of South Sudan's population, or over 9.4 million people, were predicted to require humanitarian aid in </w:t>
      </w:r>
      <w:r w:rsidRPr="00E75932">
        <w:rPr>
          <w:rFonts w:ascii="Times New Roman" w:hAnsi="Times New Roman" w:cs="Times New Roman"/>
          <w:sz w:val="22"/>
          <w:szCs w:val="22"/>
          <w:lang w:val="en-US"/>
        </w:rPr>
        <w:lastRenderedPageBreak/>
        <w:t>2023. In the country, at least 148,000 foreign returnees were still displaced and unable to return to their homes (OCHA, 2023). In 2023, there were 9.4 million individuals in need of humanitarian assistance, an increase from 8.9 million in 2022 due to the decline in people's coping strategies, living conditions, and physical and mental health. Compounding shocks brought on by ongoing conflict, extensive flooding, growing food insecurity, inflation, rising food costs, and limited access to essential services are the main causes of this escalation (OCHA, 2023).</w:t>
      </w:r>
    </w:p>
    <w:p w14:paraId="670283F4" w14:textId="77777777" w:rsidR="00E75932" w:rsidRPr="00E75932" w:rsidRDefault="00E75932" w:rsidP="00E75932">
      <w:pPr>
        <w:spacing w:after="0"/>
        <w:jc w:val="both"/>
        <w:rPr>
          <w:rFonts w:ascii="Times New Roman" w:hAnsi="Times New Roman" w:cs="Times New Roman"/>
          <w:sz w:val="22"/>
          <w:szCs w:val="22"/>
          <w:lang w:val="en-US"/>
        </w:rPr>
      </w:pPr>
      <w:r w:rsidRPr="00E75932">
        <w:rPr>
          <w:rFonts w:ascii="Times New Roman" w:hAnsi="Times New Roman" w:cs="Times New Roman"/>
          <w:sz w:val="22"/>
          <w:szCs w:val="22"/>
          <w:lang w:val="en-US"/>
        </w:rPr>
        <w:t>South Sudan became a self-governing state in 2011, having gained her independence from Sudan through a popular referendum. The young nation started off with promising economic prospects. However, the country’s economy was heavily dependent on oil revenues, making up to 98% of the overall government revenue base (</w:t>
      </w:r>
      <w:proofErr w:type="spellStart"/>
      <w:r w:rsidRPr="00E75932">
        <w:rPr>
          <w:rFonts w:ascii="Times New Roman" w:hAnsi="Times New Roman" w:cs="Times New Roman"/>
          <w:sz w:val="22"/>
          <w:szCs w:val="22"/>
          <w:lang w:val="en-US"/>
        </w:rPr>
        <w:t>Attipoe</w:t>
      </w:r>
      <w:proofErr w:type="spellEnd"/>
      <w:r w:rsidRPr="00E75932">
        <w:rPr>
          <w:rFonts w:ascii="Times New Roman" w:hAnsi="Times New Roman" w:cs="Times New Roman"/>
          <w:sz w:val="22"/>
          <w:szCs w:val="22"/>
          <w:lang w:val="en-US"/>
        </w:rPr>
        <w:t xml:space="preserve"> et. al, 2014). South Sudan had no external debts in 2011 when it gained independence. More so, the government spent far less per person due to its relatively small population and abundant oil income, compared to many of its neighbors in the region. With these prospects, external observers believed that the nation indeed had a promising economic future. With the inherited untapped oil reserves supplementing the nation's well-established oil sector, the nation was in a good position to finance the significant expenditures needed for physical infrastructure, health care, and education coupled with its mining and huge agricultural potential. However, a few years into independence, this potential was lost. Cross border conflict with Sudan and internal political wrangling crippled South Sudan oil exports in particular and the economy at large. In 2015, South Sudan devalued its currency against the US Dollar and a year later, the nation had the highest rate of inflation in the world, just five years after gaining independence, as its currency lost more than 90% of its value (South Sudan Humanitarian Project, 2016). </w:t>
      </w:r>
    </w:p>
    <w:p w14:paraId="668D0CB8" w14:textId="77777777" w:rsidR="00E75932" w:rsidRPr="00E75932" w:rsidRDefault="00E75932" w:rsidP="00E75932">
      <w:pPr>
        <w:spacing w:after="0"/>
        <w:jc w:val="both"/>
        <w:rPr>
          <w:rFonts w:ascii="Times New Roman" w:hAnsi="Times New Roman" w:cs="Times New Roman"/>
          <w:sz w:val="22"/>
          <w:szCs w:val="22"/>
          <w:lang w:val="en-US"/>
        </w:rPr>
      </w:pPr>
      <w:r w:rsidRPr="00E75932">
        <w:rPr>
          <w:rFonts w:ascii="Times New Roman" w:hAnsi="Times New Roman" w:cs="Times New Roman"/>
          <w:sz w:val="22"/>
          <w:szCs w:val="22"/>
          <w:lang w:val="en-US"/>
        </w:rPr>
        <w:t>Two years after its independence, the young nation was back to the frontline, this time against itself and within its national boundaries; an armed conflict broke out in the country’s capital, Juba, between the government and opposition groups, and spread across other parts of the country fast. This triggered a humanitarian catastrophe in the form of widespread displacement, loss of lives and livelihoods, and a fragile economy. A peace agreement was signed to quell the conflict, but this didn’t last long. In 2016, another conflict broke out, again between the government and opposition forces. This resulted in mass displacement, the creation of Protection of Civilians (POCs) camps, a spike in food insecurity levels, major safety challenges, access restrictions, and economic meltdown. The food security levels continued to worsen while humanitarian needs continued to deepen and became complex in nature.</w:t>
      </w:r>
    </w:p>
    <w:bookmarkEnd w:id="1"/>
    <w:p w14:paraId="4C2DC9F5" w14:textId="77777777" w:rsidR="00E75932" w:rsidRPr="00E75932" w:rsidRDefault="00E75932" w:rsidP="00E75932">
      <w:pPr>
        <w:spacing w:after="0"/>
        <w:jc w:val="both"/>
        <w:rPr>
          <w:rFonts w:ascii="Times New Roman" w:hAnsi="Times New Roman" w:cs="Times New Roman"/>
          <w:sz w:val="22"/>
          <w:szCs w:val="22"/>
          <w:lang w:val="en-US"/>
        </w:rPr>
      </w:pPr>
      <w:r w:rsidRPr="00E75932">
        <w:rPr>
          <w:rFonts w:ascii="Times New Roman" w:hAnsi="Times New Roman" w:cs="Times New Roman"/>
          <w:sz w:val="22"/>
          <w:szCs w:val="22"/>
          <w:lang w:val="en-US"/>
        </w:rPr>
        <w:t xml:space="preserve">As the humanitarian needs deepened in South Sudan, other sustained and emerging humanitarian crises and responses also grew in complexity and number in other countries including Somalia, Yemen, Afghanistan, Ukraine, and Democratic Republic of Congo in the recent times. According to OCHA (2024), Somalia endured a devastating protracted dry spell in 2023, which preceded severe floods in a matter of months. The severity and spread of the humanitarian requirements remain unabated. Acute food insecurity affects nearly one in five Somalis. The Integral Food Security Phase Classification (IPC) analysis, which was published on February 15, 2024, projected that until March 2024, at least 4 million people, or 21% of the population, was going to be in IPC Phase 3 or worse (Crisis or Emergency phase). Given that 23 out of 74 districts are deemed difficult or extremely difficult to access, the drawdown was expected to exacerbate the difficulty of humanitarian access and raise the cost of relief efforts during a period when a decrease in humanitarian funding was anticipated, as only 43% of the funding allocated for the 2023 Humanitarian Response Plan was received the previous year (OCHA, 2024). One significant obstacle is that, at US$ 1.6 billion, the nation's financial needs for 2024 are 40% lower than those for 2023. An estimated 4.8 million people needed assistance from this allocation, which was 32% fewer than the number of people targeted in 2023 (OCHA, 2024). With the limited funding and increasing humanitarian needs in Somalia, it’s apparent that competition for funding would rise and </w:t>
      </w:r>
      <w:r w:rsidRPr="00E75932">
        <w:rPr>
          <w:rFonts w:ascii="Times New Roman" w:hAnsi="Times New Roman" w:cs="Times New Roman"/>
          <w:sz w:val="22"/>
          <w:szCs w:val="22"/>
          <w:lang w:val="en-US"/>
        </w:rPr>
        <w:lastRenderedPageBreak/>
        <w:t>well-designed projects to meet specific donor requirements likely received positive funding decisions. Similar humanitarian challenges cut across other regions and countries, for instance, Yemen.</w:t>
      </w:r>
    </w:p>
    <w:p w14:paraId="13A9910D" w14:textId="77777777" w:rsidR="00E75932" w:rsidRPr="00E75932" w:rsidRDefault="00E75932" w:rsidP="00E75932">
      <w:pPr>
        <w:spacing w:after="0"/>
        <w:jc w:val="both"/>
        <w:rPr>
          <w:rFonts w:ascii="Times New Roman" w:hAnsi="Times New Roman" w:cs="Times New Roman"/>
          <w:sz w:val="22"/>
          <w:szCs w:val="22"/>
          <w:lang w:val="en-US"/>
        </w:rPr>
      </w:pPr>
      <w:r w:rsidRPr="00E75932">
        <w:rPr>
          <w:rFonts w:ascii="Times New Roman" w:hAnsi="Times New Roman" w:cs="Times New Roman"/>
          <w:sz w:val="22"/>
          <w:szCs w:val="22"/>
          <w:lang w:val="en-US"/>
        </w:rPr>
        <w:t>In 2024, after nine years of conflict escalation and more than a year since the agreement between the warring sides expired, Yemen found itself at a crossroads. The developments of the recent regional conflicts, such as the war in Gaza, have increased the humanitarian hazards involved and worsened the overall humanitarian outlook. Now and in the next few years, there will be a great demand for humanitarian aid across the country. In 2024, Yemen's complicated protection issues remained the main source of the nation's humanitarian needs (OCHA, 2024). OCHA (2023) reported that by the end of December 2023, just 38.3% of the US$4.34 billion Yemen Humanitarian Response Plan (HRP) had been financed, prompting 229 humanitarian agencies in the country to scale back or discontinue vital support programs for 17.3 million people. This situation bears similarities to both South Sudan and Somalia, with notable declines in funding, a huge number of aid agencies on the ground, and growing unmet humanitarian needs. This supports the theory that, in this fiercely competitive environment, donor funding will most likely only be attracted to well-designed programs. Afghanistan and other humanitarian disasters bear a similar dent.</w:t>
      </w:r>
    </w:p>
    <w:p w14:paraId="6B2E596A" w14:textId="77777777" w:rsidR="00E75932" w:rsidRPr="00E75932" w:rsidRDefault="00E75932" w:rsidP="00E75932">
      <w:pPr>
        <w:spacing w:after="0"/>
        <w:jc w:val="both"/>
        <w:rPr>
          <w:rFonts w:ascii="Times New Roman" w:hAnsi="Times New Roman" w:cs="Times New Roman"/>
          <w:sz w:val="22"/>
          <w:szCs w:val="22"/>
          <w:lang w:val="en-US"/>
        </w:rPr>
      </w:pPr>
      <w:r w:rsidRPr="00E75932">
        <w:rPr>
          <w:rFonts w:ascii="Times New Roman" w:hAnsi="Times New Roman" w:cs="Times New Roman"/>
          <w:sz w:val="22"/>
          <w:szCs w:val="22"/>
          <w:lang w:val="en-US"/>
        </w:rPr>
        <w:t xml:space="preserve">Afghanistan is still battling the aftereffects of four decades of warfare, pervasive poverty, effects of climate change, and grim barriers to women's equality and involvement in public life. The Republic's underlying fragilities, such as inadequate chances for rural as well as urban residents to earn a living, have been made worse by the economic downturn that followed the change in leadership in August 2021, which also happened to coincide with the suspension of significant bilateral development cooperation (OCHA, 2024). Moreover, half of Afghanistan's population, or 23.7 million people needed humanitarian aid by 2024, out of which, only 17.3 million were targeted for humanitarian support. This means over 6.4 million individuals who needed aid couldn’t be reached due to lack of funding. Humanitarian actors have been and will continue to be forced by these limited resources to prioritize the most vulnerable and those in dire need </w:t>
      </w:r>
      <w:r w:rsidRPr="00E75932">
        <w:rPr>
          <w:rFonts w:ascii="Times New Roman" w:hAnsi="Times New Roman" w:cs="Times New Roman"/>
          <w:sz w:val="22"/>
          <w:szCs w:val="22"/>
          <w:lang w:val="zh-CN"/>
        </w:rPr>
        <w:t>(OCHA, 2023).</w:t>
      </w:r>
      <w:r w:rsidRPr="00E75932">
        <w:rPr>
          <w:rFonts w:ascii="Times New Roman" w:hAnsi="Times New Roman" w:cs="Times New Roman"/>
          <w:sz w:val="22"/>
          <w:szCs w:val="22"/>
          <w:lang w:val="en-US"/>
        </w:rPr>
        <w:t xml:space="preserve"> The strained Afghan economy, which is mostly dependent on remittances and humanitarian assistance, is facing difficulties made worse by women's marginalization from the workforce. </w:t>
      </w:r>
      <w:r w:rsidRPr="00E75932">
        <w:rPr>
          <w:rFonts w:ascii="Times New Roman" w:hAnsi="Times New Roman" w:cs="Times New Roman"/>
          <w:sz w:val="22"/>
          <w:szCs w:val="22"/>
          <w:lang w:val="zh-CN"/>
        </w:rPr>
        <w:t>From the project design perspective, given the high competition for the limited humanitarian funding in Afghanistan, project designs that best meet specific donor requirements will likely receive positive award decisions.</w:t>
      </w:r>
    </w:p>
    <w:p w14:paraId="6C293276" w14:textId="77777777" w:rsidR="00E75932" w:rsidRPr="00E75932" w:rsidRDefault="00E75932" w:rsidP="00E75932">
      <w:pPr>
        <w:spacing w:after="0"/>
        <w:jc w:val="both"/>
        <w:rPr>
          <w:rFonts w:ascii="Times New Roman" w:hAnsi="Times New Roman" w:cs="Times New Roman"/>
          <w:sz w:val="22"/>
          <w:szCs w:val="22"/>
          <w:lang w:val="en-US"/>
        </w:rPr>
      </w:pPr>
      <w:r w:rsidRPr="00E75932">
        <w:rPr>
          <w:rFonts w:ascii="Times New Roman" w:hAnsi="Times New Roman" w:cs="Times New Roman"/>
          <w:sz w:val="22"/>
          <w:szCs w:val="22"/>
          <w:lang w:val="zh-CN"/>
        </w:rPr>
        <w:t xml:space="preserve">In </w:t>
      </w:r>
      <w:r w:rsidRPr="00E75932">
        <w:rPr>
          <w:rFonts w:ascii="Times New Roman" w:hAnsi="Times New Roman" w:cs="Times New Roman"/>
          <w:sz w:val="22"/>
          <w:szCs w:val="22"/>
          <w:lang w:val="en-US"/>
        </w:rPr>
        <w:t xml:space="preserve">the </w:t>
      </w:r>
      <w:r w:rsidRPr="00E75932">
        <w:rPr>
          <w:rFonts w:ascii="Times New Roman" w:hAnsi="Times New Roman" w:cs="Times New Roman"/>
          <w:sz w:val="22"/>
          <w:szCs w:val="22"/>
          <w:lang w:val="zh-CN"/>
        </w:rPr>
        <w:t>West and Central Africa, similar humanitarian trends are witnessed in conflict-affected countries like the Democratic Republic of Congo (DRC).</w:t>
      </w:r>
      <w:r w:rsidRPr="00E75932">
        <w:rPr>
          <w:rFonts w:ascii="Times New Roman" w:hAnsi="Times New Roman" w:cs="Times New Roman"/>
          <w:sz w:val="22"/>
          <w:szCs w:val="22"/>
          <w:lang w:val="en-US"/>
        </w:rPr>
        <w:t xml:space="preserve"> The DRC's humanitarian outlook is still grave. More than 25.4 million people, or 25% of the population, needed humanitarian aid in 2024. The Eastern provinces, which have been particularly affected by conflict and insecurity, continue to have the greatest humanitarian needs. With almost 9.6 million people in the DRC on the move as of December 31, 2023—including 2.6 million returnees, 527,000 refugees, and 6.5 million displaced by conflict people—the country had one of the worst displacement crises in the world, second only to Sudan.</w:t>
      </w:r>
    </w:p>
    <w:p w14:paraId="0381DBEC" w14:textId="77777777" w:rsidR="00E75932" w:rsidRPr="00E75932" w:rsidRDefault="00E75932" w:rsidP="00E75932">
      <w:pPr>
        <w:spacing w:after="0"/>
        <w:jc w:val="both"/>
        <w:rPr>
          <w:rFonts w:ascii="Times New Roman" w:hAnsi="Times New Roman" w:cs="Times New Roman"/>
          <w:sz w:val="22"/>
          <w:szCs w:val="22"/>
          <w:lang w:val="en-US"/>
        </w:rPr>
      </w:pPr>
      <w:r w:rsidRPr="00E75932">
        <w:rPr>
          <w:rFonts w:ascii="Times New Roman" w:hAnsi="Times New Roman" w:cs="Times New Roman"/>
          <w:sz w:val="22"/>
          <w:szCs w:val="22"/>
          <w:lang w:val="en-US"/>
        </w:rPr>
        <w:t xml:space="preserve">According to OCHA (2023), the 2023–2024 DRC Humanitarian Response Plan estimated that the nation required $2.25 billion for national and international NGOs, as well as United Nations agencies, to provide aid to 10 million people. This aid was used to help those affected meet their basic needs while also preserving lives, easing suffering, and improving civilian protection. </w:t>
      </w:r>
    </w:p>
    <w:p w14:paraId="27DE9460" w14:textId="77777777" w:rsidR="00E75932" w:rsidRPr="00E75932" w:rsidRDefault="00E75932" w:rsidP="00E75932">
      <w:pPr>
        <w:spacing w:after="0"/>
        <w:jc w:val="both"/>
        <w:rPr>
          <w:rFonts w:ascii="Times New Roman" w:hAnsi="Times New Roman" w:cs="Times New Roman"/>
          <w:sz w:val="22"/>
          <w:szCs w:val="22"/>
          <w:lang w:val="en-US"/>
        </w:rPr>
      </w:pPr>
      <w:r w:rsidRPr="00E75932">
        <w:rPr>
          <w:rFonts w:ascii="Times New Roman" w:hAnsi="Times New Roman" w:cs="Times New Roman"/>
          <w:sz w:val="22"/>
          <w:szCs w:val="22"/>
          <w:lang w:val="zh-CN"/>
        </w:rPr>
        <w:t>Despite the huge humanitarian needs, only 33.5% of the humanitarian funding needs were met in the country in 2023, leaving a huge gap of unmet needs. Given the significant funding gaps with a huge presence of humanitarian agencies, the competition for funds rises dramatically and this calls for high capacity to design projects that best meet the donor requirements in order to enhance an agency’s chances of positive grant award decisions from the donors.</w:t>
      </w:r>
    </w:p>
    <w:p w14:paraId="20EEDDBA" w14:textId="77777777" w:rsidR="00E75932" w:rsidRPr="00E75932" w:rsidRDefault="00E75932" w:rsidP="00E75932">
      <w:pPr>
        <w:spacing w:after="0"/>
        <w:jc w:val="both"/>
        <w:rPr>
          <w:rFonts w:ascii="Times New Roman" w:hAnsi="Times New Roman" w:cs="Times New Roman"/>
          <w:sz w:val="22"/>
          <w:szCs w:val="22"/>
          <w:lang w:val="en-US"/>
        </w:rPr>
      </w:pPr>
      <w:bookmarkStart w:id="2" w:name="_Hlk135787788"/>
      <w:r w:rsidRPr="00E75932">
        <w:rPr>
          <w:rFonts w:ascii="Times New Roman" w:hAnsi="Times New Roman" w:cs="Times New Roman"/>
          <w:sz w:val="22"/>
          <w:szCs w:val="22"/>
          <w:lang w:val="en-US"/>
        </w:rPr>
        <w:t xml:space="preserve">The level of humanitarian funding is expected to significantly decrease in 2024 and 2025 following major cuts by the leading government donors in their humanitarian budgets for the year. As the </w:t>
      </w:r>
      <w:r w:rsidRPr="00E75932">
        <w:rPr>
          <w:rFonts w:ascii="Times New Roman" w:hAnsi="Times New Roman" w:cs="Times New Roman"/>
          <w:sz w:val="22"/>
          <w:szCs w:val="22"/>
          <w:lang w:val="en-US"/>
        </w:rPr>
        <w:lastRenderedPageBreak/>
        <w:t>humanitarian funding shrinks and humanitarian needs continue to rise globally, regionally and in South Sudan in particular, the competition for the little available funds is anticipated to rise. To exacerbate this further, particularly in the context of South Sudan, the number of humanitarian agencies eligible for the locally available funds has been rising over the last few years, despite the shrinking funding levels. This creates a limited space for acquiring funds to meet the increasing needs of the affected populations. The immediate consequence of which is that the needs of the affected populations will not be adequately met, lives will be lost, and the already vulnerable communities will plunge into deeper crises. The donors on one side will need to make critical, if not hard, decisions on the type of proposals to fund with the little available funding while the humanitarian grant applicants will need to be creative on what would make a winning grant in this hyper-competitive humanitarian environment.</w:t>
      </w:r>
    </w:p>
    <w:p w14:paraId="06BCDA8D" w14:textId="77777777" w:rsidR="00E75932" w:rsidRPr="00E75932" w:rsidRDefault="00E75932" w:rsidP="00E75932">
      <w:pPr>
        <w:spacing w:after="0"/>
        <w:jc w:val="both"/>
        <w:rPr>
          <w:rFonts w:ascii="Times New Roman" w:hAnsi="Times New Roman" w:cs="Times New Roman"/>
          <w:sz w:val="22"/>
          <w:szCs w:val="22"/>
          <w:lang w:val="en-US"/>
        </w:rPr>
      </w:pPr>
      <w:r w:rsidRPr="00E75932">
        <w:rPr>
          <w:rFonts w:ascii="Times New Roman" w:hAnsi="Times New Roman" w:cs="Times New Roman"/>
          <w:sz w:val="22"/>
          <w:szCs w:val="22"/>
          <w:lang w:val="en-US"/>
        </w:rPr>
        <w:t>This study is cognizant that donor funding will always be limited as there are not enough resources to meet all the needs; nonetheless, agencies that design humanitarian projects will need to demonstrate the capacity to design projects that positively influence humanitarian donor grant award decisions. The study is premised on the fact that no substantial literature exists on project design and donor award decisions for humanitarian assistance in South Sudan. Therefore, the paper endeavored to clearly ascertain and document what project design parameters make a winning grant proposal in a competitive humanitarian context of South Sudan. Specifically looking at project design and grant award decisions for humanitarian assistance projects in Juba, South Sudan.</w:t>
      </w:r>
    </w:p>
    <w:bookmarkEnd w:id="2"/>
    <w:p w14:paraId="16190C9F" w14:textId="77777777" w:rsidR="00277771" w:rsidRPr="00277771" w:rsidRDefault="00277771" w:rsidP="00277771">
      <w:pPr>
        <w:spacing w:after="0"/>
        <w:jc w:val="both"/>
        <w:rPr>
          <w:rFonts w:ascii="Times New Roman" w:hAnsi="Times New Roman" w:cs="Times New Roman"/>
          <w:b/>
          <w:bCs/>
        </w:rPr>
      </w:pPr>
      <w:r w:rsidRPr="00277771">
        <w:rPr>
          <w:rFonts w:ascii="Times New Roman" w:hAnsi="Times New Roman" w:cs="Times New Roman"/>
          <w:b/>
          <w:bCs/>
        </w:rPr>
        <w:t xml:space="preserve">Literature review </w:t>
      </w:r>
    </w:p>
    <w:p w14:paraId="5A05E87B" w14:textId="77777777" w:rsidR="00E75932" w:rsidRPr="00E75932" w:rsidRDefault="00E75932" w:rsidP="00E75932">
      <w:pPr>
        <w:spacing w:after="0"/>
        <w:jc w:val="both"/>
        <w:rPr>
          <w:rFonts w:ascii="Times New Roman" w:hAnsi="Times New Roman" w:cs="Times New Roman"/>
          <w:b/>
          <w:bCs/>
          <w:sz w:val="22"/>
          <w:szCs w:val="22"/>
          <w:lang w:val="en-US"/>
        </w:rPr>
      </w:pPr>
      <w:r w:rsidRPr="00E75932">
        <w:rPr>
          <w:rFonts w:ascii="Times New Roman" w:hAnsi="Times New Roman" w:cs="Times New Roman"/>
          <w:b/>
          <w:bCs/>
          <w:sz w:val="22"/>
          <w:szCs w:val="22"/>
          <w:lang w:val="en-US"/>
        </w:rPr>
        <w:t>Alignment to donor priorities and grant award decisions for humanitarian projects.</w:t>
      </w:r>
    </w:p>
    <w:p w14:paraId="2FB4A3C8" w14:textId="77777777" w:rsidR="00E75932" w:rsidRPr="00E75932" w:rsidRDefault="00E75932" w:rsidP="00E75932">
      <w:pPr>
        <w:spacing w:after="0"/>
        <w:jc w:val="both"/>
        <w:rPr>
          <w:rFonts w:ascii="Times New Roman" w:hAnsi="Times New Roman" w:cs="Times New Roman"/>
          <w:bCs/>
          <w:sz w:val="22"/>
          <w:szCs w:val="22"/>
          <w:lang w:val="en-US"/>
        </w:rPr>
      </w:pPr>
      <w:r w:rsidRPr="00E75932">
        <w:rPr>
          <w:rFonts w:ascii="Times New Roman" w:hAnsi="Times New Roman" w:cs="Times New Roman"/>
          <w:bCs/>
          <w:sz w:val="22"/>
          <w:szCs w:val="22"/>
          <w:lang w:val="en-US"/>
        </w:rPr>
        <w:t xml:space="preserve">When designing a solicited proposal, the grant writing process is normally preceded by a call for proposal that is launched by a donor. The call for proposal/request for proposal is a document with clearly defined terms of reference (TOR) which serves to stipulate the programming focus of a specific call. The TOR states the geographical focus of the call, the prioritized sectors, project periods, budget ceilings, proposal narrative and budget templates, eligibility criteria and scoring criteria for the proposals to be submitted. This is a critical document as it defines, from the onset, what the project reviewers will be looking for when appraising the submitted proposals. </w:t>
      </w:r>
    </w:p>
    <w:p w14:paraId="3FFBF51D" w14:textId="77777777" w:rsidR="00E75932" w:rsidRPr="00E75932" w:rsidRDefault="00E75932" w:rsidP="00E75932">
      <w:pPr>
        <w:spacing w:after="0"/>
        <w:jc w:val="both"/>
        <w:rPr>
          <w:rFonts w:ascii="Times New Roman" w:hAnsi="Times New Roman" w:cs="Times New Roman"/>
          <w:bCs/>
          <w:sz w:val="22"/>
          <w:szCs w:val="22"/>
          <w:lang w:val="en-US"/>
        </w:rPr>
      </w:pPr>
      <w:r w:rsidRPr="00E75932">
        <w:rPr>
          <w:rFonts w:ascii="Times New Roman" w:hAnsi="Times New Roman" w:cs="Times New Roman"/>
          <w:bCs/>
          <w:sz w:val="22"/>
          <w:szCs w:val="22"/>
          <w:lang w:val="en-US"/>
        </w:rPr>
        <w:t xml:space="preserve">Whereas the applicants (humanitarian agencies) are expected to strongly align their submissions to the donor TOR, it’s also expected that there could be a misalignment between what the donor prioritizes versus the needs on the ground and the focus areas of the grant applicant. Sometimes the donors have their own political or humanitarian agenda, passions, goals and ideas that may not be congruent with the needs on the ground. This poses a dilemma on whether the grant writers should follow the donor priorities and not risk losing grants or stick to meeting the real needs on the ground and make a strong case to sway donor intentions through strong justification of the proposed interventions during the proposal development stage. This brings in focus the idea of centrality of alignment to donor requirements when developing humanitarian grant proposals. </w:t>
      </w:r>
    </w:p>
    <w:p w14:paraId="3FF741FC" w14:textId="77777777" w:rsidR="00E75932" w:rsidRPr="00E75932" w:rsidRDefault="00E75932" w:rsidP="00E75932">
      <w:pPr>
        <w:spacing w:after="0"/>
        <w:jc w:val="both"/>
        <w:rPr>
          <w:rFonts w:ascii="Times New Roman" w:hAnsi="Times New Roman" w:cs="Times New Roman"/>
          <w:bCs/>
          <w:sz w:val="22"/>
          <w:szCs w:val="22"/>
          <w:lang w:val="en-US"/>
        </w:rPr>
      </w:pPr>
      <w:r w:rsidRPr="00E75932">
        <w:rPr>
          <w:rFonts w:ascii="Times New Roman" w:hAnsi="Times New Roman" w:cs="Times New Roman"/>
          <w:bCs/>
          <w:sz w:val="22"/>
          <w:szCs w:val="22"/>
          <w:lang w:val="en-US"/>
        </w:rPr>
        <w:t xml:space="preserve">The main concern in the philanthropic sector, according to research by Paul Brest (2008), is how donors' and NGOs' interests are balanced. This stems from the observation that certain donors exploit the influence of their wallets to settle disputes in an unbalanced manner that boosts their egos but ultimately harms society. Small, temporary donations with a narrow focus on certain issues are made by the donors. During the application process, they make groups jump through hoops, and afterward, they micromanage the grantees' actions (Brest, 2008). Furthermore, unrestricted assistance should be viewed as one of several humanitarian intervention techniques that are helpful for specific goals but not as a goal itself. This is to claim that the mission, suggested approaches, and activities of the implementing agency, along with the aims and strategies of a donor, determine which form of funding is most suited (Brest 2008). </w:t>
      </w:r>
    </w:p>
    <w:p w14:paraId="0BAB4255" w14:textId="77777777" w:rsidR="00E75932" w:rsidRPr="00E75932" w:rsidRDefault="00E75932" w:rsidP="00E75932">
      <w:pPr>
        <w:spacing w:after="0"/>
        <w:jc w:val="both"/>
        <w:rPr>
          <w:rFonts w:ascii="Times New Roman" w:hAnsi="Times New Roman" w:cs="Times New Roman"/>
          <w:bCs/>
          <w:sz w:val="22"/>
          <w:szCs w:val="22"/>
          <w:lang w:val="en-US"/>
        </w:rPr>
      </w:pPr>
      <w:proofErr w:type="spellStart"/>
      <w:r w:rsidRPr="00E75932">
        <w:rPr>
          <w:rFonts w:ascii="Times New Roman" w:hAnsi="Times New Roman" w:cs="Times New Roman"/>
          <w:bCs/>
          <w:sz w:val="22"/>
          <w:szCs w:val="22"/>
          <w:lang w:val="en-US"/>
        </w:rPr>
        <w:lastRenderedPageBreak/>
        <w:t>Boenigk</w:t>
      </w:r>
      <w:proofErr w:type="spellEnd"/>
      <w:r w:rsidRPr="00E75932">
        <w:rPr>
          <w:rFonts w:ascii="Times New Roman" w:hAnsi="Times New Roman" w:cs="Times New Roman"/>
          <w:bCs/>
          <w:sz w:val="22"/>
          <w:szCs w:val="22"/>
          <w:lang w:val="en-US"/>
        </w:rPr>
        <w:t xml:space="preserve"> and </w:t>
      </w:r>
      <w:proofErr w:type="spellStart"/>
      <w:r w:rsidRPr="00E75932">
        <w:rPr>
          <w:rFonts w:ascii="Times New Roman" w:hAnsi="Times New Roman" w:cs="Times New Roman"/>
          <w:bCs/>
          <w:sz w:val="22"/>
          <w:szCs w:val="22"/>
          <w:lang w:val="en-US"/>
        </w:rPr>
        <w:t>Scherhag's</w:t>
      </w:r>
      <w:proofErr w:type="spellEnd"/>
      <w:r w:rsidRPr="00E75932">
        <w:rPr>
          <w:rFonts w:ascii="Times New Roman" w:hAnsi="Times New Roman" w:cs="Times New Roman"/>
          <w:bCs/>
          <w:sz w:val="22"/>
          <w:szCs w:val="22"/>
          <w:lang w:val="en-US"/>
        </w:rPr>
        <w:t xml:space="preserve"> (2013) study delves deeply into the impact of donor priority tactics on the results of fundraising efforts. The aim of this research was to examine how donor satisfaction, loyalty, upgrade/downgrade intentions, and voluntary behavior are impacted by the perception of donor priority benefits on fundraising outcomes. A partial least squares path analysis was performed on 804 donors in the German cultural sector as part of the study, which focused on how donor satisfaction and loyalty are favorably impacted by alignment to donor priorities. </w:t>
      </w:r>
    </w:p>
    <w:p w14:paraId="441C6BEE" w14:textId="77777777" w:rsidR="00E75932" w:rsidRPr="00E75932" w:rsidRDefault="00E75932" w:rsidP="00E75932">
      <w:pPr>
        <w:spacing w:after="0"/>
        <w:jc w:val="both"/>
        <w:rPr>
          <w:rFonts w:ascii="Times New Roman" w:hAnsi="Times New Roman" w:cs="Times New Roman"/>
          <w:bCs/>
          <w:sz w:val="22"/>
          <w:szCs w:val="22"/>
          <w:lang w:val="en-US"/>
        </w:rPr>
      </w:pPr>
      <w:r w:rsidRPr="00E75932">
        <w:rPr>
          <w:rFonts w:ascii="Times New Roman" w:hAnsi="Times New Roman" w:cs="Times New Roman"/>
          <w:bCs/>
          <w:sz w:val="22"/>
          <w:szCs w:val="22"/>
          <w:lang w:val="en-US"/>
        </w:rPr>
        <w:t>According to the study, intentions to downgrade among higher-priority donors are negatively impacted by alignment with donor strategy, whereas intentions to upgrade among lower-priority donors are positively enhanced. Additionally, the authors demonstrate that most connection effects between donors with higher and lower priorities do not change considerably when using multigroup comparison. Because the donor priority approach offers cultural organizations the opportunity to cultivate strong relationships with donors at all levels, the study is in favor of its implementation.</w:t>
      </w:r>
    </w:p>
    <w:p w14:paraId="11655405" w14:textId="77777777" w:rsidR="00E75932" w:rsidRPr="00E75932" w:rsidRDefault="00E75932" w:rsidP="00E75932">
      <w:pPr>
        <w:spacing w:after="0"/>
        <w:jc w:val="both"/>
        <w:rPr>
          <w:rFonts w:ascii="Times New Roman" w:hAnsi="Times New Roman" w:cs="Times New Roman"/>
          <w:bCs/>
          <w:sz w:val="22"/>
          <w:szCs w:val="22"/>
          <w:lang w:val="en-US"/>
        </w:rPr>
      </w:pPr>
      <w:r w:rsidRPr="00E75932">
        <w:rPr>
          <w:rFonts w:ascii="Times New Roman" w:hAnsi="Times New Roman" w:cs="Times New Roman"/>
          <w:bCs/>
          <w:sz w:val="22"/>
          <w:szCs w:val="22"/>
          <w:lang w:val="en-US"/>
        </w:rPr>
        <w:t>Victoria Fan et al. (2013) investigated the relationship between grant ratings and donor funds disbursement, a measure of how much donor needs and performance incentives are passed on to grant recipients. This study delves deeper into the topic of grant rating with regard to alignment to donor needs. The study collected publicly accessible information on 508 Global Fund grantees between 2003 and 2012, including performance scores and fund payments. This information was combined with information from other datasets that included pertinent nation characteristics. Two dependent variables were employed in the study: whether a project grant had any phase-2 payments and the quantity of such disbursements. Regression analysis was then used to discover indicators of grant disbursements in phase 2, which is usually the last three of a grant's five years. The study also looked into the factors that influence grant performance assessments in a different approach.</w:t>
      </w:r>
    </w:p>
    <w:p w14:paraId="7754ED06" w14:textId="77777777" w:rsidR="00E75932" w:rsidRPr="00E75932" w:rsidRDefault="00E75932" w:rsidP="00E75932">
      <w:pPr>
        <w:spacing w:after="0"/>
        <w:jc w:val="both"/>
        <w:rPr>
          <w:rFonts w:ascii="Times New Roman" w:hAnsi="Times New Roman" w:cs="Times New Roman"/>
          <w:bCs/>
          <w:sz w:val="22"/>
          <w:szCs w:val="22"/>
          <w:lang w:val="en-US"/>
        </w:rPr>
      </w:pPr>
      <w:r w:rsidRPr="00E75932">
        <w:rPr>
          <w:rFonts w:ascii="Times New Roman" w:hAnsi="Times New Roman" w:cs="Times New Roman"/>
          <w:bCs/>
          <w:sz w:val="22"/>
          <w:szCs w:val="22"/>
          <w:lang w:val="en-US"/>
        </w:rPr>
        <w:t>According to the study, there was no correlation between phase-1 rankings and phase-2 payment amounts, however there was a positive correlation between grant performance score in phase 1 with having payouts in phase 2. Furthermore, because the donor generates performance measurements based on subjective and discretionary judgments, performance scores are not repeatable by outside reviewers. This shows the donor's arbitrary ranking of the recipients' funding allocations based on which ones they thought best matched their objectives or approach. The study contends that the Global Fund should restructure its current performance-based funding approach to clearly tie a portion of the funds to a basic performance indicator in health coverage or outcomes, assessed independently and fairly, to adequately and objectively communicate reward for performance to recipients.</w:t>
      </w:r>
    </w:p>
    <w:p w14:paraId="1015FBA4" w14:textId="77777777" w:rsidR="00E75932" w:rsidRPr="00E75932" w:rsidRDefault="00E75932" w:rsidP="00E75932">
      <w:pPr>
        <w:spacing w:after="0"/>
        <w:jc w:val="both"/>
        <w:rPr>
          <w:rFonts w:ascii="Times New Roman" w:hAnsi="Times New Roman" w:cs="Times New Roman"/>
          <w:bCs/>
          <w:sz w:val="22"/>
          <w:szCs w:val="22"/>
          <w:lang w:val="en-US"/>
        </w:rPr>
      </w:pPr>
      <w:r w:rsidRPr="00E75932">
        <w:rPr>
          <w:rFonts w:ascii="Times New Roman" w:hAnsi="Times New Roman" w:cs="Times New Roman"/>
          <w:bCs/>
          <w:sz w:val="22"/>
          <w:szCs w:val="22"/>
          <w:lang w:val="en-US"/>
        </w:rPr>
        <w:t xml:space="preserve">The alignment issue also extends to particular humanitarian sectors. For instance, </w:t>
      </w:r>
      <w:proofErr w:type="spellStart"/>
      <w:r w:rsidRPr="00E75932">
        <w:rPr>
          <w:rFonts w:ascii="Times New Roman" w:hAnsi="Times New Roman" w:cs="Times New Roman"/>
          <w:bCs/>
          <w:sz w:val="22"/>
          <w:szCs w:val="22"/>
          <w:lang w:val="en-US"/>
        </w:rPr>
        <w:t>Daneil</w:t>
      </w:r>
      <w:proofErr w:type="spellEnd"/>
      <w:r w:rsidRPr="00E75932">
        <w:rPr>
          <w:rFonts w:ascii="Times New Roman" w:hAnsi="Times New Roman" w:cs="Times New Roman"/>
          <w:bCs/>
          <w:sz w:val="22"/>
          <w:szCs w:val="22"/>
          <w:lang w:val="en-US"/>
        </w:rPr>
        <w:t xml:space="preserve"> </w:t>
      </w:r>
      <w:proofErr w:type="spellStart"/>
      <w:r w:rsidRPr="00E75932">
        <w:rPr>
          <w:rFonts w:ascii="Times New Roman" w:hAnsi="Times New Roman" w:cs="Times New Roman"/>
          <w:bCs/>
          <w:sz w:val="22"/>
          <w:szCs w:val="22"/>
          <w:lang w:val="en-US"/>
        </w:rPr>
        <w:t>Esser</w:t>
      </w:r>
      <w:proofErr w:type="spellEnd"/>
      <w:r w:rsidRPr="00E75932">
        <w:rPr>
          <w:rFonts w:ascii="Times New Roman" w:hAnsi="Times New Roman" w:cs="Times New Roman"/>
          <w:bCs/>
          <w:sz w:val="22"/>
          <w:szCs w:val="22"/>
          <w:lang w:val="en-US"/>
        </w:rPr>
        <w:t xml:space="preserve"> and Kara Bench (2011) ask: Does Global Health Funding Respond to Recipients' Needs? in relation to the health sector. The first thorough country-level study of the responsiveness of global health assistance is provided by this study. The analysis demonstrates that neither public nor private aid flows during this time period can be explained by national patterns of disease burden. On the other hand, data currently available about health expenditures also point to enduring disparities and discrepancies at the national and international levels. </w:t>
      </w:r>
    </w:p>
    <w:p w14:paraId="36636AD1" w14:textId="77777777" w:rsidR="00E75932" w:rsidRPr="00E75932" w:rsidRDefault="00E75932" w:rsidP="00E75932">
      <w:pPr>
        <w:spacing w:after="0"/>
        <w:jc w:val="both"/>
        <w:rPr>
          <w:rFonts w:ascii="Times New Roman" w:hAnsi="Times New Roman" w:cs="Times New Roman"/>
          <w:bCs/>
          <w:sz w:val="22"/>
          <w:szCs w:val="22"/>
          <w:lang w:val="en-US"/>
        </w:rPr>
      </w:pPr>
      <w:r w:rsidRPr="00E75932">
        <w:rPr>
          <w:rFonts w:ascii="Times New Roman" w:hAnsi="Times New Roman" w:cs="Times New Roman"/>
          <w:bCs/>
          <w:sz w:val="22"/>
          <w:szCs w:val="22"/>
          <w:lang w:val="en-US"/>
        </w:rPr>
        <w:t xml:space="preserve">It is evident from </w:t>
      </w:r>
      <w:proofErr w:type="spellStart"/>
      <w:r w:rsidRPr="00E75932">
        <w:rPr>
          <w:rFonts w:ascii="Times New Roman" w:hAnsi="Times New Roman" w:cs="Times New Roman"/>
          <w:bCs/>
          <w:sz w:val="22"/>
          <w:szCs w:val="22"/>
          <w:lang w:val="en-US"/>
        </w:rPr>
        <w:t>Esser</w:t>
      </w:r>
      <w:proofErr w:type="spellEnd"/>
      <w:r w:rsidRPr="00E75932">
        <w:rPr>
          <w:rFonts w:ascii="Times New Roman" w:hAnsi="Times New Roman" w:cs="Times New Roman"/>
          <w:bCs/>
          <w:sz w:val="22"/>
          <w:szCs w:val="22"/>
          <w:lang w:val="en-US"/>
        </w:rPr>
        <w:t xml:space="preserve"> and Bench's (2011) argument that donor contributions cannot be based solely on considerations of current requirements and the wish to enhance recipient nations' health condition as efficiently as possible. This is consistent with the theory put forth by Ravishankar et al. (2009), which holds that several factors, such as income, the prevalence of illness, political stability, and the past and current relationships between particular donors and recipient nations, influence how development support for health is allocated to different countries. However, this does not mean that these are equally important.</w:t>
      </w:r>
    </w:p>
    <w:p w14:paraId="1F059C29" w14:textId="77777777" w:rsidR="00E75932" w:rsidRPr="00E75932" w:rsidRDefault="00E75932" w:rsidP="00E75932">
      <w:pPr>
        <w:spacing w:after="0"/>
        <w:jc w:val="both"/>
        <w:rPr>
          <w:rFonts w:ascii="Times New Roman" w:hAnsi="Times New Roman" w:cs="Times New Roman"/>
          <w:bCs/>
          <w:sz w:val="22"/>
          <w:szCs w:val="22"/>
          <w:lang w:val="en-US"/>
        </w:rPr>
      </w:pPr>
      <w:proofErr w:type="spellStart"/>
      <w:r w:rsidRPr="00E75932">
        <w:rPr>
          <w:rFonts w:ascii="Times New Roman" w:hAnsi="Times New Roman" w:cs="Times New Roman"/>
          <w:bCs/>
          <w:sz w:val="22"/>
          <w:szCs w:val="22"/>
          <w:lang w:val="en-US"/>
        </w:rPr>
        <w:t>Périn</w:t>
      </w:r>
      <w:proofErr w:type="spellEnd"/>
      <w:r w:rsidRPr="00E75932">
        <w:rPr>
          <w:rFonts w:ascii="Times New Roman" w:hAnsi="Times New Roman" w:cs="Times New Roman"/>
          <w:bCs/>
          <w:sz w:val="22"/>
          <w:szCs w:val="22"/>
          <w:lang w:val="en-US"/>
        </w:rPr>
        <w:t xml:space="preserve"> and Attaran (2003) were among the first to contend that donor beliefs primarily influence the political process involved in allocating aid for health. Similar to this, Crane and </w:t>
      </w:r>
      <w:proofErr w:type="spellStart"/>
      <w:r w:rsidRPr="00E75932">
        <w:rPr>
          <w:rFonts w:ascii="Times New Roman" w:hAnsi="Times New Roman" w:cs="Times New Roman"/>
          <w:bCs/>
          <w:sz w:val="22"/>
          <w:szCs w:val="22"/>
          <w:lang w:val="en-US"/>
        </w:rPr>
        <w:t>Dusenberry</w:t>
      </w:r>
      <w:proofErr w:type="spellEnd"/>
      <w:r w:rsidRPr="00E75932">
        <w:rPr>
          <w:rFonts w:ascii="Times New Roman" w:hAnsi="Times New Roman" w:cs="Times New Roman"/>
          <w:bCs/>
          <w:sz w:val="22"/>
          <w:szCs w:val="22"/>
          <w:lang w:val="en-US"/>
        </w:rPr>
        <w:t xml:space="preserve"> (2004) </w:t>
      </w:r>
      <w:r w:rsidRPr="00E75932">
        <w:rPr>
          <w:rFonts w:ascii="Times New Roman" w:hAnsi="Times New Roman" w:cs="Times New Roman"/>
          <w:bCs/>
          <w:sz w:val="22"/>
          <w:szCs w:val="22"/>
          <w:lang w:val="en-US"/>
        </w:rPr>
        <w:lastRenderedPageBreak/>
        <w:t>highlighted the role of religion in family planning and HIV prevention. The claim that the provision of foreign health assistance is political rather than technical, political rather than bureaucratic, and political rather than academic has been reaffirmed by Pearlman and Roy (2009). As a result, decisions about grant awards are frequently influenced by ideology, values, and organizational and national interests (</w:t>
      </w:r>
      <w:proofErr w:type="spellStart"/>
      <w:r w:rsidRPr="00E75932">
        <w:rPr>
          <w:rFonts w:ascii="Times New Roman" w:hAnsi="Times New Roman" w:cs="Times New Roman"/>
          <w:bCs/>
          <w:sz w:val="22"/>
          <w:szCs w:val="22"/>
          <w:lang w:val="en-US"/>
        </w:rPr>
        <w:t>Esser</w:t>
      </w:r>
      <w:proofErr w:type="spellEnd"/>
      <w:r w:rsidRPr="00E75932">
        <w:rPr>
          <w:rFonts w:ascii="Times New Roman" w:hAnsi="Times New Roman" w:cs="Times New Roman"/>
          <w:bCs/>
          <w:sz w:val="22"/>
          <w:szCs w:val="22"/>
          <w:lang w:val="en-US"/>
        </w:rPr>
        <w:t xml:space="preserve"> &amp; Bench, 2011).</w:t>
      </w:r>
    </w:p>
    <w:p w14:paraId="35448844" w14:textId="77777777" w:rsidR="00E75932" w:rsidRPr="00E75932" w:rsidRDefault="00E75932" w:rsidP="00277771">
      <w:pPr>
        <w:spacing w:after="0"/>
        <w:jc w:val="both"/>
        <w:rPr>
          <w:rFonts w:ascii="Times New Roman" w:hAnsi="Times New Roman" w:cs="Times New Roman"/>
          <w:bCs/>
          <w:sz w:val="22"/>
          <w:szCs w:val="22"/>
          <w:lang w:val="en-US"/>
        </w:rPr>
      </w:pPr>
      <w:r w:rsidRPr="00E75932">
        <w:rPr>
          <w:rFonts w:ascii="Times New Roman" w:hAnsi="Times New Roman" w:cs="Times New Roman"/>
          <w:bCs/>
          <w:sz w:val="22"/>
          <w:szCs w:val="22"/>
          <w:lang w:val="en-US"/>
        </w:rPr>
        <w:t xml:space="preserve">The Kaiser/Pew Global Health Survey (Kaiser Family Foundation, 2007) was utilized as the standard for country selection in </w:t>
      </w:r>
      <w:proofErr w:type="spellStart"/>
      <w:r w:rsidRPr="00E75932">
        <w:rPr>
          <w:rFonts w:ascii="Times New Roman" w:hAnsi="Times New Roman" w:cs="Times New Roman"/>
          <w:bCs/>
          <w:sz w:val="22"/>
          <w:szCs w:val="22"/>
          <w:lang w:val="en-US"/>
        </w:rPr>
        <w:t>Esser</w:t>
      </w:r>
      <w:proofErr w:type="spellEnd"/>
      <w:r w:rsidRPr="00E75932">
        <w:rPr>
          <w:rFonts w:ascii="Times New Roman" w:hAnsi="Times New Roman" w:cs="Times New Roman"/>
          <w:bCs/>
          <w:sz w:val="22"/>
          <w:szCs w:val="22"/>
          <w:lang w:val="en-US"/>
        </w:rPr>
        <w:t xml:space="preserve"> and Bench's (2011) analysis because it encompassed 27 developing nations and all other data sources offered comprehensive information for these countries as well. The study is based on in-person interviews with 500–3,142 individuals representing various countries, except for Bolivia, Brazil, China, India, Pakistan, South Africa, and Venezuela, where a major portion of the population was sampled from urban areas. The analysis discovers that the local community priorities in 27 recipient countries, the country-level disease burden, and the alignment of donor aid commitments with private support by the top five US-based private foundations between 2005 and 2007 differed significantly by region.</w:t>
      </w:r>
    </w:p>
    <w:p w14:paraId="212C7B76" w14:textId="77777777" w:rsidR="00924993" w:rsidRDefault="00924993" w:rsidP="00277771">
      <w:pPr>
        <w:spacing w:after="0"/>
        <w:jc w:val="both"/>
        <w:rPr>
          <w:rFonts w:ascii="Times New Roman" w:hAnsi="Times New Roman" w:cs="Times New Roman"/>
          <w:sz w:val="20"/>
          <w:szCs w:val="20"/>
        </w:rPr>
      </w:pPr>
    </w:p>
    <w:p w14:paraId="428920C7" w14:textId="77777777" w:rsidR="00924993" w:rsidRPr="00924993" w:rsidRDefault="00924993" w:rsidP="00924993">
      <w:pPr>
        <w:spacing w:after="0"/>
        <w:jc w:val="both"/>
        <w:rPr>
          <w:rFonts w:ascii="Times New Roman" w:hAnsi="Times New Roman" w:cs="Times New Roman"/>
          <w:b/>
          <w:bCs/>
        </w:rPr>
      </w:pPr>
      <w:r w:rsidRPr="00924993">
        <w:rPr>
          <w:rFonts w:ascii="Times New Roman" w:hAnsi="Times New Roman" w:cs="Times New Roman"/>
          <w:b/>
          <w:bCs/>
        </w:rPr>
        <w:t>Theoretical Review</w:t>
      </w:r>
    </w:p>
    <w:p w14:paraId="21BB5400" w14:textId="77777777" w:rsidR="00E75932" w:rsidRPr="00E75932" w:rsidRDefault="00E75932" w:rsidP="00E75932">
      <w:pPr>
        <w:spacing w:after="0"/>
        <w:jc w:val="both"/>
        <w:rPr>
          <w:rFonts w:ascii="Times New Roman" w:hAnsi="Times New Roman" w:cs="Times New Roman"/>
          <w:b/>
          <w:bCs/>
          <w:sz w:val="22"/>
          <w:szCs w:val="22"/>
          <w:lang w:val="en-US"/>
        </w:rPr>
      </w:pPr>
      <w:r w:rsidRPr="00E75932">
        <w:rPr>
          <w:rFonts w:ascii="Times New Roman" w:hAnsi="Times New Roman" w:cs="Times New Roman"/>
          <w:b/>
          <w:bCs/>
          <w:sz w:val="22"/>
          <w:szCs w:val="22"/>
          <w:lang w:val="en-US"/>
        </w:rPr>
        <w:t>Institutional Theory</w:t>
      </w:r>
    </w:p>
    <w:p w14:paraId="2A925872" w14:textId="77777777" w:rsidR="00E75932" w:rsidRPr="00E75932" w:rsidRDefault="00E75932" w:rsidP="00E75932">
      <w:pPr>
        <w:spacing w:after="0"/>
        <w:jc w:val="both"/>
        <w:rPr>
          <w:rFonts w:ascii="Times New Roman" w:hAnsi="Times New Roman" w:cs="Times New Roman"/>
          <w:sz w:val="22"/>
          <w:szCs w:val="22"/>
          <w:lang w:val="en-US"/>
        </w:rPr>
      </w:pPr>
      <w:r w:rsidRPr="00E75932">
        <w:rPr>
          <w:rFonts w:ascii="Times New Roman" w:hAnsi="Times New Roman" w:cs="Times New Roman"/>
          <w:sz w:val="22"/>
          <w:szCs w:val="22"/>
          <w:lang w:val="en-US"/>
        </w:rPr>
        <w:t>John Meyer and Brian Rowan developed institutional theory in the late 1970s to investigate how organizations interact with, are influenced by, and were formed by their local, regional, national, and international contexts. The theory considers the ways in which tools and frameworks—such as work plans, rules, norms, and conventions—become acknowledged as the only acceptable frameworks for social behavior (Gordon, 2022). According to the idea, institutions, also known as organizations, have normative, regulative, and cognitive traits that work together to give people's social conduct inside the organization structure, stability, and meaning (Muller et al., 2019).</w:t>
      </w:r>
    </w:p>
    <w:p w14:paraId="4B57DC17" w14:textId="77777777" w:rsidR="00E75932" w:rsidRPr="00E75932" w:rsidRDefault="00E75932" w:rsidP="00E75932">
      <w:pPr>
        <w:spacing w:after="0"/>
        <w:jc w:val="both"/>
        <w:rPr>
          <w:rFonts w:ascii="Times New Roman" w:hAnsi="Times New Roman" w:cs="Times New Roman"/>
          <w:sz w:val="22"/>
          <w:szCs w:val="22"/>
          <w:lang w:val="en-US"/>
        </w:rPr>
      </w:pPr>
      <w:r w:rsidRPr="00E75932">
        <w:rPr>
          <w:rFonts w:ascii="Times New Roman" w:hAnsi="Times New Roman" w:cs="Times New Roman"/>
          <w:sz w:val="22"/>
          <w:szCs w:val="22"/>
          <w:lang w:val="en-US"/>
        </w:rPr>
        <w:t>This theory elaborates how each institution/organization embodies a unique set of knowledge, experiences, and physical assets, operating systems such as finance and accounting systems, policies, cultures, values, professional networks, and operational capabilities. These unique ‘qualities’ make an organization stand out in executing tasks.</w:t>
      </w:r>
    </w:p>
    <w:p w14:paraId="04A32D8F" w14:textId="77777777" w:rsidR="00E75932" w:rsidRPr="00E75932" w:rsidRDefault="00E75932" w:rsidP="00E75932">
      <w:pPr>
        <w:spacing w:after="0"/>
        <w:jc w:val="both"/>
        <w:rPr>
          <w:rFonts w:ascii="Times New Roman" w:hAnsi="Times New Roman" w:cs="Times New Roman"/>
          <w:sz w:val="22"/>
          <w:szCs w:val="22"/>
          <w:lang w:val="en-US"/>
        </w:rPr>
      </w:pPr>
      <w:r w:rsidRPr="00E75932">
        <w:rPr>
          <w:rFonts w:ascii="Times New Roman" w:hAnsi="Times New Roman" w:cs="Times New Roman"/>
          <w:sz w:val="22"/>
          <w:szCs w:val="22"/>
          <w:lang w:val="en-US"/>
        </w:rPr>
        <w:t xml:space="preserve">Inasmuch as the theory is primarily geared toward social behavior, it is also true in professional settings in which stakeholders such as donors or government institutions make decisions on channeling of critical resources like humanitarian funds based on how they perceive the institutional capacity of the applicant agency. This in a way implies a form of ‘soft </w:t>
      </w:r>
      <w:proofErr w:type="spellStart"/>
      <w:r w:rsidRPr="00E75932">
        <w:rPr>
          <w:rFonts w:ascii="Times New Roman" w:hAnsi="Times New Roman" w:cs="Times New Roman"/>
          <w:sz w:val="22"/>
          <w:szCs w:val="22"/>
          <w:lang w:val="en-US"/>
        </w:rPr>
        <w:t>bias’</w:t>
      </w:r>
      <w:proofErr w:type="spellEnd"/>
      <w:r w:rsidRPr="00E75932">
        <w:rPr>
          <w:rFonts w:ascii="Times New Roman" w:hAnsi="Times New Roman" w:cs="Times New Roman"/>
          <w:sz w:val="22"/>
          <w:szCs w:val="22"/>
          <w:lang w:val="en-US"/>
        </w:rPr>
        <w:t xml:space="preserve"> in favor of organizations that are perceived by the donors to exhibit credible institutional capabilities including good track record of performance, possession of critical expertise, availability of adequate means of mobility to the project sites and good accounting and social safeguarding policies.</w:t>
      </w:r>
    </w:p>
    <w:p w14:paraId="03177A34" w14:textId="77777777" w:rsidR="00E75932" w:rsidRPr="00E75932" w:rsidRDefault="00E75932" w:rsidP="00E75932">
      <w:pPr>
        <w:spacing w:after="0"/>
        <w:jc w:val="both"/>
        <w:rPr>
          <w:rFonts w:ascii="Times New Roman" w:hAnsi="Times New Roman" w:cs="Times New Roman"/>
          <w:sz w:val="22"/>
          <w:szCs w:val="22"/>
          <w:lang w:val="en-US"/>
        </w:rPr>
      </w:pPr>
      <w:r w:rsidRPr="00E75932">
        <w:rPr>
          <w:rFonts w:ascii="Times New Roman" w:hAnsi="Times New Roman" w:cs="Times New Roman"/>
          <w:sz w:val="22"/>
          <w:szCs w:val="22"/>
          <w:lang w:val="en-US"/>
        </w:rPr>
        <w:t xml:space="preserve">In grant acquisition processes, the question is whether organizations that present stronger and unique institutional capabilities tend to stand a higher chance of being trusted by the donors and communities they serve to ultimately meet the project goal. This may boost their chances of being selected in a competitive grant acquisition process. This affirms part of the institutional theory’s tenet that an institution’s technical capabilities, approaches, and operational capacity greatly influence the organization’s position to bargain for more resources while commanding trust and operational excellence in competitive environments.   </w:t>
      </w:r>
    </w:p>
    <w:p w14:paraId="36B7D9A9" w14:textId="77777777" w:rsidR="00E75932" w:rsidRPr="00E75932" w:rsidRDefault="00E75932" w:rsidP="00E75932">
      <w:pPr>
        <w:spacing w:after="0"/>
        <w:jc w:val="both"/>
        <w:rPr>
          <w:rFonts w:ascii="Times New Roman" w:hAnsi="Times New Roman" w:cs="Times New Roman"/>
          <w:sz w:val="22"/>
          <w:szCs w:val="22"/>
          <w:lang w:val="en-US"/>
        </w:rPr>
      </w:pPr>
      <w:r w:rsidRPr="00E75932">
        <w:rPr>
          <w:rFonts w:ascii="Times New Roman" w:hAnsi="Times New Roman" w:cs="Times New Roman"/>
          <w:sz w:val="22"/>
          <w:szCs w:val="22"/>
          <w:lang w:val="en-US"/>
        </w:rPr>
        <w:t xml:space="preserve">Although institutionalism has been successful in taking center stage as the most popular theory for researching macro-organizational phenomena, it should be noted that the theory's original intent has been greatly expanded upon to explain how organizational structures and processes gain continuity and meaning beyond their functional objectives (Suddaby, 2010). Furthermore, the idea has inherent flaws regarding strong outside influences. Regardless of an institution's competence and capability, factors </w:t>
      </w:r>
      <w:r w:rsidRPr="00E75932">
        <w:rPr>
          <w:rFonts w:ascii="Times New Roman" w:hAnsi="Times New Roman" w:cs="Times New Roman"/>
          <w:sz w:val="22"/>
          <w:szCs w:val="22"/>
          <w:lang w:val="en-US"/>
        </w:rPr>
        <w:lastRenderedPageBreak/>
        <w:t>like political instability, unfavorable natural diseases, and conflict or insecurity can significantly impair its functioning. This limits the idea of institutionalism by rendering an institution's capacity and capability "temporary."</w:t>
      </w:r>
    </w:p>
    <w:p w14:paraId="4625E7C9" w14:textId="77777777" w:rsidR="00924993" w:rsidRDefault="00924993" w:rsidP="00924993">
      <w:pPr>
        <w:spacing w:after="0"/>
        <w:jc w:val="both"/>
        <w:rPr>
          <w:rFonts w:ascii="Times New Roman" w:hAnsi="Times New Roman" w:cs="Times New Roman"/>
          <w:sz w:val="22"/>
          <w:szCs w:val="22"/>
        </w:rPr>
      </w:pPr>
    </w:p>
    <w:p w14:paraId="3739EE20" w14:textId="77777777" w:rsidR="00A47AC7" w:rsidRDefault="00A47AC7" w:rsidP="00A47AC7">
      <w:pPr>
        <w:spacing w:after="0"/>
        <w:jc w:val="both"/>
        <w:rPr>
          <w:rFonts w:ascii="Times New Roman" w:hAnsi="Times New Roman" w:cs="Times New Roman"/>
          <w:b/>
          <w:bCs/>
        </w:rPr>
      </w:pPr>
      <w:r w:rsidRPr="00A47AC7">
        <w:rPr>
          <w:rFonts w:ascii="Times New Roman" w:hAnsi="Times New Roman" w:cs="Times New Roman"/>
          <w:b/>
          <w:bCs/>
        </w:rPr>
        <w:t>Materials and Methods</w:t>
      </w:r>
    </w:p>
    <w:p w14:paraId="44710EE0" w14:textId="77777777" w:rsidR="00616019" w:rsidRDefault="00616019" w:rsidP="00A47AC7">
      <w:pPr>
        <w:spacing w:after="0"/>
        <w:jc w:val="both"/>
        <w:rPr>
          <w:rFonts w:ascii="Times New Roman" w:hAnsi="Times New Roman" w:cs="Times New Roman"/>
          <w:b/>
          <w:bCs/>
        </w:rPr>
      </w:pPr>
      <w:r>
        <w:rPr>
          <w:rFonts w:ascii="Times New Roman" w:hAnsi="Times New Roman" w:cs="Times New Roman"/>
          <w:b/>
          <w:bCs/>
        </w:rPr>
        <w:t xml:space="preserve">Research Design </w:t>
      </w:r>
    </w:p>
    <w:p w14:paraId="40548BA1" w14:textId="77777777" w:rsidR="00E75932" w:rsidRDefault="00E75932" w:rsidP="00A47AC7">
      <w:pPr>
        <w:spacing w:after="0"/>
        <w:jc w:val="both"/>
        <w:rPr>
          <w:rFonts w:ascii="Times New Roman" w:hAnsi="Times New Roman" w:cs="Times New Roman"/>
          <w:sz w:val="22"/>
          <w:szCs w:val="22"/>
        </w:rPr>
      </w:pPr>
      <w:r w:rsidRPr="00E75932">
        <w:rPr>
          <w:rFonts w:ascii="Times New Roman" w:hAnsi="Times New Roman" w:cs="Times New Roman"/>
          <w:sz w:val="22"/>
          <w:szCs w:val="22"/>
          <w:lang w:val="en-US"/>
        </w:rPr>
        <w:t>Descriptive research design was used to conduct this study. This is because the study focused on the use of statistical measures of tendencies to describe how different factors relate or correlate to one another (Churchill, 1991). According to Kothari (2004), descriptive research accurately describes individuals, events, or circumstances. A description of the variables connected to a demographic subject is part of descriptive research. This type of approach makes it possible to correctly attribute the observed characteristics of the study subject (the who, what, and how of an issue).</w:t>
      </w:r>
    </w:p>
    <w:p w14:paraId="067D7AAE" w14:textId="77777777" w:rsidR="00616019" w:rsidRPr="00616019" w:rsidRDefault="00616019" w:rsidP="00616019">
      <w:pPr>
        <w:rPr>
          <w:rFonts w:ascii="Times New Roman" w:hAnsi="Times New Roman" w:cs="Times New Roman"/>
          <w:b/>
          <w:bCs/>
        </w:rPr>
      </w:pPr>
      <w:r w:rsidRPr="00616019">
        <w:rPr>
          <w:rFonts w:ascii="Times New Roman" w:hAnsi="Times New Roman" w:cs="Times New Roman"/>
          <w:b/>
          <w:bCs/>
        </w:rPr>
        <w:t>Target Population</w:t>
      </w:r>
    </w:p>
    <w:p w14:paraId="16D81ADD" w14:textId="77777777" w:rsidR="001F1D34" w:rsidRPr="001F1D34" w:rsidRDefault="001F1D34" w:rsidP="001F1D34">
      <w:pPr>
        <w:spacing w:after="0" w:line="240" w:lineRule="auto"/>
        <w:jc w:val="both"/>
        <w:rPr>
          <w:rFonts w:ascii="Times New Roman" w:hAnsi="Times New Roman" w:cs="Times New Roman"/>
          <w:bCs/>
          <w:sz w:val="22"/>
          <w:szCs w:val="22"/>
        </w:rPr>
      </w:pPr>
      <w:bookmarkStart w:id="3" w:name="_Toc181607963"/>
      <w:r w:rsidRPr="001F1D34">
        <w:rPr>
          <w:rFonts w:ascii="Times New Roman" w:hAnsi="Times New Roman" w:cs="Times New Roman"/>
          <w:bCs/>
          <w:sz w:val="22"/>
          <w:szCs w:val="22"/>
        </w:rPr>
        <w:t>The institutional humanitarian donors and International Non-Governmental Organizations (INGOs)</w:t>
      </w:r>
    </w:p>
    <w:p w14:paraId="7B8B45DB" w14:textId="77777777" w:rsidR="001F1D34" w:rsidRPr="001F1D34" w:rsidRDefault="001F1D34" w:rsidP="001F1D34">
      <w:pPr>
        <w:spacing w:after="0" w:line="240" w:lineRule="auto"/>
        <w:jc w:val="both"/>
        <w:rPr>
          <w:rFonts w:ascii="Times New Roman" w:hAnsi="Times New Roman" w:cs="Times New Roman"/>
          <w:bCs/>
          <w:sz w:val="22"/>
          <w:szCs w:val="22"/>
        </w:rPr>
      </w:pPr>
      <w:r w:rsidRPr="001F1D34">
        <w:rPr>
          <w:rFonts w:ascii="Times New Roman" w:hAnsi="Times New Roman" w:cs="Times New Roman"/>
          <w:bCs/>
          <w:sz w:val="22"/>
          <w:szCs w:val="22"/>
        </w:rPr>
        <w:t>operating in South Sudan were the main target population of this study. The study focused on</w:t>
      </w:r>
    </w:p>
    <w:p w14:paraId="2903DDE4" w14:textId="77777777" w:rsidR="001F1D34" w:rsidRPr="001F1D34" w:rsidRDefault="001F1D34" w:rsidP="001F1D34">
      <w:pPr>
        <w:spacing w:after="0" w:line="240" w:lineRule="auto"/>
        <w:jc w:val="both"/>
        <w:rPr>
          <w:rFonts w:ascii="Times New Roman" w:hAnsi="Times New Roman" w:cs="Times New Roman"/>
          <w:bCs/>
          <w:sz w:val="22"/>
          <w:szCs w:val="22"/>
        </w:rPr>
      </w:pPr>
      <w:r w:rsidRPr="001F1D34">
        <w:rPr>
          <w:rFonts w:ascii="Times New Roman" w:hAnsi="Times New Roman" w:cs="Times New Roman"/>
          <w:bCs/>
          <w:sz w:val="22"/>
          <w:szCs w:val="22"/>
        </w:rPr>
        <w:t>interviewing donors and INGO staff members with at least two years or more experience in project</w:t>
      </w:r>
    </w:p>
    <w:p w14:paraId="14644D12" w14:textId="77777777" w:rsidR="001F1D34" w:rsidRPr="001F1D34" w:rsidRDefault="001F1D34" w:rsidP="001F1D34">
      <w:pPr>
        <w:spacing w:after="0" w:line="240" w:lineRule="auto"/>
        <w:jc w:val="both"/>
        <w:rPr>
          <w:rFonts w:ascii="Times New Roman" w:hAnsi="Times New Roman" w:cs="Times New Roman"/>
          <w:bCs/>
          <w:sz w:val="22"/>
          <w:szCs w:val="22"/>
        </w:rPr>
      </w:pPr>
      <w:r w:rsidRPr="001F1D34">
        <w:rPr>
          <w:rFonts w:ascii="Times New Roman" w:hAnsi="Times New Roman" w:cs="Times New Roman"/>
          <w:bCs/>
          <w:sz w:val="22"/>
          <w:szCs w:val="22"/>
        </w:rPr>
        <w:t>design, project management, and grant award processes. This included but not limited to program</w:t>
      </w:r>
    </w:p>
    <w:p w14:paraId="66ED6BD3" w14:textId="77777777" w:rsidR="001F1D34" w:rsidRPr="001F1D34" w:rsidRDefault="001F1D34" w:rsidP="001F1D34">
      <w:pPr>
        <w:spacing w:after="0" w:line="240" w:lineRule="auto"/>
        <w:jc w:val="both"/>
        <w:rPr>
          <w:rFonts w:ascii="Times New Roman" w:hAnsi="Times New Roman" w:cs="Times New Roman"/>
          <w:bCs/>
          <w:sz w:val="22"/>
          <w:szCs w:val="22"/>
        </w:rPr>
      </w:pPr>
      <w:r w:rsidRPr="001F1D34">
        <w:rPr>
          <w:rFonts w:ascii="Times New Roman" w:hAnsi="Times New Roman" w:cs="Times New Roman"/>
          <w:bCs/>
          <w:sz w:val="22"/>
          <w:szCs w:val="22"/>
        </w:rPr>
        <w:t>officers, sector specialists, and grant managers who work for an INGO or a donor agency. The study</w:t>
      </w:r>
    </w:p>
    <w:p w14:paraId="3D4E7803" w14:textId="77777777" w:rsidR="001F1D34" w:rsidRPr="001F1D34" w:rsidRDefault="001F1D34" w:rsidP="001F1D34">
      <w:pPr>
        <w:spacing w:after="0" w:line="240" w:lineRule="auto"/>
        <w:jc w:val="both"/>
        <w:rPr>
          <w:rFonts w:ascii="Times New Roman" w:hAnsi="Times New Roman" w:cs="Times New Roman"/>
          <w:bCs/>
          <w:sz w:val="22"/>
          <w:szCs w:val="22"/>
        </w:rPr>
      </w:pPr>
      <w:r w:rsidRPr="001F1D34">
        <w:rPr>
          <w:rFonts w:ascii="Times New Roman" w:hAnsi="Times New Roman" w:cs="Times New Roman"/>
          <w:bCs/>
          <w:sz w:val="22"/>
          <w:szCs w:val="22"/>
        </w:rPr>
        <w:t>focused on the decisions and strategies made by INGOs when writing proposals for humanitarian</w:t>
      </w:r>
    </w:p>
    <w:p w14:paraId="065ED652" w14:textId="77777777" w:rsidR="001F1D34" w:rsidRPr="001F1D34" w:rsidRDefault="001F1D34" w:rsidP="001F1D34">
      <w:pPr>
        <w:spacing w:after="0" w:line="240" w:lineRule="auto"/>
        <w:jc w:val="both"/>
        <w:rPr>
          <w:rFonts w:ascii="Times New Roman" w:hAnsi="Times New Roman" w:cs="Times New Roman"/>
          <w:bCs/>
          <w:sz w:val="22"/>
          <w:szCs w:val="22"/>
        </w:rPr>
      </w:pPr>
      <w:r w:rsidRPr="001F1D34">
        <w:rPr>
          <w:rFonts w:ascii="Times New Roman" w:hAnsi="Times New Roman" w:cs="Times New Roman"/>
          <w:bCs/>
          <w:sz w:val="22"/>
          <w:szCs w:val="22"/>
        </w:rPr>
        <w:t>assistance projects. On the donor side, the study documented decision making process by the donors</w:t>
      </w:r>
    </w:p>
    <w:p w14:paraId="7F50C959" w14:textId="77777777" w:rsidR="001F1D34" w:rsidRPr="001F1D34" w:rsidRDefault="001F1D34" w:rsidP="001F1D34">
      <w:pPr>
        <w:spacing w:after="0" w:line="240" w:lineRule="auto"/>
        <w:jc w:val="both"/>
        <w:rPr>
          <w:rFonts w:ascii="Times New Roman" w:hAnsi="Times New Roman" w:cs="Times New Roman"/>
          <w:bCs/>
          <w:sz w:val="22"/>
          <w:szCs w:val="22"/>
        </w:rPr>
      </w:pPr>
      <w:r w:rsidRPr="001F1D34">
        <w:rPr>
          <w:rFonts w:ascii="Times New Roman" w:hAnsi="Times New Roman" w:cs="Times New Roman"/>
          <w:bCs/>
          <w:sz w:val="22"/>
          <w:szCs w:val="22"/>
        </w:rPr>
        <w:t>when they fund grant proposals for humanitarian assistance. The study&amp;#</w:t>
      </w:r>
      <w:proofErr w:type="gramStart"/>
      <w:r w:rsidRPr="001F1D34">
        <w:rPr>
          <w:rFonts w:ascii="Times New Roman" w:hAnsi="Times New Roman" w:cs="Times New Roman"/>
          <w:bCs/>
          <w:sz w:val="22"/>
          <w:szCs w:val="22"/>
        </w:rPr>
        <w:t>39;s</w:t>
      </w:r>
      <w:proofErr w:type="gramEnd"/>
      <w:r w:rsidRPr="001F1D34">
        <w:rPr>
          <w:rFonts w:ascii="Times New Roman" w:hAnsi="Times New Roman" w:cs="Times New Roman"/>
          <w:bCs/>
          <w:sz w:val="22"/>
          <w:szCs w:val="22"/>
        </w:rPr>
        <w:t xml:space="preserve"> target population also</w:t>
      </w:r>
    </w:p>
    <w:p w14:paraId="5949590F" w14:textId="77777777" w:rsidR="001F1D34" w:rsidRPr="001F1D34" w:rsidRDefault="001F1D34" w:rsidP="001F1D34">
      <w:pPr>
        <w:spacing w:after="0" w:line="240" w:lineRule="auto"/>
        <w:jc w:val="both"/>
        <w:rPr>
          <w:rFonts w:ascii="Times New Roman" w:hAnsi="Times New Roman" w:cs="Times New Roman"/>
          <w:bCs/>
          <w:sz w:val="22"/>
          <w:szCs w:val="22"/>
        </w:rPr>
      </w:pPr>
      <w:r w:rsidRPr="001F1D34">
        <w:rPr>
          <w:rFonts w:ascii="Times New Roman" w:hAnsi="Times New Roman" w:cs="Times New Roman"/>
          <w:bCs/>
          <w:sz w:val="22"/>
          <w:szCs w:val="22"/>
        </w:rPr>
        <w:t>included other relevant authorities/individuals with background in project design and grant award</w:t>
      </w:r>
    </w:p>
    <w:p w14:paraId="6DEA8CDB" w14:textId="77777777" w:rsidR="001F1D34" w:rsidRPr="001F1D34" w:rsidRDefault="001F1D34" w:rsidP="001F1D34">
      <w:pPr>
        <w:spacing w:after="0" w:line="240" w:lineRule="auto"/>
        <w:jc w:val="both"/>
        <w:rPr>
          <w:rFonts w:ascii="Times New Roman" w:hAnsi="Times New Roman" w:cs="Times New Roman"/>
          <w:bCs/>
          <w:sz w:val="22"/>
          <w:szCs w:val="22"/>
        </w:rPr>
      </w:pPr>
      <w:r w:rsidRPr="001F1D34">
        <w:rPr>
          <w:rFonts w:ascii="Times New Roman" w:hAnsi="Times New Roman" w:cs="Times New Roman"/>
          <w:bCs/>
          <w:sz w:val="22"/>
          <w:szCs w:val="22"/>
        </w:rPr>
        <w:t>decisions as a way of triangulating views while capturing different perspectives on the study subject.</w:t>
      </w:r>
    </w:p>
    <w:p w14:paraId="5A2AA9CA" w14:textId="77777777" w:rsidR="001F1D34" w:rsidRPr="001F1D34" w:rsidRDefault="001F1D34" w:rsidP="001F1D34">
      <w:pPr>
        <w:spacing w:after="0" w:line="240" w:lineRule="auto"/>
        <w:jc w:val="both"/>
        <w:rPr>
          <w:rFonts w:ascii="Times New Roman" w:hAnsi="Times New Roman" w:cs="Times New Roman"/>
          <w:bCs/>
          <w:sz w:val="22"/>
          <w:szCs w:val="22"/>
        </w:rPr>
      </w:pPr>
      <w:r w:rsidRPr="001F1D34">
        <w:rPr>
          <w:rFonts w:ascii="Times New Roman" w:hAnsi="Times New Roman" w:cs="Times New Roman"/>
          <w:bCs/>
          <w:sz w:val="22"/>
          <w:szCs w:val="22"/>
        </w:rPr>
        <w:t>According to the South Sudan Relief and Rehabilitation Commission (Government office that</w:t>
      </w:r>
    </w:p>
    <w:p w14:paraId="31C08A84" w14:textId="77777777" w:rsidR="001F1D34" w:rsidRPr="001F1D34" w:rsidRDefault="001F1D34" w:rsidP="001F1D34">
      <w:pPr>
        <w:spacing w:after="0" w:line="240" w:lineRule="auto"/>
        <w:jc w:val="both"/>
        <w:rPr>
          <w:rFonts w:ascii="Times New Roman" w:hAnsi="Times New Roman" w:cs="Times New Roman"/>
          <w:bCs/>
          <w:sz w:val="22"/>
          <w:szCs w:val="22"/>
        </w:rPr>
      </w:pPr>
      <w:r w:rsidRPr="001F1D34">
        <w:rPr>
          <w:rFonts w:ascii="Times New Roman" w:hAnsi="Times New Roman" w:cs="Times New Roman"/>
          <w:bCs/>
          <w:sz w:val="22"/>
          <w:szCs w:val="22"/>
        </w:rPr>
        <w:t>registers non-governmental organizations and donors operating in the country) and the South Sudan</w:t>
      </w:r>
    </w:p>
    <w:p w14:paraId="428EC584" w14:textId="77777777" w:rsidR="001F1D34" w:rsidRPr="001F1D34" w:rsidRDefault="001F1D34" w:rsidP="001F1D34">
      <w:pPr>
        <w:spacing w:after="0" w:line="240" w:lineRule="auto"/>
        <w:jc w:val="both"/>
        <w:rPr>
          <w:rFonts w:ascii="Times New Roman" w:hAnsi="Times New Roman" w:cs="Times New Roman"/>
          <w:bCs/>
          <w:sz w:val="22"/>
          <w:szCs w:val="22"/>
        </w:rPr>
      </w:pPr>
      <w:r w:rsidRPr="001F1D34">
        <w:rPr>
          <w:rFonts w:ascii="Times New Roman" w:hAnsi="Times New Roman" w:cs="Times New Roman"/>
          <w:bCs/>
          <w:sz w:val="22"/>
          <w:szCs w:val="22"/>
        </w:rPr>
        <w:t>NGO Forum, there are 118 international non-governmental organizations (INGOs), 1,800 National</w:t>
      </w:r>
    </w:p>
    <w:p w14:paraId="7A3C3171" w14:textId="77777777" w:rsidR="001F1D34" w:rsidRPr="001F1D34" w:rsidRDefault="001F1D34" w:rsidP="001F1D34">
      <w:pPr>
        <w:spacing w:after="0" w:line="240" w:lineRule="auto"/>
        <w:jc w:val="both"/>
        <w:rPr>
          <w:rFonts w:ascii="Times New Roman" w:hAnsi="Times New Roman" w:cs="Times New Roman"/>
          <w:bCs/>
          <w:sz w:val="22"/>
          <w:szCs w:val="22"/>
        </w:rPr>
      </w:pPr>
    </w:p>
    <w:p w14:paraId="7241A9BE" w14:textId="77777777" w:rsidR="001F1D34" w:rsidRPr="001F1D34" w:rsidRDefault="001F1D34" w:rsidP="001F1D34">
      <w:pPr>
        <w:spacing w:after="0" w:line="240" w:lineRule="auto"/>
        <w:jc w:val="both"/>
        <w:rPr>
          <w:rFonts w:ascii="Times New Roman" w:hAnsi="Times New Roman" w:cs="Times New Roman"/>
          <w:bCs/>
          <w:sz w:val="22"/>
          <w:szCs w:val="22"/>
        </w:rPr>
      </w:pPr>
      <w:r w:rsidRPr="001F1D34">
        <w:rPr>
          <w:rFonts w:ascii="Times New Roman" w:hAnsi="Times New Roman" w:cs="Times New Roman"/>
          <w:bCs/>
          <w:sz w:val="22"/>
          <w:szCs w:val="22"/>
        </w:rPr>
        <w:t>NGOs, and several donor agencies operating in South Sudan (South Sudan NGO forum, 2024).</w:t>
      </w:r>
    </w:p>
    <w:p w14:paraId="5C19DB3A" w14:textId="77777777" w:rsidR="001F1D34" w:rsidRPr="001F1D34" w:rsidRDefault="001F1D34" w:rsidP="001F1D34">
      <w:pPr>
        <w:spacing w:after="0" w:line="240" w:lineRule="auto"/>
        <w:jc w:val="both"/>
        <w:rPr>
          <w:rFonts w:ascii="Times New Roman" w:hAnsi="Times New Roman" w:cs="Times New Roman"/>
          <w:bCs/>
          <w:sz w:val="22"/>
          <w:szCs w:val="22"/>
        </w:rPr>
      </w:pPr>
      <w:r w:rsidRPr="001F1D34">
        <w:rPr>
          <w:rFonts w:ascii="Times New Roman" w:hAnsi="Times New Roman" w:cs="Times New Roman"/>
          <w:bCs/>
          <w:sz w:val="22"/>
          <w:szCs w:val="22"/>
        </w:rPr>
        <w:t>Despite the high number of INGOs (118) making up the South Sudan NGO forum, not all of them are</w:t>
      </w:r>
    </w:p>
    <w:p w14:paraId="66FC2DFD" w14:textId="77777777" w:rsidR="001F1D34" w:rsidRPr="001F1D34" w:rsidRDefault="001F1D34" w:rsidP="001F1D34">
      <w:pPr>
        <w:spacing w:after="0" w:line="240" w:lineRule="auto"/>
        <w:jc w:val="both"/>
        <w:rPr>
          <w:rFonts w:ascii="Times New Roman" w:hAnsi="Times New Roman" w:cs="Times New Roman"/>
          <w:bCs/>
          <w:sz w:val="22"/>
          <w:szCs w:val="22"/>
        </w:rPr>
      </w:pPr>
      <w:r w:rsidRPr="001F1D34">
        <w:rPr>
          <w:rFonts w:ascii="Times New Roman" w:hAnsi="Times New Roman" w:cs="Times New Roman"/>
          <w:bCs/>
          <w:sz w:val="22"/>
          <w:szCs w:val="22"/>
        </w:rPr>
        <w:t>regular or big recipients (by grant size) of funds from the country’s pooled fund, the South Sudan</w:t>
      </w:r>
    </w:p>
    <w:p w14:paraId="737D2EA7" w14:textId="77777777" w:rsidR="001F1D34" w:rsidRPr="001F1D34" w:rsidRDefault="001F1D34" w:rsidP="001F1D34">
      <w:pPr>
        <w:spacing w:after="0" w:line="240" w:lineRule="auto"/>
        <w:jc w:val="both"/>
        <w:rPr>
          <w:rFonts w:ascii="Times New Roman" w:hAnsi="Times New Roman" w:cs="Times New Roman"/>
          <w:bCs/>
          <w:sz w:val="22"/>
          <w:szCs w:val="22"/>
        </w:rPr>
      </w:pPr>
      <w:r w:rsidRPr="001F1D34">
        <w:rPr>
          <w:rFonts w:ascii="Times New Roman" w:hAnsi="Times New Roman" w:cs="Times New Roman"/>
          <w:bCs/>
          <w:sz w:val="22"/>
          <w:szCs w:val="22"/>
        </w:rPr>
        <w:t>Humanitarian Fund (SSHF). The study targeted 15 INGOs who are the top recipients (by grant size)</w:t>
      </w:r>
    </w:p>
    <w:p w14:paraId="2473C484" w14:textId="77777777" w:rsidR="001F1D34" w:rsidRPr="001F1D34" w:rsidRDefault="001F1D34" w:rsidP="001F1D34">
      <w:pPr>
        <w:spacing w:after="0" w:line="240" w:lineRule="auto"/>
        <w:jc w:val="both"/>
        <w:rPr>
          <w:rFonts w:ascii="Times New Roman" w:hAnsi="Times New Roman" w:cs="Times New Roman"/>
          <w:bCs/>
          <w:sz w:val="22"/>
          <w:szCs w:val="22"/>
        </w:rPr>
      </w:pPr>
      <w:r w:rsidRPr="001F1D34">
        <w:rPr>
          <w:rFonts w:ascii="Times New Roman" w:hAnsi="Times New Roman" w:cs="Times New Roman"/>
          <w:bCs/>
          <w:sz w:val="22"/>
          <w:szCs w:val="22"/>
        </w:rPr>
        <w:t>of funding from SSHF. The 15 INGOs composed an adjusted primary target population for this study,</w:t>
      </w:r>
    </w:p>
    <w:p w14:paraId="0846BB92" w14:textId="77777777" w:rsidR="001F1D34" w:rsidRPr="001F1D34" w:rsidRDefault="001F1D34" w:rsidP="001F1D34">
      <w:pPr>
        <w:spacing w:after="0" w:line="240" w:lineRule="auto"/>
        <w:jc w:val="both"/>
        <w:rPr>
          <w:rFonts w:ascii="Times New Roman" w:hAnsi="Times New Roman" w:cs="Times New Roman"/>
          <w:bCs/>
          <w:sz w:val="22"/>
          <w:szCs w:val="22"/>
        </w:rPr>
      </w:pPr>
      <w:r w:rsidRPr="001F1D34">
        <w:rPr>
          <w:rFonts w:ascii="Times New Roman" w:hAnsi="Times New Roman" w:cs="Times New Roman"/>
          <w:bCs/>
          <w:sz w:val="22"/>
          <w:szCs w:val="22"/>
        </w:rPr>
        <w:t>alongside the institutional donors represented by UN OCHA in the country. South Sudan uses a</w:t>
      </w:r>
    </w:p>
    <w:p w14:paraId="1C968BAF" w14:textId="77777777" w:rsidR="001F1D34" w:rsidRPr="001F1D34" w:rsidRDefault="001F1D34" w:rsidP="001F1D34">
      <w:pPr>
        <w:spacing w:after="0" w:line="240" w:lineRule="auto"/>
        <w:jc w:val="both"/>
        <w:rPr>
          <w:rFonts w:ascii="Times New Roman" w:hAnsi="Times New Roman" w:cs="Times New Roman"/>
          <w:bCs/>
          <w:sz w:val="22"/>
          <w:szCs w:val="22"/>
        </w:rPr>
      </w:pPr>
      <w:r w:rsidRPr="001F1D34">
        <w:rPr>
          <w:rFonts w:ascii="Times New Roman" w:hAnsi="Times New Roman" w:cs="Times New Roman"/>
          <w:bCs/>
          <w:sz w:val="22"/>
          <w:szCs w:val="22"/>
        </w:rPr>
        <w:t>country-based pooled funding mechanism in which several donors put their resources together into</w:t>
      </w:r>
    </w:p>
    <w:p w14:paraId="56798287" w14:textId="77777777" w:rsidR="001F1D34" w:rsidRPr="001F1D34" w:rsidRDefault="001F1D34" w:rsidP="001F1D34">
      <w:pPr>
        <w:spacing w:after="0" w:line="240" w:lineRule="auto"/>
        <w:jc w:val="both"/>
        <w:rPr>
          <w:rFonts w:ascii="Times New Roman" w:hAnsi="Times New Roman" w:cs="Times New Roman"/>
          <w:bCs/>
          <w:sz w:val="22"/>
          <w:szCs w:val="22"/>
        </w:rPr>
      </w:pPr>
      <w:r w:rsidRPr="001F1D34">
        <w:rPr>
          <w:rFonts w:ascii="Times New Roman" w:hAnsi="Times New Roman" w:cs="Times New Roman"/>
          <w:bCs/>
          <w:sz w:val="22"/>
          <w:szCs w:val="22"/>
        </w:rPr>
        <w:t>one pool called South Sudan Humanitarian Fund (SSHF), managed by UN OCHA. Thus, OCHA staff</w:t>
      </w:r>
    </w:p>
    <w:p w14:paraId="0E91599A" w14:textId="77777777" w:rsidR="001F1D34" w:rsidRPr="001F1D34" w:rsidRDefault="001F1D34" w:rsidP="001F1D34">
      <w:pPr>
        <w:spacing w:after="0" w:line="240" w:lineRule="auto"/>
        <w:jc w:val="both"/>
        <w:rPr>
          <w:rFonts w:ascii="Times New Roman" w:hAnsi="Times New Roman" w:cs="Times New Roman"/>
          <w:bCs/>
          <w:sz w:val="22"/>
          <w:szCs w:val="22"/>
        </w:rPr>
      </w:pPr>
      <w:r w:rsidRPr="001F1D34">
        <w:rPr>
          <w:rFonts w:ascii="Times New Roman" w:hAnsi="Times New Roman" w:cs="Times New Roman"/>
          <w:bCs/>
          <w:sz w:val="22"/>
          <w:szCs w:val="22"/>
        </w:rPr>
        <w:t>were targeted and interviewed by the study as the overall representative of the donor community in</w:t>
      </w:r>
    </w:p>
    <w:p w14:paraId="79271347" w14:textId="77777777" w:rsidR="00A871B2" w:rsidRDefault="001F1D34" w:rsidP="001F1D34">
      <w:pPr>
        <w:spacing w:after="0" w:line="240" w:lineRule="auto"/>
        <w:jc w:val="both"/>
        <w:rPr>
          <w:rFonts w:ascii="Times New Roman" w:hAnsi="Times New Roman" w:cs="Times New Roman"/>
          <w:bCs/>
          <w:sz w:val="22"/>
          <w:szCs w:val="22"/>
        </w:rPr>
      </w:pPr>
      <w:r w:rsidRPr="001F1D34">
        <w:rPr>
          <w:rFonts w:ascii="Times New Roman" w:hAnsi="Times New Roman" w:cs="Times New Roman"/>
          <w:bCs/>
          <w:sz w:val="22"/>
          <w:szCs w:val="22"/>
        </w:rPr>
        <w:t>the country.</w:t>
      </w:r>
    </w:p>
    <w:p w14:paraId="6B1B7CAF" w14:textId="77777777" w:rsidR="001F1D34" w:rsidRPr="001F1D34" w:rsidRDefault="001F1D34" w:rsidP="001F1D34">
      <w:pPr>
        <w:spacing w:after="0" w:line="240" w:lineRule="auto"/>
        <w:jc w:val="both"/>
        <w:rPr>
          <w:rFonts w:ascii="Times New Roman" w:hAnsi="Times New Roman" w:cs="Times New Roman"/>
          <w:bCs/>
          <w:sz w:val="22"/>
          <w:szCs w:val="22"/>
        </w:rPr>
      </w:pPr>
    </w:p>
    <w:p w14:paraId="188B2303" w14:textId="77777777" w:rsidR="00616019" w:rsidRPr="00A871B2" w:rsidRDefault="00616019" w:rsidP="00A871B2">
      <w:pPr>
        <w:spacing w:after="0" w:line="240" w:lineRule="auto"/>
        <w:jc w:val="both"/>
        <w:rPr>
          <w:rFonts w:ascii="Times New Roman" w:hAnsi="Times New Roman" w:cs="Times New Roman"/>
          <w:b/>
          <w:bCs/>
          <w:sz w:val="22"/>
          <w:szCs w:val="22"/>
        </w:rPr>
      </w:pPr>
      <w:r w:rsidRPr="00A871B2">
        <w:rPr>
          <w:rFonts w:ascii="Times New Roman" w:hAnsi="Times New Roman" w:cs="Times New Roman"/>
          <w:b/>
          <w:bCs/>
          <w:sz w:val="22"/>
          <w:szCs w:val="22"/>
        </w:rPr>
        <w:t>Sampling Procedures sample size</w:t>
      </w:r>
      <w:bookmarkEnd w:id="3"/>
    </w:p>
    <w:p w14:paraId="2CCAF10C" w14:textId="77777777" w:rsidR="001F1D34" w:rsidRPr="001F1D34" w:rsidRDefault="001F1D34" w:rsidP="001F1D34">
      <w:pPr>
        <w:spacing w:after="0" w:line="240" w:lineRule="auto"/>
        <w:rPr>
          <w:rFonts w:ascii="Times New Roman" w:hAnsi="Times New Roman" w:cs="Times New Roman"/>
          <w:bCs/>
          <w:sz w:val="22"/>
          <w:szCs w:val="22"/>
          <w:lang w:val="en-US"/>
        </w:rPr>
      </w:pPr>
      <w:bookmarkStart w:id="4" w:name="_Toc181607970"/>
      <w:r w:rsidRPr="001F1D34">
        <w:rPr>
          <w:rFonts w:ascii="Times New Roman" w:hAnsi="Times New Roman" w:cs="Times New Roman"/>
          <w:bCs/>
          <w:sz w:val="22"/>
          <w:szCs w:val="22"/>
          <w:lang w:val="en-US"/>
        </w:rPr>
        <w:t xml:space="preserve">For a sampling formula, the study adopted </w:t>
      </w:r>
      <w:proofErr w:type="spellStart"/>
      <w:r w:rsidRPr="001F1D34">
        <w:rPr>
          <w:rFonts w:ascii="Times New Roman" w:hAnsi="Times New Roman" w:cs="Times New Roman"/>
          <w:bCs/>
          <w:sz w:val="22"/>
          <w:szCs w:val="22"/>
          <w:lang w:val="en-US"/>
        </w:rPr>
        <w:t>Krejcie</w:t>
      </w:r>
      <w:proofErr w:type="spellEnd"/>
      <w:r w:rsidRPr="001F1D34">
        <w:rPr>
          <w:rFonts w:ascii="Times New Roman" w:hAnsi="Times New Roman" w:cs="Times New Roman"/>
          <w:bCs/>
          <w:sz w:val="22"/>
          <w:szCs w:val="22"/>
          <w:lang w:val="en-US"/>
        </w:rPr>
        <w:t xml:space="preserve"> &amp; Morgan (1970) sampling table to determine the study’s sample size. According to </w:t>
      </w:r>
      <w:proofErr w:type="spellStart"/>
      <w:r w:rsidRPr="001F1D34">
        <w:rPr>
          <w:rFonts w:ascii="Times New Roman" w:hAnsi="Times New Roman" w:cs="Times New Roman"/>
          <w:bCs/>
          <w:sz w:val="22"/>
          <w:szCs w:val="22"/>
          <w:lang w:val="en-US"/>
        </w:rPr>
        <w:t>Krejcie</w:t>
      </w:r>
      <w:proofErr w:type="spellEnd"/>
      <w:r w:rsidRPr="001F1D34">
        <w:rPr>
          <w:rFonts w:ascii="Times New Roman" w:hAnsi="Times New Roman" w:cs="Times New Roman"/>
          <w:bCs/>
          <w:sz w:val="22"/>
          <w:szCs w:val="22"/>
          <w:lang w:val="en-US"/>
        </w:rPr>
        <w:t xml:space="preserve"> &amp; Morgan (1970), if the target population is 15-19 units, the target sample will be 14 units. Therefore, the sample size of this study was 14 INGOs and one donor, UN OCHA, as the representative of an umbrella of donors as per the country’s pooled funding mechanism. The respondents were targeted for interviews and their responses gathered and analyzed.</w:t>
      </w:r>
      <w:bookmarkStart w:id="5" w:name="_Hlk171000653"/>
    </w:p>
    <w:p w14:paraId="008E33BA" w14:textId="77777777" w:rsidR="001F1D34" w:rsidRPr="001F1D34" w:rsidRDefault="001F1D34" w:rsidP="001F1D34">
      <w:pPr>
        <w:spacing w:after="0" w:line="240" w:lineRule="auto"/>
        <w:rPr>
          <w:rFonts w:ascii="Times New Roman" w:hAnsi="Times New Roman" w:cs="Times New Roman"/>
          <w:b/>
          <w:bCs/>
          <w:sz w:val="22"/>
          <w:szCs w:val="22"/>
          <w:lang w:val="en-US"/>
        </w:rPr>
      </w:pPr>
      <w:r w:rsidRPr="001F1D34">
        <w:rPr>
          <w:rFonts w:ascii="Times New Roman" w:hAnsi="Times New Roman" w:cs="Times New Roman"/>
          <w:b/>
          <w:bCs/>
          <w:sz w:val="22"/>
          <w:szCs w:val="22"/>
          <w:lang w:val="en-US"/>
        </w:rPr>
        <w:t>Table 1: Target population</w:t>
      </w:r>
    </w:p>
    <w:tbl>
      <w:tblPr>
        <w:tblW w:w="0" w:type="auto"/>
        <w:tblBorders>
          <w:top w:val="single" w:sz="4" w:space="0" w:color="auto"/>
          <w:bottom w:val="single" w:sz="4" w:space="0" w:color="auto"/>
        </w:tblBorders>
        <w:tblLook w:val="0000" w:firstRow="0" w:lastRow="0" w:firstColumn="0" w:lastColumn="0" w:noHBand="0" w:noVBand="0"/>
      </w:tblPr>
      <w:tblGrid>
        <w:gridCol w:w="4878"/>
        <w:gridCol w:w="2790"/>
      </w:tblGrid>
      <w:tr w:rsidR="001F1D34" w:rsidRPr="001F1D34" w14:paraId="1F13507B" w14:textId="77777777" w:rsidTr="009B2AD4">
        <w:trPr>
          <w:trHeight w:val="530"/>
        </w:trPr>
        <w:tc>
          <w:tcPr>
            <w:tcW w:w="4878" w:type="dxa"/>
            <w:tcBorders>
              <w:top w:val="single" w:sz="4" w:space="0" w:color="auto"/>
              <w:bottom w:val="single" w:sz="4" w:space="0" w:color="auto"/>
            </w:tcBorders>
          </w:tcPr>
          <w:bookmarkEnd w:id="5"/>
          <w:p w14:paraId="6A631C4B" w14:textId="77777777" w:rsidR="001F1D34" w:rsidRPr="001F1D34" w:rsidRDefault="001F1D34" w:rsidP="001F1D34">
            <w:pPr>
              <w:spacing w:after="0" w:line="240" w:lineRule="auto"/>
              <w:rPr>
                <w:rFonts w:ascii="Times New Roman" w:hAnsi="Times New Roman" w:cs="Times New Roman"/>
                <w:bCs/>
                <w:sz w:val="22"/>
                <w:szCs w:val="22"/>
                <w:lang w:val="en-US"/>
              </w:rPr>
            </w:pPr>
            <w:r w:rsidRPr="001F1D34">
              <w:rPr>
                <w:rFonts w:ascii="Times New Roman" w:hAnsi="Times New Roman" w:cs="Times New Roman"/>
                <w:bCs/>
                <w:sz w:val="22"/>
                <w:szCs w:val="22"/>
                <w:lang w:val="en-US"/>
              </w:rPr>
              <w:t>Target population</w:t>
            </w:r>
          </w:p>
        </w:tc>
        <w:tc>
          <w:tcPr>
            <w:tcW w:w="2790" w:type="dxa"/>
            <w:tcBorders>
              <w:top w:val="single" w:sz="4" w:space="0" w:color="auto"/>
              <w:bottom w:val="single" w:sz="4" w:space="0" w:color="auto"/>
            </w:tcBorders>
          </w:tcPr>
          <w:p w14:paraId="77414C26" w14:textId="77777777" w:rsidR="001F1D34" w:rsidRPr="001F1D34" w:rsidRDefault="001F1D34" w:rsidP="001F1D34">
            <w:pPr>
              <w:spacing w:after="0" w:line="240" w:lineRule="auto"/>
              <w:rPr>
                <w:rFonts w:ascii="Times New Roman" w:hAnsi="Times New Roman" w:cs="Times New Roman"/>
                <w:bCs/>
                <w:sz w:val="22"/>
                <w:szCs w:val="22"/>
                <w:lang w:val="en-US"/>
              </w:rPr>
            </w:pPr>
            <w:r w:rsidRPr="001F1D34">
              <w:rPr>
                <w:rFonts w:ascii="Times New Roman" w:hAnsi="Times New Roman" w:cs="Times New Roman"/>
                <w:bCs/>
                <w:sz w:val="22"/>
                <w:szCs w:val="22"/>
                <w:lang w:val="en-US"/>
              </w:rPr>
              <w:t>Sample size</w:t>
            </w:r>
          </w:p>
        </w:tc>
      </w:tr>
      <w:tr w:rsidR="001F1D34" w:rsidRPr="001F1D34" w14:paraId="56FBA854" w14:textId="77777777" w:rsidTr="009B2AD4">
        <w:tc>
          <w:tcPr>
            <w:tcW w:w="4878" w:type="dxa"/>
            <w:tcBorders>
              <w:top w:val="single" w:sz="4" w:space="0" w:color="auto"/>
            </w:tcBorders>
          </w:tcPr>
          <w:p w14:paraId="43035021" w14:textId="77777777" w:rsidR="001F1D34" w:rsidRPr="001F1D34" w:rsidRDefault="001F1D34" w:rsidP="001F1D34">
            <w:pPr>
              <w:spacing w:after="0" w:line="240" w:lineRule="auto"/>
              <w:rPr>
                <w:rFonts w:ascii="Times New Roman" w:hAnsi="Times New Roman" w:cs="Times New Roman"/>
                <w:bCs/>
                <w:sz w:val="22"/>
                <w:szCs w:val="22"/>
                <w:lang w:val="en-US"/>
              </w:rPr>
            </w:pPr>
            <w:r>
              <w:rPr>
                <w:rFonts w:ascii="Times New Roman" w:hAnsi="Times New Roman" w:cs="Times New Roman"/>
                <w:bCs/>
                <w:sz w:val="22"/>
                <w:szCs w:val="22"/>
                <w:lang w:val="en-US"/>
              </w:rPr>
              <w:t>14</w:t>
            </w:r>
          </w:p>
        </w:tc>
        <w:tc>
          <w:tcPr>
            <w:tcW w:w="2790" w:type="dxa"/>
            <w:tcBorders>
              <w:top w:val="single" w:sz="4" w:space="0" w:color="auto"/>
            </w:tcBorders>
          </w:tcPr>
          <w:p w14:paraId="7125ECD5" w14:textId="77777777" w:rsidR="001F1D34" w:rsidRPr="001F1D34" w:rsidRDefault="001F1D34" w:rsidP="001F1D34">
            <w:pPr>
              <w:spacing w:after="0" w:line="240" w:lineRule="auto"/>
              <w:rPr>
                <w:rFonts w:ascii="Times New Roman" w:hAnsi="Times New Roman" w:cs="Times New Roman"/>
                <w:bCs/>
                <w:sz w:val="22"/>
                <w:szCs w:val="22"/>
                <w:lang w:val="en-US"/>
              </w:rPr>
            </w:pPr>
            <w:r>
              <w:rPr>
                <w:rFonts w:ascii="Times New Roman" w:hAnsi="Times New Roman" w:cs="Times New Roman"/>
                <w:bCs/>
                <w:sz w:val="22"/>
                <w:szCs w:val="22"/>
                <w:lang w:val="en-US"/>
              </w:rPr>
              <w:t>14</w:t>
            </w:r>
          </w:p>
        </w:tc>
      </w:tr>
    </w:tbl>
    <w:p w14:paraId="0F758F96" w14:textId="77777777" w:rsidR="001F1D34" w:rsidRPr="001F1D34" w:rsidRDefault="001F1D34" w:rsidP="001F1D34">
      <w:pPr>
        <w:spacing w:after="0" w:line="240" w:lineRule="auto"/>
        <w:rPr>
          <w:rFonts w:ascii="Times New Roman" w:hAnsi="Times New Roman" w:cs="Times New Roman"/>
          <w:bCs/>
          <w:sz w:val="22"/>
          <w:szCs w:val="22"/>
          <w:lang w:val="en-US"/>
        </w:rPr>
      </w:pPr>
      <w:r w:rsidRPr="001F1D34">
        <w:rPr>
          <w:rFonts w:ascii="Times New Roman" w:hAnsi="Times New Roman" w:cs="Times New Roman"/>
          <w:b/>
          <w:bCs/>
          <w:sz w:val="22"/>
          <w:szCs w:val="22"/>
          <w:lang w:val="en-US"/>
        </w:rPr>
        <w:t xml:space="preserve"> </w:t>
      </w:r>
      <w:r w:rsidRPr="001F1D34">
        <w:rPr>
          <w:rFonts w:ascii="Times New Roman" w:hAnsi="Times New Roman" w:cs="Times New Roman"/>
          <w:bCs/>
          <w:sz w:val="22"/>
          <w:szCs w:val="22"/>
          <w:lang w:val="en-US"/>
        </w:rPr>
        <w:t>Source: Author, 2024</w:t>
      </w:r>
    </w:p>
    <w:p w14:paraId="2C1224A4" w14:textId="77777777" w:rsidR="001F1D34" w:rsidRPr="001F1D34" w:rsidRDefault="001F1D34" w:rsidP="001F1D34">
      <w:pPr>
        <w:spacing w:after="0" w:line="240" w:lineRule="auto"/>
        <w:rPr>
          <w:rFonts w:ascii="Times New Roman" w:hAnsi="Times New Roman" w:cs="Times New Roman"/>
          <w:bCs/>
          <w:sz w:val="22"/>
          <w:szCs w:val="22"/>
          <w:lang w:val="en-US"/>
        </w:rPr>
      </w:pPr>
      <w:r w:rsidRPr="001F1D34">
        <w:rPr>
          <w:rFonts w:ascii="Times New Roman" w:hAnsi="Times New Roman" w:cs="Times New Roman"/>
          <w:bCs/>
          <w:sz w:val="22"/>
          <w:szCs w:val="22"/>
          <w:lang w:val="en-US"/>
        </w:rPr>
        <w:t xml:space="preserve">The study adopted a sampling criterion that is representative of the INGOs that are the most frequent and biggest recipients of SSHF funds, by grant size, while reflecting the main sectors (program areas) </w:t>
      </w:r>
      <w:r w:rsidRPr="001F1D34">
        <w:rPr>
          <w:rFonts w:ascii="Times New Roman" w:hAnsi="Times New Roman" w:cs="Times New Roman"/>
          <w:bCs/>
          <w:sz w:val="22"/>
          <w:szCs w:val="22"/>
          <w:lang w:val="en-US"/>
        </w:rPr>
        <w:lastRenderedPageBreak/>
        <w:t xml:space="preserve">that have been prioritized for funding by the donor over the last two years. According to OCHA (2024)’s financial tracking service (FTS) update for South Sudan for 2024, the top four most funded sectors/program areas through the pooled fund mechanism are Food Security and Livelihoods ($206,521,772), followed by protection ($52,566,588), nutrition ($42,674,384), and health ($42,322,032). INGOs that have been receiving funds in the sectors above were targeted for interviews by the study. </w:t>
      </w:r>
    </w:p>
    <w:p w14:paraId="4F14756E" w14:textId="77777777" w:rsidR="001F1D34" w:rsidRPr="001F1D34" w:rsidRDefault="001F1D34" w:rsidP="001F1D34">
      <w:pPr>
        <w:spacing w:after="0" w:line="240" w:lineRule="auto"/>
        <w:rPr>
          <w:rFonts w:ascii="Times New Roman" w:hAnsi="Times New Roman" w:cs="Times New Roman"/>
          <w:bCs/>
          <w:sz w:val="22"/>
          <w:szCs w:val="22"/>
          <w:lang w:val="en-US"/>
        </w:rPr>
      </w:pPr>
      <w:r w:rsidRPr="001F1D34">
        <w:rPr>
          <w:rFonts w:ascii="Times New Roman" w:hAnsi="Times New Roman" w:cs="Times New Roman"/>
          <w:bCs/>
          <w:sz w:val="22"/>
          <w:szCs w:val="22"/>
          <w:lang w:val="en-US"/>
        </w:rPr>
        <w:t>The study diversified the types of responses by looking at different roles or levels of experience in the INGOs or donor staffing; specifically ensuring there is a representative sample for program officers, sector specialists, and senior advisors in the INGOs and donor teams as these are the key decision makers on project design and grant award decisions. Thus, the study’s sampling criteria followed this staff distribution within the INGOs or donor teams in Juba.</w:t>
      </w:r>
    </w:p>
    <w:p w14:paraId="5EE9CC3C" w14:textId="77777777" w:rsidR="001F1D34" w:rsidRPr="001F1D34" w:rsidRDefault="001F1D34" w:rsidP="00A871B2">
      <w:pPr>
        <w:spacing w:after="0" w:line="240" w:lineRule="auto"/>
        <w:rPr>
          <w:rFonts w:ascii="Times New Roman" w:hAnsi="Times New Roman" w:cs="Times New Roman"/>
          <w:bCs/>
        </w:rPr>
      </w:pPr>
    </w:p>
    <w:bookmarkEnd w:id="4"/>
    <w:p w14:paraId="04328809" w14:textId="77777777" w:rsidR="00A871B2" w:rsidRPr="003F28B2" w:rsidRDefault="00A871B2" w:rsidP="00A871B2">
      <w:pPr>
        <w:rPr>
          <w:rFonts w:eastAsia="Calibri"/>
        </w:rPr>
      </w:pPr>
      <w:r w:rsidRPr="00A871B2">
        <w:rPr>
          <w:rFonts w:ascii="Times New Roman" w:eastAsia="Calibri" w:hAnsi="Times New Roman" w:cs="Times New Roman"/>
          <w:b/>
          <w:bCs/>
        </w:rPr>
        <w:t>Results and Discussion</w:t>
      </w:r>
    </w:p>
    <w:p w14:paraId="219982FC" w14:textId="77777777" w:rsidR="00A871B2" w:rsidRPr="001F1D34" w:rsidRDefault="00A871B2" w:rsidP="00A871B2">
      <w:pPr>
        <w:spacing w:after="0"/>
        <w:jc w:val="both"/>
        <w:rPr>
          <w:rFonts w:ascii="Times New Roman" w:hAnsi="Times New Roman" w:cs="Times New Roman"/>
          <w:b/>
          <w:sz w:val="22"/>
          <w:szCs w:val="22"/>
        </w:rPr>
      </w:pPr>
      <w:r w:rsidRPr="001F1D34">
        <w:rPr>
          <w:rFonts w:ascii="Times New Roman" w:hAnsi="Times New Roman" w:cs="Times New Roman"/>
          <w:b/>
          <w:sz w:val="22"/>
          <w:szCs w:val="22"/>
        </w:rPr>
        <w:t>Response Rate</w:t>
      </w:r>
    </w:p>
    <w:p w14:paraId="1942BC7D" w14:textId="77777777" w:rsidR="001F1D34" w:rsidRPr="001F1D34" w:rsidRDefault="001F1D34" w:rsidP="001F1D34">
      <w:pPr>
        <w:spacing w:after="0"/>
        <w:jc w:val="both"/>
        <w:rPr>
          <w:rFonts w:ascii="Times New Roman" w:hAnsi="Times New Roman" w:cs="Times New Roman"/>
          <w:sz w:val="22"/>
          <w:szCs w:val="22"/>
        </w:rPr>
      </w:pPr>
      <w:r w:rsidRPr="001F1D34">
        <w:rPr>
          <w:rFonts w:ascii="Times New Roman" w:hAnsi="Times New Roman" w:cs="Times New Roman"/>
          <w:sz w:val="22"/>
          <w:szCs w:val="22"/>
          <w:lang w:val="en-US"/>
        </w:rPr>
        <w:t xml:space="preserve">The sample of this work was 15 units of the targeted population. A total of 15 questionnaires were administered through face-to-face interviews and pick-and-drop approach; all the questionnaires were filled and completed at a 100% response rate. </w:t>
      </w:r>
      <w:r w:rsidRPr="001F1D34">
        <w:rPr>
          <w:rFonts w:ascii="Times New Roman" w:hAnsi="Times New Roman" w:cs="Times New Roman"/>
          <w:sz w:val="22"/>
          <w:szCs w:val="22"/>
        </w:rPr>
        <w:t xml:space="preserve">A study response rate of up to 60% r is considered fair and a 70% response rate or higher is considered exceptional, according to Mugenda and Mugenda (2003). As a result, the study received an outstanding response rate, as shown in table </w:t>
      </w:r>
      <w:r w:rsidR="00826FDC">
        <w:rPr>
          <w:rFonts w:ascii="Times New Roman" w:hAnsi="Times New Roman" w:cs="Times New Roman"/>
          <w:sz w:val="22"/>
          <w:szCs w:val="22"/>
        </w:rPr>
        <w:t>2</w:t>
      </w:r>
      <w:r w:rsidRPr="001F1D34">
        <w:rPr>
          <w:rFonts w:ascii="Times New Roman" w:hAnsi="Times New Roman" w:cs="Times New Roman"/>
          <w:sz w:val="22"/>
          <w:szCs w:val="22"/>
        </w:rPr>
        <w:t xml:space="preserve"> below.</w:t>
      </w:r>
    </w:p>
    <w:p w14:paraId="3045D111" w14:textId="77777777" w:rsidR="001F1D34" w:rsidRPr="001F1D34" w:rsidRDefault="00826FDC" w:rsidP="001F1D34">
      <w:pPr>
        <w:spacing w:after="0"/>
        <w:jc w:val="both"/>
        <w:rPr>
          <w:rFonts w:ascii="Times New Roman" w:hAnsi="Times New Roman" w:cs="Times New Roman"/>
          <w:b/>
          <w:bCs/>
          <w:sz w:val="22"/>
          <w:szCs w:val="22"/>
        </w:rPr>
      </w:pPr>
      <w:r>
        <w:rPr>
          <w:rFonts w:ascii="Times New Roman" w:hAnsi="Times New Roman" w:cs="Times New Roman"/>
          <w:b/>
          <w:bCs/>
          <w:sz w:val="22"/>
          <w:szCs w:val="22"/>
        </w:rPr>
        <w:t>Table 2</w:t>
      </w:r>
      <w:r w:rsidR="001F1D34" w:rsidRPr="001F1D34">
        <w:rPr>
          <w:rFonts w:ascii="Times New Roman" w:hAnsi="Times New Roman" w:cs="Times New Roman"/>
          <w:b/>
          <w:bCs/>
          <w:sz w:val="22"/>
          <w:szCs w:val="22"/>
        </w:rPr>
        <w:t>: Response rate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3"/>
        <w:gridCol w:w="2995"/>
        <w:gridCol w:w="2998"/>
      </w:tblGrid>
      <w:tr w:rsidR="001F1D34" w:rsidRPr="001F1D34" w14:paraId="574C47BF" w14:textId="77777777" w:rsidTr="009B2AD4">
        <w:tc>
          <w:tcPr>
            <w:tcW w:w="3192" w:type="dxa"/>
            <w:tcBorders>
              <w:top w:val="single" w:sz="4" w:space="0" w:color="auto"/>
              <w:left w:val="nil"/>
              <w:bottom w:val="single" w:sz="4" w:space="0" w:color="auto"/>
              <w:right w:val="nil"/>
            </w:tcBorders>
          </w:tcPr>
          <w:p w14:paraId="017241DC" w14:textId="77777777" w:rsidR="001F1D34" w:rsidRPr="001F1D34" w:rsidRDefault="001F1D34" w:rsidP="001F1D34">
            <w:pPr>
              <w:spacing w:after="0"/>
              <w:jc w:val="both"/>
              <w:rPr>
                <w:rFonts w:ascii="Times New Roman" w:hAnsi="Times New Roman" w:cs="Times New Roman"/>
                <w:sz w:val="22"/>
                <w:szCs w:val="22"/>
              </w:rPr>
            </w:pPr>
            <w:r w:rsidRPr="001F1D34">
              <w:rPr>
                <w:rFonts w:ascii="Times New Roman" w:hAnsi="Times New Roman" w:cs="Times New Roman"/>
                <w:sz w:val="22"/>
                <w:szCs w:val="22"/>
              </w:rPr>
              <w:t>Questionnaires</w:t>
            </w:r>
          </w:p>
        </w:tc>
        <w:tc>
          <w:tcPr>
            <w:tcW w:w="3192" w:type="dxa"/>
            <w:tcBorders>
              <w:top w:val="single" w:sz="4" w:space="0" w:color="auto"/>
              <w:left w:val="nil"/>
              <w:bottom w:val="single" w:sz="4" w:space="0" w:color="auto"/>
              <w:right w:val="nil"/>
            </w:tcBorders>
          </w:tcPr>
          <w:p w14:paraId="17554FBE" w14:textId="77777777" w:rsidR="001F1D34" w:rsidRPr="001F1D34" w:rsidRDefault="001F1D34" w:rsidP="001F1D34">
            <w:pPr>
              <w:spacing w:after="0"/>
              <w:jc w:val="both"/>
              <w:rPr>
                <w:rFonts w:ascii="Times New Roman" w:hAnsi="Times New Roman" w:cs="Times New Roman"/>
                <w:sz w:val="22"/>
                <w:szCs w:val="22"/>
              </w:rPr>
            </w:pPr>
            <w:r w:rsidRPr="001F1D34">
              <w:rPr>
                <w:rFonts w:ascii="Times New Roman" w:hAnsi="Times New Roman" w:cs="Times New Roman"/>
                <w:sz w:val="22"/>
                <w:szCs w:val="22"/>
              </w:rPr>
              <w:t>Frequency</w:t>
            </w:r>
          </w:p>
        </w:tc>
        <w:tc>
          <w:tcPr>
            <w:tcW w:w="3192" w:type="dxa"/>
            <w:tcBorders>
              <w:top w:val="single" w:sz="4" w:space="0" w:color="auto"/>
              <w:left w:val="nil"/>
              <w:bottom w:val="single" w:sz="4" w:space="0" w:color="auto"/>
              <w:right w:val="nil"/>
            </w:tcBorders>
          </w:tcPr>
          <w:p w14:paraId="3EE0F60E" w14:textId="77777777" w:rsidR="001F1D34" w:rsidRPr="001F1D34" w:rsidRDefault="001F1D34" w:rsidP="001F1D34">
            <w:pPr>
              <w:spacing w:after="0"/>
              <w:jc w:val="both"/>
              <w:rPr>
                <w:rFonts w:ascii="Times New Roman" w:hAnsi="Times New Roman" w:cs="Times New Roman"/>
                <w:sz w:val="22"/>
                <w:szCs w:val="22"/>
              </w:rPr>
            </w:pPr>
            <w:r w:rsidRPr="001F1D34">
              <w:rPr>
                <w:rFonts w:ascii="Times New Roman" w:hAnsi="Times New Roman" w:cs="Times New Roman"/>
                <w:sz w:val="22"/>
                <w:szCs w:val="22"/>
              </w:rPr>
              <w:t>Percentage (%)</w:t>
            </w:r>
          </w:p>
        </w:tc>
      </w:tr>
      <w:tr w:rsidR="001F1D34" w:rsidRPr="001F1D34" w14:paraId="7C00D495" w14:textId="77777777" w:rsidTr="009B2AD4">
        <w:tc>
          <w:tcPr>
            <w:tcW w:w="3192" w:type="dxa"/>
            <w:tcBorders>
              <w:top w:val="single" w:sz="4" w:space="0" w:color="auto"/>
              <w:left w:val="nil"/>
              <w:bottom w:val="nil"/>
              <w:right w:val="nil"/>
            </w:tcBorders>
          </w:tcPr>
          <w:p w14:paraId="246945A7" w14:textId="77777777" w:rsidR="001F1D34" w:rsidRPr="001F1D34" w:rsidRDefault="001F1D34" w:rsidP="001F1D34">
            <w:pPr>
              <w:spacing w:after="0"/>
              <w:jc w:val="both"/>
              <w:rPr>
                <w:rFonts w:ascii="Times New Roman" w:hAnsi="Times New Roman" w:cs="Times New Roman"/>
                <w:sz w:val="22"/>
                <w:szCs w:val="22"/>
              </w:rPr>
            </w:pPr>
            <w:r w:rsidRPr="001F1D34">
              <w:rPr>
                <w:rFonts w:ascii="Times New Roman" w:hAnsi="Times New Roman" w:cs="Times New Roman"/>
                <w:sz w:val="22"/>
                <w:szCs w:val="22"/>
              </w:rPr>
              <w:t>Filled and completed</w:t>
            </w:r>
          </w:p>
        </w:tc>
        <w:tc>
          <w:tcPr>
            <w:tcW w:w="3192" w:type="dxa"/>
            <w:tcBorders>
              <w:top w:val="single" w:sz="4" w:space="0" w:color="auto"/>
              <w:left w:val="nil"/>
              <w:bottom w:val="nil"/>
              <w:right w:val="nil"/>
            </w:tcBorders>
          </w:tcPr>
          <w:p w14:paraId="75A1D448" w14:textId="77777777" w:rsidR="001F1D34" w:rsidRPr="001F1D34" w:rsidRDefault="001F1D34" w:rsidP="001F1D34">
            <w:pPr>
              <w:spacing w:after="0"/>
              <w:jc w:val="both"/>
              <w:rPr>
                <w:rFonts w:ascii="Times New Roman" w:hAnsi="Times New Roman" w:cs="Times New Roman"/>
                <w:sz w:val="22"/>
                <w:szCs w:val="22"/>
              </w:rPr>
            </w:pPr>
            <w:r w:rsidRPr="001F1D34">
              <w:rPr>
                <w:rFonts w:ascii="Times New Roman" w:hAnsi="Times New Roman" w:cs="Times New Roman"/>
                <w:sz w:val="22"/>
                <w:szCs w:val="22"/>
              </w:rPr>
              <w:t>15</w:t>
            </w:r>
          </w:p>
        </w:tc>
        <w:tc>
          <w:tcPr>
            <w:tcW w:w="3192" w:type="dxa"/>
            <w:tcBorders>
              <w:top w:val="single" w:sz="4" w:space="0" w:color="auto"/>
              <w:left w:val="nil"/>
              <w:bottom w:val="nil"/>
              <w:right w:val="nil"/>
            </w:tcBorders>
          </w:tcPr>
          <w:p w14:paraId="5C59CC56" w14:textId="77777777" w:rsidR="001F1D34" w:rsidRPr="001F1D34" w:rsidRDefault="001F1D34" w:rsidP="001F1D34">
            <w:pPr>
              <w:spacing w:after="0"/>
              <w:jc w:val="both"/>
              <w:rPr>
                <w:rFonts w:ascii="Times New Roman" w:hAnsi="Times New Roman" w:cs="Times New Roman"/>
                <w:sz w:val="22"/>
                <w:szCs w:val="22"/>
              </w:rPr>
            </w:pPr>
            <w:r w:rsidRPr="001F1D34">
              <w:rPr>
                <w:rFonts w:ascii="Times New Roman" w:hAnsi="Times New Roman" w:cs="Times New Roman"/>
                <w:sz w:val="22"/>
                <w:szCs w:val="22"/>
              </w:rPr>
              <w:t>100.00</w:t>
            </w:r>
          </w:p>
        </w:tc>
      </w:tr>
      <w:tr w:rsidR="001F1D34" w:rsidRPr="001F1D34" w14:paraId="2857557C" w14:textId="77777777" w:rsidTr="009B2AD4">
        <w:tc>
          <w:tcPr>
            <w:tcW w:w="3192" w:type="dxa"/>
            <w:tcBorders>
              <w:top w:val="nil"/>
              <w:left w:val="nil"/>
              <w:bottom w:val="nil"/>
              <w:right w:val="nil"/>
            </w:tcBorders>
          </w:tcPr>
          <w:p w14:paraId="46E8540F" w14:textId="77777777" w:rsidR="001F1D34" w:rsidRPr="001F1D34" w:rsidRDefault="001F1D34" w:rsidP="001F1D34">
            <w:pPr>
              <w:spacing w:after="0"/>
              <w:jc w:val="both"/>
              <w:rPr>
                <w:rFonts w:ascii="Times New Roman" w:hAnsi="Times New Roman" w:cs="Times New Roman"/>
                <w:sz w:val="22"/>
                <w:szCs w:val="22"/>
              </w:rPr>
            </w:pPr>
            <w:r w:rsidRPr="001F1D34">
              <w:rPr>
                <w:rFonts w:ascii="Times New Roman" w:hAnsi="Times New Roman" w:cs="Times New Roman"/>
                <w:sz w:val="22"/>
                <w:szCs w:val="22"/>
              </w:rPr>
              <w:t>Uncompleted</w:t>
            </w:r>
          </w:p>
        </w:tc>
        <w:tc>
          <w:tcPr>
            <w:tcW w:w="3192" w:type="dxa"/>
            <w:tcBorders>
              <w:top w:val="nil"/>
              <w:left w:val="nil"/>
              <w:bottom w:val="nil"/>
              <w:right w:val="nil"/>
            </w:tcBorders>
          </w:tcPr>
          <w:p w14:paraId="59EDAE12" w14:textId="77777777" w:rsidR="001F1D34" w:rsidRPr="001F1D34" w:rsidRDefault="001F1D34" w:rsidP="001F1D34">
            <w:pPr>
              <w:spacing w:after="0"/>
              <w:jc w:val="both"/>
              <w:rPr>
                <w:rFonts w:ascii="Times New Roman" w:hAnsi="Times New Roman" w:cs="Times New Roman"/>
                <w:sz w:val="22"/>
                <w:szCs w:val="22"/>
              </w:rPr>
            </w:pPr>
            <w:r w:rsidRPr="001F1D34">
              <w:rPr>
                <w:rFonts w:ascii="Times New Roman" w:hAnsi="Times New Roman" w:cs="Times New Roman"/>
                <w:sz w:val="22"/>
                <w:szCs w:val="22"/>
              </w:rPr>
              <w:t>0</w:t>
            </w:r>
          </w:p>
        </w:tc>
        <w:tc>
          <w:tcPr>
            <w:tcW w:w="3192" w:type="dxa"/>
            <w:tcBorders>
              <w:top w:val="nil"/>
              <w:left w:val="nil"/>
              <w:bottom w:val="nil"/>
              <w:right w:val="nil"/>
            </w:tcBorders>
          </w:tcPr>
          <w:p w14:paraId="0E3BD497" w14:textId="77777777" w:rsidR="001F1D34" w:rsidRPr="001F1D34" w:rsidRDefault="001F1D34" w:rsidP="001F1D34">
            <w:pPr>
              <w:spacing w:after="0"/>
              <w:jc w:val="both"/>
              <w:rPr>
                <w:rFonts w:ascii="Times New Roman" w:hAnsi="Times New Roman" w:cs="Times New Roman"/>
                <w:sz w:val="22"/>
                <w:szCs w:val="22"/>
              </w:rPr>
            </w:pPr>
            <w:r w:rsidRPr="001F1D34">
              <w:rPr>
                <w:rFonts w:ascii="Times New Roman" w:hAnsi="Times New Roman" w:cs="Times New Roman"/>
                <w:sz w:val="22"/>
                <w:szCs w:val="22"/>
              </w:rPr>
              <w:t>0.00</w:t>
            </w:r>
          </w:p>
        </w:tc>
      </w:tr>
      <w:tr w:rsidR="001F1D34" w:rsidRPr="001F1D34" w14:paraId="656DA712" w14:textId="77777777" w:rsidTr="009B2AD4">
        <w:tc>
          <w:tcPr>
            <w:tcW w:w="3192" w:type="dxa"/>
            <w:tcBorders>
              <w:top w:val="nil"/>
              <w:left w:val="nil"/>
              <w:bottom w:val="single" w:sz="4" w:space="0" w:color="auto"/>
              <w:right w:val="nil"/>
            </w:tcBorders>
          </w:tcPr>
          <w:p w14:paraId="39774B77" w14:textId="77777777" w:rsidR="001F1D34" w:rsidRPr="001F1D34" w:rsidRDefault="001F1D34" w:rsidP="001F1D34">
            <w:pPr>
              <w:spacing w:after="0"/>
              <w:jc w:val="both"/>
              <w:rPr>
                <w:rFonts w:ascii="Times New Roman" w:hAnsi="Times New Roman" w:cs="Times New Roman"/>
                <w:sz w:val="22"/>
                <w:szCs w:val="22"/>
              </w:rPr>
            </w:pPr>
            <w:r w:rsidRPr="001F1D34">
              <w:rPr>
                <w:rFonts w:ascii="Times New Roman" w:hAnsi="Times New Roman" w:cs="Times New Roman"/>
                <w:sz w:val="22"/>
                <w:szCs w:val="22"/>
              </w:rPr>
              <w:t>Total</w:t>
            </w:r>
          </w:p>
        </w:tc>
        <w:tc>
          <w:tcPr>
            <w:tcW w:w="3192" w:type="dxa"/>
            <w:tcBorders>
              <w:top w:val="nil"/>
              <w:left w:val="nil"/>
              <w:bottom w:val="single" w:sz="4" w:space="0" w:color="auto"/>
              <w:right w:val="nil"/>
            </w:tcBorders>
          </w:tcPr>
          <w:p w14:paraId="3096F0C5" w14:textId="77777777" w:rsidR="001F1D34" w:rsidRPr="001F1D34" w:rsidRDefault="001F1D34" w:rsidP="001F1D34">
            <w:pPr>
              <w:spacing w:after="0"/>
              <w:jc w:val="both"/>
              <w:rPr>
                <w:rFonts w:ascii="Times New Roman" w:hAnsi="Times New Roman" w:cs="Times New Roman"/>
                <w:sz w:val="22"/>
                <w:szCs w:val="22"/>
              </w:rPr>
            </w:pPr>
            <w:r w:rsidRPr="001F1D34">
              <w:rPr>
                <w:rFonts w:ascii="Times New Roman" w:hAnsi="Times New Roman" w:cs="Times New Roman"/>
                <w:sz w:val="22"/>
                <w:szCs w:val="22"/>
              </w:rPr>
              <w:t>15</w:t>
            </w:r>
          </w:p>
        </w:tc>
        <w:tc>
          <w:tcPr>
            <w:tcW w:w="3192" w:type="dxa"/>
            <w:tcBorders>
              <w:top w:val="nil"/>
              <w:left w:val="nil"/>
              <w:bottom w:val="single" w:sz="4" w:space="0" w:color="auto"/>
              <w:right w:val="nil"/>
            </w:tcBorders>
          </w:tcPr>
          <w:p w14:paraId="299F758F" w14:textId="77777777" w:rsidR="001F1D34" w:rsidRPr="001F1D34" w:rsidRDefault="001F1D34" w:rsidP="001F1D34">
            <w:pPr>
              <w:spacing w:after="0"/>
              <w:jc w:val="both"/>
              <w:rPr>
                <w:rFonts w:ascii="Times New Roman" w:hAnsi="Times New Roman" w:cs="Times New Roman"/>
                <w:sz w:val="22"/>
                <w:szCs w:val="22"/>
              </w:rPr>
            </w:pPr>
            <w:r w:rsidRPr="001F1D34">
              <w:rPr>
                <w:rFonts w:ascii="Times New Roman" w:hAnsi="Times New Roman" w:cs="Times New Roman"/>
                <w:sz w:val="22"/>
                <w:szCs w:val="22"/>
              </w:rPr>
              <w:t>100.00</w:t>
            </w:r>
          </w:p>
        </w:tc>
      </w:tr>
    </w:tbl>
    <w:p w14:paraId="6F3432AD" w14:textId="77777777" w:rsidR="001F1D34" w:rsidRDefault="001F1D34" w:rsidP="00A871B2">
      <w:pPr>
        <w:spacing w:after="0"/>
        <w:jc w:val="both"/>
        <w:rPr>
          <w:rFonts w:ascii="Times New Roman" w:hAnsi="Times New Roman" w:cs="Times New Roman"/>
          <w:sz w:val="22"/>
          <w:szCs w:val="22"/>
        </w:rPr>
      </w:pPr>
    </w:p>
    <w:p w14:paraId="4088FC4D" w14:textId="77777777" w:rsidR="009B2AD4" w:rsidRPr="009B2AD4" w:rsidRDefault="009B2AD4" w:rsidP="009B2AD4">
      <w:pPr>
        <w:spacing w:after="0"/>
        <w:jc w:val="both"/>
        <w:rPr>
          <w:rFonts w:ascii="Times New Roman" w:hAnsi="Times New Roman" w:cs="Times New Roman"/>
          <w:b/>
          <w:bCs/>
          <w:sz w:val="22"/>
          <w:szCs w:val="22"/>
          <w:lang w:val="en-US"/>
        </w:rPr>
      </w:pPr>
      <w:r w:rsidRPr="009B2AD4">
        <w:rPr>
          <w:rFonts w:ascii="Times New Roman" w:hAnsi="Times New Roman" w:cs="Times New Roman"/>
          <w:b/>
          <w:bCs/>
          <w:sz w:val="22"/>
          <w:szCs w:val="22"/>
          <w:lang w:val="en-US"/>
        </w:rPr>
        <w:t>Alignment to Donor Priorities and Grant Award Decisions</w:t>
      </w:r>
    </w:p>
    <w:p w14:paraId="6243EDB6" w14:textId="77777777" w:rsidR="009B2AD4" w:rsidRPr="00826FDC" w:rsidRDefault="009B2AD4" w:rsidP="009B2AD4">
      <w:pPr>
        <w:spacing w:after="0"/>
        <w:jc w:val="both"/>
        <w:rPr>
          <w:rFonts w:ascii="Times New Roman" w:hAnsi="Times New Roman" w:cs="Times New Roman"/>
          <w:sz w:val="22"/>
          <w:szCs w:val="22"/>
          <w:lang w:val="en-US"/>
        </w:rPr>
      </w:pPr>
      <w:bookmarkStart w:id="6" w:name="_Hlk184448511"/>
      <w:r w:rsidRPr="009B2AD4">
        <w:rPr>
          <w:rFonts w:ascii="Times New Roman" w:hAnsi="Times New Roman" w:cs="Times New Roman"/>
          <w:sz w:val="22"/>
          <w:szCs w:val="22"/>
          <w:lang w:val="en-US"/>
        </w:rPr>
        <w:t xml:space="preserve">This independent variable </w:t>
      </w:r>
      <w:r w:rsidRPr="009B2AD4">
        <w:rPr>
          <w:rFonts w:ascii="Times New Roman" w:hAnsi="Times New Roman" w:cs="Times New Roman"/>
          <w:bCs/>
          <w:sz w:val="22"/>
          <w:szCs w:val="22"/>
          <w:lang w:val="x-none"/>
        </w:rPr>
        <w:t>examined</w:t>
      </w:r>
      <w:r w:rsidRPr="009B2AD4">
        <w:rPr>
          <w:rFonts w:ascii="Times New Roman" w:hAnsi="Times New Roman" w:cs="Times New Roman"/>
          <w:sz w:val="22"/>
          <w:szCs w:val="22"/>
          <w:lang w:val="en-US"/>
        </w:rPr>
        <w:t xml:space="preserve"> the role of alignment to donor priorities in grant award decisions </w:t>
      </w:r>
      <w:r w:rsidRPr="009B2AD4">
        <w:rPr>
          <w:rFonts w:ascii="Times New Roman" w:hAnsi="Times New Roman" w:cs="Times New Roman"/>
          <w:bCs/>
          <w:sz w:val="22"/>
          <w:szCs w:val="22"/>
          <w:lang w:val="x-none"/>
        </w:rPr>
        <w:t xml:space="preserve">for humanitarian projects. A five-point Likert scale was used to administer a set of questions to the study respondents. The thoughts and technical opinions of the study participants are documented in table </w:t>
      </w:r>
      <w:r w:rsidR="00826FDC">
        <w:rPr>
          <w:rFonts w:ascii="Times New Roman" w:hAnsi="Times New Roman" w:cs="Times New Roman"/>
          <w:bCs/>
          <w:sz w:val="22"/>
          <w:szCs w:val="22"/>
          <w:lang w:val="en-US"/>
        </w:rPr>
        <w:t>3</w:t>
      </w:r>
      <w:r w:rsidRPr="009B2AD4">
        <w:rPr>
          <w:rFonts w:ascii="Times New Roman" w:hAnsi="Times New Roman" w:cs="Times New Roman"/>
          <w:bCs/>
          <w:sz w:val="22"/>
          <w:szCs w:val="22"/>
          <w:lang w:val="x-none"/>
        </w:rPr>
        <w:t xml:space="preserve"> below with the statistical measures (mean, standard deviation, and variance) for each variable. Table </w:t>
      </w:r>
      <w:r w:rsidR="00826FDC">
        <w:rPr>
          <w:rFonts w:ascii="Times New Roman" w:hAnsi="Times New Roman" w:cs="Times New Roman"/>
          <w:bCs/>
          <w:sz w:val="22"/>
          <w:szCs w:val="22"/>
          <w:lang w:val="en-US"/>
        </w:rPr>
        <w:t>3</w:t>
      </w:r>
      <w:r w:rsidRPr="009B2AD4">
        <w:rPr>
          <w:rFonts w:ascii="Times New Roman" w:hAnsi="Times New Roman" w:cs="Times New Roman"/>
          <w:bCs/>
          <w:sz w:val="22"/>
          <w:szCs w:val="22"/>
          <w:lang w:val="x-none"/>
        </w:rPr>
        <w:t xml:space="preserve"> below presents the findings under the alignment to donor priorities independent variable, with an in-depth interpretation of the findings provided </w:t>
      </w:r>
      <w:bookmarkEnd w:id="6"/>
      <w:r w:rsidR="00826FDC">
        <w:rPr>
          <w:rFonts w:ascii="Times New Roman" w:hAnsi="Times New Roman" w:cs="Times New Roman"/>
          <w:bCs/>
          <w:sz w:val="22"/>
          <w:szCs w:val="22"/>
          <w:lang w:val="en-US"/>
        </w:rPr>
        <w:t>below.</w:t>
      </w:r>
    </w:p>
    <w:p w14:paraId="630353DB" w14:textId="77777777" w:rsidR="009B2AD4" w:rsidRPr="009B2AD4" w:rsidRDefault="009B2AD4" w:rsidP="009B2AD4">
      <w:pPr>
        <w:spacing w:after="0"/>
        <w:jc w:val="both"/>
        <w:rPr>
          <w:rFonts w:ascii="Times New Roman" w:hAnsi="Times New Roman" w:cs="Times New Roman"/>
          <w:sz w:val="22"/>
          <w:szCs w:val="22"/>
          <w:lang w:val="en-US"/>
        </w:rPr>
      </w:pPr>
    </w:p>
    <w:p w14:paraId="11B4D240" w14:textId="77777777" w:rsidR="009B2AD4" w:rsidRPr="009B2AD4" w:rsidRDefault="009B2AD4" w:rsidP="009B2AD4">
      <w:pPr>
        <w:spacing w:after="0"/>
        <w:jc w:val="both"/>
        <w:rPr>
          <w:rFonts w:ascii="Times New Roman" w:hAnsi="Times New Roman" w:cs="Times New Roman"/>
          <w:b/>
          <w:bCs/>
          <w:sz w:val="22"/>
          <w:szCs w:val="22"/>
          <w:lang w:val="x-none"/>
        </w:rPr>
      </w:pPr>
      <w:r w:rsidRPr="009B2AD4">
        <w:rPr>
          <w:rFonts w:ascii="Times New Roman" w:hAnsi="Times New Roman" w:cs="Times New Roman"/>
          <w:b/>
          <w:bCs/>
          <w:sz w:val="22"/>
          <w:szCs w:val="22"/>
          <w:lang w:val="en-US"/>
        </w:rPr>
        <w:t xml:space="preserve">Table </w:t>
      </w:r>
      <w:r w:rsidR="00826FDC">
        <w:rPr>
          <w:rFonts w:ascii="Times New Roman" w:hAnsi="Times New Roman" w:cs="Times New Roman"/>
          <w:b/>
          <w:bCs/>
          <w:sz w:val="22"/>
          <w:szCs w:val="22"/>
          <w:lang w:val="en-US"/>
        </w:rPr>
        <w:t>3</w:t>
      </w:r>
      <w:r w:rsidRPr="009B2AD4">
        <w:rPr>
          <w:rFonts w:ascii="Times New Roman" w:hAnsi="Times New Roman" w:cs="Times New Roman"/>
          <w:b/>
          <w:bCs/>
          <w:sz w:val="22"/>
          <w:szCs w:val="22"/>
          <w:lang w:val="en-US"/>
        </w:rPr>
        <w:t>: Alignment to donor priorities and grant award decisions</w:t>
      </w:r>
    </w:p>
    <w:tbl>
      <w:tblPr>
        <w:tblW w:w="9630" w:type="dxa"/>
        <w:tblLayout w:type="fixed"/>
        <w:tblCellMar>
          <w:left w:w="0" w:type="dxa"/>
          <w:right w:w="0" w:type="dxa"/>
        </w:tblCellMar>
        <w:tblLook w:val="0000" w:firstRow="0" w:lastRow="0" w:firstColumn="0" w:lastColumn="0" w:noHBand="0" w:noVBand="0"/>
      </w:tblPr>
      <w:tblGrid>
        <w:gridCol w:w="540"/>
        <w:gridCol w:w="1170"/>
        <w:gridCol w:w="2070"/>
        <w:gridCol w:w="1800"/>
        <w:gridCol w:w="2070"/>
        <w:gridCol w:w="1980"/>
      </w:tblGrid>
      <w:tr w:rsidR="009B2AD4" w:rsidRPr="009B2AD4" w14:paraId="57B0392D" w14:textId="77777777" w:rsidTr="009B2AD4">
        <w:trPr>
          <w:cantSplit/>
          <w:trHeight w:val="225"/>
        </w:trPr>
        <w:tc>
          <w:tcPr>
            <w:tcW w:w="9630" w:type="dxa"/>
            <w:gridSpan w:val="6"/>
            <w:tcBorders>
              <w:top w:val="nil"/>
              <w:left w:val="nil"/>
              <w:bottom w:val="nil"/>
              <w:right w:val="nil"/>
            </w:tcBorders>
            <w:shd w:val="clear" w:color="auto" w:fill="FFFFFF"/>
            <w:vAlign w:val="center"/>
          </w:tcPr>
          <w:p w14:paraId="60F2A4FC" w14:textId="77777777" w:rsidR="009B2AD4" w:rsidRPr="009B2AD4" w:rsidRDefault="009B2AD4" w:rsidP="009B2AD4">
            <w:pPr>
              <w:spacing w:after="0"/>
              <w:jc w:val="both"/>
              <w:rPr>
                <w:rFonts w:ascii="Times New Roman" w:hAnsi="Times New Roman" w:cs="Times New Roman"/>
                <w:sz w:val="22"/>
                <w:szCs w:val="22"/>
                <w:lang w:val="en-US"/>
              </w:rPr>
            </w:pPr>
          </w:p>
        </w:tc>
      </w:tr>
      <w:tr w:rsidR="009B2AD4" w:rsidRPr="009B2AD4" w14:paraId="71055B20" w14:textId="77777777" w:rsidTr="009B2AD4">
        <w:trPr>
          <w:cantSplit/>
          <w:trHeight w:val="1116"/>
        </w:trPr>
        <w:tc>
          <w:tcPr>
            <w:tcW w:w="1710" w:type="dxa"/>
            <w:gridSpan w:val="2"/>
            <w:tcBorders>
              <w:top w:val="nil"/>
              <w:left w:val="nil"/>
              <w:bottom w:val="single" w:sz="8" w:space="0" w:color="152935"/>
              <w:right w:val="nil"/>
            </w:tcBorders>
            <w:shd w:val="clear" w:color="auto" w:fill="FFFFFF"/>
            <w:vAlign w:val="bottom"/>
          </w:tcPr>
          <w:p w14:paraId="1E8E6730" w14:textId="77777777" w:rsidR="009B2AD4" w:rsidRPr="009B2AD4" w:rsidRDefault="009B2AD4" w:rsidP="009B2AD4">
            <w:pPr>
              <w:spacing w:after="0"/>
              <w:jc w:val="both"/>
              <w:rPr>
                <w:rFonts w:ascii="Times New Roman" w:hAnsi="Times New Roman" w:cs="Times New Roman"/>
                <w:sz w:val="22"/>
                <w:szCs w:val="22"/>
                <w:lang w:val="en-US"/>
              </w:rPr>
            </w:pPr>
          </w:p>
        </w:tc>
        <w:tc>
          <w:tcPr>
            <w:tcW w:w="2070" w:type="dxa"/>
            <w:tcBorders>
              <w:top w:val="nil"/>
              <w:left w:val="nil"/>
              <w:bottom w:val="single" w:sz="8" w:space="0" w:color="152935"/>
              <w:right w:val="single" w:sz="4" w:space="0" w:color="auto"/>
            </w:tcBorders>
            <w:shd w:val="clear" w:color="auto" w:fill="FFFFFF"/>
            <w:vAlign w:val="bottom"/>
          </w:tcPr>
          <w:p w14:paraId="58196F3B"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Proposal funding and alignment with donor priorities</w:t>
            </w:r>
          </w:p>
        </w:tc>
        <w:tc>
          <w:tcPr>
            <w:tcW w:w="1800" w:type="dxa"/>
            <w:tcBorders>
              <w:top w:val="nil"/>
              <w:left w:val="single" w:sz="4" w:space="0" w:color="auto"/>
              <w:bottom w:val="single" w:sz="8" w:space="0" w:color="152935"/>
              <w:right w:val="single" w:sz="4" w:space="0" w:color="auto"/>
            </w:tcBorders>
            <w:shd w:val="clear" w:color="auto" w:fill="FFFFFF"/>
            <w:vAlign w:val="bottom"/>
          </w:tcPr>
          <w:p w14:paraId="62CD1F9F"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 xml:space="preserve">Alignment with donor priorities and grant ward decision </w:t>
            </w:r>
          </w:p>
        </w:tc>
        <w:tc>
          <w:tcPr>
            <w:tcW w:w="2070" w:type="dxa"/>
            <w:tcBorders>
              <w:top w:val="nil"/>
              <w:left w:val="single" w:sz="4" w:space="0" w:color="auto"/>
              <w:bottom w:val="single" w:sz="8" w:space="0" w:color="152935"/>
              <w:right w:val="single" w:sz="4" w:space="0" w:color="auto"/>
            </w:tcBorders>
            <w:shd w:val="clear" w:color="auto" w:fill="FFFFFF"/>
            <w:vAlign w:val="bottom"/>
          </w:tcPr>
          <w:p w14:paraId="7242F3E5"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Justification of custom activities and grant award decision</w:t>
            </w:r>
          </w:p>
        </w:tc>
        <w:tc>
          <w:tcPr>
            <w:tcW w:w="1980" w:type="dxa"/>
            <w:tcBorders>
              <w:top w:val="nil"/>
              <w:left w:val="single" w:sz="4" w:space="0" w:color="auto"/>
              <w:bottom w:val="single" w:sz="8" w:space="0" w:color="152935"/>
              <w:right w:val="nil"/>
            </w:tcBorders>
            <w:shd w:val="clear" w:color="auto" w:fill="FFFFFF"/>
            <w:vAlign w:val="bottom"/>
          </w:tcPr>
          <w:p w14:paraId="0D938FEE"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Adherence to donor terms of reference and grant ward decision</w:t>
            </w:r>
          </w:p>
        </w:tc>
      </w:tr>
      <w:tr w:rsidR="009B2AD4" w:rsidRPr="009B2AD4" w14:paraId="231B2749" w14:textId="77777777" w:rsidTr="009B2AD4">
        <w:trPr>
          <w:cantSplit/>
        </w:trPr>
        <w:tc>
          <w:tcPr>
            <w:tcW w:w="540" w:type="dxa"/>
            <w:vMerge w:val="restart"/>
            <w:tcBorders>
              <w:top w:val="single" w:sz="8" w:space="0" w:color="152935"/>
              <w:left w:val="nil"/>
              <w:bottom w:val="single" w:sz="8" w:space="0" w:color="AEAEAE"/>
              <w:right w:val="nil"/>
            </w:tcBorders>
          </w:tcPr>
          <w:p w14:paraId="7585C745"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N</w:t>
            </w:r>
          </w:p>
        </w:tc>
        <w:tc>
          <w:tcPr>
            <w:tcW w:w="1170" w:type="dxa"/>
            <w:tcBorders>
              <w:top w:val="single" w:sz="8" w:space="0" w:color="152935"/>
              <w:left w:val="nil"/>
              <w:bottom w:val="single" w:sz="8" w:space="0" w:color="AEAEAE"/>
              <w:right w:val="nil"/>
            </w:tcBorders>
          </w:tcPr>
          <w:p w14:paraId="283A8A98"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Valid</w:t>
            </w:r>
          </w:p>
        </w:tc>
        <w:tc>
          <w:tcPr>
            <w:tcW w:w="2070" w:type="dxa"/>
            <w:tcBorders>
              <w:top w:val="single" w:sz="8" w:space="0" w:color="152935"/>
              <w:left w:val="nil"/>
              <w:bottom w:val="single" w:sz="8" w:space="0" w:color="AEAEAE"/>
              <w:right w:val="single" w:sz="4" w:space="0" w:color="auto"/>
            </w:tcBorders>
            <w:shd w:val="clear" w:color="auto" w:fill="F9F9FB"/>
          </w:tcPr>
          <w:p w14:paraId="68E3ABAE"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15</w:t>
            </w:r>
          </w:p>
        </w:tc>
        <w:tc>
          <w:tcPr>
            <w:tcW w:w="1800" w:type="dxa"/>
            <w:tcBorders>
              <w:top w:val="single" w:sz="8" w:space="0" w:color="152935"/>
              <w:left w:val="single" w:sz="4" w:space="0" w:color="auto"/>
              <w:bottom w:val="single" w:sz="8" w:space="0" w:color="AEAEAE"/>
              <w:right w:val="single" w:sz="4" w:space="0" w:color="auto"/>
            </w:tcBorders>
            <w:shd w:val="clear" w:color="auto" w:fill="F9F9FB"/>
          </w:tcPr>
          <w:p w14:paraId="013E107A"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15</w:t>
            </w:r>
          </w:p>
        </w:tc>
        <w:tc>
          <w:tcPr>
            <w:tcW w:w="2070" w:type="dxa"/>
            <w:tcBorders>
              <w:top w:val="single" w:sz="8" w:space="0" w:color="152935"/>
              <w:left w:val="single" w:sz="4" w:space="0" w:color="auto"/>
              <w:bottom w:val="single" w:sz="8" w:space="0" w:color="AEAEAE"/>
              <w:right w:val="single" w:sz="4" w:space="0" w:color="auto"/>
            </w:tcBorders>
            <w:shd w:val="clear" w:color="auto" w:fill="F9F9FB"/>
          </w:tcPr>
          <w:p w14:paraId="450AB8C4"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15</w:t>
            </w:r>
          </w:p>
        </w:tc>
        <w:tc>
          <w:tcPr>
            <w:tcW w:w="1980" w:type="dxa"/>
            <w:tcBorders>
              <w:top w:val="single" w:sz="8" w:space="0" w:color="152935"/>
              <w:left w:val="single" w:sz="4" w:space="0" w:color="auto"/>
              <w:bottom w:val="single" w:sz="8" w:space="0" w:color="AEAEAE"/>
              <w:right w:val="nil"/>
            </w:tcBorders>
            <w:shd w:val="clear" w:color="auto" w:fill="F9F9FB"/>
          </w:tcPr>
          <w:p w14:paraId="475F03A2"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15</w:t>
            </w:r>
          </w:p>
        </w:tc>
      </w:tr>
      <w:tr w:rsidR="009B2AD4" w:rsidRPr="009B2AD4" w14:paraId="1C754FA4" w14:textId="77777777" w:rsidTr="009B2AD4">
        <w:trPr>
          <w:cantSplit/>
        </w:trPr>
        <w:tc>
          <w:tcPr>
            <w:tcW w:w="540" w:type="dxa"/>
            <w:vMerge/>
            <w:tcBorders>
              <w:top w:val="single" w:sz="8" w:space="0" w:color="152935"/>
              <w:left w:val="nil"/>
              <w:bottom w:val="single" w:sz="8" w:space="0" w:color="AEAEAE"/>
              <w:right w:val="nil"/>
            </w:tcBorders>
          </w:tcPr>
          <w:p w14:paraId="63BECF4B" w14:textId="77777777" w:rsidR="009B2AD4" w:rsidRPr="009B2AD4" w:rsidRDefault="009B2AD4" w:rsidP="009B2AD4">
            <w:pPr>
              <w:spacing w:after="0"/>
              <w:jc w:val="both"/>
              <w:rPr>
                <w:rFonts w:ascii="Times New Roman" w:hAnsi="Times New Roman" w:cs="Times New Roman"/>
                <w:sz w:val="22"/>
                <w:szCs w:val="22"/>
                <w:lang w:val="en-US"/>
              </w:rPr>
            </w:pPr>
          </w:p>
        </w:tc>
        <w:tc>
          <w:tcPr>
            <w:tcW w:w="1170" w:type="dxa"/>
            <w:tcBorders>
              <w:top w:val="single" w:sz="8" w:space="0" w:color="AEAEAE"/>
              <w:left w:val="nil"/>
              <w:bottom w:val="single" w:sz="8" w:space="0" w:color="AEAEAE"/>
              <w:right w:val="nil"/>
            </w:tcBorders>
          </w:tcPr>
          <w:p w14:paraId="2A235DCB"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Missing</w:t>
            </w:r>
          </w:p>
        </w:tc>
        <w:tc>
          <w:tcPr>
            <w:tcW w:w="2070" w:type="dxa"/>
            <w:tcBorders>
              <w:top w:val="single" w:sz="8" w:space="0" w:color="AEAEAE"/>
              <w:left w:val="nil"/>
              <w:bottom w:val="single" w:sz="8" w:space="0" w:color="AEAEAE"/>
              <w:right w:val="single" w:sz="4" w:space="0" w:color="auto"/>
            </w:tcBorders>
            <w:shd w:val="clear" w:color="auto" w:fill="F9F9FB"/>
          </w:tcPr>
          <w:p w14:paraId="29D1FDA7"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0</w:t>
            </w:r>
          </w:p>
        </w:tc>
        <w:tc>
          <w:tcPr>
            <w:tcW w:w="1800" w:type="dxa"/>
            <w:tcBorders>
              <w:top w:val="single" w:sz="8" w:space="0" w:color="AEAEAE"/>
              <w:left w:val="single" w:sz="4" w:space="0" w:color="auto"/>
              <w:bottom w:val="single" w:sz="8" w:space="0" w:color="AEAEAE"/>
              <w:right w:val="single" w:sz="4" w:space="0" w:color="auto"/>
            </w:tcBorders>
            <w:shd w:val="clear" w:color="auto" w:fill="F9F9FB"/>
          </w:tcPr>
          <w:p w14:paraId="77FCBF63"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0</w:t>
            </w:r>
          </w:p>
        </w:tc>
        <w:tc>
          <w:tcPr>
            <w:tcW w:w="2070" w:type="dxa"/>
            <w:tcBorders>
              <w:top w:val="single" w:sz="8" w:space="0" w:color="AEAEAE"/>
              <w:left w:val="single" w:sz="4" w:space="0" w:color="auto"/>
              <w:bottom w:val="single" w:sz="8" w:space="0" w:color="AEAEAE"/>
              <w:right w:val="single" w:sz="4" w:space="0" w:color="auto"/>
            </w:tcBorders>
            <w:shd w:val="clear" w:color="auto" w:fill="F9F9FB"/>
          </w:tcPr>
          <w:p w14:paraId="3647435C"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0</w:t>
            </w:r>
          </w:p>
        </w:tc>
        <w:tc>
          <w:tcPr>
            <w:tcW w:w="1980" w:type="dxa"/>
            <w:tcBorders>
              <w:top w:val="single" w:sz="8" w:space="0" w:color="AEAEAE"/>
              <w:left w:val="single" w:sz="4" w:space="0" w:color="auto"/>
              <w:bottom w:val="single" w:sz="8" w:space="0" w:color="AEAEAE"/>
              <w:right w:val="nil"/>
            </w:tcBorders>
            <w:shd w:val="clear" w:color="auto" w:fill="F9F9FB"/>
          </w:tcPr>
          <w:p w14:paraId="66EFE6C7"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0</w:t>
            </w:r>
          </w:p>
        </w:tc>
      </w:tr>
      <w:tr w:rsidR="009B2AD4" w:rsidRPr="009B2AD4" w14:paraId="7A6EC1F7" w14:textId="77777777" w:rsidTr="009B2AD4">
        <w:trPr>
          <w:cantSplit/>
        </w:trPr>
        <w:tc>
          <w:tcPr>
            <w:tcW w:w="1710" w:type="dxa"/>
            <w:gridSpan w:val="2"/>
            <w:tcBorders>
              <w:top w:val="single" w:sz="8" w:space="0" w:color="AEAEAE"/>
              <w:left w:val="nil"/>
              <w:bottom w:val="single" w:sz="8" w:space="0" w:color="AEAEAE"/>
              <w:right w:val="nil"/>
            </w:tcBorders>
          </w:tcPr>
          <w:p w14:paraId="5B7CF6E8"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Mean</w:t>
            </w:r>
          </w:p>
        </w:tc>
        <w:tc>
          <w:tcPr>
            <w:tcW w:w="2070" w:type="dxa"/>
            <w:tcBorders>
              <w:top w:val="single" w:sz="8" w:space="0" w:color="AEAEAE"/>
              <w:left w:val="nil"/>
              <w:bottom w:val="single" w:sz="8" w:space="0" w:color="AEAEAE"/>
              <w:right w:val="single" w:sz="4" w:space="0" w:color="auto"/>
            </w:tcBorders>
            <w:shd w:val="clear" w:color="auto" w:fill="F9F9FB"/>
          </w:tcPr>
          <w:p w14:paraId="64190230"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4.53</w:t>
            </w:r>
          </w:p>
        </w:tc>
        <w:tc>
          <w:tcPr>
            <w:tcW w:w="1800" w:type="dxa"/>
            <w:tcBorders>
              <w:top w:val="single" w:sz="8" w:space="0" w:color="AEAEAE"/>
              <w:left w:val="single" w:sz="4" w:space="0" w:color="auto"/>
              <w:bottom w:val="single" w:sz="8" w:space="0" w:color="AEAEAE"/>
              <w:right w:val="single" w:sz="4" w:space="0" w:color="auto"/>
            </w:tcBorders>
            <w:shd w:val="clear" w:color="auto" w:fill="F9F9FB"/>
          </w:tcPr>
          <w:p w14:paraId="2E75D876"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4.07</w:t>
            </w:r>
          </w:p>
        </w:tc>
        <w:tc>
          <w:tcPr>
            <w:tcW w:w="2070" w:type="dxa"/>
            <w:tcBorders>
              <w:top w:val="single" w:sz="8" w:space="0" w:color="AEAEAE"/>
              <w:left w:val="single" w:sz="4" w:space="0" w:color="auto"/>
              <w:bottom w:val="single" w:sz="8" w:space="0" w:color="AEAEAE"/>
              <w:right w:val="single" w:sz="4" w:space="0" w:color="auto"/>
            </w:tcBorders>
            <w:shd w:val="clear" w:color="auto" w:fill="F9F9FB"/>
          </w:tcPr>
          <w:p w14:paraId="79FDE55B"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3.07</w:t>
            </w:r>
          </w:p>
        </w:tc>
        <w:tc>
          <w:tcPr>
            <w:tcW w:w="1980" w:type="dxa"/>
            <w:tcBorders>
              <w:top w:val="single" w:sz="8" w:space="0" w:color="AEAEAE"/>
              <w:left w:val="single" w:sz="4" w:space="0" w:color="auto"/>
              <w:bottom w:val="single" w:sz="8" w:space="0" w:color="AEAEAE"/>
              <w:right w:val="nil"/>
            </w:tcBorders>
            <w:shd w:val="clear" w:color="auto" w:fill="F9F9FB"/>
          </w:tcPr>
          <w:p w14:paraId="1C54C0A2"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2.20</w:t>
            </w:r>
          </w:p>
        </w:tc>
      </w:tr>
      <w:tr w:rsidR="009B2AD4" w:rsidRPr="009B2AD4" w14:paraId="5FF00A34" w14:textId="77777777" w:rsidTr="009B2AD4">
        <w:trPr>
          <w:cantSplit/>
          <w:trHeight w:val="610"/>
        </w:trPr>
        <w:tc>
          <w:tcPr>
            <w:tcW w:w="1710" w:type="dxa"/>
            <w:gridSpan w:val="2"/>
            <w:tcBorders>
              <w:top w:val="single" w:sz="8" w:space="0" w:color="AEAEAE"/>
              <w:left w:val="nil"/>
              <w:bottom w:val="single" w:sz="8" w:space="0" w:color="AEAEAE"/>
              <w:right w:val="nil"/>
            </w:tcBorders>
          </w:tcPr>
          <w:p w14:paraId="06142D00"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Std. Error of Mean</w:t>
            </w:r>
          </w:p>
        </w:tc>
        <w:tc>
          <w:tcPr>
            <w:tcW w:w="2070" w:type="dxa"/>
            <w:tcBorders>
              <w:top w:val="single" w:sz="8" w:space="0" w:color="AEAEAE"/>
              <w:left w:val="nil"/>
              <w:bottom w:val="single" w:sz="8" w:space="0" w:color="AEAEAE"/>
              <w:right w:val="single" w:sz="4" w:space="0" w:color="auto"/>
            </w:tcBorders>
            <w:shd w:val="clear" w:color="auto" w:fill="F9F9FB"/>
          </w:tcPr>
          <w:p w14:paraId="4F0F0DAD"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.133</w:t>
            </w:r>
          </w:p>
        </w:tc>
        <w:tc>
          <w:tcPr>
            <w:tcW w:w="1800" w:type="dxa"/>
            <w:tcBorders>
              <w:top w:val="single" w:sz="8" w:space="0" w:color="AEAEAE"/>
              <w:left w:val="single" w:sz="4" w:space="0" w:color="auto"/>
              <w:bottom w:val="single" w:sz="8" w:space="0" w:color="AEAEAE"/>
              <w:right w:val="single" w:sz="4" w:space="0" w:color="auto"/>
            </w:tcBorders>
            <w:shd w:val="clear" w:color="auto" w:fill="F9F9FB"/>
          </w:tcPr>
          <w:p w14:paraId="0F8C73ED"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.153</w:t>
            </w:r>
          </w:p>
        </w:tc>
        <w:tc>
          <w:tcPr>
            <w:tcW w:w="2070" w:type="dxa"/>
            <w:tcBorders>
              <w:top w:val="single" w:sz="8" w:space="0" w:color="AEAEAE"/>
              <w:left w:val="single" w:sz="4" w:space="0" w:color="auto"/>
              <w:bottom w:val="single" w:sz="8" w:space="0" w:color="AEAEAE"/>
              <w:right w:val="single" w:sz="4" w:space="0" w:color="auto"/>
            </w:tcBorders>
            <w:shd w:val="clear" w:color="auto" w:fill="F9F9FB"/>
          </w:tcPr>
          <w:p w14:paraId="1A4808EB"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.300</w:t>
            </w:r>
          </w:p>
        </w:tc>
        <w:tc>
          <w:tcPr>
            <w:tcW w:w="1980" w:type="dxa"/>
            <w:tcBorders>
              <w:top w:val="single" w:sz="8" w:space="0" w:color="AEAEAE"/>
              <w:left w:val="single" w:sz="4" w:space="0" w:color="auto"/>
              <w:bottom w:val="single" w:sz="8" w:space="0" w:color="AEAEAE"/>
              <w:right w:val="nil"/>
            </w:tcBorders>
            <w:shd w:val="clear" w:color="auto" w:fill="F9F9FB"/>
          </w:tcPr>
          <w:p w14:paraId="588ACD3A"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.223</w:t>
            </w:r>
          </w:p>
        </w:tc>
      </w:tr>
      <w:tr w:rsidR="009B2AD4" w:rsidRPr="009B2AD4" w14:paraId="27BF3F59" w14:textId="77777777" w:rsidTr="009B2AD4">
        <w:trPr>
          <w:cantSplit/>
        </w:trPr>
        <w:tc>
          <w:tcPr>
            <w:tcW w:w="1710" w:type="dxa"/>
            <w:gridSpan w:val="2"/>
            <w:tcBorders>
              <w:top w:val="single" w:sz="8" w:space="0" w:color="AEAEAE"/>
              <w:left w:val="nil"/>
              <w:bottom w:val="single" w:sz="8" w:space="0" w:color="AEAEAE"/>
              <w:right w:val="nil"/>
            </w:tcBorders>
          </w:tcPr>
          <w:p w14:paraId="16C44875"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Std. Deviation</w:t>
            </w:r>
          </w:p>
        </w:tc>
        <w:tc>
          <w:tcPr>
            <w:tcW w:w="2070" w:type="dxa"/>
            <w:tcBorders>
              <w:top w:val="single" w:sz="8" w:space="0" w:color="AEAEAE"/>
              <w:left w:val="nil"/>
              <w:bottom w:val="single" w:sz="8" w:space="0" w:color="AEAEAE"/>
              <w:right w:val="single" w:sz="4" w:space="0" w:color="auto"/>
            </w:tcBorders>
            <w:shd w:val="clear" w:color="auto" w:fill="F9F9FB"/>
          </w:tcPr>
          <w:p w14:paraId="031C62A3"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.516</w:t>
            </w:r>
          </w:p>
        </w:tc>
        <w:tc>
          <w:tcPr>
            <w:tcW w:w="1800" w:type="dxa"/>
            <w:tcBorders>
              <w:top w:val="single" w:sz="8" w:space="0" w:color="AEAEAE"/>
              <w:left w:val="single" w:sz="4" w:space="0" w:color="auto"/>
              <w:bottom w:val="single" w:sz="8" w:space="0" w:color="AEAEAE"/>
              <w:right w:val="single" w:sz="4" w:space="0" w:color="auto"/>
            </w:tcBorders>
            <w:shd w:val="clear" w:color="auto" w:fill="F9F9FB"/>
          </w:tcPr>
          <w:p w14:paraId="7300A82E"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.594</w:t>
            </w:r>
          </w:p>
        </w:tc>
        <w:tc>
          <w:tcPr>
            <w:tcW w:w="2070" w:type="dxa"/>
            <w:tcBorders>
              <w:top w:val="single" w:sz="8" w:space="0" w:color="AEAEAE"/>
              <w:left w:val="single" w:sz="4" w:space="0" w:color="auto"/>
              <w:bottom w:val="single" w:sz="8" w:space="0" w:color="AEAEAE"/>
              <w:right w:val="single" w:sz="4" w:space="0" w:color="auto"/>
            </w:tcBorders>
            <w:shd w:val="clear" w:color="auto" w:fill="F9F9FB"/>
          </w:tcPr>
          <w:p w14:paraId="7B40E9EA"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1.163</w:t>
            </w:r>
          </w:p>
        </w:tc>
        <w:tc>
          <w:tcPr>
            <w:tcW w:w="1980" w:type="dxa"/>
            <w:tcBorders>
              <w:top w:val="single" w:sz="8" w:space="0" w:color="AEAEAE"/>
              <w:left w:val="single" w:sz="4" w:space="0" w:color="auto"/>
              <w:bottom w:val="single" w:sz="8" w:space="0" w:color="AEAEAE"/>
              <w:right w:val="nil"/>
            </w:tcBorders>
            <w:shd w:val="clear" w:color="auto" w:fill="F9F9FB"/>
          </w:tcPr>
          <w:p w14:paraId="045ABADC"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.862</w:t>
            </w:r>
          </w:p>
        </w:tc>
      </w:tr>
      <w:tr w:rsidR="009B2AD4" w:rsidRPr="009B2AD4" w14:paraId="20C8BB6D" w14:textId="77777777" w:rsidTr="009B2AD4">
        <w:trPr>
          <w:cantSplit/>
        </w:trPr>
        <w:tc>
          <w:tcPr>
            <w:tcW w:w="1710" w:type="dxa"/>
            <w:gridSpan w:val="2"/>
            <w:tcBorders>
              <w:top w:val="single" w:sz="8" w:space="0" w:color="AEAEAE"/>
              <w:left w:val="nil"/>
              <w:bottom w:val="single" w:sz="8" w:space="0" w:color="AEAEAE"/>
              <w:right w:val="nil"/>
            </w:tcBorders>
          </w:tcPr>
          <w:p w14:paraId="6EEE005D"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Variance</w:t>
            </w:r>
          </w:p>
        </w:tc>
        <w:tc>
          <w:tcPr>
            <w:tcW w:w="2070" w:type="dxa"/>
            <w:tcBorders>
              <w:top w:val="single" w:sz="8" w:space="0" w:color="AEAEAE"/>
              <w:left w:val="nil"/>
              <w:bottom w:val="single" w:sz="8" w:space="0" w:color="AEAEAE"/>
              <w:right w:val="single" w:sz="4" w:space="0" w:color="auto"/>
            </w:tcBorders>
            <w:shd w:val="clear" w:color="auto" w:fill="F9F9FB"/>
          </w:tcPr>
          <w:p w14:paraId="3B90D11E"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.267</w:t>
            </w:r>
          </w:p>
        </w:tc>
        <w:tc>
          <w:tcPr>
            <w:tcW w:w="1800" w:type="dxa"/>
            <w:tcBorders>
              <w:top w:val="single" w:sz="8" w:space="0" w:color="AEAEAE"/>
              <w:left w:val="single" w:sz="4" w:space="0" w:color="auto"/>
              <w:bottom w:val="single" w:sz="8" w:space="0" w:color="AEAEAE"/>
              <w:right w:val="single" w:sz="4" w:space="0" w:color="auto"/>
            </w:tcBorders>
            <w:shd w:val="clear" w:color="auto" w:fill="F9F9FB"/>
          </w:tcPr>
          <w:p w14:paraId="3DB343F1"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.352</w:t>
            </w:r>
          </w:p>
        </w:tc>
        <w:tc>
          <w:tcPr>
            <w:tcW w:w="2070" w:type="dxa"/>
            <w:tcBorders>
              <w:top w:val="single" w:sz="8" w:space="0" w:color="AEAEAE"/>
              <w:left w:val="single" w:sz="4" w:space="0" w:color="auto"/>
              <w:bottom w:val="single" w:sz="8" w:space="0" w:color="AEAEAE"/>
              <w:right w:val="single" w:sz="4" w:space="0" w:color="auto"/>
            </w:tcBorders>
            <w:shd w:val="clear" w:color="auto" w:fill="F9F9FB"/>
          </w:tcPr>
          <w:p w14:paraId="21423870"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1.352</w:t>
            </w:r>
          </w:p>
        </w:tc>
        <w:tc>
          <w:tcPr>
            <w:tcW w:w="1980" w:type="dxa"/>
            <w:tcBorders>
              <w:top w:val="single" w:sz="8" w:space="0" w:color="AEAEAE"/>
              <w:left w:val="single" w:sz="4" w:space="0" w:color="auto"/>
              <w:bottom w:val="single" w:sz="8" w:space="0" w:color="AEAEAE"/>
              <w:right w:val="nil"/>
            </w:tcBorders>
            <w:shd w:val="clear" w:color="auto" w:fill="F9F9FB"/>
          </w:tcPr>
          <w:p w14:paraId="047BE9E5"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.743</w:t>
            </w:r>
          </w:p>
        </w:tc>
      </w:tr>
      <w:tr w:rsidR="009B2AD4" w:rsidRPr="009B2AD4" w14:paraId="45536E8D" w14:textId="77777777" w:rsidTr="009B2AD4">
        <w:trPr>
          <w:cantSplit/>
        </w:trPr>
        <w:tc>
          <w:tcPr>
            <w:tcW w:w="1710" w:type="dxa"/>
            <w:gridSpan w:val="2"/>
            <w:tcBorders>
              <w:top w:val="single" w:sz="8" w:space="0" w:color="AEAEAE"/>
              <w:left w:val="nil"/>
              <w:bottom w:val="single" w:sz="8" w:space="0" w:color="152935"/>
              <w:right w:val="nil"/>
            </w:tcBorders>
          </w:tcPr>
          <w:p w14:paraId="4FCB1824"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Sum</w:t>
            </w:r>
          </w:p>
        </w:tc>
        <w:tc>
          <w:tcPr>
            <w:tcW w:w="2070" w:type="dxa"/>
            <w:tcBorders>
              <w:top w:val="single" w:sz="8" w:space="0" w:color="AEAEAE"/>
              <w:left w:val="nil"/>
              <w:bottom w:val="single" w:sz="8" w:space="0" w:color="152935"/>
              <w:right w:val="single" w:sz="4" w:space="0" w:color="auto"/>
            </w:tcBorders>
            <w:shd w:val="clear" w:color="auto" w:fill="F9F9FB"/>
          </w:tcPr>
          <w:p w14:paraId="3D6A0B39"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68</w:t>
            </w:r>
          </w:p>
        </w:tc>
        <w:tc>
          <w:tcPr>
            <w:tcW w:w="1800" w:type="dxa"/>
            <w:tcBorders>
              <w:top w:val="single" w:sz="8" w:space="0" w:color="AEAEAE"/>
              <w:left w:val="single" w:sz="4" w:space="0" w:color="auto"/>
              <w:bottom w:val="single" w:sz="8" w:space="0" w:color="152935"/>
              <w:right w:val="single" w:sz="4" w:space="0" w:color="auto"/>
            </w:tcBorders>
            <w:shd w:val="clear" w:color="auto" w:fill="F9F9FB"/>
          </w:tcPr>
          <w:p w14:paraId="283D63FF"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61</w:t>
            </w:r>
          </w:p>
        </w:tc>
        <w:tc>
          <w:tcPr>
            <w:tcW w:w="2070" w:type="dxa"/>
            <w:tcBorders>
              <w:top w:val="single" w:sz="8" w:space="0" w:color="AEAEAE"/>
              <w:left w:val="single" w:sz="4" w:space="0" w:color="auto"/>
              <w:bottom w:val="single" w:sz="8" w:space="0" w:color="152935"/>
              <w:right w:val="single" w:sz="4" w:space="0" w:color="auto"/>
            </w:tcBorders>
            <w:shd w:val="clear" w:color="auto" w:fill="F9F9FB"/>
          </w:tcPr>
          <w:p w14:paraId="563202C1"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46</w:t>
            </w:r>
          </w:p>
        </w:tc>
        <w:tc>
          <w:tcPr>
            <w:tcW w:w="1980" w:type="dxa"/>
            <w:tcBorders>
              <w:top w:val="single" w:sz="8" w:space="0" w:color="AEAEAE"/>
              <w:left w:val="single" w:sz="4" w:space="0" w:color="auto"/>
              <w:bottom w:val="single" w:sz="8" w:space="0" w:color="152935"/>
              <w:right w:val="nil"/>
            </w:tcBorders>
            <w:shd w:val="clear" w:color="auto" w:fill="F9F9FB"/>
          </w:tcPr>
          <w:p w14:paraId="57A08D23"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33</w:t>
            </w:r>
          </w:p>
        </w:tc>
      </w:tr>
    </w:tbl>
    <w:p w14:paraId="1AD97F0E" w14:textId="77777777" w:rsidR="00C53139" w:rsidRDefault="00C53139" w:rsidP="009B2AD4">
      <w:pPr>
        <w:spacing w:after="0"/>
        <w:jc w:val="both"/>
        <w:rPr>
          <w:rFonts w:ascii="Times New Roman" w:hAnsi="Times New Roman" w:cs="Times New Roman"/>
          <w:b/>
          <w:bCs/>
          <w:sz w:val="22"/>
          <w:szCs w:val="22"/>
          <w:lang w:val="en-US"/>
        </w:rPr>
      </w:pPr>
      <w:bookmarkStart w:id="7" w:name="_Toc196068106"/>
    </w:p>
    <w:p w14:paraId="24EC01D9" w14:textId="77777777" w:rsidR="009B2AD4" w:rsidRPr="009B2AD4" w:rsidRDefault="009B2AD4" w:rsidP="009B2AD4">
      <w:pPr>
        <w:spacing w:after="0"/>
        <w:jc w:val="both"/>
        <w:rPr>
          <w:rFonts w:ascii="Times New Roman" w:hAnsi="Times New Roman" w:cs="Times New Roman"/>
          <w:b/>
          <w:bCs/>
          <w:sz w:val="22"/>
          <w:szCs w:val="22"/>
          <w:lang w:val="en-US"/>
        </w:rPr>
      </w:pPr>
      <w:r w:rsidRPr="009B2AD4">
        <w:rPr>
          <w:rFonts w:ascii="Times New Roman" w:hAnsi="Times New Roman" w:cs="Times New Roman"/>
          <w:b/>
          <w:bCs/>
          <w:sz w:val="22"/>
          <w:szCs w:val="22"/>
          <w:lang w:val="en-US"/>
        </w:rPr>
        <w:lastRenderedPageBreak/>
        <w:t>Proposal funding and alignment with donor priorities</w:t>
      </w:r>
      <w:bookmarkEnd w:id="7"/>
      <w:r w:rsidRPr="009B2AD4">
        <w:rPr>
          <w:rFonts w:ascii="Times New Roman" w:hAnsi="Times New Roman" w:cs="Times New Roman"/>
          <w:b/>
          <w:bCs/>
          <w:sz w:val="22"/>
          <w:szCs w:val="22"/>
          <w:lang w:val="en-US"/>
        </w:rPr>
        <w:t xml:space="preserve"> </w:t>
      </w:r>
    </w:p>
    <w:p w14:paraId="0D0F996F"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This variable determines whether a proposal can be funded if it doesn’t align with donor priorities as stated in the terms of reference in the call for applications. The views and opinions of the respondents were tallied a</w:t>
      </w:r>
      <w:r w:rsidR="00C53139">
        <w:rPr>
          <w:rFonts w:ascii="Times New Roman" w:hAnsi="Times New Roman" w:cs="Times New Roman"/>
          <w:sz w:val="22"/>
          <w:szCs w:val="22"/>
          <w:lang w:val="en-US"/>
        </w:rPr>
        <w:t xml:space="preserve">nd presented in table </w:t>
      </w:r>
      <w:r w:rsidR="00826FDC">
        <w:rPr>
          <w:rFonts w:ascii="Times New Roman" w:hAnsi="Times New Roman" w:cs="Times New Roman"/>
          <w:sz w:val="22"/>
          <w:szCs w:val="22"/>
          <w:lang w:val="en-US"/>
        </w:rPr>
        <w:t>4</w:t>
      </w:r>
      <w:r w:rsidR="00C53139">
        <w:rPr>
          <w:rFonts w:ascii="Times New Roman" w:hAnsi="Times New Roman" w:cs="Times New Roman"/>
          <w:sz w:val="22"/>
          <w:szCs w:val="22"/>
          <w:lang w:val="en-US"/>
        </w:rPr>
        <w:t xml:space="preserve"> below.</w:t>
      </w:r>
    </w:p>
    <w:p w14:paraId="2A7DE243" w14:textId="77777777" w:rsidR="009B2AD4" w:rsidRPr="009B2AD4" w:rsidRDefault="009B2AD4" w:rsidP="009B2AD4">
      <w:pPr>
        <w:spacing w:after="0"/>
        <w:jc w:val="both"/>
        <w:rPr>
          <w:rFonts w:ascii="Times New Roman" w:hAnsi="Times New Roman" w:cs="Times New Roman"/>
          <w:b/>
          <w:bCs/>
          <w:sz w:val="22"/>
          <w:szCs w:val="22"/>
          <w:lang w:val="en-US"/>
        </w:rPr>
      </w:pPr>
      <w:r w:rsidRPr="009B2AD4">
        <w:rPr>
          <w:rFonts w:ascii="Times New Roman" w:hAnsi="Times New Roman" w:cs="Times New Roman"/>
          <w:b/>
          <w:bCs/>
          <w:sz w:val="22"/>
          <w:szCs w:val="22"/>
          <w:lang w:val="en-US"/>
        </w:rPr>
        <w:t>Table</w:t>
      </w:r>
      <w:r w:rsidR="00826FDC">
        <w:rPr>
          <w:rFonts w:ascii="Times New Roman" w:hAnsi="Times New Roman" w:cs="Times New Roman"/>
          <w:b/>
          <w:bCs/>
          <w:sz w:val="22"/>
          <w:szCs w:val="22"/>
          <w:lang w:val="en-US"/>
        </w:rPr>
        <w:t xml:space="preserve"> 4</w:t>
      </w:r>
      <w:r w:rsidRPr="009B2AD4">
        <w:rPr>
          <w:rFonts w:ascii="Times New Roman" w:hAnsi="Times New Roman" w:cs="Times New Roman"/>
          <w:b/>
          <w:bCs/>
          <w:sz w:val="22"/>
          <w:szCs w:val="22"/>
          <w:lang w:val="en-US"/>
        </w:rPr>
        <w:t>: Proposal funding and alignment with donor priorities</w:t>
      </w:r>
    </w:p>
    <w:tbl>
      <w:tblPr>
        <w:tblW w:w="0" w:type="auto"/>
        <w:tblBorders>
          <w:top w:val="single" w:sz="4" w:space="0" w:color="auto"/>
          <w:bottom w:val="single" w:sz="4" w:space="0" w:color="auto"/>
        </w:tblBorders>
        <w:tblLook w:val="04A0" w:firstRow="1" w:lastRow="0" w:firstColumn="1" w:lastColumn="0" w:noHBand="0" w:noVBand="1"/>
      </w:tblPr>
      <w:tblGrid>
        <w:gridCol w:w="3248"/>
        <w:gridCol w:w="168"/>
        <w:gridCol w:w="2708"/>
        <w:gridCol w:w="2902"/>
      </w:tblGrid>
      <w:tr w:rsidR="009B2AD4" w:rsidRPr="009B2AD4" w14:paraId="7F1992FE" w14:textId="77777777" w:rsidTr="009B2AD4">
        <w:trPr>
          <w:trHeight w:val="539"/>
        </w:trPr>
        <w:tc>
          <w:tcPr>
            <w:tcW w:w="3438" w:type="dxa"/>
            <w:tcBorders>
              <w:top w:val="single" w:sz="4" w:space="0" w:color="auto"/>
              <w:bottom w:val="single" w:sz="4" w:space="0" w:color="auto"/>
            </w:tcBorders>
          </w:tcPr>
          <w:p w14:paraId="3A5DDAE3"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Response</w:t>
            </w:r>
          </w:p>
        </w:tc>
        <w:tc>
          <w:tcPr>
            <w:tcW w:w="3060" w:type="dxa"/>
            <w:gridSpan w:val="2"/>
            <w:tcBorders>
              <w:top w:val="single" w:sz="4" w:space="0" w:color="auto"/>
              <w:bottom w:val="single" w:sz="4" w:space="0" w:color="auto"/>
            </w:tcBorders>
          </w:tcPr>
          <w:p w14:paraId="3DA3194C"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Count</w:t>
            </w:r>
          </w:p>
        </w:tc>
        <w:tc>
          <w:tcPr>
            <w:tcW w:w="3078" w:type="dxa"/>
            <w:tcBorders>
              <w:top w:val="single" w:sz="4" w:space="0" w:color="auto"/>
              <w:bottom w:val="single" w:sz="4" w:space="0" w:color="auto"/>
            </w:tcBorders>
          </w:tcPr>
          <w:p w14:paraId="350E427D"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Percent</w:t>
            </w:r>
          </w:p>
        </w:tc>
      </w:tr>
      <w:tr w:rsidR="009B2AD4" w:rsidRPr="009B2AD4" w14:paraId="003F1267" w14:textId="77777777" w:rsidTr="009B2AD4">
        <w:trPr>
          <w:trHeight w:val="494"/>
        </w:trPr>
        <w:tc>
          <w:tcPr>
            <w:tcW w:w="3618" w:type="dxa"/>
            <w:gridSpan w:val="2"/>
            <w:tcBorders>
              <w:top w:val="single" w:sz="4" w:space="0" w:color="auto"/>
              <w:bottom w:val="nil"/>
            </w:tcBorders>
          </w:tcPr>
          <w:p w14:paraId="13291575"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Strongly disagree</w:t>
            </w:r>
          </w:p>
        </w:tc>
        <w:tc>
          <w:tcPr>
            <w:tcW w:w="2880" w:type="dxa"/>
            <w:tcBorders>
              <w:top w:val="single" w:sz="4" w:space="0" w:color="auto"/>
              <w:bottom w:val="nil"/>
            </w:tcBorders>
          </w:tcPr>
          <w:p w14:paraId="2A28F4A9"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0</w:t>
            </w:r>
          </w:p>
        </w:tc>
        <w:tc>
          <w:tcPr>
            <w:tcW w:w="3078" w:type="dxa"/>
            <w:tcBorders>
              <w:top w:val="single" w:sz="4" w:space="0" w:color="auto"/>
              <w:bottom w:val="nil"/>
            </w:tcBorders>
          </w:tcPr>
          <w:p w14:paraId="003EB1FE"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0.00</w:t>
            </w:r>
          </w:p>
        </w:tc>
      </w:tr>
      <w:tr w:rsidR="009B2AD4" w:rsidRPr="009B2AD4" w14:paraId="6018A0F7" w14:textId="77777777" w:rsidTr="009B2AD4">
        <w:trPr>
          <w:trHeight w:val="494"/>
        </w:trPr>
        <w:tc>
          <w:tcPr>
            <w:tcW w:w="3618" w:type="dxa"/>
            <w:gridSpan w:val="2"/>
            <w:tcBorders>
              <w:top w:val="nil"/>
              <w:bottom w:val="nil"/>
            </w:tcBorders>
          </w:tcPr>
          <w:p w14:paraId="0EB1A495"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Disagree</w:t>
            </w:r>
          </w:p>
        </w:tc>
        <w:tc>
          <w:tcPr>
            <w:tcW w:w="2880" w:type="dxa"/>
            <w:tcBorders>
              <w:top w:val="nil"/>
              <w:bottom w:val="nil"/>
            </w:tcBorders>
          </w:tcPr>
          <w:p w14:paraId="50039B97"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0</w:t>
            </w:r>
          </w:p>
        </w:tc>
        <w:tc>
          <w:tcPr>
            <w:tcW w:w="3078" w:type="dxa"/>
            <w:tcBorders>
              <w:top w:val="nil"/>
              <w:bottom w:val="nil"/>
            </w:tcBorders>
          </w:tcPr>
          <w:p w14:paraId="3574E241"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0.00</w:t>
            </w:r>
          </w:p>
        </w:tc>
      </w:tr>
      <w:tr w:rsidR="009B2AD4" w:rsidRPr="009B2AD4" w14:paraId="1A29C539" w14:textId="77777777" w:rsidTr="009B2AD4">
        <w:trPr>
          <w:trHeight w:val="494"/>
        </w:trPr>
        <w:tc>
          <w:tcPr>
            <w:tcW w:w="3618" w:type="dxa"/>
            <w:gridSpan w:val="2"/>
            <w:tcBorders>
              <w:top w:val="nil"/>
              <w:bottom w:val="nil"/>
            </w:tcBorders>
          </w:tcPr>
          <w:p w14:paraId="2BE41D44"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Neutral</w:t>
            </w:r>
          </w:p>
        </w:tc>
        <w:tc>
          <w:tcPr>
            <w:tcW w:w="2880" w:type="dxa"/>
            <w:tcBorders>
              <w:top w:val="nil"/>
              <w:bottom w:val="nil"/>
            </w:tcBorders>
          </w:tcPr>
          <w:p w14:paraId="69438501"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0</w:t>
            </w:r>
          </w:p>
        </w:tc>
        <w:tc>
          <w:tcPr>
            <w:tcW w:w="3078" w:type="dxa"/>
            <w:tcBorders>
              <w:top w:val="nil"/>
              <w:bottom w:val="nil"/>
            </w:tcBorders>
          </w:tcPr>
          <w:p w14:paraId="5E526641"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0.00</w:t>
            </w:r>
          </w:p>
        </w:tc>
      </w:tr>
      <w:tr w:rsidR="009B2AD4" w:rsidRPr="009B2AD4" w14:paraId="00CAC2DC" w14:textId="77777777" w:rsidTr="009B2AD4">
        <w:trPr>
          <w:trHeight w:val="494"/>
        </w:trPr>
        <w:tc>
          <w:tcPr>
            <w:tcW w:w="3618" w:type="dxa"/>
            <w:gridSpan w:val="2"/>
            <w:tcBorders>
              <w:top w:val="nil"/>
              <w:bottom w:val="single" w:sz="4" w:space="0" w:color="auto"/>
            </w:tcBorders>
          </w:tcPr>
          <w:p w14:paraId="4F7FEDFA"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Agree</w:t>
            </w:r>
          </w:p>
        </w:tc>
        <w:tc>
          <w:tcPr>
            <w:tcW w:w="2880" w:type="dxa"/>
            <w:tcBorders>
              <w:top w:val="nil"/>
              <w:bottom w:val="single" w:sz="4" w:space="0" w:color="auto"/>
            </w:tcBorders>
          </w:tcPr>
          <w:p w14:paraId="79D97A97"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7</w:t>
            </w:r>
          </w:p>
        </w:tc>
        <w:tc>
          <w:tcPr>
            <w:tcW w:w="3078" w:type="dxa"/>
            <w:tcBorders>
              <w:top w:val="nil"/>
              <w:bottom w:val="single" w:sz="4" w:space="0" w:color="auto"/>
            </w:tcBorders>
          </w:tcPr>
          <w:p w14:paraId="2740ECD7"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46.70</w:t>
            </w:r>
          </w:p>
        </w:tc>
      </w:tr>
      <w:tr w:rsidR="009B2AD4" w:rsidRPr="009B2AD4" w14:paraId="72C3D89C" w14:textId="77777777" w:rsidTr="009B2AD4">
        <w:trPr>
          <w:trHeight w:val="494"/>
        </w:trPr>
        <w:tc>
          <w:tcPr>
            <w:tcW w:w="3618" w:type="dxa"/>
            <w:gridSpan w:val="2"/>
            <w:tcBorders>
              <w:top w:val="nil"/>
              <w:bottom w:val="single" w:sz="4" w:space="0" w:color="auto"/>
            </w:tcBorders>
          </w:tcPr>
          <w:p w14:paraId="7DA221B9"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Strongly agree</w:t>
            </w:r>
          </w:p>
        </w:tc>
        <w:tc>
          <w:tcPr>
            <w:tcW w:w="2880" w:type="dxa"/>
            <w:tcBorders>
              <w:top w:val="nil"/>
              <w:bottom w:val="single" w:sz="4" w:space="0" w:color="auto"/>
            </w:tcBorders>
          </w:tcPr>
          <w:p w14:paraId="4FF4B210"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8</w:t>
            </w:r>
          </w:p>
        </w:tc>
        <w:tc>
          <w:tcPr>
            <w:tcW w:w="3078" w:type="dxa"/>
            <w:tcBorders>
              <w:top w:val="nil"/>
              <w:bottom w:val="single" w:sz="4" w:space="0" w:color="auto"/>
            </w:tcBorders>
          </w:tcPr>
          <w:p w14:paraId="795FFEEE"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53.30</w:t>
            </w:r>
          </w:p>
        </w:tc>
      </w:tr>
      <w:tr w:rsidR="009B2AD4" w:rsidRPr="009B2AD4" w14:paraId="27912C56" w14:textId="77777777" w:rsidTr="009B2AD4">
        <w:trPr>
          <w:trHeight w:val="494"/>
        </w:trPr>
        <w:tc>
          <w:tcPr>
            <w:tcW w:w="3618" w:type="dxa"/>
            <w:gridSpan w:val="2"/>
            <w:tcBorders>
              <w:top w:val="single" w:sz="4" w:space="0" w:color="auto"/>
            </w:tcBorders>
          </w:tcPr>
          <w:p w14:paraId="5E59C517"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Total</w:t>
            </w:r>
          </w:p>
        </w:tc>
        <w:tc>
          <w:tcPr>
            <w:tcW w:w="2880" w:type="dxa"/>
            <w:tcBorders>
              <w:top w:val="single" w:sz="4" w:space="0" w:color="auto"/>
            </w:tcBorders>
          </w:tcPr>
          <w:p w14:paraId="34EAFD44"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15</w:t>
            </w:r>
          </w:p>
        </w:tc>
        <w:tc>
          <w:tcPr>
            <w:tcW w:w="3078" w:type="dxa"/>
            <w:tcBorders>
              <w:top w:val="single" w:sz="4" w:space="0" w:color="auto"/>
            </w:tcBorders>
          </w:tcPr>
          <w:p w14:paraId="3602E17C"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100.00</w:t>
            </w:r>
          </w:p>
        </w:tc>
      </w:tr>
    </w:tbl>
    <w:p w14:paraId="394016CE" w14:textId="77777777" w:rsidR="00924C20" w:rsidRDefault="00924C20" w:rsidP="009B2AD4">
      <w:pPr>
        <w:spacing w:after="0"/>
        <w:jc w:val="both"/>
        <w:rPr>
          <w:rFonts w:ascii="Times New Roman" w:hAnsi="Times New Roman" w:cs="Times New Roman"/>
          <w:sz w:val="22"/>
          <w:szCs w:val="22"/>
          <w:lang w:val="en-US"/>
        </w:rPr>
      </w:pPr>
    </w:p>
    <w:p w14:paraId="573A1472" w14:textId="4E33EE0C"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 xml:space="preserve">The study finds that a proposal can hardly be funded if it doesn’t align with donor priorities with 100% of the respondents either agreeing (46.6%) or strongly agreeing (53.3%) to the statement. An analysis of the variable yielded a mean score of 4.53 and standard deviation of 0.516, showing a strong positive correlation between alignment to donor priorities and positive grant ward decisions. This finding strongly agrees with the work of Parks (2018), who finds that NGOs are likely to lose funding and ultimately close if they don’t align to donor priorities. </w:t>
      </w:r>
      <w:proofErr w:type="spellStart"/>
      <w:r w:rsidRPr="009B2AD4">
        <w:rPr>
          <w:rFonts w:ascii="Times New Roman" w:hAnsi="Times New Roman" w:cs="Times New Roman"/>
          <w:sz w:val="22"/>
          <w:szCs w:val="22"/>
          <w:lang w:val="en-US"/>
        </w:rPr>
        <w:t>Moreso</w:t>
      </w:r>
      <w:proofErr w:type="spellEnd"/>
      <w:r w:rsidRPr="009B2AD4">
        <w:rPr>
          <w:rFonts w:ascii="Times New Roman" w:hAnsi="Times New Roman" w:cs="Times New Roman"/>
          <w:sz w:val="22"/>
          <w:szCs w:val="22"/>
          <w:lang w:val="en-US"/>
        </w:rPr>
        <w:t xml:space="preserve">, NGOs that remain will be much more closely aligned with donor priorities and interests. Parks (2018) acknowledges that there is a process of convergence towards donor needs in terms of setting priorities and determining project designs, which results in increasing upward accountability at the expense of the relationship of the NGOs to their constituencies among the poor. However, critical views by other authors like Bernard Kamau (2024) highlight the importance of other factors such as community involvement, government policies, political stability, and resource availability in shaping the success and sustainability of humanitarian projects. Kamau (2024) emphasizes that involving community members and stakeholders allows projects to better address local needs and priorities, ultimately influencing the project outcomes and performance. This view acknowledges the need for upward accountability (accountability to donors), but it strongly argues that alignment to donor priorities should not overwrite other important factors like community involvement, government policies, needs on the ground etc. when designing sustainable projects. </w:t>
      </w:r>
    </w:p>
    <w:p w14:paraId="6A2F5040"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 xml:space="preserve">Early works of authors like Adams (2002) highlight that generally, only those NGOs who can satisfy the donors’ priorities and meet their evaluation criteria will get funds. However, one major challenge facing NGO funding is the fact that donor priorities may shift in an arbitrary manner unrelated to the needs and priorities of the countries or local NGOs. This presents a balancing act to grant writers as they need to carefully review the donor priorities for a call and align their proposals to those priorities stipulated in the call’s terms of reference while maintaining an awareness that donor priorities can shift with time. </w:t>
      </w:r>
    </w:p>
    <w:p w14:paraId="3426843D" w14:textId="77777777" w:rsidR="00C53139" w:rsidRDefault="00C53139" w:rsidP="009B2AD4">
      <w:pPr>
        <w:spacing w:after="0"/>
        <w:jc w:val="both"/>
        <w:rPr>
          <w:rFonts w:ascii="Times New Roman" w:hAnsi="Times New Roman" w:cs="Times New Roman"/>
          <w:b/>
          <w:bCs/>
          <w:sz w:val="22"/>
          <w:szCs w:val="22"/>
          <w:lang w:val="en-US"/>
        </w:rPr>
      </w:pPr>
      <w:bookmarkStart w:id="8" w:name="_Toc196068107"/>
    </w:p>
    <w:p w14:paraId="44ABDB98" w14:textId="77777777" w:rsidR="009B2AD4" w:rsidRPr="009B2AD4" w:rsidRDefault="009B2AD4" w:rsidP="009B2AD4">
      <w:pPr>
        <w:spacing w:after="0"/>
        <w:jc w:val="both"/>
        <w:rPr>
          <w:rFonts w:ascii="Times New Roman" w:hAnsi="Times New Roman" w:cs="Times New Roman"/>
          <w:b/>
          <w:bCs/>
          <w:sz w:val="22"/>
          <w:szCs w:val="22"/>
          <w:lang w:val="en-US"/>
        </w:rPr>
      </w:pPr>
      <w:r w:rsidRPr="009B2AD4">
        <w:rPr>
          <w:rFonts w:ascii="Times New Roman" w:hAnsi="Times New Roman" w:cs="Times New Roman"/>
          <w:b/>
          <w:bCs/>
          <w:sz w:val="22"/>
          <w:szCs w:val="22"/>
          <w:lang w:val="en-US"/>
        </w:rPr>
        <w:t>Alignment with donor priorities and grant ward decision</w:t>
      </w:r>
      <w:bookmarkEnd w:id="8"/>
      <w:r w:rsidRPr="009B2AD4">
        <w:rPr>
          <w:rFonts w:ascii="Times New Roman" w:hAnsi="Times New Roman" w:cs="Times New Roman"/>
          <w:b/>
          <w:bCs/>
          <w:sz w:val="22"/>
          <w:szCs w:val="22"/>
          <w:lang w:val="en-US"/>
        </w:rPr>
        <w:t xml:space="preserve"> </w:t>
      </w:r>
    </w:p>
    <w:p w14:paraId="10144258"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 xml:space="preserve">This variable determines whether all proposals should align with donor priorities as a matter of principle. The respondent views and experiences were recorded and tallied as seen in table </w:t>
      </w:r>
      <w:r w:rsidR="00826FDC">
        <w:rPr>
          <w:rFonts w:ascii="Times New Roman" w:hAnsi="Times New Roman" w:cs="Times New Roman"/>
          <w:sz w:val="22"/>
          <w:szCs w:val="22"/>
          <w:lang w:val="en-US"/>
        </w:rPr>
        <w:t xml:space="preserve">5 </w:t>
      </w:r>
      <w:r w:rsidRPr="009B2AD4">
        <w:rPr>
          <w:rFonts w:ascii="Times New Roman" w:hAnsi="Times New Roman" w:cs="Times New Roman"/>
          <w:sz w:val="22"/>
          <w:szCs w:val="22"/>
          <w:lang w:val="en-US"/>
        </w:rPr>
        <w:t>below.</w:t>
      </w:r>
    </w:p>
    <w:p w14:paraId="7441E190" w14:textId="77777777" w:rsidR="009B2AD4" w:rsidRPr="009B2AD4" w:rsidRDefault="00826FDC" w:rsidP="009B2AD4">
      <w:pPr>
        <w:spacing w:after="0"/>
        <w:jc w:val="both"/>
        <w:rPr>
          <w:rFonts w:ascii="Times New Roman" w:hAnsi="Times New Roman" w:cs="Times New Roman"/>
          <w:b/>
          <w:bCs/>
          <w:sz w:val="22"/>
          <w:szCs w:val="22"/>
          <w:lang w:val="en-US"/>
        </w:rPr>
      </w:pPr>
      <w:r>
        <w:rPr>
          <w:rFonts w:ascii="Times New Roman" w:hAnsi="Times New Roman" w:cs="Times New Roman"/>
          <w:b/>
          <w:bCs/>
          <w:sz w:val="22"/>
          <w:szCs w:val="22"/>
          <w:lang w:val="en-US"/>
        </w:rPr>
        <w:lastRenderedPageBreak/>
        <w:t>Table 5</w:t>
      </w:r>
      <w:r w:rsidR="009B2AD4" w:rsidRPr="009B2AD4">
        <w:rPr>
          <w:rFonts w:ascii="Times New Roman" w:hAnsi="Times New Roman" w:cs="Times New Roman"/>
          <w:b/>
          <w:bCs/>
          <w:sz w:val="22"/>
          <w:szCs w:val="22"/>
          <w:lang w:val="en-US"/>
        </w:rPr>
        <w:t>: Alignment with donor priorities and grant ward decision</w:t>
      </w:r>
    </w:p>
    <w:tbl>
      <w:tblPr>
        <w:tblW w:w="0" w:type="auto"/>
        <w:tblBorders>
          <w:top w:val="single" w:sz="4" w:space="0" w:color="auto"/>
          <w:bottom w:val="single" w:sz="4" w:space="0" w:color="auto"/>
        </w:tblBorders>
        <w:tblLook w:val="04A0" w:firstRow="1" w:lastRow="0" w:firstColumn="1" w:lastColumn="0" w:noHBand="0" w:noVBand="1"/>
      </w:tblPr>
      <w:tblGrid>
        <w:gridCol w:w="3248"/>
        <w:gridCol w:w="168"/>
        <w:gridCol w:w="2603"/>
        <w:gridCol w:w="3007"/>
      </w:tblGrid>
      <w:tr w:rsidR="009B2AD4" w:rsidRPr="009B2AD4" w14:paraId="7C47A5F3" w14:textId="77777777" w:rsidTr="009B2AD4">
        <w:trPr>
          <w:trHeight w:val="539"/>
        </w:trPr>
        <w:tc>
          <w:tcPr>
            <w:tcW w:w="3438" w:type="dxa"/>
            <w:tcBorders>
              <w:top w:val="single" w:sz="4" w:space="0" w:color="auto"/>
              <w:bottom w:val="single" w:sz="4" w:space="0" w:color="auto"/>
            </w:tcBorders>
          </w:tcPr>
          <w:p w14:paraId="1E7748FA"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Response</w:t>
            </w:r>
          </w:p>
        </w:tc>
        <w:tc>
          <w:tcPr>
            <w:tcW w:w="2946" w:type="dxa"/>
            <w:gridSpan w:val="2"/>
            <w:tcBorders>
              <w:top w:val="single" w:sz="4" w:space="0" w:color="auto"/>
              <w:bottom w:val="single" w:sz="4" w:space="0" w:color="auto"/>
            </w:tcBorders>
          </w:tcPr>
          <w:p w14:paraId="61375571"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Count</w:t>
            </w:r>
          </w:p>
        </w:tc>
        <w:tc>
          <w:tcPr>
            <w:tcW w:w="3192" w:type="dxa"/>
            <w:tcBorders>
              <w:top w:val="single" w:sz="4" w:space="0" w:color="auto"/>
              <w:bottom w:val="single" w:sz="4" w:space="0" w:color="auto"/>
            </w:tcBorders>
          </w:tcPr>
          <w:p w14:paraId="22D5B9DA"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Percent</w:t>
            </w:r>
          </w:p>
        </w:tc>
      </w:tr>
      <w:tr w:rsidR="009B2AD4" w:rsidRPr="009B2AD4" w14:paraId="7C882BEF" w14:textId="77777777" w:rsidTr="009B2AD4">
        <w:trPr>
          <w:trHeight w:val="494"/>
        </w:trPr>
        <w:tc>
          <w:tcPr>
            <w:tcW w:w="3618" w:type="dxa"/>
            <w:gridSpan w:val="2"/>
            <w:tcBorders>
              <w:top w:val="single" w:sz="4" w:space="0" w:color="auto"/>
              <w:bottom w:val="nil"/>
            </w:tcBorders>
          </w:tcPr>
          <w:p w14:paraId="63B65F99"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Strongly disagree</w:t>
            </w:r>
          </w:p>
        </w:tc>
        <w:tc>
          <w:tcPr>
            <w:tcW w:w="2766" w:type="dxa"/>
            <w:tcBorders>
              <w:top w:val="single" w:sz="4" w:space="0" w:color="auto"/>
              <w:bottom w:val="nil"/>
            </w:tcBorders>
          </w:tcPr>
          <w:p w14:paraId="667E6864"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0</w:t>
            </w:r>
          </w:p>
        </w:tc>
        <w:tc>
          <w:tcPr>
            <w:tcW w:w="3192" w:type="dxa"/>
            <w:tcBorders>
              <w:top w:val="single" w:sz="4" w:space="0" w:color="auto"/>
              <w:bottom w:val="nil"/>
            </w:tcBorders>
          </w:tcPr>
          <w:p w14:paraId="1A77AF2E"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0.00</w:t>
            </w:r>
          </w:p>
        </w:tc>
      </w:tr>
      <w:tr w:rsidR="009B2AD4" w:rsidRPr="009B2AD4" w14:paraId="55284A93" w14:textId="77777777" w:rsidTr="009B2AD4">
        <w:trPr>
          <w:trHeight w:val="494"/>
        </w:trPr>
        <w:tc>
          <w:tcPr>
            <w:tcW w:w="3618" w:type="dxa"/>
            <w:gridSpan w:val="2"/>
            <w:tcBorders>
              <w:top w:val="nil"/>
              <w:bottom w:val="nil"/>
            </w:tcBorders>
          </w:tcPr>
          <w:p w14:paraId="0F0A60D2"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Disagree</w:t>
            </w:r>
          </w:p>
        </w:tc>
        <w:tc>
          <w:tcPr>
            <w:tcW w:w="2766" w:type="dxa"/>
            <w:tcBorders>
              <w:top w:val="nil"/>
              <w:bottom w:val="nil"/>
            </w:tcBorders>
          </w:tcPr>
          <w:p w14:paraId="1C310878"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0</w:t>
            </w:r>
          </w:p>
        </w:tc>
        <w:tc>
          <w:tcPr>
            <w:tcW w:w="3192" w:type="dxa"/>
            <w:tcBorders>
              <w:top w:val="nil"/>
              <w:bottom w:val="nil"/>
            </w:tcBorders>
          </w:tcPr>
          <w:p w14:paraId="201EB591"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0.00</w:t>
            </w:r>
          </w:p>
        </w:tc>
      </w:tr>
      <w:tr w:rsidR="009B2AD4" w:rsidRPr="009B2AD4" w14:paraId="6B6F67BD" w14:textId="77777777" w:rsidTr="009B2AD4">
        <w:trPr>
          <w:trHeight w:val="494"/>
        </w:trPr>
        <w:tc>
          <w:tcPr>
            <w:tcW w:w="3618" w:type="dxa"/>
            <w:gridSpan w:val="2"/>
            <w:tcBorders>
              <w:top w:val="nil"/>
              <w:bottom w:val="nil"/>
            </w:tcBorders>
          </w:tcPr>
          <w:p w14:paraId="05C1CD83"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Neutral</w:t>
            </w:r>
          </w:p>
        </w:tc>
        <w:tc>
          <w:tcPr>
            <w:tcW w:w="2766" w:type="dxa"/>
            <w:tcBorders>
              <w:top w:val="nil"/>
              <w:bottom w:val="nil"/>
            </w:tcBorders>
          </w:tcPr>
          <w:p w14:paraId="76F5C179"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2</w:t>
            </w:r>
          </w:p>
        </w:tc>
        <w:tc>
          <w:tcPr>
            <w:tcW w:w="3192" w:type="dxa"/>
            <w:tcBorders>
              <w:top w:val="nil"/>
              <w:bottom w:val="nil"/>
            </w:tcBorders>
          </w:tcPr>
          <w:p w14:paraId="4D0C4993"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13.30</w:t>
            </w:r>
          </w:p>
        </w:tc>
      </w:tr>
      <w:tr w:rsidR="009B2AD4" w:rsidRPr="009B2AD4" w14:paraId="4047607A" w14:textId="77777777" w:rsidTr="009B2AD4">
        <w:trPr>
          <w:trHeight w:val="494"/>
        </w:trPr>
        <w:tc>
          <w:tcPr>
            <w:tcW w:w="3618" w:type="dxa"/>
            <w:gridSpan w:val="2"/>
            <w:tcBorders>
              <w:top w:val="nil"/>
              <w:bottom w:val="nil"/>
            </w:tcBorders>
          </w:tcPr>
          <w:p w14:paraId="2BEBA79C"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Agree</w:t>
            </w:r>
          </w:p>
        </w:tc>
        <w:tc>
          <w:tcPr>
            <w:tcW w:w="2766" w:type="dxa"/>
            <w:tcBorders>
              <w:top w:val="nil"/>
              <w:bottom w:val="nil"/>
            </w:tcBorders>
          </w:tcPr>
          <w:p w14:paraId="0A89DF85"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10</w:t>
            </w:r>
          </w:p>
        </w:tc>
        <w:tc>
          <w:tcPr>
            <w:tcW w:w="3192" w:type="dxa"/>
            <w:tcBorders>
              <w:top w:val="nil"/>
              <w:bottom w:val="nil"/>
            </w:tcBorders>
          </w:tcPr>
          <w:p w14:paraId="6650AE9B"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66.70</w:t>
            </w:r>
          </w:p>
        </w:tc>
      </w:tr>
      <w:tr w:rsidR="009B2AD4" w:rsidRPr="009B2AD4" w14:paraId="6857D5AE" w14:textId="77777777" w:rsidTr="009B2AD4">
        <w:trPr>
          <w:trHeight w:val="494"/>
        </w:trPr>
        <w:tc>
          <w:tcPr>
            <w:tcW w:w="3618" w:type="dxa"/>
            <w:gridSpan w:val="2"/>
            <w:tcBorders>
              <w:top w:val="nil"/>
              <w:bottom w:val="single" w:sz="4" w:space="0" w:color="auto"/>
            </w:tcBorders>
          </w:tcPr>
          <w:p w14:paraId="0D4CFEF1"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Strongly agree</w:t>
            </w:r>
          </w:p>
        </w:tc>
        <w:tc>
          <w:tcPr>
            <w:tcW w:w="2766" w:type="dxa"/>
            <w:tcBorders>
              <w:top w:val="nil"/>
              <w:bottom w:val="single" w:sz="4" w:space="0" w:color="auto"/>
            </w:tcBorders>
          </w:tcPr>
          <w:p w14:paraId="5DDD1620"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3</w:t>
            </w:r>
          </w:p>
        </w:tc>
        <w:tc>
          <w:tcPr>
            <w:tcW w:w="3192" w:type="dxa"/>
            <w:tcBorders>
              <w:top w:val="nil"/>
              <w:bottom w:val="single" w:sz="4" w:space="0" w:color="auto"/>
            </w:tcBorders>
          </w:tcPr>
          <w:p w14:paraId="05A6BAC5"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20.00</w:t>
            </w:r>
          </w:p>
        </w:tc>
      </w:tr>
      <w:tr w:rsidR="009B2AD4" w:rsidRPr="009B2AD4" w14:paraId="3EC9F63A" w14:textId="77777777" w:rsidTr="009B2AD4">
        <w:trPr>
          <w:trHeight w:val="494"/>
        </w:trPr>
        <w:tc>
          <w:tcPr>
            <w:tcW w:w="3618" w:type="dxa"/>
            <w:gridSpan w:val="2"/>
            <w:tcBorders>
              <w:top w:val="single" w:sz="4" w:space="0" w:color="auto"/>
            </w:tcBorders>
          </w:tcPr>
          <w:p w14:paraId="0CAD644F"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Total</w:t>
            </w:r>
          </w:p>
        </w:tc>
        <w:tc>
          <w:tcPr>
            <w:tcW w:w="2766" w:type="dxa"/>
            <w:tcBorders>
              <w:top w:val="single" w:sz="4" w:space="0" w:color="auto"/>
            </w:tcBorders>
          </w:tcPr>
          <w:p w14:paraId="72EDD3FB"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15</w:t>
            </w:r>
          </w:p>
        </w:tc>
        <w:tc>
          <w:tcPr>
            <w:tcW w:w="3192" w:type="dxa"/>
            <w:tcBorders>
              <w:top w:val="single" w:sz="4" w:space="0" w:color="auto"/>
            </w:tcBorders>
          </w:tcPr>
          <w:p w14:paraId="28EA479C"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100.00</w:t>
            </w:r>
          </w:p>
        </w:tc>
      </w:tr>
    </w:tbl>
    <w:p w14:paraId="233B8FCB" w14:textId="77777777" w:rsidR="00924C20" w:rsidRDefault="00924C20" w:rsidP="009B2AD4">
      <w:pPr>
        <w:spacing w:after="0"/>
        <w:jc w:val="both"/>
        <w:rPr>
          <w:rFonts w:ascii="Times New Roman" w:hAnsi="Times New Roman" w:cs="Times New Roman"/>
          <w:sz w:val="22"/>
          <w:szCs w:val="22"/>
          <w:lang w:val="en-US"/>
        </w:rPr>
      </w:pPr>
    </w:p>
    <w:p w14:paraId="14253609" w14:textId="6AB7AB82"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 xml:space="preserve">The study finds that 66.7% of respondents agreed with the statement, 20% others strongly agreed while 13.3% of respondents remained neutral to the statement. With the majority of the respondents (86.7%) either agreeing or strongly agreeing to the statement, with a mean score of 4.07 and standard deviation of 0.594 for the variable, the study depicts a strong positive correlation between aligning a grant proposal with donor priorities as a matter of principle and positive grant award decisions by humanitarian donors. Further discussions with the respondents revealed that donors tend to fund proposals that promote their own priorities, both strategic and humanitarian priorities. Therefore, grant writers should embrace the principle of aligning their proposals to the donor priorities to boost their chances of winning a grant award. </w:t>
      </w:r>
    </w:p>
    <w:p w14:paraId="7296C5CB"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 xml:space="preserve">According to Pratt and </w:t>
      </w:r>
      <w:proofErr w:type="spellStart"/>
      <w:r w:rsidRPr="009B2AD4">
        <w:rPr>
          <w:rFonts w:ascii="Times New Roman" w:hAnsi="Times New Roman" w:cs="Times New Roman"/>
          <w:sz w:val="22"/>
          <w:szCs w:val="22"/>
          <w:lang w:val="en-US"/>
        </w:rPr>
        <w:t>Hyder</w:t>
      </w:r>
      <w:proofErr w:type="spellEnd"/>
      <w:r w:rsidRPr="009B2AD4">
        <w:rPr>
          <w:rFonts w:ascii="Times New Roman" w:hAnsi="Times New Roman" w:cs="Times New Roman"/>
          <w:sz w:val="22"/>
          <w:szCs w:val="22"/>
          <w:lang w:val="en-US"/>
        </w:rPr>
        <w:t xml:space="preserve"> (2014), whereas the principle of alignment to donor priorities is upheld in project design processes, it could, however, be pointless if the priority setting process (or development of the national poverty reduction strategy) was not locally-owned. As opposed to alignment to donor priorities, local buy-in can be achieved when states are run by individuals for whom national development, including improved health and equity, is a central objective and these in-country actors and civil society (not donors) drive priority setting processes for development projects. This argument signifies a quintessential political wrangling, namely the wrestling of power from the hands of donors and the subsequent transfer of agency into recipient governments' hands, ultimately representing a shift of power in the aid relationship between humanitarian donors and the local communities.</w:t>
      </w:r>
    </w:p>
    <w:p w14:paraId="1D2EE460" w14:textId="77777777" w:rsidR="00C53139" w:rsidRDefault="00C53139" w:rsidP="009B2AD4">
      <w:pPr>
        <w:spacing w:after="0"/>
        <w:jc w:val="both"/>
        <w:rPr>
          <w:rFonts w:ascii="Times New Roman" w:hAnsi="Times New Roman" w:cs="Times New Roman"/>
          <w:b/>
          <w:bCs/>
          <w:sz w:val="22"/>
          <w:szCs w:val="22"/>
          <w:lang w:val="en-US"/>
        </w:rPr>
      </w:pPr>
      <w:bookmarkStart w:id="9" w:name="_Toc196068108"/>
    </w:p>
    <w:p w14:paraId="2AFBF272" w14:textId="77777777" w:rsidR="009B2AD4" w:rsidRPr="009B2AD4" w:rsidRDefault="009B2AD4" w:rsidP="009B2AD4">
      <w:pPr>
        <w:spacing w:after="0"/>
        <w:jc w:val="both"/>
        <w:rPr>
          <w:rFonts w:ascii="Times New Roman" w:hAnsi="Times New Roman" w:cs="Times New Roman"/>
          <w:b/>
          <w:bCs/>
          <w:sz w:val="22"/>
          <w:szCs w:val="22"/>
          <w:lang w:val="en-US"/>
        </w:rPr>
      </w:pPr>
      <w:r w:rsidRPr="009B2AD4">
        <w:rPr>
          <w:rFonts w:ascii="Times New Roman" w:hAnsi="Times New Roman" w:cs="Times New Roman"/>
          <w:b/>
          <w:bCs/>
          <w:sz w:val="22"/>
          <w:szCs w:val="22"/>
          <w:lang w:val="en-US"/>
        </w:rPr>
        <w:t>Justification of custom activities and grant award decision</w:t>
      </w:r>
      <w:bookmarkEnd w:id="9"/>
      <w:r w:rsidRPr="009B2AD4">
        <w:rPr>
          <w:rFonts w:ascii="Times New Roman" w:hAnsi="Times New Roman" w:cs="Times New Roman"/>
          <w:b/>
          <w:bCs/>
          <w:sz w:val="22"/>
          <w:szCs w:val="22"/>
          <w:lang w:val="en-US"/>
        </w:rPr>
        <w:t xml:space="preserve"> </w:t>
      </w:r>
    </w:p>
    <w:p w14:paraId="1E90C267"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 xml:space="preserve">This variable determines whether a grant writer can justify custom activities (activities not stated in the donor’s call for proposals) in a project design and still win a grant. The views of the study participants are recorded in table </w:t>
      </w:r>
      <w:r w:rsidR="00826FDC">
        <w:rPr>
          <w:rFonts w:ascii="Times New Roman" w:hAnsi="Times New Roman" w:cs="Times New Roman"/>
          <w:sz w:val="22"/>
          <w:szCs w:val="22"/>
          <w:lang w:val="en-US"/>
        </w:rPr>
        <w:t>6</w:t>
      </w:r>
      <w:r w:rsidRPr="009B2AD4">
        <w:rPr>
          <w:rFonts w:ascii="Times New Roman" w:hAnsi="Times New Roman" w:cs="Times New Roman"/>
          <w:sz w:val="22"/>
          <w:szCs w:val="22"/>
          <w:lang w:val="en-US"/>
        </w:rPr>
        <w:t xml:space="preserve"> below.</w:t>
      </w:r>
    </w:p>
    <w:p w14:paraId="327EABBB" w14:textId="77777777" w:rsidR="009B2AD4" w:rsidRPr="009B2AD4" w:rsidRDefault="00826FDC" w:rsidP="009B2AD4">
      <w:pPr>
        <w:spacing w:after="0"/>
        <w:jc w:val="both"/>
        <w:rPr>
          <w:rFonts w:ascii="Times New Roman" w:hAnsi="Times New Roman" w:cs="Times New Roman"/>
          <w:b/>
          <w:bCs/>
          <w:sz w:val="22"/>
          <w:szCs w:val="22"/>
          <w:lang w:val="en-US"/>
        </w:rPr>
      </w:pPr>
      <w:r>
        <w:rPr>
          <w:rFonts w:ascii="Times New Roman" w:hAnsi="Times New Roman" w:cs="Times New Roman"/>
          <w:b/>
          <w:bCs/>
          <w:sz w:val="22"/>
          <w:szCs w:val="22"/>
          <w:lang w:val="en-US"/>
        </w:rPr>
        <w:t>Table 6</w:t>
      </w:r>
      <w:r w:rsidR="009B2AD4" w:rsidRPr="009B2AD4">
        <w:rPr>
          <w:rFonts w:ascii="Times New Roman" w:hAnsi="Times New Roman" w:cs="Times New Roman"/>
          <w:b/>
          <w:bCs/>
          <w:sz w:val="22"/>
          <w:szCs w:val="22"/>
          <w:lang w:val="en-US"/>
        </w:rPr>
        <w:t>: Justification of custom activities and grant ward decision</w:t>
      </w:r>
    </w:p>
    <w:tbl>
      <w:tblPr>
        <w:tblW w:w="0" w:type="auto"/>
        <w:tblBorders>
          <w:top w:val="single" w:sz="4" w:space="0" w:color="auto"/>
          <w:bottom w:val="single" w:sz="4" w:space="0" w:color="auto"/>
        </w:tblBorders>
        <w:tblLook w:val="04A0" w:firstRow="1" w:lastRow="0" w:firstColumn="1" w:lastColumn="0" w:noHBand="0" w:noVBand="1"/>
      </w:tblPr>
      <w:tblGrid>
        <w:gridCol w:w="3248"/>
        <w:gridCol w:w="168"/>
        <w:gridCol w:w="2603"/>
        <w:gridCol w:w="3007"/>
      </w:tblGrid>
      <w:tr w:rsidR="009B2AD4" w:rsidRPr="009B2AD4" w14:paraId="72591BB7" w14:textId="77777777" w:rsidTr="009B2AD4">
        <w:trPr>
          <w:trHeight w:val="539"/>
        </w:trPr>
        <w:tc>
          <w:tcPr>
            <w:tcW w:w="3438" w:type="dxa"/>
            <w:tcBorders>
              <w:top w:val="single" w:sz="4" w:space="0" w:color="auto"/>
              <w:bottom w:val="single" w:sz="4" w:space="0" w:color="auto"/>
            </w:tcBorders>
          </w:tcPr>
          <w:p w14:paraId="408EF542"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Response</w:t>
            </w:r>
          </w:p>
        </w:tc>
        <w:tc>
          <w:tcPr>
            <w:tcW w:w="2946" w:type="dxa"/>
            <w:gridSpan w:val="2"/>
            <w:tcBorders>
              <w:top w:val="single" w:sz="4" w:space="0" w:color="auto"/>
              <w:bottom w:val="single" w:sz="4" w:space="0" w:color="auto"/>
            </w:tcBorders>
          </w:tcPr>
          <w:p w14:paraId="4763B407"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Count</w:t>
            </w:r>
          </w:p>
        </w:tc>
        <w:tc>
          <w:tcPr>
            <w:tcW w:w="3192" w:type="dxa"/>
            <w:tcBorders>
              <w:top w:val="single" w:sz="4" w:space="0" w:color="auto"/>
              <w:bottom w:val="single" w:sz="4" w:space="0" w:color="auto"/>
            </w:tcBorders>
          </w:tcPr>
          <w:p w14:paraId="56FE3C38"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Percent</w:t>
            </w:r>
          </w:p>
        </w:tc>
      </w:tr>
      <w:tr w:rsidR="009B2AD4" w:rsidRPr="009B2AD4" w14:paraId="2283646B" w14:textId="77777777" w:rsidTr="009B2AD4">
        <w:trPr>
          <w:trHeight w:val="494"/>
        </w:trPr>
        <w:tc>
          <w:tcPr>
            <w:tcW w:w="3618" w:type="dxa"/>
            <w:gridSpan w:val="2"/>
            <w:tcBorders>
              <w:top w:val="single" w:sz="4" w:space="0" w:color="auto"/>
              <w:bottom w:val="nil"/>
            </w:tcBorders>
          </w:tcPr>
          <w:p w14:paraId="5F89207B"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Strongly disagree</w:t>
            </w:r>
          </w:p>
        </w:tc>
        <w:tc>
          <w:tcPr>
            <w:tcW w:w="2766" w:type="dxa"/>
            <w:tcBorders>
              <w:top w:val="single" w:sz="4" w:space="0" w:color="auto"/>
              <w:bottom w:val="nil"/>
            </w:tcBorders>
          </w:tcPr>
          <w:p w14:paraId="2AB00931"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2</w:t>
            </w:r>
          </w:p>
        </w:tc>
        <w:tc>
          <w:tcPr>
            <w:tcW w:w="3192" w:type="dxa"/>
            <w:tcBorders>
              <w:top w:val="single" w:sz="4" w:space="0" w:color="auto"/>
              <w:bottom w:val="nil"/>
            </w:tcBorders>
          </w:tcPr>
          <w:p w14:paraId="3E5D75F7"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13.30</w:t>
            </w:r>
          </w:p>
        </w:tc>
      </w:tr>
      <w:tr w:rsidR="009B2AD4" w:rsidRPr="009B2AD4" w14:paraId="78E2E0D2" w14:textId="77777777" w:rsidTr="009B2AD4">
        <w:trPr>
          <w:trHeight w:val="494"/>
        </w:trPr>
        <w:tc>
          <w:tcPr>
            <w:tcW w:w="3618" w:type="dxa"/>
            <w:gridSpan w:val="2"/>
            <w:tcBorders>
              <w:top w:val="nil"/>
              <w:bottom w:val="nil"/>
            </w:tcBorders>
          </w:tcPr>
          <w:p w14:paraId="25B00EA0"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Disagree</w:t>
            </w:r>
          </w:p>
        </w:tc>
        <w:tc>
          <w:tcPr>
            <w:tcW w:w="2766" w:type="dxa"/>
            <w:tcBorders>
              <w:top w:val="nil"/>
              <w:bottom w:val="nil"/>
            </w:tcBorders>
          </w:tcPr>
          <w:p w14:paraId="6E2DDAFA"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3</w:t>
            </w:r>
          </w:p>
        </w:tc>
        <w:tc>
          <w:tcPr>
            <w:tcW w:w="3192" w:type="dxa"/>
            <w:tcBorders>
              <w:top w:val="nil"/>
              <w:bottom w:val="nil"/>
            </w:tcBorders>
          </w:tcPr>
          <w:p w14:paraId="70369444"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20.00</w:t>
            </w:r>
          </w:p>
        </w:tc>
      </w:tr>
      <w:tr w:rsidR="009B2AD4" w:rsidRPr="009B2AD4" w14:paraId="7458DB4E" w14:textId="77777777" w:rsidTr="009B2AD4">
        <w:trPr>
          <w:trHeight w:val="494"/>
        </w:trPr>
        <w:tc>
          <w:tcPr>
            <w:tcW w:w="3618" w:type="dxa"/>
            <w:gridSpan w:val="2"/>
            <w:tcBorders>
              <w:top w:val="nil"/>
              <w:bottom w:val="nil"/>
            </w:tcBorders>
          </w:tcPr>
          <w:p w14:paraId="32D7DCB0"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Neutral</w:t>
            </w:r>
          </w:p>
        </w:tc>
        <w:tc>
          <w:tcPr>
            <w:tcW w:w="2766" w:type="dxa"/>
            <w:tcBorders>
              <w:top w:val="nil"/>
              <w:bottom w:val="nil"/>
            </w:tcBorders>
          </w:tcPr>
          <w:p w14:paraId="1E3A2448"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2</w:t>
            </w:r>
          </w:p>
        </w:tc>
        <w:tc>
          <w:tcPr>
            <w:tcW w:w="3192" w:type="dxa"/>
            <w:tcBorders>
              <w:top w:val="nil"/>
              <w:bottom w:val="nil"/>
            </w:tcBorders>
          </w:tcPr>
          <w:p w14:paraId="378E978D"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13.30</w:t>
            </w:r>
          </w:p>
        </w:tc>
      </w:tr>
      <w:tr w:rsidR="009B2AD4" w:rsidRPr="009B2AD4" w14:paraId="74F665BD" w14:textId="77777777" w:rsidTr="009B2AD4">
        <w:trPr>
          <w:trHeight w:val="494"/>
        </w:trPr>
        <w:tc>
          <w:tcPr>
            <w:tcW w:w="3618" w:type="dxa"/>
            <w:gridSpan w:val="2"/>
            <w:tcBorders>
              <w:top w:val="nil"/>
              <w:bottom w:val="nil"/>
            </w:tcBorders>
          </w:tcPr>
          <w:p w14:paraId="0FE22C6F"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lastRenderedPageBreak/>
              <w:t>Agree</w:t>
            </w:r>
          </w:p>
        </w:tc>
        <w:tc>
          <w:tcPr>
            <w:tcW w:w="2766" w:type="dxa"/>
            <w:tcBorders>
              <w:top w:val="nil"/>
              <w:bottom w:val="nil"/>
            </w:tcBorders>
          </w:tcPr>
          <w:p w14:paraId="72CF63C8"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8</w:t>
            </w:r>
          </w:p>
        </w:tc>
        <w:tc>
          <w:tcPr>
            <w:tcW w:w="3192" w:type="dxa"/>
            <w:tcBorders>
              <w:top w:val="nil"/>
              <w:bottom w:val="nil"/>
            </w:tcBorders>
          </w:tcPr>
          <w:p w14:paraId="1933D81C"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53.30</w:t>
            </w:r>
          </w:p>
        </w:tc>
      </w:tr>
      <w:tr w:rsidR="009B2AD4" w:rsidRPr="009B2AD4" w14:paraId="7D4C3CDA" w14:textId="77777777" w:rsidTr="009B2AD4">
        <w:trPr>
          <w:trHeight w:val="494"/>
        </w:trPr>
        <w:tc>
          <w:tcPr>
            <w:tcW w:w="3618" w:type="dxa"/>
            <w:gridSpan w:val="2"/>
            <w:tcBorders>
              <w:top w:val="nil"/>
              <w:bottom w:val="single" w:sz="4" w:space="0" w:color="auto"/>
            </w:tcBorders>
          </w:tcPr>
          <w:p w14:paraId="2BA9ED03"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Strongly agree</w:t>
            </w:r>
          </w:p>
        </w:tc>
        <w:tc>
          <w:tcPr>
            <w:tcW w:w="2766" w:type="dxa"/>
            <w:tcBorders>
              <w:top w:val="nil"/>
              <w:bottom w:val="single" w:sz="4" w:space="0" w:color="auto"/>
            </w:tcBorders>
          </w:tcPr>
          <w:p w14:paraId="30F64E8D"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0</w:t>
            </w:r>
          </w:p>
        </w:tc>
        <w:tc>
          <w:tcPr>
            <w:tcW w:w="3192" w:type="dxa"/>
            <w:tcBorders>
              <w:top w:val="nil"/>
              <w:bottom w:val="single" w:sz="4" w:space="0" w:color="auto"/>
            </w:tcBorders>
          </w:tcPr>
          <w:p w14:paraId="7430557B"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0.00</w:t>
            </w:r>
          </w:p>
        </w:tc>
      </w:tr>
      <w:tr w:rsidR="009B2AD4" w:rsidRPr="009B2AD4" w14:paraId="33A5C643" w14:textId="77777777" w:rsidTr="009B2AD4">
        <w:trPr>
          <w:trHeight w:val="494"/>
        </w:trPr>
        <w:tc>
          <w:tcPr>
            <w:tcW w:w="3618" w:type="dxa"/>
            <w:gridSpan w:val="2"/>
            <w:tcBorders>
              <w:top w:val="single" w:sz="4" w:space="0" w:color="auto"/>
            </w:tcBorders>
          </w:tcPr>
          <w:p w14:paraId="70C76A0F"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Total</w:t>
            </w:r>
          </w:p>
        </w:tc>
        <w:tc>
          <w:tcPr>
            <w:tcW w:w="2766" w:type="dxa"/>
            <w:tcBorders>
              <w:top w:val="single" w:sz="4" w:space="0" w:color="auto"/>
            </w:tcBorders>
          </w:tcPr>
          <w:p w14:paraId="2D3CACD3"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15</w:t>
            </w:r>
          </w:p>
        </w:tc>
        <w:tc>
          <w:tcPr>
            <w:tcW w:w="3192" w:type="dxa"/>
            <w:tcBorders>
              <w:top w:val="single" w:sz="4" w:space="0" w:color="auto"/>
            </w:tcBorders>
          </w:tcPr>
          <w:p w14:paraId="0BBED95F"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100.00</w:t>
            </w:r>
          </w:p>
        </w:tc>
      </w:tr>
    </w:tbl>
    <w:p w14:paraId="79B3CD61" w14:textId="3F0811FF" w:rsid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 xml:space="preserve"> </w:t>
      </w:r>
    </w:p>
    <w:p w14:paraId="3352B2F5" w14:textId="77777777" w:rsidR="00924C20" w:rsidRPr="009B2AD4" w:rsidRDefault="00924C20" w:rsidP="009B2AD4">
      <w:pPr>
        <w:spacing w:after="0"/>
        <w:jc w:val="both"/>
        <w:rPr>
          <w:rFonts w:ascii="Times New Roman" w:hAnsi="Times New Roman" w:cs="Times New Roman"/>
          <w:sz w:val="22"/>
          <w:szCs w:val="22"/>
          <w:lang w:val="en-US"/>
        </w:rPr>
      </w:pPr>
    </w:p>
    <w:p w14:paraId="01DB08AA"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 xml:space="preserve">The study finds a diversified pool of technical views with 53.3% of respondents agreeing to the statement while 13.3% remained neutral, 20% disagreed and 13.3% others strongly disagreed with the statement. While a lean majority agree with the statement (53.3%, n = 8), a significant number of respondents either remained neutral (13.3%, n = 2), disagreed (20%, n = 3) or strongly disagreed (13.3%, n = 2) with the statement. The study, therefore, finds a weak correlation between the need to justify custom activities by grant writers and positive grant award decisions by donors. </w:t>
      </w:r>
    </w:p>
    <w:p w14:paraId="4AE81023"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 xml:space="preserve">Further discussions with the study respondents revealed that from their experience in grant writing, some donors allow a few custom activities and indicators (activities outside their terms of reference) if these custom activities contribute in a way to the donor’s strategic objectives. The study finds that this has a negligible bearing on donor grant award decisions. An analysis of this variable shows a mean score of 3.07 with a standard deviation of 1.163, showing no significant weight of this variable on grant ward decisions by humanitarian donors. Thus, it further justifies why some donors permit some window for custom activities and indicators during the project design stage. This finding aligns with the works of </w:t>
      </w:r>
      <w:proofErr w:type="spellStart"/>
      <w:r w:rsidRPr="009B2AD4">
        <w:rPr>
          <w:rFonts w:ascii="Times New Roman" w:hAnsi="Times New Roman" w:cs="Times New Roman"/>
          <w:sz w:val="22"/>
          <w:szCs w:val="22"/>
          <w:lang w:val="en-US"/>
        </w:rPr>
        <w:t>Iwunna</w:t>
      </w:r>
      <w:proofErr w:type="spellEnd"/>
      <w:r w:rsidRPr="009B2AD4">
        <w:rPr>
          <w:rFonts w:ascii="Times New Roman" w:hAnsi="Times New Roman" w:cs="Times New Roman"/>
          <w:sz w:val="22"/>
          <w:szCs w:val="22"/>
          <w:lang w:val="en-US"/>
        </w:rPr>
        <w:t xml:space="preserve"> et al. (2023) who find that sometimes donors permit some of their resources to be used to meet the priorities of individual governments or NGOs to increase program efficiency. This level of donor flexibility increases with NGOs that provide co-funding (match funding) to donor resources (</w:t>
      </w:r>
      <w:proofErr w:type="spellStart"/>
      <w:r w:rsidRPr="009B2AD4">
        <w:rPr>
          <w:rFonts w:ascii="Times New Roman" w:hAnsi="Times New Roman" w:cs="Times New Roman"/>
          <w:sz w:val="22"/>
          <w:szCs w:val="22"/>
          <w:lang w:val="en-US"/>
        </w:rPr>
        <w:t>Khieng</w:t>
      </w:r>
      <w:proofErr w:type="spellEnd"/>
      <w:r w:rsidRPr="009B2AD4">
        <w:rPr>
          <w:rFonts w:ascii="Times New Roman" w:hAnsi="Times New Roman" w:cs="Times New Roman"/>
          <w:sz w:val="22"/>
          <w:szCs w:val="22"/>
          <w:lang w:val="en-US"/>
        </w:rPr>
        <w:t xml:space="preserve">, 2013). </w:t>
      </w:r>
    </w:p>
    <w:p w14:paraId="43BFF944" w14:textId="77777777" w:rsidR="00C53139" w:rsidRDefault="00C53139" w:rsidP="009B2AD4">
      <w:pPr>
        <w:spacing w:after="0"/>
        <w:jc w:val="both"/>
        <w:rPr>
          <w:rFonts w:ascii="Times New Roman" w:hAnsi="Times New Roman" w:cs="Times New Roman"/>
          <w:b/>
          <w:bCs/>
          <w:sz w:val="22"/>
          <w:szCs w:val="22"/>
          <w:lang w:val="en-US"/>
        </w:rPr>
      </w:pPr>
      <w:bookmarkStart w:id="10" w:name="_Toc196068109"/>
    </w:p>
    <w:p w14:paraId="36CA7B6C" w14:textId="77777777" w:rsidR="009B2AD4" w:rsidRPr="009B2AD4" w:rsidRDefault="009B2AD4" w:rsidP="009B2AD4">
      <w:pPr>
        <w:spacing w:after="0"/>
        <w:jc w:val="both"/>
        <w:rPr>
          <w:rFonts w:ascii="Times New Roman" w:hAnsi="Times New Roman" w:cs="Times New Roman"/>
          <w:b/>
          <w:bCs/>
          <w:sz w:val="22"/>
          <w:szCs w:val="22"/>
          <w:lang w:val="en-US"/>
        </w:rPr>
      </w:pPr>
      <w:r w:rsidRPr="009B2AD4">
        <w:rPr>
          <w:rFonts w:ascii="Times New Roman" w:hAnsi="Times New Roman" w:cs="Times New Roman"/>
          <w:b/>
          <w:bCs/>
          <w:sz w:val="22"/>
          <w:szCs w:val="22"/>
          <w:lang w:val="en-US"/>
        </w:rPr>
        <w:t>Adherence to donor terms of reference and grant ward decisions</w:t>
      </w:r>
      <w:bookmarkEnd w:id="10"/>
    </w:p>
    <w:p w14:paraId="10EDB049"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This variable determines whether donor Terms of References are mere hints but not an obligation to follow during project design process. The respondents’ views and opinions were a</w:t>
      </w:r>
      <w:r w:rsidR="00826FDC">
        <w:rPr>
          <w:rFonts w:ascii="Times New Roman" w:hAnsi="Times New Roman" w:cs="Times New Roman"/>
          <w:sz w:val="22"/>
          <w:szCs w:val="22"/>
          <w:lang w:val="en-US"/>
        </w:rPr>
        <w:t>nalyzed as presented in table 7</w:t>
      </w:r>
      <w:r w:rsidRPr="009B2AD4">
        <w:rPr>
          <w:rFonts w:ascii="Times New Roman" w:hAnsi="Times New Roman" w:cs="Times New Roman"/>
          <w:sz w:val="22"/>
          <w:szCs w:val="22"/>
          <w:lang w:val="en-US"/>
        </w:rPr>
        <w:t xml:space="preserve"> below.</w:t>
      </w:r>
    </w:p>
    <w:p w14:paraId="09909007" w14:textId="77777777" w:rsidR="009B2AD4" w:rsidRPr="009B2AD4" w:rsidRDefault="00826FDC" w:rsidP="009B2AD4">
      <w:pPr>
        <w:spacing w:after="0"/>
        <w:jc w:val="both"/>
        <w:rPr>
          <w:rFonts w:ascii="Times New Roman" w:hAnsi="Times New Roman" w:cs="Times New Roman"/>
          <w:b/>
          <w:bCs/>
          <w:sz w:val="22"/>
          <w:szCs w:val="22"/>
          <w:lang w:val="en-US"/>
        </w:rPr>
      </w:pPr>
      <w:r>
        <w:rPr>
          <w:rFonts w:ascii="Times New Roman" w:hAnsi="Times New Roman" w:cs="Times New Roman"/>
          <w:b/>
          <w:bCs/>
          <w:sz w:val="22"/>
          <w:szCs w:val="22"/>
          <w:lang w:val="en-US"/>
        </w:rPr>
        <w:t>Table 7</w:t>
      </w:r>
      <w:r w:rsidR="009B2AD4" w:rsidRPr="009B2AD4">
        <w:rPr>
          <w:rFonts w:ascii="Times New Roman" w:hAnsi="Times New Roman" w:cs="Times New Roman"/>
          <w:b/>
          <w:bCs/>
          <w:sz w:val="22"/>
          <w:szCs w:val="22"/>
          <w:lang w:val="en-US"/>
        </w:rPr>
        <w:t>: Adherence to donor terms of reference and grant ward decision</w:t>
      </w:r>
    </w:p>
    <w:tbl>
      <w:tblPr>
        <w:tblW w:w="0" w:type="auto"/>
        <w:tblBorders>
          <w:top w:val="single" w:sz="4" w:space="0" w:color="auto"/>
          <w:bottom w:val="single" w:sz="4" w:space="0" w:color="auto"/>
        </w:tblBorders>
        <w:tblLook w:val="04A0" w:firstRow="1" w:lastRow="0" w:firstColumn="1" w:lastColumn="0" w:noHBand="0" w:noVBand="1"/>
      </w:tblPr>
      <w:tblGrid>
        <w:gridCol w:w="3331"/>
        <w:gridCol w:w="2688"/>
        <w:gridCol w:w="3007"/>
      </w:tblGrid>
      <w:tr w:rsidR="009B2AD4" w:rsidRPr="009B2AD4" w14:paraId="22FC2454" w14:textId="77777777" w:rsidTr="009B2AD4">
        <w:trPr>
          <w:trHeight w:val="539"/>
        </w:trPr>
        <w:tc>
          <w:tcPr>
            <w:tcW w:w="3528" w:type="dxa"/>
            <w:tcBorders>
              <w:top w:val="single" w:sz="4" w:space="0" w:color="auto"/>
              <w:bottom w:val="single" w:sz="4" w:space="0" w:color="auto"/>
            </w:tcBorders>
          </w:tcPr>
          <w:p w14:paraId="09F2162B"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Response</w:t>
            </w:r>
          </w:p>
        </w:tc>
        <w:tc>
          <w:tcPr>
            <w:tcW w:w="2856" w:type="dxa"/>
            <w:tcBorders>
              <w:top w:val="single" w:sz="4" w:space="0" w:color="auto"/>
              <w:bottom w:val="single" w:sz="4" w:space="0" w:color="auto"/>
            </w:tcBorders>
          </w:tcPr>
          <w:p w14:paraId="274916E3"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Count</w:t>
            </w:r>
          </w:p>
        </w:tc>
        <w:tc>
          <w:tcPr>
            <w:tcW w:w="3192" w:type="dxa"/>
            <w:tcBorders>
              <w:top w:val="single" w:sz="4" w:space="0" w:color="auto"/>
              <w:bottom w:val="single" w:sz="4" w:space="0" w:color="auto"/>
            </w:tcBorders>
          </w:tcPr>
          <w:p w14:paraId="39FFBCD6"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Percent</w:t>
            </w:r>
          </w:p>
        </w:tc>
      </w:tr>
      <w:tr w:rsidR="009B2AD4" w:rsidRPr="009B2AD4" w14:paraId="38426C83" w14:textId="77777777" w:rsidTr="009B2AD4">
        <w:trPr>
          <w:trHeight w:val="494"/>
        </w:trPr>
        <w:tc>
          <w:tcPr>
            <w:tcW w:w="3528" w:type="dxa"/>
            <w:tcBorders>
              <w:top w:val="single" w:sz="4" w:space="0" w:color="auto"/>
              <w:bottom w:val="nil"/>
            </w:tcBorders>
          </w:tcPr>
          <w:p w14:paraId="3E0A620A"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Strongly disagree</w:t>
            </w:r>
          </w:p>
        </w:tc>
        <w:tc>
          <w:tcPr>
            <w:tcW w:w="2856" w:type="dxa"/>
            <w:tcBorders>
              <w:top w:val="single" w:sz="4" w:space="0" w:color="auto"/>
              <w:bottom w:val="nil"/>
            </w:tcBorders>
          </w:tcPr>
          <w:p w14:paraId="2F5FE3F7"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2</w:t>
            </w:r>
          </w:p>
        </w:tc>
        <w:tc>
          <w:tcPr>
            <w:tcW w:w="3192" w:type="dxa"/>
            <w:tcBorders>
              <w:top w:val="single" w:sz="4" w:space="0" w:color="auto"/>
              <w:bottom w:val="nil"/>
            </w:tcBorders>
          </w:tcPr>
          <w:p w14:paraId="0CB93567"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13.30</w:t>
            </w:r>
          </w:p>
        </w:tc>
      </w:tr>
      <w:tr w:rsidR="009B2AD4" w:rsidRPr="009B2AD4" w14:paraId="2619BF17" w14:textId="77777777" w:rsidTr="009B2AD4">
        <w:trPr>
          <w:trHeight w:val="494"/>
        </w:trPr>
        <w:tc>
          <w:tcPr>
            <w:tcW w:w="3528" w:type="dxa"/>
            <w:tcBorders>
              <w:top w:val="nil"/>
              <w:bottom w:val="nil"/>
            </w:tcBorders>
          </w:tcPr>
          <w:p w14:paraId="6749AAFD"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Disagree</w:t>
            </w:r>
          </w:p>
        </w:tc>
        <w:tc>
          <w:tcPr>
            <w:tcW w:w="2856" w:type="dxa"/>
            <w:tcBorders>
              <w:top w:val="nil"/>
              <w:bottom w:val="nil"/>
            </w:tcBorders>
          </w:tcPr>
          <w:p w14:paraId="10319E1B"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10</w:t>
            </w:r>
          </w:p>
        </w:tc>
        <w:tc>
          <w:tcPr>
            <w:tcW w:w="3192" w:type="dxa"/>
            <w:tcBorders>
              <w:top w:val="nil"/>
              <w:bottom w:val="nil"/>
            </w:tcBorders>
          </w:tcPr>
          <w:p w14:paraId="5A8B1E64"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66.70</w:t>
            </w:r>
          </w:p>
        </w:tc>
      </w:tr>
      <w:tr w:rsidR="009B2AD4" w:rsidRPr="009B2AD4" w14:paraId="3B6D0A32" w14:textId="77777777" w:rsidTr="009B2AD4">
        <w:trPr>
          <w:trHeight w:val="494"/>
        </w:trPr>
        <w:tc>
          <w:tcPr>
            <w:tcW w:w="3528" w:type="dxa"/>
            <w:tcBorders>
              <w:top w:val="nil"/>
              <w:bottom w:val="nil"/>
            </w:tcBorders>
          </w:tcPr>
          <w:p w14:paraId="44C4AA40"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Neutral</w:t>
            </w:r>
          </w:p>
        </w:tc>
        <w:tc>
          <w:tcPr>
            <w:tcW w:w="2856" w:type="dxa"/>
            <w:tcBorders>
              <w:top w:val="nil"/>
              <w:bottom w:val="nil"/>
            </w:tcBorders>
          </w:tcPr>
          <w:p w14:paraId="47C42B5F"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1</w:t>
            </w:r>
          </w:p>
        </w:tc>
        <w:tc>
          <w:tcPr>
            <w:tcW w:w="3192" w:type="dxa"/>
            <w:tcBorders>
              <w:top w:val="nil"/>
              <w:bottom w:val="nil"/>
            </w:tcBorders>
          </w:tcPr>
          <w:p w14:paraId="4BC0B859"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6.70</w:t>
            </w:r>
          </w:p>
        </w:tc>
      </w:tr>
      <w:tr w:rsidR="009B2AD4" w:rsidRPr="009B2AD4" w14:paraId="71186594" w14:textId="77777777" w:rsidTr="009B2AD4">
        <w:trPr>
          <w:trHeight w:val="494"/>
        </w:trPr>
        <w:tc>
          <w:tcPr>
            <w:tcW w:w="3528" w:type="dxa"/>
            <w:tcBorders>
              <w:top w:val="nil"/>
              <w:bottom w:val="nil"/>
            </w:tcBorders>
          </w:tcPr>
          <w:p w14:paraId="612CEE2A"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Agree</w:t>
            </w:r>
          </w:p>
        </w:tc>
        <w:tc>
          <w:tcPr>
            <w:tcW w:w="2856" w:type="dxa"/>
            <w:tcBorders>
              <w:top w:val="nil"/>
              <w:bottom w:val="nil"/>
            </w:tcBorders>
          </w:tcPr>
          <w:p w14:paraId="13B99E79"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2</w:t>
            </w:r>
          </w:p>
        </w:tc>
        <w:tc>
          <w:tcPr>
            <w:tcW w:w="3192" w:type="dxa"/>
            <w:tcBorders>
              <w:top w:val="nil"/>
              <w:bottom w:val="nil"/>
            </w:tcBorders>
          </w:tcPr>
          <w:p w14:paraId="530139EF"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13.30</w:t>
            </w:r>
          </w:p>
        </w:tc>
      </w:tr>
      <w:tr w:rsidR="009B2AD4" w:rsidRPr="009B2AD4" w14:paraId="77E0AE86" w14:textId="77777777" w:rsidTr="009B2AD4">
        <w:trPr>
          <w:trHeight w:val="494"/>
        </w:trPr>
        <w:tc>
          <w:tcPr>
            <w:tcW w:w="3528" w:type="dxa"/>
            <w:tcBorders>
              <w:top w:val="nil"/>
              <w:bottom w:val="single" w:sz="4" w:space="0" w:color="auto"/>
            </w:tcBorders>
          </w:tcPr>
          <w:p w14:paraId="4FFDE436"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Strongly agree</w:t>
            </w:r>
          </w:p>
        </w:tc>
        <w:tc>
          <w:tcPr>
            <w:tcW w:w="2856" w:type="dxa"/>
            <w:tcBorders>
              <w:top w:val="nil"/>
              <w:bottom w:val="single" w:sz="4" w:space="0" w:color="auto"/>
            </w:tcBorders>
          </w:tcPr>
          <w:p w14:paraId="5A28D8C9"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0</w:t>
            </w:r>
          </w:p>
        </w:tc>
        <w:tc>
          <w:tcPr>
            <w:tcW w:w="3192" w:type="dxa"/>
            <w:tcBorders>
              <w:top w:val="nil"/>
              <w:bottom w:val="single" w:sz="4" w:space="0" w:color="auto"/>
            </w:tcBorders>
          </w:tcPr>
          <w:p w14:paraId="6C1189CF"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0.00</w:t>
            </w:r>
          </w:p>
        </w:tc>
      </w:tr>
      <w:tr w:rsidR="009B2AD4" w:rsidRPr="009B2AD4" w14:paraId="6882CE1D" w14:textId="77777777" w:rsidTr="009B2AD4">
        <w:trPr>
          <w:trHeight w:val="494"/>
        </w:trPr>
        <w:tc>
          <w:tcPr>
            <w:tcW w:w="3528" w:type="dxa"/>
            <w:tcBorders>
              <w:top w:val="single" w:sz="4" w:space="0" w:color="auto"/>
            </w:tcBorders>
          </w:tcPr>
          <w:p w14:paraId="01945347"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Total</w:t>
            </w:r>
          </w:p>
        </w:tc>
        <w:tc>
          <w:tcPr>
            <w:tcW w:w="2856" w:type="dxa"/>
            <w:tcBorders>
              <w:top w:val="single" w:sz="4" w:space="0" w:color="auto"/>
            </w:tcBorders>
          </w:tcPr>
          <w:p w14:paraId="324B835D"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15</w:t>
            </w:r>
          </w:p>
        </w:tc>
        <w:tc>
          <w:tcPr>
            <w:tcW w:w="3192" w:type="dxa"/>
            <w:tcBorders>
              <w:top w:val="single" w:sz="4" w:space="0" w:color="auto"/>
            </w:tcBorders>
          </w:tcPr>
          <w:p w14:paraId="15FB65F3"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100.00</w:t>
            </w:r>
          </w:p>
        </w:tc>
      </w:tr>
    </w:tbl>
    <w:p w14:paraId="54D5DB4D"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 xml:space="preserve">The study finds that 66.7% of respondents disagreed, 13.3% agreed while 13.3% others strongly disagreed with this statement. This makes a total of 80% of respondents who either disagreed (66.7%, n = 10) or strongly disagreed (13.3%, n = 2) with the statement. This shows that donor TORs are not just hints but mandatory briefs to follow when designing humanitarian projects. Conversely, the study reveals that non-adherence to the donor TOR may lead to a negative grant ward decision by a donor. </w:t>
      </w:r>
      <w:r w:rsidRPr="009B2AD4">
        <w:rPr>
          <w:rFonts w:ascii="Times New Roman" w:hAnsi="Times New Roman" w:cs="Times New Roman"/>
          <w:sz w:val="22"/>
          <w:szCs w:val="22"/>
          <w:lang w:val="en-US"/>
        </w:rPr>
        <w:lastRenderedPageBreak/>
        <w:t xml:space="preserve">This finding strongly collates with the work of </w:t>
      </w:r>
      <w:proofErr w:type="spellStart"/>
      <w:r w:rsidRPr="009B2AD4">
        <w:rPr>
          <w:rFonts w:ascii="Times New Roman" w:hAnsi="Times New Roman" w:cs="Times New Roman"/>
          <w:sz w:val="22"/>
          <w:szCs w:val="22"/>
          <w:lang w:val="en-US"/>
        </w:rPr>
        <w:t>Carthey</w:t>
      </w:r>
      <w:proofErr w:type="spellEnd"/>
      <w:r w:rsidRPr="009B2AD4">
        <w:rPr>
          <w:rFonts w:ascii="Times New Roman" w:hAnsi="Times New Roman" w:cs="Times New Roman"/>
          <w:sz w:val="22"/>
          <w:szCs w:val="22"/>
          <w:lang w:val="en-US"/>
        </w:rPr>
        <w:t xml:space="preserve"> (2019) who argues that one of the most important strategies for conducting a successful participatory design process is following a term of reference which provides a clear definition and documentation of the vision, agreed goals and objectives for the project. </w:t>
      </w:r>
      <w:proofErr w:type="spellStart"/>
      <w:r w:rsidRPr="009B2AD4">
        <w:rPr>
          <w:rFonts w:ascii="Times New Roman" w:hAnsi="Times New Roman" w:cs="Times New Roman"/>
          <w:sz w:val="22"/>
          <w:szCs w:val="22"/>
          <w:lang w:val="en-US"/>
        </w:rPr>
        <w:t>Carthey</w:t>
      </w:r>
      <w:proofErr w:type="spellEnd"/>
      <w:r w:rsidRPr="009B2AD4">
        <w:rPr>
          <w:rFonts w:ascii="Times New Roman" w:hAnsi="Times New Roman" w:cs="Times New Roman"/>
          <w:sz w:val="22"/>
          <w:szCs w:val="22"/>
          <w:lang w:val="en-US"/>
        </w:rPr>
        <w:t xml:space="preserve"> (2019) emphasizes how well the goals and objectives of the project design team and those of the donor should mesh or overlap to assist the project design team to achieve a positive proposal outcome. This finding implies that the donor Terms of Reference are an important instruction to adhere to during the project design processes. </w:t>
      </w:r>
    </w:p>
    <w:p w14:paraId="2B4AF3B6" w14:textId="77777777" w:rsidR="009B2AD4" w:rsidRPr="009B2AD4" w:rsidRDefault="009B2AD4" w:rsidP="009B2AD4">
      <w:pPr>
        <w:spacing w:after="0"/>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Additional notes from the discussions with the respondents reveal that most donors strictly use TORs with weighted scoring criteria to make grant award decisions for humanitarian projects. This implies a huge significance of the need to adhere to the donor TOR for a positive grant award decision. Analysis of this variable shows a mean of 2.2 and a standard deviation of 0.862; this may show a relatively smaller weight of the mean of this variable (compared to other variables under the needs articulation independent subset of the study variables) but this variable reveals an important finding that donor TORs are an obligation to follow when designing humanitarian projects however much they provide a guide on the structure of the proposal.</w:t>
      </w:r>
    </w:p>
    <w:p w14:paraId="757465AE" w14:textId="77777777" w:rsidR="009B2AD4" w:rsidRDefault="009B2AD4" w:rsidP="00A871B2">
      <w:pPr>
        <w:spacing w:after="0"/>
        <w:jc w:val="both"/>
        <w:rPr>
          <w:rFonts w:ascii="Times New Roman" w:hAnsi="Times New Roman" w:cs="Times New Roman"/>
          <w:sz w:val="22"/>
          <w:szCs w:val="22"/>
        </w:rPr>
      </w:pPr>
    </w:p>
    <w:p w14:paraId="0D6DB8E1" w14:textId="77777777" w:rsidR="004749BC" w:rsidRPr="004749BC" w:rsidRDefault="004749BC" w:rsidP="004749BC">
      <w:pPr>
        <w:spacing w:after="0"/>
        <w:jc w:val="both"/>
        <w:rPr>
          <w:rFonts w:ascii="Times New Roman" w:hAnsi="Times New Roman" w:cs="Times New Roman"/>
          <w:b/>
          <w:bCs/>
        </w:rPr>
      </w:pPr>
      <w:r w:rsidRPr="004749BC">
        <w:rPr>
          <w:rFonts w:ascii="Times New Roman" w:hAnsi="Times New Roman" w:cs="Times New Roman"/>
          <w:b/>
          <w:bCs/>
        </w:rPr>
        <w:t>Correlation Analysis</w:t>
      </w:r>
    </w:p>
    <w:p w14:paraId="455A3C2C" w14:textId="77777777" w:rsidR="009B2AD4" w:rsidRPr="009B2AD4" w:rsidRDefault="009B2AD4" w:rsidP="009B2AD4">
      <w:pPr>
        <w:spacing w:after="0" w:line="240" w:lineRule="auto"/>
        <w:jc w:val="both"/>
        <w:rPr>
          <w:rFonts w:ascii="Times New Roman" w:hAnsi="Times New Roman" w:cs="Times New Roman"/>
          <w:b/>
          <w:bCs/>
          <w:sz w:val="22"/>
          <w:szCs w:val="22"/>
          <w:lang w:val="en-US"/>
        </w:rPr>
      </w:pPr>
      <w:bookmarkStart w:id="11" w:name="_Toc196068126"/>
      <w:r w:rsidRPr="009B2AD4">
        <w:rPr>
          <w:rFonts w:ascii="Times New Roman" w:hAnsi="Times New Roman" w:cs="Times New Roman"/>
          <w:b/>
          <w:bCs/>
          <w:sz w:val="22"/>
          <w:szCs w:val="22"/>
          <w:lang w:val="en-US"/>
        </w:rPr>
        <w:t>Pearson Correlation Analysis</w:t>
      </w:r>
      <w:bookmarkEnd w:id="11"/>
    </w:p>
    <w:p w14:paraId="31C332CF" w14:textId="77777777" w:rsidR="009B2AD4" w:rsidRDefault="009B2AD4" w:rsidP="009B2AD4">
      <w:pPr>
        <w:spacing w:after="0" w:line="240" w:lineRule="auto"/>
        <w:jc w:val="both"/>
        <w:rPr>
          <w:rFonts w:ascii="Times New Roman" w:hAnsi="Times New Roman" w:cs="Times New Roman"/>
          <w:sz w:val="22"/>
          <w:szCs w:val="22"/>
        </w:rPr>
      </w:pPr>
      <w:r w:rsidRPr="009B2AD4">
        <w:rPr>
          <w:rFonts w:ascii="Times New Roman" w:hAnsi="Times New Roman" w:cs="Times New Roman"/>
          <w:sz w:val="22"/>
          <w:szCs w:val="22"/>
        </w:rPr>
        <w:t xml:space="preserve">To ascertain the type and degree of relationships between the hypothesized project design (independent) variables and grant award decision for humanitarian assistance projects in Juba, South Sudan (dependent variable), the study performed Pearson correlation analysis. The Pearson correlations between the project design variables and the positive funding decisions for humanitarian assistance projects are shown in Table </w:t>
      </w:r>
      <w:r w:rsidR="00826FDC">
        <w:rPr>
          <w:rFonts w:ascii="Times New Roman" w:hAnsi="Times New Roman" w:cs="Times New Roman"/>
          <w:sz w:val="22"/>
          <w:szCs w:val="22"/>
        </w:rPr>
        <w:t>8</w:t>
      </w:r>
      <w:r w:rsidRPr="009B2AD4">
        <w:rPr>
          <w:rFonts w:ascii="Times New Roman" w:hAnsi="Times New Roman" w:cs="Times New Roman"/>
          <w:sz w:val="22"/>
          <w:szCs w:val="22"/>
        </w:rPr>
        <w:t xml:space="preserve"> below.</w:t>
      </w:r>
    </w:p>
    <w:p w14:paraId="28810C56" w14:textId="77777777" w:rsidR="00826FDC" w:rsidRPr="009B2AD4" w:rsidRDefault="00826FDC" w:rsidP="009B2AD4">
      <w:pPr>
        <w:spacing w:after="0" w:line="240" w:lineRule="auto"/>
        <w:jc w:val="both"/>
        <w:rPr>
          <w:rFonts w:ascii="Times New Roman" w:hAnsi="Times New Roman" w:cs="Times New Roman"/>
          <w:sz w:val="22"/>
          <w:szCs w:val="22"/>
          <w:lang w:val="fr-FR"/>
        </w:rPr>
      </w:pPr>
    </w:p>
    <w:p w14:paraId="79C3109C" w14:textId="77777777" w:rsidR="009B2AD4" w:rsidRPr="009B2AD4" w:rsidRDefault="009B2AD4" w:rsidP="009B2AD4">
      <w:pPr>
        <w:spacing w:after="0" w:line="240" w:lineRule="auto"/>
        <w:jc w:val="both"/>
        <w:rPr>
          <w:rFonts w:ascii="Times New Roman" w:hAnsi="Times New Roman" w:cs="Times New Roman"/>
          <w:b/>
          <w:bCs/>
          <w:sz w:val="22"/>
          <w:szCs w:val="22"/>
          <w:lang w:val="fr-FR"/>
        </w:rPr>
      </w:pPr>
      <w:r w:rsidRPr="009B2AD4">
        <w:rPr>
          <w:rFonts w:ascii="Times New Roman" w:hAnsi="Times New Roman" w:cs="Times New Roman"/>
          <w:b/>
          <w:bCs/>
          <w:sz w:val="22"/>
          <w:szCs w:val="22"/>
          <w:lang w:val="fr-FR"/>
        </w:rPr>
        <w:t xml:space="preserve">Table </w:t>
      </w:r>
      <w:r w:rsidR="00826FDC">
        <w:rPr>
          <w:rFonts w:ascii="Times New Roman" w:hAnsi="Times New Roman" w:cs="Times New Roman"/>
          <w:b/>
          <w:bCs/>
          <w:sz w:val="22"/>
          <w:szCs w:val="22"/>
          <w:lang w:val="fr-FR"/>
        </w:rPr>
        <w:t>8</w:t>
      </w:r>
      <w:r w:rsidRPr="009B2AD4">
        <w:rPr>
          <w:rFonts w:ascii="Times New Roman" w:hAnsi="Times New Roman" w:cs="Times New Roman"/>
          <w:b/>
          <w:bCs/>
          <w:sz w:val="22"/>
          <w:szCs w:val="22"/>
          <w:lang w:val="fr-FR"/>
        </w:rPr>
        <w:t xml:space="preserve"> : Pearson </w:t>
      </w:r>
      <w:proofErr w:type="spellStart"/>
      <w:r w:rsidRPr="009B2AD4">
        <w:rPr>
          <w:rFonts w:ascii="Times New Roman" w:hAnsi="Times New Roman" w:cs="Times New Roman"/>
          <w:b/>
          <w:bCs/>
          <w:sz w:val="22"/>
          <w:szCs w:val="22"/>
          <w:lang w:val="fr-FR"/>
        </w:rPr>
        <w:t>correlation</w:t>
      </w:r>
      <w:proofErr w:type="spellEnd"/>
      <w:r w:rsidRPr="009B2AD4">
        <w:rPr>
          <w:rFonts w:ascii="Times New Roman" w:hAnsi="Times New Roman" w:cs="Times New Roman"/>
          <w:b/>
          <w:bCs/>
          <w:sz w:val="22"/>
          <w:szCs w:val="22"/>
          <w:lang w:val="fr-FR"/>
        </w:rPr>
        <w:t xml:space="preserve"> matrix</w:t>
      </w:r>
    </w:p>
    <w:tbl>
      <w:tblPr>
        <w:tblW w:w="5000" w:type="pct"/>
        <w:tblBorders>
          <w:top w:val="single" w:sz="4" w:space="0" w:color="auto"/>
          <w:bottom w:val="single" w:sz="4" w:space="0" w:color="auto"/>
        </w:tblBorders>
        <w:tblCellMar>
          <w:left w:w="30" w:type="dxa"/>
          <w:right w:w="30" w:type="dxa"/>
        </w:tblCellMar>
        <w:tblLook w:val="0000" w:firstRow="0" w:lastRow="0" w:firstColumn="0" w:lastColumn="0" w:noHBand="0" w:noVBand="0"/>
      </w:tblPr>
      <w:tblGrid>
        <w:gridCol w:w="2901"/>
        <w:gridCol w:w="2892"/>
        <w:gridCol w:w="1372"/>
        <w:gridCol w:w="1861"/>
      </w:tblGrid>
      <w:tr w:rsidR="009B2AD4" w:rsidRPr="009B2AD4" w14:paraId="2E1A950A" w14:textId="77777777" w:rsidTr="00924C20">
        <w:trPr>
          <w:cantSplit/>
          <w:trHeight w:val="600"/>
          <w:tblHeader/>
        </w:trPr>
        <w:tc>
          <w:tcPr>
            <w:tcW w:w="1607" w:type="pct"/>
            <w:tcBorders>
              <w:top w:val="single" w:sz="4" w:space="0" w:color="auto"/>
              <w:bottom w:val="single" w:sz="4" w:space="0" w:color="auto"/>
            </w:tcBorders>
            <w:shd w:val="clear" w:color="auto" w:fill="FFFFFF"/>
            <w:tcMar>
              <w:top w:w="30" w:type="dxa"/>
              <w:left w:w="30" w:type="dxa"/>
              <w:bottom w:w="30" w:type="dxa"/>
              <w:right w:w="30" w:type="dxa"/>
            </w:tcMar>
          </w:tcPr>
          <w:p w14:paraId="4B613AEA" w14:textId="77777777" w:rsidR="009B2AD4" w:rsidRPr="009B2AD4" w:rsidRDefault="009B2AD4" w:rsidP="009B2AD4">
            <w:pPr>
              <w:spacing w:after="0" w:line="240" w:lineRule="auto"/>
              <w:jc w:val="both"/>
              <w:rPr>
                <w:rFonts w:ascii="Times New Roman" w:hAnsi="Times New Roman" w:cs="Times New Roman"/>
                <w:sz w:val="22"/>
                <w:szCs w:val="22"/>
                <w:lang w:val="en-US"/>
              </w:rPr>
            </w:pPr>
          </w:p>
        </w:tc>
        <w:tc>
          <w:tcPr>
            <w:tcW w:w="1602" w:type="pct"/>
            <w:tcBorders>
              <w:top w:val="single" w:sz="4" w:space="0" w:color="auto"/>
              <w:bottom w:val="single" w:sz="4" w:space="0" w:color="auto"/>
            </w:tcBorders>
            <w:shd w:val="clear" w:color="auto" w:fill="FFFFFF"/>
            <w:tcMar>
              <w:top w:w="30" w:type="dxa"/>
              <w:left w:w="30" w:type="dxa"/>
              <w:bottom w:w="30" w:type="dxa"/>
              <w:right w:w="30" w:type="dxa"/>
            </w:tcMar>
            <w:vAlign w:val="bottom"/>
          </w:tcPr>
          <w:p w14:paraId="6C1E01CA"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 xml:space="preserve">Project’s sustainability model </w:t>
            </w:r>
          </w:p>
        </w:tc>
        <w:tc>
          <w:tcPr>
            <w:tcW w:w="1791" w:type="pct"/>
            <w:gridSpan w:val="2"/>
            <w:tcBorders>
              <w:top w:val="single" w:sz="4" w:space="0" w:color="auto"/>
              <w:bottom w:val="single" w:sz="4" w:space="0" w:color="auto"/>
            </w:tcBorders>
            <w:shd w:val="clear" w:color="auto" w:fill="FFFFFF"/>
            <w:tcMar>
              <w:top w:w="30" w:type="dxa"/>
              <w:left w:w="30" w:type="dxa"/>
              <w:bottom w:w="30" w:type="dxa"/>
              <w:right w:w="30" w:type="dxa"/>
            </w:tcMar>
            <w:vAlign w:val="bottom"/>
          </w:tcPr>
          <w:p w14:paraId="563799F8"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Alignment with donor priorities</w:t>
            </w:r>
          </w:p>
        </w:tc>
      </w:tr>
      <w:tr w:rsidR="009B2AD4" w:rsidRPr="009B2AD4" w14:paraId="1C4793A2" w14:textId="77777777" w:rsidTr="00924C20">
        <w:trPr>
          <w:cantSplit/>
          <w:trHeight w:val="572"/>
          <w:tblHeader/>
        </w:trPr>
        <w:tc>
          <w:tcPr>
            <w:tcW w:w="1607" w:type="pct"/>
            <w:tcBorders>
              <w:top w:val="single" w:sz="4" w:space="0" w:color="auto"/>
            </w:tcBorders>
            <w:shd w:val="clear" w:color="auto" w:fill="FFFFFF"/>
            <w:tcMar>
              <w:top w:w="30" w:type="dxa"/>
              <w:left w:w="30" w:type="dxa"/>
              <w:bottom w:w="30" w:type="dxa"/>
              <w:right w:w="30" w:type="dxa"/>
            </w:tcMar>
          </w:tcPr>
          <w:p w14:paraId="4CD46138"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Project’s sustainability model</w:t>
            </w:r>
          </w:p>
        </w:tc>
        <w:tc>
          <w:tcPr>
            <w:tcW w:w="2362" w:type="pct"/>
            <w:gridSpan w:val="2"/>
            <w:tcBorders>
              <w:top w:val="single" w:sz="4" w:space="0" w:color="auto"/>
            </w:tcBorders>
            <w:shd w:val="clear" w:color="auto" w:fill="FFFFFF"/>
            <w:tcMar>
              <w:top w:w="30" w:type="dxa"/>
              <w:left w:w="30" w:type="dxa"/>
              <w:bottom w:w="30" w:type="dxa"/>
              <w:right w:w="30" w:type="dxa"/>
            </w:tcMar>
            <w:vAlign w:val="center"/>
          </w:tcPr>
          <w:p w14:paraId="0AA29137"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1</w:t>
            </w:r>
          </w:p>
        </w:tc>
        <w:tc>
          <w:tcPr>
            <w:tcW w:w="1031" w:type="pct"/>
            <w:tcBorders>
              <w:top w:val="single" w:sz="4" w:space="0" w:color="auto"/>
            </w:tcBorders>
            <w:shd w:val="clear" w:color="auto" w:fill="FFFFFF"/>
            <w:tcMar>
              <w:top w:w="30" w:type="dxa"/>
              <w:left w:w="30" w:type="dxa"/>
              <w:bottom w:w="30" w:type="dxa"/>
              <w:right w:w="30" w:type="dxa"/>
            </w:tcMar>
            <w:vAlign w:val="center"/>
          </w:tcPr>
          <w:p w14:paraId="19A9A5BA" w14:textId="77777777" w:rsidR="009B2AD4" w:rsidRPr="009B2AD4" w:rsidRDefault="009B2AD4" w:rsidP="009B2AD4">
            <w:pPr>
              <w:spacing w:after="0" w:line="240" w:lineRule="auto"/>
              <w:jc w:val="both"/>
              <w:rPr>
                <w:rFonts w:ascii="Times New Roman" w:hAnsi="Times New Roman" w:cs="Times New Roman"/>
                <w:sz w:val="22"/>
                <w:szCs w:val="22"/>
                <w:lang w:val="en-US"/>
              </w:rPr>
            </w:pPr>
          </w:p>
        </w:tc>
      </w:tr>
      <w:tr w:rsidR="009B2AD4" w:rsidRPr="009B2AD4" w14:paraId="0706F8C0" w14:textId="77777777" w:rsidTr="00924C20">
        <w:trPr>
          <w:cantSplit/>
          <w:trHeight w:val="381"/>
          <w:tblHeader/>
        </w:trPr>
        <w:tc>
          <w:tcPr>
            <w:tcW w:w="1607" w:type="pct"/>
            <w:shd w:val="clear" w:color="auto" w:fill="FFFFFF"/>
            <w:tcMar>
              <w:top w:w="30" w:type="dxa"/>
              <w:left w:w="30" w:type="dxa"/>
              <w:bottom w:w="30" w:type="dxa"/>
              <w:right w:w="30" w:type="dxa"/>
            </w:tcMar>
          </w:tcPr>
          <w:p w14:paraId="00F77723"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Alignment with donor priorities</w:t>
            </w:r>
          </w:p>
        </w:tc>
        <w:tc>
          <w:tcPr>
            <w:tcW w:w="2362" w:type="pct"/>
            <w:gridSpan w:val="2"/>
            <w:shd w:val="clear" w:color="auto" w:fill="FFFFFF"/>
            <w:tcMar>
              <w:top w:w="30" w:type="dxa"/>
              <w:left w:w="30" w:type="dxa"/>
              <w:bottom w:w="30" w:type="dxa"/>
              <w:right w:w="30" w:type="dxa"/>
            </w:tcMar>
            <w:vAlign w:val="center"/>
          </w:tcPr>
          <w:p w14:paraId="30A21F8E"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.200</w:t>
            </w:r>
          </w:p>
        </w:tc>
        <w:tc>
          <w:tcPr>
            <w:tcW w:w="1031" w:type="pct"/>
            <w:shd w:val="clear" w:color="auto" w:fill="FFFFFF"/>
            <w:tcMar>
              <w:top w:w="30" w:type="dxa"/>
              <w:left w:w="30" w:type="dxa"/>
              <w:bottom w:w="30" w:type="dxa"/>
              <w:right w:w="30" w:type="dxa"/>
            </w:tcMar>
            <w:vAlign w:val="center"/>
          </w:tcPr>
          <w:p w14:paraId="56A15A03"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1</w:t>
            </w:r>
          </w:p>
        </w:tc>
      </w:tr>
    </w:tbl>
    <w:p w14:paraId="7CFD981F" w14:textId="77777777" w:rsidR="00924C20" w:rsidRDefault="00924C20" w:rsidP="009B2AD4">
      <w:pPr>
        <w:spacing w:after="0" w:line="240" w:lineRule="auto"/>
        <w:jc w:val="both"/>
        <w:rPr>
          <w:rFonts w:ascii="Times New Roman" w:hAnsi="Times New Roman" w:cs="Times New Roman"/>
          <w:sz w:val="22"/>
          <w:szCs w:val="22"/>
          <w:lang w:val="fr-FR"/>
        </w:rPr>
      </w:pPr>
    </w:p>
    <w:p w14:paraId="546ABBB2" w14:textId="06A82E1C" w:rsidR="009B2AD4" w:rsidRDefault="009B2AD4" w:rsidP="009B2AD4">
      <w:pPr>
        <w:spacing w:after="0" w:line="240" w:lineRule="auto"/>
        <w:jc w:val="both"/>
        <w:rPr>
          <w:rFonts w:ascii="Times New Roman" w:hAnsi="Times New Roman" w:cs="Times New Roman"/>
          <w:sz w:val="22"/>
          <w:szCs w:val="22"/>
        </w:rPr>
      </w:pPr>
      <w:r w:rsidRPr="009B2AD4">
        <w:rPr>
          <w:rFonts w:ascii="Times New Roman" w:hAnsi="Times New Roman" w:cs="Times New Roman"/>
          <w:sz w:val="22"/>
          <w:szCs w:val="22"/>
        </w:rPr>
        <w:t>Based on the results from the analysis, there is a positive relationship between the grant award decisions for humanitarian assistance and the assessed project design elements (study variables). The results sho</w:t>
      </w:r>
      <w:r w:rsidR="00C53139">
        <w:rPr>
          <w:rFonts w:ascii="Times New Roman" w:hAnsi="Times New Roman" w:cs="Times New Roman"/>
          <w:sz w:val="22"/>
          <w:szCs w:val="22"/>
        </w:rPr>
        <w:t>wed that there was the strong</w:t>
      </w:r>
      <w:r w:rsidRPr="009B2AD4">
        <w:rPr>
          <w:rFonts w:ascii="Times New Roman" w:hAnsi="Times New Roman" w:cs="Times New Roman"/>
          <w:sz w:val="22"/>
          <w:szCs w:val="22"/>
        </w:rPr>
        <w:t xml:space="preserve"> correlation between alignment with donor priorities (r = 0.421)</w:t>
      </w:r>
      <w:r w:rsidR="00C53139">
        <w:rPr>
          <w:rFonts w:ascii="Times New Roman" w:hAnsi="Times New Roman" w:cs="Times New Roman"/>
          <w:sz w:val="22"/>
          <w:szCs w:val="22"/>
        </w:rPr>
        <w:t xml:space="preserve"> </w:t>
      </w:r>
      <w:r w:rsidR="00C53139" w:rsidRPr="00C53139">
        <w:rPr>
          <w:rFonts w:ascii="Times New Roman" w:hAnsi="Times New Roman" w:cs="Times New Roman"/>
          <w:sz w:val="22"/>
          <w:szCs w:val="22"/>
        </w:rPr>
        <w:t>and positive funding decision by humanitarian donors</w:t>
      </w:r>
      <w:r w:rsidR="00C53139">
        <w:rPr>
          <w:rFonts w:ascii="Times New Roman" w:hAnsi="Times New Roman" w:cs="Times New Roman"/>
          <w:sz w:val="22"/>
          <w:szCs w:val="22"/>
        </w:rPr>
        <w:t xml:space="preserve">. </w:t>
      </w:r>
      <w:r w:rsidRPr="009B2AD4">
        <w:rPr>
          <w:rFonts w:ascii="Times New Roman" w:hAnsi="Times New Roman" w:cs="Times New Roman"/>
          <w:sz w:val="22"/>
          <w:szCs w:val="22"/>
        </w:rPr>
        <w:t>At the 0.05 level of confidence, the study finds that independent variable had some statistically noteworthy correlation with the dependent variable.</w:t>
      </w:r>
    </w:p>
    <w:p w14:paraId="1DAF8278" w14:textId="77777777" w:rsidR="00C53139" w:rsidRPr="009B2AD4" w:rsidRDefault="00C53139" w:rsidP="009B2AD4">
      <w:pPr>
        <w:spacing w:after="0" w:line="240" w:lineRule="auto"/>
        <w:jc w:val="both"/>
        <w:rPr>
          <w:rFonts w:ascii="Times New Roman" w:hAnsi="Times New Roman" w:cs="Times New Roman"/>
          <w:sz w:val="22"/>
          <w:szCs w:val="22"/>
        </w:rPr>
      </w:pPr>
    </w:p>
    <w:p w14:paraId="712CF129" w14:textId="77777777" w:rsidR="009B2AD4" w:rsidRPr="009B2AD4" w:rsidRDefault="009B2AD4" w:rsidP="009B2AD4">
      <w:pPr>
        <w:spacing w:after="0" w:line="240" w:lineRule="auto"/>
        <w:jc w:val="both"/>
        <w:rPr>
          <w:rFonts w:ascii="Times New Roman" w:hAnsi="Times New Roman" w:cs="Times New Roman"/>
          <w:b/>
          <w:bCs/>
          <w:sz w:val="22"/>
          <w:szCs w:val="22"/>
        </w:rPr>
      </w:pPr>
      <w:bookmarkStart w:id="12" w:name="_Toc196068127"/>
      <w:r w:rsidRPr="009B2AD4">
        <w:rPr>
          <w:rFonts w:ascii="Times New Roman" w:hAnsi="Times New Roman" w:cs="Times New Roman"/>
          <w:b/>
          <w:bCs/>
          <w:sz w:val="22"/>
          <w:szCs w:val="22"/>
        </w:rPr>
        <w:t>Determining how best the model fits</w:t>
      </w:r>
      <w:bookmarkEnd w:id="12"/>
    </w:p>
    <w:p w14:paraId="642C9B3E" w14:textId="77777777" w:rsidR="009B2AD4" w:rsidRPr="009B2AD4" w:rsidRDefault="009B2AD4" w:rsidP="009B2AD4">
      <w:pPr>
        <w:spacing w:after="0" w:line="240" w:lineRule="auto"/>
        <w:jc w:val="both"/>
        <w:rPr>
          <w:rFonts w:ascii="Times New Roman" w:hAnsi="Times New Roman" w:cs="Times New Roman"/>
          <w:b/>
          <w:sz w:val="22"/>
          <w:szCs w:val="22"/>
        </w:rPr>
      </w:pPr>
      <w:r w:rsidRPr="009B2AD4">
        <w:rPr>
          <w:rFonts w:ascii="Times New Roman" w:hAnsi="Times New Roman" w:cs="Times New Roman"/>
          <w:b/>
          <w:sz w:val="22"/>
          <w:szCs w:val="22"/>
          <w:lang w:val="en-US"/>
        </w:rPr>
        <w:t xml:space="preserve">Table </w:t>
      </w:r>
      <w:r w:rsidR="00826FDC">
        <w:rPr>
          <w:rFonts w:ascii="Times New Roman" w:hAnsi="Times New Roman" w:cs="Times New Roman"/>
          <w:b/>
          <w:sz w:val="22"/>
          <w:szCs w:val="22"/>
          <w:lang w:val="en-US"/>
        </w:rPr>
        <w:t>9</w:t>
      </w:r>
      <w:r w:rsidRPr="009B2AD4">
        <w:rPr>
          <w:rFonts w:ascii="Times New Roman" w:hAnsi="Times New Roman" w:cs="Times New Roman"/>
          <w:b/>
          <w:sz w:val="22"/>
          <w:szCs w:val="22"/>
          <w:lang w:val="en-US"/>
        </w:rPr>
        <w:t>: Model summary</w:t>
      </w:r>
    </w:p>
    <w:tbl>
      <w:tblPr>
        <w:tblW w:w="5000" w:type="pct"/>
        <w:tblBorders>
          <w:top w:val="single" w:sz="4" w:space="0" w:color="auto"/>
          <w:bottom w:val="single" w:sz="4" w:space="0" w:color="auto"/>
        </w:tblBorders>
        <w:tblCellMar>
          <w:left w:w="30" w:type="dxa"/>
          <w:right w:w="30" w:type="dxa"/>
        </w:tblCellMar>
        <w:tblLook w:val="0000" w:firstRow="0" w:lastRow="0" w:firstColumn="0" w:lastColumn="0" w:noHBand="0" w:noVBand="0"/>
      </w:tblPr>
      <w:tblGrid>
        <w:gridCol w:w="1143"/>
        <w:gridCol w:w="1592"/>
        <w:gridCol w:w="1699"/>
        <w:gridCol w:w="2296"/>
        <w:gridCol w:w="2296"/>
      </w:tblGrid>
      <w:tr w:rsidR="009B2AD4" w:rsidRPr="009B2AD4" w14:paraId="133BBD49" w14:textId="77777777" w:rsidTr="009B2AD4">
        <w:trPr>
          <w:cantSplit/>
          <w:trHeight w:val="797"/>
          <w:tblHeader/>
        </w:trPr>
        <w:tc>
          <w:tcPr>
            <w:tcW w:w="633" w:type="pct"/>
            <w:tcBorders>
              <w:top w:val="single" w:sz="4" w:space="0" w:color="auto"/>
              <w:bottom w:val="single" w:sz="4" w:space="0" w:color="auto"/>
            </w:tcBorders>
            <w:shd w:val="clear" w:color="auto" w:fill="FFFFFF"/>
            <w:tcMar>
              <w:top w:w="30" w:type="dxa"/>
              <w:left w:w="30" w:type="dxa"/>
              <w:bottom w:w="30" w:type="dxa"/>
              <w:right w:w="30" w:type="dxa"/>
            </w:tcMar>
            <w:vAlign w:val="bottom"/>
          </w:tcPr>
          <w:p w14:paraId="1E4C825A"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Model</w:t>
            </w:r>
          </w:p>
        </w:tc>
        <w:tc>
          <w:tcPr>
            <w:tcW w:w="882" w:type="pct"/>
            <w:tcBorders>
              <w:top w:val="single" w:sz="4" w:space="0" w:color="auto"/>
              <w:bottom w:val="single" w:sz="4" w:space="0" w:color="auto"/>
            </w:tcBorders>
            <w:shd w:val="clear" w:color="auto" w:fill="FFFFFF"/>
            <w:tcMar>
              <w:top w:w="30" w:type="dxa"/>
              <w:left w:w="30" w:type="dxa"/>
              <w:bottom w:w="30" w:type="dxa"/>
              <w:right w:w="30" w:type="dxa"/>
            </w:tcMar>
            <w:vAlign w:val="bottom"/>
          </w:tcPr>
          <w:p w14:paraId="78316E97"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R</w:t>
            </w:r>
          </w:p>
        </w:tc>
        <w:tc>
          <w:tcPr>
            <w:tcW w:w="941" w:type="pct"/>
            <w:tcBorders>
              <w:top w:val="single" w:sz="4" w:space="0" w:color="auto"/>
              <w:bottom w:val="single" w:sz="4" w:space="0" w:color="auto"/>
            </w:tcBorders>
            <w:shd w:val="clear" w:color="auto" w:fill="FFFFFF"/>
            <w:tcMar>
              <w:top w:w="30" w:type="dxa"/>
              <w:left w:w="30" w:type="dxa"/>
              <w:bottom w:w="30" w:type="dxa"/>
              <w:right w:w="30" w:type="dxa"/>
            </w:tcMar>
            <w:vAlign w:val="bottom"/>
          </w:tcPr>
          <w:p w14:paraId="1B6C8407"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R Square</w:t>
            </w:r>
          </w:p>
        </w:tc>
        <w:tc>
          <w:tcPr>
            <w:tcW w:w="1272" w:type="pct"/>
            <w:tcBorders>
              <w:top w:val="single" w:sz="4" w:space="0" w:color="auto"/>
              <w:bottom w:val="single" w:sz="4" w:space="0" w:color="auto"/>
            </w:tcBorders>
            <w:shd w:val="clear" w:color="auto" w:fill="FFFFFF"/>
            <w:tcMar>
              <w:top w:w="30" w:type="dxa"/>
              <w:left w:w="30" w:type="dxa"/>
              <w:bottom w:w="30" w:type="dxa"/>
              <w:right w:w="30" w:type="dxa"/>
            </w:tcMar>
            <w:vAlign w:val="bottom"/>
          </w:tcPr>
          <w:p w14:paraId="2D11CD0C"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Adjusted R Square</w:t>
            </w:r>
          </w:p>
        </w:tc>
        <w:tc>
          <w:tcPr>
            <w:tcW w:w="1272" w:type="pct"/>
            <w:tcBorders>
              <w:top w:val="single" w:sz="4" w:space="0" w:color="auto"/>
              <w:bottom w:val="single" w:sz="4" w:space="0" w:color="auto"/>
            </w:tcBorders>
            <w:shd w:val="clear" w:color="auto" w:fill="FFFFFF"/>
            <w:tcMar>
              <w:top w:w="30" w:type="dxa"/>
              <w:left w:w="30" w:type="dxa"/>
              <w:bottom w:w="30" w:type="dxa"/>
              <w:right w:w="30" w:type="dxa"/>
            </w:tcMar>
            <w:vAlign w:val="bottom"/>
          </w:tcPr>
          <w:p w14:paraId="1EF40A4C"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Std. Error of the Estimate</w:t>
            </w:r>
          </w:p>
        </w:tc>
      </w:tr>
      <w:tr w:rsidR="009B2AD4" w:rsidRPr="009B2AD4" w14:paraId="334E543F" w14:textId="77777777" w:rsidTr="009B2AD4">
        <w:trPr>
          <w:cantSplit/>
          <w:trHeight w:val="410"/>
          <w:tblHeader/>
        </w:trPr>
        <w:tc>
          <w:tcPr>
            <w:tcW w:w="633" w:type="pct"/>
            <w:tcBorders>
              <w:top w:val="single" w:sz="4" w:space="0" w:color="auto"/>
            </w:tcBorders>
            <w:shd w:val="clear" w:color="auto" w:fill="FFFFFF"/>
            <w:tcMar>
              <w:top w:w="30" w:type="dxa"/>
              <w:left w:w="30" w:type="dxa"/>
              <w:bottom w:w="30" w:type="dxa"/>
              <w:right w:w="30" w:type="dxa"/>
            </w:tcMar>
          </w:tcPr>
          <w:p w14:paraId="75D94B6B"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1</w:t>
            </w:r>
          </w:p>
        </w:tc>
        <w:tc>
          <w:tcPr>
            <w:tcW w:w="882" w:type="pct"/>
            <w:tcBorders>
              <w:top w:val="single" w:sz="4" w:space="0" w:color="auto"/>
            </w:tcBorders>
            <w:shd w:val="clear" w:color="auto" w:fill="FFFFFF"/>
            <w:tcMar>
              <w:top w:w="30" w:type="dxa"/>
              <w:left w:w="30" w:type="dxa"/>
              <w:bottom w:w="30" w:type="dxa"/>
              <w:right w:w="30" w:type="dxa"/>
            </w:tcMar>
            <w:vAlign w:val="center"/>
          </w:tcPr>
          <w:p w14:paraId="2C2F4707"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.853</w:t>
            </w:r>
          </w:p>
        </w:tc>
        <w:tc>
          <w:tcPr>
            <w:tcW w:w="941" w:type="pct"/>
            <w:tcBorders>
              <w:top w:val="single" w:sz="4" w:space="0" w:color="auto"/>
            </w:tcBorders>
            <w:shd w:val="clear" w:color="auto" w:fill="FFFFFF"/>
            <w:tcMar>
              <w:top w:w="30" w:type="dxa"/>
              <w:left w:w="30" w:type="dxa"/>
              <w:bottom w:w="30" w:type="dxa"/>
              <w:right w:w="30" w:type="dxa"/>
            </w:tcMar>
            <w:vAlign w:val="center"/>
          </w:tcPr>
          <w:p w14:paraId="2CC49476"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.728</w:t>
            </w:r>
          </w:p>
        </w:tc>
        <w:tc>
          <w:tcPr>
            <w:tcW w:w="1272" w:type="pct"/>
            <w:tcBorders>
              <w:top w:val="single" w:sz="4" w:space="0" w:color="auto"/>
            </w:tcBorders>
            <w:shd w:val="clear" w:color="auto" w:fill="FFFFFF"/>
            <w:tcMar>
              <w:top w:w="30" w:type="dxa"/>
              <w:left w:w="30" w:type="dxa"/>
              <w:bottom w:w="30" w:type="dxa"/>
              <w:right w:w="30" w:type="dxa"/>
            </w:tcMar>
            <w:vAlign w:val="center"/>
          </w:tcPr>
          <w:p w14:paraId="0C804032"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.711</w:t>
            </w:r>
          </w:p>
        </w:tc>
        <w:tc>
          <w:tcPr>
            <w:tcW w:w="1272" w:type="pct"/>
            <w:tcBorders>
              <w:top w:val="single" w:sz="4" w:space="0" w:color="auto"/>
            </w:tcBorders>
            <w:shd w:val="clear" w:color="auto" w:fill="FFFFFF"/>
            <w:tcMar>
              <w:top w:w="30" w:type="dxa"/>
              <w:left w:w="30" w:type="dxa"/>
              <w:bottom w:w="30" w:type="dxa"/>
              <w:right w:w="30" w:type="dxa"/>
            </w:tcMar>
            <w:vAlign w:val="center"/>
          </w:tcPr>
          <w:p w14:paraId="2F2B8306"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1.448</w:t>
            </w:r>
          </w:p>
        </w:tc>
      </w:tr>
    </w:tbl>
    <w:p w14:paraId="0A2342D9" w14:textId="224A4ABE" w:rsidR="009B2AD4" w:rsidRPr="009B2AD4" w:rsidRDefault="009B2AD4" w:rsidP="009B2AD4">
      <w:pPr>
        <w:spacing w:after="0" w:line="240" w:lineRule="auto"/>
        <w:jc w:val="both"/>
        <w:rPr>
          <w:rFonts w:ascii="Times New Roman" w:hAnsi="Times New Roman" w:cs="Times New Roman"/>
          <w:sz w:val="22"/>
          <w:szCs w:val="22"/>
        </w:rPr>
      </w:pPr>
      <w:r w:rsidRPr="009B2AD4">
        <w:rPr>
          <w:rFonts w:ascii="Times New Roman" w:hAnsi="Times New Roman" w:cs="Times New Roman"/>
          <w:sz w:val="22"/>
          <w:szCs w:val="22"/>
        </w:rPr>
        <w:t xml:space="preserve">The model summary table is shown in table </w:t>
      </w:r>
      <w:r w:rsidR="00203D11">
        <w:rPr>
          <w:rFonts w:ascii="Times New Roman" w:hAnsi="Times New Roman" w:cs="Times New Roman"/>
          <w:sz w:val="22"/>
          <w:szCs w:val="22"/>
        </w:rPr>
        <w:t>9</w:t>
      </w:r>
      <w:r w:rsidRPr="009B2AD4">
        <w:rPr>
          <w:rFonts w:ascii="Times New Roman" w:hAnsi="Times New Roman" w:cs="Times New Roman"/>
          <w:sz w:val="22"/>
          <w:szCs w:val="22"/>
        </w:rPr>
        <w:t xml:space="preserve"> above. Regression model fit to data can be assessed using the R, R</w:t>
      </w:r>
      <w:r w:rsidRPr="009B2AD4">
        <w:rPr>
          <w:rFonts w:ascii="Times New Roman" w:hAnsi="Times New Roman" w:cs="Times New Roman"/>
          <w:sz w:val="22"/>
          <w:szCs w:val="22"/>
          <w:vertAlign w:val="superscript"/>
        </w:rPr>
        <w:t>2</w:t>
      </w:r>
      <w:r w:rsidRPr="009B2AD4">
        <w:rPr>
          <w:rFonts w:ascii="Times New Roman" w:hAnsi="Times New Roman" w:cs="Times New Roman"/>
          <w:sz w:val="22"/>
          <w:szCs w:val="22"/>
        </w:rPr>
        <w:t>, adjusted R</w:t>
      </w:r>
      <w:r w:rsidRPr="009B2AD4">
        <w:rPr>
          <w:rFonts w:ascii="Times New Roman" w:hAnsi="Times New Roman" w:cs="Times New Roman"/>
          <w:sz w:val="22"/>
          <w:szCs w:val="22"/>
          <w:vertAlign w:val="superscript"/>
        </w:rPr>
        <w:t>2</w:t>
      </w:r>
      <w:r w:rsidRPr="009B2AD4">
        <w:rPr>
          <w:rFonts w:ascii="Times New Roman" w:hAnsi="Times New Roman" w:cs="Times New Roman"/>
          <w:sz w:val="22"/>
          <w:szCs w:val="22"/>
        </w:rPr>
        <w:t>, and standard error of the estimate provided in this table. The results indicate that positive funding decision for humanitarian aid and alignment with donor priorities are positively correlated. The correlation coefficient (R Square) is equivalent to 0.728, according to the study. The significant degree of prediction is indicated by the coefficient of determination, which is 0.711.</w:t>
      </w:r>
    </w:p>
    <w:p w14:paraId="05C83F33" w14:textId="77777777" w:rsidR="009B2AD4" w:rsidRPr="009B2AD4" w:rsidRDefault="009B2AD4" w:rsidP="009B2AD4">
      <w:pPr>
        <w:spacing w:after="0" w:line="240" w:lineRule="auto"/>
        <w:jc w:val="both"/>
        <w:rPr>
          <w:rFonts w:ascii="Times New Roman" w:hAnsi="Times New Roman" w:cs="Times New Roman"/>
          <w:sz w:val="22"/>
          <w:szCs w:val="22"/>
        </w:rPr>
      </w:pPr>
      <w:r w:rsidRPr="009B2AD4">
        <w:rPr>
          <w:rFonts w:ascii="Times New Roman" w:hAnsi="Times New Roman" w:cs="Times New Roman"/>
          <w:sz w:val="22"/>
          <w:szCs w:val="22"/>
        </w:rPr>
        <w:lastRenderedPageBreak/>
        <w:t>In particular, the 0.711 coefficient of determination shows that variations in alignment with donor priorities can explain 71.0% of the variance in the positive funding decision for humanitarian assistance projects. Given that the R</w:t>
      </w:r>
      <w:r w:rsidRPr="009B2AD4">
        <w:rPr>
          <w:rFonts w:ascii="Times New Roman" w:hAnsi="Times New Roman" w:cs="Times New Roman"/>
          <w:sz w:val="22"/>
          <w:szCs w:val="22"/>
          <w:vertAlign w:val="superscript"/>
        </w:rPr>
        <w:t>2</w:t>
      </w:r>
      <w:r w:rsidRPr="009B2AD4">
        <w:rPr>
          <w:rFonts w:ascii="Times New Roman" w:hAnsi="Times New Roman" w:cs="Times New Roman"/>
          <w:sz w:val="22"/>
          <w:szCs w:val="22"/>
        </w:rPr>
        <w:t xml:space="preserve"> value exceeds 70%, the donor grant award decisions forecasting model is fit for prediction.</w:t>
      </w:r>
    </w:p>
    <w:p w14:paraId="6E2D3C20" w14:textId="77777777" w:rsidR="00C53139" w:rsidRDefault="00C53139" w:rsidP="009B2AD4">
      <w:pPr>
        <w:spacing w:after="0" w:line="240" w:lineRule="auto"/>
        <w:jc w:val="both"/>
        <w:rPr>
          <w:rFonts w:ascii="Times New Roman" w:hAnsi="Times New Roman" w:cs="Times New Roman"/>
          <w:b/>
          <w:bCs/>
          <w:sz w:val="22"/>
          <w:szCs w:val="22"/>
        </w:rPr>
      </w:pPr>
      <w:bookmarkStart w:id="13" w:name="_Toc196068128"/>
      <w:bookmarkStart w:id="14" w:name="_Toc83676173"/>
    </w:p>
    <w:p w14:paraId="58688518" w14:textId="77777777" w:rsidR="009B2AD4" w:rsidRPr="009B2AD4" w:rsidRDefault="009B2AD4" w:rsidP="009B2AD4">
      <w:pPr>
        <w:spacing w:after="0" w:line="240" w:lineRule="auto"/>
        <w:jc w:val="both"/>
        <w:rPr>
          <w:rFonts w:ascii="Times New Roman" w:hAnsi="Times New Roman" w:cs="Times New Roman"/>
          <w:b/>
          <w:bCs/>
          <w:sz w:val="22"/>
          <w:szCs w:val="22"/>
        </w:rPr>
      </w:pPr>
      <w:r w:rsidRPr="009B2AD4">
        <w:rPr>
          <w:rFonts w:ascii="Times New Roman" w:hAnsi="Times New Roman" w:cs="Times New Roman"/>
          <w:b/>
          <w:bCs/>
          <w:sz w:val="22"/>
          <w:szCs w:val="22"/>
        </w:rPr>
        <w:t>Statistical Significance</w:t>
      </w:r>
      <w:bookmarkEnd w:id="13"/>
      <w:bookmarkEnd w:id="14"/>
    </w:p>
    <w:tbl>
      <w:tblPr>
        <w:tblpPr w:leftFromText="180" w:rightFromText="180" w:vertAnchor="text" w:horzAnchor="margin" w:tblpY="149"/>
        <w:tblW w:w="5032" w:type="pct"/>
        <w:tblCellMar>
          <w:left w:w="30" w:type="dxa"/>
          <w:right w:w="30" w:type="dxa"/>
        </w:tblCellMar>
        <w:tblLook w:val="0000" w:firstRow="0" w:lastRow="0" w:firstColumn="0" w:lastColumn="0" w:noHBand="0" w:noVBand="0"/>
      </w:tblPr>
      <w:tblGrid>
        <w:gridCol w:w="885"/>
        <w:gridCol w:w="1459"/>
        <w:gridCol w:w="1670"/>
        <w:gridCol w:w="1157"/>
        <w:gridCol w:w="1599"/>
        <w:gridCol w:w="1157"/>
        <w:gridCol w:w="1157"/>
      </w:tblGrid>
      <w:tr w:rsidR="009B2AD4" w:rsidRPr="009B2AD4" w14:paraId="1051E9F1" w14:textId="77777777" w:rsidTr="009B2AD4">
        <w:trPr>
          <w:cantSplit/>
          <w:trHeight w:val="690"/>
          <w:tblHeader/>
        </w:trPr>
        <w:tc>
          <w:tcPr>
            <w:tcW w:w="5000" w:type="pct"/>
            <w:gridSpan w:val="7"/>
            <w:tcBorders>
              <w:bottom w:val="single" w:sz="4" w:space="0" w:color="auto"/>
            </w:tcBorders>
            <w:shd w:val="clear" w:color="auto" w:fill="FFFFFF"/>
            <w:tcMar>
              <w:top w:w="30" w:type="dxa"/>
              <w:left w:w="30" w:type="dxa"/>
              <w:bottom w:w="30" w:type="dxa"/>
              <w:right w:w="30" w:type="dxa"/>
            </w:tcMar>
            <w:vAlign w:val="center"/>
          </w:tcPr>
          <w:p w14:paraId="3CC6D218" w14:textId="77777777" w:rsidR="009B2AD4" w:rsidRPr="009B2AD4" w:rsidRDefault="00826FDC" w:rsidP="009B2AD4">
            <w:pPr>
              <w:spacing w:after="0" w:line="240" w:lineRule="auto"/>
              <w:jc w:val="both"/>
              <w:rPr>
                <w:rFonts w:ascii="Times New Roman" w:hAnsi="Times New Roman" w:cs="Times New Roman"/>
                <w:b/>
                <w:bCs/>
                <w:sz w:val="22"/>
                <w:szCs w:val="22"/>
                <w:lang w:val="en-US"/>
              </w:rPr>
            </w:pPr>
            <w:bookmarkStart w:id="15" w:name="_Toc172813147"/>
            <w:bookmarkStart w:id="16" w:name="_Toc172813612"/>
            <w:bookmarkStart w:id="17" w:name="_Toc196068129"/>
            <w:r>
              <w:rPr>
                <w:rFonts w:ascii="Times New Roman" w:hAnsi="Times New Roman" w:cs="Times New Roman"/>
                <w:b/>
                <w:bCs/>
                <w:sz w:val="22"/>
                <w:szCs w:val="22"/>
                <w:lang w:val="en-US"/>
              </w:rPr>
              <w:t>Table 10</w:t>
            </w:r>
            <w:r w:rsidR="009B2AD4" w:rsidRPr="009B2AD4">
              <w:rPr>
                <w:rFonts w:ascii="Times New Roman" w:hAnsi="Times New Roman" w:cs="Times New Roman"/>
                <w:b/>
                <w:bCs/>
                <w:sz w:val="22"/>
                <w:szCs w:val="22"/>
                <w:lang w:val="en-US"/>
              </w:rPr>
              <w:t>: ANOVA</w:t>
            </w:r>
          </w:p>
          <w:p w14:paraId="3276BD88" w14:textId="77777777" w:rsidR="009B2AD4" w:rsidRPr="009B2AD4" w:rsidRDefault="009B2AD4" w:rsidP="009B2AD4">
            <w:pPr>
              <w:spacing w:after="0" w:line="240" w:lineRule="auto"/>
              <w:jc w:val="both"/>
              <w:rPr>
                <w:rFonts w:ascii="Times New Roman" w:hAnsi="Times New Roman" w:cs="Times New Roman"/>
                <w:b/>
                <w:bCs/>
                <w:sz w:val="22"/>
                <w:szCs w:val="22"/>
              </w:rPr>
            </w:pPr>
            <w:r w:rsidRPr="009B2AD4">
              <w:rPr>
                <w:rFonts w:ascii="Times New Roman" w:hAnsi="Times New Roman" w:cs="Times New Roman"/>
                <w:sz w:val="22"/>
                <w:szCs w:val="22"/>
              </w:rPr>
              <w:t xml:space="preserve">                                                                               ANOVA</w:t>
            </w:r>
            <w:bookmarkEnd w:id="15"/>
            <w:bookmarkEnd w:id="16"/>
            <w:bookmarkEnd w:id="17"/>
          </w:p>
        </w:tc>
      </w:tr>
      <w:tr w:rsidR="009B2AD4" w:rsidRPr="009B2AD4" w14:paraId="75446D78" w14:textId="77777777" w:rsidTr="009B2AD4">
        <w:trPr>
          <w:cantSplit/>
          <w:tblHeader/>
        </w:trPr>
        <w:tc>
          <w:tcPr>
            <w:tcW w:w="1290" w:type="pct"/>
            <w:gridSpan w:val="2"/>
            <w:tcBorders>
              <w:top w:val="single" w:sz="4" w:space="0" w:color="auto"/>
              <w:bottom w:val="single" w:sz="4" w:space="0" w:color="auto"/>
            </w:tcBorders>
            <w:shd w:val="clear" w:color="auto" w:fill="FFFFFF"/>
            <w:tcMar>
              <w:top w:w="30" w:type="dxa"/>
              <w:left w:w="30" w:type="dxa"/>
              <w:bottom w:w="30" w:type="dxa"/>
              <w:right w:w="30" w:type="dxa"/>
            </w:tcMar>
            <w:vAlign w:val="bottom"/>
          </w:tcPr>
          <w:p w14:paraId="31888CBB"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Model</w:t>
            </w:r>
          </w:p>
        </w:tc>
        <w:tc>
          <w:tcPr>
            <w:tcW w:w="919" w:type="pct"/>
            <w:tcBorders>
              <w:top w:val="single" w:sz="4" w:space="0" w:color="auto"/>
              <w:bottom w:val="single" w:sz="4" w:space="0" w:color="auto"/>
            </w:tcBorders>
            <w:shd w:val="clear" w:color="auto" w:fill="FFFFFF"/>
            <w:tcMar>
              <w:top w:w="30" w:type="dxa"/>
              <w:left w:w="30" w:type="dxa"/>
              <w:bottom w:w="30" w:type="dxa"/>
              <w:right w:w="30" w:type="dxa"/>
            </w:tcMar>
            <w:vAlign w:val="bottom"/>
          </w:tcPr>
          <w:p w14:paraId="5E8BB507"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Sum of Squares</w:t>
            </w:r>
          </w:p>
        </w:tc>
        <w:tc>
          <w:tcPr>
            <w:tcW w:w="637" w:type="pct"/>
            <w:tcBorders>
              <w:top w:val="single" w:sz="4" w:space="0" w:color="auto"/>
              <w:bottom w:val="single" w:sz="4" w:space="0" w:color="auto"/>
            </w:tcBorders>
            <w:shd w:val="clear" w:color="auto" w:fill="FFFFFF"/>
            <w:tcMar>
              <w:top w:w="30" w:type="dxa"/>
              <w:left w:w="30" w:type="dxa"/>
              <w:bottom w:w="30" w:type="dxa"/>
              <w:right w:w="30" w:type="dxa"/>
            </w:tcMar>
            <w:vAlign w:val="bottom"/>
          </w:tcPr>
          <w:p w14:paraId="30ACB83E"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i/>
                <w:iCs/>
                <w:sz w:val="22"/>
                <w:szCs w:val="22"/>
                <w:lang w:val="en-US"/>
              </w:rPr>
              <w:t>df</w:t>
            </w:r>
          </w:p>
        </w:tc>
        <w:tc>
          <w:tcPr>
            <w:tcW w:w="880" w:type="pct"/>
            <w:tcBorders>
              <w:top w:val="single" w:sz="4" w:space="0" w:color="auto"/>
              <w:bottom w:val="single" w:sz="4" w:space="0" w:color="auto"/>
            </w:tcBorders>
            <w:shd w:val="clear" w:color="auto" w:fill="FFFFFF"/>
            <w:tcMar>
              <w:top w:w="30" w:type="dxa"/>
              <w:left w:w="30" w:type="dxa"/>
              <w:bottom w:w="30" w:type="dxa"/>
              <w:right w:w="30" w:type="dxa"/>
            </w:tcMar>
            <w:vAlign w:val="bottom"/>
          </w:tcPr>
          <w:p w14:paraId="6D24EF2C"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Mean Square</w:t>
            </w:r>
          </w:p>
        </w:tc>
        <w:tc>
          <w:tcPr>
            <w:tcW w:w="637" w:type="pct"/>
            <w:tcBorders>
              <w:top w:val="single" w:sz="4" w:space="0" w:color="auto"/>
              <w:bottom w:val="single" w:sz="4" w:space="0" w:color="auto"/>
            </w:tcBorders>
            <w:shd w:val="clear" w:color="auto" w:fill="FFFFFF"/>
            <w:tcMar>
              <w:top w:w="30" w:type="dxa"/>
              <w:left w:w="30" w:type="dxa"/>
              <w:bottom w:w="30" w:type="dxa"/>
              <w:right w:w="30" w:type="dxa"/>
            </w:tcMar>
            <w:vAlign w:val="bottom"/>
          </w:tcPr>
          <w:p w14:paraId="3CF86438"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F</w:t>
            </w:r>
          </w:p>
        </w:tc>
        <w:tc>
          <w:tcPr>
            <w:tcW w:w="637" w:type="pct"/>
            <w:tcBorders>
              <w:top w:val="single" w:sz="4" w:space="0" w:color="auto"/>
              <w:bottom w:val="single" w:sz="4" w:space="0" w:color="auto"/>
            </w:tcBorders>
            <w:shd w:val="clear" w:color="auto" w:fill="FFFFFF"/>
            <w:tcMar>
              <w:top w:w="30" w:type="dxa"/>
              <w:left w:w="30" w:type="dxa"/>
              <w:bottom w:w="30" w:type="dxa"/>
              <w:right w:w="30" w:type="dxa"/>
            </w:tcMar>
            <w:vAlign w:val="bottom"/>
          </w:tcPr>
          <w:p w14:paraId="20298E4A"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Sig.</w:t>
            </w:r>
          </w:p>
        </w:tc>
      </w:tr>
      <w:tr w:rsidR="009B2AD4" w:rsidRPr="009B2AD4" w14:paraId="25EAE372" w14:textId="77777777" w:rsidTr="009B2AD4">
        <w:trPr>
          <w:cantSplit/>
          <w:trHeight w:val="290"/>
          <w:tblHeader/>
        </w:trPr>
        <w:tc>
          <w:tcPr>
            <w:tcW w:w="487" w:type="pct"/>
            <w:vMerge w:val="restart"/>
            <w:tcBorders>
              <w:top w:val="single" w:sz="4" w:space="0" w:color="auto"/>
            </w:tcBorders>
            <w:shd w:val="clear" w:color="auto" w:fill="FFFFFF"/>
            <w:tcMar>
              <w:top w:w="30" w:type="dxa"/>
              <w:left w:w="30" w:type="dxa"/>
              <w:bottom w:w="30" w:type="dxa"/>
              <w:right w:w="30" w:type="dxa"/>
            </w:tcMar>
          </w:tcPr>
          <w:p w14:paraId="5D288476"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1</w:t>
            </w:r>
          </w:p>
        </w:tc>
        <w:tc>
          <w:tcPr>
            <w:tcW w:w="803" w:type="pct"/>
            <w:tcBorders>
              <w:top w:val="single" w:sz="4" w:space="0" w:color="auto"/>
            </w:tcBorders>
            <w:shd w:val="clear" w:color="auto" w:fill="FFFFFF"/>
            <w:tcMar>
              <w:top w:w="30" w:type="dxa"/>
              <w:left w:w="30" w:type="dxa"/>
              <w:bottom w:w="30" w:type="dxa"/>
              <w:right w:w="30" w:type="dxa"/>
            </w:tcMar>
          </w:tcPr>
          <w:p w14:paraId="766E840C"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Regression</w:t>
            </w:r>
          </w:p>
        </w:tc>
        <w:tc>
          <w:tcPr>
            <w:tcW w:w="919" w:type="pct"/>
            <w:tcBorders>
              <w:top w:val="single" w:sz="4" w:space="0" w:color="auto"/>
            </w:tcBorders>
            <w:shd w:val="clear" w:color="auto" w:fill="FFFFFF"/>
            <w:tcMar>
              <w:top w:w="30" w:type="dxa"/>
              <w:left w:w="30" w:type="dxa"/>
              <w:bottom w:w="30" w:type="dxa"/>
              <w:right w:w="30" w:type="dxa"/>
            </w:tcMar>
            <w:vAlign w:val="center"/>
          </w:tcPr>
          <w:p w14:paraId="08CCB0C1"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4.545</w:t>
            </w:r>
          </w:p>
        </w:tc>
        <w:tc>
          <w:tcPr>
            <w:tcW w:w="637" w:type="pct"/>
            <w:tcBorders>
              <w:top w:val="single" w:sz="4" w:space="0" w:color="auto"/>
            </w:tcBorders>
            <w:shd w:val="clear" w:color="auto" w:fill="FFFFFF"/>
            <w:tcMar>
              <w:top w:w="30" w:type="dxa"/>
              <w:left w:w="30" w:type="dxa"/>
              <w:bottom w:w="30" w:type="dxa"/>
              <w:right w:w="30" w:type="dxa"/>
            </w:tcMar>
            <w:vAlign w:val="center"/>
          </w:tcPr>
          <w:p w14:paraId="2FA5A146"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5</w:t>
            </w:r>
          </w:p>
        </w:tc>
        <w:tc>
          <w:tcPr>
            <w:tcW w:w="880" w:type="pct"/>
            <w:tcBorders>
              <w:top w:val="single" w:sz="4" w:space="0" w:color="auto"/>
            </w:tcBorders>
            <w:shd w:val="clear" w:color="auto" w:fill="FFFFFF"/>
            <w:tcMar>
              <w:top w:w="30" w:type="dxa"/>
              <w:left w:w="30" w:type="dxa"/>
              <w:bottom w:w="30" w:type="dxa"/>
              <w:right w:w="30" w:type="dxa"/>
            </w:tcMar>
            <w:vAlign w:val="center"/>
          </w:tcPr>
          <w:p w14:paraId="0028C703"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0.909</w:t>
            </w:r>
          </w:p>
        </w:tc>
        <w:tc>
          <w:tcPr>
            <w:tcW w:w="637" w:type="pct"/>
            <w:tcBorders>
              <w:top w:val="single" w:sz="4" w:space="0" w:color="auto"/>
            </w:tcBorders>
            <w:shd w:val="clear" w:color="auto" w:fill="FFFFFF"/>
            <w:tcMar>
              <w:top w:w="30" w:type="dxa"/>
              <w:left w:w="30" w:type="dxa"/>
              <w:bottom w:w="30" w:type="dxa"/>
              <w:right w:w="30" w:type="dxa"/>
            </w:tcMar>
            <w:vAlign w:val="center"/>
          </w:tcPr>
          <w:p w14:paraId="376763A1"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11.45</w:t>
            </w:r>
          </w:p>
        </w:tc>
        <w:tc>
          <w:tcPr>
            <w:tcW w:w="637" w:type="pct"/>
            <w:tcBorders>
              <w:top w:val="single" w:sz="4" w:space="0" w:color="auto"/>
            </w:tcBorders>
            <w:shd w:val="clear" w:color="auto" w:fill="FFFFFF"/>
            <w:tcMar>
              <w:top w:w="30" w:type="dxa"/>
              <w:left w:w="30" w:type="dxa"/>
              <w:bottom w:w="30" w:type="dxa"/>
              <w:right w:w="30" w:type="dxa"/>
            </w:tcMar>
            <w:vAlign w:val="center"/>
          </w:tcPr>
          <w:p w14:paraId="1465F168"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.008801</w:t>
            </w:r>
          </w:p>
        </w:tc>
      </w:tr>
      <w:tr w:rsidR="009B2AD4" w:rsidRPr="009B2AD4" w14:paraId="5735B61F" w14:textId="77777777" w:rsidTr="009B2AD4">
        <w:trPr>
          <w:cantSplit/>
          <w:tblHeader/>
        </w:trPr>
        <w:tc>
          <w:tcPr>
            <w:tcW w:w="487" w:type="pct"/>
            <w:vMerge/>
            <w:shd w:val="clear" w:color="auto" w:fill="FFFFFF"/>
            <w:tcMar>
              <w:top w:w="30" w:type="dxa"/>
              <w:left w:w="30" w:type="dxa"/>
              <w:bottom w:w="30" w:type="dxa"/>
              <w:right w:w="30" w:type="dxa"/>
            </w:tcMar>
          </w:tcPr>
          <w:p w14:paraId="3F245CE3" w14:textId="77777777" w:rsidR="009B2AD4" w:rsidRPr="009B2AD4" w:rsidRDefault="009B2AD4" w:rsidP="009B2AD4">
            <w:pPr>
              <w:spacing w:after="0" w:line="240" w:lineRule="auto"/>
              <w:jc w:val="both"/>
              <w:rPr>
                <w:rFonts w:ascii="Times New Roman" w:hAnsi="Times New Roman" w:cs="Times New Roman"/>
                <w:sz w:val="22"/>
                <w:szCs w:val="22"/>
                <w:lang w:val="en-US"/>
              </w:rPr>
            </w:pPr>
          </w:p>
        </w:tc>
        <w:tc>
          <w:tcPr>
            <w:tcW w:w="803" w:type="pct"/>
            <w:shd w:val="clear" w:color="auto" w:fill="FFFFFF"/>
            <w:tcMar>
              <w:top w:w="30" w:type="dxa"/>
              <w:left w:w="30" w:type="dxa"/>
              <w:bottom w:w="30" w:type="dxa"/>
              <w:right w:w="30" w:type="dxa"/>
            </w:tcMar>
          </w:tcPr>
          <w:p w14:paraId="710C4D73"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Residual</w:t>
            </w:r>
          </w:p>
        </w:tc>
        <w:tc>
          <w:tcPr>
            <w:tcW w:w="919" w:type="pct"/>
            <w:shd w:val="clear" w:color="auto" w:fill="FFFFFF"/>
            <w:tcMar>
              <w:top w:w="30" w:type="dxa"/>
              <w:left w:w="30" w:type="dxa"/>
              <w:bottom w:w="30" w:type="dxa"/>
              <w:right w:w="30" w:type="dxa"/>
            </w:tcMar>
            <w:vAlign w:val="center"/>
          </w:tcPr>
          <w:p w14:paraId="00041E95"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22.502</w:t>
            </w:r>
          </w:p>
        </w:tc>
        <w:tc>
          <w:tcPr>
            <w:tcW w:w="637" w:type="pct"/>
            <w:shd w:val="clear" w:color="auto" w:fill="FFFFFF"/>
            <w:tcMar>
              <w:top w:w="30" w:type="dxa"/>
              <w:left w:w="30" w:type="dxa"/>
              <w:bottom w:w="30" w:type="dxa"/>
              <w:right w:w="30" w:type="dxa"/>
            </w:tcMar>
            <w:vAlign w:val="center"/>
          </w:tcPr>
          <w:p w14:paraId="3915D986"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9</w:t>
            </w:r>
          </w:p>
        </w:tc>
        <w:tc>
          <w:tcPr>
            <w:tcW w:w="880" w:type="pct"/>
            <w:shd w:val="clear" w:color="auto" w:fill="FFFFFF"/>
            <w:tcMar>
              <w:top w:w="30" w:type="dxa"/>
              <w:left w:w="30" w:type="dxa"/>
              <w:bottom w:w="30" w:type="dxa"/>
              <w:right w:w="30" w:type="dxa"/>
            </w:tcMar>
            <w:vAlign w:val="center"/>
          </w:tcPr>
          <w:p w14:paraId="1646C7A5"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0.3766</w:t>
            </w:r>
          </w:p>
        </w:tc>
        <w:tc>
          <w:tcPr>
            <w:tcW w:w="637" w:type="pct"/>
            <w:shd w:val="clear" w:color="auto" w:fill="FFFFFF"/>
            <w:tcMar>
              <w:top w:w="30" w:type="dxa"/>
              <w:left w:w="30" w:type="dxa"/>
              <w:bottom w:w="30" w:type="dxa"/>
              <w:right w:w="30" w:type="dxa"/>
            </w:tcMar>
          </w:tcPr>
          <w:p w14:paraId="3465BDBD" w14:textId="77777777" w:rsidR="009B2AD4" w:rsidRPr="009B2AD4" w:rsidRDefault="009B2AD4" w:rsidP="009B2AD4">
            <w:pPr>
              <w:spacing w:after="0" w:line="240" w:lineRule="auto"/>
              <w:jc w:val="both"/>
              <w:rPr>
                <w:rFonts w:ascii="Times New Roman" w:hAnsi="Times New Roman" w:cs="Times New Roman"/>
                <w:sz w:val="22"/>
                <w:szCs w:val="22"/>
                <w:lang w:val="en-US"/>
              </w:rPr>
            </w:pPr>
          </w:p>
        </w:tc>
        <w:tc>
          <w:tcPr>
            <w:tcW w:w="637" w:type="pct"/>
            <w:shd w:val="clear" w:color="auto" w:fill="FFFFFF"/>
            <w:tcMar>
              <w:top w:w="30" w:type="dxa"/>
              <w:left w:w="30" w:type="dxa"/>
              <w:bottom w:w="30" w:type="dxa"/>
              <w:right w:w="30" w:type="dxa"/>
            </w:tcMar>
          </w:tcPr>
          <w:p w14:paraId="3E2CC95C" w14:textId="77777777" w:rsidR="009B2AD4" w:rsidRPr="009B2AD4" w:rsidRDefault="009B2AD4" w:rsidP="009B2AD4">
            <w:pPr>
              <w:spacing w:after="0" w:line="240" w:lineRule="auto"/>
              <w:jc w:val="both"/>
              <w:rPr>
                <w:rFonts w:ascii="Times New Roman" w:hAnsi="Times New Roman" w:cs="Times New Roman"/>
                <w:sz w:val="22"/>
                <w:szCs w:val="22"/>
                <w:lang w:val="en-US"/>
              </w:rPr>
            </w:pPr>
          </w:p>
        </w:tc>
      </w:tr>
      <w:tr w:rsidR="009B2AD4" w:rsidRPr="009B2AD4" w14:paraId="4AD006AE" w14:textId="77777777" w:rsidTr="009B2AD4">
        <w:trPr>
          <w:cantSplit/>
          <w:tblHeader/>
        </w:trPr>
        <w:tc>
          <w:tcPr>
            <w:tcW w:w="487" w:type="pct"/>
            <w:vMerge/>
            <w:tcBorders>
              <w:bottom w:val="single" w:sz="4" w:space="0" w:color="auto"/>
            </w:tcBorders>
            <w:shd w:val="clear" w:color="auto" w:fill="FFFFFF"/>
            <w:tcMar>
              <w:top w:w="30" w:type="dxa"/>
              <w:left w:w="30" w:type="dxa"/>
              <w:bottom w:w="30" w:type="dxa"/>
              <w:right w:w="30" w:type="dxa"/>
            </w:tcMar>
          </w:tcPr>
          <w:p w14:paraId="4298AC16" w14:textId="77777777" w:rsidR="009B2AD4" w:rsidRPr="009B2AD4" w:rsidRDefault="009B2AD4" w:rsidP="009B2AD4">
            <w:pPr>
              <w:spacing w:after="0" w:line="240" w:lineRule="auto"/>
              <w:jc w:val="both"/>
              <w:rPr>
                <w:rFonts w:ascii="Times New Roman" w:hAnsi="Times New Roman" w:cs="Times New Roman"/>
                <w:sz w:val="22"/>
                <w:szCs w:val="22"/>
                <w:lang w:val="en-US"/>
              </w:rPr>
            </w:pPr>
          </w:p>
        </w:tc>
        <w:tc>
          <w:tcPr>
            <w:tcW w:w="803" w:type="pct"/>
            <w:tcBorders>
              <w:bottom w:val="single" w:sz="4" w:space="0" w:color="auto"/>
            </w:tcBorders>
            <w:shd w:val="clear" w:color="auto" w:fill="FFFFFF"/>
            <w:tcMar>
              <w:top w:w="30" w:type="dxa"/>
              <w:left w:w="30" w:type="dxa"/>
              <w:bottom w:w="30" w:type="dxa"/>
              <w:right w:w="30" w:type="dxa"/>
            </w:tcMar>
          </w:tcPr>
          <w:p w14:paraId="760EA640"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Total</w:t>
            </w:r>
          </w:p>
        </w:tc>
        <w:tc>
          <w:tcPr>
            <w:tcW w:w="919" w:type="pct"/>
            <w:tcBorders>
              <w:bottom w:val="single" w:sz="4" w:space="0" w:color="auto"/>
            </w:tcBorders>
            <w:shd w:val="clear" w:color="auto" w:fill="FFFFFF"/>
            <w:tcMar>
              <w:top w:w="30" w:type="dxa"/>
              <w:left w:w="30" w:type="dxa"/>
              <w:bottom w:w="30" w:type="dxa"/>
              <w:right w:w="30" w:type="dxa"/>
            </w:tcMar>
            <w:vAlign w:val="center"/>
          </w:tcPr>
          <w:p w14:paraId="2B0CD26C"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27.047</w:t>
            </w:r>
          </w:p>
        </w:tc>
        <w:tc>
          <w:tcPr>
            <w:tcW w:w="637" w:type="pct"/>
            <w:tcBorders>
              <w:bottom w:val="single" w:sz="4" w:space="0" w:color="auto"/>
            </w:tcBorders>
            <w:shd w:val="clear" w:color="auto" w:fill="FFFFFF"/>
            <w:tcMar>
              <w:top w:w="30" w:type="dxa"/>
              <w:left w:w="30" w:type="dxa"/>
              <w:bottom w:w="30" w:type="dxa"/>
              <w:right w:w="30" w:type="dxa"/>
            </w:tcMar>
            <w:vAlign w:val="center"/>
          </w:tcPr>
          <w:p w14:paraId="25F145BD"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14</w:t>
            </w:r>
          </w:p>
        </w:tc>
        <w:tc>
          <w:tcPr>
            <w:tcW w:w="880" w:type="pct"/>
            <w:tcBorders>
              <w:bottom w:val="single" w:sz="4" w:space="0" w:color="auto"/>
            </w:tcBorders>
            <w:shd w:val="clear" w:color="auto" w:fill="FFFFFF"/>
            <w:tcMar>
              <w:top w:w="30" w:type="dxa"/>
              <w:left w:w="30" w:type="dxa"/>
              <w:bottom w:w="30" w:type="dxa"/>
              <w:right w:w="30" w:type="dxa"/>
            </w:tcMar>
          </w:tcPr>
          <w:p w14:paraId="340D2898" w14:textId="77777777" w:rsidR="009B2AD4" w:rsidRPr="009B2AD4" w:rsidRDefault="009B2AD4" w:rsidP="009B2AD4">
            <w:pPr>
              <w:spacing w:after="0" w:line="240" w:lineRule="auto"/>
              <w:jc w:val="both"/>
              <w:rPr>
                <w:rFonts w:ascii="Times New Roman" w:hAnsi="Times New Roman" w:cs="Times New Roman"/>
                <w:sz w:val="22"/>
                <w:szCs w:val="22"/>
                <w:lang w:val="en-US"/>
              </w:rPr>
            </w:pPr>
          </w:p>
        </w:tc>
        <w:tc>
          <w:tcPr>
            <w:tcW w:w="637" w:type="pct"/>
            <w:tcBorders>
              <w:bottom w:val="single" w:sz="4" w:space="0" w:color="auto"/>
            </w:tcBorders>
            <w:shd w:val="clear" w:color="auto" w:fill="FFFFFF"/>
            <w:tcMar>
              <w:top w:w="30" w:type="dxa"/>
              <w:left w:w="30" w:type="dxa"/>
              <w:bottom w:w="30" w:type="dxa"/>
              <w:right w:w="30" w:type="dxa"/>
            </w:tcMar>
          </w:tcPr>
          <w:p w14:paraId="77DB2D40" w14:textId="77777777" w:rsidR="009B2AD4" w:rsidRPr="009B2AD4" w:rsidRDefault="009B2AD4" w:rsidP="009B2AD4">
            <w:pPr>
              <w:spacing w:after="0" w:line="240" w:lineRule="auto"/>
              <w:jc w:val="both"/>
              <w:rPr>
                <w:rFonts w:ascii="Times New Roman" w:hAnsi="Times New Roman" w:cs="Times New Roman"/>
                <w:sz w:val="22"/>
                <w:szCs w:val="22"/>
                <w:lang w:val="en-US"/>
              </w:rPr>
            </w:pPr>
          </w:p>
        </w:tc>
        <w:tc>
          <w:tcPr>
            <w:tcW w:w="637" w:type="pct"/>
            <w:tcBorders>
              <w:bottom w:val="single" w:sz="4" w:space="0" w:color="auto"/>
            </w:tcBorders>
            <w:shd w:val="clear" w:color="auto" w:fill="FFFFFF"/>
            <w:tcMar>
              <w:top w:w="30" w:type="dxa"/>
              <w:left w:w="30" w:type="dxa"/>
              <w:bottom w:w="30" w:type="dxa"/>
              <w:right w:w="30" w:type="dxa"/>
            </w:tcMar>
          </w:tcPr>
          <w:p w14:paraId="2E63EEE1" w14:textId="77777777" w:rsidR="009B2AD4" w:rsidRPr="009B2AD4" w:rsidRDefault="009B2AD4" w:rsidP="009B2AD4">
            <w:pPr>
              <w:spacing w:after="0" w:line="240" w:lineRule="auto"/>
              <w:jc w:val="both"/>
              <w:rPr>
                <w:rFonts w:ascii="Times New Roman" w:hAnsi="Times New Roman" w:cs="Times New Roman"/>
                <w:sz w:val="22"/>
                <w:szCs w:val="22"/>
                <w:lang w:val="en-US"/>
              </w:rPr>
            </w:pPr>
          </w:p>
        </w:tc>
      </w:tr>
    </w:tbl>
    <w:p w14:paraId="299D0BFE" w14:textId="27C1E70F" w:rsidR="009B2AD4" w:rsidRDefault="009B2AD4" w:rsidP="009B2AD4">
      <w:pPr>
        <w:spacing w:after="0" w:line="240" w:lineRule="auto"/>
        <w:jc w:val="both"/>
        <w:rPr>
          <w:rFonts w:ascii="Times New Roman" w:hAnsi="Times New Roman" w:cs="Times New Roman"/>
          <w:bCs/>
          <w:sz w:val="22"/>
          <w:szCs w:val="22"/>
          <w:lang w:val="en-US"/>
        </w:rPr>
      </w:pPr>
      <w:r w:rsidRPr="009B2AD4">
        <w:rPr>
          <w:rFonts w:ascii="Times New Roman" w:hAnsi="Times New Roman" w:cs="Times New Roman"/>
          <w:bCs/>
          <w:sz w:val="22"/>
          <w:szCs w:val="22"/>
          <w:lang w:val="en-US"/>
        </w:rPr>
        <w:t xml:space="preserve"> </w:t>
      </w:r>
    </w:p>
    <w:p w14:paraId="5F8D1C2E" w14:textId="77777777" w:rsidR="00924C20" w:rsidRPr="009B2AD4" w:rsidRDefault="00924C20" w:rsidP="009B2AD4">
      <w:pPr>
        <w:spacing w:after="0" w:line="240" w:lineRule="auto"/>
        <w:jc w:val="both"/>
        <w:rPr>
          <w:rFonts w:ascii="Times New Roman" w:hAnsi="Times New Roman" w:cs="Times New Roman"/>
          <w:bCs/>
          <w:sz w:val="22"/>
          <w:szCs w:val="22"/>
          <w:lang w:val="en-US"/>
        </w:rPr>
      </w:pPr>
    </w:p>
    <w:p w14:paraId="08E1CD65"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The combined significance of the F ratio in the ANOVA as shown in the table above shows how well the regression model fits the data. The F-test results indicate that F = 11.45 &gt; 2.61, p-value = 0.008801&lt;0.05, indicating the presence of a jointly significant linear association between positive grant funding decisions and alignment to donor priorities. This, thus, suggests that a five-independent-variable model could be employed to predict donor grant award decisions for humanitarian assistance in Juba, South Sudan.</w:t>
      </w:r>
    </w:p>
    <w:p w14:paraId="59913F0E" w14:textId="77777777" w:rsidR="00C53139" w:rsidRDefault="00C53139" w:rsidP="009B2AD4">
      <w:pPr>
        <w:spacing w:after="0" w:line="240" w:lineRule="auto"/>
        <w:jc w:val="both"/>
        <w:rPr>
          <w:rFonts w:ascii="Times New Roman" w:hAnsi="Times New Roman" w:cs="Times New Roman"/>
          <w:b/>
          <w:bCs/>
          <w:sz w:val="22"/>
          <w:szCs w:val="22"/>
        </w:rPr>
      </w:pPr>
      <w:bookmarkStart w:id="18" w:name="_Toc83676174"/>
      <w:bookmarkStart w:id="19" w:name="_Toc196068130"/>
    </w:p>
    <w:p w14:paraId="342CF219" w14:textId="77777777" w:rsidR="009B2AD4" w:rsidRPr="009B2AD4" w:rsidRDefault="009B2AD4" w:rsidP="009B2AD4">
      <w:pPr>
        <w:spacing w:after="0" w:line="240" w:lineRule="auto"/>
        <w:jc w:val="both"/>
        <w:rPr>
          <w:rFonts w:ascii="Times New Roman" w:hAnsi="Times New Roman" w:cs="Times New Roman"/>
          <w:b/>
          <w:bCs/>
          <w:sz w:val="22"/>
          <w:szCs w:val="22"/>
        </w:rPr>
      </w:pPr>
      <w:r w:rsidRPr="009B2AD4">
        <w:rPr>
          <w:rFonts w:ascii="Times New Roman" w:hAnsi="Times New Roman" w:cs="Times New Roman"/>
          <w:b/>
          <w:bCs/>
          <w:sz w:val="22"/>
          <w:szCs w:val="22"/>
        </w:rPr>
        <w:t>Estimated Model Coefficients</w:t>
      </w:r>
      <w:bookmarkEnd w:id="18"/>
      <w:bookmarkEnd w:id="19"/>
      <w:r w:rsidRPr="009B2AD4">
        <w:rPr>
          <w:rFonts w:ascii="Times New Roman" w:hAnsi="Times New Roman" w:cs="Times New Roman"/>
          <w:b/>
          <w:bCs/>
          <w:sz w:val="22"/>
          <w:szCs w:val="22"/>
        </w:rPr>
        <w:t xml:space="preserve"> </w:t>
      </w:r>
    </w:p>
    <w:p w14:paraId="3B508625" w14:textId="77777777" w:rsidR="009B2AD4" w:rsidRPr="009B2AD4" w:rsidRDefault="009B2AD4" w:rsidP="009B2AD4">
      <w:pPr>
        <w:spacing w:after="0" w:line="240" w:lineRule="auto"/>
        <w:jc w:val="both"/>
        <w:rPr>
          <w:rFonts w:ascii="Times New Roman" w:hAnsi="Times New Roman" w:cs="Times New Roman"/>
          <w:sz w:val="22"/>
          <w:szCs w:val="22"/>
        </w:rPr>
      </w:pPr>
      <w:r w:rsidRPr="009B2AD4">
        <w:rPr>
          <w:rFonts w:ascii="Times New Roman" w:hAnsi="Times New Roman" w:cs="Times New Roman"/>
          <w:sz w:val="22"/>
          <w:szCs w:val="22"/>
        </w:rPr>
        <w:t>A regression analysis was conducted to determine the degree to which the five project design elements affected the donor grant award decisions for humanitarian assistance projects in South Sudan. The analysis was based on the assumptions that the variables would be generally spread to prevent misrepresentation of suggestions and consequence tests; this was achieved because no extreme outliers were found; and that the independent and dependent variables would have a direct relationship to ensure accuracy of estimation; this was achieved by using standardized coefficients in the interpretation process.</w:t>
      </w:r>
    </w:p>
    <w:p w14:paraId="1B3703D9" w14:textId="77777777" w:rsidR="009B2AD4" w:rsidRPr="009B2AD4" w:rsidRDefault="00826FDC" w:rsidP="009B2AD4">
      <w:pPr>
        <w:spacing w:after="0" w:line="240" w:lineRule="auto"/>
        <w:jc w:val="both"/>
        <w:rPr>
          <w:rFonts w:ascii="Times New Roman" w:hAnsi="Times New Roman" w:cs="Times New Roman"/>
          <w:b/>
          <w:sz w:val="22"/>
          <w:szCs w:val="22"/>
        </w:rPr>
      </w:pPr>
      <w:r>
        <w:rPr>
          <w:rFonts w:ascii="Times New Roman" w:hAnsi="Times New Roman" w:cs="Times New Roman"/>
          <w:b/>
          <w:sz w:val="22"/>
          <w:szCs w:val="22"/>
        </w:rPr>
        <w:t>Table 11</w:t>
      </w:r>
      <w:r w:rsidR="009B2AD4" w:rsidRPr="009B2AD4">
        <w:rPr>
          <w:rFonts w:ascii="Times New Roman" w:hAnsi="Times New Roman" w:cs="Times New Roman"/>
          <w:b/>
          <w:sz w:val="22"/>
          <w:szCs w:val="22"/>
        </w:rPr>
        <w:t xml:space="preserve">: Estimated Model </w:t>
      </w:r>
      <w:r w:rsidR="009B2AD4" w:rsidRPr="009B2AD4">
        <w:rPr>
          <w:rFonts w:ascii="Times New Roman" w:hAnsi="Times New Roman" w:cs="Times New Roman"/>
          <w:b/>
          <w:iCs/>
          <w:sz w:val="22"/>
          <w:szCs w:val="22"/>
        </w:rPr>
        <w:t>Coefficients</w:t>
      </w:r>
    </w:p>
    <w:tbl>
      <w:tblPr>
        <w:tblW w:w="4201" w:type="pct"/>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245"/>
        <w:gridCol w:w="1574"/>
        <w:gridCol w:w="150"/>
        <w:gridCol w:w="1614"/>
        <w:gridCol w:w="1003"/>
        <w:gridCol w:w="998"/>
      </w:tblGrid>
      <w:tr w:rsidR="009B2AD4" w:rsidRPr="009B2AD4" w14:paraId="0F32CF6B" w14:textId="77777777" w:rsidTr="009B2AD4">
        <w:trPr>
          <w:cantSplit/>
          <w:tblHeader/>
        </w:trPr>
        <w:tc>
          <w:tcPr>
            <w:tcW w:w="1480" w:type="pct"/>
            <w:tcBorders>
              <w:top w:val="single" w:sz="4" w:space="0" w:color="auto"/>
              <w:bottom w:val="single" w:sz="4" w:space="0" w:color="auto"/>
            </w:tcBorders>
            <w:shd w:val="clear" w:color="auto" w:fill="FFFFFF"/>
            <w:tcMar>
              <w:top w:w="30" w:type="dxa"/>
              <w:left w:w="30" w:type="dxa"/>
              <w:bottom w:w="30" w:type="dxa"/>
              <w:right w:w="30" w:type="dxa"/>
            </w:tcMar>
            <w:vAlign w:val="bottom"/>
          </w:tcPr>
          <w:p w14:paraId="289B5D79"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Model</w:t>
            </w:r>
          </w:p>
        </w:tc>
        <w:tc>
          <w:tcPr>
            <w:tcW w:w="1038" w:type="pct"/>
            <w:tcBorders>
              <w:top w:val="single" w:sz="4" w:space="0" w:color="auto"/>
              <w:bottom w:val="single" w:sz="4" w:space="0" w:color="auto"/>
            </w:tcBorders>
            <w:shd w:val="clear" w:color="auto" w:fill="FFFFFF"/>
            <w:tcMar>
              <w:top w:w="30" w:type="dxa"/>
              <w:left w:w="30" w:type="dxa"/>
              <w:bottom w:w="30" w:type="dxa"/>
              <w:right w:w="30" w:type="dxa"/>
            </w:tcMar>
            <w:vAlign w:val="bottom"/>
          </w:tcPr>
          <w:p w14:paraId="6B5DA2ED"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Standardized</w:t>
            </w:r>
          </w:p>
          <w:p w14:paraId="0240523E"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Coefficients</w:t>
            </w:r>
          </w:p>
          <w:p w14:paraId="789FB69D"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rPr>
              <w:t xml:space="preserve"> β</w:t>
            </w:r>
          </w:p>
        </w:tc>
        <w:tc>
          <w:tcPr>
            <w:tcW w:w="1163" w:type="pct"/>
            <w:gridSpan w:val="2"/>
            <w:tcBorders>
              <w:top w:val="single" w:sz="4" w:space="0" w:color="auto"/>
              <w:bottom w:val="single" w:sz="4" w:space="0" w:color="auto"/>
            </w:tcBorders>
            <w:shd w:val="clear" w:color="auto" w:fill="FFFFFF"/>
            <w:tcMar>
              <w:top w:w="30" w:type="dxa"/>
              <w:left w:w="30" w:type="dxa"/>
              <w:bottom w:w="30" w:type="dxa"/>
              <w:right w:w="30" w:type="dxa"/>
            </w:tcMar>
            <w:vAlign w:val="bottom"/>
          </w:tcPr>
          <w:p w14:paraId="222D97AE"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Std. Error</w:t>
            </w:r>
          </w:p>
        </w:tc>
        <w:tc>
          <w:tcPr>
            <w:tcW w:w="661" w:type="pct"/>
            <w:tcBorders>
              <w:top w:val="single" w:sz="4" w:space="0" w:color="auto"/>
              <w:bottom w:val="single" w:sz="4" w:space="0" w:color="auto"/>
            </w:tcBorders>
            <w:shd w:val="clear" w:color="auto" w:fill="FFFFFF"/>
            <w:tcMar>
              <w:top w:w="30" w:type="dxa"/>
              <w:left w:w="30" w:type="dxa"/>
              <w:bottom w:w="30" w:type="dxa"/>
              <w:right w:w="30" w:type="dxa"/>
            </w:tcMar>
            <w:vAlign w:val="bottom"/>
          </w:tcPr>
          <w:p w14:paraId="4A20B551"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t-value</w:t>
            </w:r>
          </w:p>
        </w:tc>
        <w:tc>
          <w:tcPr>
            <w:tcW w:w="658" w:type="pct"/>
            <w:tcBorders>
              <w:top w:val="single" w:sz="4" w:space="0" w:color="auto"/>
              <w:bottom w:val="single" w:sz="4" w:space="0" w:color="auto"/>
            </w:tcBorders>
            <w:shd w:val="clear" w:color="auto" w:fill="FFFFFF"/>
            <w:tcMar>
              <w:top w:w="30" w:type="dxa"/>
              <w:left w:w="30" w:type="dxa"/>
              <w:bottom w:w="30" w:type="dxa"/>
              <w:right w:w="30" w:type="dxa"/>
            </w:tcMar>
            <w:vAlign w:val="bottom"/>
          </w:tcPr>
          <w:p w14:paraId="63D8CCB9" w14:textId="77777777" w:rsidR="009B2AD4" w:rsidRPr="009B2AD4" w:rsidRDefault="009B2AD4" w:rsidP="009B2AD4">
            <w:pPr>
              <w:spacing w:after="0" w:line="240" w:lineRule="auto"/>
              <w:jc w:val="both"/>
              <w:rPr>
                <w:rFonts w:ascii="Times New Roman" w:hAnsi="Times New Roman" w:cs="Times New Roman"/>
                <w:sz w:val="22"/>
                <w:szCs w:val="22"/>
                <w:lang w:val="en-US"/>
              </w:rPr>
            </w:pPr>
            <w:proofErr w:type="spellStart"/>
            <w:r w:rsidRPr="009B2AD4">
              <w:rPr>
                <w:rFonts w:ascii="Times New Roman" w:hAnsi="Times New Roman" w:cs="Times New Roman"/>
                <w:sz w:val="22"/>
                <w:szCs w:val="22"/>
                <w:lang w:val="en-US"/>
              </w:rPr>
              <w:t>Pr</w:t>
            </w:r>
            <w:proofErr w:type="spellEnd"/>
            <w:r w:rsidRPr="009B2AD4">
              <w:rPr>
                <w:rFonts w:ascii="Times New Roman" w:hAnsi="Times New Roman" w:cs="Times New Roman"/>
                <w:sz w:val="22"/>
                <w:szCs w:val="22"/>
                <w:lang w:val="en-US"/>
              </w:rPr>
              <w:t xml:space="preserve"> (|&gt;t|)</w:t>
            </w:r>
          </w:p>
        </w:tc>
      </w:tr>
      <w:tr w:rsidR="009B2AD4" w:rsidRPr="009B2AD4" w14:paraId="0A402326" w14:textId="77777777" w:rsidTr="009B2AD4">
        <w:trPr>
          <w:cantSplit/>
          <w:tblHeader/>
        </w:trPr>
        <w:tc>
          <w:tcPr>
            <w:tcW w:w="1480" w:type="pct"/>
            <w:tcBorders>
              <w:top w:val="single" w:sz="4" w:space="0" w:color="auto"/>
            </w:tcBorders>
            <w:shd w:val="clear" w:color="auto" w:fill="FFFFFF"/>
            <w:tcMar>
              <w:top w:w="30" w:type="dxa"/>
              <w:left w:w="30" w:type="dxa"/>
              <w:bottom w:w="30" w:type="dxa"/>
              <w:right w:w="30" w:type="dxa"/>
            </w:tcMar>
          </w:tcPr>
          <w:p w14:paraId="2B4BF92A"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(Intercept)</w:t>
            </w:r>
          </w:p>
        </w:tc>
        <w:tc>
          <w:tcPr>
            <w:tcW w:w="1137" w:type="pct"/>
            <w:gridSpan w:val="2"/>
            <w:tcBorders>
              <w:top w:val="single" w:sz="4" w:space="0" w:color="auto"/>
            </w:tcBorders>
            <w:shd w:val="clear" w:color="auto" w:fill="FFFFFF"/>
            <w:tcMar>
              <w:top w:w="30" w:type="dxa"/>
              <w:left w:w="30" w:type="dxa"/>
              <w:bottom w:w="30" w:type="dxa"/>
              <w:right w:w="30" w:type="dxa"/>
            </w:tcMar>
            <w:vAlign w:val="center"/>
          </w:tcPr>
          <w:p w14:paraId="1CA28A11"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15.721</w:t>
            </w:r>
          </w:p>
        </w:tc>
        <w:tc>
          <w:tcPr>
            <w:tcW w:w="1064" w:type="pct"/>
            <w:tcBorders>
              <w:top w:val="single" w:sz="4" w:space="0" w:color="auto"/>
            </w:tcBorders>
            <w:shd w:val="clear" w:color="auto" w:fill="FFFFFF"/>
            <w:tcMar>
              <w:top w:w="30" w:type="dxa"/>
              <w:left w:w="30" w:type="dxa"/>
              <w:bottom w:w="30" w:type="dxa"/>
              <w:right w:w="30" w:type="dxa"/>
            </w:tcMar>
            <w:vAlign w:val="center"/>
          </w:tcPr>
          <w:p w14:paraId="22975E6F"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3.700</w:t>
            </w:r>
          </w:p>
        </w:tc>
        <w:tc>
          <w:tcPr>
            <w:tcW w:w="661" w:type="pct"/>
            <w:tcBorders>
              <w:top w:val="single" w:sz="4" w:space="0" w:color="auto"/>
            </w:tcBorders>
            <w:shd w:val="clear" w:color="auto" w:fill="FFFFFF"/>
            <w:tcMar>
              <w:top w:w="30" w:type="dxa"/>
              <w:left w:w="30" w:type="dxa"/>
              <w:bottom w:w="30" w:type="dxa"/>
              <w:right w:w="30" w:type="dxa"/>
            </w:tcMar>
            <w:vAlign w:val="center"/>
          </w:tcPr>
          <w:p w14:paraId="240E7AE7"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.924</w:t>
            </w:r>
          </w:p>
        </w:tc>
        <w:tc>
          <w:tcPr>
            <w:tcW w:w="658" w:type="pct"/>
            <w:tcBorders>
              <w:top w:val="single" w:sz="4" w:space="0" w:color="auto"/>
            </w:tcBorders>
            <w:shd w:val="clear" w:color="auto" w:fill="FFFFFF"/>
            <w:tcMar>
              <w:top w:w="30" w:type="dxa"/>
              <w:left w:w="30" w:type="dxa"/>
              <w:bottom w:w="30" w:type="dxa"/>
              <w:right w:w="30" w:type="dxa"/>
            </w:tcMar>
            <w:vAlign w:val="center"/>
          </w:tcPr>
          <w:p w14:paraId="5A8DBAB2"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.000</w:t>
            </w:r>
          </w:p>
        </w:tc>
      </w:tr>
      <w:tr w:rsidR="009B2AD4" w:rsidRPr="009B2AD4" w14:paraId="0C85D2C8" w14:textId="77777777" w:rsidTr="009B2AD4">
        <w:trPr>
          <w:cantSplit/>
          <w:tblHeader/>
        </w:trPr>
        <w:tc>
          <w:tcPr>
            <w:tcW w:w="1480" w:type="pct"/>
            <w:shd w:val="clear" w:color="auto" w:fill="FFFFFF"/>
            <w:tcMar>
              <w:top w:w="30" w:type="dxa"/>
              <w:left w:w="30" w:type="dxa"/>
              <w:bottom w:w="30" w:type="dxa"/>
              <w:right w:w="30" w:type="dxa"/>
            </w:tcMar>
          </w:tcPr>
          <w:p w14:paraId="59910C2B"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 xml:space="preserve">Project’s sustainability model </w:t>
            </w:r>
          </w:p>
        </w:tc>
        <w:tc>
          <w:tcPr>
            <w:tcW w:w="1137" w:type="pct"/>
            <w:gridSpan w:val="2"/>
            <w:shd w:val="clear" w:color="auto" w:fill="FFFFFF"/>
            <w:tcMar>
              <w:top w:w="30" w:type="dxa"/>
              <w:left w:w="30" w:type="dxa"/>
              <w:bottom w:w="30" w:type="dxa"/>
              <w:right w:w="30" w:type="dxa"/>
            </w:tcMar>
            <w:vAlign w:val="center"/>
          </w:tcPr>
          <w:p w14:paraId="2C8CC3A2"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5.551</w:t>
            </w:r>
          </w:p>
        </w:tc>
        <w:tc>
          <w:tcPr>
            <w:tcW w:w="1064" w:type="pct"/>
            <w:shd w:val="clear" w:color="auto" w:fill="FFFFFF"/>
            <w:tcMar>
              <w:top w:w="30" w:type="dxa"/>
              <w:left w:w="30" w:type="dxa"/>
              <w:bottom w:w="30" w:type="dxa"/>
              <w:right w:w="30" w:type="dxa"/>
            </w:tcMar>
            <w:vAlign w:val="center"/>
          </w:tcPr>
          <w:p w14:paraId="2F39FAEA"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3.793</w:t>
            </w:r>
          </w:p>
        </w:tc>
        <w:tc>
          <w:tcPr>
            <w:tcW w:w="661" w:type="pct"/>
            <w:shd w:val="clear" w:color="auto" w:fill="FFFFFF"/>
            <w:tcMar>
              <w:top w:w="30" w:type="dxa"/>
              <w:left w:w="30" w:type="dxa"/>
              <w:bottom w:w="30" w:type="dxa"/>
              <w:right w:w="30" w:type="dxa"/>
            </w:tcMar>
            <w:vAlign w:val="center"/>
          </w:tcPr>
          <w:p w14:paraId="5E5BAD69"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0.822</w:t>
            </w:r>
          </w:p>
        </w:tc>
        <w:tc>
          <w:tcPr>
            <w:tcW w:w="658" w:type="pct"/>
            <w:shd w:val="clear" w:color="auto" w:fill="FFFFFF"/>
            <w:tcMar>
              <w:top w:w="30" w:type="dxa"/>
              <w:left w:w="30" w:type="dxa"/>
              <w:bottom w:w="30" w:type="dxa"/>
              <w:right w:w="30" w:type="dxa"/>
            </w:tcMar>
            <w:vAlign w:val="center"/>
          </w:tcPr>
          <w:p w14:paraId="7E187D24"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.001</w:t>
            </w:r>
          </w:p>
        </w:tc>
      </w:tr>
      <w:tr w:rsidR="009B2AD4" w:rsidRPr="009B2AD4" w14:paraId="4929F986" w14:textId="77777777" w:rsidTr="009B2AD4">
        <w:trPr>
          <w:cantSplit/>
          <w:tblHeader/>
        </w:trPr>
        <w:tc>
          <w:tcPr>
            <w:tcW w:w="1480" w:type="pct"/>
            <w:shd w:val="clear" w:color="auto" w:fill="FFFFFF"/>
            <w:tcMar>
              <w:top w:w="30" w:type="dxa"/>
              <w:left w:w="30" w:type="dxa"/>
              <w:bottom w:w="30" w:type="dxa"/>
              <w:right w:w="30" w:type="dxa"/>
            </w:tcMar>
          </w:tcPr>
          <w:p w14:paraId="04F3EA26"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Alignment with donor priorities</w:t>
            </w:r>
          </w:p>
        </w:tc>
        <w:tc>
          <w:tcPr>
            <w:tcW w:w="1137" w:type="pct"/>
            <w:gridSpan w:val="2"/>
            <w:shd w:val="clear" w:color="auto" w:fill="FFFFFF"/>
            <w:tcMar>
              <w:top w:w="30" w:type="dxa"/>
              <w:left w:w="30" w:type="dxa"/>
              <w:bottom w:w="30" w:type="dxa"/>
              <w:right w:w="30" w:type="dxa"/>
            </w:tcMar>
            <w:vAlign w:val="center"/>
          </w:tcPr>
          <w:p w14:paraId="1C6A5CB8"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11.402</w:t>
            </w:r>
          </w:p>
        </w:tc>
        <w:tc>
          <w:tcPr>
            <w:tcW w:w="1064" w:type="pct"/>
            <w:shd w:val="clear" w:color="auto" w:fill="FFFFFF"/>
            <w:tcMar>
              <w:top w:w="30" w:type="dxa"/>
              <w:left w:w="30" w:type="dxa"/>
              <w:bottom w:w="30" w:type="dxa"/>
              <w:right w:w="30" w:type="dxa"/>
            </w:tcMar>
            <w:vAlign w:val="center"/>
          </w:tcPr>
          <w:p w14:paraId="3773B910"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3.666</w:t>
            </w:r>
          </w:p>
        </w:tc>
        <w:tc>
          <w:tcPr>
            <w:tcW w:w="661" w:type="pct"/>
            <w:shd w:val="clear" w:color="auto" w:fill="FFFFFF"/>
            <w:tcMar>
              <w:top w:w="30" w:type="dxa"/>
              <w:left w:w="30" w:type="dxa"/>
              <w:bottom w:w="30" w:type="dxa"/>
              <w:right w:w="30" w:type="dxa"/>
            </w:tcMar>
            <w:vAlign w:val="center"/>
          </w:tcPr>
          <w:p w14:paraId="6D8F79D2"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2.802</w:t>
            </w:r>
          </w:p>
        </w:tc>
        <w:tc>
          <w:tcPr>
            <w:tcW w:w="658" w:type="pct"/>
            <w:shd w:val="clear" w:color="auto" w:fill="FFFFFF"/>
            <w:tcMar>
              <w:top w:w="30" w:type="dxa"/>
              <w:left w:w="30" w:type="dxa"/>
              <w:bottom w:w="30" w:type="dxa"/>
              <w:right w:w="30" w:type="dxa"/>
            </w:tcMar>
            <w:vAlign w:val="center"/>
          </w:tcPr>
          <w:p w14:paraId="3441536B" w14:textId="77777777" w:rsidR="009B2AD4" w:rsidRPr="009B2AD4" w:rsidRDefault="009B2AD4" w:rsidP="009B2AD4">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lang w:val="en-US"/>
              </w:rPr>
              <w:t>.000</w:t>
            </w:r>
          </w:p>
        </w:tc>
      </w:tr>
    </w:tbl>
    <w:p w14:paraId="7BCCFD48" w14:textId="77777777" w:rsidR="00924C20" w:rsidRDefault="00924C20" w:rsidP="009B2AD4">
      <w:pPr>
        <w:spacing w:after="0" w:line="240" w:lineRule="auto"/>
        <w:jc w:val="both"/>
        <w:rPr>
          <w:rFonts w:ascii="Times New Roman" w:hAnsi="Times New Roman" w:cs="Times New Roman"/>
          <w:bCs/>
          <w:sz w:val="22"/>
          <w:szCs w:val="22"/>
          <w:lang w:val="en-US"/>
        </w:rPr>
      </w:pPr>
    </w:p>
    <w:p w14:paraId="12623264" w14:textId="437F0AC5" w:rsidR="009B2AD4" w:rsidRPr="009B2AD4" w:rsidRDefault="009B2AD4" w:rsidP="009B2AD4">
      <w:pPr>
        <w:spacing w:after="0" w:line="240" w:lineRule="auto"/>
        <w:jc w:val="both"/>
        <w:rPr>
          <w:rFonts w:ascii="Times New Roman" w:hAnsi="Times New Roman" w:cs="Times New Roman"/>
          <w:sz w:val="22"/>
          <w:szCs w:val="22"/>
        </w:rPr>
      </w:pPr>
      <w:r w:rsidRPr="009B2AD4">
        <w:rPr>
          <w:rFonts w:ascii="Times New Roman" w:hAnsi="Times New Roman" w:cs="Times New Roman"/>
          <w:sz w:val="22"/>
          <w:szCs w:val="22"/>
        </w:rPr>
        <w:t xml:space="preserve">The following was the general multiple linear regression model: </w:t>
      </w:r>
    </w:p>
    <w:p w14:paraId="5C33F05B" w14:textId="77777777" w:rsidR="009B2AD4" w:rsidRPr="009B2AD4" w:rsidRDefault="009B2AD4" w:rsidP="009B2AD4">
      <w:pPr>
        <w:spacing w:after="0" w:line="240" w:lineRule="auto"/>
        <w:jc w:val="both"/>
        <w:rPr>
          <w:rFonts w:ascii="Times New Roman" w:hAnsi="Times New Roman" w:cs="Times New Roman"/>
          <w:sz w:val="22"/>
          <w:szCs w:val="22"/>
        </w:rPr>
      </w:pPr>
      <w:r w:rsidRPr="009B2AD4">
        <w:rPr>
          <w:rFonts w:ascii="Times New Roman" w:hAnsi="Times New Roman" w:cs="Times New Roman"/>
          <w:sz w:val="22"/>
          <w:szCs w:val="22"/>
        </w:rPr>
        <w:t>Y = α + β</w:t>
      </w:r>
      <w:r w:rsidRPr="009B2AD4">
        <w:rPr>
          <w:rFonts w:ascii="Times New Roman" w:hAnsi="Times New Roman" w:cs="Times New Roman"/>
          <w:sz w:val="22"/>
          <w:szCs w:val="22"/>
          <w:vertAlign w:val="subscript"/>
        </w:rPr>
        <w:t>1</w:t>
      </w:r>
      <w:r w:rsidRPr="009B2AD4">
        <w:rPr>
          <w:rFonts w:ascii="Times New Roman" w:hAnsi="Times New Roman" w:cs="Times New Roman"/>
          <w:sz w:val="22"/>
          <w:szCs w:val="22"/>
        </w:rPr>
        <w:t xml:space="preserve"> X</w:t>
      </w:r>
      <w:r w:rsidRPr="009B2AD4">
        <w:rPr>
          <w:rFonts w:ascii="Times New Roman" w:hAnsi="Times New Roman" w:cs="Times New Roman"/>
          <w:sz w:val="22"/>
          <w:szCs w:val="22"/>
          <w:vertAlign w:val="subscript"/>
        </w:rPr>
        <w:t>1</w:t>
      </w:r>
      <w:r w:rsidRPr="009B2AD4">
        <w:rPr>
          <w:rFonts w:ascii="Times New Roman" w:hAnsi="Times New Roman" w:cs="Times New Roman"/>
          <w:sz w:val="22"/>
          <w:szCs w:val="22"/>
        </w:rPr>
        <w:t xml:space="preserve"> + β</w:t>
      </w:r>
      <w:r w:rsidRPr="009B2AD4">
        <w:rPr>
          <w:rFonts w:ascii="Times New Roman" w:hAnsi="Times New Roman" w:cs="Times New Roman"/>
          <w:sz w:val="22"/>
          <w:szCs w:val="22"/>
          <w:vertAlign w:val="subscript"/>
        </w:rPr>
        <w:t xml:space="preserve">2 </w:t>
      </w:r>
      <w:r w:rsidRPr="009B2AD4">
        <w:rPr>
          <w:rFonts w:ascii="Times New Roman" w:hAnsi="Times New Roman" w:cs="Times New Roman"/>
          <w:sz w:val="22"/>
          <w:szCs w:val="22"/>
        </w:rPr>
        <w:t>X</w:t>
      </w:r>
      <w:r w:rsidRPr="009B2AD4">
        <w:rPr>
          <w:rFonts w:ascii="Times New Roman" w:hAnsi="Times New Roman" w:cs="Times New Roman"/>
          <w:sz w:val="22"/>
          <w:szCs w:val="22"/>
          <w:vertAlign w:val="subscript"/>
        </w:rPr>
        <w:t>2</w:t>
      </w:r>
      <w:r w:rsidRPr="009B2AD4">
        <w:rPr>
          <w:rFonts w:ascii="Times New Roman" w:hAnsi="Times New Roman" w:cs="Times New Roman"/>
          <w:sz w:val="22"/>
          <w:szCs w:val="22"/>
        </w:rPr>
        <w:t xml:space="preserve"> + є</w:t>
      </w:r>
    </w:p>
    <w:p w14:paraId="4F98BE94" w14:textId="77777777" w:rsidR="009B2AD4" w:rsidRPr="009B2AD4" w:rsidRDefault="009B2AD4" w:rsidP="009B2AD4">
      <w:pPr>
        <w:spacing w:after="0" w:line="240" w:lineRule="auto"/>
        <w:jc w:val="both"/>
        <w:rPr>
          <w:rFonts w:ascii="Times New Roman" w:hAnsi="Times New Roman" w:cs="Times New Roman"/>
          <w:sz w:val="22"/>
          <w:szCs w:val="22"/>
        </w:rPr>
      </w:pPr>
      <w:r w:rsidRPr="009B2AD4">
        <w:rPr>
          <w:rFonts w:ascii="Times New Roman" w:hAnsi="Times New Roman" w:cs="Times New Roman"/>
          <w:sz w:val="22"/>
          <w:szCs w:val="22"/>
        </w:rPr>
        <w:t>Positive grant award decision = α + β1 (Sustainability model) + β5 (Alignment with donor priorities) + ε.</w:t>
      </w:r>
    </w:p>
    <w:p w14:paraId="31D426B5" w14:textId="77777777" w:rsidR="009B2AD4" w:rsidRPr="009B2AD4" w:rsidRDefault="009B2AD4" w:rsidP="009B2AD4">
      <w:pPr>
        <w:spacing w:after="0" w:line="240" w:lineRule="auto"/>
        <w:jc w:val="both"/>
        <w:rPr>
          <w:rFonts w:ascii="Times New Roman" w:hAnsi="Times New Roman" w:cs="Times New Roman"/>
          <w:sz w:val="22"/>
          <w:szCs w:val="22"/>
          <w:vertAlign w:val="subscript"/>
        </w:rPr>
      </w:pPr>
      <w:r w:rsidRPr="009B2AD4">
        <w:rPr>
          <w:rFonts w:ascii="Times New Roman" w:hAnsi="Times New Roman" w:cs="Times New Roman"/>
          <w:sz w:val="22"/>
          <w:szCs w:val="22"/>
        </w:rPr>
        <w:t>Therefore, the likelihood of positive donor grant award decision = 15.721 + 5.551X</w:t>
      </w:r>
      <w:r w:rsidRPr="009B2AD4">
        <w:rPr>
          <w:rFonts w:ascii="Times New Roman" w:hAnsi="Times New Roman" w:cs="Times New Roman"/>
          <w:sz w:val="22"/>
          <w:szCs w:val="22"/>
          <w:vertAlign w:val="subscript"/>
        </w:rPr>
        <w:t>1</w:t>
      </w:r>
      <w:r w:rsidRPr="009B2AD4">
        <w:rPr>
          <w:rFonts w:ascii="Times New Roman" w:hAnsi="Times New Roman" w:cs="Times New Roman"/>
          <w:sz w:val="22"/>
          <w:szCs w:val="22"/>
        </w:rPr>
        <w:t xml:space="preserve"> + 11.402 X</w:t>
      </w:r>
      <w:r w:rsidR="008B4DB0">
        <w:rPr>
          <w:rFonts w:ascii="Times New Roman" w:hAnsi="Times New Roman" w:cs="Times New Roman"/>
          <w:sz w:val="22"/>
          <w:szCs w:val="22"/>
          <w:vertAlign w:val="subscript"/>
        </w:rPr>
        <w:t>2</w:t>
      </w:r>
    </w:p>
    <w:p w14:paraId="32DDB9A8" w14:textId="77777777" w:rsidR="009B2AD4" w:rsidRDefault="009B2AD4" w:rsidP="00E37EB3">
      <w:pPr>
        <w:spacing w:after="0" w:line="240" w:lineRule="auto"/>
        <w:jc w:val="both"/>
        <w:rPr>
          <w:rFonts w:ascii="Times New Roman" w:hAnsi="Times New Roman" w:cs="Times New Roman"/>
          <w:sz w:val="22"/>
          <w:szCs w:val="22"/>
          <w:lang w:val="en-US"/>
        </w:rPr>
      </w:pPr>
      <w:r w:rsidRPr="009B2AD4">
        <w:rPr>
          <w:rFonts w:ascii="Times New Roman" w:hAnsi="Times New Roman" w:cs="Times New Roman"/>
          <w:sz w:val="22"/>
          <w:szCs w:val="22"/>
        </w:rPr>
        <w:t>The study finds that there was a positive correlation between the dependent variable and each of the independent variables. The largest determinant of the positive donor grant award decision was observed in the alignment with donor priorities (t = 2.802)</w:t>
      </w:r>
      <w:r w:rsidR="00826FDC">
        <w:rPr>
          <w:rFonts w:ascii="Times New Roman" w:hAnsi="Times New Roman" w:cs="Times New Roman"/>
          <w:sz w:val="22"/>
          <w:szCs w:val="22"/>
        </w:rPr>
        <w:t>.</w:t>
      </w:r>
      <w:r w:rsidRPr="009B2AD4">
        <w:rPr>
          <w:rFonts w:ascii="Times New Roman" w:hAnsi="Times New Roman" w:cs="Times New Roman"/>
          <w:sz w:val="22"/>
          <w:szCs w:val="22"/>
        </w:rPr>
        <w:t xml:space="preserve"> The study used standardized coefficients because a</w:t>
      </w:r>
      <w:r w:rsidRPr="009B2AD4">
        <w:rPr>
          <w:rFonts w:ascii="Times New Roman" w:hAnsi="Times New Roman" w:cs="Times New Roman"/>
          <w:sz w:val="22"/>
          <w:szCs w:val="22"/>
          <w:lang w:val="en-US"/>
        </w:rPr>
        <w:t>t 95% confidence level, there was no need to use unstandardized coefficients.</w:t>
      </w:r>
    </w:p>
    <w:p w14:paraId="7F283BF1" w14:textId="77777777" w:rsidR="009B2AD4" w:rsidRDefault="009B2AD4" w:rsidP="00E37EB3">
      <w:pPr>
        <w:spacing w:after="0" w:line="240" w:lineRule="auto"/>
        <w:jc w:val="both"/>
        <w:rPr>
          <w:rFonts w:ascii="Times New Roman" w:hAnsi="Times New Roman" w:cs="Times New Roman"/>
          <w:sz w:val="22"/>
          <w:szCs w:val="22"/>
          <w:lang w:val="en-US"/>
        </w:rPr>
      </w:pPr>
    </w:p>
    <w:p w14:paraId="45908B8E" w14:textId="77777777" w:rsidR="00E37EB3" w:rsidRPr="00E37EB3" w:rsidRDefault="00E37EB3" w:rsidP="00E37EB3">
      <w:pPr>
        <w:spacing w:line="240" w:lineRule="auto"/>
        <w:rPr>
          <w:rFonts w:ascii="Times New Roman" w:hAnsi="Times New Roman" w:cs="Times New Roman"/>
          <w:b/>
          <w:bCs/>
          <w:lang w:val="en-US"/>
        </w:rPr>
      </w:pPr>
      <w:r w:rsidRPr="00E37EB3">
        <w:rPr>
          <w:rFonts w:ascii="Times New Roman" w:hAnsi="Times New Roman" w:cs="Times New Roman"/>
          <w:b/>
          <w:bCs/>
          <w:lang w:val="en-US"/>
        </w:rPr>
        <w:t>Conclusion</w:t>
      </w:r>
    </w:p>
    <w:p w14:paraId="55469BEE"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lastRenderedPageBreak/>
        <w:t>The study finds that a proposal can hardly be funded if it doesn’t align with donor priorities, suggesting a strong positive correlation between alignment to donor priorities and positive grant ward decisions (co-efficient = 11.402). This underscores the importance of aligning project designs to donor priorities as donors tend to fund projects/programs that best meet their strategic needs. Overall, the study finds that project designs that are well aligned to donor priorities are more likely to result in positive grant award decisions, especially in competitive humanitarian spaces.</w:t>
      </w:r>
    </w:p>
    <w:p w14:paraId="10D8CF08"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The study concludes that alignment to donor priorities is a critical factor to be considered and managed well when designing grant proposals. This is because the most important thing for a donor is that their funding meets their strategic needs; thus, project designs that do not support donor priorities are likely to be rejected in competitive applications. </w:t>
      </w:r>
    </w:p>
    <w:p w14:paraId="688B2A04" w14:textId="77777777" w:rsidR="00E37EB3" w:rsidRDefault="00E37EB3" w:rsidP="004749BC">
      <w:pPr>
        <w:spacing w:after="0" w:line="240" w:lineRule="auto"/>
        <w:jc w:val="both"/>
        <w:rPr>
          <w:rFonts w:ascii="Times New Roman" w:hAnsi="Times New Roman" w:cs="Times New Roman"/>
          <w:b/>
          <w:bCs/>
        </w:rPr>
      </w:pPr>
    </w:p>
    <w:p w14:paraId="3DD7B990" w14:textId="77777777" w:rsidR="004749BC" w:rsidRDefault="00E37EB3" w:rsidP="004749BC">
      <w:pPr>
        <w:spacing w:after="0" w:line="240" w:lineRule="auto"/>
        <w:jc w:val="both"/>
        <w:rPr>
          <w:rFonts w:ascii="Times New Roman" w:hAnsi="Times New Roman" w:cs="Times New Roman"/>
          <w:b/>
          <w:bCs/>
        </w:rPr>
      </w:pPr>
      <w:r w:rsidRPr="00E37EB3">
        <w:rPr>
          <w:rFonts w:ascii="Times New Roman" w:hAnsi="Times New Roman" w:cs="Times New Roman"/>
          <w:b/>
          <w:bCs/>
        </w:rPr>
        <w:t>Recommendation</w:t>
      </w:r>
    </w:p>
    <w:p w14:paraId="17F6A88D" w14:textId="77777777" w:rsidR="00E37EB3" w:rsidRPr="00E37EB3" w:rsidRDefault="00E37EB3" w:rsidP="004749BC">
      <w:pPr>
        <w:spacing w:after="0" w:line="240" w:lineRule="auto"/>
        <w:jc w:val="both"/>
        <w:rPr>
          <w:rFonts w:ascii="Times New Roman" w:hAnsi="Times New Roman" w:cs="Times New Roman"/>
          <w:b/>
          <w:bCs/>
        </w:rPr>
      </w:pPr>
    </w:p>
    <w:p w14:paraId="6CACD787"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The study concludes that project alignment with donor priorities is a critical factor to be considered carefully and managed well when designing grant proposals in a competitive landscape. This is because, most times, the most important thing for a donor is that their funding meets their strategic priorities; thus, project designs that do not support donor priorities are likely to be rejected in a competitive bidding. </w:t>
      </w:r>
    </w:p>
    <w:p w14:paraId="3DD539A0"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The study strictly recommends that project designs should be closely aligned with the donor terms of reference and most importantly, their strategic priorities and objectives. Whiles donors emphasize creative designs, giving room for innovative and creative project designs, strategies or approaches, the study recommends that project designs should be aligned with donor priorities for a positive grant award decision, especially in a competitive funding landscape. The study further recommends that draft project designs should be tested or thoroughly reviewed for alignment with donor priorities. Any major deviations from the donor priority list should be quickly realigned and kept relevant and current to the donor priorities. This can be ensured through multiple reviews, including a third party or peer review of the project design drafts to ensure they are strongly aligned with the donor priorities. In recent times, some project design teams do use artificial intelligence to measure the alignment levels of their designs. This gives an accurate metric of how well a project design is aligned to donor priorities and strategic objectives. Where digital security and responsible use of technology is ensured, artificial intelligence can also be used to measure the level of alignment of project designs with donor priorities, all to ensure the grant proposal receives a positive award decision by the donor.</w:t>
      </w:r>
    </w:p>
    <w:p w14:paraId="38107209" w14:textId="77777777" w:rsidR="00A17103" w:rsidRDefault="00A17103" w:rsidP="004749BC">
      <w:pPr>
        <w:spacing w:after="0" w:line="240" w:lineRule="auto"/>
        <w:jc w:val="both"/>
        <w:rPr>
          <w:rFonts w:ascii="Times New Roman" w:hAnsi="Times New Roman" w:cs="Times New Roman"/>
          <w:sz w:val="22"/>
          <w:szCs w:val="22"/>
        </w:rPr>
      </w:pPr>
    </w:p>
    <w:p w14:paraId="69F3A4F9" w14:textId="77777777" w:rsidR="00A17103" w:rsidRPr="00A17103" w:rsidRDefault="00A17103" w:rsidP="004749BC">
      <w:pPr>
        <w:spacing w:after="0" w:line="240" w:lineRule="auto"/>
        <w:jc w:val="both"/>
        <w:rPr>
          <w:rFonts w:ascii="Times New Roman" w:hAnsi="Times New Roman" w:cs="Times New Roman"/>
          <w:b/>
          <w:bCs/>
        </w:rPr>
      </w:pPr>
      <w:r w:rsidRPr="00A17103">
        <w:rPr>
          <w:rFonts w:ascii="Times New Roman" w:hAnsi="Times New Roman" w:cs="Times New Roman"/>
          <w:b/>
          <w:bCs/>
        </w:rPr>
        <w:t xml:space="preserve">References </w:t>
      </w:r>
    </w:p>
    <w:p w14:paraId="430CDF44" w14:textId="77777777" w:rsidR="00826FDC" w:rsidRPr="00826FDC" w:rsidRDefault="00826FDC" w:rsidP="00826FDC">
      <w:pPr>
        <w:spacing w:after="0" w:line="240" w:lineRule="auto"/>
        <w:jc w:val="both"/>
        <w:rPr>
          <w:rFonts w:ascii="Times New Roman" w:hAnsi="Times New Roman" w:cs="Times New Roman"/>
          <w:sz w:val="22"/>
          <w:szCs w:val="22"/>
          <w:lang w:val="en-US"/>
        </w:rPr>
      </w:pPr>
      <w:bookmarkStart w:id="20" w:name="_Hlk193558678"/>
      <w:r w:rsidRPr="00826FDC">
        <w:rPr>
          <w:rFonts w:ascii="Times New Roman" w:hAnsi="Times New Roman" w:cs="Times New Roman"/>
          <w:sz w:val="22"/>
          <w:szCs w:val="22"/>
          <w:lang w:val="en-US"/>
        </w:rPr>
        <w:t xml:space="preserve">Abby Stoddard (n.d.), Raising the Bar, Humanitarian Firms: Commercial Business Engagement in Emergency Response </w:t>
      </w:r>
    </w:p>
    <w:p w14:paraId="5FDE0260" w14:textId="77777777" w:rsidR="00826FDC" w:rsidRPr="00826FDC" w:rsidRDefault="00826FDC" w:rsidP="00826FDC">
      <w:pPr>
        <w:spacing w:after="0" w:line="240" w:lineRule="auto"/>
        <w:jc w:val="both"/>
        <w:rPr>
          <w:rFonts w:ascii="Times New Roman" w:hAnsi="Times New Roman" w:cs="Times New Roman"/>
          <w:sz w:val="22"/>
          <w:szCs w:val="22"/>
          <w:lang w:val="en-US"/>
        </w:rPr>
      </w:pPr>
      <w:proofErr w:type="spellStart"/>
      <w:r w:rsidRPr="00826FDC">
        <w:rPr>
          <w:rFonts w:ascii="Times New Roman" w:hAnsi="Times New Roman" w:cs="Times New Roman"/>
          <w:sz w:val="22"/>
          <w:szCs w:val="22"/>
          <w:lang w:val="en-US"/>
        </w:rPr>
        <w:t>Abidin</w:t>
      </w:r>
      <w:proofErr w:type="spellEnd"/>
      <w:r w:rsidRPr="00826FDC">
        <w:rPr>
          <w:rFonts w:ascii="Times New Roman" w:hAnsi="Times New Roman" w:cs="Times New Roman"/>
          <w:sz w:val="22"/>
          <w:szCs w:val="22"/>
          <w:lang w:val="en-US"/>
        </w:rPr>
        <w:t xml:space="preserve">, N. Z. and </w:t>
      </w:r>
      <w:proofErr w:type="spellStart"/>
      <w:r w:rsidRPr="00826FDC">
        <w:rPr>
          <w:rFonts w:ascii="Times New Roman" w:hAnsi="Times New Roman" w:cs="Times New Roman"/>
          <w:sz w:val="22"/>
          <w:szCs w:val="22"/>
          <w:lang w:val="en-US"/>
        </w:rPr>
        <w:t>Pasquire</w:t>
      </w:r>
      <w:proofErr w:type="spellEnd"/>
      <w:r w:rsidRPr="00826FDC">
        <w:rPr>
          <w:rFonts w:ascii="Times New Roman" w:hAnsi="Times New Roman" w:cs="Times New Roman"/>
          <w:sz w:val="22"/>
          <w:szCs w:val="22"/>
          <w:lang w:val="en-US"/>
        </w:rPr>
        <w:t xml:space="preserve">, C. (2007). Revolutionize value management: a mode towards sustainability. International Journal of Project Management, 25(3), 275-282. </w:t>
      </w:r>
      <w:hyperlink r:id="rId7" w:history="1">
        <w:r w:rsidRPr="00826FDC">
          <w:rPr>
            <w:rStyle w:val="Hyperlink"/>
            <w:rFonts w:ascii="Times New Roman" w:hAnsi="Times New Roman" w:cs="Times New Roman"/>
            <w:sz w:val="22"/>
            <w:szCs w:val="22"/>
            <w:lang w:val="en-US"/>
          </w:rPr>
          <w:t>https://doi.org/10.1016/j.ijproman.2006.10.005</w:t>
        </w:r>
      </w:hyperlink>
    </w:p>
    <w:p w14:paraId="630E1270"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Adams, C. A. (2002). Internal </w:t>
      </w:r>
      <w:proofErr w:type="spellStart"/>
      <w:r w:rsidRPr="00826FDC">
        <w:rPr>
          <w:rFonts w:ascii="Times New Roman" w:hAnsi="Times New Roman" w:cs="Times New Roman"/>
          <w:sz w:val="22"/>
          <w:szCs w:val="22"/>
          <w:lang w:val="en-US"/>
        </w:rPr>
        <w:t>organisational</w:t>
      </w:r>
      <w:proofErr w:type="spellEnd"/>
      <w:r w:rsidRPr="00826FDC">
        <w:rPr>
          <w:rFonts w:ascii="Times New Roman" w:hAnsi="Times New Roman" w:cs="Times New Roman"/>
          <w:sz w:val="22"/>
          <w:szCs w:val="22"/>
          <w:lang w:val="en-US"/>
        </w:rPr>
        <w:t xml:space="preserve"> factors influencing corporate social and ethical reporting. Accounting, Auditing &amp;Amp; Accountability Journal, 15(2), 223-250. </w:t>
      </w:r>
      <w:hyperlink r:id="rId8" w:history="1">
        <w:r w:rsidRPr="00826FDC">
          <w:rPr>
            <w:rStyle w:val="Hyperlink"/>
            <w:rFonts w:ascii="Times New Roman" w:hAnsi="Times New Roman" w:cs="Times New Roman"/>
            <w:sz w:val="22"/>
            <w:szCs w:val="22"/>
            <w:lang w:val="en-US"/>
          </w:rPr>
          <w:t>https://doi.org/10.1108/09513570210418905</w:t>
        </w:r>
      </w:hyperlink>
    </w:p>
    <w:p w14:paraId="2DE62C4E"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Ahmad, A., </w:t>
      </w:r>
      <w:proofErr w:type="spellStart"/>
      <w:r w:rsidRPr="00826FDC">
        <w:rPr>
          <w:rFonts w:ascii="Times New Roman" w:hAnsi="Times New Roman" w:cs="Times New Roman"/>
          <w:sz w:val="22"/>
          <w:szCs w:val="22"/>
          <w:lang w:val="en-US"/>
        </w:rPr>
        <w:t>Jamaludin</w:t>
      </w:r>
      <w:proofErr w:type="spellEnd"/>
      <w:r w:rsidRPr="00826FDC">
        <w:rPr>
          <w:rFonts w:ascii="Times New Roman" w:hAnsi="Times New Roman" w:cs="Times New Roman"/>
          <w:sz w:val="22"/>
          <w:szCs w:val="22"/>
          <w:lang w:val="en-US"/>
        </w:rPr>
        <w:t xml:space="preserve">, M., </w:t>
      </w:r>
      <w:proofErr w:type="spellStart"/>
      <w:r w:rsidRPr="00826FDC">
        <w:rPr>
          <w:rFonts w:ascii="Times New Roman" w:hAnsi="Times New Roman" w:cs="Times New Roman"/>
          <w:sz w:val="22"/>
          <w:szCs w:val="22"/>
          <w:lang w:val="en-US"/>
        </w:rPr>
        <w:t>Sapry</w:t>
      </w:r>
      <w:proofErr w:type="spellEnd"/>
      <w:r w:rsidRPr="00826FDC">
        <w:rPr>
          <w:rFonts w:ascii="Times New Roman" w:hAnsi="Times New Roman" w:cs="Times New Roman"/>
          <w:sz w:val="22"/>
          <w:szCs w:val="22"/>
          <w:lang w:val="en-US"/>
        </w:rPr>
        <w:t xml:space="preserve">, H., &amp; Jameel, A. (2023). Designing strategies framework for effective funding formula implementation at </w:t>
      </w:r>
      <w:proofErr w:type="spellStart"/>
      <w:r w:rsidRPr="00826FDC">
        <w:rPr>
          <w:rFonts w:ascii="Times New Roman" w:hAnsi="Times New Roman" w:cs="Times New Roman"/>
          <w:sz w:val="22"/>
          <w:szCs w:val="22"/>
          <w:lang w:val="en-US"/>
        </w:rPr>
        <w:t>malaysian</w:t>
      </w:r>
      <w:proofErr w:type="spellEnd"/>
      <w:r w:rsidRPr="00826FDC">
        <w:rPr>
          <w:rFonts w:ascii="Times New Roman" w:hAnsi="Times New Roman" w:cs="Times New Roman"/>
          <w:sz w:val="22"/>
          <w:szCs w:val="22"/>
          <w:lang w:val="en-US"/>
        </w:rPr>
        <w:t xml:space="preserve"> public universities. Malaysian Journal of Social Sciences and Humanities (</w:t>
      </w:r>
      <w:proofErr w:type="spellStart"/>
      <w:r w:rsidRPr="00826FDC">
        <w:rPr>
          <w:rFonts w:ascii="Times New Roman" w:hAnsi="Times New Roman" w:cs="Times New Roman"/>
          <w:sz w:val="22"/>
          <w:szCs w:val="22"/>
          <w:lang w:val="en-US"/>
        </w:rPr>
        <w:t>Mjssh</w:t>
      </w:r>
      <w:proofErr w:type="spellEnd"/>
      <w:r w:rsidRPr="00826FDC">
        <w:rPr>
          <w:rFonts w:ascii="Times New Roman" w:hAnsi="Times New Roman" w:cs="Times New Roman"/>
          <w:sz w:val="22"/>
          <w:szCs w:val="22"/>
          <w:lang w:val="en-US"/>
        </w:rPr>
        <w:t xml:space="preserve">), 8(6), e002359. </w:t>
      </w:r>
      <w:hyperlink r:id="rId9" w:history="1">
        <w:r w:rsidRPr="00826FDC">
          <w:rPr>
            <w:rStyle w:val="Hyperlink"/>
            <w:rFonts w:ascii="Times New Roman" w:hAnsi="Times New Roman" w:cs="Times New Roman"/>
            <w:sz w:val="22"/>
            <w:szCs w:val="22"/>
            <w:lang w:val="en-US"/>
          </w:rPr>
          <w:t>https://doi.org/10.47405/mjssh.v8i6.2359</w:t>
        </w:r>
      </w:hyperlink>
    </w:p>
    <w:p w14:paraId="723E691A" w14:textId="77777777" w:rsidR="00826FDC" w:rsidRPr="00826FDC" w:rsidRDefault="00826FDC" w:rsidP="00826FDC">
      <w:pPr>
        <w:spacing w:after="0" w:line="240" w:lineRule="auto"/>
        <w:jc w:val="both"/>
        <w:rPr>
          <w:rFonts w:ascii="Times New Roman" w:hAnsi="Times New Roman" w:cs="Times New Roman"/>
          <w:i/>
          <w:iCs/>
          <w:sz w:val="22"/>
          <w:szCs w:val="22"/>
          <w:lang w:val="en-US"/>
        </w:rPr>
      </w:pPr>
      <w:proofErr w:type="spellStart"/>
      <w:r w:rsidRPr="00826FDC">
        <w:rPr>
          <w:rFonts w:ascii="Times New Roman" w:hAnsi="Times New Roman" w:cs="Times New Roman"/>
          <w:sz w:val="22"/>
          <w:szCs w:val="22"/>
          <w:lang w:val="en-US"/>
        </w:rPr>
        <w:t>Alesina</w:t>
      </w:r>
      <w:proofErr w:type="spellEnd"/>
      <w:r w:rsidRPr="00826FDC">
        <w:rPr>
          <w:rFonts w:ascii="Times New Roman" w:hAnsi="Times New Roman" w:cs="Times New Roman"/>
          <w:sz w:val="22"/>
          <w:szCs w:val="22"/>
          <w:lang w:val="en-US"/>
        </w:rPr>
        <w:t xml:space="preserve">, Alberto, and David Dollar (2000). </w:t>
      </w:r>
      <w:r w:rsidRPr="00826FDC">
        <w:rPr>
          <w:rFonts w:ascii="Times New Roman" w:hAnsi="Times New Roman" w:cs="Times New Roman"/>
          <w:i/>
          <w:iCs/>
          <w:sz w:val="22"/>
          <w:szCs w:val="22"/>
          <w:lang w:val="en-US"/>
        </w:rPr>
        <w:t>Who gives foreign aid to whom and why? Journal of Economic Growth 5(1).</w:t>
      </w:r>
    </w:p>
    <w:p w14:paraId="5F52F032" w14:textId="77777777" w:rsidR="00826FDC" w:rsidRPr="00826FDC" w:rsidRDefault="00826FDC" w:rsidP="00826FDC">
      <w:pPr>
        <w:spacing w:after="0" w:line="240" w:lineRule="auto"/>
        <w:jc w:val="both"/>
        <w:rPr>
          <w:rFonts w:ascii="Times New Roman" w:hAnsi="Times New Roman" w:cs="Times New Roman"/>
          <w:i/>
          <w:iCs/>
          <w:sz w:val="22"/>
          <w:szCs w:val="22"/>
          <w:lang w:val="en-US"/>
        </w:rPr>
      </w:pPr>
      <w:r w:rsidRPr="00826FDC">
        <w:rPr>
          <w:rFonts w:ascii="Times New Roman" w:hAnsi="Times New Roman" w:cs="Times New Roman"/>
          <w:sz w:val="22"/>
          <w:szCs w:val="22"/>
          <w:lang w:val="en-US"/>
        </w:rPr>
        <w:t xml:space="preserve">Anthony Langat (2022). </w:t>
      </w:r>
      <w:r w:rsidRPr="00826FDC">
        <w:rPr>
          <w:rFonts w:ascii="Times New Roman" w:hAnsi="Times New Roman" w:cs="Times New Roman"/>
          <w:i/>
          <w:iCs/>
          <w:sz w:val="22"/>
          <w:szCs w:val="22"/>
          <w:lang w:val="en-US"/>
        </w:rPr>
        <w:t>'Cooperation rather than aid': How Japan plans to spend $30B in Africa</w:t>
      </w:r>
      <w:r w:rsidRPr="00826FDC">
        <w:rPr>
          <w:rFonts w:ascii="Times New Roman" w:hAnsi="Times New Roman" w:cs="Times New Roman"/>
          <w:sz w:val="22"/>
          <w:szCs w:val="22"/>
          <w:lang w:val="en-US"/>
        </w:rPr>
        <w:t xml:space="preserve">. </w:t>
      </w:r>
      <w:proofErr w:type="spellStart"/>
      <w:r w:rsidRPr="00826FDC">
        <w:rPr>
          <w:rFonts w:ascii="Times New Roman" w:hAnsi="Times New Roman" w:cs="Times New Roman"/>
          <w:sz w:val="22"/>
          <w:szCs w:val="22"/>
          <w:lang w:val="en-US"/>
        </w:rPr>
        <w:t>Devex</w:t>
      </w:r>
      <w:proofErr w:type="spellEnd"/>
      <w:r w:rsidRPr="00826FDC">
        <w:rPr>
          <w:rFonts w:ascii="Times New Roman" w:hAnsi="Times New Roman" w:cs="Times New Roman"/>
          <w:sz w:val="22"/>
          <w:szCs w:val="22"/>
          <w:lang w:val="en-US"/>
        </w:rPr>
        <w:t xml:space="preserve">. Retrieved from </w:t>
      </w:r>
      <w:hyperlink r:id="rId10" w:history="1">
        <w:r w:rsidRPr="00826FDC">
          <w:rPr>
            <w:rStyle w:val="Hyperlink"/>
            <w:rFonts w:ascii="Times New Roman" w:hAnsi="Times New Roman" w:cs="Times New Roman"/>
            <w:sz w:val="22"/>
            <w:szCs w:val="22"/>
            <w:lang w:val="en-US"/>
          </w:rPr>
          <w:t>https://www.devex.com/news/cooperation-rather-than-aid-how-japan-plans-to-spend-30b-in-africa-104215</w:t>
        </w:r>
      </w:hyperlink>
      <w:r w:rsidRPr="00826FDC">
        <w:rPr>
          <w:rFonts w:ascii="Times New Roman" w:hAnsi="Times New Roman" w:cs="Times New Roman"/>
          <w:sz w:val="22"/>
          <w:szCs w:val="22"/>
          <w:lang w:val="en-US"/>
        </w:rPr>
        <w:t xml:space="preserve"> </w:t>
      </w:r>
    </w:p>
    <w:p w14:paraId="0BD5A1C8" w14:textId="77777777" w:rsidR="00826FDC" w:rsidRPr="00826FDC" w:rsidRDefault="00826FDC" w:rsidP="00826FDC">
      <w:pPr>
        <w:spacing w:after="0" w:line="240" w:lineRule="auto"/>
        <w:jc w:val="both"/>
        <w:rPr>
          <w:rFonts w:ascii="Times New Roman" w:hAnsi="Times New Roman" w:cs="Times New Roman"/>
          <w:i/>
          <w:iCs/>
          <w:sz w:val="22"/>
          <w:szCs w:val="22"/>
          <w:lang w:val="en-US"/>
        </w:rPr>
      </w:pPr>
      <w:proofErr w:type="spellStart"/>
      <w:r w:rsidRPr="00826FDC">
        <w:rPr>
          <w:rFonts w:ascii="Times New Roman" w:hAnsi="Times New Roman" w:cs="Times New Roman"/>
          <w:sz w:val="22"/>
          <w:szCs w:val="22"/>
          <w:lang w:val="en-US"/>
        </w:rPr>
        <w:t>Anuradhi</w:t>
      </w:r>
      <w:proofErr w:type="spellEnd"/>
      <w:r w:rsidRPr="00826FDC">
        <w:rPr>
          <w:rFonts w:ascii="Times New Roman" w:hAnsi="Times New Roman" w:cs="Times New Roman"/>
          <w:sz w:val="22"/>
          <w:szCs w:val="22"/>
          <w:lang w:val="en-US"/>
        </w:rPr>
        <w:t xml:space="preserve"> Joshi et al. (2020). </w:t>
      </w:r>
      <w:r w:rsidRPr="00826FDC">
        <w:rPr>
          <w:rFonts w:ascii="Times New Roman" w:hAnsi="Times New Roman" w:cs="Times New Roman"/>
          <w:i/>
          <w:iCs/>
          <w:sz w:val="22"/>
          <w:szCs w:val="22"/>
          <w:lang w:val="en-US"/>
        </w:rPr>
        <w:t>Online Assessment: Concept and Applications, Journal of Research in Medical Education &amp; Ethics Vol. 10, No. 2, July 2020.</w:t>
      </w:r>
    </w:p>
    <w:p w14:paraId="1DAC338D" w14:textId="77777777" w:rsidR="00826FDC" w:rsidRPr="00826FDC" w:rsidRDefault="00826FDC" w:rsidP="00826FDC">
      <w:pPr>
        <w:spacing w:after="0" w:line="240" w:lineRule="auto"/>
        <w:jc w:val="both"/>
        <w:rPr>
          <w:rFonts w:ascii="Times New Roman" w:hAnsi="Times New Roman" w:cs="Times New Roman"/>
          <w:sz w:val="22"/>
          <w:szCs w:val="22"/>
          <w:lang w:val="en-US"/>
        </w:rPr>
      </w:pPr>
      <w:proofErr w:type="spellStart"/>
      <w:r w:rsidRPr="00826FDC">
        <w:rPr>
          <w:rFonts w:ascii="Times New Roman" w:hAnsi="Times New Roman" w:cs="Times New Roman"/>
          <w:sz w:val="22"/>
          <w:szCs w:val="22"/>
          <w:lang w:val="en-US"/>
        </w:rPr>
        <w:lastRenderedPageBreak/>
        <w:t>Apsari</w:t>
      </w:r>
      <w:proofErr w:type="spellEnd"/>
      <w:r w:rsidRPr="00826FDC">
        <w:rPr>
          <w:rFonts w:ascii="Times New Roman" w:hAnsi="Times New Roman" w:cs="Times New Roman"/>
          <w:sz w:val="22"/>
          <w:szCs w:val="22"/>
          <w:lang w:val="en-US"/>
        </w:rPr>
        <w:t xml:space="preserve">, I. A. K. and </w:t>
      </w:r>
      <w:proofErr w:type="spellStart"/>
      <w:r w:rsidRPr="00826FDC">
        <w:rPr>
          <w:rFonts w:ascii="Times New Roman" w:hAnsi="Times New Roman" w:cs="Times New Roman"/>
          <w:sz w:val="22"/>
          <w:szCs w:val="22"/>
          <w:lang w:val="en-US"/>
        </w:rPr>
        <w:t>Rasmini</w:t>
      </w:r>
      <w:proofErr w:type="spellEnd"/>
      <w:r w:rsidRPr="00826FDC">
        <w:rPr>
          <w:rFonts w:ascii="Times New Roman" w:hAnsi="Times New Roman" w:cs="Times New Roman"/>
          <w:sz w:val="22"/>
          <w:szCs w:val="22"/>
          <w:lang w:val="en-US"/>
        </w:rPr>
        <w:t xml:space="preserve">, N. K. (2019). The pecking order theory testing on company life cycle. International Research Journal of Management, IT and Social Sciences, 6(5), 101-107. </w:t>
      </w:r>
      <w:hyperlink r:id="rId11" w:history="1">
        <w:r w:rsidRPr="00826FDC">
          <w:rPr>
            <w:rStyle w:val="Hyperlink"/>
            <w:rFonts w:ascii="Times New Roman" w:hAnsi="Times New Roman" w:cs="Times New Roman"/>
            <w:sz w:val="22"/>
            <w:szCs w:val="22"/>
            <w:lang w:val="en-US"/>
          </w:rPr>
          <w:t>https://doi.org/10.21744/irjmis.v6n5.704</w:t>
        </w:r>
      </w:hyperlink>
    </w:p>
    <w:p w14:paraId="72425D0B" w14:textId="77777777" w:rsidR="00826FDC" w:rsidRPr="00826FDC" w:rsidRDefault="00826FDC" w:rsidP="00826FDC">
      <w:pPr>
        <w:spacing w:after="0" w:line="240" w:lineRule="auto"/>
        <w:jc w:val="both"/>
        <w:rPr>
          <w:rFonts w:ascii="Times New Roman" w:hAnsi="Times New Roman" w:cs="Times New Roman"/>
          <w:i/>
          <w:iCs/>
          <w:sz w:val="22"/>
          <w:szCs w:val="22"/>
          <w:lang w:val="en-US"/>
        </w:rPr>
      </w:pPr>
      <w:proofErr w:type="spellStart"/>
      <w:r w:rsidRPr="00826FDC">
        <w:rPr>
          <w:rFonts w:ascii="Times New Roman" w:hAnsi="Times New Roman" w:cs="Times New Roman"/>
          <w:sz w:val="22"/>
          <w:szCs w:val="22"/>
          <w:lang w:val="en-US"/>
        </w:rPr>
        <w:t>Beldad</w:t>
      </w:r>
      <w:proofErr w:type="spellEnd"/>
      <w:r w:rsidRPr="00826FDC">
        <w:rPr>
          <w:rFonts w:ascii="Times New Roman" w:hAnsi="Times New Roman" w:cs="Times New Roman"/>
          <w:sz w:val="22"/>
          <w:szCs w:val="22"/>
          <w:lang w:val="en-US"/>
        </w:rPr>
        <w:t xml:space="preserve">, A., de Jong, M. and </w:t>
      </w:r>
      <w:proofErr w:type="spellStart"/>
      <w:r w:rsidRPr="00826FDC">
        <w:rPr>
          <w:rFonts w:ascii="Times New Roman" w:hAnsi="Times New Roman" w:cs="Times New Roman"/>
          <w:sz w:val="22"/>
          <w:szCs w:val="22"/>
          <w:lang w:val="en-US"/>
        </w:rPr>
        <w:t>Steehouder</w:t>
      </w:r>
      <w:proofErr w:type="spellEnd"/>
      <w:r w:rsidRPr="00826FDC">
        <w:rPr>
          <w:rFonts w:ascii="Times New Roman" w:hAnsi="Times New Roman" w:cs="Times New Roman"/>
          <w:sz w:val="22"/>
          <w:szCs w:val="22"/>
          <w:lang w:val="en-US"/>
        </w:rPr>
        <w:t xml:space="preserve">, M. (2010), </w:t>
      </w:r>
      <w:r w:rsidRPr="00826FDC">
        <w:rPr>
          <w:rFonts w:ascii="Times New Roman" w:hAnsi="Times New Roman" w:cs="Times New Roman"/>
          <w:i/>
          <w:iCs/>
          <w:sz w:val="22"/>
          <w:szCs w:val="22"/>
          <w:lang w:val="en-US"/>
        </w:rPr>
        <w:t xml:space="preserve">“How shall I trust the faceless and the intangible? A literature review on the antecedents of online trust”, Computers in Human Behavior, Vol. 26 No. 5, pp. 857-869, </w:t>
      </w:r>
      <w:proofErr w:type="spellStart"/>
      <w:r w:rsidRPr="00826FDC">
        <w:rPr>
          <w:rFonts w:ascii="Times New Roman" w:hAnsi="Times New Roman" w:cs="Times New Roman"/>
          <w:i/>
          <w:iCs/>
          <w:sz w:val="22"/>
          <w:szCs w:val="22"/>
          <w:lang w:val="en-US"/>
        </w:rPr>
        <w:t>doi</w:t>
      </w:r>
      <w:proofErr w:type="spellEnd"/>
      <w:r w:rsidRPr="00826FDC">
        <w:rPr>
          <w:rFonts w:ascii="Times New Roman" w:hAnsi="Times New Roman" w:cs="Times New Roman"/>
          <w:i/>
          <w:iCs/>
          <w:sz w:val="22"/>
          <w:szCs w:val="22"/>
          <w:lang w:val="en-US"/>
        </w:rPr>
        <w:t>: 10.1016/j.chb.2010.03.013.</w:t>
      </w:r>
    </w:p>
    <w:p w14:paraId="76F8715E" w14:textId="77777777" w:rsidR="00826FDC" w:rsidRPr="00826FDC" w:rsidRDefault="00826FDC" w:rsidP="00826FDC">
      <w:pPr>
        <w:spacing w:after="0" w:line="240" w:lineRule="auto"/>
        <w:jc w:val="both"/>
        <w:rPr>
          <w:rFonts w:ascii="Times New Roman" w:hAnsi="Times New Roman" w:cs="Times New Roman"/>
          <w:i/>
          <w:iCs/>
          <w:sz w:val="22"/>
          <w:szCs w:val="22"/>
          <w:lang w:val="en-US"/>
        </w:rPr>
      </w:pPr>
      <w:r w:rsidRPr="00826FDC">
        <w:rPr>
          <w:rFonts w:ascii="Times New Roman" w:hAnsi="Times New Roman" w:cs="Times New Roman"/>
          <w:sz w:val="22"/>
          <w:szCs w:val="22"/>
          <w:lang w:val="en-US"/>
        </w:rPr>
        <w:t xml:space="preserve">Bjorn Harald </w:t>
      </w:r>
      <w:proofErr w:type="spellStart"/>
      <w:r w:rsidRPr="00826FDC">
        <w:rPr>
          <w:rFonts w:ascii="Times New Roman" w:hAnsi="Times New Roman" w:cs="Times New Roman"/>
          <w:sz w:val="22"/>
          <w:szCs w:val="22"/>
          <w:lang w:val="en-US"/>
        </w:rPr>
        <w:t>Nordtveit</w:t>
      </w:r>
      <w:proofErr w:type="spellEnd"/>
      <w:r w:rsidRPr="00826FDC">
        <w:rPr>
          <w:rFonts w:ascii="Times New Roman" w:hAnsi="Times New Roman" w:cs="Times New Roman"/>
          <w:sz w:val="22"/>
          <w:szCs w:val="22"/>
          <w:lang w:val="en-US"/>
        </w:rPr>
        <w:t xml:space="preserve"> (2010). </w:t>
      </w:r>
      <w:r w:rsidRPr="00826FDC">
        <w:rPr>
          <w:rFonts w:ascii="Times New Roman" w:hAnsi="Times New Roman" w:cs="Times New Roman"/>
          <w:i/>
          <w:iCs/>
          <w:sz w:val="22"/>
          <w:szCs w:val="22"/>
          <w:lang w:val="en-US"/>
        </w:rPr>
        <w:t>Development as a complex process of change: Conception and analysis of projects, programs and policies. International Journal of Educational Development, Volume 30, Issue 1</w:t>
      </w:r>
    </w:p>
    <w:p w14:paraId="34222573"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Borg, W. R., &amp; Gall, M. D. (1989). Educational research. An introduction (5th ed.). White Plains, NY: Longman. </w:t>
      </w:r>
    </w:p>
    <w:p w14:paraId="1D0381D3"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Brown, L. D. and Moore, M. H. (2001). Accountability, strategy, and international non-governmental organizations. SSRN Electronic Journal. </w:t>
      </w:r>
      <w:hyperlink r:id="rId12" w:history="1">
        <w:r w:rsidRPr="00826FDC">
          <w:rPr>
            <w:rStyle w:val="Hyperlink"/>
            <w:rFonts w:ascii="Times New Roman" w:hAnsi="Times New Roman" w:cs="Times New Roman"/>
            <w:sz w:val="22"/>
            <w:szCs w:val="22"/>
            <w:lang w:val="en-US"/>
          </w:rPr>
          <w:t>https://doi.org/10.2139/ssrn.269362</w:t>
        </w:r>
      </w:hyperlink>
    </w:p>
    <w:p w14:paraId="2A983559" w14:textId="77777777" w:rsidR="00826FDC" w:rsidRPr="00826FDC" w:rsidRDefault="00826FDC" w:rsidP="00826FDC">
      <w:pPr>
        <w:spacing w:after="0" w:line="240" w:lineRule="auto"/>
        <w:jc w:val="both"/>
        <w:rPr>
          <w:rFonts w:ascii="Times New Roman" w:hAnsi="Times New Roman" w:cs="Times New Roman"/>
          <w:sz w:val="22"/>
          <w:szCs w:val="22"/>
          <w:lang w:val="en-US"/>
        </w:rPr>
      </w:pPr>
      <w:proofErr w:type="spellStart"/>
      <w:r w:rsidRPr="00826FDC">
        <w:rPr>
          <w:rFonts w:ascii="Times New Roman" w:hAnsi="Times New Roman" w:cs="Times New Roman"/>
          <w:sz w:val="22"/>
          <w:szCs w:val="22"/>
          <w:lang w:val="en-US"/>
        </w:rPr>
        <w:t>Carthey</w:t>
      </w:r>
      <w:proofErr w:type="spellEnd"/>
      <w:r w:rsidRPr="00826FDC">
        <w:rPr>
          <w:rFonts w:ascii="Times New Roman" w:hAnsi="Times New Roman" w:cs="Times New Roman"/>
          <w:sz w:val="22"/>
          <w:szCs w:val="22"/>
          <w:lang w:val="en-US"/>
        </w:rPr>
        <w:t xml:space="preserve">, J. (2019). User group consultation: design quality and project success. Herd Health Environments Research &amp; design Journal, 13(2), 143-169. </w:t>
      </w:r>
      <w:hyperlink r:id="rId13" w:history="1">
        <w:r w:rsidRPr="00826FDC">
          <w:rPr>
            <w:rStyle w:val="Hyperlink"/>
            <w:rFonts w:ascii="Times New Roman" w:hAnsi="Times New Roman" w:cs="Times New Roman"/>
            <w:sz w:val="22"/>
            <w:szCs w:val="22"/>
            <w:lang w:val="en-US"/>
          </w:rPr>
          <w:t>https://doi.org/10.1177/1937586719873143</w:t>
        </w:r>
      </w:hyperlink>
    </w:p>
    <w:p w14:paraId="2C436BED"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Carvalho, M. M. d. and </w:t>
      </w:r>
      <w:proofErr w:type="spellStart"/>
      <w:r w:rsidRPr="00826FDC">
        <w:rPr>
          <w:rFonts w:ascii="Times New Roman" w:hAnsi="Times New Roman" w:cs="Times New Roman"/>
          <w:sz w:val="22"/>
          <w:szCs w:val="22"/>
          <w:lang w:val="en-US"/>
        </w:rPr>
        <w:t>Rabechini</w:t>
      </w:r>
      <w:proofErr w:type="spellEnd"/>
      <w:r w:rsidRPr="00826FDC">
        <w:rPr>
          <w:rFonts w:ascii="Times New Roman" w:hAnsi="Times New Roman" w:cs="Times New Roman"/>
          <w:sz w:val="22"/>
          <w:szCs w:val="22"/>
          <w:lang w:val="en-US"/>
        </w:rPr>
        <w:t xml:space="preserve">, R. (2017). Can project sustainability management impact project success? an empirical study applying a contingent approach. International Journal of Project Management, 35(6), 1120-1132. </w:t>
      </w:r>
      <w:hyperlink r:id="rId14" w:history="1">
        <w:r w:rsidRPr="00826FDC">
          <w:rPr>
            <w:rStyle w:val="Hyperlink"/>
            <w:rFonts w:ascii="Times New Roman" w:hAnsi="Times New Roman" w:cs="Times New Roman"/>
            <w:sz w:val="22"/>
            <w:szCs w:val="22"/>
            <w:lang w:val="en-US"/>
          </w:rPr>
          <w:t>https://doi.org/10.1016/j.ijproman.2017.02.018</w:t>
        </w:r>
      </w:hyperlink>
    </w:p>
    <w:p w14:paraId="31903FB6"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Chung-</w:t>
      </w:r>
      <w:proofErr w:type="spellStart"/>
      <w:r w:rsidRPr="00826FDC">
        <w:rPr>
          <w:rFonts w:ascii="Times New Roman" w:hAnsi="Times New Roman" w:cs="Times New Roman"/>
          <w:sz w:val="22"/>
          <w:szCs w:val="22"/>
          <w:lang w:val="en-US"/>
        </w:rPr>
        <w:t>Hoon</w:t>
      </w:r>
      <w:proofErr w:type="spellEnd"/>
      <w:r w:rsidRPr="00826FDC">
        <w:rPr>
          <w:rFonts w:ascii="Times New Roman" w:hAnsi="Times New Roman" w:cs="Times New Roman"/>
          <w:sz w:val="22"/>
          <w:szCs w:val="22"/>
          <w:lang w:val="en-US"/>
        </w:rPr>
        <w:t xml:space="preserve">, T., Hite, J., &amp; Hite, S. (2005). Searching for enduring donor relationships: evidence for factors and strategies in a donor/organization integration model for fund raising. International Journal of Educational Advancement, 6(1), 34-53. </w:t>
      </w:r>
      <w:hyperlink r:id="rId15" w:history="1">
        <w:r w:rsidRPr="00826FDC">
          <w:rPr>
            <w:rStyle w:val="Hyperlink"/>
            <w:rFonts w:ascii="Times New Roman" w:hAnsi="Times New Roman" w:cs="Times New Roman"/>
            <w:sz w:val="22"/>
            <w:szCs w:val="22"/>
            <w:lang w:val="en-US"/>
          </w:rPr>
          <w:t>https://doi.org/10.1057/palgrave.ijea.2140232</w:t>
        </w:r>
      </w:hyperlink>
    </w:p>
    <w:p w14:paraId="05E8F014"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Churchill, G. A. (1991). Marketing Research: Methodological Foundations. </w:t>
      </w:r>
      <w:proofErr w:type="spellStart"/>
      <w:r w:rsidRPr="00826FDC">
        <w:rPr>
          <w:rFonts w:ascii="Times New Roman" w:hAnsi="Times New Roman" w:cs="Times New Roman"/>
          <w:sz w:val="22"/>
          <w:szCs w:val="22"/>
          <w:lang w:val="en-US"/>
        </w:rPr>
        <w:t>Thriftbook</w:t>
      </w:r>
      <w:proofErr w:type="spellEnd"/>
      <w:r w:rsidRPr="00826FDC">
        <w:rPr>
          <w:rFonts w:ascii="Times New Roman" w:hAnsi="Times New Roman" w:cs="Times New Roman"/>
          <w:sz w:val="22"/>
          <w:szCs w:val="22"/>
          <w:lang w:val="en-US"/>
        </w:rPr>
        <w:t xml:space="preserve">, London </w:t>
      </w:r>
    </w:p>
    <w:p w14:paraId="544EE344"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Cooper, D. R., &amp; Schindler, P. (2014). </w:t>
      </w:r>
      <w:r w:rsidRPr="00826FDC">
        <w:rPr>
          <w:rFonts w:ascii="Times New Roman" w:hAnsi="Times New Roman" w:cs="Times New Roman"/>
          <w:i/>
          <w:iCs/>
          <w:sz w:val="22"/>
          <w:szCs w:val="22"/>
          <w:lang w:val="en-US"/>
        </w:rPr>
        <w:t>Business research methods</w:t>
      </w:r>
      <w:r w:rsidRPr="00826FDC">
        <w:rPr>
          <w:rFonts w:ascii="Times New Roman" w:hAnsi="Times New Roman" w:cs="Times New Roman"/>
          <w:sz w:val="22"/>
          <w:szCs w:val="22"/>
          <w:lang w:val="en-US"/>
        </w:rPr>
        <w:t xml:space="preserve">. </w:t>
      </w:r>
      <w:proofErr w:type="spellStart"/>
      <w:r w:rsidRPr="00826FDC">
        <w:rPr>
          <w:rFonts w:ascii="Times New Roman" w:hAnsi="Times New Roman" w:cs="Times New Roman"/>
          <w:sz w:val="22"/>
          <w:szCs w:val="22"/>
          <w:lang w:val="en-US"/>
        </w:rPr>
        <w:t>Mcgraw-hill</w:t>
      </w:r>
      <w:proofErr w:type="spellEnd"/>
      <w:r w:rsidRPr="00826FDC">
        <w:rPr>
          <w:rFonts w:ascii="Times New Roman" w:hAnsi="Times New Roman" w:cs="Times New Roman"/>
          <w:sz w:val="22"/>
          <w:szCs w:val="22"/>
          <w:lang w:val="en-US"/>
        </w:rPr>
        <w:t>.</w:t>
      </w:r>
    </w:p>
    <w:p w14:paraId="717183CA"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Correa, J., Hoff, R. v. d., &amp; </w:t>
      </w:r>
      <w:proofErr w:type="spellStart"/>
      <w:r w:rsidRPr="00826FDC">
        <w:rPr>
          <w:rFonts w:ascii="Times New Roman" w:hAnsi="Times New Roman" w:cs="Times New Roman"/>
          <w:sz w:val="22"/>
          <w:szCs w:val="22"/>
          <w:lang w:val="en-US"/>
        </w:rPr>
        <w:t>Rajão</w:t>
      </w:r>
      <w:proofErr w:type="spellEnd"/>
      <w:r w:rsidRPr="00826FDC">
        <w:rPr>
          <w:rFonts w:ascii="Times New Roman" w:hAnsi="Times New Roman" w:cs="Times New Roman"/>
          <w:sz w:val="22"/>
          <w:szCs w:val="22"/>
          <w:lang w:val="en-US"/>
        </w:rPr>
        <w:t xml:space="preserve">, R. (2019). Amazon fund 10 years later: lessons from the world’s largest </w:t>
      </w:r>
      <w:proofErr w:type="spellStart"/>
      <w:r w:rsidRPr="00826FDC">
        <w:rPr>
          <w:rFonts w:ascii="Times New Roman" w:hAnsi="Times New Roman" w:cs="Times New Roman"/>
          <w:sz w:val="22"/>
          <w:szCs w:val="22"/>
          <w:lang w:val="en-US"/>
        </w:rPr>
        <w:t>redd</w:t>
      </w:r>
      <w:proofErr w:type="spellEnd"/>
      <w:r w:rsidRPr="00826FDC">
        <w:rPr>
          <w:rFonts w:ascii="Times New Roman" w:hAnsi="Times New Roman" w:cs="Times New Roman"/>
          <w:sz w:val="22"/>
          <w:szCs w:val="22"/>
          <w:lang w:val="en-US"/>
        </w:rPr>
        <w:t xml:space="preserve">+ program. Forests, 10(3), 272. </w:t>
      </w:r>
      <w:hyperlink r:id="rId16" w:history="1">
        <w:r w:rsidRPr="00826FDC">
          <w:rPr>
            <w:rStyle w:val="Hyperlink"/>
            <w:rFonts w:ascii="Times New Roman" w:hAnsi="Times New Roman" w:cs="Times New Roman"/>
            <w:sz w:val="22"/>
            <w:szCs w:val="22"/>
            <w:lang w:val="en-US"/>
          </w:rPr>
          <w:t>https://doi.org/10.3390/f10030272</w:t>
        </w:r>
      </w:hyperlink>
    </w:p>
    <w:p w14:paraId="2AD9BF4A" w14:textId="77777777" w:rsidR="00826FDC" w:rsidRPr="00826FDC" w:rsidRDefault="00826FDC" w:rsidP="00826FDC">
      <w:pPr>
        <w:spacing w:after="0" w:line="240" w:lineRule="auto"/>
        <w:jc w:val="both"/>
        <w:rPr>
          <w:rFonts w:ascii="Times New Roman" w:hAnsi="Times New Roman" w:cs="Times New Roman"/>
          <w:i/>
          <w:iCs/>
          <w:sz w:val="22"/>
          <w:szCs w:val="22"/>
          <w:lang w:val="en-US"/>
        </w:rPr>
      </w:pPr>
      <w:r w:rsidRPr="00826FDC">
        <w:rPr>
          <w:rFonts w:ascii="Times New Roman" w:hAnsi="Times New Roman" w:cs="Times New Roman"/>
          <w:sz w:val="22"/>
          <w:szCs w:val="22"/>
          <w:lang w:val="en-US"/>
        </w:rPr>
        <w:t xml:space="preserve">Crane, B. B., &amp; </w:t>
      </w:r>
      <w:proofErr w:type="spellStart"/>
      <w:r w:rsidRPr="00826FDC">
        <w:rPr>
          <w:rFonts w:ascii="Times New Roman" w:hAnsi="Times New Roman" w:cs="Times New Roman"/>
          <w:sz w:val="22"/>
          <w:szCs w:val="22"/>
          <w:lang w:val="en-US"/>
        </w:rPr>
        <w:t>Dusenberry</w:t>
      </w:r>
      <w:proofErr w:type="spellEnd"/>
      <w:r w:rsidRPr="00826FDC">
        <w:rPr>
          <w:rFonts w:ascii="Times New Roman" w:hAnsi="Times New Roman" w:cs="Times New Roman"/>
          <w:sz w:val="22"/>
          <w:szCs w:val="22"/>
          <w:lang w:val="en-US"/>
        </w:rPr>
        <w:t xml:space="preserve">, J. (2004). </w:t>
      </w:r>
      <w:r w:rsidRPr="00826FDC">
        <w:rPr>
          <w:rFonts w:ascii="Times New Roman" w:hAnsi="Times New Roman" w:cs="Times New Roman"/>
          <w:i/>
          <w:iCs/>
          <w:sz w:val="22"/>
          <w:szCs w:val="22"/>
          <w:lang w:val="en-US"/>
        </w:rPr>
        <w:t>Power and politics in international funding for reproductive health: the US Global Gag Rule. Reproductive health matters</w:t>
      </w:r>
      <w:r w:rsidRPr="00826FDC">
        <w:rPr>
          <w:rFonts w:ascii="Times New Roman" w:hAnsi="Times New Roman" w:cs="Times New Roman"/>
          <w:sz w:val="22"/>
          <w:szCs w:val="22"/>
          <w:lang w:val="en-US"/>
        </w:rPr>
        <w:t>, 12(24), 128–137.</w:t>
      </w:r>
      <w:r w:rsidRPr="00826FDC">
        <w:rPr>
          <w:rFonts w:ascii="Times New Roman" w:hAnsi="Times New Roman" w:cs="Times New Roman"/>
          <w:i/>
          <w:iCs/>
          <w:sz w:val="22"/>
          <w:szCs w:val="22"/>
          <w:lang w:val="en-US"/>
        </w:rPr>
        <w:t xml:space="preserve"> </w:t>
      </w:r>
      <w:hyperlink r:id="rId17" w:history="1">
        <w:r w:rsidRPr="00826FDC">
          <w:rPr>
            <w:rStyle w:val="Hyperlink"/>
            <w:rFonts w:ascii="Times New Roman" w:hAnsi="Times New Roman" w:cs="Times New Roman"/>
            <w:sz w:val="22"/>
            <w:szCs w:val="22"/>
            <w:lang w:val="en-US"/>
          </w:rPr>
          <w:t>https://doi.org/10.1016/s0968-8080(04)24140-4</w:t>
        </w:r>
      </w:hyperlink>
      <w:r w:rsidRPr="00826FDC">
        <w:rPr>
          <w:rFonts w:ascii="Times New Roman" w:hAnsi="Times New Roman" w:cs="Times New Roman"/>
          <w:sz w:val="22"/>
          <w:szCs w:val="22"/>
          <w:lang w:val="en-US"/>
        </w:rPr>
        <w:t xml:space="preserve"> </w:t>
      </w:r>
    </w:p>
    <w:p w14:paraId="7E8C4ABA"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Cronbach, L. J. (1971). Test Validation </w:t>
      </w:r>
      <w:proofErr w:type="gramStart"/>
      <w:r w:rsidRPr="00826FDC">
        <w:rPr>
          <w:rFonts w:ascii="Times New Roman" w:hAnsi="Times New Roman" w:cs="Times New Roman"/>
          <w:sz w:val="22"/>
          <w:szCs w:val="22"/>
          <w:lang w:val="en-US"/>
        </w:rPr>
        <w:t>In</w:t>
      </w:r>
      <w:proofErr w:type="gramEnd"/>
      <w:r w:rsidRPr="00826FDC">
        <w:rPr>
          <w:rFonts w:ascii="Times New Roman" w:hAnsi="Times New Roman" w:cs="Times New Roman"/>
          <w:sz w:val="22"/>
          <w:szCs w:val="22"/>
          <w:lang w:val="en-US"/>
        </w:rPr>
        <w:t xml:space="preserve"> Educational Measurement, R. Thorndike (Ed.).</w:t>
      </w:r>
    </w:p>
    <w:p w14:paraId="671BC165"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Cyndi </w:t>
      </w:r>
      <w:proofErr w:type="spellStart"/>
      <w:r w:rsidRPr="00826FDC">
        <w:rPr>
          <w:rFonts w:ascii="Times New Roman" w:hAnsi="Times New Roman" w:cs="Times New Roman"/>
          <w:sz w:val="22"/>
          <w:szCs w:val="22"/>
          <w:lang w:val="en-US"/>
        </w:rPr>
        <w:t>MacKenzie</w:t>
      </w:r>
      <w:proofErr w:type="spellEnd"/>
      <w:r w:rsidRPr="00826FDC">
        <w:rPr>
          <w:rFonts w:ascii="Times New Roman" w:hAnsi="Times New Roman" w:cs="Times New Roman"/>
          <w:sz w:val="22"/>
          <w:szCs w:val="22"/>
          <w:lang w:val="en-US"/>
        </w:rPr>
        <w:t xml:space="preserve"> (2023), </w:t>
      </w:r>
      <w:r w:rsidRPr="00826FDC">
        <w:rPr>
          <w:rFonts w:ascii="Times New Roman" w:hAnsi="Times New Roman" w:cs="Times New Roman"/>
          <w:i/>
          <w:iCs/>
          <w:sz w:val="22"/>
          <w:szCs w:val="22"/>
          <w:lang w:val="en-US"/>
        </w:rPr>
        <w:t>what is a grant?</w:t>
      </w:r>
      <w:r w:rsidRPr="00826FDC">
        <w:rPr>
          <w:rFonts w:ascii="Times New Roman" w:hAnsi="Times New Roman" w:cs="Times New Roman"/>
          <w:sz w:val="22"/>
          <w:szCs w:val="22"/>
          <w:lang w:val="en-US"/>
        </w:rPr>
        <w:t xml:space="preserve"> Grant Professionals Association.</w:t>
      </w:r>
    </w:p>
    <w:p w14:paraId="2ED73B66" w14:textId="77777777" w:rsidR="00826FDC" w:rsidRPr="00826FDC" w:rsidRDefault="00826FDC" w:rsidP="00826FDC">
      <w:pPr>
        <w:spacing w:after="0" w:line="240" w:lineRule="auto"/>
        <w:jc w:val="both"/>
        <w:rPr>
          <w:rFonts w:ascii="Times New Roman" w:hAnsi="Times New Roman" w:cs="Times New Roman"/>
          <w:i/>
          <w:iCs/>
          <w:sz w:val="22"/>
          <w:szCs w:val="22"/>
          <w:lang w:val="en-US"/>
        </w:rPr>
      </w:pPr>
      <w:r w:rsidRPr="00826FDC">
        <w:rPr>
          <w:rFonts w:ascii="Times New Roman" w:hAnsi="Times New Roman" w:cs="Times New Roman"/>
          <w:sz w:val="22"/>
          <w:szCs w:val="22"/>
          <w:lang w:val="en-US"/>
        </w:rPr>
        <w:t xml:space="preserve">Daniel E. </w:t>
      </w:r>
      <w:proofErr w:type="spellStart"/>
      <w:r w:rsidRPr="00826FDC">
        <w:rPr>
          <w:rFonts w:ascii="Times New Roman" w:hAnsi="Times New Roman" w:cs="Times New Roman"/>
          <w:sz w:val="22"/>
          <w:szCs w:val="22"/>
          <w:lang w:val="en-US"/>
        </w:rPr>
        <w:t>Esser</w:t>
      </w:r>
      <w:proofErr w:type="spellEnd"/>
      <w:r w:rsidRPr="00826FDC">
        <w:rPr>
          <w:rFonts w:ascii="Times New Roman" w:hAnsi="Times New Roman" w:cs="Times New Roman"/>
          <w:sz w:val="22"/>
          <w:szCs w:val="22"/>
          <w:lang w:val="en-US"/>
        </w:rPr>
        <w:t xml:space="preserve">, Kara Keating Bench (2011), </w:t>
      </w:r>
      <w:r w:rsidRPr="00826FDC">
        <w:rPr>
          <w:rFonts w:ascii="Times New Roman" w:hAnsi="Times New Roman" w:cs="Times New Roman"/>
          <w:i/>
          <w:iCs/>
          <w:sz w:val="22"/>
          <w:szCs w:val="22"/>
          <w:lang w:val="en-US"/>
        </w:rPr>
        <w:t>Does Global Health Funding Respond to Recipients’ Needs? Comparing Public and Private Donors’ Allocations in 2005–2007, World Development, Volume 39, Issue 8, 2011</w:t>
      </w:r>
    </w:p>
    <w:p w14:paraId="120E8DA0"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Daniel L. </w:t>
      </w:r>
      <w:proofErr w:type="spellStart"/>
      <w:r w:rsidRPr="00826FDC">
        <w:rPr>
          <w:rFonts w:ascii="Times New Roman" w:hAnsi="Times New Roman" w:cs="Times New Roman"/>
          <w:sz w:val="22"/>
          <w:szCs w:val="22"/>
          <w:lang w:val="en-US"/>
        </w:rPr>
        <w:t>Stufflebeam</w:t>
      </w:r>
      <w:proofErr w:type="spellEnd"/>
      <w:r w:rsidRPr="00826FDC">
        <w:rPr>
          <w:rFonts w:ascii="Times New Roman" w:hAnsi="Times New Roman" w:cs="Times New Roman"/>
          <w:sz w:val="22"/>
          <w:szCs w:val="22"/>
          <w:lang w:val="en-US"/>
        </w:rPr>
        <w:t xml:space="preserve"> et al. (1985). Conducting Educational Needs Assessment, Kluwer-</w:t>
      </w:r>
      <w:proofErr w:type="spellStart"/>
      <w:r w:rsidRPr="00826FDC">
        <w:rPr>
          <w:rFonts w:ascii="Times New Roman" w:hAnsi="Times New Roman" w:cs="Times New Roman"/>
          <w:sz w:val="22"/>
          <w:szCs w:val="22"/>
          <w:lang w:val="en-US"/>
        </w:rPr>
        <w:t>Nijhoff</w:t>
      </w:r>
      <w:proofErr w:type="spellEnd"/>
      <w:r w:rsidRPr="00826FDC">
        <w:rPr>
          <w:rFonts w:ascii="Times New Roman" w:hAnsi="Times New Roman" w:cs="Times New Roman"/>
          <w:sz w:val="22"/>
          <w:szCs w:val="22"/>
          <w:lang w:val="en-US"/>
        </w:rPr>
        <w:t xml:space="preserve"> Publishing, Boston.</w:t>
      </w:r>
    </w:p>
    <w:p w14:paraId="535BF73C" w14:textId="77777777" w:rsidR="00826FDC" w:rsidRPr="00826FDC" w:rsidRDefault="00826FDC" w:rsidP="00826FDC">
      <w:pPr>
        <w:spacing w:after="0" w:line="240" w:lineRule="auto"/>
        <w:jc w:val="both"/>
        <w:rPr>
          <w:rFonts w:ascii="Times New Roman" w:hAnsi="Times New Roman" w:cs="Times New Roman"/>
          <w:i/>
          <w:iCs/>
          <w:sz w:val="22"/>
          <w:szCs w:val="22"/>
          <w:lang w:val="en-US"/>
        </w:rPr>
      </w:pPr>
      <w:proofErr w:type="spellStart"/>
      <w:r w:rsidRPr="00826FDC">
        <w:rPr>
          <w:rFonts w:ascii="Times New Roman" w:hAnsi="Times New Roman" w:cs="Times New Roman"/>
          <w:sz w:val="22"/>
          <w:szCs w:val="22"/>
          <w:lang w:val="en-US"/>
        </w:rPr>
        <w:t>Dugger</w:t>
      </w:r>
      <w:proofErr w:type="spellEnd"/>
      <w:r w:rsidRPr="00826FDC">
        <w:rPr>
          <w:rFonts w:ascii="Times New Roman" w:hAnsi="Times New Roman" w:cs="Times New Roman"/>
          <w:sz w:val="22"/>
          <w:szCs w:val="22"/>
          <w:lang w:val="en-US"/>
        </w:rPr>
        <w:t xml:space="preserve">, C. W. (2009). </w:t>
      </w:r>
      <w:r w:rsidRPr="00826FDC">
        <w:rPr>
          <w:rFonts w:ascii="Times New Roman" w:hAnsi="Times New Roman" w:cs="Times New Roman"/>
          <w:i/>
          <w:iCs/>
          <w:sz w:val="22"/>
          <w:szCs w:val="22"/>
          <w:lang w:val="en-US"/>
        </w:rPr>
        <w:t>As donors focus on AIDS, child illnesses languish. New York Times</w:t>
      </w:r>
    </w:p>
    <w:p w14:paraId="0A2896E9"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Edward </w:t>
      </w:r>
      <w:proofErr w:type="spellStart"/>
      <w:r w:rsidRPr="00826FDC">
        <w:rPr>
          <w:rFonts w:ascii="Times New Roman" w:hAnsi="Times New Roman" w:cs="Times New Roman"/>
          <w:sz w:val="22"/>
          <w:szCs w:val="22"/>
          <w:lang w:val="en-US"/>
        </w:rPr>
        <w:t>Freeeman</w:t>
      </w:r>
      <w:proofErr w:type="spellEnd"/>
      <w:r w:rsidRPr="00826FDC">
        <w:rPr>
          <w:rFonts w:ascii="Times New Roman" w:hAnsi="Times New Roman" w:cs="Times New Roman"/>
          <w:sz w:val="22"/>
          <w:szCs w:val="22"/>
          <w:lang w:val="en-US"/>
        </w:rPr>
        <w:t xml:space="preserve"> (2010): Strategic Management: A Stakeholder Approach, Cambridge University Press</w:t>
      </w:r>
    </w:p>
    <w:p w14:paraId="52322184" w14:textId="77777777" w:rsidR="00826FDC" w:rsidRPr="00826FDC" w:rsidRDefault="00826FDC" w:rsidP="00826FDC">
      <w:pPr>
        <w:spacing w:after="0" w:line="240" w:lineRule="auto"/>
        <w:jc w:val="both"/>
        <w:rPr>
          <w:rFonts w:ascii="Times New Roman" w:hAnsi="Times New Roman" w:cs="Times New Roman"/>
          <w:i/>
          <w:iCs/>
          <w:sz w:val="22"/>
          <w:szCs w:val="22"/>
          <w:lang w:val="en-US"/>
        </w:rPr>
      </w:pPr>
      <w:r w:rsidRPr="00826FDC">
        <w:rPr>
          <w:rFonts w:ascii="Times New Roman" w:hAnsi="Times New Roman" w:cs="Times New Roman"/>
          <w:sz w:val="22"/>
          <w:szCs w:val="22"/>
          <w:lang w:val="en-US"/>
        </w:rPr>
        <w:t xml:space="preserve">Fink, G., &amp; </w:t>
      </w:r>
      <w:proofErr w:type="spellStart"/>
      <w:r w:rsidRPr="00826FDC">
        <w:rPr>
          <w:rFonts w:ascii="Times New Roman" w:hAnsi="Times New Roman" w:cs="Times New Roman"/>
          <w:sz w:val="22"/>
          <w:szCs w:val="22"/>
          <w:lang w:val="en-US"/>
        </w:rPr>
        <w:t>Redaelli</w:t>
      </w:r>
      <w:proofErr w:type="spellEnd"/>
      <w:r w:rsidRPr="00826FDC">
        <w:rPr>
          <w:rFonts w:ascii="Times New Roman" w:hAnsi="Times New Roman" w:cs="Times New Roman"/>
          <w:sz w:val="22"/>
          <w:szCs w:val="22"/>
          <w:lang w:val="en-US"/>
        </w:rPr>
        <w:t xml:space="preserve">, S. (2011). </w:t>
      </w:r>
      <w:r w:rsidRPr="00826FDC">
        <w:rPr>
          <w:rFonts w:ascii="Times New Roman" w:hAnsi="Times New Roman" w:cs="Times New Roman"/>
          <w:i/>
          <w:iCs/>
          <w:sz w:val="22"/>
          <w:szCs w:val="22"/>
          <w:lang w:val="en-US"/>
        </w:rPr>
        <w:t xml:space="preserve">Determinants of International Emergency Aid—Humanitarian Need Only? World Development, 39(5), 741-757. </w:t>
      </w:r>
      <w:hyperlink r:id="rId18" w:history="1">
        <w:r w:rsidRPr="00826FDC">
          <w:rPr>
            <w:rStyle w:val="Hyperlink"/>
            <w:rFonts w:ascii="Times New Roman" w:hAnsi="Times New Roman" w:cs="Times New Roman"/>
            <w:sz w:val="22"/>
            <w:szCs w:val="22"/>
            <w:lang w:val="en-US"/>
          </w:rPr>
          <w:t>https://doi.org/10.1016/j.worlddev.2010.09.004</w:t>
        </w:r>
      </w:hyperlink>
      <w:r w:rsidRPr="00826FDC">
        <w:rPr>
          <w:rFonts w:ascii="Times New Roman" w:hAnsi="Times New Roman" w:cs="Times New Roman"/>
          <w:sz w:val="22"/>
          <w:szCs w:val="22"/>
          <w:lang w:val="en-US"/>
        </w:rPr>
        <w:t xml:space="preserve"> </w:t>
      </w:r>
    </w:p>
    <w:p w14:paraId="683C999F" w14:textId="77777777" w:rsidR="00826FDC" w:rsidRPr="00826FDC" w:rsidRDefault="00826FDC" w:rsidP="00826FDC">
      <w:pPr>
        <w:spacing w:after="0" w:line="240" w:lineRule="auto"/>
        <w:jc w:val="both"/>
        <w:rPr>
          <w:rFonts w:ascii="Times New Roman" w:hAnsi="Times New Roman" w:cs="Times New Roman"/>
          <w:i/>
          <w:iCs/>
          <w:sz w:val="22"/>
          <w:szCs w:val="22"/>
          <w:lang w:val="en-US"/>
        </w:rPr>
      </w:pPr>
      <w:proofErr w:type="spellStart"/>
      <w:r w:rsidRPr="00826FDC">
        <w:rPr>
          <w:rFonts w:ascii="Times New Roman" w:hAnsi="Times New Roman" w:cs="Times New Roman"/>
          <w:sz w:val="22"/>
          <w:szCs w:val="22"/>
          <w:lang w:val="en-US"/>
        </w:rPr>
        <w:t>Fouka</w:t>
      </w:r>
      <w:proofErr w:type="spellEnd"/>
      <w:r w:rsidRPr="00826FDC">
        <w:rPr>
          <w:rFonts w:ascii="Times New Roman" w:hAnsi="Times New Roman" w:cs="Times New Roman"/>
          <w:sz w:val="22"/>
          <w:szCs w:val="22"/>
          <w:lang w:val="en-US"/>
        </w:rPr>
        <w:t xml:space="preserve">, G., &amp; </w:t>
      </w:r>
      <w:proofErr w:type="spellStart"/>
      <w:r w:rsidRPr="00826FDC">
        <w:rPr>
          <w:rFonts w:ascii="Times New Roman" w:hAnsi="Times New Roman" w:cs="Times New Roman"/>
          <w:sz w:val="22"/>
          <w:szCs w:val="22"/>
          <w:lang w:val="en-US"/>
        </w:rPr>
        <w:t>Mantzorou</w:t>
      </w:r>
      <w:proofErr w:type="spellEnd"/>
      <w:r w:rsidRPr="00826FDC">
        <w:rPr>
          <w:rFonts w:ascii="Times New Roman" w:hAnsi="Times New Roman" w:cs="Times New Roman"/>
          <w:sz w:val="22"/>
          <w:szCs w:val="22"/>
          <w:lang w:val="en-US"/>
        </w:rPr>
        <w:t xml:space="preserve">, M. (2011). </w:t>
      </w:r>
      <w:r w:rsidRPr="00826FDC">
        <w:rPr>
          <w:rFonts w:ascii="Times New Roman" w:hAnsi="Times New Roman" w:cs="Times New Roman"/>
          <w:i/>
          <w:iCs/>
          <w:sz w:val="22"/>
          <w:szCs w:val="22"/>
          <w:lang w:val="en-US"/>
        </w:rPr>
        <w:t xml:space="preserve">What are the major ethical issues in conducting </w:t>
      </w:r>
      <w:proofErr w:type="spellStart"/>
      <w:proofErr w:type="gramStart"/>
      <w:r w:rsidRPr="00826FDC">
        <w:rPr>
          <w:rFonts w:ascii="Times New Roman" w:hAnsi="Times New Roman" w:cs="Times New Roman"/>
          <w:i/>
          <w:iCs/>
          <w:sz w:val="22"/>
          <w:szCs w:val="22"/>
          <w:lang w:val="en-US"/>
        </w:rPr>
        <w:t>research?Is</w:t>
      </w:r>
      <w:proofErr w:type="spellEnd"/>
      <w:proofErr w:type="gramEnd"/>
      <w:r w:rsidRPr="00826FDC">
        <w:rPr>
          <w:rFonts w:ascii="Times New Roman" w:hAnsi="Times New Roman" w:cs="Times New Roman"/>
          <w:i/>
          <w:iCs/>
          <w:sz w:val="22"/>
          <w:szCs w:val="22"/>
          <w:lang w:val="en-US"/>
        </w:rPr>
        <w:t xml:space="preserve"> there a conflict between the research ethics and the nature of nursing? Health science journal, 5(1), 3.</w:t>
      </w:r>
    </w:p>
    <w:p w14:paraId="77DE4C57" w14:textId="77777777" w:rsidR="00826FDC" w:rsidRPr="00826FDC" w:rsidRDefault="00826FDC" w:rsidP="00826FDC">
      <w:pPr>
        <w:spacing w:after="0" w:line="240" w:lineRule="auto"/>
        <w:jc w:val="both"/>
        <w:rPr>
          <w:rFonts w:ascii="Times New Roman" w:hAnsi="Times New Roman" w:cs="Times New Roman"/>
          <w:i/>
          <w:iCs/>
          <w:sz w:val="22"/>
          <w:szCs w:val="22"/>
          <w:lang w:val="en-US"/>
        </w:rPr>
      </w:pPr>
      <w:r w:rsidRPr="00826FDC">
        <w:rPr>
          <w:rFonts w:ascii="Times New Roman" w:hAnsi="Times New Roman" w:cs="Times New Roman"/>
          <w:sz w:val="22"/>
          <w:szCs w:val="22"/>
          <w:lang w:val="en-US"/>
        </w:rPr>
        <w:t>Funnell, S. C., &amp; Rogers, P. J. (2011). </w:t>
      </w:r>
      <w:r w:rsidRPr="00826FDC">
        <w:rPr>
          <w:rFonts w:ascii="Times New Roman" w:hAnsi="Times New Roman" w:cs="Times New Roman"/>
          <w:i/>
          <w:iCs/>
          <w:sz w:val="22"/>
          <w:szCs w:val="22"/>
          <w:lang w:val="en-US"/>
        </w:rPr>
        <w:t>Purposeful program theory: Effective use of theories of change and logic models</w:t>
      </w:r>
      <w:r w:rsidRPr="00826FDC">
        <w:rPr>
          <w:rFonts w:ascii="Times New Roman" w:hAnsi="Times New Roman" w:cs="Times New Roman"/>
          <w:sz w:val="22"/>
          <w:szCs w:val="22"/>
          <w:lang w:val="en-US"/>
        </w:rPr>
        <w:t> (Vol. 31). John Wiley &amp; Sons.</w:t>
      </w:r>
    </w:p>
    <w:p w14:paraId="26238ECF" w14:textId="77777777" w:rsidR="00826FDC" w:rsidRPr="00826FDC" w:rsidRDefault="00826FDC" w:rsidP="00826FDC">
      <w:pPr>
        <w:spacing w:after="0" w:line="240" w:lineRule="auto"/>
        <w:jc w:val="both"/>
        <w:rPr>
          <w:rFonts w:ascii="Times New Roman" w:hAnsi="Times New Roman" w:cs="Times New Roman"/>
          <w:i/>
          <w:iCs/>
          <w:sz w:val="22"/>
          <w:szCs w:val="22"/>
          <w:lang w:val="en-US"/>
        </w:rPr>
      </w:pPr>
      <w:r w:rsidRPr="00826FDC">
        <w:rPr>
          <w:rFonts w:ascii="Times New Roman" w:hAnsi="Times New Roman" w:cs="Times New Roman"/>
          <w:sz w:val="22"/>
          <w:szCs w:val="22"/>
          <w:lang w:val="en-US"/>
        </w:rPr>
        <w:t xml:space="preserve">Gerber, E.M. and Hui, J. (2013), </w:t>
      </w:r>
      <w:r w:rsidRPr="00826FDC">
        <w:rPr>
          <w:rFonts w:ascii="Times New Roman" w:hAnsi="Times New Roman" w:cs="Times New Roman"/>
          <w:i/>
          <w:iCs/>
          <w:sz w:val="22"/>
          <w:szCs w:val="22"/>
          <w:lang w:val="en-US"/>
        </w:rPr>
        <w:t xml:space="preserve">“Crowdfunding: motivations and deterrents for participation”, ACM Transactions on Computer-Human Interaction, Vol. 20 No. 6, pp. 1-32, </w:t>
      </w:r>
      <w:proofErr w:type="spellStart"/>
      <w:r w:rsidRPr="00826FDC">
        <w:rPr>
          <w:rFonts w:ascii="Times New Roman" w:hAnsi="Times New Roman" w:cs="Times New Roman"/>
          <w:i/>
          <w:iCs/>
          <w:sz w:val="22"/>
          <w:szCs w:val="22"/>
          <w:lang w:val="en-US"/>
        </w:rPr>
        <w:t>doi</w:t>
      </w:r>
      <w:proofErr w:type="spellEnd"/>
      <w:r w:rsidRPr="00826FDC">
        <w:rPr>
          <w:rFonts w:ascii="Times New Roman" w:hAnsi="Times New Roman" w:cs="Times New Roman"/>
          <w:i/>
          <w:iCs/>
          <w:sz w:val="22"/>
          <w:szCs w:val="22"/>
          <w:lang w:val="en-US"/>
        </w:rPr>
        <w:t>: 10.1145/2530540.</w:t>
      </w:r>
    </w:p>
    <w:p w14:paraId="3D2A4F93" w14:textId="77777777" w:rsidR="00826FDC" w:rsidRPr="00826FDC" w:rsidRDefault="00826FDC" w:rsidP="00826FDC">
      <w:pPr>
        <w:spacing w:after="0" w:line="240" w:lineRule="auto"/>
        <w:jc w:val="both"/>
        <w:rPr>
          <w:rFonts w:ascii="Times New Roman" w:hAnsi="Times New Roman" w:cs="Times New Roman"/>
          <w:sz w:val="22"/>
          <w:szCs w:val="22"/>
          <w:lang w:val="en-US"/>
        </w:rPr>
      </w:pPr>
      <w:proofErr w:type="spellStart"/>
      <w:r w:rsidRPr="00826FDC">
        <w:rPr>
          <w:rFonts w:ascii="Times New Roman" w:hAnsi="Times New Roman" w:cs="Times New Roman"/>
          <w:sz w:val="22"/>
          <w:szCs w:val="22"/>
          <w:lang w:val="en-US"/>
        </w:rPr>
        <w:t>Golafshani</w:t>
      </w:r>
      <w:proofErr w:type="spellEnd"/>
      <w:r w:rsidRPr="00826FDC">
        <w:rPr>
          <w:rFonts w:ascii="Times New Roman" w:hAnsi="Times New Roman" w:cs="Times New Roman"/>
          <w:sz w:val="22"/>
          <w:szCs w:val="22"/>
          <w:lang w:val="en-US"/>
        </w:rPr>
        <w:t>, N. B. (2003). Understanding reliability and validity in qualitative research, University of Toronto.</w:t>
      </w:r>
    </w:p>
    <w:p w14:paraId="1B3B92F8"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fr-FR"/>
        </w:rPr>
        <w:t xml:space="preserve">Guo, S., Lu, P., &amp; Song, Y. (2013). </w:t>
      </w:r>
      <w:r w:rsidRPr="00826FDC">
        <w:rPr>
          <w:rFonts w:ascii="Times New Roman" w:hAnsi="Times New Roman" w:cs="Times New Roman"/>
          <w:sz w:val="22"/>
          <w:szCs w:val="22"/>
          <w:lang w:val="en-US"/>
        </w:rPr>
        <w:t xml:space="preserve">The effects of trust and contractual mechanism on working relationships—an empirical study in engineering construction projects. American Journal of Industrial and Business Management, 03(06), 539-548. </w:t>
      </w:r>
      <w:hyperlink r:id="rId19" w:history="1">
        <w:r w:rsidRPr="00826FDC">
          <w:rPr>
            <w:rStyle w:val="Hyperlink"/>
            <w:rFonts w:ascii="Times New Roman" w:hAnsi="Times New Roman" w:cs="Times New Roman"/>
            <w:sz w:val="22"/>
            <w:szCs w:val="22"/>
            <w:lang w:val="en-US"/>
          </w:rPr>
          <w:t>https://doi.org/10.4236/ajibm.2013.36062</w:t>
        </w:r>
      </w:hyperlink>
    </w:p>
    <w:p w14:paraId="57820265"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Higgins, D. M. (2010). Investment styles and performance in the Australian unlisted wholesale property fund market. SSRN Electronic Journal. </w:t>
      </w:r>
      <w:hyperlink r:id="rId20" w:history="1">
        <w:r w:rsidRPr="00826FDC">
          <w:rPr>
            <w:rStyle w:val="Hyperlink"/>
            <w:rFonts w:ascii="Times New Roman" w:hAnsi="Times New Roman" w:cs="Times New Roman"/>
            <w:sz w:val="22"/>
            <w:szCs w:val="22"/>
            <w:lang w:val="en-US"/>
          </w:rPr>
          <w:t>https://doi.org/10.2139/ssrn.1648641</w:t>
        </w:r>
      </w:hyperlink>
    </w:p>
    <w:p w14:paraId="31A2AF6A" w14:textId="77777777" w:rsidR="00826FDC" w:rsidRPr="00826FDC" w:rsidRDefault="00826FDC" w:rsidP="00826FDC">
      <w:pPr>
        <w:spacing w:after="0" w:line="240" w:lineRule="auto"/>
        <w:jc w:val="both"/>
        <w:rPr>
          <w:rFonts w:ascii="Times New Roman" w:hAnsi="Times New Roman" w:cs="Times New Roman"/>
          <w:sz w:val="22"/>
          <w:szCs w:val="22"/>
          <w:lang w:val="en-US"/>
        </w:rPr>
      </w:pPr>
      <w:proofErr w:type="spellStart"/>
      <w:r w:rsidRPr="00826FDC">
        <w:rPr>
          <w:rFonts w:ascii="Times New Roman" w:hAnsi="Times New Roman" w:cs="Times New Roman"/>
          <w:sz w:val="22"/>
          <w:szCs w:val="22"/>
          <w:lang w:val="en-US"/>
        </w:rPr>
        <w:lastRenderedPageBreak/>
        <w:t>Iwunna</w:t>
      </w:r>
      <w:proofErr w:type="spellEnd"/>
      <w:r w:rsidRPr="00826FDC">
        <w:rPr>
          <w:rFonts w:ascii="Times New Roman" w:hAnsi="Times New Roman" w:cs="Times New Roman"/>
          <w:sz w:val="22"/>
          <w:szCs w:val="22"/>
          <w:lang w:val="en-US"/>
        </w:rPr>
        <w:t xml:space="preserve">, O., Kennedy, J., &amp; Harmer, A. (2023). Flexibly funding who? an analysis of its donors’ voluntary contributions. BMJ Global Health, 8(4), e011232. </w:t>
      </w:r>
      <w:hyperlink r:id="rId21" w:history="1">
        <w:r w:rsidRPr="00826FDC">
          <w:rPr>
            <w:rStyle w:val="Hyperlink"/>
            <w:rFonts w:ascii="Times New Roman" w:hAnsi="Times New Roman" w:cs="Times New Roman"/>
            <w:sz w:val="22"/>
            <w:szCs w:val="22"/>
            <w:lang w:val="en-US"/>
          </w:rPr>
          <w:t>https://doi.org/10.1136/bmjgh-2022-011232</w:t>
        </w:r>
      </w:hyperlink>
    </w:p>
    <w:p w14:paraId="49303D5D" w14:textId="77777777" w:rsidR="00826FDC" w:rsidRPr="00826FDC" w:rsidRDefault="00826FDC" w:rsidP="00826FDC">
      <w:pPr>
        <w:spacing w:after="0" w:line="240" w:lineRule="auto"/>
        <w:jc w:val="both"/>
        <w:rPr>
          <w:rFonts w:ascii="Times New Roman" w:hAnsi="Times New Roman" w:cs="Times New Roman"/>
          <w:sz w:val="22"/>
          <w:szCs w:val="22"/>
          <w:lang w:val="en-US"/>
        </w:rPr>
      </w:pPr>
      <w:proofErr w:type="spellStart"/>
      <w:r w:rsidRPr="00826FDC">
        <w:rPr>
          <w:rFonts w:ascii="Times New Roman" w:hAnsi="Times New Roman" w:cs="Times New Roman"/>
          <w:sz w:val="22"/>
          <w:szCs w:val="22"/>
          <w:lang w:val="en-US"/>
        </w:rPr>
        <w:t>Jääskä</w:t>
      </w:r>
      <w:proofErr w:type="spellEnd"/>
      <w:r w:rsidRPr="00826FDC">
        <w:rPr>
          <w:rFonts w:ascii="Times New Roman" w:hAnsi="Times New Roman" w:cs="Times New Roman"/>
          <w:sz w:val="22"/>
          <w:szCs w:val="22"/>
          <w:lang w:val="en-US"/>
        </w:rPr>
        <w:t xml:space="preserve">, E., </w:t>
      </w:r>
      <w:proofErr w:type="spellStart"/>
      <w:r w:rsidRPr="00826FDC">
        <w:rPr>
          <w:rFonts w:ascii="Times New Roman" w:hAnsi="Times New Roman" w:cs="Times New Roman"/>
          <w:sz w:val="22"/>
          <w:szCs w:val="22"/>
          <w:lang w:val="en-US"/>
        </w:rPr>
        <w:t>Aaltonen</w:t>
      </w:r>
      <w:proofErr w:type="spellEnd"/>
      <w:r w:rsidRPr="00826FDC">
        <w:rPr>
          <w:rFonts w:ascii="Times New Roman" w:hAnsi="Times New Roman" w:cs="Times New Roman"/>
          <w:sz w:val="22"/>
          <w:szCs w:val="22"/>
          <w:lang w:val="en-US"/>
        </w:rPr>
        <w:t xml:space="preserve">, K., &amp; </w:t>
      </w:r>
      <w:proofErr w:type="spellStart"/>
      <w:r w:rsidRPr="00826FDC">
        <w:rPr>
          <w:rFonts w:ascii="Times New Roman" w:hAnsi="Times New Roman" w:cs="Times New Roman"/>
          <w:sz w:val="22"/>
          <w:szCs w:val="22"/>
          <w:lang w:val="en-US"/>
        </w:rPr>
        <w:t>Kujala</w:t>
      </w:r>
      <w:proofErr w:type="spellEnd"/>
      <w:r w:rsidRPr="00826FDC">
        <w:rPr>
          <w:rFonts w:ascii="Times New Roman" w:hAnsi="Times New Roman" w:cs="Times New Roman"/>
          <w:sz w:val="22"/>
          <w:szCs w:val="22"/>
          <w:lang w:val="en-US"/>
        </w:rPr>
        <w:t xml:space="preserve">, J. (2021). Game-based learning in project sustainability management education. sustainability, 13(15), 8204. </w:t>
      </w:r>
      <w:hyperlink r:id="rId22" w:history="1">
        <w:r w:rsidRPr="00826FDC">
          <w:rPr>
            <w:rStyle w:val="Hyperlink"/>
            <w:rFonts w:ascii="Times New Roman" w:hAnsi="Times New Roman" w:cs="Times New Roman"/>
            <w:sz w:val="22"/>
            <w:szCs w:val="22"/>
            <w:lang w:val="en-US"/>
          </w:rPr>
          <w:t>https://doi.org/10.3390/su13158204</w:t>
        </w:r>
      </w:hyperlink>
    </w:p>
    <w:p w14:paraId="5AAEFA0A"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Jason Gordon (2022). Institutional Theory – Explained. The Business Professor. Available at:  </w:t>
      </w:r>
      <w:hyperlink r:id="rId23" w:history="1">
        <w:r w:rsidRPr="00826FDC">
          <w:rPr>
            <w:rStyle w:val="Hyperlink"/>
            <w:rFonts w:ascii="Times New Roman" w:hAnsi="Times New Roman" w:cs="Times New Roman"/>
            <w:sz w:val="22"/>
            <w:szCs w:val="22"/>
            <w:lang w:val="en-US"/>
          </w:rPr>
          <w:t>https://thebusinessprofessor.com/en_US/management-leadership-organizational-behavior/institutional-theory-explained</w:t>
        </w:r>
      </w:hyperlink>
      <w:r w:rsidRPr="00826FDC">
        <w:rPr>
          <w:rFonts w:ascii="Times New Roman" w:hAnsi="Times New Roman" w:cs="Times New Roman"/>
          <w:sz w:val="22"/>
          <w:szCs w:val="22"/>
          <w:lang w:val="en-US"/>
        </w:rPr>
        <w:t xml:space="preserve"> </w:t>
      </w:r>
    </w:p>
    <w:p w14:paraId="05BB48FF" w14:textId="77777777" w:rsidR="00826FDC" w:rsidRPr="00826FDC" w:rsidRDefault="00826FDC" w:rsidP="00826FDC">
      <w:pPr>
        <w:spacing w:after="0" w:line="240" w:lineRule="auto"/>
        <w:jc w:val="both"/>
        <w:rPr>
          <w:rFonts w:ascii="Times New Roman" w:hAnsi="Times New Roman" w:cs="Times New Roman"/>
          <w:i/>
          <w:iCs/>
          <w:sz w:val="22"/>
          <w:szCs w:val="22"/>
          <w:lang w:val="en-US"/>
        </w:rPr>
      </w:pPr>
      <w:r w:rsidRPr="00826FDC">
        <w:rPr>
          <w:rFonts w:ascii="Times New Roman" w:hAnsi="Times New Roman" w:cs="Times New Roman"/>
          <w:sz w:val="22"/>
          <w:szCs w:val="22"/>
          <w:lang w:val="en-US"/>
        </w:rPr>
        <w:t xml:space="preserve">John Mayne (2008). </w:t>
      </w:r>
      <w:r w:rsidRPr="00826FDC">
        <w:rPr>
          <w:rFonts w:ascii="Times New Roman" w:hAnsi="Times New Roman" w:cs="Times New Roman"/>
          <w:i/>
          <w:iCs/>
          <w:sz w:val="22"/>
          <w:szCs w:val="22"/>
          <w:lang w:val="en-US"/>
        </w:rPr>
        <w:t>Contribution analysis: An approach to exploring cause and effect. The Institutional Learning and Change (ILAC) Initiative</w:t>
      </w:r>
      <w:r w:rsidRPr="00826FDC">
        <w:rPr>
          <w:rFonts w:ascii="Times New Roman" w:hAnsi="Times New Roman" w:cs="Times New Roman"/>
          <w:sz w:val="22"/>
          <w:szCs w:val="22"/>
          <w:lang w:val="en-US"/>
        </w:rPr>
        <w:t xml:space="preserve"> (www.cgiar-ilac.org)</w:t>
      </w:r>
    </w:p>
    <w:p w14:paraId="7CEC1FAC"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Kalman, H. (2016). Integrating evaluation and needs assessment: a case study of an ergonomics program. Performance Improvement Quarterly, 29(1), 51-69. </w:t>
      </w:r>
      <w:hyperlink r:id="rId24" w:history="1">
        <w:r w:rsidRPr="00826FDC">
          <w:rPr>
            <w:rStyle w:val="Hyperlink"/>
            <w:rFonts w:ascii="Times New Roman" w:hAnsi="Times New Roman" w:cs="Times New Roman"/>
            <w:sz w:val="22"/>
            <w:szCs w:val="22"/>
            <w:lang w:val="en-US"/>
          </w:rPr>
          <w:t>https://doi.org/10.1002/piq.21214</w:t>
        </w:r>
      </w:hyperlink>
    </w:p>
    <w:p w14:paraId="0987FCCD"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Kamau, B. (2024). Monitoring planning and implementation of donor funded agricultural projects in </w:t>
      </w:r>
      <w:proofErr w:type="spellStart"/>
      <w:r w:rsidRPr="00826FDC">
        <w:rPr>
          <w:rFonts w:ascii="Times New Roman" w:hAnsi="Times New Roman" w:cs="Times New Roman"/>
          <w:sz w:val="22"/>
          <w:szCs w:val="22"/>
          <w:lang w:val="en-US"/>
        </w:rPr>
        <w:t>kenya</w:t>
      </w:r>
      <w:proofErr w:type="spellEnd"/>
      <w:r w:rsidRPr="00826FDC">
        <w:rPr>
          <w:rFonts w:ascii="Times New Roman" w:hAnsi="Times New Roman" w:cs="Times New Roman"/>
          <w:sz w:val="22"/>
          <w:szCs w:val="22"/>
          <w:lang w:val="en-US"/>
        </w:rPr>
        <w:t xml:space="preserve">. Journal of Entrepreneurship and Project Management, 9(1), 29-49. </w:t>
      </w:r>
      <w:hyperlink r:id="rId25" w:history="1">
        <w:r w:rsidRPr="00826FDC">
          <w:rPr>
            <w:rStyle w:val="Hyperlink"/>
            <w:rFonts w:ascii="Times New Roman" w:hAnsi="Times New Roman" w:cs="Times New Roman"/>
            <w:sz w:val="22"/>
            <w:szCs w:val="22"/>
            <w:lang w:val="en-US"/>
          </w:rPr>
          <w:t>https://doi.org/10.47941/jepm.1677</w:t>
        </w:r>
      </w:hyperlink>
    </w:p>
    <w:p w14:paraId="40FA0CEE"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Kavita Gupta (2007). A Practical Guide to Needs Assessment. Pfeiffer, San Francisco</w:t>
      </w:r>
    </w:p>
    <w:p w14:paraId="53CED2BD" w14:textId="77777777" w:rsidR="00826FDC" w:rsidRPr="00826FDC" w:rsidRDefault="00826FDC" w:rsidP="00826FDC">
      <w:pPr>
        <w:spacing w:after="0" w:line="240" w:lineRule="auto"/>
        <w:jc w:val="both"/>
        <w:rPr>
          <w:rFonts w:ascii="Times New Roman" w:hAnsi="Times New Roman" w:cs="Times New Roman"/>
          <w:sz w:val="22"/>
          <w:szCs w:val="22"/>
          <w:lang w:val="en-US"/>
        </w:rPr>
      </w:pPr>
      <w:proofErr w:type="spellStart"/>
      <w:r w:rsidRPr="00826FDC">
        <w:rPr>
          <w:rFonts w:ascii="Times New Roman" w:hAnsi="Times New Roman" w:cs="Times New Roman"/>
          <w:sz w:val="22"/>
          <w:szCs w:val="22"/>
          <w:lang w:val="en-US"/>
        </w:rPr>
        <w:t>Khieng</w:t>
      </w:r>
      <w:proofErr w:type="spellEnd"/>
      <w:r w:rsidRPr="00826FDC">
        <w:rPr>
          <w:rFonts w:ascii="Times New Roman" w:hAnsi="Times New Roman" w:cs="Times New Roman"/>
          <w:sz w:val="22"/>
          <w:szCs w:val="22"/>
          <w:lang w:val="en-US"/>
        </w:rPr>
        <w:t xml:space="preserve">, S. (2013). Funding mobilization strategies of nongovernmental organizations in Cambodia. VOLUNTAS: International Journal of Voluntary and Nonprofit Organizations, 25(6), 1441-1464. </w:t>
      </w:r>
      <w:hyperlink r:id="rId26" w:history="1">
        <w:r w:rsidRPr="00826FDC">
          <w:rPr>
            <w:rStyle w:val="Hyperlink"/>
            <w:rFonts w:ascii="Times New Roman" w:hAnsi="Times New Roman" w:cs="Times New Roman"/>
            <w:sz w:val="22"/>
            <w:szCs w:val="22"/>
            <w:lang w:val="en-US"/>
          </w:rPr>
          <w:t>https://doi.org/10.1007/s11266-013-9400-7</w:t>
        </w:r>
      </w:hyperlink>
    </w:p>
    <w:p w14:paraId="4077730E" w14:textId="77777777" w:rsidR="00826FDC" w:rsidRPr="00826FDC" w:rsidRDefault="00826FDC" w:rsidP="00826FDC">
      <w:pPr>
        <w:spacing w:after="0" w:line="240" w:lineRule="auto"/>
        <w:jc w:val="both"/>
        <w:rPr>
          <w:rFonts w:ascii="Times New Roman" w:hAnsi="Times New Roman" w:cs="Times New Roman"/>
          <w:sz w:val="22"/>
          <w:szCs w:val="22"/>
          <w:lang w:val="en-US"/>
        </w:rPr>
      </w:pPr>
      <w:proofErr w:type="spellStart"/>
      <w:r w:rsidRPr="00826FDC">
        <w:rPr>
          <w:rFonts w:ascii="Times New Roman" w:hAnsi="Times New Roman" w:cs="Times New Roman"/>
          <w:sz w:val="22"/>
          <w:szCs w:val="22"/>
          <w:lang w:val="fr-FR"/>
        </w:rPr>
        <w:t>Kisilu</w:t>
      </w:r>
      <w:proofErr w:type="spellEnd"/>
      <w:r w:rsidRPr="00826FDC">
        <w:rPr>
          <w:rFonts w:ascii="Times New Roman" w:hAnsi="Times New Roman" w:cs="Times New Roman"/>
          <w:sz w:val="22"/>
          <w:szCs w:val="22"/>
          <w:lang w:val="fr-FR"/>
        </w:rPr>
        <w:t xml:space="preserve">, D. K., &amp; Tromp, D. L. (2006). </w:t>
      </w:r>
      <w:r w:rsidRPr="00826FDC">
        <w:rPr>
          <w:rFonts w:ascii="Times New Roman" w:hAnsi="Times New Roman" w:cs="Times New Roman"/>
          <w:sz w:val="22"/>
          <w:szCs w:val="22"/>
          <w:lang w:val="en-US"/>
        </w:rPr>
        <w:t xml:space="preserve">Proposal and Thesis Writing. Pauline, Nairobi   </w:t>
      </w:r>
    </w:p>
    <w:p w14:paraId="4185A41F"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Kombo D.K. and Tromp D.L. (2006). Proposal and thesis writing, an introduction. </w:t>
      </w:r>
      <w:proofErr w:type="spellStart"/>
      <w:r w:rsidRPr="00826FDC">
        <w:rPr>
          <w:rFonts w:ascii="Times New Roman" w:hAnsi="Times New Roman" w:cs="Times New Roman"/>
          <w:sz w:val="22"/>
          <w:szCs w:val="22"/>
          <w:lang w:val="en-US"/>
        </w:rPr>
        <w:t>Paulines</w:t>
      </w:r>
      <w:proofErr w:type="spellEnd"/>
      <w:r w:rsidRPr="00826FDC">
        <w:rPr>
          <w:rFonts w:ascii="Times New Roman" w:hAnsi="Times New Roman" w:cs="Times New Roman"/>
          <w:sz w:val="22"/>
          <w:szCs w:val="22"/>
          <w:lang w:val="en-US"/>
        </w:rPr>
        <w:t>, Nairobi</w:t>
      </w:r>
    </w:p>
    <w:p w14:paraId="3EF61067"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Kothari, C.R. (2004) Research Methodology: Methods and Techniques. 2nd Edition, New Age International Publishers, New Delhi.</w:t>
      </w:r>
    </w:p>
    <w:p w14:paraId="00E022C7" w14:textId="77777777" w:rsidR="00826FDC" w:rsidRPr="00826FDC" w:rsidRDefault="00826FDC" w:rsidP="00826FDC">
      <w:pPr>
        <w:spacing w:after="0" w:line="240" w:lineRule="auto"/>
        <w:jc w:val="both"/>
        <w:rPr>
          <w:rFonts w:ascii="Times New Roman" w:hAnsi="Times New Roman" w:cs="Times New Roman"/>
          <w:i/>
          <w:iCs/>
          <w:sz w:val="22"/>
          <w:szCs w:val="22"/>
          <w:lang w:val="en-US"/>
        </w:rPr>
      </w:pPr>
      <w:r w:rsidRPr="00826FDC">
        <w:rPr>
          <w:rFonts w:ascii="Times New Roman" w:hAnsi="Times New Roman" w:cs="Times New Roman"/>
          <w:sz w:val="22"/>
          <w:szCs w:val="22"/>
          <w:lang w:val="en-US"/>
        </w:rPr>
        <w:t>Kuhn, L. (2008</w:t>
      </w:r>
      <w:r w:rsidRPr="00826FDC">
        <w:rPr>
          <w:rFonts w:ascii="Times New Roman" w:hAnsi="Times New Roman" w:cs="Times New Roman"/>
          <w:i/>
          <w:iCs/>
          <w:sz w:val="22"/>
          <w:szCs w:val="22"/>
          <w:lang w:val="en-US"/>
        </w:rPr>
        <w:t>). Complexity and educational research: A critical reflection. Educational Philosophy and Theory, 40(1), 177-189.</w:t>
      </w:r>
    </w:p>
    <w:p w14:paraId="31A2DA3A" w14:textId="77777777" w:rsidR="00826FDC" w:rsidRPr="00826FDC" w:rsidRDefault="00826FDC" w:rsidP="00826FDC">
      <w:pPr>
        <w:spacing w:after="0" w:line="240" w:lineRule="auto"/>
        <w:jc w:val="both"/>
        <w:rPr>
          <w:rFonts w:ascii="Times New Roman" w:hAnsi="Times New Roman" w:cs="Times New Roman"/>
          <w:sz w:val="22"/>
          <w:szCs w:val="22"/>
          <w:lang w:val="en-US"/>
        </w:rPr>
      </w:pPr>
      <w:proofErr w:type="spellStart"/>
      <w:r w:rsidRPr="00826FDC">
        <w:rPr>
          <w:rFonts w:ascii="Times New Roman" w:hAnsi="Times New Roman" w:cs="Times New Roman"/>
          <w:sz w:val="22"/>
          <w:szCs w:val="22"/>
          <w:lang w:val="en-US"/>
        </w:rPr>
        <w:t>Leisher</w:t>
      </w:r>
      <w:proofErr w:type="spellEnd"/>
      <w:r w:rsidRPr="00826FDC">
        <w:rPr>
          <w:rFonts w:ascii="Times New Roman" w:hAnsi="Times New Roman" w:cs="Times New Roman"/>
          <w:sz w:val="22"/>
          <w:szCs w:val="22"/>
          <w:lang w:val="en-US"/>
        </w:rPr>
        <w:t xml:space="preserve">, C., </w:t>
      </w:r>
      <w:proofErr w:type="spellStart"/>
      <w:r w:rsidRPr="00826FDC">
        <w:rPr>
          <w:rFonts w:ascii="Times New Roman" w:hAnsi="Times New Roman" w:cs="Times New Roman"/>
          <w:sz w:val="22"/>
          <w:szCs w:val="22"/>
          <w:lang w:val="en-US"/>
        </w:rPr>
        <w:t>Bugan</w:t>
      </w:r>
      <w:proofErr w:type="spellEnd"/>
      <w:r w:rsidRPr="00826FDC">
        <w:rPr>
          <w:rFonts w:ascii="Times New Roman" w:hAnsi="Times New Roman" w:cs="Times New Roman"/>
          <w:sz w:val="22"/>
          <w:szCs w:val="22"/>
          <w:lang w:val="en-US"/>
        </w:rPr>
        <w:t xml:space="preserve">, R., &amp; Ngo, S. (2024). Improving theories of change in conservation projects. Conservation Science and Practice, 6(11). </w:t>
      </w:r>
      <w:hyperlink r:id="rId27" w:history="1">
        <w:r w:rsidRPr="00826FDC">
          <w:rPr>
            <w:rStyle w:val="Hyperlink"/>
            <w:rFonts w:ascii="Times New Roman" w:hAnsi="Times New Roman" w:cs="Times New Roman"/>
            <w:sz w:val="22"/>
            <w:szCs w:val="22"/>
            <w:lang w:val="en-US"/>
          </w:rPr>
          <w:t>https://doi.org/10.1111/csp2.13248</w:t>
        </w:r>
      </w:hyperlink>
    </w:p>
    <w:p w14:paraId="4F9AA3CF"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Liao, C. and Lian, J. (2022). Gender inequality in applying research project and funding. Journal of Information Science, 50(2), 546-554. </w:t>
      </w:r>
      <w:hyperlink r:id="rId28" w:history="1">
        <w:r w:rsidRPr="00826FDC">
          <w:rPr>
            <w:rStyle w:val="Hyperlink"/>
            <w:rFonts w:ascii="Times New Roman" w:hAnsi="Times New Roman" w:cs="Times New Roman"/>
            <w:sz w:val="22"/>
            <w:szCs w:val="22"/>
            <w:lang w:val="en-US"/>
          </w:rPr>
          <w:t>https://doi.org/10.1177/01655515221097861</w:t>
        </w:r>
      </w:hyperlink>
    </w:p>
    <w:p w14:paraId="7A8B1F24" w14:textId="77777777" w:rsidR="00826FDC" w:rsidRPr="00826FDC" w:rsidRDefault="00826FDC" w:rsidP="00826FDC">
      <w:pPr>
        <w:spacing w:after="0" w:line="240" w:lineRule="auto"/>
        <w:jc w:val="both"/>
        <w:rPr>
          <w:rFonts w:ascii="Times New Roman" w:hAnsi="Times New Roman" w:cs="Times New Roman"/>
          <w:i/>
          <w:iCs/>
          <w:sz w:val="22"/>
          <w:szCs w:val="22"/>
          <w:lang w:val="en-US"/>
        </w:rPr>
      </w:pPr>
      <w:proofErr w:type="spellStart"/>
      <w:r w:rsidRPr="00826FDC">
        <w:rPr>
          <w:rFonts w:ascii="Times New Roman" w:hAnsi="Times New Roman" w:cs="Times New Roman"/>
          <w:sz w:val="22"/>
          <w:szCs w:val="22"/>
          <w:lang w:val="en-US"/>
        </w:rPr>
        <w:t>Luk</w:t>
      </w:r>
      <w:proofErr w:type="spellEnd"/>
      <w:r w:rsidRPr="00826FDC">
        <w:rPr>
          <w:rFonts w:ascii="Times New Roman" w:hAnsi="Times New Roman" w:cs="Times New Roman"/>
          <w:sz w:val="22"/>
          <w:szCs w:val="22"/>
          <w:lang w:val="en-US"/>
        </w:rPr>
        <w:t xml:space="preserve"> Van </w:t>
      </w:r>
      <w:proofErr w:type="spellStart"/>
      <w:r w:rsidRPr="00826FDC">
        <w:rPr>
          <w:rFonts w:ascii="Times New Roman" w:hAnsi="Times New Roman" w:cs="Times New Roman"/>
          <w:sz w:val="22"/>
          <w:szCs w:val="22"/>
          <w:lang w:val="en-US"/>
        </w:rPr>
        <w:t>Wassenhove</w:t>
      </w:r>
      <w:proofErr w:type="spellEnd"/>
      <w:r w:rsidRPr="00826FDC">
        <w:rPr>
          <w:rFonts w:ascii="Times New Roman" w:hAnsi="Times New Roman" w:cs="Times New Roman"/>
          <w:sz w:val="22"/>
          <w:szCs w:val="22"/>
          <w:lang w:val="en-US"/>
        </w:rPr>
        <w:t xml:space="preserve"> (2022). </w:t>
      </w:r>
      <w:r w:rsidRPr="00826FDC">
        <w:rPr>
          <w:rFonts w:ascii="Times New Roman" w:hAnsi="Times New Roman" w:cs="Times New Roman"/>
          <w:i/>
          <w:iCs/>
          <w:sz w:val="22"/>
          <w:szCs w:val="22"/>
          <w:lang w:val="en-US"/>
        </w:rPr>
        <w:t xml:space="preserve">Making Humanitarian Operations More Sustainable, Knowledge INSEAD. </w:t>
      </w:r>
      <w:hyperlink r:id="rId29" w:history="1">
        <w:r w:rsidRPr="00826FDC">
          <w:rPr>
            <w:rStyle w:val="Hyperlink"/>
            <w:rFonts w:ascii="Times New Roman" w:hAnsi="Times New Roman" w:cs="Times New Roman"/>
            <w:i/>
            <w:iCs/>
            <w:sz w:val="22"/>
            <w:szCs w:val="22"/>
            <w:lang w:val="en-US"/>
          </w:rPr>
          <w:t>https://knowledge.insead.edu/operations/making-humanitarian-operations-more-sustainable</w:t>
        </w:r>
      </w:hyperlink>
      <w:r w:rsidRPr="00826FDC">
        <w:rPr>
          <w:rFonts w:ascii="Times New Roman" w:hAnsi="Times New Roman" w:cs="Times New Roman"/>
          <w:i/>
          <w:iCs/>
          <w:sz w:val="22"/>
          <w:szCs w:val="22"/>
          <w:lang w:val="en-US"/>
        </w:rPr>
        <w:t xml:space="preserve"> </w:t>
      </w:r>
    </w:p>
    <w:p w14:paraId="46368FA1" w14:textId="77777777" w:rsidR="00826FDC" w:rsidRPr="00826FDC" w:rsidRDefault="00826FDC" w:rsidP="00826FDC">
      <w:pPr>
        <w:spacing w:after="0" w:line="240" w:lineRule="auto"/>
        <w:jc w:val="both"/>
        <w:rPr>
          <w:rFonts w:ascii="Times New Roman" w:hAnsi="Times New Roman" w:cs="Times New Roman"/>
          <w:i/>
          <w:iCs/>
          <w:sz w:val="22"/>
          <w:szCs w:val="22"/>
          <w:lang w:val="en-US"/>
        </w:rPr>
      </w:pPr>
      <w:proofErr w:type="spellStart"/>
      <w:r w:rsidRPr="00826FDC">
        <w:rPr>
          <w:rFonts w:ascii="Times New Roman" w:hAnsi="Times New Roman" w:cs="Times New Roman"/>
          <w:sz w:val="22"/>
          <w:szCs w:val="22"/>
          <w:lang w:val="en-US"/>
        </w:rPr>
        <w:t>MacKellar</w:t>
      </w:r>
      <w:proofErr w:type="spellEnd"/>
      <w:r w:rsidRPr="00826FDC">
        <w:rPr>
          <w:rFonts w:ascii="Times New Roman" w:hAnsi="Times New Roman" w:cs="Times New Roman"/>
          <w:sz w:val="22"/>
          <w:szCs w:val="22"/>
          <w:lang w:val="en-US"/>
        </w:rPr>
        <w:t xml:space="preserve">, L. (2005). </w:t>
      </w:r>
      <w:r w:rsidRPr="00826FDC">
        <w:rPr>
          <w:rFonts w:ascii="Times New Roman" w:hAnsi="Times New Roman" w:cs="Times New Roman"/>
          <w:i/>
          <w:iCs/>
          <w:sz w:val="22"/>
          <w:szCs w:val="22"/>
          <w:lang w:val="en-US"/>
        </w:rPr>
        <w:t>Priorities in global assistance for health, AIDS, and population, OECD Development Centre Working Paper No. 244. Paris: OECD.</w:t>
      </w:r>
    </w:p>
    <w:p w14:paraId="3630EE87"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Martin, A. and Stein, S. (2020). Female surgical trainees and departmental awards. Jama Surgery. </w:t>
      </w:r>
      <w:hyperlink r:id="rId30" w:history="1">
        <w:r w:rsidRPr="00826FDC">
          <w:rPr>
            <w:rStyle w:val="Hyperlink"/>
            <w:rFonts w:ascii="Times New Roman" w:hAnsi="Times New Roman" w:cs="Times New Roman"/>
            <w:sz w:val="22"/>
            <w:szCs w:val="22"/>
            <w:lang w:val="en-US"/>
          </w:rPr>
          <w:t>https://doi.org/10.1001/jamasurg.2020.3532</w:t>
        </w:r>
      </w:hyperlink>
    </w:p>
    <w:p w14:paraId="0E3B7F1F"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Maxfield, M. G., &amp; Babbie, E. R. (2014). Research methods for criminal justice and criminology. Cengage Learning. McGraw-Hill.</w:t>
      </w:r>
    </w:p>
    <w:p w14:paraId="1B888615" w14:textId="77777777" w:rsidR="00826FDC" w:rsidRPr="00826FDC" w:rsidRDefault="00826FDC" w:rsidP="00826FDC">
      <w:pPr>
        <w:spacing w:after="0" w:line="240" w:lineRule="auto"/>
        <w:jc w:val="both"/>
        <w:rPr>
          <w:rFonts w:ascii="Times New Roman" w:hAnsi="Times New Roman" w:cs="Times New Roman"/>
          <w:i/>
          <w:iCs/>
          <w:sz w:val="22"/>
          <w:szCs w:val="22"/>
          <w:lang w:val="en-US"/>
        </w:rPr>
      </w:pPr>
      <w:r w:rsidRPr="00826FDC">
        <w:rPr>
          <w:rFonts w:ascii="Times New Roman" w:hAnsi="Times New Roman" w:cs="Times New Roman"/>
          <w:sz w:val="22"/>
          <w:szCs w:val="22"/>
          <w:lang w:val="en-US"/>
        </w:rPr>
        <w:t xml:space="preserve">Mayer, R.C., Davis, J.H. and </w:t>
      </w:r>
      <w:proofErr w:type="spellStart"/>
      <w:r w:rsidRPr="00826FDC">
        <w:rPr>
          <w:rFonts w:ascii="Times New Roman" w:hAnsi="Times New Roman" w:cs="Times New Roman"/>
          <w:sz w:val="22"/>
          <w:szCs w:val="22"/>
          <w:lang w:val="en-US"/>
        </w:rPr>
        <w:t>Schoorman</w:t>
      </w:r>
      <w:proofErr w:type="spellEnd"/>
      <w:r w:rsidRPr="00826FDC">
        <w:rPr>
          <w:rFonts w:ascii="Times New Roman" w:hAnsi="Times New Roman" w:cs="Times New Roman"/>
          <w:sz w:val="22"/>
          <w:szCs w:val="22"/>
          <w:lang w:val="en-US"/>
        </w:rPr>
        <w:t xml:space="preserve">, F.D. (1995), </w:t>
      </w:r>
      <w:r w:rsidRPr="00826FDC">
        <w:rPr>
          <w:rFonts w:ascii="Times New Roman" w:hAnsi="Times New Roman" w:cs="Times New Roman"/>
          <w:i/>
          <w:iCs/>
          <w:sz w:val="22"/>
          <w:szCs w:val="22"/>
          <w:lang w:val="en-US"/>
        </w:rPr>
        <w:t xml:space="preserve">“An integrative model of organizational trust”, Academy of Management Review, Vol. 20 No. 3, pp. 709-734, </w:t>
      </w:r>
      <w:proofErr w:type="spellStart"/>
      <w:r w:rsidRPr="00826FDC">
        <w:rPr>
          <w:rFonts w:ascii="Times New Roman" w:hAnsi="Times New Roman" w:cs="Times New Roman"/>
          <w:i/>
          <w:iCs/>
          <w:sz w:val="22"/>
          <w:szCs w:val="22"/>
          <w:lang w:val="en-US"/>
        </w:rPr>
        <w:t>doi</w:t>
      </w:r>
      <w:proofErr w:type="spellEnd"/>
      <w:r w:rsidRPr="00826FDC">
        <w:rPr>
          <w:rFonts w:ascii="Times New Roman" w:hAnsi="Times New Roman" w:cs="Times New Roman"/>
          <w:i/>
          <w:iCs/>
          <w:sz w:val="22"/>
          <w:szCs w:val="22"/>
          <w:lang w:val="en-US"/>
        </w:rPr>
        <w:t xml:space="preserve">: 10.5465/amr.1995.9508080335 </w:t>
      </w:r>
    </w:p>
    <w:p w14:paraId="5F8C817C"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Megan </w:t>
      </w:r>
      <w:proofErr w:type="spellStart"/>
      <w:r w:rsidRPr="00826FDC">
        <w:rPr>
          <w:rFonts w:ascii="Times New Roman" w:hAnsi="Times New Roman" w:cs="Times New Roman"/>
          <w:sz w:val="22"/>
          <w:szCs w:val="22"/>
          <w:lang w:val="en-US"/>
        </w:rPr>
        <w:t>Keup</w:t>
      </w:r>
      <w:proofErr w:type="spellEnd"/>
      <w:r w:rsidRPr="00826FDC">
        <w:rPr>
          <w:rFonts w:ascii="Times New Roman" w:hAnsi="Times New Roman" w:cs="Times New Roman"/>
          <w:sz w:val="22"/>
          <w:szCs w:val="22"/>
          <w:lang w:val="en-US"/>
        </w:rPr>
        <w:t xml:space="preserve"> (2023) </w:t>
      </w:r>
      <w:r w:rsidRPr="00826FDC">
        <w:rPr>
          <w:rFonts w:ascii="Times New Roman" w:hAnsi="Times New Roman" w:cs="Times New Roman"/>
          <w:i/>
          <w:iCs/>
          <w:sz w:val="22"/>
          <w:szCs w:val="22"/>
          <w:lang w:val="en-US"/>
        </w:rPr>
        <w:t>What Is Stakeholder Theory?</w:t>
      </w:r>
      <w:r w:rsidRPr="00826FDC">
        <w:rPr>
          <w:rFonts w:ascii="Times New Roman" w:hAnsi="Times New Roman" w:cs="Times New Roman"/>
          <w:sz w:val="22"/>
          <w:szCs w:val="22"/>
          <w:lang w:val="en-US"/>
        </w:rPr>
        <w:t xml:space="preserve"> Available on Project Manager, </w:t>
      </w:r>
      <w:hyperlink r:id="rId31" w:history="1">
        <w:r w:rsidRPr="00826FDC">
          <w:rPr>
            <w:rStyle w:val="Hyperlink"/>
            <w:rFonts w:ascii="Times New Roman" w:hAnsi="Times New Roman" w:cs="Times New Roman"/>
            <w:sz w:val="22"/>
            <w:szCs w:val="22"/>
            <w:lang w:val="en-US"/>
          </w:rPr>
          <w:t>https://www.projectmanager.com/blog/what-is-stakeholder-theory</w:t>
        </w:r>
      </w:hyperlink>
      <w:r w:rsidRPr="00826FDC">
        <w:rPr>
          <w:rFonts w:ascii="Times New Roman" w:hAnsi="Times New Roman" w:cs="Times New Roman"/>
          <w:sz w:val="22"/>
          <w:szCs w:val="22"/>
          <w:lang w:val="en-US"/>
        </w:rPr>
        <w:t xml:space="preserve">  </w:t>
      </w:r>
    </w:p>
    <w:p w14:paraId="2C50522E"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Miguel A. </w:t>
      </w:r>
      <w:proofErr w:type="spellStart"/>
      <w:r w:rsidRPr="00826FDC">
        <w:rPr>
          <w:rFonts w:ascii="Times New Roman" w:hAnsi="Times New Roman" w:cs="Times New Roman"/>
          <w:sz w:val="22"/>
          <w:szCs w:val="22"/>
          <w:lang w:val="en-US"/>
        </w:rPr>
        <w:t>Tamonan</w:t>
      </w:r>
      <w:proofErr w:type="spellEnd"/>
      <w:r w:rsidRPr="00826FDC">
        <w:rPr>
          <w:rFonts w:ascii="Times New Roman" w:hAnsi="Times New Roman" w:cs="Times New Roman"/>
          <w:sz w:val="22"/>
          <w:szCs w:val="22"/>
          <w:lang w:val="en-US"/>
        </w:rPr>
        <w:t xml:space="preserve"> (2022). USAID business forecast: Q1 2023 | </w:t>
      </w:r>
      <w:proofErr w:type="spellStart"/>
      <w:r w:rsidRPr="00826FDC">
        <w:rPr>
          <w:rFonts w:ascii="Times New Roman" w:hAnsi="Times New Roman" w:cs="Times New Roman"/>
          <w:sz w:val="22"/>
          <w:szCs w:val="22"/>
          <w:lang w:val="en-US"/>
        </w:rPr>
        <w:t>Devex</w:t>
      </w:r>
      <w:proofErr w:type="spellEnd"/>
      <w:r w:rsidRPr="00826FDC">
        <w:rPr>
          <w:rFonts w:ascii="Times New Roman" w:hAnsi="Times New Roman" w:cs="Times New Roman"/>
          <w:sz w:val="22"/>
          <w:szCs w:val="22"/>
          <w:lang w:val="en-US"/>
        </w:rPr>
        <w:t xml:space="preserve">. Available on </w:t>
      </w:r>
      <w:hyperlink r:id="rId32" w:history="1">
        <w:r w:rsidRPr="00826FDC">
          <w:rPr>
            <w:rStyle w:val="Hyperlink"/>
            <w:rFonts w:ascii="Times New Roman" w:hAnsi="Times New Roman" w:cs="Times New Roman"/>
            <w:sz w:val="22"/>
            <w:szCs w:val="22"/>
            <w:lang w:val="en-US"/>
          </w:rPr>
          <w:t>https://www.devex.com/news/usaid-business-forecast-q1-2023-104545</w:t>
        </w:r>
      </w:hyperlink>
    </w:p>
    <w:p w14:paraId="206D8A47" w14:textId="77777777" w:rsidR="00826FDC" w:rsidRPr="00826FDC" w:rsidRDefault="00826FDC" w:rsidP="00826FDC">
      <w:pPr>
        <w:spacing w:after="0" w:line="240" w:lineRule="auto"/>
        <w:jc w:val="both"/>
        <w:rPr>
          <w:rFonts w:ascii="Times New Roman" w:hAnsi="Times New Roman" w:cs="Times New Roman"/>
          <w:sz w:val="22"/>
          <w:szCs w:val="22"/>
          <w:lang w:val="en-US"/>
        </w:rPr>
      </w:pPr>
      <w:proofErr w:type="spellStart"/>
      <w:r w:rsidRPr="00826FDC">
        <w:rPr>
          <w:rFonts w:ascii="Times New Roman" w:hAnsi="Times New Roman" w:cs="Times New Roman"/>
          <w:sz w:val="22"/>
          <w:szCs w:val="22"/>
          <w:lang w:val="en-US"/>
        </w:rPr>
        <w:t>Mirando</w:t>
      </w:r>
      <w:proofErr w:type="spellEnd"/>
      <w:r w:rsidRPr="00826FDC">
        <w:rPr>
          <w:rFonts w:ascii="Times New Roman" w:hAnsi="Times New Roman" w:cs="Times New Roman"/>
          <w:sz w:val="22"/>
          <w:szCs w:val="22"/>
          <w:lang w:val="en-US"/>
        </w:rPr>
        <w:t xml:space="preserve">, M. A. and </w:t>
      </w:r>
      <w:proofErr w:type="spellStart"/>
      <w:r w:rsidRPr="00826FDC">
        <w:rPr>
          <w:rFonts w:ascii="Times New Roman" w:hAnsi="Times New Roman" w:cs="Times New Roman"/>
          <w:sz w:val="22"/>
          <w:szCs w:val="22"/>
          <w:lang w:val="en-US"/>
        </w:rPr>
        <w:t>Turzillo</w:t>
      </w:r>
      <w:proofErr w:type="spellEnd"/>
      <w:r w:rsidRPr="00826FDC">
        <w:rPr>
          <w:rFonts w:ascii="Times New Roman" w:hAnsi="Times New Roman" w:cs="Times New Roman"/>
          <w:sz w:val="22"/>
          <w:szCs w:val="22"/>
          <w:lang w:val="en-US"/>
        </w:rPr>
        <w:t xml:space="preserve">, A. M. (2018). Funding opportunities at the national institute of food and agriculture: program priorities and tips for successful grant writing. Clinical Theriogenology, 10(4), 469-475. </w:t>
      </w:r>
      <w:hyperlink r:id="rId33" w:history="1">
        <w:r w:rsidRPr="00826FDC">
          <w:rPr>
            <w:rStyle w:val="Hyperlink"/>
            <w:rFonts w:ascii="Times New Roman" w:hAnsi="Times New Roman" w:cs="Times New Roman"/>
            <w:sz w:val="22"/>
            <w:szCs w:val="22"/>
            <w:lang w:val="en-US"/>
          </w:rPr>
          <w:t>https://doi.org/10.58292/ct.v10.9905</w:t>
        </w:r>
      </w:hyperlink>
    </w:p>
    <w:p w14:paraId="255E77EC"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Mugenda, O.M. and Mugenda, A.G. (2003) Research Methods, Quantitative and Qualitative Approaches. ACT, Nairobi.  </w:t>
      </w:r>
    </w:p>
    <w:p w14:paraId="342B6011"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Mugenda, Q.M. and Mugenda, A.G. (2009) Research Methods: Quantitative and Qualitative Approaches. ACTS, Nairobi. </w:t>
      </w:r>
    </w:p>
    <w:p w14:paraId="7F114304" w14:textId="77777777" w:rsidR="00826FDC" w:rsidRPr="00826FDC" w:rsidRDefault="00826FDC" w:rsidP="00826FDC">
      <w:pPr>
        <w:spacing w:after="0" w:line="240" w:lineRule="auto"/>
        <w:jc w:val="both"/>
        <w:rPr>
          <w:rFonts w:ascii="Times New Roman" w:hAnsi="Times New Roman" w:cs="Times New Roman"/>
          <w:sz w:val="22"/>
          <w:szCs w:val="22"/>
          <w:lang w:val="en-US"/>
        </w:rPr>
      </w:pPr>
      <w:proofErr w:type="spellStart"/>
      <w:r w:rsidRPr="00826FDC">
        <w:rPr>
          <w:rFonts w:ascii="Times New Roman" w:hAnsi="Times New Roman" w:cs="Times New Roman"/>
          <w:sz w:val="22"/>
          <w:szCs w:val="22"/>
          <w:lang w:val="en-US"/>
        </w:rPr>
        <w:t>Neumayer</w:t>
      </w:r>
      <w:proofErr w:type="spellEnd"/>
      <w:r w:rsidRPr="00826FDC">
        <w:rPr>
          <w:rFonts w:ascii="Times New Roman" w:hAnsi="Times New Roman" w:cs="Times New Roman"/>
          <w:sz w:val="22"/>
          <w:szCs w:val="22"/>
          <w:lang w:val="en-US"/>
        </w:rPr>
        <w:t xml:space="preserve">, E. (2003). The Determinants of Aid Allocation by Regional Multilateral Development Banks and United Nations Agencies. International Studies Quarterly, 47(1), 101–122. </w:t>
      </w:r>
      <w:hyperlink r:id="rId34" w:history="1">
        <w:r w:rsidRPr="00826FDC">
          <w:rPr>
            <w:rStyle w:val="Hyperlink"/>
            <w:rFonts w:ascii="Times New Roman" w:hAnsi="Times New Roman" w:cs="Times New Roman"/>
            <w:sz w:val="22"/>
            <w:szCs w:val="22"/>
            <w:lang w:val="en-US"/>
          </w:rPr>
          <w:t>http://www.jstor.org/stable/3096078</w:t>
        </w:r>
      </w:hyperlink>
      <w:r w:rsidRPr="00826FDC">
        <w:rPr>
          <w:rFonts w:ascii="Times New Roman" w:hAnsi="Times New Roman" w:cs="Times New Roman"/>
          <w:sz w:val="22"/>
          <w:szCs w:val="22"/>
          <w:lang w:val="en-US"/>
        </w:rPr>
        <w:t xml:space="preserve"> </w:t>
      </w:r>
    </w:p>
    <w:p w14:paraId="5444DE4C" w14:textId="77777777" w:rsidR="00826FDC" w:rsidRPr="00826FDC" w:rsidRDefault="00826FDC" w:rsidP="00826FDC">
      <w:pPr>
        <w:spacing w:after="0" w:line="240" w:lineRule="auto"/>
        <w:jc w:val="both"/>
        <w:rPr>
          <w:rFonts w:ascii="Times New Roman" w:hAnsi="Times New Roman" w:cs="Times New Roman"/>
          <w:sz w:val="22"/>
          <w:szCs w:val="22"/>
          <w:lang w:val="en-US"/>
        </w:rPr>
      </w:pPr>
      <w:proofErr w:type="spellStart"/>
      <w:r w:rsidRPr="00826FDC">
        <w:rPr>
          <w:rFonts w:ascii="Times New Roman" w:hAnsi="Times New Roman" w:cs="Times New Roman"/>
          <w:sz w:val="22"/>
          <w:szCs w:val="22"/>
          <w:lang w:val="en-US"/>
        </w:rPr>
        <w:t>Ngechu</w:t>
      </w:r>
      <w:proofErr w:type="spellEnd"/>
      <w:r w:rsidRPr="00826FDC">
        <w:rPr>
          <w:rFonts w:ascii="Times New Roman" w:hAnsi="Times New Roman" w:cs="Times New Roman"/>
          <w:sz w:val="22"/>
          <w:szCs w:val="22"/>
          <w:lang w:val="en-US"/>
        </w:rPr>
        <w:t>, M. (2004). Understanding the Research Process and Methods. An Introduction to Research Methods.</w:t>
      </w:r>
    </w:p>
    <w:p w14:paraId="7110EE89" w14:textId="77777777" w:rsidR="00826FDC" w:rsidRPr="00826FDC" w:rsidRDefault="00826FDC" w:rsidP="00826FDC">
      <w:pPr>
        <w:spacing w:after="0" w:line="240" w:lineRule="auto"/>
        <w:jc w:val="both"/>
        <w:rPr>
          <w:rFonts w:ascii="Times New Roman" w:hAnsi="Times New Roman" w:cs="Times New Roman"/>
          <w:i/>
          <w:iCs/>
          <w:sz w:val="22"/>
          <w:szCs w:val="22"/>
          <w:lang w:val="en-US"/>
        </w:rPr>
      </w:pPr>
      <w:proofErr w:type="spellStart"/>
      <w:r w:rsidRPr="00826FDC">
        <w:rPr>
          <w:rFonts w:ascii="Times New Roman" w:hAnsi="Times New Roman" w:cs="Times New Roman"/>
          <w:sz w:val="22"/>
          <w:szCs w:val="22"/>
          <w:lang w:val="en-US"/>
        </w:rPr>
        <w:lastRenderedPageBreak/>
        <w:t>Nikaj</w:t>
      </w:r>
      <w:proofErr w:type="spellEnd"/>
      <w:r w:rsidRPr="00826FDC">
        <w:rPr>
          <w:rFonts w:ascii="Times New Roman" w:hAnsi="Times New Roman" w:cs="Times New Roman"/>
          <w:sz w:val="22"/>
          <w:szCs w:val="22"/>
          <w:lang w:val="en-US"/>
        </w:rPr>
        <w:t xml:space="preserve"> S, </w:t>
      </w:r>
      <w:proofErr w:type="spellStart"/>
      <w:r w:rsidRPr="00826FDC">
        <w:rPr>
          <w:rFonts w:ascii="Times New Roman" w:hAnsi="Times New Roman" w:cs="Times New Roman"/>
          <w:sz w:val="22"/>
          <w:szCs w:val="22"/>
          <w:lang w:val="en-US"/>
        </w:rPr>
        <w:t>Roychowdhury</w:t>
      </w:r>
      <w:proofErr w:type="spellEnd"/>
      <w:r w:rsidRPr="00826FDC">
        <w:rPr>
          <w:rFonts w:ascii="Times New Roman" w:hAnsi="Times New Roman" w:cs="Times New Roman"/>
          <w:sz w:val="22"/>
          <w:szCs w:val="22"/>
          <w:lang w:val="en-US"/>
        </w:rPr>
        <w:t xml:space="preserve"> D, Lund PK, Matthews M, Pearson K. (2018). </w:t>
      </w:r>
      <w:r w:rsidRPr="00826FDC">
        <w:rPr>
          <w:rFonts w:ascii="Times New Roman" w:hAnsi="Times New Roman" w:cs="Times New Roman"/>
          <w:i/>
          <w:iCs/>
          <w:sz w:val="22"/>
          <w:szCs w:val="22"/>
          <w:lang w:val="en-US"/>
        </w:rPr>
        <w:t>Examining trends in the diversity of the U.S. National Institutes of Health participating and funded workforce</w:t>
      </w:r>
      <w:r w:rsidRPr="00826FDC">
        <w:rPr>
          <w:rFonts w:ascii="Times New Roman" w:hAnsi="Times New Roman" w:cs="Times New Roman"/>
          <w:sz w:val="22"/>
          <w:szCs w:val="22"/>
          <w:lang w:val="en-US"/>
        </w:rPr>
        <w:t xml:space="preserve">. FASEB J. </w:t>
      </w:r>
      <w:hyperlink r:id="rId35" w:history="1">
        <w:r w:rsidRPr="00826FDC">
          <w:rPr>
            <w:rStyle w:val="Hyperlink"/>
            <w:rFonts w:ascii="Times New Roman" w:hAnsi="Times New Roman" w:cs="Times New Roman"/>
            <w:sz w:val="22"/>
            <w:szCs w:val="22"/>
            <w:lang w:val="en-US"/>
          </w:rPr>
          <w:t>https://doi.org/10.1096/fj.201800639</w:t>
        </w:r>
      </w:hyperlink>
      <w:r w:rsidRPr="00826FDC">
        <w:rPr>
          <w:rFonts w:ascii="Times New Roman" w:hAnsi="Times New Roman" w:cs="Times New Roman"/>
          <w:sz w:val="22"/>
          <w:szCs w:val="22"/>
          <w:lang w:val="en-US"/>
        </w:rPr>
        <w:t xml:space="preserve"> </w:t>
      </w:r>
    </w:p>
    <w:p w14:paraId="319BF14F"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Organization for Economic Co-operation and Development (2023). Defining humanitarian assistance. Global Humanitarian Assistance.</w:t>
      </w:r>
    </w:p>
    <w:p w14:paraId="46854122" w14:textId="77777777" w:rsidR="00826FDC" w:rsidRPr="00826FDC" w:rsidRDefault="00826FDC" w:rsidP="00826FDC">
      <w:pPr>
        <w:spacing w:after="0" w:line="240" w:lineRule="auto"/>
        <w:jc w:val="both"/>
        <w:rPr>
          <w:rFonts w:ascii="Times New Roman" w:hAnsi="Times New Roman" w:cs="Times New Roman"/>
          <w:sz w:val="22"/>
          <w:szCs w:val="22"/>
          <w:lang w:val="en-US"/>
        </w:rPr>
      </w:pPr>
      <w:proofErr w:type="spellStart"/>
      <w:r w:rsidRPr="00826FDC">
        <w:rPr>
          <w:rFonts w:ascii="Times New Roman" w:hAnsi="Times New Roman" w:cs="Times New Roman"/>
          <w:sz w:val="22"/>
          <w:szCs w:val="22"/>
          <w:lang w:val="en-US"/>
        </w:rPr>
        <w:t>Orodho</w:t>
      </w:r>
      <w:proofErr w:type="spellEnd"/>
      <w:r w:rsidRPr="00826FDC">
        <w:rPr>
          <w:rFonts w:ascii="Times New Roman" w:hAnsi="Times New Roman" w:cs="Times New Roman"/>
          <w:sz w:val="22"/>
          <w:szCs w:val="22"/>
          <w:lang w:val="en-US"/>
        </w:rPr>
        <w:t>, A. (2011). Essentials of Educational and Social Sciences Research Methods. Mazola Publishers, Nairobi.</w:t>
      </w:r>
    </w:p>
    <w:p w14:paraId="0120A29A" w14:textId="77777777" w:rsidR="00826FDC" w:rsidRPr="00826FDC" w:rsidRDefault="00826FDC" w:rsidP="00826FDC">
      <w:pPr>
        <w:spacing w:after="0" w:line="240" w:lineRule="auto"/>
        <w:jc w:val="both"/>
        <w:rPr>
          <w:rFonts w:ascii="Times New Roman" w:hAnsi="Times New Roman" w:cs="Times New Roman"/>
          <w:i/>
          <w:iCs/>
          <w:sz w:val="22"/>
          <w:szCs w:val="22"/>
          <w:lang w:val="en-US"/>
        </w:rPr>
      </w:pPr>
      <w:r w:rsidRPr="00826FDC">
        <w:rPr>
          <w:rFonts w:ascii="Times New Roman" w:hAnsi="Times New Roman" w:cs="Times New Roman"/>
          <w:sz w:val="22"/>
          <w:szCs w:val="22"/>
          <w:lang w:val="en-US"/>
        </w:rPr>
        <w:t xml:space="preserve">Pablo </w:t>
      </w:r>
      <w:proofErr w:type="spellStart"/>
      <w:r w:rsidRPr="00826FDC">
        <w:rPr>
          <w:rFonts w:ascii="Times New Roman" w:hAnsi="Times New Roman" w:cs="Times New Roman"/>
          <w:sz w:val="22"/>
          <w:szCs w:val="22"/>
          <w:lang w:val="en-US"/>
        </w:rPr>
        <w:t>Arocena</w:t>
      </w:r>
      <w:proofErr w:type="spellEnd"/>
      <w:r w:rsidRPr="00826FDC">
        <w:rPr>
          <w:rFonts w:ascii="Times New Roman" w:hAnsi="Times New Roman" w:cs="Times New Roman"/>
          <w:sz w:val="22"/>
          <w:szCs w:val="22"/>
          <w:lang w:val="en-US"/>
        </w:rPr>
        <w:t xml:space="preserve"> (2008). </w:t>
      </w:r>
      <w:r w:rsidRPr="00826FDC">
        <w:rPr>
          <w:rFonts w:ascii="Times New Roman" w:hAnsi="Times New Roman" w:cs="Times New Roman"/>
          <w:i/>
          <w:iCs/>
          <w:sz w:val="22"/>
          <w:szCs w:val="22"/>
          <w:lang w:val="en-US"/>
        </w:rPr>
        <w:t>Cost and quality gains from diversification and vertical integration in the electricity industry: A DEA approach, Energy Economics, Volume 30, Issue 1, 2008</w:t>
      </w:r>
    </w:p>
    <w:p w14:paraId="5C0A9AFA" w14:textId="77777777" w:rsidR="00826FDC" w:rsidRPr="00826FDC" w:rsidRDefault="00826FDC" w:rsidP="00826FDC">
      <w:pPr>
        <w:spacing w:after="0" w:line="240" w:lineRule="auto"/>
        <w:jc w:val="both"/>
        <w:rPr>
          <w:rFonts w:ascii="Times New Roman" w:hAnsi="Times New Roman" w:cs="Times New Roman"/>
          <w:sz w:val="22"/>
          <w:szCs w:val="22"/>
          <w:lang w:val="en-US"/>
        </w:rPr>
      </w:pPr>
      <w:proofErr w:type="spellStart"/>
      <w:r w:rsidRPr="00826FDC">
        <w:rPr>
          <w:rFonts w:ascii="Times New Roman" w:hAnsi="Times New Roman" w:cs="Times New Roman"/>
          <w:sz w:val="22"/>
          <w:szCs w:val="22"/>
          <w:lang w:val="en-US"/>
        </w:rPr>
        <w:t>Paina</w:t>
      </w:r>
      <w:proofErr w:type="spellEnd"/>
      <w:r w:rsidRPr="00826FDC">
        <w:rPr>
          <w:rFonts w:ascii="Times New Roman" w:hAnsi="Times New Roman" w:cs="Times New Roman"/>
          <w:sz w:val="22"/>
          <w:szCs w:val="22"/>
          <w:lang w:val="en-US"/>
        </w:rPr>
        <w:t xml:space="preserve">, L., </w:t>
      </w:r>
      <w:proofErr w:type="spellStart"/>
      <w:r w:rsidRPr="00826FDC">
        <w:rPr>
          <w:rFonts w:ascii="Times New Roman" w:hAnsi="Times New Roman" w:cs="Times New Roman"/>
          <w:sz w:val="22"/>
          <w:szCs w:val="22"/>
          <w:lang w:val="en-US"/>
        </w:rPr>
        <w:t>Tetui</w:t>
      </w:r>
      <w:proofErr w:type="spellEnd"/>
      <w:r w:rsidRPr="00826FDC">
        <w:rPr>
          <w:rFonts w:ascii="Times New Roman" w:hAnsi="Times New Roman" w:cs="Times New Roman"/>
          <w:sz w:val="22"/>
          <w:szCs w:val="22"/>
          <w:lang w:val="en-US"/>
        </w:rPr>
        <w:t xml:space="preserve">, M., </w:t>
      </w:r>
      <w:proofErr w:type="spellStart"/>
      <w:r w:rsidRPr="00826FDC">
        <w:rPr>
          <w:rFonts w:ascii="Times New Roman" w:hAnsi="Times New Roman" w:cs="Times New Roman"/>
          <w:sz w:val="22"/>
          <w:szCs w:val="22"/>
          <w:lang w:val="en-US"/>
        </w:rPr>
        <w:t>Ekirapa-Kiracho</w:t>
      </w:r>
      <w:proofErr w:type="spellEnd"/>
      <w:r w:rsidRPr="00826FDC">
        <w:rPr>
          <w:rFonts w:ascii="Times New Roman" w:hAnsi="Times New Roman" w:cs="Times New Roman"/>
          <w:sz w:val="22"/>
          <w:szCs w:val="22"/>
          <w:lang w:val="en-US"/>
        </w:rPr>
        <w:t xml:space="preserve">, E., Barman, D., Ahmed, T., Mahmood, S. S., … &amp; Bennett, S. (2017). Using theories of change to inform implementation of health systems research and innovation: experiences of future health systems consortium partners in Bangladesh, India and Uganda. Health Research Policy and Systems, 15(S2). </w:t>
      </w:r>
      <w:hyperlink r:id="rId36" w:history="1">
        <w:r w:rsidRPr="00826FDC">
          <w:rPr>
            <w:rStyle w:val="Hyperlink"/>
            <w:rFonts w:ascii="Times New Roman" w:hAnsi="Times New Roman" w:cs="Times New Roman"/>
            <w:sz w:val="22"/>
            <w:szCs w:val="22"/>
            <w:lang w:val="en-US"/>
          </w:rPr>
          <w:t>https://doi.org/10.1186/s12961-017-0272-y</w:t>
        </w:r>
      </w:hyperlink>
    </w:p>
    <w:p w14:paraId="1DE84908"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Parks, T. (2008). The rise and fall of donor funding for advocacy </w:t>
      </w:r>
      <w:proofErr w:type="spellStart"/>
      <w:r w:rsidRPr="00826FDC">
        <w:rPr>
          <w:rFonts w:ascii="Times New Roman" w:hAnsi="Times New Roman" w:cs="Times New Roman"/>
          <w:sz w:val="22"/>
          <w:szCs w:val="22"/>
          <w:lang w:val="en-US"/>
        </w:rPr>
        <w:t>ngos</w:t>
      </w:r>
      <w:proofErr w:type="spellEnd"/>
      <w:r w:rsidRPr="00826FDC">
        <w:rPr>
          <w:rFonts w:ascii="Times New Roman" w:hAnsi="Times New Roman" w:cs="Times New Roman"/>
          <w:sz w:val="22"/>
          <w:szCs w:val="22"/>
          <w:lang w:val="en-US"/>
        </w:rPr>
        <w:t>: understanding the impact. Development in Practice, 18(2), 213-222. https://doi.org/10.1080/09614520801899036</w:t>
      </w:r>
    </w:p>
    <w:p w14:paraId="73467F89" w14:textId="77777777" w:rsidR="00826FDC" w:rsidRPr="00826FDC" w:rsidRDefault="00826FDC" w:rsidP="00826FDC">
      <w:pPr>
        <w:spacing w:after="0" w:line="240" w:lineRule="auto"/>
        <w:jc w:val="both"/>
        <w:rPr>
          <w:rFonts w:ascii="Times New Roman" w:hAnsi="Times New Roman" w:cs="Times New Roman"/>
          <w:i/>
          <w:iCs/>
          <w:sz w:val="22"/>
          <w:szCs w:val="22"/>
          <w:lang w:val="en-US"/>
        </w:rPr>
      </w:pPr>
      <w:r w:rsidRPr="00826FDC">
        <w:rPr>
          <w:rFonts w:ascii="Times New Roman" w:hAnsi="Times New Roman" w:cs="Times New Roman"/>
          <w:sz w:val="22"/>
          <w:szCs w:val="22"/>
          <w:lang w:val="en-US"/>
        </w:rPr>
        <w:t xml:space="preserve">Paul Brest (2008). </w:t>
      </w:r>
      <w:r w:rsidRPr="00826FDC">
        <w:rPr>
          <w:rFonts w:ascii="Times New Roman" w:hAnsi="Times New Roman" w:cs="Times New Roman"/>
          <w:i/>
          <w:iCs/>
          <w:sz w:val="22"/>
          <w:szCs w:val="22"/>
          <w:lang w:val="en-US"/>
        </w:rPr>
        <w:t>Forms of Philanthropic Support: The Centrality of Alignment. The William and Flora Hewlett Foundation, 2008 Annual Report</w:t>
      </w:r>
    </w:p>
    <w:p w14:paraId="72979D7B" w14:textId="77777777" w:rsidR="00826FDC" w:rsidRPr="00826FDC" w:rsidRDefault="00826FDC" w:rsidP="00826FDC">
      <w:pPr>
        <w:spacing w:after="0" w:line="240" w:lineRule="auto"/>
        <w:jc w:val="both"/>
        <w:rPr>
          <w:rFonts w:ascii="Times New Roman" w:hAnsi="Times New Roman" w:cs="Times New Roman"/>
          <w:sz w:val="22"/>
          <w:szCs w:val="22"/>
          <w:lang w:val="en-US"/>
        </w:rPr>
      </w:pPr>
      <w:proofErr w:type="spellStart"/>
      <w:r w:rsidRPr="00826FDC">
        <w:rPr>
          <w:rFonts w:ascii="Times New Roman" w:hAnsi="Times New Roman" w:cs="Times New Roman"/>
          <w:sz w:val="22"/>
          <w:szCs w:val="22"/>
          <w:lang w:val="en-US"/>
        </w:rPr>
        <w:t>Périn</w:t>
      </w:r>
      <w:proofErr w:type="spellEnd"/>
      <w:r w:rsidRPr="00826FDC">
        <w:rPr>
          <w:rFonts w:ascii="Times New Roman" w:hAnsi="Times New Roman" w:cs="Times New Roman"/>
          <w:sz w:val="22"/>
          <w:szCs w:val="22"/>
          <w:lang w:val="en-US"/>
        </w:rPr>
        <w:t xml:space="preserve">, I., &amp; Attaran, A. (2003). Trading ideology for dialogue: an opportunity to fix international aid for health? Lancet (London, England), 361(9364), 1216–1219. </w:t>
      </w:r>
      <w:hyperlink r:id="rId37" w:history="1">
        <w:r w:rsidRPr="00826FDC">
          <w:rPr>
            <w:rStyle w:val="Hyperlink"/>
            <w:rFonts w:ascii="Times New Roman" w:hAnsi="Times New Roman" w:cs="Times New Roman"/>
            <w:sz w:val="22"/>
            <w:szCs w:val="22"/>
            <w:lang w:val="en-US"/>
          </w:rPr>
          <w:t>https://doi.org/10.1016/S0140-6736(03)12956</w:t>
        </w:r>
      </w:hyperlink>
      <w:r w:rsidRPr="00826FDC">
        <w:rPr>
          <w:rFonts w:ascii="Times New Roman" w:hAnsi="Times New Roman" w:cs="Times New Roman"/>
          <w:sz w:val="22"/>
          <w:szCs w:val="22"/>
          <w:lang w:val="en-US"/>
        </w:rPr>
        <w:t xml:space="preserve">  </w:t>
      </w:r>
    </w:p>
    <w:p w14:paraId="3D817B7C"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Perlman, Daniel, and Ananya Roy (2009), The Practice of International Health: A Case-Based Orientation, New York; online edition, Oxford Academia, </w:t>
      </w:r>
      <w:hyperlink r:id="rId38" w:history="1">
        <w:r w:rsidRPr="00826FDC">
          <w:rPr>
            <w:rStyle w:val="Hyperlink"/>
            <w:rFonts w:ascii="Times New Roman" w:hAnsi="Times New Roman" w:cs="Times New Roman"/>
            <w:sz w:val="22"/>
            <w:szCs w:val="22"/>
            <w:lang w:val="en-US"/>
          </w:rPr>
          <w:t>https://doi.org/10.1093/acprof:oso/9780195310276.001.0001</w:t>
        </w:r>
      </w:hyperlink>
      <w:r w:rsidRPr="00826FDC">
        <w:rPr>
          <w:rFonts w:ascii="Times New Roman" w:hAnsi="Times New Roman" w:cs="Times New Roman"/>
          <w:sz w:val="22"/>
          <w:szCs w:val="22"/>
          <w:lang w:val="en-US"/>
        </w:rPr>
        <w:t xml:space="preserve"> , accessed 6 June 2024.</w:t>
      </w:r>
    </w:p>
    <w:p w14:paraId="2B6B0B01"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Philip </w:t>
      </w:r>
      <w:proofErr w:type="spellStart"/>
      <w:r w:rsidRPr="00826FDC">
        <w:rPr>
          <w:rFonts w:ascii="Times New Roman" w:hAnsi="Times New Roman" w:cs="Times New Roman"/>
          <w:sz w:val="22"/>
          <w:szCs w:val="22"/>
          <w:lang w:val="en-US"/>
        </w:rPr>
        <w:t>Tamminga</w:t>
      </w:r>
      <w:proofErr w:type="spellEnd"/>
      <w:r w:rsidRPr="00826FDC">
        <w:rPr>
          <w:rFonts w:ascii="Times New Roman" w:hAnsi="Times New Roman" w:cs="Times New Roman"/>
          <w:sz w:val="22"/>
          <w:szCs w:val="22"/>
          <w:lang w:val="en-US"/>
        </w:rPr>
        <w:t xml:space="preserve"> (2011). Sustainability in Humanitarian Action, Dara Impact Matters</w:t>
      </w:r>
    </w:p>
    <w:p w14:paraId="4491FFBA"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Prasad, J. M., Shipley, M. T., Rogers, T. B., &amp; </w:t>
      </w:r>
      <w:proofErr w:type="spellStart"/>
      <w:r w:rsidRPr="00826FDC">
        <w:rPr>
          <w:rFonts w:ascii="Times New Roman" w:hAnsi="Times New Roman" w:cs="Times New Roman"/>
          <w:sz w:val="22"/>
          <w:szCs w:val="22"/>
          <w:lang w:val="en-US"/>
        </w:rPr>
        <w:t>Puche</w:t>
      </w:r>
      <w:proofErr w:type="spellEnd"/>
      <w:r w:rsidRPr="00826FDC">
        <w:rPr>
          <w:rFonts w:ascii="Times New Roman" w:hAnsi="Times New Roman" w:cs="Times New Roman"/>
          <w:sz w:val="22"/>
          <w:szCs w:val="22"/>
          <w:lang w:val="en-US"/>
        </w:rPr>
        <w:t xml:space="preserve">, A. C. (2020). National Institutes of Health (NIH) grant awards: Does past performance predict future success? Palgrave Communications, 6(1), 1-7. </w:t>
      </w:r>
      <w:hyperlink r:id="rId39" w:history="1">
        <w:r w:rsidRPr="00826FDC">
          <w:rPr>
            <w:rStyle w:val="Hyperlink"/>
            <w:rFonts w:ascii="Times New Roman" w:hAnsi="Times New Roman" w:cs="Times New Roman"/>
            <w:sz w:val="22"/>
            <w:szCs w:val="22"/>
            <w:lang w:val="en-US"/>
          </w:rPr>
          <w:t>https://doi.org/10.1057/s41599-020-0432-5</w:t>
        </w:r>
      </w:hyperlink>
      <w:r w:rsidRPr="00826FDC">
        <w:rPr>
          <w:rFonts w:ascii="Times New Roman" w:hAnsi="Times New Roman" w:cs="Times New Roman"/>
          <w:sz w:val="22"/>
          <w:szCs w:val="22"/>
          <w:lang w:val="en-US"/>
        </w:rPr>
        <w:t xml:space="preserve"> </w:t>
      </w:r>
    </w:p>
    <w:p w14:paraId="300C5EA9"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Pratt, B. and </w:t>
      </w:r>
      <w:proofErr w:type="spellStart"/>
      <w:r w:rsidRPr="00826FDC">
        <w:rPr>
          <w:rFonts w:ascii="Times New Roman" w:hAnsi="Times New Roman" w:cs="Times New Roman"/>
          <w:sz w:val="22"/>
          <w:szCs w:val="22"/>
          <w:lang w:val="en-US"/>
        </w:rPr>
        <w:t>Hyder</w:t>
      </w:r>
      <w:proofErr w:type="spellEnd"/>
      <w:r w:rsidRPr="00826FDC">
        <w:rPr>
          <w:rFonts w:ascii="Times New Roman" w:hAnsi="Times New Roman" w:cs="Times New Roman"/>
          <w:sz w:val="22"/>
          <w:szCs w:val="22"/>
          <w:lang w:val="en-US"/>
        </w:rPr>
        <w:t xml:space="preserve">, A. (2014). Reinterpreting responsiveness for health systems research in low and middle‐income countries. Bioethics, 29(6), 379-388. </w:t>
      </w:r>
      <w:hyperlink r:id="rId40" w:history="1">
        <w:r w:rsidRPr="00826FDC">
          <w:rPr>
            <w:rStyle w:val="Hyperlink"/>
            <w:rFonts w:ascii="Times New Roman" w:hAnsi="Times New Roman" w:cs="Times New Roman"/>
            <w:sz w:val="22"/>
            <w:szCs w:val="22"/>
            <w:lang w:val="en-US"/>
          </w:rPr>
          <w:t>https://doi.org/10.1111/bioe.12138</w:t>
        </w:r>
      </w:hyperlink>
    </w:p>
    <w:p w14:paraId="659835EF"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Radford, M. L., </w:t>
      </w:r>
      <w:proofErr w:type="spellStart"/>
      <w:r w:rsidRPr="00826FDC">
        <w:rPr>
          <w:rFonts w:ascii="Times New Roman" w:hAnsi="Times New Roman" w:cs="Times New Roman"/>
          <w:sz w:val="22"/>
          <w:szCs w:val="22"/>
          <w:lang w:val="en-US"/>
        </w:rPr>
        <w:t>Connaway</w:t>
      </w:r>
      <w:proofErr w:type="spellEnd"/>
      <w:r w:rsidRPr="00826FDC">
        <w:rPr>
          <w:rFonts w:ascii="Times New Roman" w:hAnsi="Times New Roman" w:cs="Times New Roman"/>
          <w:sz w:val="22"/>
          <w:szCs w:val="22"/>
          <w:lang w:val="en-US"/>
        </w:rPr>
        <w:t xml:space="preserve">, L. S., </w:t>
      </w:r>
      <w:proofErr w:type="spellStart"/>
      <w:r w:rsidRPr="00826FDC">
        <w:rPr>
          <w:rFonts w:ascii="Times New Roman" w:hAnsi="Times New Roman" w:cs="Times New Roman"/>
          <w:sz w:val="22"/>
          <w:szCs w:val="22"/>
          <w:lang w:val="en-US"/>
        </w:rPr>
        <w:t>Mikitish</w:t>
      </w:r>
      <w:proofErr w:type="spellEnd"/>
      <w:r w:rsidRPr="00826FDC">
        <w:rPr>
          <w:rFonts w:ascii="Times New Roman" w:hAnsi="Times New Roman" w:cs="Times New Roman"/>
          <w:sz w:val="22"/>
          <w:szCs w:val="22"/>
          <w:lang w:val="en-US"/>
        </w:rPr>
        <w:t xml:space="preserve">, S., Alpert, M., Shah, C., &amp; Cooke, N. A. (2017). </w:t>
      </w:r>
      <w:r w:rsidRPr="00826FDC">
        <w:rPr>
          <w:rFonts w:ascii="Times New Roman" w:hAnsi="Times New Roman" w:cs="Times New Roman"/>
          <w:i/>
          <w:iCs/>
          <w:sz w:val="22"/>
          <w:szCs w:val="22"/>
          <w:lang w:val="en-US"/>
        </w:rPr>
        <w:t xml:space="preserve">Shared values, new vision: Collaboration and communities of practice in virtual reference and SQA. Journal of the Association for Information Science and Technology, 68(2), 438-449. </w:t>
      </w:r>
      <w:hyperlink r:id="rId41" w:history="1">
        <w:r w:rsidRPr="00826FDC">
          <w:rPr>
            <w:rStyle w:val="Hyperlink"/>
            <w:rFonts w:ascii="Times New Roman" w:hAnsi="Times New Roman" w:cs="Times New Roman"/>
            <w:sz w:val="22"/>
            <w:szCs w:val="22"/>
            <w:lang w:val="en-US"/>
          </w:rPr>
          <w:t>https://asistdl.onlinelibrary.wiley.com/doi/abs/10.1002/asi.23668</w:t>
        </w:r>
      </w:hyperlink>
      <w:r w:rsidRPr="00826FDC">
        <w:rPr>
          <w:rFonts w:ascii="Times New Roman" w:hAnsi="Times New Roman" w:cs="Times New Roman"/>
          <w:sz w:val="22"/>
          <w:szCs w:val="22"/>
          <w:lang w:val="en-US"/>
        </w:rPr>
        <w:t xml:space="preserve"> </w:t>
      </w:r>
    </w:p>
    <w:p w14:paraId="1B5A090A"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Rahman, H. U., Raza, M., </w:t>
      </w:r>
      <w:proofErr w:type="spellStart"/>
      <w:r w:rsidRPr="00826FDC">
        <w:rPr>
          <w:rFonts w:ascii="Times New Roman" w:hAnsi="Times New Roman" w:cs="Times New Roman"/>
          <w:sz w:val="22"/>
          <w:szCs w:val="22"/>
          <w:lang w:val="en-US"/>
        </w:rPr>
        <w:t>Afsar</w:t>
      </w:r>
      <w:proofErr w:type="spellEnd"/>
      <w:r w:rsidRPr="00826FDC">
        <w:rPr>
          <w:rFonts w:ascii="Times New Roman" w:hAnsi="Times New Roman" w:cs="Times New Roman"/>
          <w:sz w:val="22"/>
          <w:szCs w:val="22"/>
          <w:lang w:val="en-US"/>
        </w:rPr>
        <w:t xml:space="preserve">, P., &amp; Khan, H. U. (2021). Empirical investigation of influencing factors regarding offshore outsourcing decision of application maintenance. IEEE Access, 9, 58589-58608. </w:t>
      </w:r>
      <w:hyperlink r:id="rId42" w:history="1">
        <w:r w:rsidRPr="00826FDC">
          <w:rPr>
            <w:rStyle w:val="Hyperlink"/>
            <w:rFonts w:ascii="Times New Roman" w:hAnsi="Times New Roman" w:cs="Times New Roman"/>
            <w:sz w:val="22"/>
            <w:szCs w:val="22"/>
            <w:lang w:val="en-US"/>
          </w:rPr>
          <w:t>https://doi.org/10.1109/access.2021.3073315</w:t>
        </w:r>
      </w:hyperlink>
    </w:p>
    <w:p w14:paraId="681977BB"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Ralf Müller, Nathalie Drouin, and Shankar Sankaran (2019). Organizational Project Management: Theory and Implementation, Elgar Introductions to Management and Organization Theory series, Monograph Books, Seiten.</w:t>
      </w:r>
    </w:p>
    <w:p w14:paraId="34133C7E"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Ravishankar, N., </w:t>
      </w:r>
      <w:proofErr w:type="spellStart"/>
      <w:r w:rsidRPr="00826FDC">
        <w:rPr>
          <w:rFonts w:ascii="Times New Roman" w:hAnsi="Times New Roman" w:cs="Times New Roman"/>
          <w:sz w:val="22"/>
          <w:szCs w:val="22"/>
          <w:lang w:val="en-US"/>
        </w:rPr>
        <w:t>Gubbins</w:t>
      </w:r>
      <w:proofErr w:type="spellEnd"/>
      <w:r w:rsidRPr="00826FDC">
        <w:rPr>
          <w:rFonts w:ascii="Times New Roman" w:hAnsi="Times New Roman" w:cs="Times New Roman"/>
          <w:sz w:val="22"/>
          <w:szCs w:val="22"/>
          <w:lang w:val="en-US"/>
        </w:rPr>
        <w:t>, P., Cooley, R. J., Leach-Kemon, K., Michaud, C. M., Jamison, D. T., &amp; Murray, C. J. (2009). Financing of global health: tracking development assistance for health from 1990 to 2007. </w:t>
      </w:r>
      <w:r w:rsidRPr="00826FDC">
        <w:rPr>
          <w:rFonts w:ascii="Times New Roman" w:hAnsi="Times New Roman" w:cs="Times New Roman"/>
          <w:i/>
          <w:iCs/>
          <w:sz w:val="22"/>
          <w:szCs w:val="22"/>
          <w:lang w:val="en-US"/>
        </w:rPr>
        <w:t>Lancet (London, England)</w:t>
      </w:r>
      <w:r w:rsidRPr="00826FDC">
        <w:rPr>
          <w:rFonts w:ascii="Times New Roman" w:hAnsi="Times New Roman" w:cs="Times New Roman"/>
          <w:sz w:val="22"/>
          <w:szCs w:val="22"/>
          <w:lang w:val="en-US"/>
        </w:rPr>
        <w:t>, </w:t>
      </w:r>
      <w:r w:rsidRPr="00826FDC">
        <w:rPr>
          <w:rFonts w:ascii="Times New Roman" w:hAnsi="Times New Roman" w:cs="Times New Roman"/>
          <w:i/>
          <w:iCs/>
          <w:sz w:val="22"/>
          <w:szCs w:val="22"/>
          <w:lang w:val="en-US"/>
        </w:rPr>
        <w:t>373</w:t>
      </w:r>
      <w:r w:rsidRPr="00826FDC">
        <w:rPr>
          <w:rFonts w:ascii="Times New Roman" w:hAnsi="Times New Roman" w:cs="Times New Roman"/>
          <w:sz w:val="22"/>
          <w:szCs w:val="22"/>
          <w:lang w:val="en-US"/>
        </w:rPr>
        <w:t xml:space="preserve">(9681), 2113–2124. </w:t>
      </w:r>
      <w:hyperlink r:id="rId43" w:history="1">
        <w:r w:rsidRPr="00826FDC">
          <w:rPr>
            <w:rStyle w:val="Hyperlink"/>
            <w:rFonts w:ascii="Times New Roman" w:hAnsi="Times New Roman" w:cs="Times New Roman"/>
            <w:sz w:val="22"/>
            <w:szCs w:val="22"/>
            <w:lang w:val="en-US"/>
          </w:rPr>
          <w:t>https://doi.org/10.1016/S0140-6736(09)60881-3</w:t>
        </w:r>
      </w:hyperlink>
      <w:r w:rsidRPr="00826FDC">
        <w:rPr>
          <w:rFonts w:ascii="Times New Roman" w:hAnsi="Times New Roman" w:cs="Times New Roman"/>
          <w:sz w:val="22"/>
          <w:szCs w:val="22"/>
          <w:lang w:val="en-US"/>
        </w:rPr>
        <w:t xml:space="preserve">  </w:t>
      </w:r>
    </w:p>
    <w:p w14:paraId="61047567" w14:textId="77777777" w:rsidR="00826FDC" w:rsidRPr="00826FDC" w:rsidRDefault="00826FDC" w:rsidP="00826FDC">
      <w:pPr>
        <w:spacing w:after="0" w:line="240" w:lineRule="auto"/>
        <w:jc w:val="both"/>
        <w:rPr>
          <w:rFonts w:ascii="Times New Roman" w:hAnsi="Times New Roman" w:cs="Times New Roman"/>
          <w:sz w:val="22"/>
          <w:szCs w:val="22"/>
          <w:lang w:val="en-US"/>
        </w:rPr>
      </w:pPr>
      <w:proofErr w:type="spellStart"/>
      <w:r w:rsidRPr="00826FDC">
        <w:rPr>
          <w:rFonts w:ascii="Times New Roman" w:hAnsi="Times New Roman" w:cs="Times New Roman"/>
          <w:sz w:val="22"/>
          <w:szCs w:val="22"/>
          <w:lang w:val="en-US"/>
        </w:rPr>
        <w:t>Reinholz</w:t>
      </w:r>
      <w:proofErr w:type="spellEnd"/>
      <w:r w:rsidRPr="00826FDC">
        <w:rPr>
          <w:rFonts w:ascii="Times New Roman" w:hAnsi="Times New Roman" w:cs="Times New Roman"/>
          <w:sz w:val="22"/>
          <w:szCs w:val="22"/>
          <w:lang w:val="en-US"/>
        </w:rPr>
        <w:t xml:space="preserve">, D. and Andrews, T. (2020). Change theory and theory of change: what’s the difference anyway? International Journal of STEM Education, 7(1). </w:t>
      </w:r>
      <w:hyperlink r:id="rId44" w:history="1">
        <w:r w:rsidRPr="00826FDC">
          <w:rPr>
            <w:rStyle w:val="Hyperlink"/>
            <w:rFonts w:ascii="Times New Roman" w:hAnsi="Times New Roman" w:cs="Times New Roman"/>
            <w:sz w:val="22"/>
            <w:szCs w:val="22"/>
            <w:lang w:val="en-US"/>
          </w:rPr>
          <w:t>https://doi.org/10.1186/s40594-020-0202-3</w:t>
        </w:r>
      </w:hyperlink>
    </w:p>
    <w:p w14:paraId="0318E323" w14:textId="77777777" w:rsidR="00826FDC" w:rsidRPr="00826FDC" w:rsidRDefault="00826FDC" w:rsidP="00826FDC">
      <w:pPr>
        <w:spacing w:after="0" w:line="240" w:lineRule="auto"/>
        <w:jc w:val="both"/>
        <w:rPr>
          <w:rFonts w:ascii="Times New Roman" w:hAnsi="Times New Roman" w:cs="Times New Roman"/>
          <w:sz w:val="22"/>
          <w:szCs w:val="22"/>
          <w:lang w:val="en-US"/>
        </w:rPr>
      </w:pPr>
      <w:proofErr w:type="spellStart"/>
      <w:r w:rsidRPr="00826FDC">
        <w:rPr>
          <w:rFonts w:ascii="Times New Roman" w:hAnsi="Times New Roman" w:cs="Times New Roman"/>
          <w:sz w:val="22"/>
          <w:szCs w:val="22"/>
          <w:lang w:val="en-US"/>
        </w:rPr>
        <w:t>Ridho</w:t>
      </w:r>
      <w:proofErr w:type="spellEnd"/>
      <w:r w:rsidRPr="00826FDC">
        <w:rPr>
          <w:rFonts w:ascii="Times New Roman" w:hAnsi="Times New Roman" w:cs="Times New Roman"/>
          <w:sz w:val="22"/>
          <w:szCs w:val="22"/>
          <w:lang w:val="en-US"/>
        </w:rPr>
        <w:t xml:space="preserve">, W. and </w:t>
      </w:r>
      <w:proofErr w:type="spellStart"/>
      <w:r w:rsidRPr="00826FDC">
        <w:rPr>
          <w:rFonts w:ascii="Times New Roman" w:hAnsi="Times New Roman" w:cs="Times New Roman"/>
          <w:sz w:val="22"/>
          <w:szCs w:val="22"/>
          <w:lang w:val="en-US"/>
        </w:rPr>
        <w:t>Violita</w:t>
      </w:r>
      <w:proofErr w:type="spellEnd"/>
      <w:r w:rsidRPr="00826FDC">
        <w:rPr>
          <w:rFonts w:ascii="Times New Roman" w:hAnsi="Times New Roman" w:cs="Times New Roman"/>
          <w:sz w:val="22"/>
          <w:szCs w:val="22"/>
          <w:lang w:val="en-US"/>
        </w:rPr>
        <w:t xml:space="preserve">, E. (2020). Do </w:t>
      </w:r>
      <w:proofErr w:type="spellStart"/>
      <w:r w:rsidRPr="00826FDC">
        <w:rPr>
          <w:rFonts w:ascii="Times New Roman" w:hAnsi="Times New Roman" w:cs="Times New Roman"/>
          <w:sz w:val="22"/>
          <w:szCs w:val="22"/>
          <w:lang w:val="en-US"/>
        </w:rPr>
        <w:t>muslim</w:t>
      </w:r>
      <w:proofErr w:type="spellEnd"/>
      <w:r w:rsidRPr="00826FDC">
        <w:rPr>
          <w:rFonts w:ascii="Times New Roman" w:hAnsi="Times New Roman" w:cs="Times New Roman"/>
          <w:sz w:val="22"/>
          <w:szCs w:val="22"/>
          <w:lang w:val="en-US"/>
        </w:rPr>
        <w:t xml:space="preserve"> donors consider accountability, trust, and reputation? </w:t>
      </w:r>
      <w:hyperlink r:id="rId45" w:history="1">
        <w:r w:rsidRPr="00826FDC">
          <w:rPr>
            <w:rStyle w:val="Hyperlink"/>
            <w:rFonts w:ascii="Times New Roman" w:hAnsi="Times New Roman" w:cs="Times New Roman"/>
            <w:sz w:val="22"/>
            <w:szCs w:val="22"/>
            <w:lang w:val="en-US"/>
          </w:rPr>
          <w:t>https://doi.org/10.4108/eai.1-11-2019.2294023</w:t>
        </w:r>
      </w:hyperlink>
    </w:p>
    <w:p w14:paraId="6CCE6CB6"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S.R. Benatar et al. (2009). Making progress in global health: The need for new paradigms, International Affairs.</w:t>
      </w:r>
    </w:p>
    <w:p w14:paraId="462D6866" w14:textId="77777777" w:rsidR="00826FDC" w:rsidRPr="00826FDC" w:rsidRDefault="00826FDC" w:rsidP="00826FDC">
      <w:pPr>
        <w:spacing w:after="0" w:line="240" w:lineRule="auto"/>
        <w:jc w:val="both"/>
        <w:rPr>
          <w:rFonts w:ascii="Times New Roman" w:hAnsi="Times New Roman" w:cs="Times New Roman"/>
          <w:sz w:val="22"/>
          <w:szCs w:val="22"/>
          <w:lang w:val="en-US"/>
        </w:rPr>
      </w:pPr>
      <w:proofErr w:type="spellStart"/>
      <w:r w:rsidRPr="00826FDC">
        <w:rPr>
          <w:rFonts w:ascii="Times New Roman" w:hAnsi="Times New Roman" w:cs="Times New Roman"/>
          <w:sz w:val="22"/>
          <w:szCs w:val="22"/>
          <w:lang w:val="en-US"/>
        </w:rPr>
        <w:t>Shiffman</w:t>
      </w:r>
      <w:proofErr w:type="spellEnd"/>
      <w:r w:rsidRPr="00826FDC">
        <w:rPr>
          <w:rFonts w:ascii="Times New Roman" w:hAnsi="Times New Roman" w:cs="Times New Roman"/>
          <w:sz w:val="22"/>
          <w:szCs w:val="22"/>
          <w:lang w:val="en-US"/>
        </w:rPr>
        <w:t>, J. (2006). Donor funding priorities for communicable disease control in the developing world. </w:t>
      </w:r>
      <w:r w:rsidRPr="00826FDC">
        <w:rPr>
          <w:rFonts w:ascii="Times New Roman" w:hAnsi="Times New Roman" w:cs="Times New Roman"/>
          <w:i/>
          <w:iCs/>
          <w:sz w:val="22"/>
          <w:szCs w:val="22"/>
          <w:lang w:val="en-US"/>
        </w:rPr>
        <w:t>Health policy and planning</w:t>
      </w:r>
      <w:r w:rsidRPr="00826FDC">
        <w:rPr>
          <w:rFonts w:ascii="Times New Roman" w:hAnsi="Times New Roman" w:cs="Times New Roman"/>
          <w:sz w:val="22"/>
          <w:szCs w:val="22"/>
          <w:lang w:val="en-US"/>
        </w:rPr>
        <w:t>, </w:t>
      </w:r>
      <w:r w:rsidRPr="00826FDC">
        <w:rPr>
          <w:rFonts w:ascii="Times New Roman" w:hAnsi="Times New Roman" w:cs="Times New Roman"/>
          <w:i/>
          <w:iCs/>
          <w:sz w:val="22"/>
          <w:szCs w:val="22"/>
          <w:lang w:val="en-US"/>
        </w:rPr>
        <w:t>21</w:t>
      </w:r>
      <w:r w:rsidRPr="00826FDC">
        <w:rPr>
          <w:rFonts w:ascii="Times New Roman" w:hAnsi="Times New Roman" w:cs="Times New Roman"/>
          <w:sz w:val="22"/>
          <w:szCs w:val="22"/>
          <w:lang w:val="en-US"/>
        </w:rPr>
        <w:t xml:space="preserve">(6), 411-420. </w:t>
      </w:r>
    </w:p>
    <w:p w14:paraId="570AD936" w14:textId="77777777" w:rsidR="00826FDC" w:rsidRPr="00826FDC" w:rsidRDefault="00826FDC" w:rsidP="00826FDC">
      <w:pPr>
        <w:spacing w:after="0" w:line="240" w:lineRule="auto"/>
        <w:jc w:val="both"/>
        <w:rPr>
          <w:rFonts w:ascii="Times New Roman" w:hAnsi="Times New Roman" w:cs="Times New Roman"/>
          <w:sz w:val="22"/>
          <w:szCs w:val="22"/>
          <w:lang w:val="en-US"/>
        </w:rPr>
      </w:pPr>
      <w:proofErr w:type="spellStart"/>
      <w:r w:rsidRPr="00826FDC">
        <w:rPr>
          <w:rFonts w:ascii="Times New Roman" w:hAnsi="Times New Roman" w:cs="Times New Roman"/>
          <w:sz w:val="22"/>
          <w:szCs w:val="22"/>
          <w:lang w:val="en-US"/>
        </w:rPr>
        <w:t>Smekalin</w:t>
      </w:r>
      <w:proofErr w:type="spellEnd"/>
      <w:r w:rsidRPr="00826FDC">
        <w:rPr>
          <w:rFonts w:ascii="Times New Roman" w:hAnsi="Times New Roman" w:cs="Times New Roman"/>
          <w:sz w:val="22"/>
          <w:szCs w:val="22"/>
          <w:lang w:val="en-US"/>
        </w:rPr>
        <w:t xml:space="preserve">, I. (2022). From a to b by a proven route: theory of change as a tool for impact planning and evaluation. Positive Changes, 2(3), 46-55. </w:t>
      </w:r>
      <w:hyperlink r:id="rId46" w:history="1">
        <w:r w:rsidRPr="00826FDC">
          <w:rPr>
            <w:rStyle w:val="Hyperlink"/>
            <w:rFonts w:ascii="Times New Roman" w:hAnsi="Times New Roman" w:cs="Times New Roman"/>
            <w:sz w:val="22"/>
            <w:szCs w:val="22"/>
            <w:lang w:val="en-US"/>
          </w:rPr>
          <w:t>https://doi.org/10.55140/2782-5817-2022-2-3-46-55</w:t>
        </w:r>
      </w:hyperlink>
    </w:p>
    <w:p w14:paraId="563BC362"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South Sudan NGO Forum (2024), Membership NGOs 2024 </w:t>
      </w:r>
    </w:p>
    <w:p w14:paraId="4DC36D7A" w14:textId="77777777" w:rsidR="00826FDC" w:rsidRPr="00826FDC" w:rsidRDefault="00826FDC" w:rsidP="00826FDC">
      <w:pPr>
        <w:spacing w:after="0" w:line="240" w:lineRule="auto"/>
        <w:jc w:val="both"/>
        <w:rPr>
          <w:rFonts w:ascii="Times New Roman" w:hAnsi="Times New Roman" w:cs="Times New Roman"/>
          <w:i/>
          <w:iCs/>
          <w:sz w:val="22"/>
          <w:szCs w:val="22"/>
          <w:lang w:val="en-US"/>
        </w:rPr>
      </w:pPr>
      <w:r w:rsidRPr="00826FDC">
        <w:rPr>
          <w:rFonts w:ascii="Times New Roman" w:hAnsi="Times New Roman" w:cs="Times New Roman"/>
          <w:sz w:val="22"/>
          <w:szCs w:val="22"/>
          <w:lang w:val="en-US"/>
        </w:rPr>
        <w:lastRenderedPageBreak/>
        <w:t>Stringer, P. (2017). Issue of sustainability in global humanitarian programs. </w:t>
      </w:r>
      <w:r w:rsidRPr="00826FDC">
        <w:rPr>
          <w:rFonts w:ascii="Times New Roman" w:hAnsi="Times New Roman" w:cs="Times New Roman"/>
          <w:i/>
          <w:iCs/>
          <w:sz w:val="22"/>
          <w:szCs w:val="22"/>
          <w:lang w:val="en-US"/>
        </w:rPr>
        <w:t>Perspectives of the ASHA Special Interest Groups</w:t>
      </w:r>
      <w:r w:rsidRPr="00826FDC">
        <w:rPr>
          <w:rFonts w:ascii="Times New Roman" w:hAnsi="Times New Roman" w:cs="Times New Roman"/>
          <w:sz w:val="22"/>
          <w:szCs w:val="22"/>
          <w:lang w:val="en-US"/>
        </w:rPr>
        <w:t>, </w:t>
      </w:r>
      <w:r w:rsidRPr="00826FDC">
        <w:rPr>
          <w:rFonts w:ascii="Times New Roman" w:hAnsi="Times New Roman" w:cs="Times New Roman"/>
          <w:i/>
          <w:iCs/>
          <w:sz w:val="22"/>
          <w:szCs w:val="22"/>
          <w:lang w:val="en-US"/>
        </w:rPr>
        <w:t>2</w:t>
      </w:r>
      <w:r w:rsidRPr="00826FDC">
        <w:rPr>
          <w:rFonts w:ascii="Times New Roman" w:hAnsi="Times New Roman" w:cs="Times New Roman"/>
          <w:sz w:val="22"/>
          <w:szCs w:val="22"/>
          <w:lang w:val="en-US"/>
        </w:rPr>
        <w:t xml:space="preserve">(17), 3-8. </w:t>
      </w:r>
    </w:p>
    <w:p w14:paraId="5D4BCA38"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Suddaby, R. (Ed.). (2010). Editor's comments: Construct clarity in theories of management and organization. </w:t>
      </w:r>
      <w:r w:rsidRPr="00826FDC">
        <w:rPr>
          <w:rFonts w:ascii="Times New Roman" w:hAnsi="Times New Roman" w:cs="Times New Roman"/>
          <w:i/>
          <w:iCs/>
          <w:sz w:val="22"/>
          <w:szCs w:val="22"/>
          <w:lang w:val="en-US"/>
        </w:rPr>
        <w:t>Academy of management review</w:t>
      </w:r>
      <w:r w:rsidRPr="00826FDC">
        <w:rPr>
          <w:rFonts w:ascii="Times New Roman" w:hAnsi="Times New Roman" w:cs="Times New Roman"/>
          <w:sz w:val="22"/>
          <w:szCs w:val="22"/>
          <w:lang w:val="en-US"/>
        </w:rPr>
        <w:t>, </w:t>
      </w:r>
      <w:r w:rsidRPr="00826FDC">
        <w:rPr>
          <w:rFonts w:ascii="Times New Roman" w:hAnsi="Times New Roman" w:cs="Times New Roman"/>
          <w:i/>
          <w:iCs/>
          <w:sz w:val="22"/>
          <w:szCs w:val="22"/>
          <w:lang w:val="en-US"/>
        </w:rPr>
        <w:t>35</w:t>
      </w:r>
      <w:r w:rsidRPr="00826FDC">
        <w:rPr>
          <w:rFonts w:ascii="Times New Roman" w:hAnsi="Times New Roman" w:cs="Times New Roman"/>
          <w:sz w:val="22"/>
          <w:szCs w:val="22"/>
          <w:lang w:val="en-US"/>
        </w:rPr>
        <w:t xml:space="preserve">(3), 346-357. </w:t>
      </w:r>
    </w:p>
    <w:p w14:paraId="3F99AB92"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The Organization for Economic Cooperation and Development (2012), Towards Better Humanitarian Donorship: 12 Lessons from DAC Peer Reviews</w:t>
      </w:r>
    </w:p>
    <w:p w14:paraId="0557E918"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Thomas P. Moran, John </w:t>
      </w:r>
      <w:proofErr w:type="spellStart"/>
      <w:proofErr w:type="gramStart"/>
      <w:r w:rsidRPr="00826FDC">
        <w:rPr>
          <w:rFonts w:ascii="Times New Roman" w:hAnsi="Times New Roman" w:cs="Times New Roman"/>
          <w:sz w:val="22"/>
          <w:szCs w:val="22"/>
          <w:lang w:val="en-US"/>
        </w:rPr>
        <w:t>M.Carroll</w:t>
      </w:r>
      <w:proofErr w:type="spellEnd"/>
      <w:proofErr w:type="gramEnd"/>
      <w:r w:rsidRPr="00826FDC">
        <w:rPr>
          <w:rFonts w:ascii="Times New Roman" w:hAnsi="Times New Roman" w:cs="Times New Roman"/>
          <w:sz w:val="22"/>
          <w:szCs w:val="22"/>
          <w:lang w:val="en-US"/>
        </w:rPr>
        <w:t xml:space="preserve"> (1996): Overview of Design Rationale. Routledge, New Jersey</w:t>
      </w:r>
    </w:p>
    <w:p w14:paraId="1895E429"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United Nations Democracy Fund (n.d.), How proposals are assessed and the selection process. Available at </w:t>
      </w:r>
      <w:hyperlink r:id="rId47" w:history="1">
        <w:r w:rsidRPr="00826FDC">
          <w:rPr>
            <w:rStyle w:val="Hyperlink"/>
            <w:rFonts w:ascii="Times New Roman" w:hAnsi="Times New Roman" w:cs="Times New Roman"/>
            <w:sz w:val="22"/>
            <w:szCs w:val="22"/>
            <w:lang w:val="en-US"/>
          </w:rPr>
          <w:t>https://www.un.org/democracyfund/content/how-proposals-are-assessed-and-selection-process</w:t>
        </w:r>
      </w:hyperlink>
      <w:r w:rsidRPr="00826FDC">
        <w:rPr>
          <w:rFonts w:ascii="Times New Roman" w:hAnsi="Times New Roman" w:cs="Times New Roman"/>
          <w:sz w:val="22"/>
          <w:szCs w:val="22"/>
          <w:lang w:val="en-US"/>
        </w:rPr>
        <w:t xml:space="preserve">  </w:t>
      </w:r>
    </w:p>
    <w:p w14:paraId="495EB357"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United Nations Office for the Coordination of Humanitarian Affairs (2022), Global Humanitarian Overview 2022. Retrieved from </w:t>
      </w:r>
      <w:hyperlink r:id="rId48" w:history="1">
        <w:r w:rsidRPr="00826FDC">
          <w:rPr>
            <w:rStyle w:val="Hyperlink"/>
            <w:rFonts w:ascii="Times New Roman" w:hAnsi="Times New Roman" w:cs="Times New Roman"/>
            <w:sz w:val="22"/>
            <w:szCs w:val="22"/>
            <w:lang w:val="en-US"/>
          </w:rPr>
          <w:t>https://reliefweb.int/topics/global-  humanitarian-overview-</w:t>
        </w:r>
      </w:hyperlink>
      <w:r w:rsidRPr="00826FDC">
        <w:rPr>
          <w:rFonts w:ascii="Times New Roman" w:hAnsi="Times New Roman" w:cs="Times New Roman"/>
          <w:sz w:val="22"/>
          <w:szCs w:val="22"/>
          <w:lang w:val="en-US"/>
        </w:rPr>
        <w:t xml:space="preserve"> 2022 19 Feb 2022</w:t>
      </w:r>
    </w:p>
    <w:p w14:paraId="5112DE28"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United Nations Office for the Coordination of Humanitarian Affairs (2021); South Sudan Humanitarian Fund 2021 at a Glance. </w:t>
      </w:r>
    </w:p>
    <w:p w14:paraId="5BE17E4B"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United Nations Office for the Coordination of Humanitarian Affairs (2022); South Sudan Humanitarian Fund (CHF) Standard Allocation Strategy July 2022</w:t>
      </w:r>
    </w:p>
    <w:p w14:paraId="74B6F44F"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United Nations Office for the Coordination of Humanitarian Affairs (2022); South Sudan Humanitarian Needs Overview 2022 (February 2022)</w:t>
      </w:r>
    </w:p>
    <w:p w14:paraId="29C77E93"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United Nations Office for the Coordination of Humanitarian Affairs (2023), Afghanistan Humanitarian Needs and Response Plan 2024 (December 2023)</w:t>
      </w:r>
    </w:p>
    <w:p w14:paraId="654F9B40"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United Nations Office for the Coordination of Humanitarian Affairs (2023), Yemen: Humanitarian Response Snapshot (December 2023)</w:t>
      </w:r>
    </w:p>
    <w:p w14:paraId="3A03DBE3"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United Nations Office for the Coordination of Humanitarian Affairs (2023); South Sudan Humanitarian Needs Overview 2023 </w:t>
      </w:r>
    </w:p>
    <w:p w14:paraId="4117740C"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United Nations Office for the Coordination of Humanitarian Affairs (2024), Somalia 2024 Humanitarian Needs and Response Plan (January 2024)</w:t>
      </w:r>
    </w:p>
    <w:p w14:paraId="3BCBCF5E"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United Nations Office for the Coordination of Humanitarian Affairs (2024), Yemen Humanitarian Needs Overview (January 2024)</w:t>
      </w:r>
    </w:p>
    <w:p w14:paraId="14DF2F47"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United Nations Office of the Coordination of Humanitarian Affairs (2022), Global Humanitarian Overview 2022, April Update (Snapshot as of 13 May 2022) </w:t>
      </w:r>
    </w:p>
    <w:p w14:paraId="5125805F"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Wang, T., Thornhill, S., &amp; Zhao, B. (2018). Pay‐for‐performance, employee participation, and SME performance. </w:t>
      </w:r>
      <w:r w:rsidRPr="00826FDC">
        <w:rPr>
          <w:rFonts w:ascii="Times New Roman" w:hAnsi="Times New Roman" w:cs="Times New Roman"/>
          <w:i/>
          <w:iCs/>
          <w:sz w:val="22"/>
          <w:szCs w:val="22"/>
          <w:lang w:val="en-US"/>
        </w:rPr>
        <w:t>Journal of Small Business Management</w:t>
      </w:r>
      <w:r w:rsidRPr="00826FDC">
        <w:rPr>
          <w:rFonts w:ascii="Times New Roman" w:hAnsi="Times New Roman" w:cs="Times New Roman"/>
          <w:sz w:val="22"/>
          <w:szCs w:val="22"/>
          <w:lang w:val="en-US"/>
        </w:rPr>
        <w:t>, </w:t>
      </w:r>
      <w:r w:rsidRPr="00826FDC">
        <w:rPr>
          <w:rFonts w:ascii="Times New Roman" w:hAnsi="Times New Roman" w:cs="Times New Roman"/>
          <w:i/>
          <w:iCs/>
          <w:sz w:val="22"/>
          <w:szCs w:val="22"/>
          <w:lang w:val="en-US"/>
        </w:rPr>
        <w:t>56</w:t>
      </w:r>
      <w:r w:rsidRPr="00826FDC">
        <w:rPr>
          <w:rFonts w:ascii="Times New Roman" w:hAnsi="Times New Roman" w:cs="Times New Roman"/>
          <w:sz w:val="22"/>
          <w:szCs w:val="22"/>
          <w:lang w:val="en-US"/>
        </w:rPr>
        <w:t>(3), 412-434.</w:t>
      </w:r>
    </w:p>
    <w:p w14:paraId="26BAA497"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Watkins Allen, M., </w:t>
      </w:r>
      <w:proofErr w:type="spellStart"/>
      <w:r w:rsidRPr="00826FDC">
        <w:rPr>
          <w:rFonts w:ascii="Times New Roman" w:hAnsi="Times New Roman" w:cs="Times New Roman"/>
          <w:sz w:val="22"/>
          <w:szCs w:val="22"/>
          <w:lang w:val="en-US"/>
        </w:rPr>
        <w:t>Coopman</w:t>
      </w:r>
      <w:proofErr w:type="spellEnd"/>
      <w:r w:rsidRPr="00826FDC">
        <w:rPr>
          <w:rFonts w:ascii="Times New Roman" w:hAnsi="Times New Roman" w:cs="Times New Roman"/>
          <w:sz w:val="22"/>
          <w:szCs w:val="22"/>
          <w:lang w:val="en-US"/>
        </w:rPr>
        <w:t>, S. J., Hart, J. L., &amp; Walker, K. L. (2007). Workplace surveillance and managing privacy boundaries. </w:t>
      </w:r>
      <w:r w:rsidRPr="00826FDC">
        <w:rPr>
          <w:rFonts w:ascii="Times New Roman" w:hAnsi="Times New Roman" w:cs="Times New Roman"/>
          <w:i/>
          <w:iCs/>
          <w:sz w:val="22"/>
          <w:szCs w:val="22"/>
          <w:lang w:val="en-US"/>
        </w:rPr>
        <w:t>Management Communication Quarterly</w:t>
      </w:r>
      <w:r w:rsidRPr="00826FDC">
        <w:rPr>
          <w:rFonts w:ascii="Times New Roman" w:hAnsi="Times New Roman" w:cs="Times New Roman"/>
          <w:sz w:val="22"/>
          <w:szCs w:val="22"/>
          <w:lang w:val="en-US"/>
        </w:rPr>
        <w:t>, </w:t>
      </w:r>
      <w:r w:rsidRPr="00826FDC">
        <w:rPr>
          <w:rFonts w:ascii="Times New Roman" w:hAnsi="Times New Roman" w:cs="Times New Roman"/>
          <w:i/>
          <w:iCs/>
          <w:sz w:val="22"/>
          <w:szCs w:val="22"/>
          <w:lang w:val="en-US"/>
        </w:rPr>
        <w:t>21</w:t>
      </w:r>
      <w:r w:rsidRPr="00826FDC">
        <w:rPr>
          <w:rFonts w:ascii="Times New Roman" w:hAnsi="Times New Roman" w:cs="Times New Roman"/>
          <w:sz w:val="22"/>
          <w:szCs w:val="22"/>
          <w:lang w:val="en-US"/>
        </w:rPr>
        <w:t xml:space="preserve">(2), 172-200. </w:t>
      </w:r>
    </w:p>
    <w:p w14:paraId="6148F3CB" w14:textId="77777777" w:rsidR="00826FDC" w:rsidRPr="00826FDC" w:rsidRDefault="00826FDC" w:rsidP="00826FDC">
      <w:pPr>
        <w:spacing w:after="0" w:line="240" w:lineRule="auto"/>
        <w:jc w:val="both"/>
        <w:rPr>
          <w:rFonts w:ascii="Times New Roman" w:hAnsi="Times New Roman" w:cs="Times New Roman"/>
          <w:sz w:val="22"/>
          <w:szCs w:val="22"/>
          <w:lang w:val="en-US"/>
        </w:rPr>
      </w:pPr>
      <w:r w:rsidRPr="00826FDC">
        <w:rPr>
          <w:rFonts w:ascii="Times New Roman" w:hAnsi="Times New Roman" w:cs="Times New Roman"/>
          <w:sz w:val="22"/>
          <w:szCs w:val="22"/>
          <w:lang w:val="en-US"/>
        </w:rPr>
        <w:t xml:space="preserve">Yu, M., Zhu, F., Yang, X., Wang, L., &amp; Sun, X. (2018). Integrating sustainability into construction engineering projects: perspective of sustainable project planning. Sustainability, 10(3), 784. </w:t>
      </w:r>
      <w:hyperlink r:id="rId49" w:history="1">
        <w:r w:rsidRPr="00826FDC">
          <w:rPr>
            <w:rStyle w:val="Hyperlink"/>
            <w:rFonts w:ascii="Times New Roman" w:hAnsi="Times New Roman" w:cs="Times New Roman"/>
            <w:sz w:val="22"/>
            <w:szCs w:val="22"/>
            <w:lang w:val="en-US"/>
          </w:rPr>
          <w:t>https://doi.org/10.3390/su10030784</w:t>
        </w:r>
      </w:hyperlink>
      <w:r w:rsidRPr="00826FDC">
        <w:rPr>
          <w:rFonts w:ascii="Times New Roman" w:hAnsi="Times New Roman" w:cs="Times New Roman"/>
          <w:sz w:val="22"/>
          <w:szCs w:val="22"/>
          <w:lang w:val="en-US"/>
        </w:rPr>
        <w:t xml:space="preserve"> </w:t>
      </w:r>
    </w:p>
    <w:bookmarkEnd w:id="20"/>
    <w:p w14:paraId="46BDA2C4" w14:textId="77777777" w:rsidR="00A17103" w:rsidRPr="00616019" w:rsidRDefault="00A17103" w:rsidP="004749BC">
      <w:pPr>
        <w:spacing w:after="0" w:line="240" w:lineRule="auto"/>
        <w:jc w:val="both"/>
        <w:rPr>
          <w:rFonts w:ascii="Times New Roman" w:hAnsi="Times New Roman" w:cs="Times New Roman"/>
          <w:sz w:val="22"/>
          <w:szCs w:val="22"/>
        </w:rPr>
      </w:pPr>
    </w:p>
    <w:sectPr w:rsidR="00A17103" w:rsidRPr="00616019">
      <w:headerReference w:type="even" r:id="rId50"/>
      <w:headerReference w:type="default" r:id="rId51"/>
      <w:footerReference w:type="even" r:id="rId52"/>
      <w:footerReference w:type="default" r:id="rId53"/>
      <w:headerReference w:type="first" r:id="rId54"/>
      <w:footerReference w:type="first" r:id="rId5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DD3417" w14:textId="77777777" w:rsidR="00F338AA" w:rsidRDefault="00F338AA" w:rsidP="00F40AE3">
      <w:pPr>
        <w:spacing w:after="0" w:line="240" w:lineRule="auto"/>
      </w:pPr>
      <w:r>
        <w:separator/>
      </w:r>
    </w:p>
  </w:endnote>
  <w:endnote w:type="continuationSeparator" w:id="0">
    <w:p w14:paraId="7AADF5A2" w14:textId="77777777" w:rsidR="00F338AA" w:rsidRDefault="00F338AA" w:rsidP="00F40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4DC69" w14:textId="77777777" w:rsidR="00F40AE3" w:rsidRDefault="00F40A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F511E" w14:textId="77777777" w:rsidR="00F40AE3" w:rsidRDefault="00F40A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40F91" w14:textId="77777777" w:rsidR="00F40AE3" w:rsidRDefault="00F40A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FF8D03" w14:textId="77777777" w:rsidR="00F338AA" w:rsidRDefault="00F338AA" w:rsidP="00F40AE3">
      <w:pPr>
        <w:spacing w:after="0" w:line="240" w:lineRule="auto"/>
      </w:pPr>
      <w:r>
        <w:separator/>
      </w:r>
    </w:p>
  </w:footnote>
  <w:footnote w:type="continuationSeparator" w:id="0">
    <w:p w14:paraId="1B548374" w14:textId="77777777" w:rsidR="00F338AA" w:rsidRDefault="00F338AA" w:rsidP="00F40A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31144" w14:textId="5E5FCA03" w:rsidR="00F40AE3" w:rsidRDefault="00F40AE3">
    <w:pPr>
      <w:pStyle w:val="Header"/>
    </w:pPr>
    <w:r>
      <w:rPr>
        <w:noProof/>
      </w:rPr>
      <w:pict w14:anchorId="3BF5C3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10773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60095" w14:textId="0F1A26B6" w:rsidR="00F40AE3" w:rsidRDefault="00F40AE3">
    <w:pPr>
      <w:pStyle w:val="Header"/>
    </w:pPr>
    <w:r>
      <w:rPr>
        <w:noProof/>
      </w:rPr>
      <w:pict w14:anchorId="1220CB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10773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8D96F" w14:textId="254A24A3" w:rsidR="00F40AE3" w:rsidRDefault="00F40AE3">
    <w:pPr>
      <w:pStyle w:val="Header"/>
    </w:pPr>
    <w:r>
      <w:rPr>
        <w:noProof/>
      </w:rPr>
      <w:pict w14:anchorId="75B7BF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10773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F104A"/>
    <w:multiLevelType w:val="hybridMultilevel"/>
    <w:tmpl w:val="4DF28ED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15:restartNumberingAfterBreak="0">
    <w:nsid w:val="11D31128"/>
    <w:multiLevelType w:val="hybridMultilevel"/>
    <w:tmpl w:val="B1F0E542"/>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 w15:restartNumberingAfterBreak="0">
    <w:nsid w:val="2590390B"/>
    <w:multiLevelType w:val="hybridMultilevel"/>
    <w:tmpl w:val="38EE627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 w15:restartNumberingAfterBreak="0">
    <w:nsid w:val="769E6F14"/>
    <w:multiLevelType w:val="hybridMultilevel"/>
    <w:tmpl w:val="B3D687FE"/>
    <w:lvl w:ilvl="0" w:tplc="0C000019">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 w15:restartNumberingAfterBreak="0">
    <w:nsid w:val="79F0365D"/>
    <w:multiLevelType w:val="hybridMultilevel"/>
    <w:tmpl w:val="2A14A534"/>
    <w:lvl w:ilvl="0" w:tplc="0C000019">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0BA"/>
    <w:rsid w:val="000075E0"/>
    <w:rsid w:val="000160BA"/>
    <w:rsid w:val="00052F98"/>
    <w:rsid w:val="001D7229"/>
    <w:rsid w:val="001E1679"/>
    <w:rsid w:val="001F1D34"/>
    <w:rsid w:val="00203D11"/>
    <w:rsid w:val="00277771"/>
    <w:rsid w:val="00306DEE"/>
    <w:rsid w:val="003360D0"/>
    <w:rsid w:val="004749BC"/>
    <w:rsid w:val="004D4C31"/>
    <w:rsid w:val="0056409D"/>
    <w:rsid w:val="00616019"/>
    <w:rsid w:val="0076397C"/>
    <w:rsid w:val="00826FDC"/>
    <w:rsid w:val="008B4DB0"/>
    <w:rsid w:val="00924993"/>
    <w:rsid w:val="00924C20"/>
    <w:rsid w:val="009B2AD4"/>
    <w:rsid w:val="00A17103"/>
    <w:rsid w:val="00A264ED"/>
    <w:rsid w:val="00A47AC7"/>
    <w:rsid w:val="00A47F92"/>
    <w:rsid w:val="00A871B2"/>
    <w:rsid w:val="00AB5530"/>
    <w:rsid w:val="00B24990"/>
    <w:rsid w:val="00B81F7E"/>
    <w:rsid w:val="00B8692B"/>
    <w:rsid w:val="00C53139"/>
    <w:rsid w:val="00C9687E"/>
    <w:rsid w:val="00CB1051"/>
    <w:rsid w:val="00E37EB3"/>
    <w:rsid w:val="00E75932"/>
    <w:rsid w:val="00F338AA"/>
    <w:rsid w:val="00F40AE3"/>
    <w:rsid w:val="00F769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605441"/>
  <w15:chartTrackingRefBased/>
  <w15:docId w15:val="{3CA30D90-7375-4179-BC04-2412EFA46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60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160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160B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60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0160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60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60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60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60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60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160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160B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60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0160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60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60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60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60BA"/>
    <w:rPr>
      <w:rFonts w:eastAsiaTheme="majorEastAsia" w:cstheme="majorBidi"/>
      <w:color w:val="272727" w:themeColor="text1" w:themeTint="D8"/>
    </w:rPr>
  </w:style>
  <w:style w:type="paragraph" w:styleId="Title">
    <w:name w:val="Title"/>
    <w:basedOn w:val="Normal"/>
    <w:next w:val="Normal"/>
    <w:link w:val="TitleChar"/>
    <w:uiPriority w:val="10"/>
    <w:qFormat/>
    <w:rsid w:val="000160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60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60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60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60BA"/>
    <w:pPr>
      <w:spacing w:before="160"/>
      <w:jc w:val="center"/>
    </w:pPr>
    <w:rPr>
      <w:i/>
      <w:iCs/>
      <w:color w:val="404040" w:themeColor="text1" w:themeTint="BF"/>
    </w:rPr>
  </w:style>
  <w:style w:type="character" w:customStyle="1" w:styleId="QuoteChar">
    <w:name w:val="Quote Char"/>
    <w:basedOn w:val="DefaultParagraphFont"/>
    <w:link w:val="Quote"/>
    <w:uiPriority w:val="29"/>
    <w:rsid w:val="000160BA"/>
    <w:rPr>
      <w:i/>
      <w:iCs/>
      <w:color w:val="404040" w:themeColor="text1" w:themeTint="BF"/>
    </w:rPr>
  </w:style>
  <w:style w:type="paragraph" w:styleId="ListParagraph">
    <w:name w:val="List Paragraph"/>
    <w:basedOn w:val="Normal"/>
    <w:uiPriority w:val="34"/>
    <w:qFormat/>
    <w:rsid w:val="000160BA"/>
    <w:pPr>
      <w:ind w:left="720"/>
      <w:contextualSpacing/>
    </w:pPr>
  </w:style>
  <w:style w:type="character" w:styleId="IntenseEmphasis">
    <w:name w:val="Intense Emphasis"/>
    <w:basedOn w:val="DefaultParagraphFont"/>
    <w:uiPriority w:val="21"/>
    <w:qFormat/>
    <w:rsid w:val="000160BA"/>
    <w:rPr>
      <w:i/>
      <w:iCs/>
      <w:color w:val="2F5496" w:themeColor="accent1" w:themeShade="BF"/>
    </w:rPr>
  </w:style>
  <w:style w:type="paragraph" w:styleId="IntenseQuote">
    <w:name w:val="Intense Quote"/>
    <w:basedOn w:val="Normal"/>
    <w:next w:val="Normal"/>
    <w:link w:val="IntenseQuoteChar"/>
    <w:uiPriority w:val="30"/>
    <w:qFormat/>
    <w:rsid w:val="000160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60BA"/>
    <w:rPr>
      <w:i/>
      <w:iCs/>
      <w:color w:val="2F5496" w:themeColor="accent1" w:themeShade="BF"/>
    </w:rPr>
  </w:style>
  <w:style w:type="character" w:styleId="IntenseReference">
    <w:name w:val="Intense Reference"/>
    <w:basedOn w:val="DefaultParagraphFont"/>
    <w:uiPriority w:val="32"/>
    <w:qFormat/>
    <w:rsid w:val="000160BA"/>
    <w:rPr>
      <w:b/>
      <w:bCs/>
      <w:smallCaps/>
      <w:color w:val="2F5496" w:themeColor="accent1" w:themeShade="BF"/>
      <w:spacing w:val="5"/>
    </w:rPr>
  </w:style>
  <w:style w:type="table" w:styleId="ListTable6Colorful">
    <w:name w:val="List Table 6 Colorful"/>
    <w:basedOn w:val="TableNormal"/>
    <w:uiPriority w:val="51"/>
    <w:rsid w:val="00A871B2"/>
    <w:pPr>
      <w:spacing w:after="0" w:line="240" w:lineRule="auto"/>
    </w:pPr>
    <w:rPr>
      <w:color w:val="000000" w:themeColor="text1"/>
      <w:sz w:val="22"/>
      <w:szCs w:val="22"/>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3360D0"/>
    <w:rPr>
      <w:color w:val="0563C1" w:themeColor="hyperlink"/>
      <w:u w:val="single"/>
    </w:rPr>
  </w:style>
  <w:style w:type="character" w:styleId="UnresolvedMention">
    <w:name w:val="Unresolved Mention"/>
    <w:basedOn w:val="DefaultParagraphFont"/>
    <w:uiPriority w:val="99"/>
    <w:semiHidden/>
    <w:unhideWhenUsed/>
    <w:rsid w:val="00A47F92"/>
    <w:rPr>
      <w:color w:val="605E5C"/>
      <w:shd w:val="clear" w:color="auto" w:fill="E1DFDD"/>
    </w:rPr>
  </w:style>
  <w:style w:type="paragraph" w:styleId="Header">
    <w:name w:val="header"/>
    <w:basedOn w:val="Normal"/>
    <w:link w:val="HeaderChar"/>
    <w:uiPriority w:val="99"/>
    <w:unhideWhenUsed/>
    <w:rsid w:val="00F40A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AE3"/>
  </w:style>
  <w:style w:type="paragraph" w:styleId="Footer">
    <w:name w:val="footer"/>
    <w:basedOn w:val="Normal"/>
    <w:link w:val="FooterChar"/>
    <w:uiPriority w:val="99"/>
    <w:unhideWhenUsed/>
    <w:rsid w:val="00F40A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A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77/1937586719873143" TargetMode="External"/><Relationship Id="rId18" Type="http://schemas.openxmlformats.org/officeDocument/2006/relationships/hyperlink" Target="https://doi.org/10.1016/j.worlddev.2010.09.004" TargetMode="External"/><Relationship Id="rId26" Type="http://schemas.openxmlformats.org/officeDocument/2006/relationships/hyperlink" Target="https://doi.org/10.1007/s11266-013-9400-7" TargetMode="External"/><Relationship Id="rId39" Type="http://schemas.openxmlformats.org/officeDocument/2006/relationships/hyperlink" Target="https://doi.org/10.1057/s41599-020-0432-5" TargetMode="External"/><Relationship Id="rId21" Type="http://schemas.openxmlformats.org/officeDocument/2006/relationships/hyperlink" Target="https://doi.org/10.1136/bmjgh-2022-011232" TargetMode="External"/><Relationship Id="rId34" Type="http://schemas.openxmlformats.org/officeDocument/2006/relationships/hyperlink" Target="http://www.jstor.org/stable/3096078" TargetMode="External"/><Relationship Id="rId42" Type="http://schemas.openxmlformats.org/officeDocument/2006/relationships/hyperlink" Target="https://doi.org/10.1109/access.2021.3073315" TargetMode="External"/><Relationship Id="rId47" Type="http://schemas.openxmlformats.org/officeDocument/2006/relationships/hyperlink" Target="https://www.un.org/democracyfund/content/how-proposals-are-assessed-and-selection-process"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hyperlink" Target="https://doi.org/10.1016/j.ijproman.2006.10.005" TargetMode="External"/><Relationship Id="rId2" Type="http://schemas.openxmlformats.org/officeDocument/2006/relationships/styles" Target="styles.xml"/><Relationship Id="rId16" Type="http://schemas.openxmlformats.org/officeDocument/2006/relationships/hyperlink" Target="https://doi.org/10.3390/f10030272" TargetMode="External"/><Relationship Id="rId29" Type="http://schemas.openxmlformats.org/officeDocument/2006/relationships/hyperlink" Target="https://knowledge.insead.edu/operations/making-humanitarian-operations-more-sustainable" TargetMode="External"/><Relationship Id="rId11" Type="http://schemas.openxmlformats.org/officeDocument/2006/relationships/hyperlink" Target="https://doi.org/10.21744/irjmis.v6n5.704" TargetMode="External"/><Relationship Id="rId24" Type="http://schemas.openxmlformats.org/officeDocument/2006/relationships/hyperlink" Target="https://doi.org/10.1002/piq.21214" TargetMode="External"/><Relationship Id="rId32" Type="http://schemas.openxmlformats.org/officeDocument/2006/relationships/hyperlink" Target="https://www.devex.com/news/usaid-business-forecast-q1-2023-104545" TargetMode="External"/><Relationship Id="rId37" Type="http://schemas.openxmlformats.org/officeDocument/2006/relationships/hyperlink" Target="https://doi.org/10.1016/S0140-6736(03)12956" TargetMode="External"/><Relationship Id="rId40" Type="http://schemas.openxmlformats.org/officeDocument/2006/relationships/hyperlink" Target="https://doi.org/10.1111/bioe.12138" TargetMode="External"/><Relationship Id="rId45" Type="http://schemas.openxmlformats.org/officeDocument/2006/relationships/hyperlink" Target="https://doi.org/10.4108/eai.1-11-2019.2294023" TargetMode="External"/><Relationship Id="rId53" Type="http://schemas.openxmlformats.org/officeDocument/2006/relationships/footer" Target="footer2.xml"/><Relationship Id="rId5" Type="http://schemas.openxmlformats.org/officeDocument/2006/relationships/footnotes" Target="footnotes.xml"/><Relationship Id="rId19" Type="http://schemas.openxmlformats.org/officeDocument/2006/relationships/hyperlink" Target="https://doi.org/10.4236/ajibm.2013.36062" TargetMode="External"/><Relationship Id="rId4" Type="http://schemas.openxmlformats.org/officeDocument/2006/relationships/webSettings" Target="webSettings.xml"/><Relationship Id="rId9" Type="http://schemas.openxmlformats.org/officeDocument/2006/relationships/hyperlink" Target="https://doi.org/10.47405/mjssh.v8i6.2359" TargetMode="External"/><Relationship Id="rId14" Type="http://schemas.openxmlformats.org/officeDocument/2006/relationships/hyperlink" Target="https://doi.org/10.1016/j.ijproman.2017.02.018" TargetMode="External"/><Relationship Id="rId22" Type="http://schemas.openxmlformats.org/officeDocument/2006/relationships/hyperlink" Target="https://doi.org/10.3390/su13158204" TargetMode="External"/><Relationship Id="rId27" Type="http://schemas.openxmlformats.org/officeDocument/2006/relationships/hyperlink" Target="https://doi.org/10.1111/csp2.13248" TargetMode="External"/><Relationship Id="rId30" Type="http://schemas.openxmlformats.org/officeDocument/2006/relationships/hyperlink" Target="https://doi.org/10.1001/jamasurg.2020.3532" TargetMode="External"/><Relationship Id="rId35" Type="http://schemas.openxmlformats.org/officeDocument/2006/relationships/hyperlink" Target="https://doi.org/10.1096/fj.201800639" TargetMode="External"/><Relationship Id="rId43" Type="http://schemas.openxmlformats.org/officeDocument/2006/relationships/hyperlink" Target="https://doi.org/10.1016/S0140-6736(09)60881-3" TargetMode="External"/><Relationship Id="rId48" Type="http://schemas.openxmlformats.org/officeDocument/2006/relationships/hyperlink" Target="https://reliefweb.int/topics/global-%20%20humanitarian-overview-" TargetMode="External"/><Relationship Id="rId56" Type="http://schemas.openxmlformats.org/officeDocument/2006/relationships/fontTable" Target="fontTable.xml"/><Relationship Id="rId8" Type="http://schemas.openxmlformats.org/officeDocument/2006/relationships/hyperlink" Target="https://doi.org/10.1108/09513570210418905" TargetMode="External"/><Relationship Id="rId51"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s://doi.org/10.2139/ssrn.269362" TargetMode="External"/><Relationship Id="rId17" Type="http://schemas.openxmlformats.org/officeDocument/2006/relationships/hyperlink" Target="https://doi.org/10.1016/s0968-8080(04)24140-4" TargetMode="External"/><Relationship Id="rId25" Type="http://schemas.openxmlformats.org/officeDocument/2006/relationships/hyperlink" Target="https://doi.org/10.47941/jepm.1677" TargetMode="External"/><Relationship Id="rId33" Type="http://schemas.openxmlformats.org/officeDocument/2006/relationships/hyperlink" Target="https://doi.org/10.58292/ct.v10.9905" TargetMode="External"/><Relationship Id="rId38" Type="http://schemas.openxmlformats.org/officeDocument/2006/relationships/hyperlink" Target="https://doi.org/10.1093/acprof:oso/9780195310276.001.0001" TargetMode="External"/><Relationship Id="rId46" Type="http://schemas.openxmlformats.org/officeDocument/2006/relationships/hyperlink" Target="https://doi.org/10.55140/2782-5817-2022-2-3-46-55" TargetMode="External"/><Relationship Id="rId20" Type="http://schemas.openxmlformats.org/officeDocument/2006/relationships/hyperlink" Target="https://doi.org/10.2139/ssrn.1648641" TargetMode="External"/><Relationship Id="rId41" Type="http://schemas.openxmlformats.org/officeDocument/2006/relationships/hyperlink" Target="https://asistdl.onlinelibrary.wiley.com/doi/abs/10.1002/asi.23668" TargetMode="External"/><Relationship Id="rId54"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57/palgrave.ijea.2140232" TargetMode="External"/><Relationship Id="rId23" Type="http://schemas.openxmlformats.org/officeDocument/2006/relationships/hyperlink" Target="https://thebusinessprofessor.com/en_US/management-leadership-organizational-behavior/institutional-theory-explained" TargetMode="External"/><Relationship Id="rId28" Type="http://schemas.openxmlformats.org/officeDocument/2006/relationships/hyperlink" Target="https://doi.org/10.1177/01655515221097861" TargetMode="External"/><Relationship Id="rId36" Type="http://schemas.openxmlformats.org/officeDocument/2006/relationships/hyperlink" Target="https://doi.org/10.1186/s12961-017-0272-y" TargetMode="External"/><Relationship Id="rId49" Type="http://schemas.openxmlformats.org/officeDocument/2006/relationships/hyperlink" Target="https://doi.org/10.3390/su10030784" TargetMode="External"/><Relationship Id="rId57" Type="http://schemas.openxmlformats.org/officeDocument/2006/relationships/theme" Target="theme/theme1.xml"/><Relationship Id="rId10" Type="http://schemas.openxmlformats.org/officeDocument/2006/relationships/hyperlink" Target="https://www.devex.com/news/cooperation-rather-than-aid-how-japan-plans-to-spend-30b-in-africa-104215" TargetMode="External"/><Relationship Id="rId31" Type="http://schemas.openxmlformats.org/officeDocument/2006/relationships/hyperlink" Target="https://www.projectmanager.com/blog/what-is-stakeholder-theory" TargetMode="External"/><Relationship Id="rId44" Type="http://schemas.openxmlformats.org/officeDocument/2006/relationships/hyperlink" Target="https://doi.org/10.1186/s40594-020-0202-3"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19</Pages>
  <Words>10935</Words>
  <Characters>62333</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SDI 1084</cp:lastModifiedBy>
  <cp:revision>7</cp:revision>
  <dcterms:created xsi:type="dcterms:W3CDTF">2025-08-18T16:53:00Z</dcterms:created>
  <dcterms:modified xsi:type="dcterms:W3CDTF">2025-08-19T12:08:00Z</dcterms:modified>
</cp:coreProperties>
</file>