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CFFB4" w14:textId="0A9387F1" w:rsidR="00A258C3" w:rsidRDefault="00BA2099" w:rsidP="005A108D">
      <w:pPr>
        <w:pStyle w:val="Author"/>
        <w:spacing w:line="240" w:lineRule="auto"/>
        <w:jc w:val="center"/>
        <w:rPr>
          <w:rFonts w:ascii="Arial" w:hAnsi="Arial" w:cs="Arial"/>
          <w:bCs/>
          <w:iCs/>
          <w:kern w:val="28"/>
          <w:sz w:val="36"/>
        </w:rPr>
      </w:pPr>
      <w:r w:rsidRPr="00BA2099">
        <w:rPr>
          <w:rFonts w:ascii="Arial" w:hAnsi="Arial" w:cs="Arial"/>
          <w:bCs/>
          <w:iCs/>
          <w:kern w:val="28"/>
          <w:sz w:val="36"/>
        </w:rPr>
        <w:t xml:space="preserve">Farmer's Purchasing Behavior Towards Coriander Seeds </w:t>
      </w:r>
      <w:r>
        <w:rPr>
          <w:rFonts w:ascii="Arial" w:hAnsi="Arial" w:cs="Arial"/>
          <w:bCs/>
          <w:iCs/>
          <w:kern w:val="28"/>
          <w:sz w:val="36"/>
        </w:rPr>
        <w:t>i</w:t>
      </w:r>
      <w:r w:rsidRPr="00BA2099">
        <w:rPr>
          <w:rFonts w:ascii="Arial" w:hAnsi="Arial" w:cs="Arial"/>
          <w:bCs/>
          <w:iCs/>
          <w:kern w:val="28"/>
          <w:sz w:val="36"/>
        </w:rPr>
        <w:t>n Junagadh District</w:t>
      </w:r>
    </w:p>
    <w:p w14:paraId="6DDAACD1" w14:textId="77777777" w:rsidR="006A7BFD" w:rsidRPr="00790ADA" w:rsidRDefault="006A7BFD" w:rsidP="005A108D">
      <w:pPr>
        <w:pStyle w:val="Author"/>
        <w:spacing w:line="240" w:lineRule="auto"/>
        <w:jc w:val="center"/>
        <w:rPr>
          <w:rFonts w:ascii="Arial" w:hAnsi="Arial" w:cs="Arial"/>
          <w:sz w:val="36"/>
        </w:rPr>
      </w:pPr>
    </w:p>
    <w:p w14:paraId="5054E2EF" w14:textId="77777777" w:rsidR="00EF5C7A" w:rsidRDefault="00EF5C7A" w:rsidP="00441B6F">
      <w:pPr>
        <w:pStyle w:val="Copyright"/>
        <w:spacing w:after="0" w:line="240" w:lineRule="auto"/>
        <w:jc w:val="both"/>
        <w:rPr>
          <w:rFonts w:ascii="Arial" w:hAnsi="Arial" w:cs="Arial"/>
        </w:rPr>
      </w:pPr>
    </w:p>
    <w:p w14:paraId="137ADDCF" w14:textId="77777777" w:rsidR="00EF5C7A" w:rsidRDefault="00EF5C7A" w:rsidP="00441B6F">
      <w:pPr>
        <w:pStyle w:val="Copyright"/>
        <w:spacing w:after="0" w:line="240" w:lineRule="auto"/>
        <w:jc w:val="both"/>
        <w:rPr>
          <w:rFonts w:ascii="Arial" w:hAnsi="Arial" w:cs="Arial"/>
        </w:rPr>
      </w:pPr>
    </w:p>
    <w:p w14:paraId="5B4F57A3" w14:textId="77777777" w:rsidR="00EF5C7A" w:rsidRDefault="00EF5C7A" w:rsidP="00441B6F">
      <w:pPr>
        <w:pStyle w:val="Copyright"/>
        <w:spacing w:after="0" w:line="240" w:lineRule="auto"/>
        <w:jc w:val="both"/>
        <w:rPr>
          <w:rFonts w:ascii="Arial" w:hAnsi="Arial" w:cs="Arial"/>
        </w:rPr>
      </w:pPr>
    </w:p>
    <w:p w14:paraId="3210D210" w14:textId="77777777" w:rsidR="00EF5C7A" w:rsidRDefault="00EF5C7A" w:rsidP="00441B6F">
      <w:pPr>
        <w:pStyle w:val="Copyright"/>
        <w:spacing w:after="0" w:line="240" w:lineRule="auto"/>
        <w:jc w:val="both"/>
        <w:rPr>
          <w:rFonts w:ascii="Arial" w:hAnsi="Arial" w:cs="Arial"/>
        </w:rPr>
      </w:pPr>
    </w:p>
    <w:p w14:paraId="1A96655C" w14:textId="77777777" w:rsidR="00EF5C7A" w:rsidRDefault="00EF5C7A" w:rsidP="00441B6F">
      <w:pPr>
        <w:pStyle w:val="Copyright"/>
        <w:spacing w:after="0" w:line="240" w:lineRule="auto"/>
        <w:jc w:val="both"/>
        <w:rPr>
          <w:rFonts w:ascii="Arial" w:hAnsi="Arial" w:cs="Arial"/>
        </w:rPr>
      </w:pPr>
    </w:p>
    <w:p w14:paraId="2996F74B" w14:textId="77777777" w:rsidR="00EF5C7A" w:rsidRDefault="00EF5C7A" w:rsidP="00441B6F">
      <w:pPr>
        <w:pStyle w:val="Copyright"/>
        <w:spacing w:after="0" w:line="240" w:lineRule="auto"/>
        <w:jc w:val="both"/>
        <w:rPr>
          <w:rFonts w:ascii="Arial" w:hAnsi="Arial" w:cs="Arial"/>
        </w:rPr>
      </w:pPr>
    </w:p>
    <w:p w14:paraId="673AD469" w14:textId="77777777" w:rsidR="00EF5C7A" w:rsidRDefault="00EF5C7A" w:rsidP="00441B6F">
      <w:pPr>
        <w:pStyle w:val="Copyright"/>
        <w:spacing w:after="0" w:line="240" w:lineRule="auto"/>
        <w:jc w:val="both"/>
        <w:rPr>
          <w:rFonts w:ascii="Arial" w:hAnsi="Arial" w:cs="Arial"/>
        </w:rPr>
      </w:pPr>
    </w:p>
    <w:p w14:paraId="69C95A2C" w14:textId="1F99B82A" w:rsidR="00B01FCD" w:rsidRPr="00FB3A86" w:rsidRDefault="00566FE9" w:rsidP="00441B6F">
      <w:pPr>
        <w:pStyle w:val="Copyright"/>
        <w:spacing w:after="0" w:line="240" w:lineRule="auto"/>
        <w:jc w:val="both"/>
        <w:rPr>
          <w:rFonts w:ascii="Arial" w:hAnsi="Arial" w:cs="Arial"/>
        </w:rPr>
        <w:sectPr w:rsidR="00B01FCD" w:rsidRPr="00FB3A86" w:rsidSect="00EF5C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gu-IN"/>
        </w:rPr>
        <mc:AlternateContent>
          <mc:Choice Requires="wps">
            <w:drawing>
              <wp:inline distT="0" distB="0" distL="0" distR="0" wp14:anchorId="67AB7456" wp14:editId="7DE26B2B">
                <wp:extent cx="5303520" cy="635"/>
                <wp:effectExtent l="13335" t="17145" r="17145" b="11430"/>
                <wp:docPr id="12600271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5AACB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891BF2" w14:textId="63496920"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65061D" w14:textId="77777777" w:rsidTr="001E44FE">
        <w:tc>
          <w:tcPr>
            <w:tcW w:w="9576" w:type="dxa"/>
            <w:shd w:val="clear" w:color="auto" w:fill="F2F2F2"/>
          </w:tcPr>
          <w:p w14:paraId="7FC890B9" w14:textId="6FAB8134" w:rsidR="00505F06" w:rsidRPr="005A108D" w:rsidRDefault="005A108D" w:rsidP="003536FE">
            <w:pPr>
              <w:pStyle w:val="Body"/>
              <w:spacing w:after="0"/>
              <w:rPr>
                <w:rFonts w:ascii="Arial" w:eastAsia="Calibri" w:hAnsi="Arial" w:cs="Arial"/>
                <w:szCs w:val="22"/>
                <w:lang w:val="en-IN"/>
              </w:rPr>
            </w:pPr>
            <w:r w:rsidRPr="005A108D">
              <w:rPr>
                <w:rFonts w:ascii="Arial" w:eastAsia="Calibri" w:hAnsi="Arial" w:cs="Arial"/>
                <w:szCs w:val="22"/>
                <w:lang w:val="en-IN"/>
              </w:rPr>
              <w:t xml:space="preserve">The study on “Farmers’ Purchasing Behaviour Towards Coriander Seeds in Junagadh District” focuses on the key factors influencing farmers' seed purchasing decisions. Based on a survey of 200 coriander growers across four talukas, the study found that purchasing </w:t>
            </w:r>
            <w:proofErr w:type="spellStart"/>
            <w:r w:rsidRPr="005A108D">
              <w:rPr>
                <w:rFonts w:ascii="Arial" w:eastAsia="Calibri" w:hAnsi="Arial" w:cs="Arial"/>
                <w:szCs w:val="22"/>
                <w:lang w:val="en-IN"/>
              </w:rPr>
              <w:t>behavior</w:t>
            </w:r>
            <w:proofErr w:type="spellEnd"/>
            <w:r w:rsidRPr="005A108D">
              <w:rPr>
                <w:rFonts w:ascii="Arial" w:eastAsia="Calibri" w:hAnsi="Arial" w:cs="Arial"/>
                <w:szCs w:val="22"/>
                <w:lang w:val="en-IN"/>
              </w:rPr>
              <w:t xml:space="preserve"> is primarily driven by seed quality (germination, purity, performance), brand reputation, price, seasonal availability, and peer influence. While some farmers showed strong brand loyalty, others frequently switched brands based on cost or promotional offers. Awareness of improved varieties and market trends was moderate to high. Despite the presence of major brands like Nidhi Seeds, Akshay Seeds, and Gasco Seeds, many farmers still use unbranded seeds, highlighting gaps in regulation and market communication. The study suggests improving seed marketing, strengthening distribution networks, and enhancing farmer education to support informed purchasing decisions.</w:t>
            </w:r>
          </w:p>
        </w:tc>
      </w:tr>
    </w:tbl>
    <w:p w14:paraId="5AA85895" w14:textId="77777777" w:rsidR="00636EB2" w:rsidRDefault="00636EB2" w:rsidP="00441B6F">
      <w:pPr>
        <w:pStyle w:val="Body"/>
        <w:spacing w:after="0"/>
        <w:rPr>
          <w:rFonts w:ascii="Arial" w:hAnsi="Arial" w:cs="Arial"/>
          <w:i/>
        </w:rPr>
      </w:pPr>
    </w:p>
    <w:p w14:paraId="51253505" w14:textId="5249AB4F" w:rsidR="00505F06" w:rsidRPr="00A24E7E" w:rsidRDefault="00A24E7E" w:rsidP="003E6624">
      <w:pPr>
        <w:pStyle w:val="Body"/>
        <w:rPr>
          <w:rFonts w:ascii="Arial" w:hAnsi="Arial" w:cs="Arial"/>
          <w:i/>
        </w:rPr>
      </w:pPr>
      <w:r>
        <w:rPr>
          <w:rFonts w:ascii="Arial" w:hAnsi="Arial" w:cs="Arial"/>
          <w:i/>
        </w:rPr>
        <w:t xml:space="preserve">Keywords: </w:t>
      </w:r>
      <w:r w:rsidR="003E6624">
        <w:rPr>
          <w:rFonts w:ascii="Arial" w:hAnsi="Arial" w:cs="Arial"/>
          <w:i/>
        </w:rPr>
        <w:t>Purchasing behavior,</w:t>
      </w:r>
      <w:r w:rsidR="00A32CB8">
        <w:rPr>
          <w:rFonts w:ascii="Arial" w:hAnsi="Arial" w:cs="Arial"/>
          <w:i/>
        </w:rPr>
        <w:t xml:space="preserve"> </w:t>
      </w:r>
      <w:r w:rsidR="003E6624" w:rsidRPr="003E6624">
        <w:rPr>
          <w:rFonts w:ascii="Arial" w:hAnsi="Arial" w:cs="Arial"/>
          <w:i/>
        </w:rPr>
        <w:t>Seed Quality</w:t>
      </w:r>
      <w:r w:rsidR="003E6624">
        <w:rPr>
          <w:rFonts w:ascii="Arial" w:hAnsi="Arial" w:cs="Arial"/>
          <w:i/>
        </w:rPr>
        <w:t xml:space="preserve">, </w:t>
      </w:r>
      <w:r w:rsidR="003E6624" w:rsidRPr="003E6624">
        <w:rPr>
          <w:rFonts w:ascii="Arial" w:hAnsi="Arial" w:cs="Arial"/>
          <w:i/>
        </w:rPr>
        <w:t>Brand Reputation</w:t>
      </w:r>
      <w:r w:rsidR="003E6624">
        <w:rPr>
          <w:rFonts w:ascii="Arial" w:hAnsi="Arial" w:cs="Arial"/>
          <w:i/>
        </w:rPr>
        <w:t xml:space="preserve">, </w:t>
      </w:r>
      <w:r w:rsidR="003E6624" w:rsidRPr="003E6624">
        <w:rPr>
          <w:rFonts w:ascii="Arial" w:hAnsi="Arial" w:cs="Arial"/>
          <w:i/>
        </w:rPr>
        <w:t>Price Sensitivity</w:t>
      </w:r>
      <w:r w:rsidR="003E6624">
        <w:rPr>
          <w:rFonts w:ascii="Arial" w:hAnsi="Arial" w:cs="Arial"/>
          <w:i/>
        </w:rPr>
        <w:t xml:space="preserve">, and </w:t>
      </w:r>
      <w:r w:rsidR="003E6624" w:rsidRPr="003E6624">
        <w:rPr>
          <w:rFonts w:ascii="Arial" w:hAnsi="Arial" w:cs="Arial"/>
          <w:i/>
        </w:rPr>
        <w:t xml:space="preserve">Farmer </w:t>
      </w:r>
      <w:r w:rsidR="00A32CB8" w:rsidRPr="003E6624">
        <w:rPr>
          <w:rFonts w:ascii="Arial" w:hAnsi="Arial" w:cs="Arial"/>
          <w:i/>
        </w:rPr>
        <w:t>Awareness</w:t>
      </w:r>
    </w:p>
    <w:p w14:paraId="1B9B1934" w14:textId="2C6561E8" w:rsidR="0028103D" w:rsidRPr="0028103D" w:rsidRDefault="0028103D" w:rsidP="0028103D">
      <w:pPr>
        <w:pStyle w:val="AbstHead"/>
        <w:spacing w:after="0"/>
        <w:jc w:val="both"/>
        <w:rPr>
          <w:rFonts w:ascii="Arial" w:hAnsi="Arial" w:cs="Arial"/>
        </w:rPr>
      </w:pPr>
      <w:r w:rsidRPr="0028103D">
        <w:rPr>
          <w:rFonts w:ascii="Arial" w:hAnsi="Arial" w:cs="Arial"/>
          <w:bCs/>
          <w:caps w:val="0"/>
        </w:rPr>
        <w:t>1</w:t>
      </w:r>
      <w:r w:rsidRPr="0028103D">
        <w:rPr>
          <w:rFonts w:ascii="Arial" w:hAnsi="Arial" w:cs="Arial"/>
          <w:b w:val="0"/>
          <w:caps w:val="0"/>
        </w:rPr>
        <w:t>.</w:t>
      </w:r>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3140FE75" w14:textId="39909E6B" w:rsidR="002B3579" w:rsidRPr="00E71FA4" w:rsidRDefault="002B3579" w:rsidP="002B3579">
      <w:pPr>
        <w:pStyle w:val="AbstHead"/>
        <w:jc w:val="both"/>
        <w:rPr>
          <w:rFonts w:ascii="Arial" w:hAnsi="Arial" w:cs="Arial"/>
          <w:b w:val="0"/>
          <w:bCs/>
          <w:caps w:val="0"/>
          <w:lang w:val="en-IN"/>
        </w:rPr>
      </w:pPr>
      <w:r w:rsidRPr="00E71FA4">
        <w:rPr>
          <w:rFonts w:ascii="Arial" w:hAnsi="Arial" w:cs="Arial"/>
          <w:b w:val="0"/>
          <w:bCs/>
          <w:caps w:val="0"/>
          <w:lang w:val="en-IN"/>
        </w:rPr>
        <w:t>Agriculture in India transcends its role as a mere economic pursuit—it is deeply woven into the social and cultural fabric of rural life. Within this expansive sector, the choice of seeds is a critical determinant of agricultural success, directly impacting crop yield, quality, and overall profitability. Among the wide array of crops cultivated nationwide, coriander (Coriandrum sativum) occupies a distinctive position due to its versatile use as both a spice and a leafy green.</w:t>
      </w:r>
      <w:r w:rsidR="00B50D09" w:rsidRPr="00E71FA4">
        <w:rPr>
          <w:rFonts w:ascii="Arial" w:hAnsi="Arial" w:cs="Arial"/>
          <w:b w:val="0"/>
          <w:bCs/>
          <w:caps w:val="0"/>
          <w:lang w:val="en-IN"/>
        </w:rPr>
        <w:t xml:space="preserve"> India is the top producer, consumer, and exporter of coriander, holding around 67.57 percent of the global market share in 2021 (Anon</w:t>
      </w:r>
      <w:r w:rsidR="00A52EDB" w:rsidRPr="00E71FA4">
        <w:rPr>
          <w:rFonts w:ascii="Arial" w:hAnsi="Arial" w:cs="Arial"/>
          <w:b w:val="0"/>
          <w:bCs/>
          <w:caps w:val="0"/>
          <w:lang w:val="en-IN"/>
        </w:rPr>
        <w:t>.</w:t>
      </w:r>
      <w:r w:rsidR="00B50D09" w:rsidRPr="00E71FA4">
        <w:rPr>
          <w:rFonts w:ascii="Arial" w:hAnsi="Arial" w:cs="Arial"/>
          <w:b w:val="0"/>
          <w:bCs/>
          <w:caps w:val="0"/>
          <w:lang w:val="en-IN"/>
        </w:rPr>
        <w:t>, 2022). The major coriander growing states are Madhya Pradesh, Gujarat, Rajasthan, Assam, Odisha and West Bengal. Gujarat is particularly significant, ranking second in both the area dedicated to coriander cultivation and the volume of production. During the 2022–23 season, Gujarat allocated 2.17 lakh hectares to coriander farming, resulting in a production of 3.13 lakh metric tons (Anon</w:t>
      </w:r>
      <w:r w:rsidR="0046731D" w:rsidRPr="00E71FA4">
        <w:rPr>
          <w:rFonts w:ascii="Arial" w:hAnsi="Arial" w:cs="Arial"/>
          <w:b w:val="0"/>
          <w:bCs/>
          <w:caps w:val="0"/>
          <w:lang w:val="en-IN"/>
        </w:rPr>
        <w:t>.</w:t>
      </w:r>
      <w:r w:rsidR="00B50D09" w:rsidRPr="00E71FA4">
        <w:rPr>
          <w:rFonts w:ascii="Arial" w:hAnsi="Arial" w:cs="Arial"/>
          <w:b w:val="0"/>
          <w:bCs/>
          <w:caps w:val="0"/>
          <w:lang w:val="en-IN"/>
        </w:rPr>
        <w:t>, 2023).</w:t>
      </w:r>
      <w:r w:rsidR="00983D70" w:rsidRPr="00E71FA4">
        <w:rPr>
          <w:rFonts w:ascii="Arial" w:hAnsi="Arial" w:cs="Arial"/>
          <w:b w:val="0"/>
          <w:bCs/>
          <w:caps w:val="0"/>
          <w:lang w:val="en-IN"/>
        </w:rPr>
        <w:t xml:space="preserve"> The growth and instability of coriander in Gujarat from 2002-03 to 2021-22 was found in increasing pattern (</w:t>
      </w:r>
      <w:r w:rsidR="001B4EF0" w:rsidRPr="00E71FA4">
        <w:rPr>
          <w:rFonts w:ascii="Arial" w:hAnsi="Arial" w:cs="Arial"/>
          <w:b w:val="0"/>
          <w:bCs/>
          <w:caps w:val="0"/>
          <w:lang w:val="en-IN"/>
        </w:rPr>
        <w:t xml:space="preserve">Bhimani et al. 2025; </w:t>
      </w:r>
      <w:proofErr w:type="spellStart"/>
      <w:r w:rsidR="0046731D" w:rsidRPr="00E71FA4">
        <w:rPr>
          <w:rFonts w:ascii="Arial" w:hAnsi="Arial" w:cs="Arial"/>
          <w:b w:val="0"/>
          <w:bCs/>
          <w:caps w:val="0"/>
          <w:lang w:val="en-IN"/>
        </w:rPr>
        <w:t>Oganja</w:t>
      </w:r>
      <w:proofErr w:type="spellEnd"/>
      <w:r w:rsidR="0046731D" w:rsidRPr="00E71FA4">
        <w:rPr>
          <w:rFonts w:ascii="Arial" w:hAnsi="Arial" w:cs="Arial"/>
          <w:b w:val="0"/>
          <w:bCs/>
          <w:caps w:val="0"/>
          <w:lang w:val="en-IN"/>
        </w:rPr>
        <w:t xml:space="preserve"> et al.</w:t>
      </w:r>
      <w:r w:rsidR="00CA0540" w:rsidRPr="00E71FA4">
        <w:rPr>
          <w:rFonts w:ascii="Arial" w:hAnsi="Arial" w:cs="Arial"/>
          <w:b w:val="0"/>
          <w:bCs/>
          <w:caps w:val="0"/>
          <w:lang w:val="en-IN"/>
        </w:rPr>
        <w:t>,</w:t>
      </w:r>
      <w:r w:rsidR="0046731D" w:rsidRPr="00E71FA4">
        <w:rPr>
          <w:rFonts w:ascii="Arial" w:hAnsi="Arial" w:cs="Arial"/>
          <w:b w:val="0"/>
          <w:bCs/>
          <w:caps w:val="0"/>
          <w:lang w:val="en-IN"/>
        </w:rPr>
        <w:t xml:space="preserve"> 2024</w:t>
      </w:r>
      <w:r w:rsidR="003B634B">
        <w:rPr>
          <w:rFonts w:ascii="Arial" w:hAnsi="Arial" w:cs="Arial"/>
          <w:b w:val="0"/>
          <w:bCs/>
          <w:caps w:val="0"/>
          <w:lang w:val="en-IN"/>
        </w:rPr>
        <w:t>a</w:t>
      </w:r>
      <w:r w:rsidR="0046731D" w:rsidRPr="00E71FA4">
        <w:rPr>
          <w:rFonts w:ascii="Arial" w:hAnsi="Arial" w:cs="Arial"/>
          <w:b w:val="0"/>
          <w:bCs/>
          <w:caps w:val="0"/>
          <w:lang w:val="en-IN"/>
        </w:rPr>
        <w:t xml:space="preserve">; </w:t>
      </w:r>
      <w:proofErr w:type="spellStart"/>
      <w:r w:rsidR="001B4EF0" w:rsidRPr="00E71FA4">
        <w:rPr>
          <w:rFonts w:ascii="Arial" w:hAnsi="Arial" w:cs="Arial"/>
          <w:b w:val="0"/>
          <w:bCs/>
          <w:caps w:val="0"/>
          <w:lang w:val="en-IN"/>
        </w:rPr>
        <w:t>Ghadiya</w:t>
      </w:r>
      <w:proofErr w:type="spellEnd"/>
      <w:r w:rsidR="001B4EF0" w:rsidRPr="00E71FA4">
        <w:rPr>
          <w:rFonts w:ascii="Arial" w:hAnsi="Arial" w:cs="Arial"/>
          <w:b w:val="0"/>
          <w:bCs/>
          <w:caps w:val="0"/>
          <w:lang w:val="en-IN"/>
        </w:rPr>
        <w:t xml:space="preserve"> &amp; </w:t>
      </w:r>
      <w:proofErr w:type="spellStart"/>
      <w:r w:rsidR="001B4EF0" w:rsidRPr="00E71FA4">
        <w:rPr>
          <w:rFonts w:ascii="Arial" w:hAnsi="Arial" w:cs="Arial"/>
          <w:b w:val="0"/>
          <w:bCs/>
          <w:caps w:val="0"/>
          <w:lang w:val="en-IN"/>
        </w:rPr>
        <w:t>Maheta</w:t>
      </w:r>
      <w:proofErr w:type="spellEnd"/>
      <w:r w:rsidR="00CA0540" w:rsidRPr="00E71FA4">
        <w:rPr>
          <w:rFonts w:ascii="Arial" w:hAnsi="Arial" w:cs="Arial"/>
          <w:b w:val="0"/>
          <w:bCs/>
          <w:caps w:val="0"/>
          <w:lang w:val="en-IN"/>
        </w:rPr>
        <w:t>,</w:t>
      </w:r>
      <w:r w:rsidR="001B4EF0" w:rsidRPr="00E71FA4">
        <w:rPr>
          <w:rFonts w:ascii="Arial" w:hAnsi="Arial" w:cs="Arial"/>
          <w:b w:val="0"/>
          <w:bCs/>
          <w:caps w:val="0"/>
          <w:lang w:val="en-IN"/>
        </w:rPr>
        <w:t xml:space="preserve"> 2018)</w:t>
      </w:r>
      <w:r w:rsidR="0046731D" w:rsidRPr="00E71FA4">
        <w:rPr>
          <w:rFonts w:ascii="Arial" w:hAnsi="Arial" w:cs="Arial"/>
          <w:b w:val="0"/>
          <w:bCs/>
          <w:caps w:val="0"/>
          <w:lang w:val="en-IN"/>
        </w:rPr>
        <w:t>.</w:t>
      </w:r>
    </w:p>
    <w:p w14:paraId="21A0E074" w14:textId="593C0B48" w:rsidR="0046731D" w:rsidRPr="00E71FA4" w:rsidRDefault="0046731D" w:rsidP="0046731D">
      <w:pPr>
        <w:pStyle w:val="AbstHead"/>
        <w:spacing w:after="0"/>
        <w:jc w:val="both"/>
        <w:rPr>
          <w:rFonts w:ascii="Arial" w:hAnsi="Arial" w:cs="Arial"/>
          <w:b w:val="0"/>
          <w:bCs/>
          <w:caps w:val="0"/>
          <w:lang w:val="en-IN"/>
        </w:rPr>
      </w:pPr>
      <w:r w:rsidRPr="00E71FA4">
        <w:rPr>
          <w:rFonts w:ascii="Arial" w:hAnsi="Arial" w:cs="Arial"/>
          <w:b w:val="0"/>
          <w:bCs/>
          <w:caps w:val="0"/>
          <w:lang w:val="en-IN"/>
        </w:rPr>
        <w:t xml:space="preserve">In India, the seed industry has grown steadily over the last four decades and is now the fifth largest in the world, valued at more than Rs. 2500 crores (Singh </w:t>
      </w:r>
      <w:r w:rsidRPr="00E71FA4">
        <w:rPr>
          <w:rFonts w:ascii="Arial" w:hAnsi="Arial" w:cs="Arial"/>
          <w:b w:val="0"/>
          <w:bCs/>
          <w:i/>
          <w:iCs/>
          <w:caps w:val="0"/>
          <w:lang w:val="en-IN"/>
        </w:rPr>
        <w:t>et al.,</w:t>
      </w:r>
      <w:r w:rsidR="00CA0540" w:rsidRPr="00E71FA4">
        <w:rPr>
          <w:rFonts w:ascii="Arial" w:hAnsi="Arial" w:cs="Arial"/>
          <w:b w:val="0"/>
          <w:bCs/>
          <w:caps w:val="0"/>
          <w:lang w:val="en-IN"/>
        </w:rPr>
        <w:t xml:space="preserve"> 2019; Nariya et al., 2024</w:t>
      </w:r>
      <w:r w:rsidRPr="00E71FA4">
        <w:rPr>
          <w:rFonts w:ascii="Arial" w:hAnsi="Arial" w:cs="Arial"/>
          <w:b w:val="0"/>
          <w:bCs/>
          <w:caps w:val="0"/>
          <w:lang w:val="en-IN"/>
        </w:rPr>
        <w:t xml:space="preserve">). The rapid rise in seed replacement rates, preference for hybrid seeds, and the entry of private and multinational companies have transformed farmers’ purchasing patterns (Singh </w:t>
      </w:r>
      <w:r w:rsidRPr="00E71FA4">
        <w:rPr>
          <w:rFonts w:ascii="Arial" w:hAnsi="Arial" w:cs="Arial"/>
          <w:b w:val="0"/>
          <w:bCs/>
          <w:i/>
          <w:iCs/>
          <w:caps w:val="0"/>
          <w:lang w:val="en-IN"/>
        </w:rPr>
        <w:t>et al.,</w:t>
      </w:r>
      <w:r w:rsidRPr="00E71FA4">
        <w:rPr>
          <w:rFonts w:ascii="Arial" w:hAnsi="Arial" w:cs="Arial"/>
          <w:b w:val="0"/>
          <w:bCs/>
          <w:caps w:val="0"/>
          <w:lang w:val="en-IN"/>
        </w:rPr>
        <w:t xml:space="preserve"> 2019</w:t>
      </w:r>
      <w:r w:rsidR="001818F6" w:rsidRPr="00E71FA4">
        <w:rPr>
          <w:rFonts w:ascii="Arial" w:hAnsi="Arial" w:cs="Arial"/>
          <w:b w:val="0"/>
          <w:bCs/>
          <w:caps w:val="0"/>
          <w:lang w:val="en-IN"/>
        </w:rPr>
        <w:t xml:space="preserve">; Sathish et al., 2022; </w:t>
      </w:r>
      <w:proofErr w:type="spellStart"/>
      <w:r w:rsidR="001818F6" w:rsidRPr="00E71FA4">
        <w:rPr>
          <w:rFonts w:ascii="Arial" w:hAnsi="Arial" w:cs="Arial"/>
          <w:b w:val="0"/>
          <w:bCs/>
          <w:caps w:val="0"/>
          <w:lang w:val="en-IN"/>
        </w:rPr>
        <w:t>Oganja</w:t>
      </w:r>
      <w:proofErr w:type="spellEnd"/>
      <w:r w:rsidR="001818F6" w:rsidRPr="00E71FA4">
        <w:rPr>
          <w:rFonts w:ascii="Arial" w:hAnsi="Arial" w:cs="Arial"/>
          <w:b w:val="0"/>
          <w:bCs/>
          <w:caps w:val="0"/>
          <w:lang w:val="en-IN"/>
        </w:rPr>
        <w:t xml:space="preserve"> et </w:t>
      </w:r>
      <w:r w:rsidR="001818F6" w:rsidRPr="00E71FA4">
        <w:rPr>
          <w:rFonts w:ascii="Arial" w:hAnsi="Arial" w:cs="Arial"/>
          <w:b w:val="0"/>
          <w:bCs/>
          <w:caps w:val="0"/>
          <w:lang w:val="en-IN"/>
        </w:rPr>
        <w:lastRenderedPageBreak/>
        <w:t>al.,2024</w:t>
      </w:r>
      <w:r w:rsidR="003B634B">
        <w:rPr>
          <w:rFonts w:ascii="Arial" w:hAnsi="Arial" w:cs="Arial"/>
          <w:b w:val="0"/>
          <w:bCs/>
          <w:caps w:val="0"/>
          <w:lang w:val="en-IN"/>
        </w:rPr>
        <w:t>b</w:t>
      </w:r>
      <w:r w:rsidRPr="00E71FA4">
        <w:rPr>
          <w:rFonts w:ascii="Arial" w:hAnsi="Arial" w:cs="Arial"/>
          <w:b w:val="0"/>
          <w:bCs/>
          <w:caps w:val="0"/>
          <w:lang w:val="en-IN"/>
        </w:rPr>
        <w:t>). Farmers now have multiple choices, but this also increases competition among seed companies.</w:t>
      </w:r>
    </w:p>
    <w:p w14:paraId="2C9F8DD1" w14:textId="77777777" w:rsidR="0046731D" w:rsidRPr="00E71FA4" w:rsidRDefault="0046731D" w:rsidP="002B3579">
      <w:pPr>
        <w:pStyle w:val="AbstHead"/>
        <w:jc w:val="both"/>
        <w:rPr>
          <w:rFonts w:ascii="Arial" w:hAnsi="Arial" w:cs="Arial"/>
          <w:b w:val="0"/>
          <w:bCs/>
          <w:caps w:val="0"/>
          <w:lang w:val="en-IN"/>
        </w:rPr>
      </w:pPr>
    </w:p>
    <w:p w14:paraId="7E9623C6" w14:textId="26825CCB" w:rsidR="002B3579" w:rsidRPr="00E71FA4" w:rsidRDefault="002B3579" w:rsidP="008C7B7D">
      <w:pPr>
        <w:pStyle w:val="AbstHead"/>
        <w:jc w:val="both"/>
        <w:rPr>
          <w:rFonts w:ascii="Arial" w:hAnsi="Arial" w:cs="Arial"/>
          <w:b w:val="0"/>
          <w:bCs/>
          <w:caps w:val="0"/>
          <w:lang w:val="en-IN"/>
        </w:rPr>
      </w:pPr>
      <w:r w:rsidRPr="00E71FA4">
        <w:rPr>
          <w:rFonts w:ascii="Arial" w:hAnsi="Arial" w:cs="Arial"/>
          <w:b w:val="0"/>
          <w:bCs/>
          <w:caps w:val="0"/>
          <w:lang w:val="en-IN"/>
        </w:rPr>
        <w:t>In the state of Gujarat, and more specifically in the Junagadh district, coriander cultivation is widespread, reflecting its importance not only as a commercial commodity but also as a staple in local diets and traditions.</w:t>
      </w:r>
      <w:r w:rsidR="00B00181" w:rsidRPr="00E71FA4">
        <w:rPr>
          <w:rFonts w:ascii="Arial" w:hAnsi="Arial" w:cs="Arial"/>
          <w:b w:val="0"/>
          <w:bCs/>
          <w:caps w:val="0"/>
          <w:lang w:val="en-IN"/>
        </w:rPr>
        <w:t xml:space="preserve"> </w:t>
      </w:r>
      <w:r w:rsidRPr="00E71FA4">
        <w:rPr>
          <w:rFonts w:ascii="Arial" w:hAnsi="Arial" w:cs="Arial"/>
          <w:b w:val="0"/>
          <w:bCs/>
          <w:caps w:val="0"/>
          <w:lang w:val="en-IN"/>
        </w:rPr>
        <w:t xml:space="preserve">Junagadh district, located in the Saurashtra region of Gujarat, is known for its diverse </w:t>
      </w:r>
      <w:proofErr w:type="spellStart"/>
      <w:r w:rsidRPr="00E71FA4">
        <w:rPr>
          <w:rFonts w:ascii="Arial" w:hAnsi="Arial" w:cs="Arial"/>
          <w:b w:val="0"/>
          <w:bCs/>
          <w:caps w:val="0"/>
          <w:lang w:val="en-IN"/>
        </w:rPr>
        <w:t>agro</w:t>
      </w:r>
      <w:proofErr w:type="spellEnd"/>
      <w:r w:rsidRPr="00E71FA4">
        <w:rPr>
          <w:rFonts w:ascii="Arial" w:hAnsi="Arial" w:cs="Arial"/>
          <w:b w:val="0"/>
          <w:bCs/>
          <w:caps w:val="0"/>
          <w:lang w:val="en-IN"/>
        </w:rPr>
        <w:t xml:space="preserve">-climatic conditions and progressive farming practices. Farmers here are </w:t>
      </w:r>
      <w:r w:rsidR="00B00181" w:rsidRPr="00E71FA4">
        <w:rPr>
          <w:rFonts w:ascii="Arial" w:hAnsi="Arial" w:cs="Arial"/>
          <w:b w:val="0"/>
          <w:bCs/>
          <w:caps w:val="0"/>
          <w:lang w:val="en-IN"/>
        </w:rPr>
        <w:t>adopting</w:t>
      </w:r>
      <w:r w:rsidRPr="00E71FA4">
        <w:rPr>
          <w:rFonts w:ascii="Arial" w:hAnsi="Arial" w:cs="Arial"/>
          <w:b w:val="0"/>
          <w:bCs/>
          <w:caps w:val="0"/>
          <w:lang w:val="en-IN"/>
        </w:rPr>
        <w:t xml:space="preserve"> to modern agricultural </w:t>
      </w:r>
      <w:r w:rsidR="00B00181" w:rsidRPr="00E71FA4">
        <w:rPr>
          <w:rFonts w:ascii="Arial" w:hAnsi="Arial" w:cs="Arial"/>
          <w:b w:val="0"/>
          <w:bCs/>
          <w:caps w:val="0"/>
          <w:lang w:val="en-IN"/>
        </w:rPr>
        <w:t>practice (</w:t>
      </w:r>
      <w:r w:rsidR="008C7B7D" w:rsidRPr="00E71FA4">
        <w:rPr>
          <w:rFonts w:ascii="Arial" w:hAnsi="Arial" w:cs="Arial"/>
          <w:b w:val="0"/>
          <w:bCs/>
          <w:caps w:val="0"/>
          <w:lang w:val="en-IN"/>
        </w:rPr>
        <w:t xml:space="preserve">Rohit et al., 2015; Parmar et al., 2024; </w:t>
      </w:r>
      <w:proofErr w:type="spellStart"/>
      <w:r w:rsidR="008C7B7D" w:rsidRPr="00E71FA4">
        <w:rPr>
          <w:rFonts w:ascii="Arial" w:hAnsi="Arial" w:cs="Arial"/>
          <w:b w:val="0"/>
          <w:bCs/>
          <w:caps w:val="0"/>
          <w:lang w:val="en-IN"/>
        </w:rPr>
        <w:t>Pithiya</w:t>
      </w:r>
      <w:proofErr w:type="spellEnd"/>
      <w:r w:rsidR="008C7B7D" w:rsidRPr="00E71FA4">
        <w:rPr>
          <w:rFonts w:ascii="Arial" w:hAnsi="Arial" w:cs="Arial"/>
          <w:b w:val="0"/>
          <w:bCs/>
          <w:caps w:val="0"/>
          <w:lang w:val="en-IN"/>
        </w:rPr>
        <w:t xml:space="preserve"> et al., 2024</w:t>
      </w:r>
      <w:r w:rsidR="003B634B">
        <w:rPr>
          <w:rFonts w:ascii="Arial" w:hAnsi="Arial" w:cs="Arial"/>
          <w:b w:val="0"/>
          <w:bCs/>
          <w:caps w:val="0"/>
          <w:lang w:val="en-IN"/>
        </w:rPr>
        <w:t>a</w:t>
      </w:r>
      <w:r w:rsidR="008C7B7D" w:rsidRPr="00E71FA4">
        <w:rPr>
          <w:rFonts w:ascii="Arial" w:hAnsi="Arial" w:cs="Arial"/>
          <w:b w:val="0"/>
          <w:bCs/>
          <w:caps w:val="0"/>
          <w:lang w:val="en-IN"/>
        </w:rPr>
        <w:t>;</w:t>
      </w:r>
      <w:r w:rsidR="008C7B7D" w:rsidRPr="00E71FA4">
        <w:t xml:space="preserve"> </w:t>
      </w:r>
      <w:r w:rsidR="008C7B7D" w:rsidRPr="00E71FA4">
        <w:rPr>
          <w:rFonts w:ascii="Arial" w:hAnsi="Arial" w:cs="Arial"/>
          <w:b w:val="0"/>
          <w:bCs/>
          <w:caps w:val="0"/>
          <w:lang w:val="en-IN"/>
        </w:rPr>
        <w:t>Kumar et al., 2024</w:t>
      </w:r>
      <w:r w:rsidR="003B634B">
        <w:rPr>
          <w:rFonts w:ascii="Arial" w:hAnsi="Arial" w:cs="Arial"/>
          <w:b w:val="0"/>
          <w:bCs/>
          <w:caps w:val="0"/>
          <w:lang w:val="en-IN"/>
        </w:rPr>
        <w:t>a</w:t>
      </w:r>
      <w:r w:rsidR="008C7B7D" w:rsidRPr="00E71FA4">
        <w:rPr>
          <w:rFonts w:ascii="Arial" w:hAnsi="Arial" w:cs="Arial"/>
          <w:b w:val="0"/>
          <w:bCs/>
          <w:caps w:val="0"/>
          <w:lang w:val="en-IN"/>
        </w:rPr>
        <w:t>)</w:t>
      </w:r>
      <w:r w:rsidRPr="00E71FA4">
        <w:rPr>
          <w:rFonts w:ascii="Arial" w:hAnsi="Arial" w:cs="Arial"/>
          <w:b w:val="0"/>
          <w:bCs/>
          <w:caps w:val="0"/>
          <w:lang w:val="en-IN"/>
        </w:rPr>
        <w:t xml:space="preserve"> yet their </w:t>
      </w:r>
      <w:r w:rsidR="008C7B7D" w:rsidRPr="00E71FA4">
        <w:rPr>
          <w:rFonts w:ascii="Arial" w:hAnsi="Arial" w:cs="Arial"/>
          <w:b w:val="0"/>
          <w:bCs/>
          <w:caps w:val="0"/>
          <w:lang w:val="en-IN"/>
        </w:rPr>
        <w:t>adoption</w:t>
      </w:r>
      <w:r w:rsidRPr="00E71FA4">
        <w:rPr>
          <w:rFonts w:ascii="Arial" w:hAnsi="Arial" w:cs="Arial"/>
          <w:b w:val="0"/>
          <w:bCs/>
          <w:caps w:val="0"/>
          <w:lang w:val="en-IN"/>
        </w:rPr>
        <w:t xml:space="preserve"> remain deeply influenced by traditional knowledge, peer networks, and local market dynamics. Understanding the purchasing </w:t>
      </w:r>
      <w:proofErr w:type="spellStart"/>
      <w:r w:rsidRPr="00E71FA4">
        <w:rPr>
          <w:rFonts w:ascii="Arial" w:hAnsi="Arial" w:cs="Arial"/>
          <w:b w:val="0"/>
          <w:bCs/>
          <w:caps w:val="0"/>
          <w:lang w:val="en-IN"/>
        </w:rPr>
        <w:t>behavior</w:t>
      </w:r>
      <w:proofErr w:type="spellEnd"/>
      <w:r w:rsidRPr="00E71FA4">
        <w:rPr>
          <w:rFonts w:ascii="Arial" w:hAnsi="Arial" w:cs="Arial"/>
          <w:b w:val="0"/>
          <w:bCs/>
          <w:caps w:val="0"/>
          <w:lang w:val="en-IN"/>
        </w:rPr>
        <w:t xml:space="preserve"> of farmers—specifically toward coriander seeds—can offer valuable insights into how agricultural products are adopted, what factors drive decision-making, and how</w:t>
      </w:r>
      <w:r w:rsidR="000379C1" w:rsidRPr="00E71FA4">
        <w:rPr>
          <w:rFonts w:ascii="Arial" w:hAnsi="Arial" w:cs="Arial"/>
          <w:b w:val="0"/>
          <w:bCs/>
          <w:caps w:val="0"/>
          <w:lang w:val="en-IN"/>
        </w:rPr>
        <w:t xml:space="preserve"> </w:t>
      </w:r>
      <w:r w:rsidRPr="00E71FA4">
        <w:rPr>
          <w:rFonts w:ascii="Arial" w:hAnsi="Arial" w:cs="Arial"/>
          <w:b w:val="0"/>
          <w:bCs/>
          <w:caps w:val="0"/>
          <w:lang w:val="en-IN"/>
        </w:rPr>
        <w:t>seed</w:t>
      </w:r>
      <w:r w:rsidR="000379C1" w:rsidRPr="00E71FA4">
        <w:rPr>
          <w:rFonts w:ascii="Arial" w:hAnsi="Arial" w:cs="Arial"/>
          <w:b w:val="0"/>
          <w:bCs/>
          <w:caps w:val="0"/>
          <w:lang w:val="en-IN"/>
        </w:rPr>
        <w:t xml:space="preserve"> </w:t>
      </w:r>
      <w:r w:rsidRPr="00E71FA4">
        <w:rPr>
          <w:rFonts w:ascii="Arial" w:hAnsi="Arial" w:cs="Arial"/>
          <w:b w:val="0"/>
          <w:bCs/>
          <w:caps w:val="0"/>
          <w:lang w:val="en-IN"/>
        </w:rPr>
        <w:t>companies and policymakers can better serve rural communities</w:t>
      </w:r>
      <w:r w:rsidR="008C7B7D" w:rsidRPr="00E71FA4">
        <w:rPr>
          <w:rFonts w:ascii="Arial" w:hAnsi="Arial" w:cs="Arial"/>
          <w:b w:val="0"/>
          <w:bCs/>
          <w:caps w:val="0"/>
          <w:lang w:val="en-IN"/>
        </w:rPr>
        <w:t xml:space="preserve"> (</w:t>
      </w:r>
      <w:r w:rsidR="000379C1" w:rsidRPr="00E71FA4">
        <w:rPr>
          <w:rFonts w:ascii="Arial" w:hAnsi="Arial" w:cs="Arial"/>
          <w:b w:val="0"/>
          <w:bCs/>
          <w:caps w:val="0"/>
          <w:lang w:val="en-IN"/>
        </w:rPr>
        <w:t xml:space="preserve">Sathish et al., 2019; </w:t>
      </w:r>
      <w:proofErr w:type="spellStart"/>
      <w:r w:rsidR="000379C1" w:rsidRPr="00E71FA4">
        <w:rPr>
          <w:rFonts w:ascii="Arial" w:hAnsi="Arial" w:cs="Arial"/>
          <w:b w:val="0"/>
          <w:bCs/>
          <w:caps w:val="0"/>
          <w:lang w:val="en-IN"/>
        </w:rPr>
        <w:t>Pithiya</w:t>
      </w:r>
      <w:proofErr w:type="spellEnd"/>
      <w:r w:rsidR="000379C1" w:rsidRPr="00E71FA4">
        <w:rPr>
          <w:rFonts w:ascii="Arial" w:hAnsi="Arial" w:cs="Arial"/>
          <w:b w:val="0"/>
          <w:bCs/>
          <w:caps w:val="0"/>
          <w:lang w:val="en-IN"/>
        </w:rPr>
        <w:t xml:space="preserve"> et al., 2024;</w:t>
      </w:r>
      <w:r w:rsidR="000379C1" w:rsidRPr="00E71FA4">
        <w:t xml:space="preserve"> </w:t>
      </w:r>
      <w:r w:rsidR="000379C1" w:rsidRPr="00E71FA4">
        <w:rPr>
          <w:rFonts w:ascii="Arial" w:hAnsi="Arial" w:cs="Arial"/>
          <w:b w:val="0"/>
          <w:bCs/>
          <w:caps w:val="0"/>
          <w:lang w:val="en-IN"/>
        </w:rPr>
        <w:t>Kumar et al., 2024</w:t>
      </w:r>
      <w:r w:rsidR="003B634B">
        <w:rPr>
          <w:rFonts w:ascii="Arial" w:hAnsi="Arial" w:cs="Arial"/>
          <w:b w:val="0"/>
          <w:bCs/>
          <w:caps w:val="0"/>
          <w:lang w:val="en-IN"/>
        </w:rPr>
        <w:t>b</w:t>
      </w:r>
      <w:r w:rsidR="000379C1" w:rsidRPr="00E71FA4">
        <w:rPr>
          <w:rFonts w:ascii="Arial" w:hAnsi="Arial" w:cs="Arial"/>
          <w:b w:val="0"/>
          <w:bCs/>
          <w:caps w:val="0"/>
          <w:lang w:val="en-IN"/>
        </w:rPr>
        <w:t>)</w:t>
      </w:r>
      <w:r w:rsidRPr="00E71FA4">
        <w:rPr>
          <w:rFonts w:ascii="Arial" w:hAnsi="Arial" w:cs="Arial"/>
          <w:b w:val="0"/>
          <w:bCs/>
          <w:caps w:val="0"/>
          <w:lang w:val="en-IN"/>
        </w:rPr>
        <w:t>.</w:t>
      </w:r>
    </w:p>
    <w:p w14:paraId="60E7514C" w14:textId="620918D3" w:rsidR="002B3579" w:rsidRPr="00E71FA4" w:rsidRDefault="002B3579" w:rsidP="002B3579">
      <w:pPr>
        <w:pStyle w:val="AbstHead"/>
        <w:jc w:val="both"/>
        <w:rPr>
          <w:rFonts w:ascii="Arial" w:hAnsi="Arial" w:cs="Arial"/>
          <w:b w:val="0"/>
          <w:bCs/>
          <w:caps w:val="0"/>
          <w:lang w:val="en-IN"/>
        </w:rPr>
      </w:pPr>
      <w:r w:rsidRPr="00E71FA4">
        <w:rPr>
          <w:rFonts w:ascii="Arial" w:hAnsi="Arial" w:cs="Arial"/>
          <w:b w:val="0"/>
          <w:bCs/>
          <w:caps w:val="0"/>
          <w:lang w:val="en-IN"/>
        </w:rPr>
        <w:t xml:space="preserve">Purchasing </w:t>
      </w:r>
      <w:proofErr w:type="spellStart"/>
      <w:r w:rsidRPr="00E71FA4">
        <w:rPr>
          <w:rFonts w:ascii="Arial" w:hAnsi="Arial" w:cs="Arial"/>
          <w:b w:val="0"/>
          <w:bCs/>
          <w:caps w:val="0"/>
          <w:lang w:val="en-IN"/>
        </w:rPr>
        <w:t>behavior</w:t>
      </w:r>
      <w:proofErr w:type="spellEnd"/>
      <w:r w:rsidRPr="00E71FA4">
        <w:rPr>
          <w:rFonts w:ascii="Arial" w:hAnsi="Arial" w:cs="Arial"/>
          <w:b w:val="0"/>
          <w:bCs/>
          <w:caps w:val="0"/>
          <w:lang w:val="en-IN"/>
        </w:rPr>
        <w:t xml:space="preserve"> in agriculture is shaped by a complex interplay of factors including price</w:t>
      </w:r>
      <w:r w:rsidR="00AB2357" w:rsidRPr="00E71FA4">
        <w:rPr>
          <w:rFonts w:ascii="Arial" w:hAnsi="Arial" w:cs="Arial"/>
          <w:b w:val="0"/>
          <w:bCs/>
          <w:caps w:val="0"/>
          <w:lang w:val="en-IN"/>
        </w:rPr>
        <w:t xml:space="preserve"> as the farmers received low prices due to poorly structured marketing system (</w:t>
      </w:r>
      <w:proofErr w:type="spellStart"/>
      <w:r w:rsidR="00AB2357" w:rsidRPr="00E71FA4">
        <w:rPr>
          <w:rFonts w:ascii="Arial" w:hAnsi="Arial" w:cs="Arial"/>
          <w:b w:val="0"/>
          <w:bCs/>
          <w:caps w:val="0"/>
          <w:lang w:val="en-IN"/>
        </w:rPr>
        <w:t>Kormla</w:t>
      </w:r>
      <w:proofErr w:type="spellEnd"/>
      <w:r w:rsidR="00AB2357" w:rsidRPr="00E71FA4">
        <w:rPr>
          <w:rFonts w:ascii="Arial" w:hAnsi="Arial" w:cs="Arial"/>
          <w:b w:val="0"/>
          <w:bCs/>
          <w:caps w:val="0"/>
          <w:lang w:val="en-IN"/>
        </w:rPr>
        <w:t xml:space="preserve"> et al., 2015; </w:t>
      </w:r>
      <w:proofErr w:type="spellStart"/>
      <w:r w:rsidR="00AB2357" w:rsidRPr="00E71FA4">
        <w:rPr>
          <w:rFonts w:ascii="Arial" w:hAnsi="Arial" w:cs="Arial"/>
          <w:b w:val="0"/>
          <w:bCs/>
          <w:caps w:val="0"/>
          <w:lang w:val="en-IN"/>
        </w:rPr>
        <w:t>Katariya</w:t>
      </w:r>
      <w:proofErr w:type="spellEnd"/>
      <w:r w:rsidR="00AB2357" w:rsidRPr="00E71FA4">
        <w:rPr>
          <w:rFonts w:ascii="Arial" w:hAnsi="Arial" w:cs="Arial"/>
          <w:b w:val="0"/>
          <w:bCs/>
          <w:caps w:val="0"/>
          <w:lang w:val="en-IN"/>
        </w:rPr>
        <w:t xml:space="preserve"> et al.,2016; </w:t>
      </w:r>
      <w:proofErr w:type="spellStart"/>
      <w:r w:rsidR="00AB2357" w:rsidRPr="00E71FA4">
        <w:rPr>
          <w:rFonts w:ascii="Arial" w:hAnsi="Arial" w:cs="Arial"/>
          <w:b w:val="0"/>
          <w:bCs/>
          <w:caps w:val="0"/>
          <w:lang w:val="en-IN"/>
        </w:rPr>
        <w:t>Sulthana</w:t>
      </w:r>
      <w:proofErr w:type="spellEnd"/>
      <w:r w:rsidR="00AB2357" w:rsidRPr="00E71FA4">
        <w:rPr>
          <w:rFonts w:ascii="Arial" w:hAnsi="Arial" w:cs="Arial"/>
          <w:b w:val="0"/>
          <w:bCs/>
          <w:caps w:val="0"/>
          <w:lang w:val="en-IN"/>
        </w:rPr>
        <w:t xml:space="preserve"> et al.,2019; </w:t>
      </w:r>
      <w:proofErr w:type="spellStart"/>
      <w:r w:rsidR="00AB2357" w:rsidRPr="00E71FA4">
        <w:rPr>
          <w:rFonts w:ascii="Arial" w:hAnsi="Arial" w:cs="Arial"/>
          <w:b w:val="0"/>
          <w:bCs/>
          <w:caps w:val="0"/>
          <w:lang w:val="en-IN"/>
        </w:rPr>
        <w:t>Vasoya</w:t>
      </w:r>
      <w:proofErr w:type="spellEnd"/>
      <w:r w:rsidR="00AB2357" w:rsidRPr="00E71FA4">
        <w:rPr>
          <w:rFonts w:ascii="Arial" w:hAnsi="Arial" w:cs="Arial"/>
          <w:b w:val="0"/>
          <w:bCs/>
          <w:caps w:val="0"/>
          <w:lang w:val="en-IN"/>
        </w:rPr>
        <w:t xml:space="preserve"> et al.,2024; </w:t>
      </w:r>
      <w:proofErr w:type="spellStart"/>
      <w:r w:rsidR="00AB2357" w:rsidRPr="00E71FA4">
        <w:rPr>
          <w:rFonts w:ascii="Arial" w:hAnsi="Arial" w:cs="Arial"/>
          <w:b w:val="0"/>
          <w:bCs/>
          <w:caps w:val="0"/>
          <w:lang w:val="en-IN"/>
        </w:rPr>
        <w:t>Nakum</w:t>
      </w:r>
      <w:proofErr w:type="spellEnd"/>
      <w:r w:rsidR="00AB2357" w:rsidRPr="00E71FA4">
        <w:rPr>
          <w:rFonts w:ascii="Arial" w:hAnsi="Arial" w:cs="Arial"/>
          <w:b w:val="0"/>
          <w:bCs/>
          <w:caps w:val="0"/>
          <w:lang w:val="en-IN"/>
        </w:rPr>
        <w:t xml:space="preserve"> et al., 202</w:t>
      </w:r>
      <w:r w:rsidR="003B634B">
        <w:rPr>
          <w:rFonts w:ascii="Arial" w:hAnsi="Arial" w:cs="Arial"/>
          <w:b w:val="0"/>
          <w:bCs/>
          <w:caps w:val="0"/>
          <w:lang w:val="en-IN"/>
        </w:rPr>
        <w:t>4a</w:t>
      </w:r>
      <w:r w:rsidR="00AB2357" w:rsidRPr="00E71FA4">
        <w:rPr>
          <w:rFonts w:ascii="Arial" w:hAnsi="Arial" w:cs="Arial"/>
          <w:b w:val="0"/>
          <w:bCs/>
          <w:caps w:val="0"/>
          <w:lang w:val="en-IN"/>
        </w:rPr>
        <w:t>)</w:t>
      </w:r>
      <w:r w:rsidR="00A001D1" w:rsidRPr="00E71FA4">
        <w:rPr>
          <w:rFonts w:ascii="Arial" w:hAnsi="Arial" w:cs="Arial"/>
          <w:b w:val="0"/>
          <w:bCs/>
          <w:caps w:val="0"/>
          <w:lang w:val="en-IN"/>
        </w:rPr>
        <w:t xml:space="preserve">. </w:t>
      </w:r>
      <w:r w:rsidRPr="00E71FA4">
        <w:rPr>
          <w:rFonts w:ascii="Arial" w:hAnsi="Arial" w:cs="Arial"/>
          <w:b w:val="0"/>
          <w:bCs/>
          <w:caps w:val="0"/>
          <w:lang w:val="en-IN"/>
        </w:rPr>
        <w:t>In the case of coriander seeds, farmers may also consider traits such as germination rate, disease resistance, and adaptability to local</w:t>
      </w:r>
      <w:r w:rsidR="00A001D1" w:rsidRPr="00E71FA4">
        <w:rPr>
          <w:rFonts w:ascii="Arial" w:hAnsi="Arial" w:cs="Arial"/>
          <w:b w:val="0"/>
          <w:bCs/>
          <w:caps w:val="0"/>
          <w:lang w:val="en-IN"/>
        </w:rPr>
        <w:t xml:space="preserve"> </w:t>
      </w:r>
      <w:r w:rsidRPr="00E71FA4">
        <w:rPr>
          <w:rFonts w:ascii="Arial" w:hAnsi="Arial" w:cs="Arial"/>
          <w:b w:val="0"/>
          <w:bCs/>
          <w:caps w:val="0"/>
          <w:lang w:val="en-IN"/>
        </w:rPr>
        <w:t>soil and climate conditions</w:t>
      </w:r>
      <w:r w:rsidR="00A001D1" w:rsidRPr="00E71FA4">
        <w:rPr>
          <w:rFonts w:ascii="Arial" w:hAnsi="Arial" w:cs="Arial"/>
          <w:b w:val="0"/>
          <w:bCs/>
          <w:caps w:val="0"/>
          <w:lang w:val="en-IN"/>
        </w:rPr>
        <w:t xml:space="preserve"> </w:t>
      </w:r>
      <w:r w:rsidR="00141CF4" w:rsidRPr="00E71FA4">
        <w:rPr>
          <w:rFonts w:ascii="Arial" w:hAnsi="Arial" w:cs="Arial"/>
          <w:b w:val="0"/>
          <w:bCs/>
          <w:caps w:val="0"/>
          <w:lang w:val="en-IN"/>
        </w:rPr>
        <w:t>(</w:t>
      </w:r>
      <w:proofErr w:type="spellStart"/>
      <w:r w:rsidR="00141CF4" w:rsidRPr="00E71FA4">
        <w:rPr>
          <w:rFonts w:ascii="Arial" w:hAnsi="Arial" w:cs="Arial"/>
          <w:b w:val="0"/>
          <w:bCs/>
          <w:caps w:val="0"/>
          <w:lang w:val="en-IN"/>
        </w:rPr>
        <w:t>Ghangale</w:t>
      </w:r>
      <w:proofErr w:type="spellEnd"/>
      <w:r w:rsidR="00141CF4" w:rsidRPr="00E71FA4">
        <w:rPr>
          <w:rFonts w:ascii="Arial" w:hAnsi="Arial" w:cs="Arial"/>
          <w:b w:val="0"/>
          <w:bCs/>
          <w:caps w:val="0"/>
          <w:lang w:val="en-IN"/>
        </w:rPr>
        <w:t xml:space="preserve"> et al., 2018; Vennila et al., </w:t>
      </w:r>
      <w:r w:rsidR="00455175" w:rsidRPr="00E71FA4">
        <w:rPr>
          <w:rFonts w:ascii="Arial" w:hAnsi="Arial" w:cs="Arial"/>
          <w:b w:val="0"/>
          <w:bCs/>
          <w:caps w:val="0"/>
          <w:lang w:val="en-IN"/>
        </w:rPr>
        <w:t xml:space="preserve">2018; </w:t>
      </w:r>
      <w:proofErr w:type="spellStart"/>
      <w:r w:rsidR="00455175" w:rsidRPr="00E71FA4">
        <w:rPr>
          <w:rFonts w:ascii="Arial" w:hAnsi="Arial" w:cs="Arial"/>
          <w:b w:val="0"/>
          <w:bCs/>
          <w:caps w:val="0"/>
          <w:lang w:val="en-IN"/>
        </w:rPr>
        <w:t>Nakum</w:t>
      </w:r>
      <w:proofErr w:type="spellEnd"/>
      <w:r w:rsidR="00455175" w:rsidRPr="00E71FA4">
        <w:rPr>
          <w:rFonts w:ascii="Arial" w:hAnsi="Arial" w:cs="Arial"/>
          <w:b w:val="0"/>
          <w:bCs/>
          <w:caps w:val="0"/>
          <w:lang w:val="en-IN"/>
        </w:rPr>
        <w:t xml:space="preserve"> et al., 2024</w:t>
      </w:r>
      <w:r w:rsidR="003B634B">
        <w:rPr>
          <w:rFonts w:ascii="Arial" w:hAnsi="Arial" w:cs="Arial"/>
          <w:b w:val="0"/>
          <w:bCs/>
          <w:caps w:val="0"/>
          <w:lang w:val="en-IN"/>
        </w:rPr>
        <w:t>b</w:t>
      </w:r>
      <w:r w:rsidR="00141CF4" w:rsidRPr="00E71FA4">
        <w:rPr>
          <w:rFonts w:ascii="Arial" w:hAnsi="Arial" w:cs="Arial"/>
          <w:b w:val="0"/>
          <w:bCs/>
          <w:caps w:val="0"/>
          <w:lang w:val="en-IN"/>
        </w:rPr>
        <w:t>)</w:t>
      </w:r>
      <w:r w:rsidRPr="00E71FA4">
        <w:rPr>
          <w:rFonts w:ascii="Arial" w:hAnsi="Arial" w:cs="Arial"/>
          <w:b w:val="0"/>
          <w:bCs/>
          <w:caps w:val="0"/>
          <w:lang w:val="en-IN"/>
        </w:rPr>
        <w:t>. These</w:t>
      </w:r>
      <w:r w:rsidR="00141CF4" w:rsidRPr="00E71FA4">
        <w:rPr>
          <w:rFonts w:ascii="Arial" w:hAnsi="Arial" w:cs="Arial"/>
          <w:b w:val="0"/>
          <w:bCs/>
          <w:caps w:val="0"/>
          <w:lang w:val="en-IN"/>
        </w:rPr>
        <w:t xml:space="preserve"> </w:t>
      </w:r>
      <w:r w:rsidRPr="00E71FA4">
        <w:rPr>
          <w:rFonts w:ascii="Arial" w:hAnsi="Arial" w:cs="Arial"/>
          <w:b w:val="0"/>
          <w:bCs/>
          <w:caps w:val="0"/>
          <w:lang w:val="en-IN"/>
        </w:rPr>
        <w:t>considerations are not only economic but also emotional, as farming decisions often carry generational wisdom and risk.</w:t>
      </w:r>
    </w:p>
    <w:p w14:paraId="2526BFE1" w14:textId="77777777" w:rsidR="002B3579" w:rsidRPr="00E71FA4" w:rsidRDefault="002B3579" w:rsidP="002B3579">
      <w:pPr>
        <w:pStyle w:val="AbstHead"/>
        <w:jc w:val="both"/>
        <w:rPr>
          <w:rFonts w:ascii="Arial" w:hAnsi="Arial" w:cs="Arial"/>
          <w:b w:val="0"/>
          <w:bCs/>
          <w:caps w:val="0"/>
          <w:lang w:val="en-IN"/>
        </w:rPr>
      </w:pPr>
      <w:r w:rsidRPr="00E71FA4">
        <w:rPr>
          <w:rFonts w:ascii="Arial" w:hAnsi="Arial" w:cs="Arial"/>
          <w:b w:val="0"/>
          <w:bCs/>
          <w:caps w:val="0"/>
          <w:lang w:val="en-IN"/>
        </w:rPr>
        <w:t xml:space="preserve">Despite the growing importance of market-oriented agriculture, there is limited empirical research focusing on micro-level consumer </w:t>
      </w:r>
      <w:proofErr w:type="spellStart"/>
      <w:r w:rsidRPr="00E71FA4">
        <w:rPr>
          <w:rFonts w:ascii="Arial" w:hAnsi="Arial" w:cs="Arial"/>
          <w:b w:val="0"/>
          <w:bCs/>
          <w:caps w:val="0"/>
          <w:lang w:val="en-IN"/>
        </w:rPr>
        <w:t>behavior</w:t>
      </w:r>
      <w:proofErr w:type="spellEnd"/>
      <w:r w:rsidRPr="00E71FA4">
        <w:rPr>
          <w:rFonts w:ascii="Arial" w:hAnsi="Arial" w:cs="Arial"/>
          <w:b w:val="0"/>
          <w:bCs/>
          <w:caps w:val="0"/>
          <w:lang w:val="en-IN"/>
        </w:rPr>
        <w:t xml:space="preserve"> in rural seed markets. This study seeks to fill that gap by </w:t>
      </w:r>
      <w:proofErr w:type="spellStart"/>
      <w:r w:rsidRPr="00E71FA4">
        <w:rPr>
          <w:rFonts w:ascii="Arial" w:hAnsi="Arial" w:cs="Arial"/>
          <w:b w:val="0"/>
          <w:bCs/>
          <w:caps w:val="0"/>
          <w:lang w:val="en-IN"/>
        </w:rPr>
        <w:t>analyzing</w:t>
      </w:r>
      <w:proofErr w:type="spellEnd"/>
      <w:r w:rsidRPr="00E71FA4">
        <w:rPr>
          <w:rFonts w:ascii="Arial" w:hAnsi="Arial" w:cs="Arial"/>
          <w:b w:val="0"/>
          <w:bCs/>
          <w:caps w:val="0"/>
          <w:lang w:val="en-IN"/>
        </w:rPr>
        <w:t xml:space="preserve"> the purchasing patterns of coriander seed buyers in Junagadh district. By examining preferences, motivations, and constraints, the research aims to uncover the underlying logic behind farmers’ choices and how these choices impact crop outcomes and livelihoods.</w:t>
      </w:r>
    </w:p>
    <w:p w14:paraId="5A9BEA76" w14:textId="77777777" w:rsidR="002B3579" w:rsidRPr="002B3579" w:rsidRDefault="002B3579" w:rsidP="002B3579">
      <w:pPr>
        <w:pStyle w:val="AbstHead"/>
        <w:jc w:val="both"/>
        <w:rPr>
          <w:rFonts w:ascii="Arial" w:hAnsi="Arial" w:cs="Arial"/>
          <w:b w:val="0"/>
          <w:bCs/>
          <w:caps w:val="0"/>
          <w:lang w:val="en-IN"/>
        </w:rPr>
      </w:pPr>
      <w:r w:rsidRPr="00E71FA4">
        <w:rPr>
          <w:rFonts w:ascii="Arial" w:hAnsi="Arial" w:cs="Arial"/>
          <w:b w:val="0"/>
          <w:bCs/>
          <w:caps w:val="0"/>
          <w:lang w:val="en-IN"/>
        </w:rPr>
        <w:t>Ultimately, the findings of this study will contribute to a better understanding of rural consumer psychology, help seed producers tailor their offerings more effectively, and inform agricultural policy at the grassroots level. In doing so, it hopes to empower farmers with better access to quality inputs and support</w:t>
      </w:r>
      <w:r w:rsidRPr="002B3579">
        <w:rPr>
          <w:rFonts w:ascii="Arial" w:hAnsi="Arial" w:cs="Arial"/>
          <w:b w:val="0"/>
          <w:bCs/>
          <w:caps w:val="0"/>
          <w:lang w:val="en-IN"/>
        </w:rPr>
        <w:t xml:space="preserve"> the broader goal of sustainable agricultural development in the region.</w:t>
      </w:r>
    </w:p>
    <w:p w14:paraId="7B58E8C3" w14:textId="6F9D33C1" w:rsidR="006A7BFD"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9F0B03C" w14:textId="7B3A3773" w:rsidR="0028103D" w:rsidRDefault="003E5321" w:rsidP="006A7BFD">
      <w:pPr>
        <w:pStyle w:val="Body"/>
        <w:spacing w:after="0"/>
        <w:rPr>
          <w:rFonts w:ascii="Arial" w:hAnsi="Arial" w:cs="Arial"/>
          <w:lang w:bidi="gu-IN"/>
        </w:rPr>
      </w:pPr>
      <w:r w:rsidRPr="00D236E0">
        <w:rPr>
          <w:rFonts w:ascii="Arial" w:hAnsi="Arial" w:cs="Arial"/>
          <w:lang w:bidi="gu-IN"/>
        </w:rPr>
        <w:t xml:space="preserve">The study was conducted in </w:t>
      </w:r>
      <w:r>
        <w:rPr>
          <w:rFonts w:ascii="Arial" w:hAnsi="Arial" w:cs="Arial"/>
          <w:lang w:bidi="gu-IN"/>
        </w:rPr>
        <w:t>J</w:t>
      </w:r>
      <w:r w:rsidR="0099384C">
        <w:rPr>
          <w:rFonts w:ascii="Arial" w:hAnsi="Arial" w:cs="Arial"/>
          <w:lang w:bidi="gu-IN"/>
        </w:rPr>
        <w:t>unagadh</w:t>
      </w:r>
      <w:r w:rsidRPr="00D236E0">
        <w:rPr>
          <w:rFonts w:ascii="Arial" w:hAnsi="Arial" w:cs="Arial"/>
          <w:lang w:bidi="gu-IN"/>
        </w:rPr>
        <w:t xml:space="preserve"> district of Gujarat </w:t>
      </w:r>
      <w:r>
        <w:rPr>
          <w:rFonts w:ascii="Arial" w:hAnsi="Arial" w:cs="Arial"/>
          <w:lang w:bidi="gu-IN"/>
        </w:rPr>
        <w:t>state</w:t>
      </w:r>
      <w:r w:rsidRPr="00D236E0">
        <w:rPr>
          <w:rFonts w:ascii="Arial" w:hAnsi="Arial" w:cs="Arial"/>
          <w:lang w:bidi="gu-IN"/>
        </w:rPr>
        <w:t xml:space="preserve">. To study </w:t>
      </w:r>
      <w:r w:rsidR="0099384C">
        <w:rPr>
          <w:rFonts w:ascii="Arial" w:hAnsi="Arial" w:cs="Arial"/>
          <w:lang w:bidi="gu-IN"/>
        </w:rPr>
        <w:t xml:space="preserve">purchasing behavior </w:t>
      </w:r>
      <w:r w:rsidRPr="0010328F">
        <w:rPr>
          <w:rFonts w:ascii="Arial" w:eastAsia="Calibri" w:hAnsi="Arial" w:cs="Arial"/>
          <w:szCs w:val="22"/>
        </w:rPr>
        <w:t>A multi-stage sampling technique was used</w:t>
      </w:r>
      <w:r>
        <w:rPr>
          <w:rFonts w:ascii="Arial" w:eastAsia="Calibri" w:hAnsi="Arial" w:cs="Arial"/>
          <w:szCs w:val="22"/>
        </w:rPr>
        <w:t xml:space="preserve"> and total</w:t>
      </w:r>
      <w:r>
        <w:rPr>
          <w:rFonts w:ascii="Arial" w:hAnsi="Arial" w:cs="Arial"/>
          <w:lang w:bidi="gu-IN"/>
        </w:rPr>
        <w:t xml:space="preserve"> </w:t>
      </w:r>
      <w:r w:rsidR="0099384C">
        <w:rPr>
          <w:rFonts w:ascii="Arial" w:hAnsi="Arial" w:cs="Arial"/>
          <w:lang w:bidi="gu-IN"/>
        </w:rPr>
        <w:t>200</w:t>
      </w:r>
      <w:r w:rsidRPr="001B65B5">
        <w:rPr>
          <w:rFonts w:ascii="Arial" w:hAnsi="Arial" w:cs="Arial"/>
          <w:lang w:bidi="gu-IN"/>
        </w:rPr>
        <w:t xml:space="preserve"> number </w:t>
      </w:r>
      <w:r>
        <w:rPr>
          <w:rFonts w:ascii="Arial" w:hAnsi="Arial" w:cs="Arial"/>
          <w:lang w:bidi="gu-IN"/>
        </w:rPr>
        <w:t xml:space="preserve">of </w:t>
      </w:r>
      <w:r w:rsidR="0099384C">
        <w:rPr>
          <w:rFonts w:ascii="Arial" w:hAnsi="Arial" w:cs="Arial"/>
          <w:lang w:bidi="gu-IN"/>
        </w:rPr>
        <w:t xml:space="preserve">coriander </w:t>
      </w:r>
      <w:r w:rsidRPr="001B65B5">
        <w:rPr>
          <w:rFonts w:ascii="Arial" w:hAnsi="Arial" w:cs="Arial"/>
          <w:lang w:bidi="gu-IN"/>
        </w:rPr>
        <w:t>farmers</w:t>
      </w:r>
      <w:r>
        <w:rPr>
          <w:rFonts w:ascii="Arial" w:hAnsi="Arial" w:cs="Arial"/>
          <w:lang w:bidi="gu-IN"/>
        </w:rPr>
        <w:t xml:space="preserve"> </w:t>
      </w:r>
      <w:r w:rsidRPr="001B65B5">
        <w:rPr>
          <w:rFonts w:ascii="Arial" w:hAnsi="Arial" w:cs="Arial"/>
          <w:lang w:bidi="gu-IN"/>
        </w:rPr>
        <w:t>were interviewed</w:t>
      </w:r>
      <w:r>
        <w:rPr>
          <w:rFonts w:ascii="Arial" w:hAnsi="Arial" w:cs="Arial"/>
          <w:lang w:bidi="gu-IN"/>
        </w:rPr>
        <w:t xml:space="preserve"> </w:t>
      </w:r>
      <w:r w:rsidRPr="00D236E0">
        <w:rPr>
          <w:rFonts w:ascii="Arial" w:hAnsi="Arial" w:cs="Arial"/>
          <w:lang w:bidi="gu-IN"/>
        </w:rPr>
        <w:t xml:space="preserve">for collecting information </w:t>
      </w:r>
      <w:r>
        <w:rPr>
          <w:rFonts w:ascii="Arial" w:hAnsi="Arial" w:cs="Arial"/>
          <w:lang w:bidi="gu-IN"/>
        </w:rPr>
        <w:t>by using the</w:t>
      </w:r>
      <w:r w:rsidRPr="00D236E0">
        <w:rPr>
          <w:rFonts w:ascii="Arial" w:hAnsi="Arial" w:cs="Arial"/>
          <w:lang w:bidi="gu-IN"/>
        </w:rPr>
        <w:t xml:space="preserve"> designed schedule. The data was collected by survey method adopting personal interview. </w:t>
      </w:r>
      <w:r w:rsidRPr="00BC50E6">
        <w:rPr>
          <w:rFonts w:ascii="Arial" w:hAnsi="Arial" w:cs="Arial"/>
          <w:lang w:bidi="gu-IN"/>
        </w:rPr>
        <w:t xml:space="preserve">Analytical tools like </w:t>
      </w:r>
      <w:r w:rsidR="0099384C">
        <w:rPr>
          <w:rFonts w:ascii="Arial" w:hAnsi="Arial" w:cs="Arial"/>
          <w:lang w:bidi="gu-IN"/>
        </w:rPr>
        <w:t xml:space="preserve">Multiple linear Regression Analysis </w:t>
      </w:r>
      <w:r w:rsidR="006A7BFD" w:rsidRPr="00BC50E6">
        <w:rPr>
          <w:rFonts w:ascii="Arial" w:hAnsi="Arial" w:cs="Arial"/>
          <w:lang w:bidi="gu-IN"/>
        </w:rPr>
        <w:t>were</w:t>
      </w:r>
      <w:r w:rsidRPr="00BC50E6">
        <w:rPr>
          <w:rFonts w:ascii="Arial" w:hAnsi="Arial" w:cs="Arial"/>
          <w:lang w:bidi="gu-IN"/>
        </w:rPr>
        <w:t xml:space="preserve"> used for research study.</w:t>
      </w:r>
    </w:p>
    <w:p w14:paraId="7BC82C41" w14:textId="77777777" w:rsidR="006A7BFD" w:rsidRDefault="006A7BFD" w:rsidP="006A7BFD">
      <w:pPr>
        <w:pStyle w:val="Body"/>
        <w:spacing w:after="0"/>
        <w:rPr>
          <w:rFonts w:ascii="Arial" w:hAnsi="Arial" w:cs="Arial"/>
          <w:lang w:bidi="gu-IN"/>
        </w:rPr>
      </w:pPr>
    </w:p>
    <w:p w14:paraId="48ABAC1A" w14:textId="2188118F" w:rsidR="006A7BFD" w:rsidRDefault="006A7BFD" w:rsidP="006A7BFD">
      <w:pPr>
        <w:pStyle w:val="Body"/>
        <w:spacing w:after="0"/>
        <w:rPr>
          <w:rFonts w:ascii="Arial" w:hAnsi="Arial" w:cs="Arial"/>
        </w:rPr>
      </w:pPr>
      <w:r w:rsidRPr="006A7BFD">
        <w:rPr>
          <w:rFonts w:ascii="Arial" w:hAnsi="Arial" w:cs="Arial"/>
        </w:rPr>
        <w:t xml:space="preserve">The multi-stage sampling technique was adopted according to the study objectives. In the first stage, Junagadh district was purposively selected, as it was the major coriander-producing district of the state. In the second stage, four talukas were purposively selected, as they were the major coriander-producing talukas of the district. In the third stage, five villages from each </w:t>
      </w:r>
      <w:r w:rsidRPr="006A7BFD">
        <w:rPr>
          <w:rFonts w:ascii="Arial" w:hAnsi="Arial" w:cs="Arial"/>
        </w:rPr>
        <w:lastRenderedPageBreak/>
        <w:t>taluka were randomly selected. In the fourth stage, ten coriander-growing farmers were randomly selected from each village.</w:t>
      </w:r>
    </w:p>
    <w:p w14:paraId="29437174" w14:textId="77777777" w:rsidR="006A7BFD" w:rsidRDefault="006A7BFD" w:rsidP="006A7BFD">
      <w:pPr>
        <w:pStyle w:val="Body"/>
        <w:spacing w:after="0"/>
        <w:rPr>
          <w:rFonts w:ascii="Arial" w:hAnsi="Arial" w:cs="Arial"/>
        </w:rPr>
      </w:pPr>
    </w:p>
    <w:p w14:paraId="31801399" w14:textId="26F2981F" w:rsidR="002E0D56" w:rsidRDefault="0028103D" w:rsidP="006A7BFD">
      <w:pPr>
        <w:pStyle w:val="Body"/>
        <w:spacing w:after="0"/>
        <w:rPr>
          <w:rFonts w:ascii="Arial" w:hAnsi="Arial" w:cs="Arial"/>
        </w:rPr>
      </w:pPr>
      <w:r w:rsidRPr="0028103D">
        <w:rPr>
          <w:rFonts w:ascii="Arial" w:hAnsi="Arial" w:cs="Arial"/>
        </w:rPr>
        <w:t xml:space="preserve">The data for this study was analyzed using </w:t>
      </w:r>
      <w:r w:rsidR="0099384C">
        <w:rPr>
          <w:rFonts w:ascii="Arial" w:hAnsi="Arial" w:cs="Arial"/>
          <w:lang w:bidi="gu-IN"/>
        </w:rPr>
        <w:t>Multiple linear Regression Analysis Method</w:t>
      </w:r>
      <w:r w:rsidRPr="0028103D">
        <w:rPr>
          <w:rFonts w:ascii="Arial" w:hAnsi="Arial" w:cs="Arial"/>
        </w:rPr>
        <w:t>. This method was used to estimate the</w:t>
      </w:r>
      <w:r w:rsidR="0099384C">
        <w:rPr>
          <w:rFonts w:ascii="Arial" w:hAnsi="Arial" w:cs="Arial"/>
        </w:rPr>
        <w:t xml:space="preserve"> Purchasing Behavior as follows:</w:t>
      </w:r>
    </w:p>
    <w:p w14:paraId="46F1103C" w14:textId="4C652A14" w:rsidR="0099384C" w:rsidRDefault="0099384C" w:rsidP="006A7BFD">
      <w:pPr>
        <w:ind w:right="85"/>
        <w:jc w:val="both"/>
        <w:rPr>
          <w:rFonts w:eastAsia="Calibri"/>
          <w:szCs w:val="24"/>
          <w:lang w:val="en-IN"/>
        </w:rPr>
      </w:pPr>
      <w:r w:rsidRPr="00753293">
        <w:rPr>
          <w:rFonts w:eastAsia="Calibri"/>
          <w:szCs w:val="24"/>
          <w:lang w:val="en-IN"/>
        </w:rPr>
        <w:t xml:space="preserve">In order to </w:t>
      </w:r>
      <w:r w:rsidR="006A7BFD" w:rsidRPr="00753293">
        <w:rPr>
          <w:rFonts w:eastAsia="Calibri"/>
          <w:szCs w:val="24"/>
          <w:lang w:val="en-IN"/>
        </w:rPr>
        <w:t>analyse</w:t>
      </w:r>
      <w:r w:rsidRPr="00753293">
        <w:rPr>
          <w:rFonts w:eastAsia="Calibri"/>
          <w:szCs w:val="24"/>
          <w:lang w:val="en-IN"/>
        </w:rPr>
        <w:t xml:space="preserve"> the purchasing behaviour of farmers towards coriander seeds, the following form of multiple linear regression analysis</w:t>
      </w:r>
      <w:r>
        <w:rPr>
          <w:rFonts w:eastAsia="Calibri"/>
          <w:szCs w:val="24"/>
          <w:lang w:val="en-IN"/>
        </w:rPr>
        <w:t xml:space="preserve"> will be </w:t>
      </w:r>
      <w:r w:rsidRPr="00753293">
        <w:rPr>
          <w:rFonts w:eastAsia="Calibri"/>
          <w:szCs w:val="24"/>
          <w:lang w:val="en-IN"/>
        </w:rPr>
        <w:t>used:</w:t>
      </w:r>
    </w:p>
    <w:p w14:paraId="3649D966" w14:textId="77777777" w:rsidR="006A7BFD" w:rsidRDefault="006A7BFD" w:rsidP="0099384C">
      <w:pPr>
        <w:ind w:right="85" w:firstLine="720"/>
        <w:rPr>
          <w:rFonts w:eastAsia="Calibri"/>
          <w:szCs w:val="24"/>
          <w:lang w:val="en-IN"/>
        </w:rPr>
      </w:pPr>
    </w:p>
    <w:p w14:paraId="7DC38CB5" w14:textId="77777777" w:rsidR="0099384C" w:rsidRDefault="0099384C" w:rsidP="0099384C">
      <w:pPr>
        <w:ind w:right="84"/>
        <w:jc w:val="center"/>
        <w:rPr>
          <w:rFonts w:eastAsia="Calibri"/>
          <w:b/>
          <w:bCs/>
          <w:szCs w:val="24"/>
        </w:rPr>
      </w:pPr>
      <w:r w:rsidRPr="00E02AA6">
        <w:rPr>
          <w:b/>
          <w:bCs/>
          <w:szCs w:val="24"/>
        </w:rPr>
        <w:t xml:space="preserve">Y= </w:t>
      </w:r>
      <m:oMath>
        <m:sSub>
          <m:sSubPr>
            <m:ctrlPr>
              <w:rPr>
                <w:rFonts w:ascii="Cambria Math" w:hAnsi="Cambria Math"/>
                <w:b/>
                <w:bCs/>
                <w:i/>
                <w:szCs w:val="24"/>
              </w:rPr>
            </m:ctrlPr>
          </m:sSubPr>
          <m:e>
            <m:r>
              <m:rPr>
                <m:sty m:val="bi"/>
              </m:rPr>
              <w:rPr>
                <w:rFonts w:ascii="Cambria Math" w:hAnsi="Cambria Math"/>
                <w:szCs w:val="24"/>
              </w:rPr>
              <m:t>a</m:t>
            </m:r>
          </m:e>
          <m:sub>
            <m:r>
              <m:rPr>
                <m:sty m:val="bi"/>
              </m:rPr>
              <w:rPr>
                <w:rFonts w:ascii="Cambria Math" w:hAnsi="Cambria Math"/>
                <w:szCs w:val="24"/>
              </w:rPr>
              <m:t>0</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1</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1</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2</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2</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3</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3</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4</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4</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5</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5</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6</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6</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7</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7</m:t>
            </m:r>
          </m:sub>
        </m:sSub>
      </m:oMath>
      <w:r w:rsidRPr="00E02AA6">
        <w:rPr>
          <w:b/>
          <w:bCs/>
          <w:szCs w:val="24"/>
        </w:rPr>
        <w:t xml:space="preserve"> + </w:t>
      </w:r>
      <m:oMath>
        <m:r>
          <m:rPr>
            <m:sty m:val="bi"/>
          </m:rPr>
          <w:rPr>
            <w:rFonts w:ascii="Cambria Math" w:hAnsi="Cambria Math"/>
            <w:szCs w:val="24"/>
          </w:rPr>
          <m:t xml:space="preserve">  </m:t>
        </m:r>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8</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8</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9</m:t>
            </m:r>
          </m:sub>
        </m:sSub>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9</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10</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10</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1</m:t>
            </m:r>
          </m:sub>
        </m:sSub>
        <m:r>
          <m:rPr>
            <m:sty m:val="bi"/>
          </m:rPr>
          <w:rPr>
            <w:rFonts w:ascii="Cambria Math" w:hAnsi="Cambria Math"/>
            <w:szCs w:val="24"/>
          </w:rPr>
          <m:t>1</m:t>
        </m:r>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11</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12</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12</m:t>
            </m:r>
          </m:sub>
        </m:sSub>
      </m:oMath>
      <w:r w:rsidRPr="00E02AA6">
        <w:rPr>
          <w:b/>
          <w:bCs/>
          <w:szCs w:val="24"/>
        </w:rPr>
        <w:t xml:space="preserve"> +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13</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13</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b</m:t>
            </m:r>
          </m:e>
          <m:sub>
            <m:r>
              <m:rPr>
                <m:sty m:val="bi"/>
              </m:rPr>
              <w:rPr>
                <w:rFonts w:ascii="Cambria Math" w:hAnsi="Cambria Math"/>
                <w:szCs w:val="24"/>
              </w:rPr>
              <m:t>14</m:t>
            </m:r>
          </m:sub>
        </m:sSub>
      </m:oMath>
      <w:r w:rsidRPr="00E02AA6">
        <w:rPr>
          <w:b/>
          <w:bCs/>
          <w:szCs w:val="24"/>
        </w:rPr>
        <w:t xml:space="preserve"> </w:t>
      </w:r>
      <m:oMath>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14</m:t>
            </m:r>
          </m:sub>
        </m:sSub>
      </m:oMath>
      <w:r w:rsidRPr="00E02AA6">
        <w:rPr>
          <w:b/>
          <w:bCs/>
          <w:szCs w:val="24"/>
        </w:rPr>
        <w:t xml:space="preserve">  + U</w:t>
      </w:r>
    </w:p>
    <w:p w14:paraId="408E5130" w14:textId="77777777" w:rsidR="0099384C" w:rsidRPr="0099384C" w:rsidRDefault="0099384C" w:rsidP="003E5321">
      <w:pPr>
        <w:pStyle w:val="Body"/>
        <w:spacing w:after="0"/>
        <w:ind w:firstLine="720"/>
        <w:rPr>
          <w:rFonts w:ascii="Arial" w:hAnsi="Arial" w:cs="Arial"/>
        </w:rPr>
      </w:pPr>
    </w:p>
    <w:p w14:paraId="4CEDA21F" w14:textId="77777777" w:rsidR="00743D58" w:rsidRDefault="00743D58" w:rsidP="00441B6F">
      <w:pPr>
        <w:pStyle w:val="Body"/>
        <w:spacing w:after="0"/>
        <w:rPr>
          <w:rFonts w:ascii="Arial" w:hAnsi="Arial" w:cs="Arial"/>
        </w:rPr>
      </w:pPr>
    </w:p>
    <w:p w14:paraId="32B5EC86" w14:textId="36CE8DDB" w:rsidR="00743D58" w:rsidRDefault="00743D58" w:rsidP="00743D58">
      <w:pPr>
        <w:tabs>
          <w:tab w:val="left" w:pos="1080"/>
        </w:tabs>
        <w:jc w:val="both"/>
        <w:rPr>
          <w:rFonts w:ascii="Arial" w:hAnsi="Arial"/>
          <w:b/>
        </w:rPr>
      </w:pPr>
      <w:r>
        <w:rPr>
          <w:rFonts w:ascii="Arial" w:hAnsi="Arial"/>
          <w:b/>
        </w:rPr>
        <w:t>Table 1.</w:t>
      </w:r>
      <w:r w:rsidRPr="00DC3180">
        <w:rPr>
          <w:rFonts w:ascii="Arial" w:hAnsi="Arial"/>
          <w:b/>
        </w:rPr>
        <w:tab/>
      </w:r>
      <w:r w:rsidR="0099384C">
        <w:rPr>
          <w:rFonts w:ascii="Arial" w:hAnsi="Arial"/>
          <w:b/>
          <w:bCs/>
        </w:rPr>
        <w:t>Parameters for analyzing the purchasing behavior of farmers</w:t>
      </w:r>
    </w:p>
    <w:p w14:paraId="64F427E6" w14:textId="77777777" w:rsidR="0028103D" w:rsidRDefault="0028103D" w:rsidP="00441B6F">
      <w:pPr>
        <w:pStyle w:val="Body"/>
        <w:spacing w:after="0"/>
        <w:rPr>
          <w:rFonts w:ascii="Arial" w:hAnsi="Arial" w:cs="Arial"/>
        </w:rPr>
      </w:pPr>
    </w:p>
    <w:tbl>
      <w:tblPr>
        <w:tblW w:w="5000" w:type="pct"/>
        <w:tblLook w:val="01E0" w:firstRow="1" w:lastRow="1" w:firstColumn="1" w:lastColumn="1" w:noHBand="0" w:noVBand="0"/>
      </w:tblPr>
      <w:tblGrid>
        <w:gridCol w:w="939"/>
        <w:gridCol w:w="7269"/>
      </w:tblGrid>
      <w:tr w:rsidR="0028103D" w:rsidRPr="00DC3180" w14:paraId="332D420F" w14:textId="77777777" w:rsidTr="00D4315F">
        <w:trPr>
          <w:trHeight w:val="218"/>
        </w:trPr>
        <w:tc>
          <w:tcPr>
            <w:tcW w:w="572" w:type="pct"/>
          </w:tcPr>
          <w:p w14:paraId="6F4B511D" w14:textId="0AD1E8FD" w:rsidR="0028103D" w:rsidRPr="00DC3180" w:rsidRDefault="0028103D" w:rsidP="009D77CB">
            <w:pPr>
              <w:jc w:val="both"/>
              <w:rPr>
                <w:rFonts w:ascii="Arial" w:hAnsi="Arial"/>
                <w:b/>
                <w:bCs/>
              </w:rPr>
            </w:pPr>
            <w:r>
              <w:rPr>
                <w:rFonts w:ascii="Arial" w:hAnsi="Arial"/>
                <w:b/>
              </w:rPr>
              <w:t>No</w:t>
            </w:r>
          </w:p>
        </w:tc>
        <w:tc>
          <w:tcPr>
            <w:tcW w:w="4428" w:type="pct"/>
          </w:tcPr>
          <w:p w14:paraId="3773C7C3" w14:textId="471F12CF" w:rsidR="0028103D" w:rsidRPr="00DC3180" w:rsidRDefault="0099384C" w:rsidP="009D77CB">
            <w:pPr>
              <w:jc w:val="both"/>
              <w:rPr>
                <w:rFonts w:ascii="Arial" w:hAnsi="Arial"/>
                <w:b/>
                <w:bCs/>
              </w:rPr>
            </w:pPr>
            <w:r>
              <w:rPr>
                <w:rFonts w:ascii="Arial" w:hAnsi="Arial"/>
                <w:b/>
                <w:bCs/>
              </w:rPr>
              <w:t>Parameters</w:t>
            </w:r>
          </w:p>
        </w:tc>
      </w:tr>
      <w:tr w:rsidR="0099384C" w:rsidRPr="00DC3180" w14:paraId="6B21AF62" w14:textId="77777777" w:rsidTr="00D4315F">
        <w:trPr>
          <w:trHeight w:val="213"/>
        </w:trPr>
        <w:tc>
          <w:tcPr>
            <w:tcW w:w="572" w:type="pct"/>
          </w:tcPr>
          <w:p w14:paraId="32073BE2" w14:textId="354BA691" w:rsidR="0099384C" w:rsidRPr="00DC3180" w:rsidRDefault="0099384C" w:rsidP="0099384C">
            <w:pPr>
              <w:jc w:val="both"/>
              <w:rPr>
                <w:rFonts w:ascii="Arial" w:hAnsi="Arial"/>
                <w:b/>
                <w:bCs/>
              </w:rPr>
            </w:pPr>
            <w:r w:rsidRPr="00753293">
              <w:rPr>
                <w:rFonts w:eastAsia="Calibri"/>
                <w:szCs w:val="24"/>
              </w:rPr>
              <w:t>Y</w:t>
            </w:r>
            <w:r w:rsidRPr="00753293">
              <w:rPr>
                <w:rFonts w:eastAsia="Calibri"/>
                <w:szCs w:val="24"/>
                <w:vertAlign w:val="subscript"/>
              </w:rPr>
              <w:t xml:space="preserve"> </w:t>
            </w:r>
          </w:p>
        </w:tc>
        <w:tc>
          <w:tcPr>
            <w:tcW w:w="4428" w:type="pct"/>
          </w:tcPr>
          <w:p w14:paraId="77CF5091" w14:textId="42B93EEA" w:rsidR="0099384C" w:rsidRPr="00743D58" w:rsidRDefault="0099384C" w:rsidP="0099384C">
            <w:pPr>
              <w:jc w:val="both"/>
              <w:rPr>
                <w:rFonts w:ascii="Arial" w:hAnsi="Arial" w:cs="Arial"/>
                <w:b/>
                <w:bCs/>
              </w:rPr>
            </w:pPr>
            <w:r w:rsidRPr="00753293">
              <w:rPr>
                <w:rFonts w:eastAsia="Calibri"/>
                <w:szCs w:val="24"/>
              </w:rPr>
              <w:t>= Qu</w:t>
            </w:r>
            <w:r>
              <w:rPr>
                <w:rFonts w:eastAsia="Calibri"/>
                <w:szCs w:val="24"/>
              </w:rPr>
              <w:t>antity</w:t>
            </w:r>
            <w:r w:rsidRPr="00753293">
              <w:rPr>
                <w:rFonts w:eastAsia="Calibri"/>
                <w:szCs w:val="24"/>
              </w:rPr>
              <w:t xml:space="preserve"> of coriander seed purchased (kg),</w:t>
            </w:r>
            <w:r>
              <w:rPr>
                <w:rFonts w:eastAsia="Calibri"/>
                <w:szCs w:val="24"/>
              </w:rPr>
              <w:t xml:space="preserve"> </w:t>
            </w:r>
          </w:p>
        </w:tc>
      </w:tr>
      <w:tr w:rsidR="0099384C" w:rsidRPr="00DC3180" w14:paraId="1D7B08C2" w14:textId="77777777" w:rsidTr="00D4315F">
        <w:trPr>
          <w:trHeight w:val="218"/>
        </w:trPr>
        <w:tc>
          <w:tcPr>
            <w:tcW w:w="572" w:type="pct"/>
          </w:tcPr>
          <w:p w14:paraId="09C1CE54" w14:textId="3D7F9F2F" w:rsidR="0099384C" w:rsidRPr="00DC3180" w:rsidRDefault="0099384C" w:rsidP="0099384C">
            <w:pPr>
              <w:jc w:val="both"/>
              <w:rPr>
                <w:rFonts w:ascii="Arial" w:hAnsi="Arial" w:cs="Arial"/>
              </w:rPr>
            </w:pPr>
            <w:r>
              <w:rPr>
                <w:rFonts w:eastAsia="Calibri"/>
                <w:szCs w:val="24"/>
              </w:rPr>
              <w:t>b</w:t>
            </w:r>
            <w:r w:rsidRPr="00753293">
              <w:rPr>
                <w:rFonts w:eastAsia="Calibri"/>
                <w:szCs w:val="24"/>
                <w:vertAlign w:val="subscript"/>
              </w:rPr>
              <w:t>0</w:t>
            </w:r>
          </w:p>
        </w:tc>
        <w:tc>
          <w:tcPr>
            <w:tcW w:w="4428" w:type="pct"/>
          </w:tcPr>
          <w:p w14:paraId="6B1520BD" w14:textId="46F4D18E" w:rsidR="0099384C" w:rsidRPr="00DC3180" w:rsidRDefault="0099384C" w:rsidP="0099384C">
            <w:pPr>
              <w:jc w:val="both"/>
              <w:rPr>
                <w:rFonts w:ascii="Arial" w:hAnsi="Arial" w:cs="Arial"/>
              </w:rPr>
            </w:pPr>
            <w:r w:rsidRPr="00753293">
              <w:rPr>
                <w:rFonts w:eastAsia="Calibri"/>
                <w:szCs w:val="24"/>
              </w:rPr>
              <w:t>=</w:t>
            </w:r>
            <w:r w:rsidR="00CB3D44" w:rsidRPr="00753293">
              <w:rPr>
                <w:rFonts w:eastAsia="Calibri"/>
                <w:szCs w:val="24"/>
                <w:lang w:val="en-IN"/>
              </w:rPr>
              <w:t xml:space="preserve"> Intercept</w:t>
            </w:r>
          </w:p>
        </w:tc>
      </w:tr>
      <w:tr w:rsidR="0099384C" w:rsidRPr="00DC3180" w14:paraId="6E7CFE13" w14:textId="77777777" w:rsidTr="00D4315F">
        <w:trPr>
          <w:trHeight w:val="211"/>
        </w:trPr>
        <w:tc>
          <w:tcPr>
            <w:tcW w:w="572" w:type="pct"/>
          </w:tcPr>
          <w:p w14:paraId="20A70999" w14:textId="000DA7EB" w:rsidR="0099384C" w:rsidRPr="00DC3180" w:rsidRDefault="0099384C" w:rsidP="0099384C">
            <w:pPr>
              <w:jc w:val="both"/>
              <w:rPr>
                <w:rFonts w:ascii="Arial" w:hAnsi="Arial"/>
              </w:rPr>
            </w:pPr>
            <w:r>
              <w:rPr>
                <w:rFonts w:eastAsia="Calibri"/>
                <w:szCs w:val="24"/>
                <w:lang w:val="en-IN"/>
              </w:rPr>
              <w:t>b</w:t>
            </w:r>
            <w:r w:rsidRPr="00753293">
              <w:rPr>
                <w:rFonts w:eastAsia="Calibri"/>
                <w:szCs w:val="24"/>
                <w:vertAlign w:val="subscript"/>
                <w:lang w:val="en-IN"/>
              </w:rPr>
              <w:t xml:space="preserve">1 </w:t>
            </w:r>
            <w:r w:rsidRPr="00753293">
              <w:rPr>
                <w:rFonts w:eastAsia="Calibri"/>
                <w:szCs w:val="24"/>
                <w:lang w:val="en-IN"/>
              </w:rPr>
              <w:t xml:space="preserve">to </w:t>
            </w:r>
            <w:r>
              <w:rPr>
                <w:rFonts w:eastAsia="Calibri"/>
                <w:szCs w:val="24"/>
                <w:lang w:val="en-IN"/>
              </w:rPr>
              <w:t>b</w:t>
            </w:r>
            <w:r w:rsidRPr="00753293">
              <w:rPr>
                <w:rFonts w:eastAsia="Calibri"/>
                <w:szCs w:val="24"/>
                <w:vertAlign w:val="subscript"/>
                <w:lang w:val="en-IN"/>
              </w:rPr>
              <w:t>10</w:t>
            </w:r>
          </w:p>
        </w:tc>
        <w:tc>
          <w:tcPr>
            <w:tcW w:w="4428" w:type="pct"/>
          </w:tcPr>
          <w:p w14:paraId="4327F079" w14:textId="1B92EFA1" w:rsidR="0099384C" w:rsidRPr="00DC3180" w:rsidRDefault="0099384C" w:rsidP="0099384C">
            <w:pPr>
              <w:jc w:val="both"/>
              <w:rPr>
                <w:rFonts w:ascii="Arial" w:hAnsi="Arial"/>
              </w:rPr>
            </w:pPr>
            <w:r w:rsidRPr="00753293">
              <w:rPr>
                <w:rFonts w:eastAsia="Calibri"/>
                <w:szCs w:val="24"/>
              </w:rPr>
              <w:t>=</w:t>
            </w:r>
            <w:r w:rsidR="00CB3D44" w:rsidRPr="00753293">
              <w:rPr>
                <w:rFonts w:eastAsia="Calibri"/>
                <w:szCs w:val="24"/>
                <w:lang w:val="en-IN"/>
              </w:rPr>
              <w:t xml:space="preserve"> Regression co-efficient</w:t>
            </w:r>
          </w:p>
        </w:tc>
      </w:tr>
      <w:tr w:rsidR="0099384C" w:rsidRPr="00DC3180" w14:paraId="617F823C" w14:textId="77777777" w:rsidTr="00D4315F">
        <w:trPr>
          <w:trHeight w:val="218"/>
        </w:trPr>
        <w:tc>
          <w:tcPr>
            <w:tcW w:w="572" w:type="pct"/>
          </w:tcPr>
          <w:p w14:paraId="4C2C1A3C" w14:textId="501FBE97" w:rsidR="0099384C" w:rsidRPr="00DC3180" w:rsidRDefault="0099384C" w:rsidP="0099384C">
            <w:pPr>
              <w:jc w:val="both"/>
              <w:rPr>
                <w:rFonts w:ascii="Arial" w:hAnsi="Arial"/>
              </w:rPr>
            </w:pPr>
            <w:r w:rsidRPr="00753293">
              <w:rPr>
                <w:rFonts w:eastAsia="Calibri"/>
                <w:szCs w:val="24"/>
              </w:rPr>
              <w:t>X</w:t>
            </w:r>
            <w:r w:rsidRPr="00753293">
              <w:rPr>
                <w:rFonts w:eastAsia="Calibri"/>
                <w:szCs w:val="24"/>
                <w:vertAlign w:val="subscript"/>
              </w:rPr>
              <w:t>1</w:t>
            </w:r>
          </w:p>
        </w:tc>
        <w:tc>
          <w:tcPr>
            <w:tcW w:w="4428" w:type="pct"/>
          </w:tcPr>
          <w:p w14:paraId="52F74909" w14:textId="15862E89" w:rsidR="0099384C" w:rsidRPr="00DC3180" w:rsidRDefault="0099384C" w:rsidP="0099384C">
            <w:pPr>
              <w:jc w:val="both"/>
              <w:rPr>
                <w:rFonts w:ascii="Arial" w:hAnsi="Arial"/>
              </w:rPr>
            </w:pPr>
            <w:r w:rsidRPr="00753293">
              <w:rPr>
                <w:rFonts w:eastAsia="Calibri"/>
                <w:szCs w:val="24"/>
              </w:rPr>
              <w:t>=</w:t>
            </w:r>
            <w:r w:rsidR="00860A9A" w:rsidRPr="00753293">
              <w:rPr>
                <w:rFonts w:eastAsia="Calibri"/>
                <w:szCs w:val="24"/>
                <w:lang w:val="en-IN"/>
              </w:rPr>
              <w:t xml:space="preserve"> Price of seed (High-3, Medium-2, Low-1)</w:t>
            </w:r>
          </w:p>
        </w:tc>
      </w:tr>
      <w:tr w:rsidR="0099384C" w:rsidRPr="00DC3180" w14:paraId="4EDC459F" w14:textId="77777777" w:rsidTr="00D4315F">
        <w:trPr>
          <w:trHeight w:val="218"/>
        </w:trPr>
        <w:tc>
          <w:tcPr>
            <w:tcW w:w="572" w:type="pct"/>
          </w:tcPr>
          <w:p w14:paraId="4DEA0592" w14:textId="6A79CCF9" w:rsidR="0099384C" w:rsidRDefault="0099384C" w:rsidP="0099384C">
            <w:pPr>
              <w:jc w:val="both"/>
              <w:rPr>
                <w:rFonts w:ascii="Arial" w:hAnsi="Arial"/>
              </w:rPr>
            </w:pPr>
            <w:r w:rsidRPr="00753293">
              <w:rPr>
                <w:rFonts w:eastAsia="Calibri"/>
                <w:szCs w:val="24"/>
              </w:rPr>
              <w:t>X</w:t>
            </w:r>
            <w:r w:rsidRPr="00753293">
              <w:rPr>
                <w:rFonts w:eastAsia="Calibri"/>
                <w:szCs w:val="24"/>
                <w:vertAlign w:val="subscript"/>
              </w:rPr>
              <w:t>2</w:t>
            </w:r>
          </w:p>
        </w:tc>
        <w:tc>
          <w:tcPr>
            <w:tcW w:w="4428" w:type="pct"/>
          </w:tcPr>
          <w:p w14:paraId="25E4A009" w14:textId="6EE19A71" w:rsidR="0099384C" w:rsidRPr="00743D58" w:rsidRDefault="0099384C" w:rsidP="0099384C">
            <w:pPr>
              <w:jc w:val="both"/>
              <w:rPr>
                <w:rFonts w:ascii="Arial" w:hAnsi="Arial"/>
              </w:rPr>
            </w:pPr>
            <w:r w:rsidRPr="00753293">
              <w:rPr>
                <w:rFonts w:eastAsia="Calibri"/>
                <w:szCs w:val="24"/>
              </w:rPr>
              <w:t>=</w:t>
            </w:r>
            <w:r w:rsidR="00860A9A">
              <w:rPr>
                <w:rFonts w:eastAsia="Calibri"/>
                <w:szCs w:val="24"/>
              </w:rPr>
              <w:t xml:space="preserve"> </w:t>
            </w:r>
            <w:r w:rsidR="00860A9A" w:rsidRPr="00753293">
              <w:rPr>
                <w:rFonts w:eastAsia="Calibri"/>
                <w:szCs w:val="24"/>
              </w:rPr>
              <w:t>Availability of preferred brand (Yes-1, No-2)</w:t>
            </w:r>
          </w:p>
        </w:tc>
      </w:tr>
      <w:tr w:rsidR="0099384C" w:rsidRPr="00DC3180" w14:paraId="0AD69E03" w14:textId="77777777" w:rsidTr="00D4315F">
        <w:trPr>
          <w:trHeight w:val="218"/>
        </w:trPr>
        <w:tc>
          <w:tcPr>
            <w:tcW w:w="572" w:type="pct"/>
          </w:tcPr>
          <w:p w14:paraId="4BC7B49A" w14:textId="73494275" w:rsidR="0099384C" w:rsidRDefault="0099384C" w:rsidP="0099384C">
            <w:pPr>
              <w:jc w:val="both"/>
              <w:rPr>
                <w:rFonts w:ascii="Arial" w:hAnsi="Arial"/>
              </w:rPr>
            </w:pPr>
            <w:r w:rsidRPr="00753293">
              <w:rPr>
                <w:rFonts w:eastAsia="Calibri"/>
                <w:szCs w:val="24"/>
              </w:rPr>
              <w:t>X</w:t>
            </w:r>
            <w:r w:rsidRPr="00753293">
              <w:rPr>
                <w:rFonts w:eastAsia="Calibri"/>
                <w:szCs w:val="24"/>
                <w:vertAlign w:val="subscript"/>
              </w:rPr>
              <w:t>3</w:t>
            </w:r>
            <w:r w:rsidRPr="00753293">
              <w:rPr>
                <w:rFonts w:eastAsia="Calibri"/>
                <w:szCs w:val="24"/>
              </w:rPr>
              <w:t xml:space="preserve"> </w:t>
            </w:r>
          </w:p>
        </w:tc>
        <w:tc>
          <w:tcPr>
            <w:tcW w:w="4428" w:type="pct"/>
          </w:tcPr>
          <w:p w14:paraId="47686424" w14:textId="477F8205" w:rsidR="0099384C" w:rsidRPr="00743D58" w:rsidRDefault="0099384C" w:rsidP="0099384C">
            <w:pPr>
              <w:jc w:val="both"/>
              <w:rPr>
                <w:rFonts w:ascii="Arial" w:hAnsi="Arial"/>
              </w:rPr>
            </w:pPr>
            <w:r w:rsidRPr="00753293">
              <w:rPr>
                <w:rFonts w:eastAsia="Calibri"/>
                <w:szCs w:val="24"/>
              </w:rPr>
              <w:t>=</w:t>
            </w:r>
            <w:r w:rsidR="00860A9A" w:rsidRPr="00753293">
              <w:rPr>
                <w:rFonts w:eastAsia="Calibri"/>
                <w:szCs w:val="24"/>
                <w:lang w:val="en-IN"/>
              </w:rPr>
              <w:t xml:space="preserve"> Peer group influence </w:t>
            </w:r>
            <w:r w:rsidR="00860A9A" w:rsidRPr="00753293">
              <w:rPr>
                <w:rFonts w:eastAsia="Calibri"/>
                <w:szCs w:val="24"/>
              </w:rPr>
              <w:t>(Yes-1, No-2)</w:t>
            </w:r>
          </w:p>
        </w:tc>
      </w:tr>
      <w:tr w:rsidR="0099384C" w:rsidRPr="00DC3180" w14:paraId="60989650" w14:textId="77777777" w:rsidTr="00D4315F">
        <w:trPr>
          <w:trHeight w:val="218"/>
        </w:trPr>
        <w:tc>
          <w:tcPr>
            <w:tcW w:w="572" w:type="pct"/>
          </w:tcPr>
          <w:p w14:paraId="01C909F6" w14:textId="2CA89477" w:rsidR="0099384C" w:rsidRDefault="0099384C" w:rsidP="0099384C">
            <w:pPr>
              <w:jc w:val="both"/>
              <w:rPr>
                <w:rFonts w:ascii="Arial" w:hAnsi="Arial"/>
              </w:rPr>
            </w:pPr>
            <w:r w:rsidRPr="00753293">
              <w:rPr>
                <w:rFonts w:eastAsia="Calibri"/>
                <w:szCs w:val="24"/>
              </w:rPr>
              <w:t>X</w:t>
            </w:r>
            <w:r w:rsidRPr="00753293">
              <w:rPr>
                <w:rFonts w:eastAsia="Calibri"/>
                <w:szCs w:val="24"/>
                <w:vertAlign w:val="subscript"/>
              </w:rPr>
              <w:t>4</w:t>
            </w:r>
          </w:p>
        </w:tc>
        <w:tc>
          <w:tcPr>
            <w:tcW w:w="4428" w:type="pct"/>
          </w:tcPr>
          <w:p w14:paraId="188FD2D9" w14:textId="59BA1104" w:rsidR="0099384C" w:rsidRPr="00743D58" w:rsidRDefault="00860A9A" w:rsidP="0099384C">
            <w:pPr>
              <w:jc w:val="both"/>
              <w:rPr>
                <w:rFonts w:ascii="Arial" w:hAnsi="Arial"/>
              </w:rPr>
            </w:pPr>
            <w:r>
              <w:rPr>
                <w:rFonts w:ascii="Arial" w:hAnsi="Arial"/>
              </w:rPr>
              <w:t>=</w:t>
            </w:r>
            <w:r w:rsidRPr="00753293">
              <w:rPr>
                <w:rFonts w:eastAsia="Calibri"/>
                <w:szCs w:val="24"/>
                <w:lang w:val="en-IN"/>
              </w:rPr>
              <w:t xml:space="preserve"> Quality seed (Good-3, Average-2, Poor-1)</w:t>
            </w:r>
          </w:p>
        </w:tc>
      </w:tr>
      <w:tr w:rsidR="0099384C" w:rsidRPr="00DC3180" w14:paraId="0C221A5B" w14:textId="77777777" w:rsidTr="00D4315F">
        <w:trPr>
          <w:trHeight w:val="218"/>
        </w:trPr>
        <w:tc>
          <w:tcPr>
            <w:tcW w:w="572" w:type="pct"/>
          </w:tcPr>
          <w:p w14:paraId="73B426B0" w14:textId="6B7BE913" w:rsidR="0099384C" w:rsidRPr="00DC3180" w:rsidRDefault="0099384C" w:rsidP="0099384C">
            <w:pPr>
              <w:jc w:val="both"/>
              <w:rPr>
                <w:rFonts w:ascii="Arial" w:hAnsi="Arial"/>
              </w:rPr>
            </w:pPr>
            <w:r w:rsidRPr="00753293">
              <w:rPr>
                <w:rFonts w:eastAsia="Calibri"/>
                <w:szCs w:val="24"/>
              </w:rPr>
              <w:t>X</w:t>
            </w:r>
            <w:r w:rsidRPr="00753293">
              <w:rPr>
                <w:rFonts w:eastAsia="Calibri"/>
                <w:szCs w:val="24"/>
                <w:vertAlign w:val="subscript"/>
              </w:rPr>
              <w:t>5</w:t>
            </w:r>
            <w:r w:rsidRPr="00753293">
              <w:rPr>
                <w:rFonts w:eastAsia="Calibri"/>
                <w:szCs w:val="24"/>
              </w:rPr>
              <w:t xml:space="preserve"> </w:t>
            </w:r>
          </w:p>
        </w:tc>
        <w:tc>
          <w:tcPr>
            <w:tcW w:w="4428" w:type="pct"/>
          </w:tcPr>
          <w:p w14:paraId="613D278B" w14:textId="7F49658A" w:rsidR="0099384C" w:rsidRPr="00DC3180" w:rsidRDefault="0099384C" w:rsidP="0099384C">
            <w:pPr>
              <w:jc w:val="both"/>
              <w:rPr>
                <w:rFonts w:ascii="Arial" w:hAnsi="Arial"/>
              </w:rPr>
            </w:pPr>
            <w:r w:rsidRPr="00753293">
              <w:rPr>
                <w:rFonts w:eastAsia="Calibri"/>
                <w:szCs w:val="24"/>
              </w:rPr>
              <w:t>=</w:t>
            </w:r>
            <w:r w:rsidR="00860A9A" w:rsidRPr="00753293">
              <w:rPr>
                <w:rFonts w:eastAsia="Calibri"/>
                <w:szCs w:val="24"/>
                <w:lang w:val="en-IN"/>
              </w:rPr>
              <w:t xml:space="preserve"> Brand image (Good-3, Average-2, Poor-1)</w:t>
            </w:r>
          </w:p>
        </w:tc>
      </w:tr>
      <w:tr w:rsidR="00860A9A" w:rsidRPr="00DC3180" w14:paraId="29869FB9" w14:textId="77777777" w:rsidTr="00D4315F">
        <w:trPr>
          <w:trHeight w:val="218"/>
        </w:trPr>
        <w:tc>
          <w:tcPr>
            <w:tcW w:w="572" w:type="pct"/>
          </w:tcPr>
          <w:p w14:paraId="452345C9" w14:textId="3EAF8EDC" w:rsidR="00860A9A" w:rsidRDefault="00860A9A" w:rsidP="00860A9A">
            <w:pPr>
              <w:jc w:val="both"/>
              <w:rPr>
                <w:rFonts w:ascii="Arial" w:hAnsi="Arial"/>
              </w:rPr>
            </w:pPr>
            <w:r w:rsidRPr="00753293">
              <w:rPr>
                <w:rFonts w:eastAsia="Calibri"/>
                <w:szCs w:val="24"/>
              </w:rPr>
              <w:t>X</w:t>
            </w:r>
            <w:r w:rsidRPr="00753293">
              <w:rPr>
                <w:rFonts w:eastAsia="Calibri"/>
                <w:szCs w:val="24"/>
                <w:vertAlign w:val="subscript"/>
              </w:rPr>
              <w:t>6</w:t>
            </w:r>
            <w:r w:rsidRPr="00753293">
              <w:rPr>
                <w:rFonts w:eastAsia="Calibri"/>
                <w:szCs w:val="24"/>
              </w:rPr>
              <w:t xml:space="preserve"> </w:t>
            </w:r>
          </w:p>
        </w:tc>
        <w:tc>
          <w:tcPr>
            <w:tcW w:w="4428" w:type="pct"/>
          </w:tcPr>
          <w:p w14:paraId="75391279" w14:textId="27419CEE" w:rsidR="00860A9A" w:rsidRPr="00743D58" w:rsidRDefault="00860A9A" w:rsidP="00860A9A">
            <w:pPr>
              <w:jc w:val="both"/>
              <w:rPr>
                <w:rFonts w:ascii="Arial" w:hAnsi="Arial"/>
              </w:rPr>
            </w:pPr>
            <w:r>
              <w:rPr>
                <w:rFonts w:eastAsia="Calibri"/>
                <w:szCs w:val="24"/>
                <w:lang w:val="en-IN"/>
              </w:rPr>
              <w:t xml:space="preserve">= </w:t>
            </w:r>
            <w:r w:rsidRPr="00753293">
              <w:rPr>
                <w:rFonts w:eastAsia="Calibri"/>
                <w:szCs w:val="24"/>
                <w:lang w:val="en-IN"/>
              </w:rPr>
              <w:t xml:space="preserve">Influence of advertisement </w:t>
            </w:r>
            <w:r w:rsidRPr="00753293">
              <w:rPr>
                <w:rFonts w:eastAsia="Calibri"/>
                <w:szCs w:val="24"/>
              </w:rPr>
              <w:t>(Yes-1, No-2)</w:t>
            </w:r>
          </w:p>
        </w:tc>
      </w:tr>
      <w:tr w:rsidR="00860A9A" w:rsidRPr="00DC3180" w14:paraId="2C9CEBAA" w14:textId="77777777" w:rsidTr="00D4315F">
        <w:trPr>
          <w:trHeight w:val="218"/>
        </w:trPr>
        <w:tc>
          <w:tcPr>
            <w:tcW w:w="572" w:type="pct"/>
          </w:tcPr>
          <w:p w14:paraId="0AFF6DED" w14:textId="15A60F9C" w:rsidR="00860A9A" w:rsidRDefault="00860A9A" w:rsidP="00860A9A">
            <w:pPr>
              <w:jc w:val="both"/>
              <w:rPr>
                <w:rFonts w:ascii="Arial" w:hAnsi="Arial"/>
              </w:rPr>
            </w:pPr>
            <w:r w:rsidRPr="00753293">
              <w:rPr>
                <w:rFonts w:eastAsia="Calibri"/>
                <w:szCs w:val="24"/>
              </w:rPr>
              <w:t>X</w:t>
            </w:r>
            <w:r w:rsidRPr="00753293">
              <w:rPr>
                <w:rFonts w:eastAsia="Calibri"/>
                <w:szCs w:val="24"/>
                <w:vertAlign w:val="subscript"/>
              </w:rPr>
              <w:t>7</w:t>
            </w:r>
            <w:r w:rsidRPr="00753293">
              <w:rPr>
                <w:rFonts w:eastAsia="Calibri"/>
                <w:szCs w:val="24"/>
              </w:rPr>
              <w:t xml:space="preserve"> </w:t>
            </w:r>
          </w:p>
        </w:tc>
        <w:tc>
          <w:tcPr>
            <w:tcW w:w="4428" w:type="pct"/>
          </w:tcPr>
          <w:p w14:paraId="0428CF14" w14:textId="30247E9B" w:rsidR="00860A9A" w:rsidRPr="00743D58" w:rsidRDefault="00860A9A" w:rsidP="00860A9A">
            <w:pPr>
              <w:jc w:val="both"/>
              <w:rPr>
                <w:rFonts w:ascii="Arial" w:hAnsi="Arial"/>
              </w:rPr>
            </w:pPr>
            <w:r w:rsidRPr="00753293">
              <w:rPr>
                <w:rFonts w:eastAsia="Calibri"/>
                <w:szCs w:val="24"/>
              </w:rPr>
              <w:t>= Free From pest or diseases (Yes-1, No-2)</w:t>
            </w:r>
          </w:p>
        </w:tc>
      </w:tr>
      <w:tr w:rsidR="00860A9A" w:rsidRPr="00DC3180" w14:paraId="51954C86" w14:textId="77777777" w:rsidTr="00D4315F">
        <w:trPr>
          <w:trHeight w:val="218"/>
        </w:trPr>
        <w:tc>
          <w:tcPr>
            <w:tcW w:w="572" w:type="pct"/>
          </w:tcPr>
          <w:p w14:paraId="3830EAA3" w14:textId="10C34337" w:rsidR="00860A9A" w:rsidRDefault="00860A9A" w:rsidP="00860A9A">
            <w:pPr>
              <w:jc w:val="both"/>
              <w:rPr>
                <w:rFonts w:ascii="Arial" w:hAnsi="Arial"/>
              </w:rPr>
            </w:pPr>
            <w:r w:rsidRPr="00753293">
              <w:rPr>
                <w:rFonts w:eastAsia="Calibri"/>
                <w:szCs w:val="24"/>
              </w:rPr>
              <w:t>X</w:t>
            </w:r>
            <w:r w:rsidRPr="00753293">
              <w:rPr>
                <w:rFonts w:eastAsia="Calibri"/>
                <w:szCs w:val="24"/>
                <w:vertAlign w:val="subscript"/>
              </w:rPr>
              <w:t>8</w:t>
            </w:r>
          </w:p>
        </w:tc>
        <w:tc>
          <w:tcPr>
            <w:tcW w:w="4428" w:type="pct"/>
          </w:tcPr>
          <w:p w14:paraId="47A64AED" w14:textId="4D60621F" w:rsidR="00860A9A" w:rsidRPr="00743D58" w:rsidRDefault="00860A9A" w:rsidP="00860A9A">
            <w:pPr>
              <w:jc w:val="both"/>
              <w:rPr>
                <w:rFonts w:ascii="Arial" w:hAnsi="Arial"/>
              </w:rPr>
            </w:pPr>
            <w:r w:rsidRPr="00753293">
              <w:rPr>
                <w:rFonts w:eastAsia="Calibri"/>
                <w:szCs w:val="24"/>
              </w:rPr>
              <w:t>= Credit availability (Yes-1, No-2)</w:t>
            </w:r>
          </w:p>
        </w:tc>
      </w:tr>
      <w:tr w:rsidR="00860A9A" w:rsidRPr="00DC3180" w14:paraId="13BCCB3E" w14:textId="77777777" w:rsidTr="00D4315F">
        <w:trPr>
          <w:trHeight w:val="218"/>
        </w:trPr>
        <w:tc>
          <w:tcPr>
            <w:tcW w:w="572" w:type="pct"/>
          </w:tcPr>
          <w:p w14:paraId="64E8D308" w14:textId="0C352FFE" w:rsidR="00860A9A" w:rsidRDefault="00860A9A" w:rsidP="00860A9A">
            <w:pPr>
              <w:jc w:val="both"/>
              <w:rPr>
                <w:rFonts w:ascii="Arial" w:hAnsi="Arial"/>
              </w:rPr>
            </w:pPr>
            <w:r w:rsidRPr="00753293">
              <w:rPr>
                <w:rFonts w:eastAsia="Calibri"/>
                <w:szCs w:val="24"/>
              </w:rPr>
              <w:t>X</w:t>
            </w:r>
            <w:r w:rsidRPr="00753293">
              <w:rPr>
                <w:rFonts w:eastAsia="Calibri"/>
                <w:szCs w:val="24"/>
                <w:vertAlign w:val="subscript"/>
              </w:rPr>
              <w:t>9</w:t>
            </w:r>
          </w:p>
        </w:tc>
        <w:tc>
          <w:tcPr>
            <w:tcW w:w="4428" w:type="pct"/>
          </w:tcPr>
          <w:p w14:paraId="52F4C880" w14:textId="632E8E40" w:rsidR="00860A9A" w:rsidRPr="00743D58" w:rsidRDefault="00860A9A" w:rsidP="00860A9A">
            <w:pPr>
              <w:jc w:val="both"/>
              <w:rPr>
                <w:rFonts w:ascii="Arial" w:hAnsi="Arial"/>
              </w:rPr>
            </w:pPr>
            <w:r w:rsidRPr="00753293">
              <w:rPr>
                <w:rFonts w:eastAsia="Calibri"/>
                <w:szCs w:val="24"/>
              </w:rPr>
              <w:t>= Cropping area (ha)</w:t>
            </w:r>
          </w:p>
        </w:tc>
      </w:tr>
      <w:tr w:rsidR="00860A9A" w:rsidRPr="00DC3180" w14:paraId="30F822B1" w14:textId="77777777" w:rsidTr="00D4315F">
        <w:trPr>
          <w:trHeight w:val="218"/>
        </w:trPr>
        <w:tc>
          <w:tcPr>
            <w:tcW w:w="572" w:type="pct"/>
          </w:tcPr>
          <w:p w14:paraId="7FFE466A" w14:textId="443C4F70" w:rsidR="00860A9A" w:rsidRPr="00753293" w:rsidRDefault="00860A9A" w:rsidP="00860A9A">
            <w:pPr>
              <w:jc w:val="both"/>
              <w:rPr>
                <w:rFonts w:eastAsia="Calibri"/>
                <w:szCs w:val="24"/>
              </w:rPr>
            </w:pPr>
            <w:r w:rsidRPr="00753293">
              <w:rPr>
                <w:rFonts w:eastAsia="Calibri"/>
                <w:szCs w:val="24"/>
              </w:rPr>
              <w:t>X</w:t>
            </w:r>
            <w:r w:rsidRPr="00753293">
              <w:rPr>
                <w:rFonts w:eastAsia="Calibri"/>
                <w:szCs w:val="24"/>
                <w:vertAlign w:val="subscript"/>
              </w:rPr>
              <w:t>10</w:t>
            </w:r>
          </w:p>
        </w:tc>
        <w:tc>
          <w:tcPr>
            <w:tcW w:w="4428" w:type="pct"/>
          </w:tcPr>
          <w:p w14:paraId="58E053B5" w14:textId="1D4DE9CC" w:rsidR="00860A9A" w:rsidRPr="00753293" w:rsidRDefault="00860A9A" w:rsidP="00860A9A">
            <w:pPr>
              <w:jc w:val="both"/>
              <w:rPr>
                <w:rFonts w:eastAsia="Calibri"/>
                <w:szCs w:val="24"/>
              </w:rPr>
            </w:pPr>
            <w:r>
              <w:rPr>
                <w:rFonts w:eastAsia="Calibri"/>
                <w:szCs w:val="24"/>
              </w:rPr>
              <w:t>=</w:t>
            </w:r>
            <w:r w:rsidRPr="00753293">
              <w:rPr>
                <w:rFonts w:eastAsia="Calibri"/>
                <w:szCs w:val="24"/>
              </w:rPr>
              <w:t xml:space="preserve"> Annual income (Rs)</w:t>
            </w:r>
          </w:p>
        </w:tc>
      </w:tr>
      <w:tr w:rsidR="00860A9A" w:rsidRPr="00DC3180" w14:paraId="05F8D895" w14:textId="77777777" w:rsidTr="00D4315F">
        <w:trPr>
          <w:trHeight w:val="218"/>
        </w:trPr>
        <w:tc>
          <w:tcPr>
            <w:tcW w:w="572" w:type="pct"/>
          </w:tcPr>
          <w:p w14:paraId="284E0163" w14:textId="52CB8588" w:rsidR="00860A9A" w:rsidRPr="00753293" w:rsidRDefault="00860A9A" w:rsidP="00860A9A">
            <w:pPr>
              <w:jc w:val="both"/>
              <w:rPr>
                <w:rFonts w:eastAsia="Calibri"/>
                <w:szCs w:val="24"/>
              </w:rPr>
            </w:pPr>
            <w:r w:rsidRPr="00753293">
              <w:rPr>
                <w:rFonts w:eastAsia="Calibri"/>
                <w:szCs w:val="24"/>
              </w:rPr>
              <w:t>U</w:t>
            </w:r>
          </w:p>
        </w:tc>
        <w:tc>
          <w:tcPr>
            <w:tcW w:w="4428" w:type="pct"/>
          </w:tcPr>
          <w:p w14:paraId="5397EA00" w14:textId="1FC8C089" w:rsidR="00860A9A" w:rsidRPr="00753293" w:rsidRDefault="00860A9A" w:rsidP="00860A9A">
            <w:pPr>
              <w:jc w:val="both"/>
              <w:rPr>
                <w:rFonts w:eastAsia="Calibri"/>
                <w:szCs w:val="24"/>
              </w:rPr>
            </w:pPr>
            <w:r>
              <w:rPr>
                <w:rFonts w:eastAsia="Calibri"/>
                <w:szCs w:val="24"/>
              </w:rPr>
              <w:t>=</w:t>
            </w:r>
            <w:r w:rsidRPr="00753293">
              <w:rPr>
                <w:rFonts w:eastAsia="Calibri"/>
                <w:szCs w:val="24"/>
              </w:rPr>
              <w:t xml:space="preserve"> Error terms</w:t>
            </w:r>
          </w:p>
        </w:tc>
      </w:tr>
    </w:tbl>
    <w:p w14:paraId="12D9C79E" w14:textId="5D0DD959" w:rsidR="00C00DC1" w:rsidRPr="001014B9" w:rsidRDefault="00743D58" w:rsidP="00441B6F">
      <w:pPr>
        <w:pStyle w:val="Body"/>
        <w:spacing w:after="0"/>
        <w:rPr>
          <w:rFonts w:ascii="Arial" w:hAnsi="Arial" w:cs="Arial"/>
          <w:i/>
          <w:iCs/>
          <w:sz w:val="18"/>
          <w:szCs w:val="18"/>
          <w:lang w:val="sv-SE"/>
        </w:rPr>
      </w:pPr>
      <w:r w:rsidRPr="001014B9">
        <w:rPr>
          <w:rFonts w:ascii="Arial" w:hAnsi="Arial" w:cs="Arial"/>
          <w:i/>
          <w:iCs/>
          <w:sz w:val="18"/>
          <w:szCs w:val="18"/>
          <w:lang w:val="sv-SE"/>
        </w:rPr>
        <w:t>*</w:t>
      </w:r>
      <w:r w:rsidR="00860A9A" w:rsidRPr="001014B9">
        <w:rPr>
          <w:rFonts w:ascii="Arial" w:hAnsi="Arial" w:cs="Arial"/>
          <w:i/>
          <w:iCs/>
          <w:sz w:val="18"/>
          <w:szCs w:val="18"/>
          <w:lang w:val="sv-SE"/>
        </w:rPr>
        <w:t>(Shanker et al., 2016</w:t>
      </w:r>
      <w:r w:rsidR="00C75A2A" w:rsidRPr="001014B9">
        <w:rPr>
          <w:rFonts w:ascii="Arial" w:hAnsi="Arial" w:cs="Arial"/>
          <w:i/>
          <w:iCs/>
          <w:sz w:val="18"/>
          <w:szCs w:val="18"/>
          <w:lang w:val="sv-SE"/>
        </w:rPr>
        <w:t>; Vennila et al., 2023</w:t>
      </w:r>
      <w:r w:rsidR="00860A9A" w:rsidRPr="001014B9">
        <w:rPr>
          <w:rFonts w:ascii="Arial" w:hAnsi="Arial" w:cs="Arial"/>
          <w:i/>
          <w:iCs/>
          <w:sz w:val="18"/>
          <w:szCs w:val="18"/>
          <w:lang w:val="sv-SE"/>
        </w:rPr>
        <w:t>)</w:t>
      </w:r>
    </w:p>
    <w:p w14:paraId="3E48ECE9" w14:textId="77777777" w:rsidR="008D261D" w:rsidRPr="001014B9" w:rsidRDefault="008D261D" w:rsidP="002F5124">
      <w:pPr>
        <w:pStyle w:val="AbstHead"/>
        <w:spacing w:after="0"/>
        <w:jc w:val="both"/>
        <w:rPr>
          <w:rFonts w:ascii="Arial" w:hAnsi="Arial" w:cs="Arial"/>
          <w:lang w:val="sv-SE"/>
        </w:rPr>
      </w:pPr>
    </w:p>
    <w:p w14:paraId="7964C7DB" w14:textId="538F5F54" w:rsidR="002F5124" w:rsidRDefault="002F5124" w:rsidP="002F5124">
      <w:pPr>
        <w:pStyle w:val="AbstHead"/>
        <w:spacing w:after="0"/>
        <w:jc w:val="both"/>
        <w:rPr>
          <w:rFonts w:ascii="Arial" w:hAnsi="Arial" w:cs="Arial"/>
        </w:rPr>
      </w:pPr>
      <w:r>
        <w:rPr>
          <w:rFonts w:ascii="Arial" w:hAnsi="Arial" w:cs="Arial"/>
        </w:rPr>
        <w:t>3. RESULT AND DISCUSSION</w:t>
      </w:r>
    </w:p>
    <w:p w14:paraId="11ED9030" w14:textId="77777777" w:rsidR="002F5124" w:rsidRDefault="002F5124" w:rsidP="002F5124">
      <w:pPr>
        <w:pStyle w:val="AbstHead"/>
        <w:spacing w:after="0"/>
        <w:jc w:val="both"/>
        <w:rPr>
          <w:rFonts w:ascii="Arial" w:hAnsi="Arial" w:cs="Arial"/>
        </w:rPr>
      </w:pPr>
    </w:p>
    <w:p w14:paraId="34F375E1" w14:textId="65632CF9" w:rsidR="00A83E49" w:rsidRPr="002F5124" w:rsidRDefault="002F5124" w:rsidP="002F5124">
      <w:pPr>
        <w:widowControl w:val="0"/>
        <w:autoSpaceDE w:val="0"/>
        <w:autoSpaceDN w:val="0"/>
        <w:spacing w:line="360" w:lineRule="auto"/>
        <w:jc w:val="both"/>
        <w:rPr>
          <w:rFonts w:ascii="Arial" w:hAnsi="Arial" w:cs="Arial"/>
          <w:b/>
          <w:bCs/>
          <w:sz w:val="22"/>
          <w:szCs w:val="22"/>
        </w:rPr>
      </w:pPr>
      <w:bookmarkStart w:id="0" w:name="_Hlk189322621"/>
      <w:r>
        <w:rPr>
          <w:rFonts w:ascii="Arial" w:hAnsi="Arial" w:cs="Arial"/>
          <w:b/>
          <w:caps/>
          <w:sz w:val="22"/>
        </w:rPr>
        <w:t>3.1</w:t>
      </w:r>
      <w:r w:rsidRPr="0028103D">
        <w:rPr>
          <w:rFonts w:ascii="Arial" w:hAnsi="Arial" w:cs="Arial"/>
          <w:b/>
          <w:caps/>
          <w:sz w:val="22"/>
        </w:rPr>
        <w:t xml:space="preserve"> </w:t>
      </w:r>
      <w:r w:rsidR="00746EE3">
        <w:rPr>
          <w:rFonts w:ascii="Arial" w:hAnsi="Arial" w:cs="Arial"/>
          <w:b/>
          <w:bCs/>
          <w:sz w:val="22"/>
          <w:szCs w:val="22"/>
        </w:rPr>
        <w:t>Purchasing Behavior of Coriander</w:t>
      </w:r>
      <w:r w:rsidR="006E47E3">
        <w:rPr>
          <w:rFonts w:ascii="Arial" w:hAnsi="Arial" w:cs="Arial"/>
          <w:b/>
          <w:bCs/>
          <w:sz w:val="22"/>
          <w:szCs w:val="22"/>
        </w:rPr>
        <w:t xml:space="preserve"> Growers</w:t>
      </w:r>
    </w:p>
    <w:bookmarkEnd w:id="0"/>
    <w:p w14:paraId="09CCC01F" w14:textId="77777777" w:rsidR="006A7BFD" w:rsidRPr="006A7BFD" w:rsidRDefault="006A7BFD" w:rsidP="006A7BFD">
      <w:pPr>
        <w:pStyle w:val="Body"/>
        <w:spacing w:after="0"/>
        <w:rPr>
          <w:rFonts w:ascii="Arial" w:hAnsi="Arial" w:cs="Arial"/>
          <w:lang w:val="en-IN"/>
        </w:rPr>
      </w:pPr>
      <w:r w:rsidRPr="006A7BFD">
        <w:rPr>
          <w:rFonts w:ascii="Arial" w:hAnsi="Arial" w:cs="Arial"/>
          <w:lang w:val="en-IN"/>
        </w:rPr>
        <w:t xml:space="preserve">Table 2 presents the results of the multiple linear regression analysis conducted to identify the determinants influencing farmers’ purchasing </w:t>
      </w:r>
      <w:proofErr w:type="spellStart"/>
      <w:r w:rsidRPr="006A7BFD">
        <w:rPr>
          <w:rFonts w:ascii="Arial" w:hAnsi="Arial" w:cs="Arial"/>
          <w:lang w:val="en-IN"/>
        </w:rPr>
        <w:t>behavior</w:t>
      </w:r>
      <w:proofErr w:type="spellEnd"/>
      <w:r w:rsidRPr="006A7BFD">
        <w:rPr>
          <w:rFonts w:ascii="Arial" w:hAnsi="Arial" w:cs="Arial"/>
          <w:lang w:val="en-IN"/>
        </w:rPr>
        <w:t xml:space="preserve"> towards coriander seeds in Junagadh district. The model demonstrated a strong explanatory power, with an R² value of 0.706, suggesting that approximately 70.6% of the variation in farmers’ purchasing </w:t>
      </w:r>
      <w:proofErr w:type="spellStart"/>
      <w:r w:rsidRPr="006A7BFD">
        <w:rPr>
          <w:rFonts w:ascii="Arial" w:hAnsi="Arial" w:cs="Arial"/>
          <w:lang w:val="en-IN"/>
        </w:rPr>
        <w:t>behavior</w:t>
      </w:r>
      <w:proofErr w:type="spellEnd"/>
      <w:r w:rsidRPr="006A7BFD">
        <w:rPr>
          <w:rFonts w:ascii="Arial" w:hAnsi="Arial" w:cs="Arial"/>
          <w:lang w:val="en-IN"/>
        </w:rPr>
        <w:t xml:space="preserve"> could be explained by the independent variables considered in the study. This indicates that the model provides a reasonably good fit for understanding the major drivers of farmers’ purchase decisions in this context.</w:t>
      </w:r>
    </w:p>
    <w:p w14:paraId="6AFAC449" w14:textId="77777777" w:rsidR="006A7BFD" w:rsidRPr="006A7BFD" w:rsidRDefault="006A7BFD" w:rsidP="006A7BFD">
      <w:pPr>
        <w:pStyle w:val="Body"/>
        <w:spacing w:after="0"/>
        <w:rPr>
          <w:rFonts w:ascii="Arial" w:hAnsi="Arial" w:cs="Arial"/>
          <w:lang w:val="en-IN"/>
        </w:rPr>
      </w:pPr>
    </w:p>
    <w:p w14:paraId="0EF32494" w14:textId="77777777" w:rsidR="006A7BFD" w:rsidRPr="006A7BFD" w:rsidRDefault="006A7BFD" w:rsidP="006A7BFD">
      <w:pPr>
        <w:pStyle w:val="Body"/>
        <w:spacing w:after="0"/>
        <w:rPr>
          <w:rFonts w:ascii="Arial" w:hAnsi="Arial" w:cs="Arial"/>
          <w:lang w:val="en-IN"/>
        </w:rPr>
      </w:pPr>
      <w:r w:rsidRPr="006A7BFD">
        <w:rPr>
          <w:rFonts w:ascii="Arial" w:hAnsi="Arial" w:cs="Arial"/>
          <w:lang w:val="en-IN"/>
        </w:rPr>
        <w:t xml:space="preserve">The intercept of the model was 32.13, which represents the expected baseline value of the dependent variable when all independent variables are assumed to be zero. While this value does not carry a direct practical interpretation in </w:t>
      </w:r>
      <w:proofErr w:type="spellStart"/>
      <w:r w:rsidRPr="006A7BFD">
        <w:rPr>
          <w:rFonts w:ascii="Arial" w:hAnsi="Arial" w:cs="Arial"/>
          <w:lang w:val="en-IN"/>
        </w:rPr>
        <w:t>behavioral</w:t>
      </w:r>
      <w:proofErr w:type="spellEnd"/>
      <w:r w:rsidRPr="006A7BFD">
        <w:rPr>
          <w:rFonts w:ascii="Arial" w:hAnsi="Arial" w:cs="Arial"/>
          <w:lang w:val="en-IN"/>
        </w:rPr>
        <w:t xml:space="preserve"> terms, it acts as a reference point against which the influence of other explanatory factors can be assessed.</w:t>
      </w:r>
    </w:p>
    <w:p w14:paraId="03245E3F" w14:textId="77777777" w:rsidR="006A7BFD" w:rsidRPr="006A7BFD" w:rsidRDefault="006A7BFD" w:rsidP="006A7BFD">
      <w:pPr>
        <w:pStyle w:val="Body"/>
        <w:spacing w:after="0"/>
        <w:rPr>
          <w:rFonts w:ascii="Arial" w:hAnsi="Arial" w:cs="Arial"/>
          <w:lang w:val="en-IN"/>
        </w:rPr>
      </w:pPr>
    </w:p>
    <w:p w14:paraId="20CF07E7" w14:textId="77777777" w:rsidR="006A7BFD" w:rsidRPr="006A7BFD" w:rsidRDefault="006A7BFD" w:rsidP="006A7BFD">
      <w:pPr>
        <w:pStyle w:val="Body"/>
        <w:spacing w:after="0"/>
        <w:rPr>
          <w:rFonts w:ascii="Arial" w:hAnsi="Arial" w:cs="Arial"/>
          <w:b/>
          <w:bCs/>
          <w:lang w:val="en-IN"/>
        </w:rPr>
      </w:pPr>
      <w:r w:rsidRPr="006A7BFD">
        <w:rPr>
          <w:rFonts w:ascii="Arial" w:hAnsi="Arial" w:cs="Arial"/>
          <w:b/>
          <w:bCs/>
          <w:lang w:val="en-IN"/>
        </w:rPr>
        <w:t>Price of Seeds</w:t>
      </w:r>
    </w:p>
    <w:p w14:paraId="416EDCFE" w14:textId="77777777" w:rsidR="006A7BFD" w:rsidRPr="006A7BFD" w:rsidRDefault="006A7BFD" w:rsidP="006A7BFD">
      <w:pPr>
        <w:pStyle w:val="Body"/>
        <w:spacing w:after="0"/>
        <w:rPr>
          <w:rFonts w:ascii="Arial" w:hAnsi="Arial" w:cs="Arial"/>
          <w:lang w:val="en-IN"/>
        </w:rPr>
      </w:pPr>
      <w:r w:rsidRPr="006A7BFD">
        <w:rPr>
          <w:rFonts w:ascii="Arial" w:hAnsi="Arial" w:cs="Arial"/>
          <w:lang w:val="en-IN"/>
        </w:rPr>
        <w:t xml:space="preserve">Among the independent variables, the price of seeds emerged as the most influential determinant, with a coefficient of -8.74 and a p-value &lt; 0.0001. This statistically significant and strong negative association indicates that an increase in seed price leads to a sharp decline in farmers’ purchasing </w:t>
      </w:r>
      <w:proofErr w:type="spellStart"/>
      <w:r w:rsidRPr="006A7BFD">
        <w:rPr>
          <w:rFonts w:ascii="Arial" w:hAnsi="Arial" w:cs="Arial"/>
          <w:lang w:val="en-IN"/>
        </w:rPr>
        <w:t>behavior</w:t>
      </w:r>
      <w:proofErr w:type="spellEnd"/>
      <w:r w:rsidRPr="006A7BFD">
        <w:rPr>
          <w:rFonts w:ascii="Arial" w:hAnsi="Arial" w:cs="Arial"/>
          <w:lang w:val="en-IN"/>
        </w:rPr>
        <w:t xml:space="preserve">. In practical terms, as the price of seeds rises, farmers tend </w:t>
      </w:r>
      <w:r w:rsidRPr="006A7BFD">
        <w:rPr>
          <w:rFonts w:ascii="Arial" w:hAnsi="Arial" w:cs="Arial"/>
          <w:lang w:val="en-IN"/>
        </w:rPr>
        <w:lastRenderedPageBreak/>
        <w:t>to reduce the quantity of purchase or may even avoid buying altogether. This finding is consistent with fundamental economic principles of demand, highlighting the price sensitivity of smallholder farmers, who typically operate under resource-constrained conditions.</w:t>
      </w:r>
    </w:p>
    <w:p w14:paraId="5AF71C52" w14:textId="77777777" w:rsidR="006A7BFD" w:rsidRPr="006A7BFD" w:rsidRDefault="006A7BFD" w:rsidP="006A7BFD">
      <w:pPr>
        <w:pStyle w:val="Body"/>
        <w:spacing w:after="0"/>
        <w:rPr>
          <w:rFonts w:ascii="Arial" w:hAnsi="Arial" w:cs="Arial"/>
          <w:lang w:val="en-IN"/>
        </w:rPr>
      </w:pPr>
    </w:p>
    <w:p w14:paraId="5520DF54" w14:textId="77777777" w:rsidR="006A7BFD" w:rsidRPr="006A7BFD" w:rsidRDefault="006A7BFD" w:rsidP="006A7BFD">
      <w:pPr>
        <w:pStyle w:val="Body"/>
        <w:spacing w:after="0"/>
        <w:rPr>
          <w:rFonts w:ascii="Arial" w:hAnsi="Arial" w:cs="Arial"/>
          <w:b/>
          <w:bCs/>
          <w:lang w:val="en-IN"/>
        </w:rPr>
      </w:pPr>
      <w:r w:rsidRPr="006A7BFD">
        <w:rPr>
          <w:rFonts w:ascii="Arial" w:hAnsi="Arial" w:cs="Arial"/>
          <w:b/>
          <w:bCs/>
          <w:lang w:val="en-IN"/>
        </w:rPr>
        <w:t>Quality of Seeds</w:t>
      </w:r>
    </w:p>
    <w:p w14:paraId="6924784C" w14:textId="77777777" w:rsidR="006A7BFD" w:rsidRPr="006A7BFD" w:rsidRDefault="006A7BFD" w:rsidP="006A7BFD">
      <w:pPr>
        <w:pStyle w:val="Body"/>
        <w:spacing w:after="0"/>
        <w:rPr>
          <w:rFonts w:ascii="Arial" w:hAnsi="Arial" w:cs="Arial"/>
          <w:lang w:val="en-IN"/>
        </w:rPr>
      </w:pPr>
      <w:r w:rsidRPr="006A7BFD">
        <w:rPr>
          <w:rFonts w:ascii="Arial" w:hAnsi="Arial" w:cs="Arial"/>
          <w:lang w:val="en-IN"/>
        </w:rPr>
        <w:t>The quality of seeds was another critical factor influencing purchase decisions. The estimated coefficient was 1.10, with a p-value of 0.0022, showing a significant positive impact. This implies that farmers prioritize seed quality as a key purchasing criterion, and improved quality strongly motivates them to buy. The result underlines the importance of quality assurance and certification in seed markets. Seed producers and marketers can leverage this by focusing on providing high-yielding, disease-resistant, and certified varieties to attract buyers.</w:t>
      </w:r>
    </w:p>
    <w:p w14:paraId="5A273C43" w14:textId="77777777" w:rsidR="006A7BFD" w:rsidRPr="006A7BFD" w:rsidRDefault="006A7BFD" w:rsidP="006A7BFD">
      <w:pPr>
        <w:pStyle w:val="Body"/>
        <w:spacing w:after="0"/>
        <w:rPr>
          <w:rFonts w:ascii="Arial" w:hAnsi="Arial" w:cs="Arial"/>
          <w:lang w:val="en-IN"/>
        </w:rPr>
      </w:pPr>
    </w:p>
    <w:p w14:paraId="3727F332" w14:textId="77777777" w:rsidR="006A7BFD" w:rsidRPr="006A7BFD" w:rsidRDefault="006A7BFD" w:rsidP="006A7BFD">
      <w:pPr>
        <w:pStyle w:val="Body"/>
        <w:spacing w:after="0"/>
        <w:rPr>
          <w:rFonts w:ascii="Arial" w:hAnsi="Arial" w:cs="Arial"/>
          <w:b/>
          <w:bCs/>
          <w:lang w:val="en-IN"/>
        </w:rPr>
      </w:pPr>
      <w:r w:rsidRPr="006A7BFD">
        <w:rPr>
          <w:rFonts w:ascii="Arial" w:hAnsi="Arial" w:cs="Arial"/>
          <w:b/>
          <w:bCs/>
          <w:lang w:val="en-IN"/>
        </w:rPr>
        <w:t>Cropping Area</w:t>
      </w:r>
    </w:p>
    <w:p w14:paraId="12A99B1C" w14:textId="77777777" w:rsidR="006A7BFD" w:rsidRPr="006A7BFD" w:rsidRDefault="006A7BFD" w:rsidP="006A7BFD">
      <w:pPr>
        <w:pStyle w:val="Body"/>
        <w:spacing w:after="0"/>
        <w:rPr>
          <w:rFonts w:ascii="Arial" w:hAnsi="Arial" w:cs="Arial"/>
          <w:lang w:val="en-IN"/>
        </w:rPr>
      </w:pPr>
      <w:r w:rsidRPr="006A7BFD">
        <w:rPr>
          <w:rFonts w:ascii="Arial" w:hAnsi="Arial" w:cs="Arial"/>
          <w:lang w:val="en-IN"/>
        </w:rPr>
        <w:t xml:space="preserve">The cropping area available to farmers also significantly influenced their purchasing </w:t>
      </w:r>
      <w:proofErr w:type="spellStart"/>
      <w:r w:rsidRPr="006A7BFD">
        <w:rPr>
          <w:rFonts w:ascii="Arial" w:hAnsi="Arial" w:cs="Arial"/>
          <w:lang w:val="en-IN"/>
        </w:rPr>
        <w:t>behavior</w:t>
      </w:r>
      <w:proofErr w:type="spellEnd"/>
      <w:r w:rsidRPr="006A7BFD">
        <w:rPr>
          <w:rFonts w:ascii="Arial" w:hAnsi="Arial" w:cs="Arial"/>
          <w:lang w:val="en-IN"/>
        </w:rPr>
        <w:t>. With a coefficient of 0.805 and a p-value of 0.027, the relationship was positive and significant. This suggests that farmers cultivating larger areas of land are more likely to purchase higher volumes of coriander seeds. This result is intuitive, as farmers with greater operational landholdings have both the need and the capacity to invest in more seed material, thereby reinforcing the role of farm size in shaping input demand.</w:t>
      </w:r>
    </w:p>
    <w:p w14:paraId="1DF239CC" w14:textId="77777777" w:rsidR="006A7BFD" w:rsidRPr="006A7BFD" w:rsidRDefault="006A7BFD" w:rsidP="006A7BFD">
      <w:pPr>
        <w:pStyle w:val="Body"/>
        <w:spacing w:after="0"/>
        <w:rPr>
          <w:rFonts w:ascii="Arial" w:hAnsi="Arial" w:cs="Arial"/>
          <w:lang w:val="en-IN"/>
        </w:rPr>
      </w:pPr>
    </w:p>
    <w:p w14:paraId="0FB041C3" w14:textId="77777777" w:rsidR="006A7BFD" w:rsidRPr="006A7BFD" w:rsidRDefault="006A7BFD" w:rsidP="006A7BFD">
      <w:pPr>
        <w:pStyle w:val="Body"/>
        <w:spacing w:after="0"/>
        <w:rPr>
          <w:rFonts w:ascii="Arial" w:hAnsi="Arial" w:cs="Arial"/>
          <w:b/>
          <w:bCs/>
          <w:lang w:val="en-IN"/>
        </w:rPr>
      </w:pPr>
      <w:r w:rsidRPr="006A7BFD">
        <w:rPr>
          <w:rFonts w:ascii="Arial" w:hAnsi="Arial" w:cs="Arial"/>
          <w:b/>
          <w:bCs/>
          <w:lang w:val="en-IN"/>
        </w:rPr>
        <w:t>Annual Income</w:t>
      </w:r>
    </w:p>
    <w:p w14:paraId="77D79F57" w14:textId="1462E8C0" w:rsidR="006A7BFD" w:rsidRPr="006A7BFD" w:rsidRDefault="006A7BFD" w:rsidP="006A7BFD">
      <w:pPr>
        <w:pStyle w:val="Body"/>
        <w:spacing w:after="0"/>
        <w:rPr>
          <w:rFonts w:ascii="Arial" w:hAnsi="Arial" w:cs="Arial"/>
          <w:lang w:val="en-IN"/>
        </w:rPr>
      </w:pPr>
      <w:r w:rsidRPr="006A7BFD">
        <w:rPr>
          <w:rFonts w:ascii="Arial" w:hAnsi="Arial" w:cs="Arial"/>
          <w:lang w:val="en-IN"/>
        </w:rPr>
        <w:t xml:space="preserve">Annual income of farmers was found to be positively associated with seed purchasing </w:t>
      </w:r>
      <w:proofErr w:type="spellStart"/>
      <w:r w:rsidRPr="006A7BFD">
        <w:rPr>
          <w:rFonts w:ascii="Arial" w:hAnsi="Arial" w:cs="Arial"/>
          <w:lang w:val="en-IN"/>
        </w:rPr>
        <w:t>behavior</w:t>
      </w:r>
      <w:proofErr w:type="spellEnd"/>
      <w:r w:rsidRPr="006A7BFD">
        <w:rPr>
          <w:rFonts w:ascii="Arial" w:hAnsi="Arial" w:cs="Arial"/>
          <w:lang w:val="en-IN"/>
        </w:rPr>
        <w:t>, though its effect size was relatively small. The coefficient with a p-value of 0.0163, indicating statistical significance at the 5% level. This implies that wealthier farmers are marginally more inclined to purchase coriander seeds compared to their lower-income counterparts. This finding highlights the importance of economic capacity as a moderating factor in input adoption, although the effect is weaker than that of price or quality.</w:t>
      </w:r>
    </w:p>
    <w:p w14:paraId="23464C02" w14:textId="77777777" w:rsidR="006A7BFD" w:rsidRPr="006A7BFD" w:rsidRDefault="006A7BFD" w:rsidP="006A7BFD">
      <w:pPr>
        <w:pStyle w:val="Body"/>
        <w:spacing w:after="0"/>
        <w:rPr>
          <w:rFonts w:ascii="Arial" w:hAnsi="Arial" w:cs="Arial"/>
          <w:lang w:val="en-IN"/>
        </w:rPr>
      </w:pPr>
    </w:p>
    <w:p w14:paraId="2608D414" w14:textId="77777777" w:rsidR="006A7BFD" w:rsidRPr="006A7BFD" w:rsidRDefault="006A7BFD" w:rsidP="006A7BFD">
      <w:pPr>
        <w:pStyle w:val="Body"/>
        <w:spacing w:after="0"/>
        <w:rPr>
          <w:rFonts w:ascii="Arial" w:hAnsi="Arial" w:cs="Arial"/>
          <w:b/>
          <w:bCs/>
          <w:lang w:val="en-IN"/>
        </w:rPr>
      </w:pPr>
      <w:r w:rsidRPr="006A7BFD">
        <w:rPr>
          <w:rFonts w:ascii="Arial" w:hAnsi="Arial" w:cs="Arial"/>
          <w:b/>
          <w:bCs/>
          <w:lang w:val="en-IN"/>
        </w:rPr>
        <w:t>Non-significant Variables</w:t>
      </w:r>
    </w:p>
    <w:p w14:paraId="3BBCC654" w14:textId="77777777" w:rsidR="006A7BFD" w:rsidRPr="006A7BFD" w:rsidRDefault="006A7BFD" w:rsidP="006A7BFD">
      <w:pPr>
        <w:pStyle w:val="Body"/>
        <w:spacing w:after="0"/>
        <w:rPr>
          <w:rFonts w:ascii="Arial" w:hAnsi="Arial" w:cs="Arial"/>
          <w:lang w:val="en-IN"/>
        </w:rPr>
      </w:pPr>
      <w:r w:rsidRPr="006A7BFD">
        <w:rPr>
          <w:rFonts w:ascii="Arial" w:hAnsi="Arial" w:cs="Arial"/>
          <w:lang w:val="en-IN"/>
        </w:rPr>
        <w:t xml:space="preserve">Other factors, such as availability of brand, peer group influence, brand image, advertising influence, pest-free nature of seeds, and credit availability, did not show statistically significant effects on purchasing </w:t>
      </w:r>
      <w:proofErr w:type="spellStart"/>
      <w:r w:rsidRPr="006A7BFD">
        <w:rPr>
          <w:rFonts w:ascii="Arial" w:hAnsi="Arial" w:cs="Arial"/>
          <w:lang w:val="en-IN"/>
        </w:rPr>
        <w:t>behavior</w:t>
      </w:r>
      <w:proofErr w:type="spellEnd"/>
      <w:r w:rsidRPr="006A7BFD">
        <w:rPr>
          <w:rFonts w:ascii="Arial" w:hAnsi="Arial" w:cs="Arial"/>
          <w:lang w:val="en-IN"/>
        </w:rPr>
        <w:t>, as indicated by their high p-values (all &gt; 0.05). This suggests that, unlike in consumer goods markets where social and promotional factors often play a vital role, the decision-making process in the agricultural input sector is primarily driven by economic and agronomic considerations. Farmers appear to prioritize tangible attributes such as price, quality, farm size, and income over intangible promotional or social influences.</w:t>
      </w:r>
    </w:p>
    <w:p w14:paraId="6B3FC9E7" w14:textId="77777777" w:rsidR="006A7BFD" w:rsidRPr="006A7BFD" w:rsidRDefault="006A7BFD" w:rsidP="006A7BFD">
      <w:pPr>
        <w:pStyle w:val="Body"/>
        <w:spacing w:after="0"/>
        <w:rPr>
          <w:rFonts w:ascii="Arial" w:hAnsi="Arial" w:cs="Arial"/>
          <w:lang w:val="en-IN"/>
        </w:rPr>
      </w:pPr>
    </w:p>
    <w:p w14:paraId="36E25750" w14:textId="77777777" w:rsidR="006A7BFD" w:rsidRDefault="006A7BFD" w:rsidP="006A7BFD">
      <w:pPr>
        <w:pStyle w:val="Body"/>
        <w:spacing w:after="0"/>
        <w:rPr>
          <w:rFonts w:ascii="Arial" w:hAnsi="Arial" w:cs="Arial"/>
          <w:lang w:val="en-IN"/>
        </w:rPr>
      </w:pPr>
      <w:r w:rsidRPr="006A7BFD">
        <w:rPr>
          <w:rFonts w:ascii="Arial" w:hAnsi="Arial" w:cs="Arial"/>
          <w:lang w:val="en-IN"/>
        </w:rPr>
        <w:t xml:space="preserve">In summary, the regression results clearly establish that price, quality, cropping area, and annual income are the most critical determinants of coriander seed purchasing </w:t>
      </w:r>
      <w:proofErr w:type="spellStart"/>
      <w:r w:rsidRPr="006A7BFD">
        <w:rPr>
          <w:rFonts w:ascii="Arial" w:hAnsi="Arial" w:cs="Arial"/>
          <w:lang w:val="en-IN"/>
        </w:rPr>
        <w:t>behavior</w:t>
      </w:r>
      <w:proofErr w:type="spellEnd"/>
      <w:r w:rsidRPr="006A7BFD">
        <w:rPr>
          <w:rFonts w:ascii="Arial" w:hAnsi="Arial" w:cs="Arial"/>
          <w:lang w:val="en-IN"/>
        </w:rPr>
        <w:t xml:space="preserve"> among farmers. Price exerts a strong negative effect, while quality and cropping area positively influence purchase decisions. Income has a smaller but significant positive effect. In contrast, promotional and social factors—such as branding, peer influence, or advertising—were not found to meaningfully affect farmers’ decisions.</w:t>
      </w:r>
    </w:p>
    <w:p w14:paraId="6E7125E5" w14:textId="77777777" w:rsidR="006A7BFD" w:rsidRPr="006A7BFD" w:rsidRDefault="006A7BFD" w:rsidP="006A7BFD">
      <w:pPr>
        <w:pStyle w:val="Body"/>
        <w:spacing w:after="0"/>
        <w:rPr>
          <w:rFonts w:ascii="Arial" w:hAnsi="Arial" w:cs="Arial"/>
          <w:lang w:val="en-IN"/>
        </w:rPr>
      </w:pPr>
    </w:p>
    <w:p w14:paraId="243C677D" w14:textId="77777777" w:rsidR="006A7BFD" w:rsidRPr="006A7BFD" w:rsidRDefault="006A7BFD" w:rsidP="006A7BFD">
      <w:pPr>
        <w:pStyle w:val="Body"/>
        <w:spacing w:after="0"/>
        <w:rPr>
          <w:rFonts w:ascii="Arial" w:hAnsi="Arial" w:cs="Arial"/>
          <w:lang w:val="en-IN"/>
        </w:rPr>
      </w:pPr>
      <w:r w:rsidRPr="006A7BFD">
        <w:rPr>
          <w:rFonts w:ascii="Arial" w:hAnsi="Arial" w:cs="Arial"/>
          <w:lang w:val="en-IN"/>
        </w:rPr>
        <w:t xml:space="preserve">This finding reflects the rational, utility-maximizing </w:t>
      </w:r>
      <w:proofErr w:type="spellStart"/>
      <w:r w:rsidRPr="006A7BFD">
        <w:rPr>
          <w:rFonts w:ascii="Arial" w:hAnsi="Arial" w:cs="Arial"/>
          <w:lang w:val="en-IN"/>
        </w:rPr>
        <w:t>behavior</w:t>
      </w:r>
      <w:proofErr w:type="spellEnd"/>
      <w:r w:rsidRPr="006A7BFD">
        <w:rPr>
          <w:rFonts w:ascii="Arial" w:hAnsi="Arial" w:cs="Arial"/>
          <w:lang w:val="en-IN"/>
        </w:rPr>
        <w:t xml:space="preserve"> of farmers in the study area, where economic rationality outweighs social or psychological influences. The results provide valuable insights for policymakers, seed companies, and marketers, suggesting that strategies aimed at ensuring affordable pricing, maintaining high seed quality, and targeting larger-scale farmers are likely to be more effective in promoting adoption and sales of coriander seeds than investments in branding or advertising campaigns.</w:t>
      </w:r>
    </w:p>
    <w:p w14:paraId="053F0100" w14:textId="77777777" w:rsidR="006A7BFD" w:rsidRPr="006A7BFD" w:rsidRDefault="006A7BFD" w:rsidP="00746EE3">
      <w:pPr>
        <w:pStyle w:val="Body"/>
        <w:spacing w:after="0"/>
        <w:rPr>
          <w:rFonts w:ascii="Arial" w:hAnsi="Arial" w:cs="Arial"/>
          <w:lang w:val="en-IN"/>
        </w:rPr>
      </w:pPr>
    </w:p>
    <w:p w14:paraId="3DAA13C9" w14:textId="77777777" w:rsidR="00B12D0A" w:rsidRDefault="00B12D0A" w:rsidP="00D74127">
      <w:pPr>
        <w:tabs>
          <w:tab w:val="left" w:pos="1080"/>
        </w:tabs>
        <w:jc w:val="both"/>
        <w:rPr>
          <w:rFonts w:ascii="Arial" w:hAnsi="Arial"/>
          <w:b/>
        </w:rPr>
      </w:pPr>
    </w:p>
    <w:p w14:paraId="62DE38CF" w14:textId="77777777" w:rsidR="00B12D0A" w:rsidRDefault="00B12D0A" w:rsidP="00D74127">
      <w:pPr>
        <w:tabs>
          <w:tab w:val="left" w:pos="1080"/>
        </w:tabs>
        <w:jc w:val="both"/>
        <w:rPr>
          <w:rFonts w:ascii="Arial" w:hAnsi="Arial"/>
          <w:b/>
        </w:rPr>
      </w:pPr>
    </w:p>
    <w:p w14:paraId="79D30B7E" w14:textId="6C67BD83" w:rsidR="00D74127" w:rsidRDefault="00D74127" w:rsidP="00D74127">
      <w:pPr>
        <w:tabs>
          <w:tab w:val="left" w:pos="1080"/>
        </w:tabs>
        <w:jc w:val="both"/>
        <w:rPr>
          <w:rFonts w:ascii="Arial" w:hAnsi="Arial"/>
          <w:b/>
          <w:bCs/>
        </w:rPr>
      </w:pPr>
      <w:r>
        <w:rPr>
          <w:rFonts w:ascii="Arial" w:hAnsi="Arial"/>
          <w:b/>
        </w:rPr>
        <w:lastRenderedPageBreak/>
        <w:t xml:space="preserve">Table </w:t>
      </w:r>
      <w:r w:rsidR="00FC5F21">
        <w:rPr>
          <w:rFonts w:ascii="Arial" w:hAnsi="Arial"/>
          <w:b/>
        </w:rPr>
        <w:t>2</w:t>
      </w:r>
      <w:r>
        <w:rPr>
          <w:rFonts w:ascii="Arial" w:hAnsi="Arial"/>
          <w:b/>
        </w:rPr>
        <w:t>.</w:t>
      </w:r>
      <w:r w:rsidRPr="00DC3180">
        <w:rPr>
          <w:rFonts w:ascii="Arial" w:hAnsi="Arial"/>
          <w:b/>
        </w:rPr>
        <w:tab/>
      </w:r>
      <w:r w:rsidR="006E47E3" w:rsidRPr="006E47E3">
        <w:rPr>
          <w:rFonts w:ascii="Arial" w:hAnsi="Arial"/>
          <w:b/>
          <w:bCs/>
        </w:rPr>
        <w:t>Factor affecting the purchasing behavior of coriander seeds</w:t>
      </w:r>
    </w:p>
    <w:p w14:paraId="25779FE3" w14:textId="77777777" w:rsidR="006E47E3" w:rsidRDefault="006E47E3" w:rsidP="00D74127">
      <w:pPr>
        <w:tabs>
          <w:tab w:val="left" w:pos="1080"/>
        </w:tabs>
        <w:jc w:val="both"/>
        <w:rPr>
          <w:rFonts w:ascii="Arial" w:hAnsi="Arial"/>
          <w:b/>
          <w:bCs/>
        </w:rPr>
      </w:pPr>
    </w:p>
    <w:tbl>
      <w:tblPr>
        <w:tblStyle w:val="TableGrid"/>
        <w:tblW w:w="8135" w:type="dxa"/>
        <w:tblLook w:val="04A0" w:firstRow="1" w:lastRow="0" w:firstColumn="1" w:lastColumn="0" w:noHBand="0" w:noVBand="1"/>
      </w:tblPr>
      <w:tblGrid>
        <w:gridCol w:w="2452"/>
        <w:gridCol w:w="1611"/>
        <w:gridCol w:w="1931"/>
        <w:gridCol w:w="1051"/>
        <w:gridCol w:w="1090"/>
      </w:tblGrid>
      <w:tr w:rsidR="001014B9" w:rsidRPr="001014B9" w14:paraId="7F18D074" w14:textId="77777777" w:rsidTr="001014B9">
        <w:trPr>
          <w:trHeight w:val="254"/>
        </w:trPr>
        <w:tc>
          <w:tcPr>
            <w:tcW w:w="0" w:type="auto"/>
            <w:hideMark/>
          </w:tcPr>
          <w:p w14:paraId="5111E30D" w14:textId="77777777" w:rsidR="001014B9" w:rsidRPr="001014B9" w:rsidRDefault="001014B9" w:rsidP="001014B9">
            <w:pPr>
              <w:tabs>
                <w:tab w:val="left" w:pos="1080"/>
              </w:tabs>
              <w:jc w:val="both"/>
              <w:rPr>
                <w:rFonts w:ascii="Arial" w:hAnsi="Arial" w:cs="Arial"/>
                <w:b/>
                <w:bCs/>
                <w:lang w:val="en-IN"/>
              </w:rPr>
            </w:pPr>
            <w:r w:rsidRPr="001014B9">
              <w:rPr>
                <w:rFonts w:ascii="Arial" w:hAnsi="Arial" w:cs="Arial"/>
                <w:b/>
                <w:bCs/>
                <w:lang w:val="en-IN"/>
              </w:rPr>
              <w:t>Factors</w:t>
            </w:r>
          </w:p>
        </w:tc>
        <w:tc>
          <w:tcPr>
            <w:tcW w:w="0" w:type="auto"/>
            <w:hideMark/>
          </w:tcPr>
          <w:p w14:paraId="36403ADF" w14:textId="77777777" w:rsidR="001014B9" w:rsidRPr="001014B9" w:rsidRDefault="001014B9" w:rsidP="001014B9">
            <w:pPr>
              <w:tabs>
                <w:tab w:val="left" w:pos="1080"/>
              </w:tabs>
              <w:jc w:val="both"/>
              <w:rPr>
                <w:rFonts w:ascii="Arial" w:hAnsi="Arial" w:cs="Arial"/>
                <w:b/>
                <w:bCs/>
                <w:lang w:val="en-IN"/>
              </w:rPr>
            </w:pPr>
            <w:r w:rsidRPr="001014B9">
              <w:rPr>
                <w:rFonts w:ascii="Arial" w:hAnsi="Arial" w:cs="Arial"/>
                <w:b/>
                <w:bCs/>
                <w:lang w:val="en-IN"/>
              </w:rPr>
              <w:t>Coefficients</w:t>
            </w:r>
          </w:p>
        </w:tc>
        <w:tc>
          <w:tcPr>
            <w:tcW w:w="0" w:type="auto"/>
            <w:hideMark/>
          </w:tcPr>
          <w:p w14:paraId="591F4BFC" w14:textId="77777777" w:rsidR="001014B9" w:rsidRPr="001014B9" w:rsidRDefault="001014B9" w:rsidP="001014B9">
            <w:pPr>
              <w:tabs>
                <w:tab w:val="left" w:pos="1080"/>
              </w:tabs>
              <w:jc w:val="both"/>
              <w:rPr>
                <w:rFonts w:ascii="Arial" w:hAnsi="Arial" w:cs="Arial"/>
                <w:b/>
                <w:bCs/>
                <w:lang w:val="en-IN"/>
              </w:rPr>
            </w:pPr>
            <w:r w:rsidRPr="001014B9">
              <w:rPr>
                <w:rFonts w:ascii="Arial" w:hAnsi="Arial" w:cs="Arial"/>
                <w:b/>
                <w:bCs/>
                <w:lang w:val="en-IN"/>
              </w:rPr>
              <w:t>Standard Error</w:t>
            </w:r>
          </w:p>
        </w:tc>
        <w:tc>
          <w:tcPr>
            <w:tcW w:w="0" w:type="auto"/>
            <w:hideMark/>
          </w:tcPr>
          <w:p w14:paraId="20B2ED9F" w14:textId="77777777" w:rsidR="001014B9" w:rsidRPr="001014B9" w:rsidRDefault="001014B9" w:rsidP="001014B9">
            <w:pPr>
              <w:tabs>
                <w:tab w:val="left" w:pos="1080"/>
              </w:tabs>
              <w:jc w:val="both"/>
              <w:rPr>
                <w:rFonts w:ascii="Arial" w:hAnsi="Arial" w:cs="Arial"/>
                <w:b/>
                <w:bCs/>
                <w:lang w:val="en-IN"/>
              </w:rPr>
            </w:pPr>
            <w:r w:rsidRPr="001014B9">
              <w:rPr>
                <w:rFonts w:ascii="Arial" w:hAnsi="Arial" w:cs="Arial"/>
                <w:b/>
                <w:bCs/>
                <w:lang w:val="en-IN"/>
              </w:rPr>
              <w:t>t Stat</w:t>
            </w:r>
          </w:p>
        </w:tc>
        <w:tc>
          <w:tcPr>
            <w:tcW w:w="0" w:type="auto"/>
            <w:hideMark/>
          </w:tcPr>
          <w:p w14:paraId="0B52B5E5" w14:textId="77777777" w:rsidR="001014B9" w:rsidRPr="001014B9" w:rsidRDefault="001014B9" w:rsidP="001014B9">
            <w:pPr>
              <w:tabs>
                <w:tab w:val="left" w:pos="1080"/>
              </w:tabs>
              <w:jc w:val="both"/>
              <w:rPr>
                <w:rFonts w:ascii="Arial" w:hAnsi="Arial" w:cs="Arial"/>
                <w:b/>
                <w:bCs/>
                <w:lang w:val="en-IN"/>
              </w:rPr>
            </w:pPr>
            <w:r w:rsidRPr="001014B9">
              <w:rPr>
                <w:rFonts w:ascii="Arial" w:hAnsi="Arial" w:cs="Arial"/>
                <w:b/>
                <w:bCs/>
                <w:lang w:val="en-IN"/>
              </w:rPr>
              <w:t>P-value</w:t>
            </w:r>
          </w:p>
        </w:tc>
      </w:tr>
      <w:tr w:rsidR="001014B9" w:rsidRPr="001014B9" w14:paraId="77F01ADE" w14:textId="77777777" w:rsidTr="001014B9">
        <w:trPr>
          <w:trHeight w:val="254"/>
        </w:trPr>
        <w:tc>
          <w:tcPr>
            <w:tcW w:w="0" w:type="auto"/>
            <w:hideMark/>
          </w:tcPr>
          <w:p w14:paraId="7601F02B"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Intercept</w:t>
            </w:r>
          </w:p>
        </w:tc>
        <w:tc>
          <w:tcPr>
            <w:tcW w:w="0" w:type="auto"/>
            <w:hideMark/>
          </w:tcPr>
          <w:p w14:paraId="43678F8B"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32.1298</w:t>
            </w:r>
          </w:p>
        </w:tc>
        <w:tc>
          <w:tcPr>
            <w:tcW w:w="0" w:type="auto"/>
            <w:hideMark/>
          </w:tcPr>
          <w:p w14:paraId="76FA8CF4"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3.2667</w:t>
            </w:r>
          </w:p>
        </w:tc>
        <w:tc>
          <w:tcPr>
            <w:tcW w:w="0" w:type="auto"/>
            <w:hideMark/>
          </w:tcPr>
          <w:p w14:paraId="04FE5518"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9.8354</w:t>
            </w:r>
          </w:p>
        </w:tc>
        <w:tc>
          <w:tcPr>
            <w:tcW w:w="0" w:type="auto"/>
            <w:hideMark/>
          </w:tcPr>
          <w:p w14:paraId="2C13354A"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0.0000</w:t>
            </w:r>
          </w:p>
        </w:tc>
      </w:tr>
      <w:tr w:rsidR="001014B9" w:rsidRPr="001014B9" w14:paraId="2EB31B93" w14:textId="77777777" w:rsidTr="001014B9">
        <w:trPr>
          <w:trHeight w:val="254"/>
        </w:trPr>
        <w:tc>
          <w:tcPr>
            <w:tcW w:w="0" w:type="auto"/>
            <w:hideMark/>
          </w:tcPr>
          <w:p w14:paraId="51439F53"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Price of seeds</w:t>
            </w:r>
          </w:p>
        </w:tc>
        <w:tc>
          <w:tcPr>
            <w:tcW w:w="0" w:type="auto"/>
            <w:hideMark/>
          </w:tcPr>
          <w:p w14:paraId="2A44038D"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-8.7394</w:t>
            </w:r>
          </w:p>
        </w:tc>
        <w:tc>
          <w:tcPr>
            <w:tcW w:w="0" w:type="auto"/>
            <w:hideMark/>
          </w:tcPr>
          <w:p w14:paraId="0E490E3E"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0.8847</w:t>
            </w:r>
          </w:p>
        </w:tc>
        <w:tc>
          <w:tcPr>
            <w:tcW w:w="0" w:type="auto"/>
            <w:hideMark/>
          </w:tcPr>
          <w:p w14:paraId="23B42815"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-9.8784</w:t>
            </w:r>
          </w:p>
        </w:tc>
        <w:tc>
          <w:tcPr>
            <w:tcW w:w="0" w:type="auto"/>
            <w:hideMark/>
          </w:tcPr>
          <w:p w14:paraId="51727303"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0.0000</w:t>
            </w:r>
          </w:p>
        </w:tc>
      </w:tr>
      <w:tr w:rsidR="001014B9" w:rsidRPr="001014B9" w14:paraId="486BEA3E" w14:textId="77777777" w:rsidTr="001014B9">
        <w:trPr>
          <w:trHeight w:val="254"/>
        </w:trPr>
        <w:tc>
          <w:tcPr>
            <w:tcW w:w="0" w:type="auto"/>
            <w:hideMark/>
          </w:tcPr>
          <w:p w14:paraId="283595F1"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Availability of brand</w:t>
            </w:r>
          </w:p>
        </w:tc>
        <w:tc>
          <w:tcPr>
            <w:tcW w:w="0" w:type="auto"/>
            <w:hideMark/>
          </w:tcPr>
          <w:p w14:paraId="2AC61997"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0.0128</w:t>
            </w:r>
          </w:p>
        </w:tc>
        <w:tc>
          <w:tcPr>
            <w:tcW w:w="0" w:type="auto"/>
            <w:hideMark/>
          </w:tcPr>
          <w:p w14:paraId="0CD083EF"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0.5817</w:t>
            </w:r>
          </w:p>
        </w:tc>
        <w:tc>
          <w:tcPr>
            <w:tcW w:w="0" w:type="auto"/>
            <w:hideMark/>
          </w:tcPr>
          <w:p w14:paraId="366225A4"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0.0220</w:t>
            </w:r>
          </w:p>
        </w:tc>
        <w:tc>
          <w:tcPr>
            <w:tcW w:w="0" w:type="auto"/>
            <w:hideMark/>
          </w:tcPr>
          <w:p w14:paraId="6E4AD8CC"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0.9825</w:t>
            </w:r>
          </w:p>
        </w:tc>
      </w:tr>
      <w:tr w:rsidR="001014B9" w:rsidRPr="001014B9" w14:paraId="2A9EAB44" w14:textId="77777777" w:rsidTr="001014B9">
        <w:trPr>
          <w:trHeight w:val="254"/>
        </w:trPr>
        <w:tc>
          <w:tcPr>
            <w:tcW w:w="0" w:type="auto"/>
            <w:hideMark/>
          </w:tcPr>
          <w:p w14:paraId="6F062828"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Peer group influence</w:t>
            </w:r>
          </w:p>
        </w:tc>
        <w:tc>
          <w:tcPr>
            <w:tcW w:w="0" w:type="auto"/>
            <w:hideMark/>
          </w:tcPr>
          <w:p w14:paraId="5A3F8C5A"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0.0049</w:t>
            </w:r>
          </w:p>
        </w:tc>
        <w:tc>
          <w:tcPr>
            <w:tcW w:w="0" w:type="auto"/>
            <w:hideMark/>
          </w:tcPr>
          <w:p w14:paraId="52F8426B"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0.5495</w:t>
            </w:r>
          </w:p>
        </w:tc>
        <w:tc>
          <w:tcPr>
            <w:tcW w:w="0" w:type="auto"/>
            <w:hideMark/>
          </w:tcPr>
          <w:p w14:paraId="1918E807"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0.0089</w:t>
            </w:r>
          </w:p>
        </w:tc>
        <w:tc>
          <w:tcPr>
            <w:tcW w:w="0" w:type="auto"/>
            <w:hideMark/>
          </w:tcPr>
          <w:p w14:paraId="6B8A1042"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0.9929</w:t>
            </w:r>
          </w:p>
        </w:tc>
      </w:tr>
      <w:tr w:rsidR="001014B9" w:rsidRPr="001014B9" w14:paraId="54F8AE5B" w14:textId="77777777" w:rsidTr="001014B9">
        <w:trPr>
          <w:trHeight w:val="242"/>
        </w:trPr>
        <w:tc>
          <w:tcPr>
            <w:tcW w:w="0" w:type="auto"/>
            <w:hideMark/>
          </w:tcPr>
          <w:p w14:paraId="241D09C6"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Quality</w:t>
            </w:r>
          </w:p>
        </w:tc>
        <w:tc>
          <w:tcPr>
            <w:tcW w:w="0" w:type="auto"/>
            <w:hideMark/>
          </w:tcPr>
          <w:p w14:paraId="090CC201"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1.0992</w:t>
            </w:r>
          </w:p>
        </w:tc>
        <w:tc>
          <w:tcPr>
            <w:tcW w:w="0" w:type="auto"/>
            <w:hideMark/>
          </w:tcPr>
          <w:p w14:paraId="497B685E"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0.3547</w:t>
            </w:r>
          </w:p>
        </w:tc>
        <w:tc>
          <w:tcPr>
            <w:tcW w:w="0" w:type="auto"/>
            <w:hideMark/>
          </w:tcPr>
          <w:p w14:paraId="1E5FCD58"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3.0984</w:t>
            </w:r>
          </w:p>
        </w:tc>
        <w:tc>
          <w:tcPr>
            <w:tcW w:w="0" w:type="auto"/>
            <w:hideMark/>
          </w:tcPr>
          <w:p w14:paraId="5C5571B9"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0.0022</w:t>
            </w:r>
          </w:p>
        </w:tc>
      </w:tr>
      <w:tr w:rsidR="001014B9" w:rsidRPr="001014B9" w14:paraId="04DBC6EC" w14:textId="77777777" w:rsidTr="001014B9">
        <w:trPr>
          <w:trHeight w:val="254"/>
        </w:trPr>
        <w:tc>
          <w:tcPr>
            <w:tcW w:w="0" w:type="auto"/>
            <w:hideMark/>
          </w:tcPr>
          <w:p w14:paraId="6345C554"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Brand image</w:t>
            </w:r>
          </w:p>
        </w:tc>
        <w:tc>
          <w:tcPr>
            <w:tcW w:w="0" w:type="auto"/>
            <w:hideMark/>
          </w:tcPr>
          <w:p w14:paraId="06B0136B"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0.0321</w:t>
            </w:r>
          </w:p>
        </w:tc>
        <w:tc>
          <w:tcPr>
            <w:tcW w:w="0" w:type="auto"/>
            <w:hideMark/>
          </w:tcPr>
          <w:p w14:paraId="2BE59290"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0.4655</w:t>
            </w:r>
          </w:p>
        </w:tc>
        <w:tc>
          <w:tcPr>
            <w:tcW w:w="0" w:type="auto"/>
            <w:hideMark/>
          </w:tcPr>
          <w:p w14:paraId="21347BFA"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0.0690</w:t>
            </w:r>
          </w:p>
        </w:tc>
        <w:tc>
          <w:tcPr>
            <w:tcW w:w="0" w:type="auto"/>
            <w:hideMark/>
          </w:tcPr>
          <w:p w14:paraId="7584DB3E"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0.9451</w:t>
            </w:r>
          </w:p>
        </w:tc>
      </w:tr>
      <w:tr w:rsidR="001014B9" w:rsidRPr="001014B9" w14:paraId="635B0EEF" w14:textId="77777777" w:rsidTr="001014B9">
        <w:trPr>
          <w:trHeight w:val="254"/>
        </w:trPr>
        <w:tc>
          <w:tcPr>
            <w:tcW w:w="0" w:type="auto"/>
            <w:hideMark/>
          </w:tcPr>
          <w:p w14:paraId="7E6B06B3"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Ad Influence</w:t>
            </w:r>
          </w:p>
        </w:tc>
        <w:tc>
          <w:tcPr>
            <w:tcW w:w="0" w:type="auto"/>
            <w:hideMark/>
          </w:tcPr>
          <w:p w14:paraId="6AECFF5B"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0.6398</w:t>
            </w:r>
          </w:p>
        </w:tc>
        <w:tc>
          <w:tcPr>
            <w:tcW w:w="0" w:type="auto"/>
            <w:hideMark/>
          </w:tcPr>
          <w:p w14:paraId="210D297E"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0.5488</w:t>
            </w:r>
          </w:p>
        </w:tc>
        <w:tc>
          <w:tcPr>
            <w:tcW w:w="0" w:type="auto"/>
            <w:hideMark/>
          </w:tcPr>
          <w:p w14:paraId="10FD7BC0"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1.1659</w:t>
            </w:r>
          </w:p>
        </w:tc>
        <w:tc>
          <w:tcPr>
            <w:tcW w:w="0" w:type="auto"/>
            <w:hideMark/>
          </w:tcPr>
          <w:p w14:paraId="67813855"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0.2451</w:t>
            </w:r>
          </w:p>
        </w:tc>
      </w:tr>
      <w:tr w:rsidR="001014B9" w:rsidRPr="001014B9" w14:paraId="241C9AA2" w14:textId="77777777" w:rsidTr="001014B9">
        <w:trPr>
          <w:trHeight w:val="254"/>
        </w:trPr>
        <w:tc>
          <w:tcPr>
            <w:tcW w:w="0" w:type="auto"/>
            <w:hideMark/>
          </w:tcPr>
          <w:p w14:paraId="3758E2E8"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Pest free</w:t>
            </w:r>
          </w:p>
        </w:tc>
        <w:tc>
          <w:tcPr>
            <w:tcW w:w="0" w:type="auto"/>
            <w:hideMark/>
          </w:tcPr>
          <w:p w14:paraId="6805B053"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0.3952</w:t>
            </w:r>
          </w:p>
        </w:tc>
        <w:tc>
          <w:tcPr>
            <w:tcW w:w="0" w:type="auto"/>
            <w:hideMark/>
          </w:tcPr>
          <w:p w14:paraId="3D4A5C62"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1.0152</w:t>
            </w:r>
          </w:p>
        </w:tc>
        <w:tc>
          <w:tcPr>
            <w:tcW w:w="0" w:type="auto"/>
            <w:hideMark/>
          </w:tcPr>
          <w:p w14:paraId="68C6FB95"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0.3893</w:t>
            </w:r>
          </w:p>
        </w:tc>
        <w:tc>
          <w:tcPr>
            <w:tcW w:w="0" w:type="auto"/>
            <w:hideMark/>
          </w:tcPr>
          <w:p w14:paraId="34AE771E"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0.6975</w:t>
            </w:r>
          </w:p>
        </w:tc>
      </w:tr>
      <w:tr w:rsidR="001014B9" w:rsidRPr="001014B9" w14:paraId="0699641F" w14:textId="77777777" w:rsidTr="001014B9">
        <w:trPr>
          <w:trHeight w:val="254"/>
        </w:trPr>
        <w:tc>
          <w:tcPr>
            <w:tcW w:w="0" w:type="auto"/>
            <w:hideMark/>
          </w:tcPr>
          <w:p w14:paraId="7864FF6E"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Credit availability</w:t>
            </w:r>
          </w:p>
        </w:tc>
        <w:tc>
          <w:tcPr>
            <w:tcW w:w="0" w:type="auto"/>
            <w:hideMark/>
          </w:tcPr>
          <w:p w14:paraId="55A82335"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0.4897</w:t>
            </w:r>
          </w:p>
        </w:tc>
        <w:tc>
          <w:tcPr>
            <w:tcW w:w="0" w:type="auto"/>
            <w:hideMark/>
          </w:tcPr>
          <w:p w14:paraId="2E5B9906"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1.0764</w:t>
            </w:r>
          </w:p>
        </w:tc>
        <w:tc>
          <w:tcPr>
            <w:tcW w:w="0" w:type="auto"/>
            <w:hideMark/>
          </w:tcPr>
          <w:p w14:paraId="0B0A3CD2"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0.4549</w:t>
            </w:r>
          </w:p>
        </w:tc>
        <w:tc>
          <w:tcPr>
            <w:tcW w:w="0" w:type="auto"/>
            <w:hideMark/>
          </w:tcPr>
          <w:p w14:paraId="22CBFC43"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0.6497</w:t>
            </w:r>
          </w:p>
        </w:tc>
      </w:tr>
      <w:tr w:rsidR="001014B9" w:rsidRPr="001014B9" w14:paraId="03CD83E0" w14:textId="77777777" w:rsidTr="001014B9">
        <w:trPr>
          <w:trHeight w:val="254"/>
        </w:trPr>
        <w:tc>
          <w:tcPr>
            <w:tcW w:w="0" w:type="auto"/>
            <w:hideMark/>
          </w:tcPr>
          <w:p w14:paraId="45A29B34"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Cropping area</w:t>
            </w:r>
          </w:p>
        </w:tc>
        <w:tc>
          <w:tcPr>
            <w:tcW w:w="0" w:type="auto"/>
            <w:hideMark/>
          </w:tcPr>
          <w:p w14:paraId="0A28FE99"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0.8053</w:t>
            </w:r>
          </w:p>
        </w:tc>
        <w:tc>
          <w:tcPr>
            <w:tcW w:w="0" w:type="auto"/>
            <w:hideMark/>
          </w:tcPr>
          <w:p w14:paraId="61BBEBDA"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0.3613</w:t>
            </w:r>
          </w:p>
        </w:tc>
        <w:tc>
          <w:tcPr>
            <w:tcW w:w="0" w:type="auto"/>
            <w:hideMark/>
          </w:tcPr>
          <w:p w14:paraId="0153F3D9"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2.2290</w:t>
            </w:r>
          </w:p>
        </w:tc>
        <w:tc>
          <w:tcPr>
            <w:tcW w:w="0" w:type="auto"/>
            <w:hideMark/>
          </w:tcPr>
          <w:p w14:paraId="0CBE83A8"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0.0270</w:t>
            </w:r>
          </w:p>
        </w:tc>
      </w:tr>
      <w:tr w:rsidR="001014B9" w:rsidRPr="001014B9" w14:paraId="29DE73AB" w14:textId="77777777" w:rsidTr="001014B9">
        <w:trPr>
          <w:trHeight w:val="254"/>
        </w:trPr>
        <w:tc>
          <w:tcPr>
            <w:tcW w:w="0" w:type="auto"/>
            <w:hideMark/>
          </w:tcPr>
          <w:p w14:paraId="7E48DE0F"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Annual income</w:t>
            </w:r>
          </w:p>
        </w:tc>
        <w:tc>
          <w:tcPr>
            <w:tcW w:w="0" w:type="auto"/>
            <w:hideMark/>
          </w:tcPr>
          <w:p w14:paraId="4C7BD80D"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0.0000</w:t>
            </w:r>
          </w:p>
        </w:tc>
        <w:tc>
          <w:tcPr>
            <w:tcW w:w="0" w:type="auto"/>
            <w:hideMark/>
          </w:tcPr>
          <w:p w14:paraId="461C50DA"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0.0000</w:t>
            </w:r>
          </w:p>
        </w:tc>
        <w:tc>
          <w:tcPr>
            <w:tcW w:w="0" w:type="auto"/>
            <w:hideMark/>
          </w:tcPr>
          <w:p w14:paraId="475684C6"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2.4239</w:t>
            </w:r>
          </w:p>
        </w:tc>
        <w:tc>
          <w:tcPr>
            <w:tcW w:w="0" w:type="auto"/>
            <w:hideMark/>
          </w:tcPr>
          <w:p w14:paraId="5D308801" w14:textId="77777777" w:rsidR="001014B9" w:rsidRPr="001014B9" w:rsidRDefault="001014B9" w:rsidP="001014B9">
            <w:pPr>
              <w:tabs>
                <w:tab w:val="left" w:pos="1080"/>
              </w:tabs>
              <w:jc w:val="both"/>
              <w:rPr>
                <w:rFonts w:ascii="Arial" w:hAnsi="Arial" w:cs="Arial"/>
                <w:lang w:val="en-IN"/>
              </w:rPr>
            </w:pPr>
            <w:r w:rsidRPr="001014B9">
              <w:rPr>
                <w:rFonts w:ascii="Arial" w:hAnsi="Arial" w:cs="Arial"/>
                <w:lang w:val="en-IN"/>
              </w:rPr>
              <w:t>0.0163</w:t>
            </w:r>
          </w:p>
        </w:tc>
      </w:tr>
      <w:tr w:rsidR="001014B9" w:rsidRPr="001014B9" w14:paraId="5464A505" w14:textId="77777777" w:rsidTr="00D942AA">
        <w:trPr>
          <w:trHeight w:val="254"/>
        </w:trPr>
        <w:tc>
          <w:tcPr>
            <w:tcW w:w="0" w:type="auto"/>
            <w:gridSpan w:val="5"/>
          </w:tcPr>
          <w:p w14:paraId="08202629" w14:textId="5057CC49" w:rsidR="001014B9" w:rsidRPr="001014B9" w:rsidRDefault="001014B9" w:rsidP="001014B9">
            <w:pPr>
              <w:tabs>
                <w:tab w:val="left" w:pos="1080"/>
              </w:tabs>
              <w:jc w:val="center"/>
              <w:rPr>
                <w:rFonts w:ascii="Arial" w:hAnsi="Arial" w:cs="Arial"/>
                <w:lang w:val="en-IN"/>
              </w:rPr>
            </w:pPr>
            <w:r>
              <w:rPr>
                <w:rFonts w:ascii="Arial" w:hAnsi="Arial" w:cs="Arial"/>
                <w:lang w:val="en-IN"/>
              </w:rPr>
              <w:t>R</w:t>
            </w:r>
            <w:r>
              <w:rPr>
                <w:rFonts w:ascii="Arial" w:hAnsi="Arial" w:cs="Arial"/>
                <w:vertAlign w:val="superscript"/>
                <w:lang w:val="en-IN"/>
              </w:rPr>
              <w:t xml:space="preserve">2 </w:t>
            </w:r>
            <w:r>
              <w:rPr>
                <w:rFonts w:ascii="Arial" w:hAnsi="Arial" w:cs="Arial"/>
                <w:lang w:val="en-IN"/>
              </w:rPr>
              <w:t>= 0.7057</w:t>
            </w:r>
          </w:p>
        </w:tc>
      </w:tr>
    </w:tbl>
    <w:p w14:paraId="69B5593D" w14:textId="2F4CB19D" w:rsidR="00E21D35" w:rsidRDefault="00082BA8" w:rsidP="00082BA8">
      <w:pPr>
        <w:tabs>
          <w:tab w:val="left" w:pos="1080"/>
        </w:tabs>
        <w:jc w:val="both"/>
        <w:rPr>
          <w:rFonts w:ascii="Arial" w:hAnsi="Arial" w:cs="Arial"/>
        </w:rPr>
      </w:pPr>
      <w:r>
        <w:rPr>
          <w:rFonts w:ascii="Arial" w:hAnsi="Arial" w:cs="Arial"/>
        </w:rPr>
        <w:t xml:space="preserve">Note: </w:t>
      </w:r>
      <w:r w:rsidRPr="00082BA8">
        <w:rPr>
          <w:rFonts w:ascii="Arial" w:hAnsi="Arial" w:cs="Arial"/>
        </w:rPr>
        <w:t>*** = Significant at 1% level (p &lt; 0.01)</w:t>
      </w:r>
      <w:r>
        <w:rPr>
          <w:rFonts w:ascii="Arial" w:hAnsi="Arial" w:cs="Arial"/>
        </w:rPr>
        <w:t xml:space="preserve">, </w:t>
      </w:r>
      <w:r w:rsidRPr="00082BA8">
        <w:rPr>
          <w:rFonts w:ascii="Arial" w:hAnsi="Arial" w:cs="Arial"/>
        </w:rPr>
        <w:t>** = Significant at 5% level (p &lt; 0.05)</w:t>
      </w:r>
      <w:r>
        <w:rPr>
          <w:rFonts w:ascii="Arial" w:hAnsi="Arial" w:cs="Arial"/>
        </w:rPr>
        <w:t xml:space="preserve">, </w:t>
      </w:r>
      <w:r>
        <w:rPr>
          <w:rFonts w:ascii="Arial" w:hAnsi="Arial" w:cs="Arial"/>
          <w:vertAlign w:val="superscript"/>
        </w:rPr>
        <w:t>*</w:t>
      </w:r>
      <w:r w:rsidRPr="00082BA8">
        <w:rPr>
          <w:rFonts w:ascii="Arial" w:hAnsi="Arial" w:cs="Arial"/>
        </w:rPr>
        <w:t>= Significant at 10% level (p &lt; 0.10)</w:t>
      </w:r>
      <w:r>
        <w:rPr>
          <w:rFonts w:ascii="Arial" w:hAnsi="Arial" w:cs="Arial"/>
        </w:rPr>
        <w:t xml:space="preserve">, </w:t>
      </w:r>
      <w:r w:rsidRPr="00082BA8">
        <w:rPr>
          <w:rFonts w:ascii="Arial" w:hAnsi="Arial" w:cs="Arial"/>
        </w:rPr>
        <w:t>ns = Not significant</w:t>
      </w:r>
    </w:p>
    <w:p w14:paraId="41A842E3" w14:textId="477BC60E" w:rsidR="004C289C" w:rsidRDefault="004C289C" w:rsidP="004C289C">
      <w:pPr>
        <w:pStyle w:val="Head1"/>
        <w:spacing w:after="0"/>
        <w:jc w:val="both"/>
        <w:rPr>
          <w:rFonts w:ascii="Arial" w:hAnsi="Arial" w:cs="Arial"/>
        </w:rPr>
      </w:pPr>
      <w:r>
        <w:rPr>
          <w:rFonts w:ascii="Arial" w:hAnsi="Arial" w:cs="Arial"/>
        </w:rPr>
        <w:t>4</w:t>
      </w:r>
      <w:r w:rsidR="00BC50E4">
        <w:rPr>
          <w:rFonts w:ascii="Arial" w:hAnsi="Arial" w:cs="Arial"/>
        </w:rPr>
        <w:t xml:space="preserve">. </w:t>
      </w:r>
      <w:r w:rsidR="0051626F" w:rsidRPr="0051626F">
        <w:rPr>
          <w:rFonts w:ascii="Arial" w:hAnsi="Arial" w:cs="Arial"/>
        </w:rPr>
        <w:t>CONCLUSION</w:t>
      </w:r>
    </w:p>
    <w:p w14:paraId="787886DE" w14:textId="0ACC6E91" w:rsidR="00394308" w:rsidRDefault="003B634B" w:rsidP="00394308">
      <w:pPr>
        <w:jc w:val="both"/>
        <w:rPr>
          <w:rFonts w:ascii="Arial" w:hAnsi="Arial" w:cs="Arial"/>
        </w:rPr>
      </w:pPr>
      <w:r w:rsidRPr="003B634B">
        <w:rPr>
          <w:rFonts w:ascii="Arial" w:hAnsi="Arial" w:cs="Arial"/>
        </w:rPr>
        <w:t>A study examining coriander seed purchasing behavior among farmers in Junagadh district revealed that economic and agronomic considerations—namely seed price, quality, cropping area, and annual income—are the primary drivers of buying decisions. Regression analysis showed that while higher seed prices negatively affect purchase intent, superior seed quality, larger cultivation areas, and greater income levels significantly boost it. Interestingly, social and promotional influences such as brand image, advertising, peer recommendations, and credit availability had no notable impact, underscoring farmers’ preference for practical performance over marketing appeal. These insights highlight that Junagadh’s coriander growers are discerning, value-driven buyers, prompting seed companies to focus on competitive pricing, consistent quality, and robust distribution strategies rather than relying heavily on promotional tactics.</w:t>
      </w:r>
    </w:p>
    <w:p w14:paraId="1AAA7E76" w14:textId="77777777" w:rsidR="003B634B" w:rsidRPr="00394308" w:rsidRDefault="003B634B" w:rsidP="00394308">
      <w:pPr>
        <w:jc w:val="both"/>
        <w:rPr>
          <w:rFonts w:ascii="Arial" w:hAnsi="Arial" w:cs="Arial"/>
        </w:rPr>
      </w:pPr>
    </w:p>
    <w:p w14:paraId="42909345" w14:textId="77777777" w:rsidR="00D63B68" w:rsidRDefault="00D63B68" w:rsidP="00FC39C2">
      <w:pPr>
        <w:pStyle w:val="ReferHead"/>
        <w:spacing w:after="0"/>
        <w:jc w:val="both"/>
        <w:rPr>
          <w:rFonts w:ascii="Arial" w:hAnsi="Arial" w:cs="Arial"/>
          <w:b w:val="0"/>
          <w:caps w:val="0"/>
          <w:sz w:val="20"/>
        </w:rPr>
      </w:pPr>
      <w:bookmarkStart w:id="1" w:name="_GoBack"/>
      <w:bookmarkEnd w:id="1"/>
    </w:p>
    <w:p w14:paraId="07D4A3BF" w14:textId="77777777" w:rsidR="00D63B68" w:rsidRPr="00D63B68" w:rsidRDefault="00D63B68" w:rsidP="00D63B68">
      <w:pPr>
        <w:pStyle w:val="ReferHead"/>
        <w:jc w:val="both"/>
        <w:rPr>
          <w:rFonts w:ascii="Arial" w:hAnsi="Arial" w:cs="Arial"/>
          <w:b w:val="0"/>
          <w:caps w:val="0"/>
          <w:sz w:val="20"/>
        </w:rPr>
      </w:pPr>
      <w:r w:rsidRPr="00D63B68">
        <w:rPr>
          <w:rFonts w:ascii="Arial" w:hAnsi="Arial" w:cs="Arial"/>
          <w:b w:val="0"/>
          <w:caps w:val="0"/>
          <w:sz w:val="20"/>
        </w:rPr>
        <w:t>COMPETING INTERESTS DISCLAIMER:</w:t>
      </w:r>
    </w:p>
    <w:p w14:paraId="24FADC82" w14:textId="039A8D63" w:rsidR="00D63B68" w:rsidRDefault="00D63B68" w:rsidP="00D63B68">
      <w:pPr>
        <w:pStyle w:val="ReferHead"/>
        <w:spacing w:after="0"/>
        <w:jc w:val="both"/>
        <w:rPr>
          <w:rFonts w:ascii="Arial" w:hAnsi="Arial" w:cs="Arial"/>
          <w:b w:val="0"/>
          <w:caps w:val="0"/>
          <w:sz w:val="20"/>
        </w:rPr>
      </w:pPr>
      <w:r w:rsidRPr="00D63B68">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FA4FD9B" w14:textId="77777777" w:rsidR="00FC39C2" w:rsidRDefault="00FC39C2" w:rsidP="00FC39C2">
      <w:pPr>
        <w:pStyle w:val="ReferHead"/>
        <w:spacing w:after="0"/>
        <w:jc w:val="both"/>
        <w:rPr>
          <w:rFonts w:ascii="Arial" w:hAnsi="Arial" w:cs="Arial"/>
          <w:b w:val="0"/>
          <w:caps w:val="0"/>
          <w:sz w:val="20"/>
        </w:rPr>
      </w:pPr>
    </w:p>
    <w:p w14:paraId="5B291B9B" w14:textId="77777777" w:rsidR="00FC39C2" w:rsidRDefault="00FC39C2" w:rsidP="00FC39C2">
      <w:pPr>
        <w:pStyle w:val="ReferHead"/>
        <w:spacing w:after="0"/>
        <w:jc w:val="both"/>
        <w:rPr>
          <w:rFonts w:ascii="Arial" w:hAnsi="Arial" w:cs="Arial"/>
        </w:rPr>
      </w:pPr>
      <w:r w:rsidRPr="00FB3A86">
        <w:rPr>
          <w:rFonts w:ascii="Arial" w:hAnsi="Arial" w:cs="Arial"/>
        </w:rPr>
        <w:t>References</w:t>
      </w:r>
    </w:p>
    <w:p w14:paraId="5314F880" w14:textId="77777777" w:rsidR="00FC39C2" w:rsidRPr="00FB3A86" w:rsidRDefault="00FC39C2" w:rsidP="00FC39C2">
      <w:pPr>
        <w:pStyle w:val="ReferHead"/>
        <w:spacing w:after="0"/>
        <w:jc w:val="both"/>
        <w:rPr>
          <w:rFonts w:ascii="Arial" w:hAnsi="Arial" w:cs="Arial"/>
        </w:rPr>
      </w:pPr>
    </w:p>
    <w:p w14:paraId="1FAC7079" w14:textId="77777777" w:rsidR="00EB3809" w:rsidRPr="00EB3809" w:rsidRDefault="00EB3809" w:rsidP="00EB3809">
      <w:pPr>
        <w:autoSpaceDE w:val="0"/>
        <w:autoSpaceDN w:val="0"/>
        <w:adjustRightInd w:val="0"/>
        <w:ind w:left="851" w:hanging="851"/>
        <w:jc w:val="both"/>
        <w:rPr>
          <w:color w:val="000000"/>
          <w:szCs w:val="24"/>
        </w:rPr>
      </w:pPr>
      <w:r w:rsidRPr="00EB3809">
        <w:rPr>
          <w:color w:val="000000"/>
          <w:szCs w:val="24"/>
        </w:rPr>
        <w:t xml:space="preserve">Anonymous (2022). Global data of rank, production and production share of coriander in major countries. </w:t>
      </w:r>
      <w:proofErr w:type="gramStart"/>
      <w:r w:rsidRPr="00EB3809">
        <w:rPr>
          <w:color w:val="000000"/>
          <w:szCs w:val="24"/>
        </w:rPr>
        <w:t>www.tridge.com .</w:t>
      </w:r>
      <w:proofErr w:type="gramEnd"/>
      <w:r w:rsidRPr="00EB3809">
        <w:rPr>
          <w:color w:val="000000"/>
          <w:szCs w:val="24"/>
        </w:rPr>
        <w:t xml:space="preserve"> Accessed on: 23 June, 2024. </w:t>
      </w:r>
    </w:p>
    <w:p w14:paraId="3563843C" w14:textId="6C7CA34E" w:rsidR="00EB3809" w:rsidRDefault="00EB3809" w:rsidP="00EB3809">
      <w:pPr>
        <w:autoSpaceDE w:val="0"/>
        <w:autoSpaceDN w:val="0"/>
        <w:adjustRightInd w:val="0"/>
        <w:ind w:left="851" w:hanging="851"/>
        <w:jc w:val="both"/>
        <w:rPr>
          <w:color w:val="000000"/>
          <w:szCs w:val="24"/>
        </w:rPr>
      </w:pPr>
      <w:r w:rsidRPr="00EB3809">
        <w:rPr>
          <w:color w:val="000000"/>
          <w:szCs w:val="24"/>
        </w:rPr>
        <w:t>Anonymous (2023). State-wise data of area, production and productivity of coriander in 2022-23. Retrieved from https://indiastat.com/,Accessed on: 23 June, 2024.</w:t>
      </w:r>
    </w:p>
    <w:p w14:paraId="466A7294" w14:textId="77777777" w:rsidR="00EB3809" w:rsidRDefault="00EB3809" w:rsidP="00EB3809">
      <w:pPr>
        <w:autoSpaceDE w:val="0"/>
        <w:autoSpaceDN w:val="0"/>
        <w:adjustRightInd w:val="0"/>
        <w:ind w:left="851" w:hanging="851"/>
        <w:jc w:val="both"/>
        <w:rPr>
          <w:color w:val="000000"/>
          <w:szCs w:val="24"/>
        </w:rPr>
      </w:pPr>
      <w:proofErr w:type="spellStart"/>
      <w:r w:rsidRPr="00EB3809">
        <w:rPr>
          <w:color w:val="000000"/>
          <w:szCs w:val="24"/>
        </w:rPr>
        <w:t>Bhimani</w:t>
      </w:r>
      <w:proofErr w:type="spellEnd"/>
      <w:r w:rsidRPr="00EB3809">
        <w:rPr>
          <w:color w:val="000000"/>
          <w:szCs w:val="24"/>
        </w:rPr>
        <w:t xml:space="preserve">, D.S., </w:t>
      </w:r>
      <w:proofErr w:type="spellStart"/>
      <w:r w:rsidRPr="00EB3809">
        <w:rPr>
          <w:color w:val="000000"/>
          <w:szCs w:val="24"/>
        </w:rPr>
        <w:t>Vekariya</w:t>
      </w:r>
      <w:proofErr w:type="spellEnd"/>
      <w:r w:rsidRPr="00EB3809">
        <w:rPr>
          <w:color w:val="000000"/>
          <w:szCs w:val="24"/>
        </w:rPr>
        <w:t xml:space="preserve">, S.B., </w:t>
      </w:r>
      <w:proofErr w:type="spellStart"/>
      <w:r w:rsidRPr="00EB3809">
        <w:rPr>
          <w:color w:val="000000"/>
          <w:szCs w:val="24"/>
        </w:rPr>
        <w:t>Vaza</w:t>
      </w:r>
      <w:proofErr w:type="spellEnd"/>
      <w:r w:rsidRPr="00EB3809">
        <w:rPr>
          <w:color w:val="000000"/>
          <w:szCs w:val="24"/>
        </w:rPr>
        <w:t>, A.B. &amp; Sinha, A.K. (2025). Growth and decomposition analysis of coriander crop in Gujarat, India. Plant Archives, 25(Special Issue), 371-374.</w:t>
      </w:r>
    </w:p>
    <w:p w14:paraId="58834B7B" w14:textId="421C5D8D" w:rsidR="00EB3809" w:rsidRPr="00E70A0C" w:rsidRDefault="00EB3809" w:rsidP="00EB3809">
      <w:pPr>
        <w:autoSpaceDE w:val="0"/>
        <w:autoSpaceDN w:val="0"/>
        <w:adjustRightInd w:val="0"/>
        <w:ind w:left="851" w:hanging="851"/>
        <w:jc w:val="both"/>
        <w:rPr>
          <w:color w:val="000000"/>
          <w:szCs w:val="24"/>
        </w:rPr>
      </w:pPr>
      <w:proofErr w:type="spellStart"/>
      <w:r w:rsidRPr="00EB3809">
        <w:rPr>
          <w:color w:val="000000"/>
          <w:szCs w:val="24"/>
        </w:rPr>
        <w:t>Ghadiya</w:t>
      </w:r>
      <w:proofErr w:type="spellEnd"/>
      <w:r w:rsidRPr="00EB3809">
        <w:rPr>
          <w:color w:val="000000"/>
          <w:szCs w:val="24"/>
        </w:rPr>
        <w:t xml:space="preserve">, M. &amp; </w:t>
      </w:r>
      <w:proofErr w:type="spellStart"/>
      <w:r w:rsidRPr="00EB3809">
        <w:rPr>
          <w:color w:val="000000"/>
          <w:szCs w:val="24"/>
        </w:rPr>
        <w:t>Maheta</w:t>
      </w:r>
      <w:proofErr w:type="spellEnd"/>
      <w:r w:rsidRPr="00EB3809">
        <w:rPr>
          <w:color w:val="000000"/>
          <w:szCs w:val="24"/>
        </w:rPr>
        <w:t>, H. Y. (2018). Trend of area, production and productivity of groundnut in Gujarat. AGRES – An International e. Journal, 7(3), 355-360.</w:t>
      </w:r>
    </w:p>
    <w:p w14:paraId="15D37087" w14:textId="490E6574" w:rsidR="00EB3809" w:rsidRDefault="00EB3809" w:rsidP="00EB3809">
      <w:pPr>
        <w:autoSpaceDE w:val="0"/>
        <w:autoSpaceDN w:val="0"/>
        <w:adjustRightInd w:val="0"/>
        <w:ind w:left="851" w:hanging="851"/>
        <w:jc w:val="both"/>
        <w:rPr>
          <w:color w:val="000000"/>
          <w:szCs w:val="24"/>
        </w:rPr>
      </w:pPr>
      <w:proofErr w:type="spellStart"/>
      <w:r w:rsidRPr="00EB3809">
        <w:rPr>
          <w:color w:val="000000"/>
          <w:szCs w:val="24"/>
        </w:rPr>
        <w:t>Ghangale</w:t>
      </w:r>
      <w:proofErr w:type="spellEnd"/>
      <w:r w:rsidRPr="00EB3809">
        <w:rPr>
          <w:color w:val="000000"/>
          <w:szCs w:val="24"/>
        </w:rPr>
        <w:t xml:space="preserve">, S. N., </w:t>
      </w:r>
      <w:proofErr w:type="spellStart"/>
      <w:r w:rsidRPr="00EB3809">
        <w:rPr>
          <w:color w:val="000000"/>
          <w:szCs w:val="24"/>
        </w:rPr>
        <w:t>Maheta</w:t>
      </w:r>
      <w:proofErr w:type="spellEnd"/>
      <w:r w:rsidRPr="00EB3809">
        <w:rPr>
          <w:color w:val="000000"/>
          <w:szCs w:val="24"/>
        </w:rPr>
        <w:t xml:space="preserve">, H. Y., &amp; </w:t>
      </w:r>
      <w:proofErr w:type="spellStart"/>
      <w:r w:rsidRPr="00EB3809">
        <w:rPr>
          <w:color w:val="000000"/>
          <w:szCs w:val="24"/>
        </w:rPr>
        <w:t>Khunt</w:t>
      </w:r>
      <w:proofErr w:type="spellEnd"/>
      <w:r w:rsidRPr="00EB3809">
        <w:rPr>
          <w:color w:val="000000"/>
          <w:szCs w:val="24"/>
        </w:rPr>
        <w:t>, K. A. (2018). Constraints faced by the farmers in relation to organic fertilizers. International Journal of Agriculture Sciences, 10(17), 7102-7103.</w:t>
      </w:r>
    </w:p>
    <w:p w14:paraId="2CEE7EE8" w14:textId="77777777" w:rsidR="00EB3809" w:rsidRPr="00EB3809" w:rsidRDefault="00EB3809" w:rsidP="00EB3809">
      <w:pPr>
        <w:autoSpaceDE w:val="0"/>
        <w:autoSpaceDN w:val="0"/>
        <w:adjustRightInd w:val="0"/>
        <w:ind w:left="851" w:hanging="851"/>
        <w:jc w:val="both"/>
        <w:rPr>
          <w:color w:val="000000"/>
          <w:szCs w:val="24"/>
        </w:rPr>
      </w:pPr>
      <w:proofErr w:type="spellStart"/>
      <w:r w:rsidRPr="00EB3809">
        <w:rPr>
          <w:color w:val="000000"/>
          <w:szCs w:val="24"/>
        </w:rPr>
        <w:lastRenderedPageBreak/>
        <w:t>Katariya</w:t>
      </w:r>
      <w:proofErr w:type="spellEnd"/>
      <w:r w:rsidRPr="00EB3809">
        <w:rPr>
          <w:color w:val="000000"/>
          <w:szCs w:val="24"/>
        </w:rPr>
        <w:t xml:space="preserve">, B. B., </w:t>
      </w:r>
      <w:proofErr w:type="spellStart"/>
      <w:r w:rsidRPr="00EB3809">
        <w:rPr>
          <w:color w:val="000000"/>
          <w:szCs w:val="24"/>
        </w:rPr>
        <w:t>Maheta</w:t>
      </w:r>
      <w:proofErr w:type="spellEnd"/>
      <w:r w:rsidRPr="00EB3809">
        <w:rPr>
          <w:color w:val="000000"/>
          <w:szCs w:val="24"/>
        </w:rPr>
        <w:t xml:space="preserve">, H. Y., </w:t>
      </w:r>
      <w:proofErr w:type="spellStart"/>
      <w:r w:rsidRPr="00EB3809">
        <w:rPr>
          <w:color w:val="000000"/>
          <w:szCs w:val="24"/>
        </w:rPr>
        <w:t>Kalsariya</w:t>
      </w:r>
      <w:proofErr w:type="spellEnd"/>
      <w:r w:rsidRPr="00EB3809">
        <w:rPr>
          <w:color w:val="000000"/>
          <w:szCs w:val="24"/>
        </w:rPr>
        <w:t xml:space="preserve">, R., </w:t>
      </w:r>
      <w:proofErr w:type="spellStart"/>
      <w:r w:rsidRPr="00EB3809">
        <w:rPr>
          <w:color w:val="000000"/>
          <w:szCs w:val="24"/>
        </w:rPr>
        <w:t>Khorajiya</w:t>
      </w:r>
      <w:proofErr w:type="spellEnd"/>
      <w:r w:rsidRPr="00EB3809">
        <w:rPr>
          <w:color w:val="000000"/>
          <w:szCs w:val="24"/>
        </w:rPr>
        <w:t>, M., &amp; Chaudhari, V. P. (2016). A study on marketing of milk in Junagadh district of Gujarat. Advances in Life Sciences, 5(1), 239-246.</w:t>
      </w:r>
    </w:p>
    <w:p w14:paraId="548755BC" w14:textId="77777777" w:rsidR="00EB3809" w:rsidRPr="00EB3809" w:rsidRDefault="00EB3809" w:rsidP="00EB3809">
      <w:pPr>
        <w:autoSpaceDE w:val="0"/>
        <w:autoSpaceDN w:val="0"/>
        <w:adjustRightInd w:val="0"/>
        <w:ind w:left="851" w:hanging="851"/>
        <w:jc w:val="both"/>
        <w:rPr>
          <w:color w:val="000000"/>
          <w:szCs w:val="24"/>
        </w:rPr>
      </w:pPr>
      <w:proofErr w:type="spellStart"/>
      <w:r w:rsidRPr="00EB3809">
        <w:rPr>
          <w:color w:val="000000"/>
          <w:szCs w:val="24"/>
        </w:rPr>
        <w:t>Kormla</w:t>
      </w:r>
      <w:proofErr w:type="spellEnd"/>
      <w:r w:rsidRPr="00EB3809">
        <w:rPr>
          <w:color w:val="000000"/>
          <w:szCs w:val="24"/>
        </w:rPr>
        <w:t xml:space="preserve">, G. S., </w:t>
      </w:r>
      <w:proofErr w:type="spellStart"/>
      <w:r w:rsidRPr="00EB3809">
        <w:rPr>
          <w:color w:val="000000"/>
          <w:szCs w:val="24"/>
        </w:rPr>
        <w:t>Maheta</w:t>
      </w:r>
      <w:proofErr w:type="spellEnd"/>
      <w:r w:rsidRPr="00EB3809">
        <w:rPr>
          <w:color w:val="000000"/>
          <w:szCs w:val="24"/>
        </w:rPr>
        <w:t xml:space="preserve">, H. Y., Kumar, K., </w:t>
      </w:r>
      <w:proofErr w:type="spellStart"/>
      <w:r w:rsidRPr="00EB3809">
        <w:rPr>
          <w:color w:val="000000"/>
          <w:szCs w:val="24"/>
        </w:rPr>
        <w:t>Bharodia</w:t>
      </w:r>
      <w:proofErr w:type="spellEnd"/>
      <w:r w:rsidRPr="00EB3809">
        <w:rPr>
          <w:color w:val="000000"/>
          <w:szCs w:val="24"/>
        </w:rPr>
        <w:t>, C., &amp; Chaudhari, V. (2015). Impact of ICT on the supply chain management of seed companies. Trends in Biosciences, 8(10), 2675-2678.</w:t>
      </w:r>
    </w:p>
    <w:p w14:paraId="324F057E" w14:textId="37108227" w:rsidR="003B634B" w:rsidRPr="00EB3809" w:rsidRDefault="003B634B" w:rsidP="003B634B">
      <w:pPr>
        <w:autoSpaceDE w:val="0"/>
        <w:autoSpaceDN w:val="0"/>
        <w:adjustRightInd w:val="0"/>
        <w:ind w:left="851" w:hanging="851"/>
        <w:jc w:val="both"/>
        <w:rPr>
          <w:color w:val="000000"/>
          <w:szCs w:val="24"/>
        </w:rPr>
      </w:pPr>
      <w:r w:rsidRPr="00EB3809">
        <w:rPr>
          <w:color w:val="000000"/>
          <w:szCs w:val="24"/>
        </w:rPr>
        <w:t xml:space="preserve">Kumar, N., </w:t>
      </w:r>
      <w:proofErr w:type="spellStart"/>
      <w:r w:rsidRPr="00EB3809">
        <w:rPr>
          <w:color w:val="000000"/>
          <w:szCs w:val="24"/>
        </w:rPr>
        <w:t>Maheta</w:t>
      </w:r>
      <w:proofErr w:type="spellEnd"/>
      <w:r w:rsidRPr="00EB3809">
        <w:rPr>
          <w:color w:val="000000"/>
          <w:szCs w:val="24"/>
        </w:rPr>
        <w:t xml:space="preserve">, H. Y., Kumar, K., &amp; </w:t>
      </w:r>
      <w:proofErr w:type="spellStart"/>
      <w:r w:rsidRPr="00EB3809">
        <w:rPr>
          <w:color w:val="000000"/>
          <w:szCs w:val="24"/>
        </w:rPr>
        <w:t>Bharodia</w:t>
      </w:r>
      <w:proofErr w:type="spellEnd"/>
      <w:r w:rsidRPr="00EB3809">
        <w:rPr>
          <w:color w:val="000000"/>
          <w:szCs w:val="24"/>
        </w:rPr>
        <w:t>, C. R. (2024</w:t>
      </w:r>
      <w:r>
        <w:rPr>
          <w:color w:val="000000"/>
          <w:szCs w:val="24"/>
        </w:rPr>
        <w:t>a</w:t>
      </w:r>
      <w:r w:rsidRPr="00EB3809">
        <w:rPr>
          <w:color w:val="000000"/>
          <w:szCs w:val="24"/>
        </w:rPr>
        <w:t>). Perception towards plant growth regulators among vegetable growers in Junagadh district of Gujarat, India. Asian Journal of Advanced Agricultural Research, 24(8), 93-101. DOI: https://doi.org/10.9734/ajaar/2024/v24i8539</w:t>
      </w:r>
    </w:p>
    <w:p w14:paraId="66F0E3C3" w14:textId="5E0E980D" w:rsidR="00EB3809" w:rsidRPr="00EB3809" w:rsidRDefault="00EB3809" w:rsidP="00EB3809">
      <w:pPr>
        <w:autoSpaceDE w:val="0"/>
        <w:autoSpaceDN w:val="0"/>
        <w:adjustRightInd w:val="0"/>
        <w:ind w:left="851" w:hanging="851"/>
        <w:jc w:val="both"/>
        <w:rPr>
          <w:color w:val="000000"/>
          <w:szCs w:val="24"/>
        </w:rPr>
      </w:pPr>
      <w:r w:rsidRPr="001014B9">
        <w:rPr>
          <w:color w:val="000000"/>
          <w:szCs w:val="24"/>
          <w:lang w:val="sv-SE"/>
        </w:rPr>
        <w:t>Kumar, N., Maheta, H. Y., Kumar, K., &amp; Bharodia, C. R. (2024</w:t>
      </w:r>
      <w:r w:rsidR="003B634B" w:rsidRPr="001014B9">
        <w:rPr>
          <w:color w:val="000000"/>
          <w:szCs w:val="24"/>
          <w:lang w:val="sv-SE"/>
        </w:rPr>
        <w:t>b</w:t>
      </w:r>
      <w:r w:rsidRPr="001014B9">
        <w:rPr>
          <w:color w:val="000000"/>
          <w:szCs w:val="24"/>
          <w:lang w:val="sv-SE"/>
        </w:rPr>
        <w:t xml:space="preserve">). </w:t>
      </w:r>
      <w:r w:rsidRPr="00EB3809">
        <w:rPr>
          <w:color w:val="000000"/>
          <w:szCs w:val="24"/>
        </w:rPr>
        <w:t>Discriminant analysis of plant growth regulators among vegetable growers in Junagadh district of Gujarat, India. Asian Research Journal of Agriculture, 17(4), 88-99. DOI: https://doi.org/10.9734/arja/2024/v17i4503</w:t>
      </w:r>
    </w:p>
    <w:p w14:paraId="435B4146" w14:textId="21C788C9" w:rsidR="00EB3809" w:rsidRPr="00EB3809" w:rsidRDefault="00EB3809" w:rsidP="00EB3809">
      <w:pPr>
        <w:autoSpaceDE w:val="0"/>
        <w:autoSpaceDN w:val="0"/>
        <w:adjustRightInd w:val="0"/>
        <w:ind w:left="851" w:hanging="851"/>
        <w:jc w:val="both"/>
        <w:rPr>
          <w:color w:val="000000"/>
          <w:szCs w:val="24"/>
        </w:rPr>
      </w:pPr>
      <w:proofErr w:type="spellStart"/>
      <w:r w:rsidRPr="00EB3809">
        <w:rPr>
          <w:color w:val="000000"/>
          <w:szCs w:val="24"/>
        </w:rPr>
        <w:t>Nakum</w:t>
      </w:r>
      <w:proofErr w:type="spellEnd"/>
      <w:r w:rsidRPr="00EB3809">
        <w:rPr>
          <w:color w:val="000000"/>
          <w:szCs w:val="24"/>
        </w:rPr>
        <w:t xml:space="preserve">, M. M., Patel, R. M., </w:t>
      </w:r>
      <w:proofErr w:type="spellStart"/>
      <w:r w:rsidRPr="00EB3809">
        <w:rPr>
          <w:color w:val="000000"/>
          <w:szCs w:val="24"/>
        </w:rPr>
        <w:t>Kotvaliya</w:t>
      </w:r>
      <w:proofErr w:type="spellEnd"/>
      <w:r w:rsidRPr="00EB3809">
        <w:rPr>
          <w:color w:val="000000"/>
          <w:szCs w:val="24"/>
        </w:rPr>
        <w:t>, N. A., &amp; Gohil, M. B. (2</w:t>
      </w:r>
      <w:r>
        <w:rPr>
          <w:color w:val="000000"/>
          <w:szCs w:val="24"/>
        </w:rPr>
        <w:t>024</w:t>
      </w:r>
      <w:r w:rsidR="003B634B">
        <w:rPr>
          <w:color w:val="000000"/>
          <w:szCs w:val="24"/>
        </w:rPr>
        <w:t>a</w:t>
      </w:r>
      <w:r>
        <w:rPr>
          <w:color w:val="000000"/>
          <w:szCs w:val="24"/>
        </w:rPr>
        <w:t xml:space="preserve">). An analysis of marketing </w:t>
      </w:r>
      <w:r w:rsidRPr="00EB3809">
        <w:rPr>
          <w:color w:val="000000"/>
          <w:szCs w:val="24"/>
        </w:rPr>
        <w:t xml:space="preserve">status of </w:t>
      </w:r>
      <w:proofErr w:type="spellStart"/>
      <w:r w:rsidRPr="00EB3809">
        <w:rPr>
          <w:color w:val="000000"/>
          <w:szCs w:val="24"/>
        </w:rPr>
        <w:t>Bt</w:t>
      </w:r>
      <w:proofErr w:type="spellEnd"/>
      <w:r w:rsidRPr="00EB3809">
        <w:rPr>
          <w:color w:val="000000"/>
          <w:szCs w:val="24"/>
        </w:rPr>
        <w:t xml:space="preserve"> cotton seed in </w:t>
      </w:r>
      <w:proofErr w:type="spellStart"/>
      <w:r w:rsidRPr="00EB3809">
        <w:rPr>
          <w:color w:val="000000"/>
          <w:szCs w:val="24"/>
        </w:rPr>
        <w:t>Devbhumi</w:t>
      </w:r>
      <w:proofErr w:type="spellEnd"/>
      <w:r w:rsidRPr="00EB3809">
        <w:rPr>
          <w:color w:val="000000"/>
          <w:szCs w:val="24"/>
        </w:rPr>
        <w:t xml:space="preserve"> Dwarka district, Gujarat, India. Asian Journal of </w:t>
      </w:r>
      <w:r w:rsidRPr="00EB3809">
        <w:rPr>
          <w:color w:val="000000"/>
          <w:szCs w:val="24"/>
        </w:rPr>
        <w:tab/>
        <w:t>Agricultural Extension, Economi</w:t>
      </w:r>
      <w:r>
        <w:rPr>
          <w:color w:val="000000"/>
          <w:szCs w:val="24"/>
        </w:rPr>
        <w:t xml:space="preserve">cs &amp; Sociology, 42(12), 21–26. </w:t>
      </w:r>
      <w:r w:rsidRPr="00EB3809">
        <w:rPr>
          <w:color w:val="000000"/>
          <w:szCs w:val="24"/>
        </w:rPr>
        <w:t>https://doi.org/10.9734/ajaees/2024/v42i122624</w:t>
      </w:r>
    </w:p>
    <w:p w14:paraId="7BC5C561" w14:textId="07F0EF14" w:rsidR="00EB3809" w:rsidRDefault="00EB3809" w:rsidP="00EB3809">
      <w:pPr>
        <w:autoSpaceDE w:val="0"/>
        <w:autoSpaceDN w:val="0"/>
        <w:adjustRightInd w:val="0"/>
        <w:ind w:left="851" w:hanging="851"/>
        <w:jc w:val="both"/>
        <w:rPr>
          <w:color w:val="000000"/>
          <w:szCs w:val="24"/>
        </w:rPr>
      </w:pPr>
      <w:r w:rsidRPr="001014B9">
        <w:rPr>
          <w:color w:val="000000"/>
          <w:szCs w:val="24"/>
          <w:lang w:val="sv-SE"/>
        </w:rPr>
        <w:t>Nakum, M. M., Patel, R. M., Kotvaliya, N. A., &amp; Gohil, M. B. (2024</w:t>
      </w:r>
      <w:r w:rsidR="003B634B" w:rsidRPr="001014B9">
        <w:rPr>
          <w:color w:val="000000"/>
          <w:szCs w:val="24"/>
          <w:lang w:val="sv-SE"/>
        </w:rPr>
        <w:t>b</w:t>
      </w:r>
      <w:r w:rsidRPr="001014B9">
        <w:rPr>
          <w:color w:val="000000"/>
          <w:szCs w:val="24"/>
          <w:lang w:val="sv-SE"/>
        </w:rPr>
        <w:t xml:space="preserve">). </w:t>
      </w:r>
      <w:r>
        <w:rPr>
          <w:color w:val="000000"/>
          <w:szCs w:val="24"/>
        </w:rPr>
        <w:t xml:space="preserve">Analysis of constraints </w:t>
      </w:r>
      <w:r w:rsidRPr="00EB3809">
        <w:rPr>
          <w:color w:val="000000"/>
          <w:szCs w:val="24"/>
        </w:rPr>
        <w:t xml:space="preserve">faced in the </w:t>
      </w:r>
      <w:proofErr w:type="spellStart"/>
      <w:r w:rsidRPr="00EB3809">
        <w:rPr>
          <w:color w:val="000000"/>
          <w:szCs w:val="24"/>
        </w:rPr>
        <w:t>Bt</w:t>
      </w:r>
      <w:proofErr w:type="spellEnd"/>
      <w:r w:rsidRPr="00EB3809">
        <w:rPr>
          <w:color w:val="000000"/>
          <w:szCs w:val="24"/>
        </w:rPr>
        <w:t xml:space="preserve"> cotton seed market in </w:t>
      </w:r>
      <w:proofErr w:type="spellStart"/>
      <w:r w:rsidRPr="00EB3809">
        <w:rPr>
          <w:color w:val="000000"/>
          <w:szCs w:val="24"/>
        </w:rPr>
        <w:t>Devbhumi</w:t>
      </w:r>
      <w:proofErr w:type="spellEnd"/>
      <w:r w:rsidRPr="00EB3809">
        <w:rPr>
          <w:color w:val="000000"/>
          <w:szCs w:val="24"/>
        </w:rPr>
        <w:t xml:space="preserve"> D</w:t>
      </w:r>
      <w:r>
        <w:rPr>
          <w:color w:val="000000"/>
          <w:szCs w:val="24"/>
        </w:rPr>
        <w:t xml:space="preserve">warka district. Asian Research </w:t>
      </w:r>
      <w:r w:rsidRPr="00EB3809">
        <w:rPr>
          <w:color w:val="000000"/>
          <w:szCs w:val="24"/>
        </w:rPr>
        <w:t xml:space="preserve">Journal of Agriculture, 17(4), 844–848. </w:t>
      </w:r>
      <w:hyperlink r:id="rId14" w:history="1">
        <w:r w:rsidRPr="00230531">
          <w:rPr>
            <w:rStyle w:val="Hyperlink"/>
            <w:szCs w:val="24"/>
          </w:rPr>
          <w:t>https://doi.org/10.9734/arja/2024/v17i4594</w:t>
        </w:r>
      </w:hyperlink>
      <w:r>
        <w:rPr>
          <w:color w:val="000000"/>
          <w:szCs w:val="24"/>
        </w:rPr>
        <w:t>.</w:t>
      </w:r>
    </w:p>
    <w:p w14:paraId="3C83E8CC" w14:textId="77777777" w:rsidR="00EB3809" w:rsidRPr="00EB3809" w:rsidRDefault="00EB3809" w:rsidP="00EB3809">
      <w:pPr>
        <w:autoSpaceDE w:val="0"/>
        <w:autoSpaceDN w:val="0"/>
        <w:adjustRightInd w:val="0"/>
        <w:ind w:left="851" w:hanging="851"/>
        <w:jc w:val="both"/>
        <w:rPr>
          <w:color w:val="000000"/>
          <w:szCs w:val="24"/>
        </w:rPr>
      </w:pPr>
      <w:r w:rsidRPr="001014B9">
        <w:rPr>
          <w:color w:val="000000"/>
          <w:szCs w:val="24"/>
          <w:lang w:val="sv-SE"/>
        </w:rPr>
        <w:t xml:space="preserve">Nariya, Y. H., Bharodia, C. R., Maheta, H. Y., Kumar, K., Patel, D. J., &amp; Kumar, N. (2024). </w:t>
      </w:r>
      <w:r w:rsidRPr="00EB3809">
        <w:rPr>
          <w:color w:val="000000"/>
          <w:szCs w:val="24"/>
        </w:rPr>
        <w:t xml:space="preserve">Constraints faced by </w:t>
      </w:r>
      <w:proofErr w:type="spellStart"/>
      <w:r w:rsidRPr="00EB3809">
        <w:rPr>
          <w:color w:val="000000"/>
          <w:szCs w:val="24"/>
        </w:rPr>
        <w:t>bt</w:t>
      </w:r>
      <w:proofErr w:type="spellEnd"/>
      <w:r w:rsidRPr="00EB3809">
        <w:rPr>
          <w:color w:val="000000"/>
          <w:szCs w:val="24"/>
        </w:rPr>
        <w:t xml:space="preserve"> cotton seed companies in Gujarat: A comprehensive analysis. Asian Journal of Research in Agriculture and Forestry, 10(4), 223-230. DOI: https://doi.org/10.9734/ajraf/2024/v10i4331.</w:t>
      </w:r>
    </w:p>
    <w:p w14:paraId="2B86AC02" w14:textId="6FB61E49" w:rsidR="00EB3809" w:rsidRPr="00EB3809" w:rsidRDefault="00EB3809" w:rsidP="00EB3809">
      <w:pPr>
        <w:autoSpaceDE w:val="0"/>
        <w:autoSpaceDN w:val="0"/>
        <w:adjustRightInd w:val="0"/>
        <w:ind w:left="851" w:hanging="851"/>
        <w:jc w:val="both"/>
        <w:rPr>
          <w:color w:val="000000"/>
          <w:szCs w:val="24"/>
        </w:rPr>
      </w:pPr>
      <w:r w:rsidRPr="001014B9">
        <w:rPr>
          <w:color w:val="000000"/>
          <w:szCs w:val="24"/>
          <w:lang w:val="sv-SE"/>
        </w:rPr>
        <w:t>Oganja, Y. H., Maheta, H. Y., Kumar, K., &amp; Bharodia, C. R. (2024</w:t>
      </w:r>
      <w:r w:rsidR="003B634B" w:rsidRPr="001014B9">
        <w:rPr>
          <w:color w:val="000000"/>
          <w:szCs w:val="24"/>
          <w:lang w:val="sv-SE"/>
        </w:rPr>
        <w:t>a</w:t>
      </w:r>
      <w:r w:rsidRPr="001014B9">
        <w:rPr>
          <w:color w:val="000000"/>
          <w:szCs w:val="24"/>
          <w:lang w:val="sv-SE"/>
        </w:rPr>
        <w:t xml:space="preserve">). </w:t>
      </w:r>
      <w:r w:rsidRPr="00EB3809">
        <w:rPr>
          <w:color w:val="000000"/>
          <w:szCs w:val="24"/>
        </w:rPr>
        <w:t>Identification of mutation point and trend analysis of area, production, and yield of wheat crop in Gujarat, India. Asian Research Journal of Agriculture, 17(4), 150-156. DOI: https://doi.org/10.9734/arja/2024/v17i4510</w:t>
      </w:r>
    </w:p>
    <w:p w14:paraId="688190A8" w14:textId="457BC606" w:rsidR="00EB3809" w:rsidRPr="00EB3809" w:rsidRDefault="00EB3809" w:rsidP="00EB3809">
      <w:pPr>
        <w:autoSpaceDE w:val="0"/>
        <w:autoSpaceDN w:val="0"/>
        <w:adjustRightInd w:val="0"/>
        <w:ind w:left="851" w:hanging="851"/>
        <w:jc w:val="both"/>
        <w:rPr>
          <w:color w:val="000000"/>
          <w:szCs w:val="24"/>
        </w:rPr>
      </w:pPr>
      <w:r w:rsidRPr="001014B9">
        <w:rPr>
          <w:color w:val="000000"/>
          <w:szCs w:val="24"/>
          <w:lang w:val="sv-SE"/>
        </w:rPr>
        <w:t>Oganja, Y. H., Maheta, H. Y., Kumar, K., &amp; Bharodia, C. R. (2024</w:t>
      </w:r>
      <w:r w:rsidR="003B634B" w:rsidRPr="001014B9">
        <w:rPr>
          <w:color w:val="000000"/>
          <w:szCs w:val="24"/>
          <w:lang w:val="sv-SE"/>
        </w:rPr>
        <w:t>b</w:t>
      </w:r>
      <w:r w:rsidRPr="001014B9">
        <w:rPr>
          <w:color w:val="000000"/>
          <w:szCs w:val="24"/>
          <w:lang w:val="sv-SE"/>
        </w:rPr>
        <w:t xml:space="preserve">). </w:t>
      </w:r>
      <w:r w:rsidRPr="00EB3809">
        <w:rPr>
          <w:color w:val="000000"/>
          <w:szCs w:val="24"/>
        </w:rPr>
        <w:t>Factors influencing farmers' purchase intention toward insecticides of Rajkot district, India. Archives of Current Research International, 24(8), 67-74. DOI: https://doi.org/10.9734/acri/2024/v24i8849</w:t>
      </w:r>
    </w:p>
    <w:p w14:paraId="4D976542" w14:textId="77777777" w:rsidR="00EB3809" w:rsidRPr="00EB3809" w:rsidRDefault="00EB3809" w:rsidP="00EB3809">
      <w:pPr>
        <w:autoSpaceDE w:val="0"/>
        <w:autoSpaceDN w:val="0"/>
        <w:adjustRightInd w:val="0"/>
        <w:ind w:left="851" w:hanging="851"/>
        <w:jc w:val="both"/>
        <w:rPr>
          <w:color w:val="000000"/>
          <w:szCs w:val="24"/>
        </w:rPr>
      </w:pPr>
      <w:r w:rsidRPr="001014B9">
        <w:rPr>
          <w:color w:val="000000"/>
          <w:szCs w:val="24"/>
          <w:lang w:val="sv-SE"/>
        </w:rPr>
        <w:t xml:space="preserve">Parmar, A. B., Bharodia, C. R., Maheta, H. Y., &amp; Kumar, K. (2024). </w:t>
      </w:r>
      <w:r w:rsidRPr="00EB3809">
        <w:rPr>
          <w:color w:val="000000"/>
          <w:szCs w:val="24"/>
        </w:rPr>
        <w:t>Assessment of farmer’s attitude towards drip and traditional irrigation system in Junagadh district, Gujarat. Asian Journal of Advanced Agricultural Research, 24(10), 53-59. DOI: https://doi.org/10.9734/ajaar/2024/v24i10556</w:t>
      </w:r>
    </w:p>
    <w:p w14:paraId="5937E09A" w14:textId="54FCEB8C" w:rsidR="003B634B" w:rsidRDefault="003B634B" w:rsidP="00EB3809">
      <w:pPr>
        <w:autoSpaceDE w:val="0"/>
        <w:autoSpaceDN w:val="0"/>
        <w:adjustRightInd w:val="0"/>
        <w:ind w:left="851" w:hanging="851"/>
        <w:jc w:val="both"/>
        <w:rPr>
          <w:color w:val="000000"/>
          <w:szCs w:val="24"/>
        </w:rPr>
      </w:pPr>
      <w:proofErr w:type="spellStart"/>
      <w:r w:rsidRPr="00EB3809">
        <w:rPr>
          <w:color w:val="000000"/>
          <w:szCs w:val="24"/>
        </w:rPr>
        <w:t>Pithiya</w:t>
      </w:r>
      <w:proofErr w:type="spellEnd"/>
      <w:r w:rsidRPr="00EB3809">
        <w:rPr>
          <w:color w:val="000000"/>
          <w:szCs w:val="24"/>
        </w:rPr>
        <w:t xml:space="preserve">, K. N., </w:t>
      </w:r>
      <w:proofErr w:type="spellStart"/>
      <w:r w:rsidRPr="00EB3809">
        <w:rPr>
          <w:color w:val="000000"/>
          <w:szCs w:val="24"/>
        </w:rPr>
        <w:t>Maheta</w:t>
      </w:r>
      <w:proofErr w:type="spellEnd"/>
      <w:r w:rsidRPr="00EB3809">
        <w:rPr>
          <w:color w:val="000000"/>
          <w:szCs w:val="24"/>
        </w:rPr>
        <w:t xml:space="preserve">, H. Y., Kumar, K., &amp; </w:t>
      </w:r>
      <w:proofErr w:type="spellStart"/>
      <w:r w:rsidRPr="00EB3809">
        <w:rPr>
          <w:color w:val="000000"/>
          <w:szCs w:val="24"/>
        </w:rPr>
        <w:t>Bharodia</w:t>
      </w:r>
      <w:proofErr w:type="spellEnd"/>
      <w:r w:rsidRPr="00EB3809">
        <w:rPr>
          <w:color w:val="000000"/>
          <w:szCs w:val="24"/>
        </w:rPr>
        <w:t>, C. R. (2024</w:t>
      </w:r>
      <w:r>
        <w:rPr>
          <w:color w:val="000000"/>
          <w:szCs w:val="24"/>
        </w:rPr>
        <w:t>a</w:t>
      </w:r>
      <w:r w:rsidRPr="00EB3809">
        <w:rPr>
          <w:color w:val="000000"/>
          <w:szCs w:val="24"/>
        </w:rPr>
        <w:t xml:space="preserve">). Adoption of bio-pesticide among the farmers through internet usage in Junagadh district of Gujarat. International Journal of Bio-resource and Stress Management, 15(12), 1-7. DOI: </w:t>
      </w:r>
      <w:hyperlink r:id="rId15" w:history="1">
        <w:r w:rsidRPr="00230531">
          <w:rPr>
            <w:rStyle w:val="Hyperlink"/>
            <w:szCs w:val="24"/>
          </w:rPr>
          <w:t>https://doi.org/10.23910/1.2024.5664</w:t>
        </w:r>
      </w:hyperlink>
    </w:p>
    <w:p w14:paraId="441461DA" w14:textId="77777777" w:rsidR="00EB3809" w:rsidRPr="00EB3809" w:rsidRDefault="00EB3809" w:rsidP="00EB3809">
      <w:pPr>
        <w:autoSpaceDE w:val="0"/>
        <w:autoSpaceDN w:val="0"/>
        <w:adjustRightInd w:val="0"/>
        <w:ind w:left="851" w:hanging="851"/>
        <w:jc w:val="both"/>
        <w:rPr>
          <w:color w:val="000000"/>
          <w:szCs w:val="24"/>
        </w:rPr>
      </w:pPr>
      <w:r w:rsidRPr="001014B9">
        <w:rPr>
          <w:color w:val="000000"/>
          <w:szCs w:val="24"/>
          <w:lang w:val="sv-SE"/>
        </w:rPr>
        <w:t xml:space="preserve">Pithiya, K. N., Maheta, H. Y., Bharodia, C. R., &amp; Kumar, K. (2024). </w:t>
      </w:r>
      <w:r w:rsidRPr="00EB3809">
        <w:rPr>
          <w:color w:val="000000"/>
          <w:szCs w:val="24"/>
        </w:rPr>
        <w:t xml:space="preserve">Bridging the gap: Factors   influencing farmers' willingness and </w:t>
      </w:r>
      <w:proofErr w:type="spellStart"/>
      <w:r w:rsidRPr="00EB3809">
        <w:rPr>
          <w:color w:val="000000"/>
          <w:szCs w:val="24"/>
        </w:rPr>
        <w:t>behaviour</w:t>
      </w:r>
      <w:proofErr w:type="spellEnd"/>
      <w:r w:rsidRPr="00EB3809">
        <w:rPr>
          <w:color w:val="000000"/>
          <w:szCs w:val="24"/>
        </w:rPr>
        <w:t xml:space="preserve"> in biopesticide application. Journal of     Agriculture and Ecology Research International, 25(5), 1-6. DOI: https://doi.org/10.9734/jaeri/2024/v25i5623</w:t>
      </w:r>
    </w:p>
    <w:p w14:paraId="0F4E80CF" w14:textId="77777777" w:rsidR="00EB3809" w:rsidRPr="00EB3809" w:rsidRDefault="00EB3809" w:rsidP="00EB3809">
      <w:pPr>
        <w:autoSpaceDE w:val="0"/>
        <w:autoSpaceDN w:val="0"/>
        <w:adjustRightInd w:val="0"/>
        <w:ind w:left="851" w:hanging="851"/>
        <w:jc w:val="both"/>
        <w:rPr>
          <w:color w:val="000000"/>
          <w:szCs w:val="24"/>
        </w:rPr>
      </w:pPr>
      <w:r w:rsidRPr="001014B9">
        <w:rPr>
          <w:color w:val="000000"/>
          <w:szCs w:val="24"/>
          <w:lang w:val="sv-SE"/>
        </w:rPr>
        <w:t xml:space="preserve">Rohit, B. R., Maheta, H. Y., Khorajiya, M. H., &amp; Chaudhari, V. P. (2015). </w:t>
      </w:r>
      <w:r w:rsidRPr="00EB3809">
        <w:rPr>
          <w:color w:val="000000"/>
          <w:szCs w:val="24"/>
        </w:rPr>
        <w:t xml:space="preserve">Current status, potential and economics of micro irrigation system in </w:t>
      </w:r>
      <w:proofErr w:type="spellStart"/>
      <w:r w:rsidRPr="00EB3809">
        <w:rPr>
          <w:color w:val="000000"/>
          <w:szCs w:val="24"/>
        </w:rPr>
        <w:t>Sabarkantha</w:t>
      </w:r>
      <w:proofErr w:type="spellEnd"/>
      <w:r w:rsidRPr="00EB3809">
        <w:rPr>
          <w:color w:val="000000"/>
          <w:szCs w:val="24"/>
        </w:rPr>
        <w:t xml:space="preserve"> district of Gujarat. Trends in Biosciences, 8(9), 2446-2454.</w:t>
      </w:r>
    </w:p>
    <w:p w14:paraId="51B04E41" w14:textId="77777777" w:rsidR="00EB3809" w:rsidRPr="00EB3809" w:rsidRDefault="00EB3809" w:rsidP="00EB3809">
      <w:pPr>
        <w:autoSpaceDE w:val="0"/>
        <w:autoSpaceDN w:val="0"/>
        <w:adjustRightInd w:val="0"/>
        <w:ind w:left="851" w:hanging="851"/>
        <w:jc w:val="both"/>
        <w:rPr>
          <w:color w:val="000000"/>
          <w:szCs w:val="24"/>
        </w:rPr>
      </w:pPr>
      <w:r w:rsidRPr="00EB3809">
        <w:rPr>
          <w:color w:val="000000"/>
          <w:szCs w:val="24"/>
        </w:rPr>
        <w:t xml:space="preserve">Sathish, K. M., Maheta, H. Y., Kumar, K., </w:t>
      </w:r>
      <w:proofErr w:type="spellStart"/>
      <w:r w:rsidRPr="00EB3809">
        <w:rPr>
          <w:color w:val="000000"/>
          <w:szCs w:val="24"/>
        </w:rPr>
        <w:t>Bharodia</w:t>
      </w:r>
      <w:proofErr w:type="spellEnd"/>
      <w:r w:rsidRPr="00EB3809">
        <w:rPr>
          <w:color w:val="000000"/>
          <w:szCs w:val="24"/>
        </w:rPr>
        <w:t xml:space="preserve">, C. R., &amp; Srinivas, M. (2019). Factors   affecting the adoption of </w:t>
      </w:r>
      <w:proofErr w:type="gramStart"/>
      <w:r w:rsidRPr="00EB3809">
        <w:rPr>
          <w:color w:val="000000"/>
          <w:szCs w:val="24"/>
        </w:rPr>
        <w:t>water soluble</w:t>
      </w:r>
      <w:proofErr w:type="gramEnd"/>
      <w:r w:rsidRPr="00EB3809">
        <w:rPr>
          <w:color w:val="000000"/>
          <w:szCs w:val="24"/>
        </w:rPr>
        <w:t xml:space="preserve"> fertilizers by banana growers in Trichy district, Tamil Nadu. International Journal of Agriculture Sciences, 11(12), 8645-8646.</w:t>
      </w:r>
    </w:p>
    <w:p w14:paraId="73B6F145" w14:textId="77777777" w:rsidR="00EB3809" w:rsidRDefault="00EB3809" w:rsidP="00EB3809">
      <w:pPr>
        <w:autoSpaceDE w:val="0"/>
        <w:autoSpaceDN w:val="0"/>
        <w:adjustRightInd w:val="0"/>
        <w:ind w:left="851" w:hanging="851"/>
        <w:jc w:val="both"/>
        <w:rPr>
          <w:color w:val="000000"/>
          <w:szCs w:val="24"/>
        </w:rPr>
      </w:pPr>
      <w:r w:rsidRPr="00EB3809">
        <w:rPr>
          <w:color w:val="000000"/>
          <w:szCs w:val="24"/>
        </w:rPr>
        <w:lastRenderedPageBreak/>
        <w:t>Sathish, K. M., Maheta, H. Y., Lad, Y. A., &amp; Mahera, A. B. (2022). Factors influencing banana growers to purchase water soluble fertilizers in Trichy district, Tamil Nadu. British Journal of Marketing Studies, 10(4), 55-63.</w:t>
      </w:r>
    </w:p>
    <w:p w14:paraId="56041E6B" w14:textId="77777777" w:rsidR="00EB3809" w:rsidRDefault="00EB3809" w:rsidP="00EB3809">
      <w:pPr>
        <w:autoSpaceDE w:val="0"/>
        <w:autoSpaceDN w:val="0"/>
        <w:adjustRightInd w:val="0"/>
        <w:ind w:left="851" w:hanging="851"/>
        <w:jc w:val="both"/>
        <w:rPr>
          <w:color w:val="000000"/>
          <w:szCs w:val="24"/>
        </w:rPr>
      </w:pPr>
      <w:r w:rsidRPr="00E70A0C">
        <w:rPr>
          <w:color w:val="000000"/>
          <w:szCs w:val="24"/>
        </w:rPr>
        <w:t xml:space="preserve">Singh, J., </w:t>
      </w:r>
      <w:proofErr w:type="spellStart"/>
      <w:r w:rsidRPr="00E70A0C">
        <w:rPr>
          <w:color w:val="000000"/>
          <w:szCs w:val="24"/>
        </w:rPr>
        <w:t>Vinodkumar</w:t>
      </w:r>
      <w:proofErr w:type="spellEnd"/>
      <w:r w:rsidRPr="00E70A0C">
        <w:rPr>
          <w:color w:val="000000"/>
          <w:szCs w:val="24"/>
        </w:rPr>
        <w:t xml:space="preserve"> and </w:t>
      </w:r>
      <w:proofErr w:type="spellStart"/>
      <w:r w:rsidRPr="00E70A0C">
        <w:rPr>
          <w:color w:val="000000"/>
          <w:szCs w:val="24"/>
        </w:rPr>
        <w:t>Jatwa</w:t>
      </w:r>
      <w:proofErr w:type="spellEnd"/>
      <w:r w:rsidRPr="00E70A0C">
        <w:rPr>
          <w:color w:val="000000"/>
          <w:szCs w:val="24"/>
        </w:rPr>
        <w:t xml:space="preserve">, T. K. (2019). A review: The Indian seed industry, its development, current status and future. </w:t>
      </w:r>
      <w:r w:rsidRPr="00E70A0C">
        <w:rPr>
          <w:i/>
          <w:iCs/>
          <w:color w:val="000000"/>
          <w:szCs w:val="24"/>
        </w:rPr>
        <w:t>International Journal of Chemical Studies.</w:t>
      </w:r>
      <w:r w:rsidRPr="00E70A0C">
        <w:rPr>
          <w:b/>
          <w:bCs/>
          <w:color w:val="000000"/>
          <w:szCs w:val="24"/>
        </w:rPr>
        <w:t>7(3)</w:t>
      </w:r>
      <w:r w:rsidRPr="00E70A0C">
        <w:rPr>
          <w:color w:val="000000"/>
          <w:szCs w:val="24"/>
        </w:rPr>
        <w:t>:1571-1576.</w:t>
      </w:r>
    </w:p>
    <w:p w14:paraId="4C52E637" w14:textId="77777777" w:rsidR="00EB3809" w:rsidRPr="00EB3809" w:rsidRDefault="00EB3809" w:rsidP="00EB3809">
      <w:pPr>
        <w:autoSpaceDE w:val="0"/>
        <w:autoSpaceDN w:val="0"/>
        <w:adjustRightInd w:val="0"/>
        <w:ind w:left="851" w:hanging="851"/>
        <w:jc w:val="both"/>
        <w:rPr>
          <w:color w:val="000000"/>
          <w:szCs w:val="24"/>
        </w:rPr>
      </w:pPr>
      <w:proofErr w:type="spellStart"/>
      <w:r w:rsidRPr="00EB3809">
        <w:rPr>
          <w:color w:val="000000"/>
          <w:szCs w:val="24"/>
        </w:rPr>
        <w:t>Sulthana</w:t>
      </w:r>
      <w:proofErr w:type="spellEnd"/>
      <w:r w:rsidRPr="00EB3809">
        <w:rPr>
          <w:color w:val="000000"/>
          <w:szCs w:val="24"/>
        </w:rPr>
        <w:t xml:space="preserve">, R., Kumar, K., </w:t>
      </w:r>
      <w:proofErr w:type="spellStart"/>
      <w:r w:rsidRPr="00EB3809">
        <w:rPr>
          <w:color w:val="000000"/>
          <w:szCs w:val="24"/>
        </w:rPr>
        <w:t>Maheta</w:t>
      </w:r>
      <w:proofErr w:type="spellEnd"/>
      <w:r w:rsidRPr="00EB3809">
        <w:rPr>
          <w:color w:val="000000"/>
          <w:szCs w:val="24"/>
        </w:rPr>
        <w:t xml:space="preserve">, H., </w:t>
      </w:r>
      <w:proofErr w:type="spellStart"/>
      <w:r w:rsidRPr="00EB3809">
        <w:rPr>
          <w:color w:val="000000"/>
          <w:szCs w:val="24"/>
        </w:rPr>
        <w:t>Bharodia</w:t>
      </w:r>
      <w:proofErr w:type="spellEnd"/>
      <w:r w:rsidRPr="00EB3809">
        <w:rPr>
          <w:color w:val="000000"/>
          <w:szCs w:val="24"/>
        </w:rPr>
        <w:t xml:space="preserve">, C., &amp; Doke, V. Y. (2019). Marketing distribution channel of tomato at </w:t>
      </w:r>
      <w:proofErr w:type="spellStart"/>
      <w:r w:rsidRPr="00EB3809">
        <w:rPr>
          <w:color w:val="000000"/>
          <w:szCs w:val="24"/>
        </w:rPr>
        <w:t>Madanapalle</w:t>
      </w:r>
      <w:proofErr w:type="spellEnd"/>
      <w:r w:rsidRPr="00EB3809">
        <w:rPr>
          <w:color w:val="000000"/>
          <w:szCs w:val="24"/>
        </w:rPr>
        <w:t xml:space="preserve"> block of </w:t>
      </w:r>
      <w:proofErr w:type="spellStart"/>
      <w:r w:rsidRPr="00EB3809">
        <w:rPr>
          <w:color w:val="000000"/>
          <w:szCs w:val="24"/>
        </w:rPr>
        <w:t>Chittor</w:t>
      </w:r>
      <w:proofErr w:type="spellEnd"/>
      <w:r w:rsidRPr="00EB3809">
        <w:rPr>
          <w:color w:val="000000"/>
          <w:szCs w:val="24"/>
        </w:rPr>
        <w:t xml:space="preserve"> district in Andhra Pradesh. International Journal of Agriculture Sciences, 11(15), 8841-8843.</w:t>
      </w:r>
    </w:p>
    <w:p w14:paraId="2356B974" w14:textId="77777777" w:rsidR="00EB3809" w:rsidRPr="00EB3809" w:rsidRDefault="00EB3809" w:rsidP="00EB3809">
      <w:pPr>
        <w:autoSpaceDE w:val="0"/>
        <w:autoSpaceDN w:val="0"/>
        <w:adjustRightInd w:val="0"/>
        <w:ind w:left="851" w:hanging="851"/>
        <w:jc w:val="both"/>
        <w:rPr>
          <w:color w:val="000000"/>
          <w:szCs w:val="24"/>
        </w:rPr>
      </w:pPr>
      <w:r w:rsidRPr="00EB3809">
        <w:rPr>
          <w:color w:val="000000"/>
          <w:szCs w:val="24"/>
        </w:rPr>
        <w:t xml:space="preserve">Vasoya, P. R., </w:t>
      </w:r>
      <w:proofErr w:type="spellStart"/>
      <w:r w:rsidRPr="00EB3809">
        <w:rPr>
          <w:color w:val="000000"/>
          <w:szCs w:val="24"/>
        </w:rPr>
        <w:t>Maheta</w:t>
      </w:r>
      <w:proofErr w:type="spellEnd"/>
      <w:r w:rsidRPr="00EB3809">
        <w:rPr>
          <w:color w:val="000000"/>
          <w:szCs w:val="24"/>
        </w:rPr>
        <w:t xml:space="preserve">, H. Y., </w:t>
      </w:r>
      <w:proofErr w:type="spellStart"/>
      <w:r w:rsidRPr="00EB3809">
        <w:rPr>
          <w:color w:val="000000"/>
          <w:szCs w:val="24"/>
        </w:rPr>
        <w:t>Bharodia</w:t>
      </w:r>
      <w:proofErr w:type="spellEnd"/>
      <w:r w:rsidRPr="00EB3809">
        <w:rPr>
          <w:color w:val="000000"/>
          <w:szCs w:val="24"/>
        </w:rPr>
        <w:t>, C. R., &amp; Kumar, K. (2024). Analysis of marketing channels, price spread, and costs of wheat in Junagadh district of Gujarat, India. Asian Journal of Advanced Agricultural Research, 24(9), 68-74. DOI: https://doi.org/10.9734/ajaar/2024/v24i9547</w:t>
      </w:r>
    </w:p>
    <w:p w14:paraId="1459CEE3" w14:textId="77777777" w:rsidR="00EB3809" w:rsidRDefault="00EB3809" w:rsidP="00EB3809">
      <w:pPr>
        <w:autoSpaceDE w:val="0"/>
        <w:autoSpaceDN w:val="0"/>
        <w:adjustRightInd w:val="0"/>
        <w:ind w:left="851" w:hanging="851"/>
        <w:jc w:val="both"/>
        <w:rPr>
          <w:color w:val="000000"/>
          <w:szCs w:val="24"/>
        </w:rPr>
      </w:pPr>
      <w:r w:rsidRPr="001014B9">
        <w:rPr>
          <w:color w:val="000000"/>
          <w:szCs w:val="24"/>
          <w:lang w:val="sv-SE"/>
        </w:rPr>
        <w:t xml:space="preserve">Vennila, M., Lakhlani, C. D., &amp; Maheta, H. Y. (2018). </w:t>
      </w:r>
      <w:r w:rsidRPr="00EB3809">
        <w:rPr>
          <w:color w:val="000000"/>
          <w:szCs w:val="24"/>
        </w:rPr>
        <w:t>Constraints faced by the groundnut farmers in adoption of organic fertilizers. AGRES - An International e-Journal, 7(2), 220-225.</w:t>
      </w:r>
    </w:p>
    <w:p w14:paraId="4B03F796" w14:textId="3B3C88EE" w:rsidR="00A52EDB" w:rsidRPr="00E71FA4" w:rsidRDefault="00EB3809" w:rsidP="00E71FA4">
      <w:pPr>
        <w:autoSpaceDE w:val="0"/>
        <w:autoSpaceDN w:val="0"/>
        <w:adjustRightInd w:val="0"/>
        <w:ind w:left="851" w:hanging="851"/>
        <w:jc w:val="both"/>
        <w:rPr>
          <w:color w:val="000000"/>
          <w:szCs w:val="24"/>
        </w:rPr>
      </w:pPr>
      <w:r w:rsidRPr="00EB3809">
        <w:rPr>
          <w:color w:val="000000"/>
          <w:szCs w:val="24"/>
        </w:rPr>
        <w:t>Vennila, M., Maheta, H. Y., &amp; Sathish, K. M. (2023). A textbook of statistical tools and methods</w:t>
      </w:r>
      <w:r>
        <w:rPr>
          <w:color w:val="000000"/>
          <w:szCs w:val="24"/>
        </w:rPr>
        <w:t xml:space="preserve"> </w:t>
      </w:r>
      <w:r w:rsidRPr="00EB3809">
        <w:rPr>
          <w:color w:val="000000"/>
          <w:szCs w:val="24"/>
        </w:rPr>
        <w:t xml:space="preserve">for social science research. Agri </w:t>
      </w:r>
      <w:proofErr w:type="spellStart"/>
      <w:r w:rsidRPr="00EB3809">
        <w:rPr>
          <w:color w:val="000000"/>
          <w:szCs w:val="24"/>
        </w:rPr>
        <w:t>Biovet</w:t>
      </w:r>
      <w:proofErr w:type="spellEnd"/>
      <w:r w:rsidRPr="00EB3809">
        <w:rPr>
          <w:color w:val="000000"/>
          <w:szCs w:val="24"/>
        </w:rPr>
        <w:t xml:space="preserve"> Press, New Delhi.</w:t>
      </w:r>
    </w:p>
    <w:p w14:paraId="799E65CE" w14:textId="77777777" w:rsidR="00983D70" w:rsidRDefault="00983D70" w:rsidP="003C0EA2">
      <w:pPr>
        <w:ind w:left="722" w:right="58" w:hanging="720"/>
        <w:jc w:val="both"/>
        <w:rPr>
          <w:szCs w:val="24"/>
        </w:rPr>
      </w:pPr>
    </w:p>
    <w:p w14:paraId="3C78218A" w14:textId="77777777" w:rsidR="00B01FCD" w:rsidRPr="00FB3A86" w:rsidRDefault="00B01FCD" w:rsidP="00FC39C2">
      <w:pPr>
        <w:pStyle w:val="Body"/>
        <w:spacing w:after="0"/>
        <w:rPr>
          <w:rFonts w:ascii="Arial" w:hAnsi="Arial" w:cs="Arial"/>
          <w:b/>
        </w:rPr>
      </w:pPr>
    </w:p>
    <w:sectPr w:rsidR="00B01FCD" w:rsidRPr="00FB3A86" w:rsidSect="00EF5C7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70193" w14:textId="77777777" w:rsidR="003655F5" w:rsidRDefault="003655F5" w:rsidP="00C37E61">
      <w:r>
        <w:separator/>
      </w:r>
    </w:p>
  </w:endnote>
  <w:endnote w:type="continuationSeparator" w:id="0">
    <w:p w14:paraId="0D95547D" w14:textId="77777777" w:rsidR="003655F5" w:rsidRDefault="003655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9C323" w14:textId="77777777" w:rsidR="00264B89" w:rsidRDefault="00264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939F" w14:textId="1411CF8A" w:rsidR="00C37E61" w:rsidRPr="00D63B68" w:rsidRDefault="00A32CB8" w:rsidP="00D63B68">
    <w:pPr>
      <w:pStyle w:val="Footer"/>
    </w:pPr>
    <w:r w:rsidRPr="00D63B6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8BA3" w14:textId="56F39FFA" w:rsidR="00754C9A" w:rsidRPr="00EF5C7A" w:rsidRDefault="00754C9A" w:rsidP="00EF5C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9CD4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07F85" w14:textId="77777777" w:rsidR="003655F5" w:rsidRDefault="003655F5" w:rsidP="00C37E61">
      <w:r>
        <w:separator/>
      </w:r>
    </w:p>
  </w:footnote>
  <w:footnote w:type="continuationSeparator" w:id="0">
    <w:p w14:paraId="4A1B6626" w14:textId="77777777" w:rsidR="003655F5" w:rsidRDefault="003655F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4C012" w14:textId="720C6A5D" w:rsidR="00264B89" w:rsidRDefault="00264B89">
    <w:pPr>
      <w:pStyle w:val="Header"/>
    </w:pPr>
    <w:r>
      <w:rPr>
        <w:noProof/>
      </w:rPr>
      <w:pict w14:anchorId="6AA90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E0BA8" w14:textId="3FC3DE00" w:rsidR="00264B89" w:rsidRDefault="00264B89">
    <w:pPr>
      <w:pStyle w:val="Header"/>
    </w:pPr>
    <w:r>
      <w:rPr>
        <w:noProof/>
      </w:rPr>
      <w:pict w14:anchorId="62285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14493" w14:textId="057CA5E2" w:rsidR="00296529" w:rsidRPr="00296529" w:rsidRDefault="00264B89" w:rsidP="00296529">
    <w:pPr>
      <w:ind w:left="2160"/>
      <w:jc w:val="center"/>
      <w:rPr>
        <w:rFonts w:ascii="Times New Roman" w:eastAsia="Calibri" w:hAnsi="Times New Roman"/>
        <w:i/>
        <w:sz w:val="18"/>
        <w:szCs w:val="22"/>
      </w:rPr>
    </w:pPr>
    <w:r>
      <w:rPr>
        <w:noProof/>
      </w:rPr>
      <w:pict w14:anchorId="11BFC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7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4408D8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822A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A5E5D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6E50E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23715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BEBC0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2DDC4" w14:textId="5C255C55" w:rsidR="00264B89" w:rsidRDefault="00264B89">
    <w:pPr>
      <w:pStyle w:val="Header"/>
    </w:pPr>
    <w:r>
      <w:rPr>
        <w:noProof/>
      </w:rPr>
      <w:pict w14:anchorId="38136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7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4D3E9" w14:textId="75106780" w:rsidR="00264B89" w:rsidRDefault="00264B89">
    <w:pPr>
      <w:pStyle w:val="Header"/>
    </w:pPr>
    <w:r>
      <w:rPr>
        <w:noProof/>
      </w:rPr>
      <w:pict w14:anchorId="2CE55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7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5DCF2" w14:textId="01F6913C" w:rsidR="00264B89" w:rsidRDefault="00264B89">
    <w:pPr>
      <w:pStyle w:val="Header"/>
    </w:pPr>
    <w:r>
      <w:rPr>
        <w:noProof/>
      </w:rPr>
      <w:pict w14:anchorId="20C35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7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1631B2"/>
    <w:multiLevelType w:val="hybridMultilevel"/>
    <w:tmpl w:val="7242D7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8AC3B56"/>
    <w:multiLevelType w:val="multilevel"/>
    <w:tmpl w:val="451212B2"/>
    <w:lvl w:ilvl="0">
      <w:start w:val="3"/>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392AB9"/>
    <w:multiLevelType w:val="hybridMultilevel"/>
    <w:tmpl w:val="297850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1"/>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5"/>
  </w:num>
  <w:num w:numId="30">
    <w:abstractNumId w:val="10"/>
  </w:num>
  <w:num w:numId="31">
    <w:abstractNumId w:val="27"/>
  </w:num>
  <w:num w:numId="32">
    <w:abstractNumId w:val="3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20AA"/>
    <w:rsid w:val="00030174"/>
    <w:rsid w:val="00031919"/>
    <w:rsid w:val="00036CD9"/>
    <w:rsid w:val="000379C1"/>
    <w:rsid w:val="0004579C"/>
    <w:rsid w:val="00077782"/>
    <w:rsid w:val="00082663"/>
    <w:rsid w:val="00082BA8"/>
    <w:rsid w:val="0008431C"/>
    <w:rsid w:val="000A47FA"/>
    <w:rsid w:val="000A65D3"/>
    <w:rsid w:val="000B1E33"/>
    <w:rsid w:val="000B72EB"/>
    <w:rsid w:val="000D4948"/>
    <w:rsid w:val="000D689F"/>
    <w:rsid w:val="000E7B7B"/>
    <w:rsid w:val="000E7D62"/>
    <w:rsid w:val="001014B9"/>
    <w:rsid w:val="0010328F"/>
    <w:rsid w:val="00103357"/>
    <w:rsid w:val="00107383"/>
    <w:rsid w:val="0010762E"/>
    <w:rsid w:val="00113EB8"/>
    <w:rsid w:val="00123C9F"/>
    <w:rsid w:val="00126190"/>
    <w:rsid w:val="00130F17"/>
    <w:rsid w:val="001320BF"/>
    <w:rsid w:val="0013361A"/>
    <w:rsid w:val="00136DA5"/>
    <w:rsid w:val="00141CF4"/>
    <w:rsid w:val="00150A4F"/>
    <w:rsid w:val="00162EFF"/>
    <w:rsid w:val="00163BC4"/>
    <w:rsid w:val="001818F6"/>
    <w:rsid w:val="00184414"/>
    <w:rsid w:val="00191062"/>
    <w:rsid w:val="00192B72"/>
    <w:rsid w:val="00193382"/>
    <w:rsid w:val="001A29D8"/>
    <w:rsid w:val="001A5CAA"/>
    <w:rsid w:val="001B0427"/>
    <w:rsid w:val="001B2C84"/>
    <w:rsid w:val="001B4EF0"/>
    <w:rsid w:val="001D3A51"/>
    <w:rsid w:val="001E10D2"/>
    <w:rsid w:val="001E25B4"/>
    <w:rsid w:val="001E44FE"/>
    <w:rsid w:val="00200595"/>
    <w:rsid w:val="00204835"/>
    <w:rsid w:val="00207A45"/>
    <w:rsid w:val="002123ED"/>
    <w:rsid w:val="002141F3"/>
    <w:rsid w:val="0021631B"/>
    <w:rsid w:val="00231920"/>
    <w:rsid w:val="0023195C"/>
    <w:rsid w:val="0024282C"/>
    <w:rsid w:val="002460DC"/>
    <w:rsid w:val="00250985"/>
    <w:rsid w:val="002553EC"/>
    <w:rsid w:val="002556F6"/>
    <w:rsid w:val="00264B89"/>
    <w:rsid w:val="00271DC9"/>
    <w:rsid w:val="002774C2"/>
    <w:rsid w:val="0028103D"/>
    <w:rsid w:val="00283105"/>
    <w:rsid w:val="00284C4C"/>
    <w:rsid w:val="00287E68"/>
    <w:rsid w:val="00287F57"/>
    <w:rsid w:val="00296529"/>
    <w:rsid w:val="002A5F5E"/>
    <w:rsid w:val="002B27FB"/>
    <w:rsid w:val="002B3579"/>
    <w:rsid w:val="002B685A"/>
    <w:rsid w:val="002C57D2"/>
    <w:rsid w:val="002E0D56"/>
    <w:rsid w:val="002F5124"/>
    <w:rsid w:val="0030607F"/>
    <w:rsid w:val="00311EC0"/>
    <w:rsid w:val="00315186"/>
    <w:rsid w:val="0033343E"/>
    <w:rsid w:val="003406F6"/>
    <w:rsid w:val="003512C2"/>
    <w:rsid w:val="003536FE"/>
    <w:rsid w:val="003655F5"/>
    <w:rsid w:val="00371FB6"/>
    <w:rsid w:val="00375231"/>
    <w:rsid w:val="003763C1"/>
    <w:rsid w:val="00376BBE"/>
    <w:rsid w:val="0039224F"/>
    <w:rsid w:val="00394308"/>
    <w:rsid w:val="003A2A27"/>
    <w:rsid w:val="003A43A4"/>
    <w:rsid w:val="003A7E18"/>
    <w:rsid w:val="003B1C95"/>
    <w:rsid w:val="003B3789"/>
    <w:rsid w:val="003B5870"/>
    <w:rsid w:val="003B634B"/>
    <w:rsid w:val="003C0EA2"/>
    <w:rsid w:val="003C1E19"/>
    <w:rsid w:val="003C4C86"/>
    <w:rsid w:val="003C6258"/>
    <w:rsid w:val="003D2BB2"/>
    <w:rsid w:val="003E2904"/>
    <w:rsid w:val="003E5321"/>
    <w:rsid w:val="003E6624"/>
    <w:rsid w:val="00401927"/>
    <w:rsid w:val="00403715"/>
    <w:rsid w:val="0041027F"/>
    <w:rsid w:val="00412475"/>
    <w:rsid w:val="00422AAA"/>
    <w:rsid w:val="00423789"/>
    <w:rsid w:val="00440F43"/>
    <w:rsid w:val="00441B6F"/>
    <w:rsid w:val="004458E0"/>
    <w:rsid w:val="00446221"/>
    <w:rsid w:val="00450E62"/>
    <w:rsid w:val="004539DB"/>
    <w:rsid w:val="00455175"/>
    <w:rsid w:val="0046731D"/>
    <w:rsid w:val="00467F75"/>
    <w:rsid w:val="00471A80"/>
    <w:rsid w:val="004749E9"/>
    <w:rsid w:val="004C10BF"/>
    <w:rsid w:val="004C289C"/>
    <w:rsid w:val="004D305E"/>
    <w:rsid w:val="004D4277"/>
    <w:rsid w:val="004E4447"/>
    <w:rsid w:val="00500AE2"/>
    <w:rsid w:val="005017C6"/>
    <w:rsid w:val="00502516"/>
    <w:rsid w:val="00505B87"/>
    <w:rsid w:val="00505F06"/>
    <w:rsid w:val="00506828"/>
    <w:rsid w:val="00513AC8"/>
    <w:rsid w:val="0051626F"/>
    <w:rsid w:val="005266C8"/>
    <w:rsid w:val="0053056E"/>
    <w:rsid w:val="00554FDA"/>
    <w:rsid w:val="0055744B"/>
    <w:rsid w:val="0056388B"/>
    <w:rsid w:val="00566FE9"/>
    <w:rsid w:val="00582056"/>
    <w:rsid w:val="00586439"/>
    <w:rsid w:val="005A108D"/>
    <w:rsid w:val="005C784C"/>
    <w:rsid w:val="005D0D03"/>
    <w:rsid w:val="005D17F6"/>
    <w:rsid w:val="005E5539"/>
    <w:rsid w:val="005E653F"/>
    <w:rsid w:val="00602BF5"/>
    <w:rsid w:val="00617FDD"/>
    <w:rsid w:val="00621FA5"/>
    <w:rsid w:val="006270DF"/>
    <w:rsid w:val="00633614"/>
    <w:rsid w:val="00633F68"/>
    <w:rsid w:val="00636EB2"/>
    <w:rsid w:val="006375B8"/>
    <w:rsid w:val="00656609"/>
    <w:rsid w:val="0066510A"/>
    <w:rsid w:val="00670BB9"/>
    <w:rsid w:val="00673F9F"/>
    <w:rsid w:val="00686953"/>
    <w:rsid w:val="00687DEA"/>
    <w:rsid w:val="00687E67"/>
    <w:rsid w:val="006967F7"/>
    <w:rsid w:val="006A250C"/>
    <w:rsid w:val="006A62E8"/>
    <w:rsid w:val="006A7BFD"/>
    <w:rsid w:val="006B21D3"/>
    <w:rsid w:val="006B57D0"/>
    <w:rsid w:val="006C135A"/>
    <w:rsid w:val="006D30FF"/>
    <w:rsid w:val="006D6940"/>
    <w:rsid w:val="006E120D"/>
    <w:rsid w:val="006E47E3"/>
    <w:rsid w:val="006F11EC"/>
    <w:rsid w:val="0070082C"/>
    <w:rsid w:val="00734ECA"/>
    <w:rsid w:val="007369E6"/>
    <w:rsid w:val="00736CAA"/>
    <w:rsid w:val="00743D58"/>
    <w:rsid w:val="00746E59"/>
    <w:rsid w:val="00746EE3"/>
    <w:rsid w:val="00754C9A"/>
    <w:rsid w:val="0075599A"/>
    <w:rsid w:val="00761D52"/>
    <w:rsid w:val="0077749E"/>
    <w:rsid w:val="00790ADA"/>
    <w:rsid w:val="007B7F16"/>
    <w:rsid w:val="007D2288"/>
    <w:rsid w:val="007E088F"/>
    <w:rsid w:val="007F0BCB"/>
    <w:rsid w:val="007F7B32"/>
    <w:rsid w:val="00804BC2"/>
    <w:rsid w:val="0081431A"/>
    <w:rsid w:val="0082384B"/>
    <w:rsid w:val="0083216F"/>
    <w:rsid w:val="00833C09"/>
    <w:rsid w:val="008472E4"/>
    <w:rsid w:val="0085400E"/>
    <w:rsid w:val="00855208"/>
    <w:rsid w:val="00860000"/>
    <w:rsid w:val="00860A9A"/>
    <w:rsid w:val="00863BD3"/>
    <w:rsid w:val="008641ED"/>
    <w:rsid w:val="00866D66"/>
    <w:rsid w:val="008671C6"/>
    <w:rsid w:val="00870583"/>
    <w:rsid w:val="00875803"/>
    <w:rsid w:val="0088786E"/>
    <w:rsid w:val="0089175A"/>
    <w:rsid w:val="008A497F"/>
    <w:rsid w:val="008B459E"/>
    <w:rsid w:val="008B5D58"/>
    <w:rsid w:val="008C7B7D"/>
    <w:rsid w:val="008D261D"/>
    <w:rsid w:val="008E13AE"/>
    <w:rsid w:val="008E1506"/>
    <w:rsid w:val="008E710C"/>
    <w:rsid w:val="008F69D6"/>
    <w:rsid w:val="00902823"/>
    <w:rsid w:val="00915CA6"/>
    <w:rsid w:val="00927834"/>
    <w:rsid w:val="00943B2C"/>
    <w:rsid w:val="009500A6"/>
    <w:rsid w:val="00957AAF"/>
    <w:rsid w:val="00957C18"/>
    <w:rsid w:val="009659BA"/>
    <w:rsid w:val="00973CF6"/>
    <w:rsid w:val="00983040"/>
    <w:rsid w:val="00983D70"/>
    <w:rsid w:val="0099384C"/>
    <w:rsid w:val="009A2F08"/>
    <w:rsid w:val="009A783E"/>
    <w:rsid w:val="009B3FB9"/>
    <w:rsid w:val="009C2465"/>
    <w:rsid w:val="009C7170"/>
    <w:rsid w:val="009D16D4"/>
    <w:rsid w:val="009D35A0"/>
    <w:rsid w:val="009D7EB7"/>
    <w:rsid w:val="009E048A"/>
    <w:rsid w:val="009E08E9"/>
    <w:rsid w:val="009E3DB9"/>
    <w:rsid w:val="009E6E35"/>
    <w:rsid w:val="009F0EDA"/>
    <w:rsid w:val="009F3D0A"/>
    <w:rsid w:val="00A001D1"/>
    <w:rsid w:val="00A03B96"/>
    <w:rsid w:val="00A05B19"/>
    <w:rsid w:val="00A1134E"/>
    <w:rsid w:val="00A24E7E"/>
    <w:rsid w:val="00A258C3"/>
    <w:rsid w:val="00A328FF"/>
    <w:rsid w:val="00A32CB8"/>
    <w:rsid w:val="00A347C0"/>
    <w:rsid w:val="00A4020E"/>
    <w:rsid w:val="00A47DE5"/>
    <w:rsid w:val="00A51431"/>
    <w:rsid w:val="00A52EDB"/>
    <w:rsid w:val="00A539AD"/>
    <w:rsid w:val="00A83AD8"/>
    <w:rsid w:val="00A83E49"/>
    <w:rsid w:val="00A94063"/>
    <w:rsid w:val="00AA6219"/>
    <w:rsid w:val="00AA6CB7"/>
    <w:rsid w:val="00AA74E0"/>
    <w:rsid w:val="00AB2357"/>
    <w:rsid w:val="00AB703F"/>
    <w:rsid w:val="00AC6BB8"/>
    <w:rsid w:val="00AE008F"/>
    <w:rsid w:val="00AE7582"/>
    <w:rsid w:val="00B00181"/>
    <w:rsid w:val="00B01FCD"/>
    <w:rsid w:val="00B12D0A"/>
    <w:rsid w:val="00B1776C"/>
    <w:rsid w:val="00B345CA"/>
    <w:rsid w:val="00B50D09"/>
    <w:rsid w:val="00B52583"/>
    <w:rsid w:val="00B52896"/>
    <w:rsid w:val="00B723DF"/>
    <w:rsid w:val="00B85090"/>
    <w:rsid w:val="00B93104"/>
    <w:rsid w:val="00B95236"/>
    <w:rsid w:val="00B96BD9"/>
    <w:rsid w:val="00BA099E"/>
    <w:rsid w:val="00BA1B01"/>
    <w:rsid w:val="00BA2099"/>
    <w:rsid w:val="00BA2641"/>
    <w:rsid w:val="00BB37AA"/>
    <w:rsid w:val="00BB3CA7"/>
    <w:rsid w:val="00BC50E4"/>
    <w:rsid w:val="00BC53A0"/>
    <w:rsid w:val="00BE62AD"/>
    <w:rsid w:val="00BF121F"/>
    <w:rsid w:val="00BF1F80"/>
    <w:rsid w:val="00C00DC1"/>
    <w:rsid w:val="00C166EF"/>
    <w:rsid w:val="00C17EB0"/>
    <w:rsid w:val="00C27F5F"/>
    <w:rsid w:val="00C30A0F"/>
    <w:rsid w:val="00C34F43"/>
    <w:rsid w:val="00C37E61"/>
    <w:rsid w:val="00C70F1B"/>
    <w:rsid w:val="00C71A47"/>
    <w:rsid w:val="00C7464C"/>
    <w:rsid w:val="00C75A2A"/>
    <w:rsid w:val="00C85588"/>
    <w:rsid w:val="00C915FF"/>
    <w:rsid w:val="00C97DD7"/>
    <w:rsid w:val="00CA0540"/>
    <w:rsid w:val="00CA24CB"/>
    <w:rsid w:val="00CB3D44"/>
    <w:rsid w:val="00CB7368"/>
    <w:rsid w:val="00CC27E1"/>
    <w:rsid w:val="00CD0145"/>
    <w:rsid w:val="00CD3A14"/>
    <w:rsid w:val="00CD6755"/>
    <w:rsid w:val="00CD6856"/>
    <w:rsid w:val="00CE0089"/>
    <w:rsid w:val="00CE63EC"/>
    <w:rsid w:val="00CE793C"/>
    <w:rsid w:val="00CF0939"/>
    <w:rsid w:val="00CF193C"/>
    <w:rsid w:val="00D11F6B"/>
    <w:rsid w:val="00D13C3C"/>
    <w:rsid w:val="00D147F7"/>
    <w:rsid w:val="00D173F1"/>
    <w:rsid w:val="00D35883"/>
    <w:rsid w:val="00D4315F"/>
    <w:rsid w:val="00D43F5C"/>
    <w:rsid w:val="00D54C50"/>
    <w:rsid w:val="00D60777"/>
    <w:rsid w:val="00D63B68"/>
    <w:rsid w:val="00D678C5"/>
    <w:rsid w:val="00D72869"/>
    <w:rsid w:val="00D73638"/>
    <w:rsid w:val="00D74127"/>
    <w:rsid w:val="00D74CB0"/>
    <w:rsid w:val="00D8295D"/>
    <w:rsid w:val="00DA222B"/>
    <w:rsid w:val="00DB1C2D"/>
    <w:rsid w:val="00DC2A65"/>
    <w:rsid w:val="00DC4A83"/>
    <w:rsid w:val="00DD45CD"/>
    <w:rsid w:val="00DE15F0"/>
    <w:rsid w:val="00DE5663"/>
    <w:rsid w:val="00DE78AA"/>
    <w:rsid w:val="00DF2FE7"/>
    <w:rsid w:val="00E0157D"/>
    <w:rsid w:val="00E016C2"/>
    <w:rsid w:val="00E053D0"/>
    <w:rsid w:val="00E106CF"/>
    <w:rsid w:val="00E110B0"/>
    <w:rsid w:val="00E15994"/>
    <w:rsid w:val="00E21D35"/>
    <w:rsid w:val="00E260F9"/>
    <w:rsid w:val="00E3114E"/>
    <w:rsid w:val="00E31A70"/>
    <w:rsid w:val="00E35B02"/>
    <w:rsid w:val="00E53AB3"/>
    <w:rsid w:val="00E66496"/>
    <w:rsid w:val="00E66B35"/>
    <w:rsid w:val="00E66E10"/>
    <w:rsid w:val="00E71FA4"/>
    <w:rsid w:val="00E73DC2"/>
    <w:rsid w:val="00E769F6"/>
    <w:rsid w:val="00E77239"/>
    <w:rsid w:val="00E8407C"/>
    <w:rsid w:val="00E84F3C"/>
    <w:rsid w:val="00E919A6"/>
    <w:rsid w:val="00EA012C"/>
    <w:rsid w:val="00EB3809"/>
    <w:rsid w:val="00EC6A55"/>
    <w:rsid w:val="00ED0288"/>
    <w:rsid w:val="00ED4DD5"/>
    <w:rsid w:val="00ED5C22"/>
    <w:rsid w:val="00EE10A8"/>
    <w:rsid w:val="00EE52CB"/>
    <w:rsid w:val="00EF581D"/>
    <w:rsid w:val="00EF5C7A"/>
    <w:rsid w:val="00EF7FD8"/>
    <w:rsid w:val="00F06F59"/>
    <w:rsid w:val="00F17988"/>
    <w:rsid w:val="00F31B8D"/>
    <w:rsid w:val="00F469F0"/>
    <w:rsid w:val="00F53273"/>
    <w:rsid w:val="00F63D92"/>
    <w:rsid w:val="00F755E4"/>
    <w:rsid w:val="00F77D02"/>
    <w:rsid w:val="00F8311F"/>
    <w:rsid w:val="00FA3755"/>
    <w:rsid w:val="00FB3A86"/>
    <w:rsid w:val="00FC39C2"/>
    <w:rsid w:val="00FC3A55"/>
    <w:rsid w:val="00FC5F21"/>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EE987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412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C13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7286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6A7B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6C135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28103D"/>
    <w:pPr>
      <w:spacing w:after="160" w:line="259" w:lineRule="auto"/>
      <w:ind w:left="821" w:hanging="361"/>
    </w:pPr>
    <w:rPr>
      <w:rFonts w:asciiTheme="minorHAnsi" w:hAnsiTheme="minorHAnsi"/>
      <w:kern w:val="2"/>
      <w:sz w:val="22"/>
      <w:szCs w:val="22"/>
      <w:lang w:val="en-IN"/>
    </w:rPr>
  </w:style>
  <w:style w:type="character" w:customStyle="1" w:styleId="ListParagraphChar">
    <w:name w:val="List Paragraph Char"/>
    <w:link w:val="ListParagraph"/>
    <w:uiPriority w:val="34"/>
    <w:rsid w:val="0028103D"/>
    <w:rPr>
      <w:rFonts w:asciiTheme="minorHAnsi" w:hAnsiTheme="minorHAnsi"/>
      <w:kern w:val="2"/>
      <w:sz w:val="22"/>
      <w:szCs w:val="22"/>
      <w:lang w:val="en-IN"/>
    </w:rPr>
  </w:style>
  <w:style w:type="character" w:customStyle="1" w:styleId="Heading3Char">
    <w:name w:val="Heading 3 Char"/>
    <w:basedOn w:val="DefaultParagraphFont"/>
    <w:link w:val="Heading3"/>
    <w:semiHidden/>
    <w:rsid w:val="00D72869"/>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unhideWhenUsed/>
    <w:rsid w:val="005D0D03"/>
    <w:pPr>
      <w:spacing w:after="120"/>
    </w:pPr>
  </w:style>
  <w:style w:type="character" w:customStyle="1" w:styleId="BodyTextChar">
    <w:name w:val="Body Text Char"/>
    <w:basedOn w:val="DefaultParagraphFont"/>
    <w:link w:val="BodyText"/>
    <w:semiHidden/>
    <w:rsid w:val="005D0D03"/>
    <w:rPr>
      <w:rFonts w:ascii="Helvetica" w:hAnsi="Helvetica"/>
    </w:rPr>
  </w:style>
  <w:style w:type="character" w:customStyle="1" w:styleId="Heading4Char">
    <w:name w:val="Heading 4 Char"/>
    <w:basedOn w:val="DefaultParagraphFont"/>
    <w:link w:val="Heading4"/>
    <w:semiHidden/>
    <w:rsid w:val="006A7BFD"/>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022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986695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9410777">
      <w:bodyDiv w:val="1"/>
      <w:marLeft w:val="0"/>
      <w:marRight w:val="0"/>
      <w:marTop w:val="0"/>
      <w:marBottom w:val="0"/>
      <w:divBdr>
        <w:top w:val="none" w:sz="0" w:space="0" w:color="auto"/>
        <w:left w:val="none" w:sz="0" w:space="0" w:color="auto"/>
        <w:bottom w:val="none" w:sz="0" w:space="0" w:color="auto"/>
        <w:right w:val="none" w:sz="0" w:space="0" w:color="auto"/>
      </w:divBdr>
    </w:div>
    <w:div w:id="373622372">
      <w:bodyDiv w:val="1"/>
      <w:marLeft w:val="0"/>
      <w:marRight w:val="0"/>
      <w:marTop w:val="0"/>
      <w:marBottom w:val="0"/>
      <w:divBdr>
        <w:top w:val="none" w:sz="0" w:space="0" w:color="auto"/>
        <w:left w:val="none" w:sz="0" w:space="0" w:color="auto"/>
        <w:bottom w:val="none" w:sz="0" w:space="0" w:color="auto"/>
        <w:right w:val="none" w:sz="0" w:space="0" w:color="auto"/>
      </w:divBdr>
    </w:div>
    <w:div w:id="421343638">
      <w:bodyDiv w:val="1"/>
      <w:marLeft w:val="0"/>
      <w:marRight w:val="0"/>
      <w:marTop w:val="0"/>
      <w:marBottom w:val="0"/>
      <w:divBdr>
        <w:top w:val="none" w:sz="0" w:space="0" w:color="auto"/>
        <w:left w:val="none" w:sz="0" w:space="0" w:color="auto"/>
        <w:bottom w:val="none" w:sz="0" w:space="0" w:color="auto"/>
        <w:right w:val="none" w:sz="0" w:space="0" w:color="auto"/>
      </w:divBdr>
    </w:div>
    <w:div w:id="4778467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2882446">
      <w:bodyDiv w:val="1"/>
      <w:marLeft w:val="0"/>
      <w:marRight w:val="0"/>
      <w:marTop w:val="0"/>
      <w:marBottom w:val="0"/>
      <w:divBdr>
        <w:top w:val="none" w:sz="0" w:space="0" w:color="auto"/>
        <w:left w:val="none" w:sz="0" w:space="0" w:color="auto"/>
        <w:bottom w:val="none" w:sz="0" w:space="0" w:color="auto"/>
        <w:right w:val="none" w:sz="0" w:space="0" w:color="auto"/>
      </w:divBdr>
    </w:div>
    <w:div w:id="693531947">
      <w:bodyDiv w:val="1"/>
      <w:marLeft w:val="0"/>
      <w:marRight w:val="0"/>
      <w:marTop w:val="0"/>
      <w:marBottom w:val="0"/>
      <w:divBdr>
        <w:top w:val="none" w:sz="0" w:space="0" w:color="auto"/>
        <w:left w:val="none" w:sz="0" w:space="0" w:color="auto"/>
        <w:bottom w:val="none" w:sz="0" w:space="0" w:color="auto"/>
        <w:right w:val="none" w:sz="0" w:space="0" w:color="auto"/>
      </w:divBdr>
    </w:div>
    <w:div w:id="699740922">
      <w:bodyDiv w:val="1"/>
      <w:marLeft w:val="0"/>
      <w:marRight w:val="0"/>
      <w:marTop w:val="0"/>
      <w:marBottom w:val="0"/>
      <w:divBdr>
        <w:top w:val="none" w:sz="0" w:space="0" w:color="auto"/>
        <w:left w:val="none" w:sz="0" w:space="0" w:color="auto"/>
        <w:bottom w:val="none" w:sz="0" w:space="0" w:color="auto"/>
        <w:right w:val="none" w:sz="0" w:space="0" w:color="auto"/>
      </w:divBdr>
    </w:div>
    <w:div w:id="766122475">
      <w:bodyDiv w:val="1"/>
      <w:marLeft w:val="0"/>
      <w:marRight w:val="0"/>
      <w:marTop w:val="0"/>
      <w:marBottom w:val="0"/>
      <w:divBdr>
        <w:top w:val="none" w:sz="0" w:space="0" w:color="auto"/>
        <w:left w:val="none" w:sz="0" w:space="0" w:color="auto"/>
        <w:bottom w:val="none" w:sz="0" w:space="0" w:color="auto"/>
        <w:right w:val="none" w:sz="0" w:space="0" w:color="auto"/>
      </w:divBdr>
    </w:div>
    <w:div w:id="795568318">
      <w:bodyDiv w:val="1"/>
      <w:marLeft w:val="0"/>
      <w:marRight w:val="0"/>
      <w:marTop w:val="0"/>
      <w:marBottom w:val="0"/>
      <w:divBdr>
        <w:top w:val="none" w:sz="0" w:space="0" w:color="auto"/>
        <w:left w:val="none" w:sz="0" w:space="0" w:color="auto"/>
        <w:bottom w:val="none" w:sz="0" w:space="0" w:color="auto"/>
        <w:right w:val="none" w:sz="0" w:space="0" w:color="auto"/>
      </w:divBdr>
    </w:div>
    <w:div w:id="880824993">
      <w:bodyDiv w:val="1"/>
      <w:marLeft w:val="0"/>
      <w:marRight w:val="0"/>
      <w:marTop w:val="0"/>
      <w:marBottom w:val="0"/>
      <w:divBdr>
        <w:top w:val="none" w:sz="0" w:space="0" w:color="auto"/>
        <w:left w:val="none" w:sz="0" w:space="0" w:color="auto"/>
        <w:bottom w:val="none" w:sz="0" w:space="0" w:color="auto"/>
        <w:right w:val="none" w:sz="0" w:space="0" w:color="auto"/>
      </w:divBdr>
    </w:div>
    <w:div w:id="938877815">
      <w:bodyDiv w:val="1"/>
      <w:marLeft w:val="0"/>
      <w:marRight w:val="0"/>
      <w:marTop w:val="0"/>
      <w:marBottom w:val="0"/>
      <w:divBdr>
        <w:top w:val="none" w:sz="0" w:space="0" w:color="auto"/>
        <w:left w:val="none" w:sz="0" w:space="0" w:color="auto"/>
        <w:bottom w:val="none" w:sz="0" w:space="0" w:color="auto"/>
        <w:right w:val="none" w:sz="0" w:space="0" w:color="auto"/>
      </w:divBdr>
    </w:div>
    <w:div w:id="96411464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9406205">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420706">
      <w:bodyDiv w:val="1"/>
      <w:marLeft w:val="0"/>
      <w:marRight w:val="0"/>
      <w:marTop w:val="0"/>
      <w:marBottom w:val="0"/>
      <w:divBdr>
        <w:top w:val="none" w:sz="0" w:space="0" w:color="auto"/>
        <w:left w:val="none" w:sz="0" w:space="0" w:color="auto"/>
        <w:bottom w:val="none" w:sz="0" w:space="0" w:color="auto"/>
        <w:right w:val="none" w:sz="0" w:space="0" w:color="auto"/>
      </w:divBdr>
    </w:div>
    <w:div w:id="1493791771">
      <w:bodyDiv w:val="1"/>
      <w:marLeft w:val="0"/>
      <w:marRight w:val="0"/>
      <w:marTop w:val="0"/>
      <w:marBottom w:val="0"/>
      <w:divBdr>
        <w:top w:val="none" w:sz="0" w:space="0" w:color="auto"/>
        <w:left w:val="none" w:sz="0" w:space="0" w:color="auto"/>
        <w:bottom w:val="none" w:sz="0" w:space="0" w:color="auto"/>
        <w:right w:val="none" w:sz="0" w:space="0" w:color="auto"/>
      </w:divBdr>
    </w:div>
    <w:div w:id="174031991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419877">
      <w:bodyDiv w:val="1"/>
      <w:marLeft w:val="0"/>
      <w:marRight w:val="0"/>
      <w:marTop w:val="0"/>
      <w:marBottom w:val="0"/>
      <w:divBdr>
        <w:top w:val="none" w:sz="0" w:space="0" w:color="auto"/>
        <w:left w:val="none" w:sz="0" w:space="0" w:color="auto"/>
        <w:bottom w:val="none" w:sz="0" w:space="0" w:color="auto"/>
        <w:right w:val="none" w:sz="0" w:space="0" w:color="auto"/>
      </w:divBdr>
    </w:div>
    <w:div w:id="17554744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84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3910/1.2024.5664"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arja/2024/v17i45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E78E9-BE83-4BFF-B6E7-9F2CC170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7</Pages>
  <Words>3057</Words>
  <Characters>17430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20447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31</cp:revision>
  <cp:lastPrinted>1999-07-06T11:00:00Z</cp:lastPrinted>
  <dcterms:created xsi:type="dcterms:W3CDTF">2025-08-28T16:07:00Z</dcterms:created>
  <dcterms:modified xsi:type="dcterms:W3CDTF">2025-08-29T12:35:00Z</dcterms:modified>
</cp:coreProperties>
</file>