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51C6F" w14:textId="77777777" w:rsidR="00754C9A" w:rsidRDefault="00754C9A" w:rsidP="00441B6F">
      <w:pPr>
        <w:pStyle w:val="Title"/>
        <w:spacing w:after="0"/>
        <w:jc w:val="both"/>
        <w:rPr>
          <w:rFonts w:ascii="Arial" w:hAnsi="Arial" w:cs="Arial"/>
        </w:rPr>
      </w:pPr>
    </w:p>
    <w:p w14:paraId="36A0B3A1" w14:textId="77777777" w:rsidR="00566999" w:rsidRPr="00566999" w:rsidRDefault="00566999" w:rsidP="00566999">
      <w:pPr>
        <w:pStyle w:val="Author"/>
        <w:spacing w:line="240" w:lineRule="auto"/>
        <w:jc w:val="both"/>
        <w:rPr>
          <w:rFonts w:ascii="Arial" w:hAnsi="Arial" w:cs="Arial"/>
          <w:bCs/>
          <w:iCs/>
          <w:kern w:val="28"/>
          <w:sz w:val="36"/>
        </w:rPr>
      </w:pPr>
      <w:r w:rsidRPr="00566999">
        <w:rPr>
          <w:rFonts w:ascii="Arial" w:hAnsi="Arial" w:cs="Arial"/>
          <w:bCs/>
          <w:iCs/>
          <w:kern w:val="28"/>
          <w:sz w:val="36"/>
        </w:rPr>
        <w:t>Sustaining Online fish markets: Service Quality and Loyalty in Digital Seafood Markets</w:t>
      </w:r>
    </w:p>
    <w:p w14:paraId="601775CA" w14:textId="77777777" w:rsidR="00790ADA" w:rsidRDefault="00790ADA" w:rsidP="00441B6F">
      <w:pPr>
        <w:pStyle w:val="Affiliation"/>
        <w:spacing w:after="0" w:line="240" w:lineRule="auto"/>
        <w:jc w:val="both"/>
        <w:rPr>
          <w:rFonts w:ascii="Arial" w:hAnsi="Arial" w:cs="Arial"/>
        </w:rPr>
      </w:pPr>
    </w:p>
    <w:p w14:paraId="7F0EBDE4" w14:textId="77777777" w:rsidR="002C57D2" w:rsidRPr="00FB3A86" w:rsidRDefault="002C57D2" w:rsidP="00441B6F">
      <w:pPr>
        <w:pStyle w:val="Affiliation"/>
        <w:spacing w:after="0" w:line="240" w:lineRule="auto"/>
        <w:jc w:val="both"/>
        <w:rPr>
          <w:rFonts w:ascii="Arial" w:hAnsi="Arial" w:cs="Arial"/>
        </w:rPr>
      </w:pPr>
    </w:p>
    <w:p w14:paraId="7397C92A" w14:textId="77777777" w:rsidR="00B01FCD" w:rsidRPr="00FB3A86" w:rsidRDefault="00D532B7" w:rsidP="00441B6F">
      <w:pPr>
        <w:pStyle w:val="Copyright"/>
        <w:spacing w:after="0" w:line="240" w:lineRule="auto"/>
        <w:jc w:val="both"/>
        <w:rPr>
          <w:rFonts w:ascii="Arial" w:hAnsi="Arial" w:cs="Arial"/>
        </w:rPr>
        <w:sectPr w:rsidR="00B01FCD" w:rsidRPr="00FB3A86" w:rsidSect="00F646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9DBEB6" wp14:editId="57AA3D68">
                <wp:extent cx="5303520" cy="635"/>
                <wp:effectExtent l="9525" t="10795" r="11430" b="17780"/>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CE53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W3Hw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cCt1tx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210D3B7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B8E602" w14:textId="77777777" w:rsidTr="001E44FE">
        <w:tc>
          <w:tcPr>
            <w:tcW w:w="9576" w:type="dxa"/>
            <w:shd w:val="clear" w:color="auto" w:fill="F2F2F2"/>
          </w:tcPr>
          <w:p w14:paraId="13AFB4D4" w14:textId="77777777" w:rsidR="00505F06" w:rsidRPr="006015EF" w:rsidRDefault="00566999" w:rsidP="00441B6F">
            <w:pPr>
              <w:pStyle w:val="Body"/>
              <w:spacing w:after="0"/>
              <w:rPr>
                <w:rFonts w:ascii="Arial" w:eastAsia="Calibri" w:hAnsi="Arial" w:cs="Arial"/>
                <w:b/>
              </w:rPr>
            </w:pPr>
            <w:r w:rsidRPr="006015EF">
              <w:rPr>
                <w:rFonts w:ascii="Arial" w:eastAsia="Calibri" w:hAnsi="Arial" w:cs="Arial"/>
                <w:b/>
              </w:rPr>
              <w:t>Purpose: The marketing of farmed fish through online platforms has experienced significant acceleration during the COVID-19 pandemic, particularly in Kerala, India, this study investigates how different dimensions of e-service quality influences loyalty intentions through perceived value and how demographic factors such as age income and purchase frequency shape these relationships in the context of perishable aquaculture products. Methodology:  A survey was conducted among 504 online fish consumers in Kerala, and the data were analyzed using the path modeling and bootstrapped mediation analysis. Reliability and validity were assessed using confirmatory factor analysis (CFA), and demographic influences were included as control variables. Findings:  The results show that E-service quality significantly enhanced perceived value and perceived value strongly predicted loyalty intention, while the direct effect of e-service quality on loyalty intention was not significant, indicating full mediation. Age positively influenced both perceived value and loyalty intention. income negatively influenced perceived value but positively affected loyalty intention, and purchase frequency showed a positive effect on loyalty. These results highlight perceived values as the critical link between service quality and loyalty. Practical Implications: The research provided profound insights to the online seafood retailers to sustain customer loyalty by focusing on improving e-service quality dimensions such as fulfillment, efficiency, system availability and privacy to enhance customers perceived value. Platforms should also segment marketing strategies by age, income profiles and encourage frequent purchases to strengthen habit driven loyalty. Originality: This study is among the first to integrate perceived value as a mediator between e-service quality and loyalty intention in the perishable food e-commerce sector. It extends existing e-service quality models by demonstrating that service quality drives loyalty only indirectly via perceived value.</w:t>
            </w:r>
          </w:p>
        </w:tc>
      </w:tr>
    </w:tbl>
    <w:p w14:paraId="0E5CAF06" w14:textId="77777777" w:rsidR="00636EB2" w:rsidRDefault="00636EB2" w:rsidP="00441B6F">
      <w:pPr>
        <w:pStyle w:val="Body"/>
        <w:spacing w:after="0"/>
        <w:rPr>
          <w:rFonts w:ascii="Arial" w:hAnsi="Arial" w:cs="Arial"/>
          <w:i/>
        </w:rPr>
      </w:pPr>
    </w:p>
    <w:p w14:paraId="14B339EC" w14:textId="77777777" w:rsidR="00B52896" w:rsidRPr="004A556F" w:rsidRDefault="00A24E7E" w:rsidP="004A556F">
      <w:pPr>
        <w:pStyle w:val="Body"/>
        <w:rPr>
          <w:rFonts w:ascii="Arial" w:hAnsi="Arial" w:cs="Arial"/>
          <w:i/>
          <w:iCs/>
        </w:rPr>
      </w:pPr>
      <w:r>
        <w:rPr>
          <w:rFonts w:ascii="Arial" w:hAnsi="Arial" w:cs="Arial"/>
          <w:i/>
        </w:rPr>
        <w:t xml:space="preserve">Keywords: </w:t>
      </w:r>
      <w:r w:rsidR="00566999" w:rsidRPr="00566999">
        <w:rPr>
          <w:rFonts w:ascii="Arial" w:hAnsi="Arial" w:cs="Arial"/>
          <w:i/>
        </w:rPr>
        <w:t>Aquaculture marketing; Consumer</w:t>
      </w:r>
      <w:r w:rsidR="00566999" w:rsidRPr="00566999">
        <w:rPr>
          <w:rFonts w:ascii="Arial" w:hAnsi="Arial" w:cs="Arial"/>
          <w:i/>
          <w:iCs/>
        </w:rPr>
        <w:t xml:space="preserve"> loyalty</w:t>
      </w:r>
      <w:r w:rsidR="00566999" w:rsidRPr="00566999">
        <w:rPr>
          <w:rFonts w:ascii="Arial" w:hAnsi="Arial" w:cs="Arial"/>
          <w:bCs/>
          <w:i/>
          <w:iCs/>
        </w:rPr>
        <w:t>;</w:t>
      </w:r>
      <w:r w:rsidR="00566999" w:rsidRPr="00566999">
        <w:rPr>
          <w:rFonts w:ascii="Arial" w:hAnsi="Arial" w:cs="Arial"/>
          <w:i/>
          <w:iCs/>
        </w:rPr>
        <w:t xml:space="preserve"> Online Platforms; Service Quality;</w:t>
      </w:r>
      <w:r w:rsidR="00566999" w:rsidRPr="00566999">
        <w:rPr>
          <w:rFonts w:ascii="Arial" w:hAnsi="Arial" w:cs="Arial"/>
          <w:i/>
        </w:rPr>
        <w:t xml:space="preserve"> </w:t>
      </w:r>
      <w:r w:rsidR="00566999" w:rsidRPr="00566999">
        <w:rPr>
          <w:rFonts w:ascii="Arial" w:hAnsi="Arial" w:cs="Arial"/>
          <w:i/>
          <w:iCs/>
        </w:rPr>
        <w:t>Perishable foods</w:t>
      </w:r>
    </w:p>
    <w:p w14:paraId="3AC1C3D0" w14:textId="77777777" w:rsidR="0024282C" w:rsidRDefault="0024282C" w:rsidP="00441B6F">
      <w:pPr>
        <w:pStyle w:val="Body"/>
        <w:spacing w:after="0"/>
        <w:rPr>
          <w:rFonts w:ascii="Arial" w:hAnsi="Arial" w:cs="Arial"/>
          <w:i/>
          <w:sz w:val="18"/>
        </w:rPr>
      </w:pPr>
    </w:p>
    <w:p w14:paraId="3681DB6E" w14:textId="77777777" w:rsidR="006015EF" w:rsidRDefault="006015EF" w:rsidP="00441B6F">
      <w:pPr>
        <w:pStyle w:val="Body"/>
        <w:spacing w:after="0"/>
        <w:rPr>
          <w:rFonts w:ascii="Arial" w:hAnsi="Arial" w:cs="Arial"/>
          <w:i/>
          <w:sz w:val="18"/>
        </w:rPr>
      </w:pPr>
    </w:p>
    <w:p w14:paraId="2ECBCEC6" w14:textId="77777777" w:rsidR="00505F06" w:rsidRPr="00A24E7E" w:rsidRDefault="00505F06" w:rsidP="00441B6F">
      <w:pPr>
        <w:pStyle w:val="Body"/>
        <w:spacing w:after="0"/>
        <w:rPr>
          <w:rFonts w:ascii="Arial" w:hAnsi="Arial" w:cs="Arial"/>
          <w:i/>
        </w:rPr>
      </w:pPr>
    </w:p>
    <w:p w14:paraId="5BC8442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EBEEFA" w14:textId="77777777" w:rsidR="002B6F30" w:rsidRPr="002B6F30" w:rsidRDefault="00566999" w:rsidP="002B6F30">
      <w:pPr>
        <w:pStyle w:val="Body"/>
        <w:ind w:firstLine="720"/>
        <w:rPr>
          <w:rFonts w:ascii="Arial" w:hAnsi="Arial" w:cs="Arial"/>
        </w:rPr>
      </w:pPr>
      <w:r w:rsidRPr="00566999">
        <w:rPr>
          <w:rFonts w:ascii="Arial" w:hAnsi="Arial" w:cs="Arial"/>
        </w:rPr>
        <w:t>The fisheries sector in India is a crucial part of the national economy, providing employment, income and nutrition to millions of people. This sector encompasses marine fisheries, inland fisheries, aquaculture, and fish processing representing a complex ecosystem that includes both wild-caught and farmed sources</w:t>
      </w:r>
      <w:r>
        <w:rPr>
          <w:rFonts w:ascii="Arial" w:hAnsi="Arial" w:cs="Arial"/>
        </w:rPr>
        <w:t>.</w:t>
      </w:r>
      <w:r w:rsidR="002B6F30" w:rsidRPr="002B6F30">
        <w:rPr>
          <w:rFonts w:ascii="Times New Roman" w:eastAsiaTheme="minorHAnsi" w:hAnsi="Times New Roman"/>
          <w:sz w:val="24"/>
          <w:szCs w:val="24"/>
        </w:rPr>
        <w:t xml:space="preserve"> </w:t>
      </w:r>
      <w:r w:rsidR="002B6F30" w:rsidRPr="002B6F30">
        <w:rPr>
          <w:rFonts w:ascii="Arial" w:hAnsi="Arial" w:cs="Arial"/>
        </w:rPr>
        <w:t xml:space="preserve">India is the second largest fish producing nation in the world, contributing around 8% of global output. The fishing industry is a vital source of sustenance, employment, and revenue for millions, especially in coastal and rural communities. Over the past ten years, the industry has seen significant changes in both its scale and techniques. Between 2013-14 and 2024-25, the country’s overall fish production   has grown by 104% encompassing both marine and inland sectors. Fish Production has increased from 96 lakh </w:t>
      </w:r>
      <w:proofErr w:type="spellStart"/>
      <w:r w:rsidR="002B6F30" w:rsidRPr="002B6F30">
        <w:rPr>
          <w:rFonts w:ascii="Arial" w:hAnsi="Arial" w:cs="Arial"/>
        </w:rPr>
        <w:t>tonnes</w:t>
      </w:r>
      <w:proofErr w:type="spellEnd"/>
      <w:r w:rsidR="002B6F30" w:rsidRPr="002B6F30">
        <w:rPr>
          <w:rFonts w:ascii="Arial" w:hAnsi="Arial" w:cs="Arial"/>
        </w:rPr>
        <w:t xml:space="preserve"> to 195 lakh </w:t>
      </w:r>
      <w:proofErr w:type="spellStart"/>
      <w:r w:rsidR="002B6F30" w:rsidRPr="002B6F30">
        <w:rPr>
          <w:rFonts w:ascii="Arial" w:hAnsi="Arial" w:cs="Arial"/>
        </w:rPr>
        <w:t>tonnes</w:t>
      </w:r>
      <w:proofErr w:type="spellEnd"/>
      <w:r w:rsidR="002B6F30" w:rsidRPr="002B6F30">
        <w:rPr>
          <w:rFonts w:ascii="Arial" w:hAnsi="Arial" w:cs="Arial"/>
        </w:rPr>
        <w:t xml:space="preserve">. A significant portion of this growth is </w:t>
      </w:r>
      <w:r w:rsidR="002B6F30" w:rsidRPr="002B6F30">
        <w:rPr>
          <w:rFonts w:ascii="Arial" w:hAnsi="Arial" w:cs="Arial"/>
        </w:rPr>
        <w:lastRenderedPageBreak/>
        <w:t xml:space="preserve">attributed to inland fisheries, which have expanded by 142% during the same timeframe. </w:t>
      </w:r>
      <w:r w:rsidR="002B6F30" w:rsidRPr="002B6F30">
        <w:rPr>
          <w:rFonts w:ascii="Arial" w:hAnsi="Arial" w:cs="Arial"/>
          <w:lang w:val="en-IN"/>
        </w:rPr>
        <w:t>(Press Information Bureau, Government of India, 2025)</w:t>
      </w:r>
      <w:r w:rsidR="002B6F30" w:rsidRPr="002B6F30">
        <w:rPr>
          <w:rFonts w:ascii="Arial" w:hAnsi="Arial" w:cs="Arial"/>
        </w:rPr>
        <w:t xml:space="preserve">. </w:t>
      </w:r>
    </w:p>
    <w:p w14:paraId="723BBFFD" w14:textId="77777777" w:rsidR="002B6F30" w:rsidRDefault="002B6F30" w:rsidP="002B6F30">
      <w:pPr>
        <w:pStyle w:val="Body"/>
        <w:ind w:firstLine="720"/>
        <w:rPr>
          <w:rFonts w:ascii="Arial" w:hAnsi="Arial" w:cs="Arial"/>
        </w:rPr>
      </w:pPr>
      <w:r w:rsidRPr="002B6F30">
        <w:rPr>
          <w:rFonts w:ascii="Arial" w:hAnsi="Arial" w:cs="Arial"/>
        </w:rPr>
        <w:t xml:space="preserve">Fisheries contribute approximately 1.1% of the India’s Gross Domestic Product (GDP) and over 7.3% to the agricultural GDP as of the fiscal year 2023 </w:t>
      </w:r>
      <w:r w:rsidRPr="002B6F30">
        <w:rPr>
          <w:rFonts w:ascii="Arial" w:hAnsi="Arial" w:cs="Arial"/>
          <w:lang w:val="en-IN"/>
        </w:rPr>
        <w:t>(Government of India, 2023; Galaxy Classes, 2025).</w:t>
      </w:r>
      <w:r w:rsidRPr="002B6F30">
        <w:rPr>
          <w:rFonts w:ascii="Arial" w:hAnsi="Arial" w:cs="Arial"/>
        </w:rPr>
        <w:t xml:space="preserve"> Beyond its economic importance, the sector is vital for the livelihoods of coastal and rural communities, especially among marginalized groups, and is crucial for food and nutrition security. The sector is also playing significant role in employment. It is estimated that around14.5 million people are directly and indirectly employed in the fisheries sector, while the broader fisheries value chain, including processing, logistics and marketing supports the livelihoods of about 28 million individuals. </w:t>
      </w:r>
      <w:r w:rsidRPr="002B6F30">
        <w:rPr>
          <w:rFonts w:ascii="Arial" w:hAnsi="Arial" w:cs="Arial"/>
          <w:lang w:val="en-IN"/>
        </w:rPr>
        <w:t>This extensive employment highlights the sector’s importance, particularly for rural and coastal communities, highlighting its role in supporting food security, income generation, and economic development across India.  (PIB press release (2023); FAO (2024), Galaxy classes 2025). To further develop this sector further, the government has launched initiatives like the Pradhan Mantri Matsya Sampada Yojana (PMMSY) and the Blue Revolution, both of which prioritize job creation as a strong goal. These programs aim to create sustainable employment opportunities that offer better wages, enhanced social security, and greater job stability (</w:t>
      </w:r>
      <w:proofErr w:type="spellStart"/>
      <w:r w:rsidRPr="002B6F30">
        <w:rPr>
          <w:rFonts w:ascii="Arial" w:hAnsi="Arial" w:cs="Arial"/>
          <w:lang w:val="en-IN"/>
        </w:rPr>
        <w:t>MoFAHD</w:t>
      </w:r>
      <w:proofErr w:type="spellEnd"/>
      <w:r w:rsidRPr="002B6F30">
        <w:rPr>
          <w:rFonts w:ascii="Arial" w:hAnsi="Arial" w:cs="Arial"/>
          <w:lang w:val="en-IN"/>
        </w:rPr>
        <w:t>, 2024)</w:t>
      </w:r>
      <w:r>
        <w:rPr>
          <w:rFonts w:ascii="Arial" w:hAnsi="Arial" w:cs="Arial"/>
        </w:rPr>
        <w:t>.</w:t>
      </w:r>
    </w:p>
    <w:p w14:paraId="79413E93" w14:textId="77777777" w:rsidR="00566999" w:rsidRPr="00566999" w:rsidRDefault="00566999" w:rsidP="002B6F30">
      <w:pPr>
        <w:pStyle w:val="Body"/>
        <w:ind w:firstLine="720"/>
        <w:rPr>
          <w:rFonts w:ascii="Arial" w:hAnsi="Arial" w:cs="Arial"/>
        </w:rPr>
      </w:pPr>
      <w:r w:rsidRPr="00566999">
        <w:rPr>
          <w:rFonts w:ascii="Arial" w:hAnsi="Arial" w:cs="Arial"/>
        </w:rPr>
        <w:t>In Kerala, where fish constitutes both a staple food and a cultural identity, has experienced a dramatic shift in seafood consumption pattern, with many households transforming from traditional fish markets to digital platforms promising hygienic and reliable home delivery. This shift accelerated during the COVID-19 pandemic when online seafood retailers rapidly expanded to meet urgent demand, positioning themselves as trustworthy alternatives by offering door-delivered, quality assured fish (Lkram&amp;Pillay,2022; Love et al., 2021). With a 5.89.5km coastline and among the highest per capita fish consumption in India, the state is heavily reliant on seafood (</w:t>
      </w:r>
      <w:proofErr w:type="spellStart"/>
      <w:r w:rsidRPr="00566999">
        <w:rPr>
          <w:rFonts w:ascii="Arial" w:hAnsi="Arial" w:cs="Arial"/>
        </w:rPr>
        <w:t>DoF</w:t>
      </w:r>
      <w:proofErr w:type="spellEnd"/>
      <w:r w:rsidRPr="00566999">
        <w:rPr>
          <w:rFonts w:ascii="Arial" w:hAnsi="Arial" w:cs="Arial"/>
        </w:rPr>
        <w:t xml:space="preserve">, 2020; NSSO,2012). However, frequent reports of adulteration and chemical preservatives (FSSAI &amp; ICAR-CIFT, 2018) have heightened public health concerns and driven consumers towards digital platforms that appear safer and more transparent. </w:t>
      </w:r>
    </w:p>
    <w:p w14:paraId="570A7C5F" w14:textId="77777777" w:rsidR="00566999" w:rsidRPr="00566999" w:rsidRDefault="00566999" w:rsidP="00566999">
      <w:pPr>
        <w:pStyle w:val="Body"/>
        <w:rPr>
          <w:rFonts w:ascii="Arial" w:hAnsi="Arial" w:cs="Arial"/>
        </w:rPr>
      </w:pPr>
      <w:r w:rsidRPr="00566999">
        <w:rPr>
          <w:rFonts w:ascii="Arial" w:hAnsi="Arial" w:cs="Arial"/>
        </w:rPr>
        <w:tab/>
        <w:t xml:space="preserve">Despite these opportunities, the sustainability of many online fish retailers has proven fragile. Several platforms that flourished during the pandemic have since closed, citing operational inefficiencies, weak supply chains and challenges in delivering reliable digital services (Stoll et al., 2021; Wei et al., 2023). Understanding the factors that drives customer loyalty is therefore both timely and crucial. </w:t>
      </w:r>
    </w:p>
    <w:p w14:paraId="485222CD" w14:textId="77777777" w:rsidR="00566999" w:rsidRDefault="00566999" w:rsidP="00566999">
      <w:pPr>
        <w:pStyle w:val="Body"/>
        <w:rPr>
          <w:rFonts w:ascii="Arial" w:hAnsi="Arial" w:cs="Arial"/>
        </w:rPr>
      </w:pPr>
      <w:r w:rsidRPr="00566999">
        <w:rPr>
          <w:rFonts w:ascii="Arial" w:hAnsi="Arial" w:cs="Arial"/>
        </w:rPr>
        <w:tab/>
        <w:t xml:space="preserve">While electronic service quality has been extensively studied in broader e-commerce and grocery contexts (Sheng&amp;Liu,2010; Blut et al., 2015; </w:t>
      </w:r>
      <w:proofErr w:type="spellStart"/>
      <w:r w:rsidRPr="00566999">
        <w:rPr>
          <w:rFonts w:ascii="Arial" w:hAnsi="Arial" w:cs="Arial"/>
        </w:rPr>
        <w:t>Suhartanto</w:t>
      </w:r>
      <w:proofErr w:type="spellEnd"/>
      <w:r w:rsidRPr="00566999">
        <w:rPr>
          <w:rFonts w:ascii="Arial" w:hAnsi="Arial" w:cs="Arial"/>
        </w:rPr>
        <w:t xml:space="preserve"> et al., 2019), limited knowledge exists regarding its application to perishable categories such as seafood, where expectations for freshness, delivery accuracy, and trust are higher (Kaur,2018; Leo et al., 2022). Existing framework often emphasize functional aspects such as website usability or delivery efficiency but tend to overlook recovery mechanisms such as responsiveness, compensation and contact, that are especially critical when perishable goods are involved (Zeithaml et al.,2002; Parasuraman et al., 2005).</w:t>
      </w:r>
    </w:p>
    <w:p w14:paraId="120DE798" w14:textId="77777777" w:rsidR="002B6F30" w:rsidRPr="002B6F30" w:rsidRDefault="002B6F30" w:rsidP="006015EF">
      <w:pPr>
        <w:pStyle w:val="Body"/>
        <w:ind w:firstLine="720"/>
        <w:rPr>
          <w:rFonts w:ascii="Arial" w:hAnsi="Arial" w:cs="Arial"/>
        </w:rPr>
      </w:pPr>
      <w:r w:rsidRPr="002B6F30">
        <w:rPr>
          <w:rFonts w:ascii="Arial" w:hAnsi="Arial" w:cs="Arial"/>
        </w:rPr>
        <w:t>The literature on service quality has consistently highlighted the significance of aligning with consumer expectations to enhance satisfaction and loyalty. While initial research was conducted within offline retail and service contexts (Parasuraman et al., 1988; Zeithaml et al., 1996), the advent of e-commerce necessitated the development of new models to capture the distinct dynamics of online transactions. Parasuraman et al. (2005) addressed this need by introducing the E-S-QUAL and E-</w:t>
      </w:r>
      <w:proofErr w:type="spellStart"/>
      <w:r w:rsidRPr="002B6F30">
        <w:rPr>
          <w:rFonts w:ascii="Arial" w:hAnsi="Arial" w:cs="Arial"/>
        </w:rPr>
        <w:t>RecS</w:t>
      </w:r>
      <w:proofErr w:type="spellEnd"/>
      <w:r w:rsidRPr="002B6F30">
        <w:rPr>
          <w:rFonts w:ascii="Arial" w:hAnsi="Arial" w:cs="Arial"/>
        </w:rPr>
        <w:t>-QUAL scales, which offer a comprehensive framework for evaluating electronic service quality on digital platforms. The integration of these scales facilitated a comprehensive evaluation of both core service performance and problem -resolution capabilities in digital environments.</w:t>
      </w:r>
    </w:p>
    <w:p w14:paraId="3A7A72E2" w14:textId="77777777" w:rsidR="002B6F30" w:rsidRDefault="002B6F30" w:rsidP="006015EF">
      <w:pPr>
        <w:pStyle w:val="Body"/>
        <w:ind w:firstLine="720"/>
        <w:rPr>
          <w:rFonts w:ascii="Arial" w:hAnsi="Arial" w:cs="Arial"/>
        </w:rPr>
      </w:pPr>
      <w:r w:rsidRPr="002B6F30">
        <w:rPr>
          <w:rFonts w:ascii="Arial" w:hAnsi="Arial" w:cs="Arial"/>
        </w:rPr>
        <w:lastRenderedPageBreak/>
        <w:t xml:space="preserve">Although these frameworks have been extensively validated in general e-commerce and online grocery contexts (Blut et al., 2015; </w:t>
      </w:r>
      <w:proofErr w:type="spellStart"/>
      <w:r w:rsidRPr="002B6F30">
        <w:rPr>
          <w:rFonts w:ascii="Arial" w:hAnsi="Arial" w:cs="Arial"/>
        </w:rPr>
        <w:t>Suhartanto</w:t>
      </w:r>
      <w:proofErr w:type="spellEnd"/>
      <w:r w:rsidRPr="002B6F30">
        <w:rPr>
          <w:rFonts w:ascii="Arial" w:hAnsi="Arial" w:cs="Arial"/>
        </w:rPr>
        <w:t xml:space="preserve"> et al., 2019), their application to highly perishable products categories such as seafood remains underexplored. Perishable goods impose more stringent requirements on logistics accuracy, freshness assurance, and consumer trust (Kaur, 2018; Leo et al., 2022). Consequently, the transferability of existing service quality models to aquaculture markets is not automatic but demands empirical scrutiny. Also, the online seafood market presents unique challenges that distinguish it from traditional e-commerce sectors. Seafood is highly perishable, and even minor lapses in handling, delivery or storage can compromise product quality. Furthermore, consumers in regions such as Kerala, India, exhibit heightened sensitive of freshness, safety and authenticity (</w:t>
      </w:r>
      <w:proofErr w:type="spellStart"/>
      <w:r w:rsidRPr="002B6F30">
        <w:rPr>
          <w:rFonts w:ascii="Arial" w:hAnsi="Arial" w:cs="Arial"/>
        </w:rPr>
        <w:t>DoF</w:t>
      </w:r>
      <w:proofErr w:type="spellEnd"/>
      <w:r w:rsidRPr="002B6F30">
        <w:rPr>
          <w:rFonts w:ascii="Arial" w:hAnsi="Arial" w:cs="Arial"/>
        </w:rPr>
        <w:t>, 2020; FSSAI &amp; ICAR-CIFT, 2018).</w:t>
      </w:r>
      <w:r w:rsidRPr="002B6F30">
        <w:rPr>
          <w:color w:val="000000" w:themeColor="text1"/>
        </w:rPr>
        <w:t xml:space="preserve"> </w:t>
      </w:r>
      <w:r w:rsidRPr="002410A5">
        <w:rPr>
          <w:color w:val="000000" w:themeColor="text1"/>
        </w:rPr>
        <w:t xml:space="preserve">This study is based on a proposed conceptual model (Figure 1) that combines all the e-service quality dimensions (efficiency, system availability, fulfillment and privacy) as defined by </w:t>
      </w:r>
      <w:r w:rsidRPr="002410A5">
        <w:rPr>
          <w:color w:val="000000"/>
        </w:rPr>
        <w:t>Parasuraman et al. (2005) and applied them to loyalty intention. Age, Income and Frequency of purchase act as moderating variables, and the perceived value as a mediating variable in the study</w:t>
      </w:r>
      <w:r>
        <w:rPr>
          <w:rFonts w:ascii="Arial" w:hAnsi="Arial" w:cs="Arial"/>
        </w:rPr>
        <w:t xml:space="preserve">. </w:t>
      </w:r>
      <w:r w:rsidR="00566999" w:rsidRPr="00566999">
        <w:rPr>
          <w:rFonts w:ascii="Arial" w:hAnsi="Arial" w:cs="Arial"/>
        </w:rPr>
        <w:t xml:space="preserve">This study addresses this gap by examining how e-service quality affect loyalty intention, with perceived value as mediator and how demographics shape these relationships.  </w:t>
      </w:r>
    </w:p>
    <w:p w14:paraId="06961894" w14:textId="77777777" w:rsidR="00790ADA" w:rsidRDefault="00566999" w:rsidP="00F82992">
      <w:pPr>
        <w:pStyle w:val="Body"/>
        <w:rPr>
          <w:rFonts w:ascii="Arial" w:hAnsi="Arial" w:cs="Arial"/>
        </w:rPr>
      </w:pPr>
      <w:r w:rsidRPr="00566999">
        <w:rPr>
          <w:rFonts w:ascii="Arial" w:hAnsi="Arial" w:cs="Arial"/>
        </w:rPr>
        <w:t>The contribution of this research also gives actionable guidance for developing resilient, trustworthy and consumer focused seafood platforms that align with both public health needs and evolving digital behaviors.</w:t>
      </w:r>
    </w:p>
    <w:p w14:paraId="47399C63" w14:textId="77777777" w:rsidR="002B6F30" w:rsidRPr="00F82992" w:rsidRDefault="002B6F30" w:rsidP="00F82992">
      <w:pPr>
        <w:autoSpaceDE w:val="0"/>
        <w:autoSpaceDN w:val="0"/>
        <w:adjustRightInd w:val="0"/>
        <w:spacing w:before="240" w:line="480" w:lineRule="auto"/>
        <w:jc w:val="center"/>
        <w:rPr>
          <w:rFonts w:ascii="Arial" w:hAnsi="Arial" w:cs="Arial"/>
          <w:b/>
          <w:color w:val="000000" w:themeColor="text1"/>
        </w:rPr>
      </w:pPr>
      <w:r w:rsidRPr="00F82992">
        <w:rPr>
          <w:rFonts w:ascii="Arial" w:hAnsi="Arial" w:cs="Arial"/>
          <w:b/>
          <w:color w:val="000000" w:themeColor="text1"/>
        </w:rPr>
        <w:t>Figure 1: Proposed Model</w:t>
      </w:r>
    </w:p>
    <w:p w14:paraId="08316BC4" w14:textId="77777777" w:rsidR="002B6F30" w:rsidRPr="002410A5" w:rsidRDefault="00D532B7" w:rsidP="002B6F30">
      <w:pPr>
        <w:pStyle w:val="ListParagraph"/>
        <w:autoSpaceDE w:val="0"/>
        <w:autoSpaceDN w:val="0"/>
        <w:adjustRightInd w:val="0"/>
        <w:spacing w:before="240" w:after="0" w:line="480" w:lineRule="auto"/>
        <w:ind w:left="408"/>
        <w:jc w:val="both"/>
        <w:rPr>
          <w:color w:val="000000" w:themeColor="text1"/>
          <w:sz w:val="20"/>
          <w:szCs w:val="20"/>
        </w:rPr>
      </w:pPr>
      <w:r>
        <w:rPr>
          <w:noProof/>
        </w:rPr>
        <mc:AlternateContent>
          <mc:Choice Requires="wpg">
            <w:drawing>
              <wp:anchor distT="0" distB="0" distL="114300" distR="114300" simplePos="0" relativeHeight="251661312" behindDoc="0" locked="0" layoutInCell="1" allowOverlap="1" wp14:anchorId="3902B133" wp14:editId="3754B304">
                <wp:simplePos x="0" y="0"/>
                <wp:positionH relativeFrom="column">
                  <wp:posOffset>97155</wp:posOffset>
                </wp:positionH>
                <wp:positionV relativeFrom="paragraph">
                  <wp:posOffset>142240</wp:posOffset>
                </wp:positionV>
                <wp:extent cx="5678805" cy="3091180"/>
                <wp:effectExtent l="15240" t="15240" r="11430" b="8255"/>
                <wp:wrapNone/>
                <wp:docPr id="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805" cy="3091180"/>
                          <a:chOff x="0" y="0"/>
                          <a:chExt cx="6416040" cy="3482340"/>
                        </a:xfrm>
                      </wpg:grpSpPr>
                      <wps:wsp>
                        <wps:cNvPr id="3" name="Straight Arrow Connector 99"/>
                        <wps:cNvCnPr>
                          <a:cxnSpLocks noChangeShapeType="1"/>
                        </wps:cNvCnPr>
                        <wps:spPr bwMode="auto">
                          <a:xfrm flipH="1" flipV="1">
                            <a:off x="1402080" y="327660"/>
                            <a:ext cx="495300" cy="73914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4" name="Straight Arrow Connector 100"/>
                        <wps:cNvCnPr>
                          <a:cxnSpLocks noChangeShapeType="1"/>
                        </wps:cNvCnPr>
                        <wps:spPr bwMode="auto">
                          <a:xfrm flipH="1" flipV="1">
                            <a:off x="1455420" y="830580"/>
                            <a:ext cx="464820" cy="26670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5" name="Straight Arrow Connector 101"/>
                        <wps:cNvCnPr>
                          <a:cxnSpLocks noChangeShapeType="1"/>
                        </wps:cNvCnPr>
                        <wps:spPr bwMode="auto">
                          <a:xfrm flipH="1">
                            <a:off x="1485900" y="1089660"/>
                            <a:ext cx="449580" cy="32004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6" name="Straight Arrow Connector 102"/>
                        <wps:cNvCnPr>
                          <a:cxnSpLocks noChangeShapeType="1"/>
                        </wps:cNvCnPr>
                        <wps:spPr bwMode="auto">
                          <a:xfrm flipH="1">
                            <a:off x="1470660" y="1150620"/>
                            <a:ext cx="434340" cy="84582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 name="Straight Arrow Connector 103"/>
                        <wps:cNvCnPr>
                          <a:cxnSpLocks noChangeShapeType="1"/>
                        </wps:cNvCnPr>
                        <wps:spPr bwMode="auto">
                          <a:xfrm flipV="1">
                            <a:off x="4899660" y="1120140"/>
                            <a:ext cx="160020" cy="87630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grpSp>
                        <wpg:cNvPr id="8" name="Group 104"/>
                        <wpg:cNvGrpSpPr>
                          <a:grpSpLocks/>
                        </wpg:cNvGrpSpPr>
                        <wpg:grpSpPr bwMode="auto">
                          <a:xfrm>
                            <a:off x="0" y="0"/>
                            <a:ext cx="6416040" cy="3482340"/>
                            <a:chOff x="0" y="0"/>
                            <a:chExt cx="6416040" cy="3482340"/>
                          </a:xfrm>
                        </wpg:grpSpPr>
                        <wps:wsp>
                          <wps:cNvPr id="9" name="Rectangle: Rounded Corners 105"/>
                          <wps:cNvSpPr>
                            <a:spLocks noChangeArrowheads="1"/>
                          </wps:cNvSpPr>
                          <wps:spPr bwMode="auto">
                            <a:xfrm>
                              <a:off x="1897380" y="868680"/>
                              <a:ext cx="1341120" cy="55626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101D86B1" w14:textId="77777777" w:rsidR="00EA4679" w:rsidRPr="005F0901" w:rsidRDefault="00EA4679" w:rsidP="002B6F30">
                                <w:pPr>
                                  <w:rPr>
                                    <w:color w:val="000000" w:themeColor="text1"/>
                                  </w:rPr>
                                </w:pPr>
                                <w:r>
                                  <w:rPr>
                                    <w:color w:val="000000" w:themeColor="text1"/>
                                  </w:rPr>
                                  <w:t xml:space="preserve">E-service quality </w:t>
                                </w:r>
                              </w:p>
                            </w:txbxContent>
                          </wps:txbx>
                          <wps:bodyPr rot="0" vert="horz" wrap="square" lIns="91440" tIns="45720" rIns="91440" bIns="45720" anchor="ctr" anchorCtr="0" upright="1">
                            <a:noAutofit/>
                          </wps:bodyPr>
                        </wps:wsp>
                        <wps:wsp>
                          <wps:cNvPr id="10" name="Rectangle: Rounded Corners 106"/>
                          <wps:cNvSpPr>
                            <a:spLocks noChangeArrowheads="1"/>
                          </wps:cNvSpPr>
                          <wps:spPr bwMode="auto">
                            <a:xfrm>
                              <a:off x="0" y="251460"/>
                              <a:ext cx="1424940" cy="33528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36F41ADD" w14:textId="77777777" w:rsidR="00EA4679" w:rsidRPr="005F0901" w:rsidRDefault="00EA4679" w:rsidP="002B6F30">
                                <w:pPr>
                                  <w:rPr>
                                    <w:color w:val="000000" w:themeColor="text1"/>
                                  </w:rPr>
                                </w:pPr>
                                <w:r>
                                  <w:rPr>
                                    <w:color w:val="000000" w:themeColor="text1"/>
                                  </w:rPr>
                                  <w:t xml:space="preserve">Efficiency </w:t>
                                </w:r>
                              </w:p>
                            </w:txbxContent>
                          </wps:txbx>
                          <wps:bodyPr rot="0" vert="horz" wrap="square" lIns="91440" tIns="45720" rIns="91440" bIns="45720" anchor="ctr" anchorCtr="0" upright="1">
                            <a:noAutofit/>
                          </wps:bodyPr>
                        </wps:wsp>
                        <wps:wsp>
                          <wps:cNvPr id="11" name="Rectangle: Rounded Corners 107"/>
                          <wps:cNvSpPr>
                            <a:spLocks noChangeArrowheads="1"/>
                          </wps:cNvSpPr>
                          <wps:spPr bwMode="auto">
                            <a:xfrm>
                              <a:off x="30480" y="754380"/>
                              <a:ext cx="1440180" cy="33528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0FB167D6" w14:textId="77777777" w:rsidR="00EA4679" w:rsidRPr="005F0901" w:rsidRDefault="00EA4679" w:rsidP="002B6F30">
                                <w:pPr>
                                  <w:rPr>
                                    <w:color w:val="000000" w:themeColor="text1"/>
                                  </w:rPr>
                                </w:pPr>
                                <w:r>
                                  <w:rPr>
                                    <w:color w:val="000000" w:themeColor="text1"/>
                                  </w:rPr>
                                  <w:t>Fulfillment</w:t>
                                </w:r>
                              </w:p>
                            </w:txbxContent>
                          </wps:txbx>
                          <wps:bodyPr rot="0" vert="horz" wrap="square" lIns="91440" tIns="45720" rIns="91440" bIns="45720" anchor="ctr" anchorCtr="0" upright="1">
                            <a:noAutofit/>
                          </wps:bodyPr>
                        </wps:wsp>
                        <wps:wsp>
                          <wps:cNvPr id="12" name="Rectangle: Rounded Corners 108"/>
                          <wps:cNvSpPr>
                            <a:spLocks noChangeArrowheads="1"/>
                          </wps:cNvSpPr>
                          <wps:spPr bwMode="auto">
                            <a:xfrm>
                              <a:off x="38100" y="1303020"/>
                              <a:ext cx="1463040" cy="33528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445EA0D8" w14:textId="77777777" w:rsidR="00EA4679" w:rsidRPr="005F0901" w:rsidRDefault="00EA4679" w:rsidP="002B6F30">
                                <w:pPr>
                                  <w:rPr>
                                    <w:color w:val="000000" w:themeColor="text1"/>
                                  </w:rPr>
                                </w:pPr>
                                <w:r>
                                  <w:rPr>
                                    <w:color w:val="000000" w:themeColor="text1"/>
                                  </w:rPr>
                                  <w:t xml:space="preserve">System Availability </w:t>
                                </w:r>
                              </w:p>
                            </w:txbxContent>
                          </wps:txbx>
                          <wps:bodyPr rot="0" vert="horz" wrap="square" lIns="91440" tIns="45720" rIns="91440" bIns="45720" anchor="ctr" anchorCtr="0" upright="1">
                            <a:noAutofit/>
                          </wps:bodyPr>
                        </wps:wsp>
                        <wps:wsp>
                          <wps:cNvPr id="13" name="Rectangle: Rounded Corners 109"/>
                          <wps:cNvSpPr>
                            <a:spLocks noChangeArrowheads="1"/>
                          </wps:cNvSpPr>
                          <wps:spPr bwMode="auto">
                            <a:xfrm>
                              <a:off x="60960" y="1882140"/>
                              <a:ext cx="1409700" cy="33528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197B74CF" w14:textId="77777777" w:rsidR="00EA4679" w:rsidRPr="005F0901" w:rsidRDefault="00EA4679" w:rsidP="002B6F30">
                                <w:pPr>
                                  <w:rPr>
                                    <w:color w:val="000000" w:themeColor="text1"/>
                                  </w:rPr>
                                </w:pPr>
                                <w:r>
                                  <w:rPr>
                                    <w:color w:val="000000" w:themeColor="text1"/>
                                  </w:rPr>
                                  <w:t>Privacy</w:t>
                                </w:r>
                              </w:p>
                            </w:txbxContent>
                          </wps:txbx>
                          <wps:bodyPr rot="0" vert="horz" wrap="square" lIns="91440" tIns="45720" rIns="91440" bIns="45720" anchor="ctr" anchorCtr="0" upright="1">
                            <a:noAutofit/>
                          </wps:bodyPr>
                        </wps:wsp>
                        <wps:wsp>
                          <wps:cNvPr id="14" name="Rectangle: Rounded Corners 110"/>
                          <wps:cNvSpPr>
                            <a:spLocks noChangeArrowheads="1"/>
                          </wps:cNvSpPr>
                          <wps:spPr bwMode="auto">
                            <a:xfrm>
                              <a:off x="3329940" y="0"/>
                              <a:ext cx="1341120" cy="55626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29B12D1C" w14:textId="77777777" w:rsidR="00EA4679" w:rsidRPr="005F0901" w:rsidRDefault="00EA4679" w:rsidP="002B6F30">
                                <w:pPr>
                                  <w:rPr>
                                    <w:color w:val="000000" w:themeColor="text1"/>
                                  </w:rPr>
                                </w:pPr>
                                <w:r>
                                  <w:rPr>
                                    <w:color w:val="000000" w:themeColor="text1"/>
                                  </w:rPr>
                                  <w:t xml:space="preserve">Perceived Value </w:t>
                                </w:r>
                              </w:p>
                            </w:txbxContent>
                          </wps:txbx>
                          <wps:bodyPr rot="0" vert="horz" wrap="square" lIns="91440" tIns="45720" rIns="91440" bIns="45720" anchor="ctr" anchorCtr="0" upright="1">
                            <a:noAutofit/>
                          </wps:bodyPr>
                        </wps:wsp>
                        <wps:wsp>
                          <wps:cNvPr id="15" name="Rectangle: Rounded Corners 111"/>
                          <wps:cNvSpPr>
                            <a:spLocks noChangeArrowheads="1"/>
                          </wps:cNvSpPr>
                          <wps:spPr bwMode="auto">
                            <a:xfrm>
                              <a:off x="5074920" y="861060"/>
                              <a:ext cx="1341120" cy="556260"/>
                            </a:xfrm>
                            <a:prstGeom prst="roundRect">
                              <a:avLst>
                                <a:gd name="adj" fmla="val 16667"/>
                              </a:avLst>
                            </a:prstGeom>
                            <a:solidFill>
                              <a:srgbClr val="FFFFFF"/>
                            </a:solidFill>
                            <a:ln w="12700" cap="flat" cmpd="sng" algn="ctr">
                              <a:solidFill>
                                <a:srgbClr val="2F528F"/>
                              </a:solidFill>
                              <a:prstDash val="solid"/>
                              <a:miter lim="800000"/>
                              <a:headEnd/>
                              <a:tailEnd/>
                            </a:ln>
                          </wps:spPr>
                          <wps:txbx>
                            <w:txbxContent>
                              <w:p w14:paraId="10656EED" w14:textId="77777777" w:rsidR="00EA4679" w:rsidRPr="005F0901" w:rsidRDefault="00EA4679" w:rsidP="002B6F30">
                                <w:pPr>
                                  <w:rPr>
                                    <w:color w:val="000000" w:themeColor="text1"/>
                                  </w:rPr>
                                </w:pPr>
                                <w:r>
                                  <w:rPr>
                                    <w:color w:val="000000" w:themeColor="text1"/>
                                  </w:rPr>
                                  <w:t xml:space="preserve">Loyalty Intention </w:t>
                                </w:r>
                              </w:p>
                            </w:txbxContent>
                          </wps:txbx>
                          <wps:bodyPr rot="0" vert="horz" wrap="square" lIns="91440" tIns="45720" rIns="91440" bIns="45720" anchor="ctr" anchorCtr="0" upright="1">
                            <a:noAutofit/>
                          </wps:bodyPr>
                        </wps:wsp>
                        <wps:wsp>
                          <wps:cNvPr id="16" name="Rectangle: Rounded Corners 112"/>
                          <wps:cNvSpPr>
                            <a:spLocks noChangeArrowheads="1"/>
                          </wps:cNvSpPr>
                          <wps:spPr bwMode="auto">
                            <a:xfrm>
                              <a:off x="1813560" y="2004060"/>
                              <a:ext cx="1341120" cy="556260"/>
                            </a:xfrm>
                            <a:prstGeom prst="roundRect">
                              <a:avLst>
                                <a:gd name="adj" fmla="val 16667"/>
                              </a:avLst>
                            </a:prstGeom>
                            <a:solidFill>
                              <a:srgbClr val="FFFFFF"/>
                            </a:solidFill>
                            <a:ln w="12700" cap="flat" cmpd="sng" algn="ctr">
                              <a:solidFill>
                                <a:srgbClr val="2F528F"/>
                              </a:solidFill>
                              <a:prstDash val="solid"/>
                              <a:miter lim="800000"/>
                              <a:headEnd/>
                              <a:tailEnd/>
                            </a:ln>
                          </wps:spPr>
                          <wps:txbx>
                            <w:txbxContent>
                              <w:p w14:paraId="7A5C1308" w14:textId="77777777" w:rsidR="00EA4679" w:rsidRPr="005F0901" w:rsidRDefault="00EA4679" w:rsidP="002B6F30">
                                <w:pPr>
                                  <w:jc w:val="center"/>
                                  <w:rPr>
                                    <w:color w:val="000000" w:themeColor="text1"/>
                                  </w:rPr>
                                </w:pPr>
                                <w:r>
                                  <w:rPr>
                                    <w:color w:val="000000" w:themeColor="text1"/>
                                  </w:rPr>
                                  <w:t>Age</w:t>
                                </w:r>
                              </w:p>
                            </w:txbxContent>
                          </wps:txbx>
                          <wps:bodyPr rot="0" vert="horz" wrap="square" lIns="91440" tIns="45720" rIns="91440" bIns="45720" anchor="ctr" anchorCtr="0" upright="1">
                            <a:noAutofit/>
                          </wps:bodyPr>
                        </wps:wsp>
                        <wps:wsp>
                          <wps:cNvPr id="17" name="Rectangle: Rounded Corners 113"/>
                          <wps:cNvSpPr>
                            <a:spLocks noChangeArrowheads="1"/>
                          </wps:cNvSpPr>
                          <wps:spPr bwMode="auto">
                            <a:xfrm>
                              <a:off x="4556760" y="2004060"/>
                              <a:ext cx="1341120" cy="556260"/>
                            </a:xfrm>
                            <a:prstGeom prst="roundRect">
                              <a:avLst>
                                <a:gd name="adj" fmla="val 16667"/>
                              </a:avLst>
                            </a:prstGeom>
                            <a:solidFill>
                              <a:srgbClr val="FFFFFF"/>
                            </a:solidFill>
                            <a:ln w="12700" cap="flat" cmpd="sng" algn="ctr">
                              <a:solidFill>
                                <a:srgbClr val="2F528F"/>
                              </a:solidFill>
                              <a:prstDash val="solid"/>
                              <a:miter lim="800000"/>
                              <a:headEnd/>
                              <a:tailEnd/>
                            </a:ln>
                          </wps:spPr>
                          <wps:txbx>
                            <w:txbxContent>
                              <w:p w14:paraId="454E2836" w14:textId="77777777" w:rsidR="00EA4679" w:rsidRPr="005F0901" w:rsidRDefault="00EA4679" w:rsidP="002B6F30">
                                <w:pPr>
                                  <w:jc w:val="center"/>
                                  <w:rPr>
                                    <w:color w:val="000000" w:themeColor="text1"/>
                                  </w:rPr>
                                </w:pPr>
                                <w:r>
                                  <w:rPr>
                                    <w:color w:val="000000" w:themeColor="text1"/>
                                  </w:rPr>
                                  <w:t>Income</w:t>
                                </w:r>
                              </w:p>
                            </w:txbxContent>
                          </wps:txbx>
                          <wps:bodyPr rot="0" vert="horz" wrap="square" lIns="91440" tIns="45720" rIns="91440" bIns="45720" anchor="ctr" anchorCtr="0" upright="1">
                            <a:noAutofit/>
                          </wps:bodyPr>
                        </wps:wsp>
                        <wps:wsp>
                          <wps:cNvPr id="18" name="Rectangle: Rounded Corners 114"/>
                          <wps:cNvSpPr>
                            <a:spLocks noChangeArrowheads="1"/>
                          </wps:cNvSpPr>
                          <wps:spPr bwMode="auto">
                            <a:xfrm>
                              <a:off x="1790700" y="2926080"/>
                              <a:ext cx="3649980" cy="556260"/>
                            </a:xfrm>
                            <a:prstGeom prst="roundRect">
                              <a:avLst>
                                <a:gd name="adj" fmla="val 16667"/>
                              </a:avLst>
                            </a:prstGeom>
                            <a:solidFill>
                              <a:srgbClr val="FFFFFF"/>
                            </a:solidFill>
                            <a:ln w="12700" cap="flat" cmpd="sng" algn="ctr">
                              <a:solidFill>
                                <a:srgbClr val="2F528F"/>
                              </a:solidFill>
                              <a:prstDash val="solid"/>
                              <a:miter lim="800000"/>
                              <a:headEnd/>
                              <a:tailEnd/>
                            </a:ln>
                          </wps:spPr>
                          <wps:txbx>
                            <w:txbxContent>
                              <w:p w14:paraId="02263D89" w14:textId="77777777" w:rsidR="00EA4679" w:rsidRPr="005F0901" w:rsidRDefault="00EA4679" w:rsidP="002B6F30">
                                <w:pPr>
                                  <w:rPr>
                                    <w:color w:val="000000" w:themeColor="text1"/>
                                  </w:rPr>
                                </w:pPr>
                                <w:r>
                                  <w:rPr>
                                    <w:color w:val="000000" w:themeColor="text1"/>
                                  </w:rPr>
                                  <w:t xml:space="preserve">Frequency of using online platforms to purchase fish </w:t>
                                </w:r>
                              </w:p>
                            </w:txbxContent>
                          </wps:txbx>
                          <wps:bodyPr rot="0" vert="horz" wrap="square" lIns="91440" tIns="45720" rIns="91440" bIns="45720" anchor="ctr" anchorCtr="0" upright="1">
                            <a:noAutofit/>
                          </wps:bodyPr>
                        </wps:wsp>
                        <wps:wsp>
                          <wps:cNvPr id="19" name="Straight Arrow Connector 115"/>
                          <wps:cNvCnPr>
                            <a:cxnSpLocks noChangeShapeType="1"/>
                          </wps:cNvCnPr>
                          <wps:spPr bwMode="auto">
                            <a:xfrm flipV="1">
                              <a:off x="3238500" y="556260"/>
                              <a:ext cx="670560" cy="59436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116"/>
                          <wps:cNvCnPr>
                            <a:cxnSpLocks noChangeShapeType="1"/>
                          </wps:cNvCnPr>
                          <wps:spPr bwMode="auto">
                            <a:xfrm>
                              <a:off x="3901440" y="586740"/>
                              <a:ext cx="1165860" cy="57150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1" name="Straight Arrow Connector 117"/>
                          <wps:cNvCnPr>
                            <a:cxnSpLocks noChangeShapeType="1"/>
                          </wps:cNvCnPr>
                          <wps:spPr bwMode="auto">
                            <a:xfrm>
                              <a:off x="3253740" y="1173480"/>
                              <a:ext cx="1821180" cy="2286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2" name="Straight Arrow Connector 118"/>
                          <wps:cNvCnPr>
                            <a:cxnSpLocks noChangeShapeType="1"/>
                          </wps:cNvCnPr>
                          <wps:spPr bwMode="auto">
                            <a:xfrm>
                              <a:off x="2506980" y="1424940"/>
                              <a:ext cx="403860" cy="57150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3" name="Straight Arrow Connector 119"/>
                          <wps:cNvCnPr>
                            <a:cxnSpLocks noChangeShapeType="1"/>
                          </wps:cNvCnPr>
                          <wps:spPr bwMode="auto">
                            <a:xfrm flipV="1">
                              <a:off x="2941320" y="548640"/>
                              <a:ext cx="960120" cy="142494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4" name="Straight Arrow Connector 120"/>
                          <wps:cNvCnPr>
                            <a:cxnSpLocks noChangeShapeType="1"/>
                          </wps:cNvCnPr>
                          <wps:spPr bwMode="auto">
                            <a:xfrm flipV="1">
                              <a:off x="3002280" y="1188720"/>
                              <a:ext cx="2057400" cy="79248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5" name="Straight Arrow Connector 124"/>
                          <wps:cNvCnPr>
                            <a:cxnSpLocks noChangeShapeType="1"/>
                          </wps:cNvCnPr>
                          <wps:spPr bwMode="auto">
                            <a:xfrm flipV="1">
                              <a:off x="3558540" y="1226820"/>
                              <a:ext cx="1470660" cy="169926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w14:anchorId="3902B133" id="Group 98" o:spid="_x0000_s1026" style="position:absolute;left:0;text-align:left;margin-left:7.65pt;margin-top:11.2pt;width:447.15pt;height:243.4pt;z-index:251661312;mso-height-relative:margin" coordsize="64160,3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">
                <v:shapetype id="_x0000_t32" coordsize="21600,21600" o:spt="32" o:oned="t" path="m,l21600,21600e" filled="f">
                  <v:path arrowok="t" fillok="f" o:connecttype="none"/>
                  <o:lock v:ext="edit" shapetype="t"/>
                </v:shapetype>
                <v:shape id="Straight Arrow Connector 99" o:spid="_x0000_s1027" type="#_x0000_t32" style="position:absolute;left:14020;top:3276;width:4953;height:73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" strokecolor="#4579b8 [3044]">
                  <v:stroke endarrow="block"/>
                </v:shape>
                <v:shape id="Straight Arrow Connector 100" o:spid="_x0000_s1028" type="#_x0000_t32" style="position:absolute;left:14554;top:8305;width:4648;height:26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" strokecolor="#4579b8 [3044]">
                  <v:stroke endarrow="block"/>
                </v:shape>
                <v:shape id="Straight Arrow Connector 101" o:spid="_x0000_s1029" type="#_x0000_t32" style="position:absolute;left:14859;top:10896;width:4495;height:32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" strokecolor="#4579b8 [3044]">
                  <v:stroke endarrow="block"/>
                </v:shape>
                <v:shape id="Straight Arrow Connector 102" o:spid="_x0000_s1030" type="#_x0000_t32" style="position:absolute;left:14706;top:11506;width:4344;height:8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" strokecolor="#4579b8 [3044]">
                  <v:stroke endarrow="block"/>
                </v:shape>
                <v:shape id="Straight Arrow Connector 103" o:spid="_x0000_s1031" type="#_x0000_t32" style="position:absolute;left:48996;top:11201;width:1600;height:8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" strokecolor="#4579b8 [3044]">
                  <v:stroke endarrow="block"/>
                </v:shape>
                <v:group id="Group 104" o:spid="_x0000_s1032" style="position:absolute;width:64160;height:34823" coordsize="64160,3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Rectangle: Rounded Corners 105" o:spid="_x0000_s1033" style="position:absolute;left:18973;top:8686;width:13412;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" fillcolor="white [3212]" strokecolor="#243f60 [1604]" strokeweight="2pt">
                    <v:textbox>
                      <w:txbxContent>
                        <w:p w14:paraId="101D86B1" w14:textId="77777777" w:rsidR="00EA4679" w:rsidRPr="005F0901" w:rsidRDefault="00EA4679" w:rsidP="002B6F30">
                          <w:pPr>
                            <w:rPr>
                              <w:color w:val="000000" w:themeColor="text1"/>
                            </w:rPr>
                          </w:pPr>
                          <w:r>
                            <w:rPr>
                              <w:color w:val="000000" w:themeColor="text1"/>
                            </w:rPr>
                            <w:t xml:space="preserve">E-service quality </w:t>
                          </w:r>
                        </w:p>
                      </w:txbxContent>
                    </v:textbox>
                  </v:roundrect>
                  <v:roundrect id="Rectangle: Rounded Corners 106" o:spid="_x0000_s1034" style="position:absolute;top:2514;width:14249;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" fillcolor="white [3212]" strokecolor="#243f60 [1604]" strokeweight="2pt">
                    <v:textbox>
                      <w:txbxContent>
                        <w:p w14:paraId="36F41ADD" w14:textId="77777777" w:rsidR="00EA4679" w:rsidRPr="005F0901" w:rsidRDefault="00EA4679" w:rsidP="002B6F30">
                          <w:pPr>
                            <w:rPr>
                              <w:color w:val="000000" w:themeColor="text1"/>
                            </w:rPr>
                          </w:pPr>
                          <w:r>
                            <w:rPr>
                              <w:color w:val="000000" w:themeColor="text1"/>
                            </w:rPr>
                            <w:t xml:space="preserve">Efficiency </w:t>
                          </w:r>
                        </w:p>
                      </w:txbxContent>
                    </v:textbox>
                  </v:roundrect>
                  <v:roundrect id="Rectangle: Rounded Corners 107" o:spid="_x0000_s1035" style="position:absolute;left:304;top:7543;width:14402;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" fillcolor="white [3212]" strokecolor="#243f60 [1604]" strokeweight="2pt">
                    <v:textbox>
                      <w:txbxContent>
                        <w:p w14:paraId="0FB167D6" w14:textId="77777777" w:rsidR="00EA4679" w:rsidRPr="005F0901" w:rsidRDefault="00EA4679" w:rsidP="002B6F30">
                          <w:pPr>
                            <w:rPr>
                              <w:color w:val="000000" w:themeColor="text1"/>
                            </w:rPr>
                          </w:pPr>
                          <w:r>
                            <w:rPr>
                              <w:color w:val="000000" w:themeColor="text1"/>
                            </w:rPr>
                            <w:t>Fulfillment</w:t>
                          </w:r>
                        </w:p>
                      </w:txbxContent>
                    </v:textbox>
                  </v:roundrect>
                  <v:roundrect id="Rectangle: Rounded Corners 108" o:spid="_x0000_s1036" style="position:absolute;left:381;top:13030;width:14630;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" fillcolor="white [3212]" strokecolor="#243f60 [1604]" strokeweight="2pt">
                    <v:textbox>
                      <w:txbxContent>
                        <w:p w14:paraId="445EA0D8" w14:textId="77777777" w:rsidR="00EA4679" w:rsidRPr="005F0901" w:rsidRDefault="00EA4679" w:rsidP="002B6F30">
                          <w:pPr>
                            <w:rPr>
                              <w:color w:val="000000" w:themeColor="text1"/>
                            </w:rPr>
                          </w:pPr>
                          <w:r>
                            <w:rPr>
                              <w:color w:val="000000" w:themeColor="text1"/>
                            </w:rPr>
                            <w:t xml:space="preserve">System Availability </w:t>
                          </w:r>
                        </w:p>
                      </w:txbxContent>
                    </v:textbox>
                  </v:roundrect>
                  <v:roundrect id="Rectangle: Rounded Corners 109" o:spid="_x0000_s1037" style="position:absolute;left:609;top:18821;width:14097;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" fillcolor="white [3212]" strokecolor="#243f60 [1604]" strokeweight="2pt">
                    <v:textbox>
                      <w:txbxContent>
                        <w:p w14:paraId="197B74CF" w14:textId="77777777" w:rsidR="00EA4679" w:rsidRPr="005F0901" w:rsidRDefault="00EA4679" w:rsidP="002B6F30">
                          <w:pPr>
                            <w:rPr>
                              <w:color w:val="000000" w:themeColor="text1"/>
                            </w:rPr>
                          </w:pPr>
                          <w:r>
                            <w:rPr>
                              <w:color w:val="000000" w:themeColor="text1"/>
                            </w:rPr>
                            <w:t>Privacy</w:t>
                          </w:r>
                        </w:p>
                      </w:txbxContent>
                    </v:textbox>
                  </v:roundrect>
                  <v:roundrect id="Rectangle: Rounded Corners 110" o:spid="_x0000_s1038" style="position:absolute;left:33299;width:13411;height:5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" fillcolor="white [3212]" strokecolor="#243f60 [1604]" strokeweight="2pt">
                    <v:textbox>
                      <w:txbxContent>
                        <w:p w14:paraId="29B12D1C" w14:textId="77777777" w:rsidR="00EA4679" w:rsidRPr="005F0901" w:rsidRDefault="00EA4679" w:rsidP="002B6F30">
                          <w:pPr>
                            <w:rPr>
                              <w:color w:val="000000" w:themeColor="text1"/>
                            </w:rPr>
                          </w:pPr>
                          <w:r>
                            <w:rPr>
                              <w:color w:val="000000" w:themeColor="text1"/>
                            </w:rPr>
                            <w:t xml:space="preserve">Perceived Value </w:t>
                          </w:r>
                        </w:p>
                      </w:txbxContent>
                    </v:textbox>
                  </v:roundrect>
                  <v:roundrect id="Rectangle: Rounded Corners 111" o:spid="_x0000_s1039" style="position:absolute;left:50749;top:8610;width:13411;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" strokecolor="#2f528f" strokeweight="1pt">
                    <v:stroke joinstyle="miter"/>
                    <v:textbox>
                      <w:txbxContent>
                        <w:p w14:paraId="10656EED" w14:textId="77777777" w:rsidR="00EA4679" w:rsidRPr="005F0901" w:rsidRDefault="00EA4679" w:rsidP="002B6F30">
                          <w:pPr>
                            <w:rPr>
                              <w:color w:val="000000" w:themeColor="text1"/>
                            </w:rPr>
                          </w:pPr>
                          <w:r>
                            <w:rPr>
                              <w:color w:val="000000" w:themeColor="text1"/>
                            </w:rPr>
                            <w:t xml:space="preserve">Loyalty Intention </w:t>
                          </w:r>
                        </w:p>
                      </w:txbxContent>
                    </v:textbox>
                  </v:roundrect>
                  <v:roundrect id="Rectangle: Rounded Corners 112" o:spid="_x0000_s1040" style="position:absolute;left:18135;top:20040;width:13411;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" strokecolor="#2f528f" strokeweight="1pt">
                    <v:stroke joinstyle="miter"/>
                    <v:textbox>
                      <w:txbxContent>
                        <w:p w14:paraId="7A5C1308" w14:textId="77777777" w:rsidR="00EA4679" w:rsidRPr="005F0901" w:rsidRDefault="00EA4679" w:rsidP="002B6F30">
                          <w:pPr>
                            <w:jc w:val="center"/>
                            <w:rPr>
                              <w:color w:val="000000" w:themeColor="text1"/>
                            </w:rPr>
                          </w:pPr>
                          <w:r>
                            <w:rPr>
                              <w:color w:val="000000" w:themeColor="text1"/>
                            </w:rPr>
                            <w:t>Age</w:t>
                          </w:r>
                        </w:p>
                      </w:txbxContent>
                    </v:textbox>
                  </v:roundrect>
                  <v:roundrect id="Rectangle: Rounded Corners 113" o:spid="_x0000_s1041" style="position:absolute;left:45567;top:20040;width:13411;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" strokecolor="#2f528f" strokeweight="1pt">
                    <v:stroke joinstyle="miter"/>
                    <v:textbox>
                      <w:txbxContent>
                        <w:p w14:paraId="454E2836" w14:textId="77777777" w:rsidR="00EA4679" w:rsidRPr="005F0901" w:rsidRDefault="00EA4679" w:rsidP="002B6F30">
                          <w:pPr>
                            <w:jc w:val="center"/>
                            <w:rPr>
                              <w:color w:val="000000" w:themeColor="text1"/>
                            </w:rPr>
                          </w:pPr>
                          <w:r>
                            <w:rPr>
                              <w:color w:val="000000" w:themeColor="text1"/>
                            </w:rPr>
                            <w:t>Income</w:t>
                          </w:r>
                        </w:p>
                      </w:txbxContent>
                    </v:textbox>
                  </v:roundrect>
                  <v:roundrect id="Rectangle: Rounded Corners 114" o:spid="_x0000_s1042" style="position:absolute;left:17907;top:29260;width:36499;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" strokecolor="#2f528f" strokeweight="1pt">
                    <v:stroke joinstyle="miter"/>
                    <v:textbox>
                      <w:txbxContent>
                        <w:p w14:paraId="02263D89" w14:textId="77777777" w:rsidR="00EA4679" w:rsidRPr="005F0901" w:rsidRDefault="00EA4679" w:rsidP="002B6F30">
                          <w:pPr>
                            <w:rPr>
                              <w:color w:val="000000" w:themeColor="text1"/>
                            </w:rPr>
                          </w:pPr>
                          <w:r>
                            <w:rPr>
                              <w:color w:val="000000" w:themeColor="text1"/>
                            </w:rPr>
                            <w:t xml:space="preserve">Frequency of using online platforms to purchase fish </w:t>
                          </w:r>
                        </w:p>
                      </w:txbxContent>
                    </v:textbox>
                  </v:roundrect>
                  <v:shape id="Straight Arrow Connector 115" o:spid="_x0000_s1043" type="#_x0000_t32" style="position:absolute;left:32385;top:5562;width:6705;height:5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" strokecolor="#4579b8 [3044]">
                    <v:stroke endarrow="block"/>
                  </v:shape>
                  <v:shape id="Straight Arrow Connector 116" o:spid="_x0000_s1044" type="#_x0000_t32" style="position:absolute;left:39014;top:5867;width:11659;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" strokecolor="#4579b8 [3044]">
                    <v:stroke endarrow="block"/>
                  </v:shape>
                  <v:shape id="Straight Arrow Connector 117" o:spid="_x0000_s1045" type="#_x0000_t32" style="position:absolute;left:32537;top:11734;width:18212;height:2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" strokecolor="#4579b8 [3044]">
                    <v:stroke endarrow="block"/>
                  </v:shape>
                  <v:shape id="Straight Arrow Connector 118" o:spid="_x0000_s1046" type="#_x0000_t32" style="position:absolute;left:25069;top:14249;width:4039;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" strokecolor="#4579b8 [3044]">
                    <v:stroke endarrow="block"/>
                  </v:shape>
                  <v:shape id="Straight Arrow Connector 119" o:spid="_x0000_s1047" type="#_x0000_t32" style="position:absolute;left:29413;top:5486;width:9601;height:142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" strokecolor="#4579b8 [3044]">
                    <v:stroke endarrow="block"/>
                  </v:shape>
                  <v:shape id="Straight Arrow Connector 120" o:spid="_x0000_s1048" type="#_x0000_t32" style="position:absolute;left:30022;top:11887;width:20574;height:79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" strokecolor="#4579b8 [3044]">
                    <v:stroke endarrow="block"/>
                  </v:shape>
                  <v:shape id="Straight Arrow Connector 124" o:spid="_x0000_s1049" type="#_x0000_t32" style="position:absolute;left:35585;top:12268;width:14707;height:169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" strokecolor="#4579b8 [3044]">
                    <v:stroke endarrow="block"/>
                  </v:shape>
                </v:group>
              </v:group>
            </w:pict>
          </mc:Fallback>
        </mc:AlternateContent>
      </w:r>
    </w:p>
    <w:p w14:paraId="6B0003F6"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7AA4D253"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2025B1F7"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6129154A"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00229972"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4A654A8F"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2AEA26DE" w14:textId="77777777" w:rsidR="002B6F30" w:rsidRDefault="002B6F30" w:rsidP="004A556F">
      <w:pPr>
        <w:pStyle w:val="ListParagraph"/>
        <w:autoSpaceDE w:val="0"/>
        <w:autoSpaceDN w:val="0"/>
        <w:adjustRightInd w:val="0"/>
        <w:spacing w:before="240" w:after="0" w:line="480" w:lineRule="auto"/>
        <w:ind w:left="408"/>
        <w:jc w:val="both"/>
        <w:rPr>
          <w:color w:val="000000" w:themeColor="text1"/>
          <w:sz w:val="20"/>
          <w:szCs w:val="20"/>
        </w:rPr>
      </w:pPr>
    </w:p>
    <w:p w14:paraId="73E1EF7B" w14:textId="77777777" w:rsidR="006015EF" w:rsidRDefault="006015EF" w:rsidP="004A556F">
      <w:pPr>
        <w:pStyle w:val="ListParagraph"/>
        <w:autoSpaceDE w:val="0"/>
        <w:autoSpaceDN w:val="0"/>
        <w:adjustRightInd w:val="0"/>
        <w:spacing w:before="240" w:after="0" w:line="480" w:lineRule="auto"/>
        <w:ind w:left="408"/>
        <w:jc w:val="both"/>
        <w:rPr>
          <w:color w:val="000000" w:themeColor="text1"/>
          <w:sz w:val="20"/>
          <w:szCs w:val="20"/>
        </w:rPr>
      </w:pPr>
    </w:p>
    <w:p w14:paraId="3DAD43E9" w14:textId="77777777" w:rsidR="006015EF" w:rsidRDefault="006015EF" w:rsidP="004A556F">
      <w:pPr>
        <w:pStyle w:val="ListParagraph"/>
        <w:autoSpaceDE w:val="0"/>
        <w:autoSpaceDN w:val="0"/>
        <w:adjustRightInd w:val="0"/>
        <w:spacing w:before="240" w:after="0" w:line="480" w:lineRule="auto"/>
        <w:ind w:left="408"/>
        <w:jc w:val="both"/>
        <w:rPr>
          <w:color w:val="000000" w:themeColor="text1"/>
          <w:sz w:val="20"/>
          <w:szCs w:val="20"/>
        </w:rPr>
      </w:pPr>
    </w:p>
    <w:p w14:paraId="3B130FCC" w14:textId="77777777" w:rsidR="006015EF" w:rsidRPr="004A556F" w:rsidRDefault="006015EF" w:rsidP="004A556F">
      <w:pPr>
        <w:pStyle w:val="ListParagraph"/>
        <w:autoSpaceDE w:val="0"/>
        <w:autoSpaceDN w:val="0"/>
        <w:adjustRightInd w:val="0"/>
        <w:spacing w:before="240" w:after="0" w:line="480" w:lineRule="auto"/>
        <w:ind w:left="408"/>
        <w:jc w:val="both"/>
        <w:rPr>
          <w:color w:val="000000" w:themeColor="text1"/>
          <w:sz w:val="20"/>
          <w:szCs w:val="20"/>
        </w:rPr>
      </w:pPr>
    </w:p>
    <w:p w14:paraId="6551C9E4" w14:textId="77777777" w:rsidR="002B6F30" w:rsidRPr="00FB3A86" w:rsidRDefault="002B6F30" w:rsidP="00441B6F">
      <w:pPr>
        <w:pStyle w:val="Body"/>
        <w:spacing w:after="0"/>
        <w:rPr>
          <w:rFonts w:ascii="Arial" w:hAnsi="Arial" w:cs="Arial"/>
        </w:rPr>
      </w:pPr>
    </w:p>
    <w:p w14:paraId="0DBB264B"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FB8C564" w14:textId="77777777" w:rsidR="002B6F30" w:rsidRPr="00FB3A86" w:rsidRDefault="002B6F30" w:rsidP="00441B6F">
      <w:pPr>
        <w:pStyle w:val="AbstHead"/>
        <w:spacing w:after="0"/>
        <w:jc w:val="both"/>
        <w:rPr>
          <w:rFonts w:ascii="Arial" w:hAnsi="Arial" w:cs="Arial"/>
        </w:rPr>
      </w:pPr>
    </w:p>
    <w:p w14:paraId="4E79655E" w14:textId="77777777" w:rsidR="002B6F30" w:rsidRPr="002B6F30" w:rsidRDefault="002B6F30" w:rsidP="006015EF">
      <w:pPr>
        <w:pStyle w:val="Body"/>
        <w:numPr>
          <w:ilvl w:val="1"/>
          <w:numId w:val="39"/>
        </w:numPr>
        <w:rPr>
          <w:rFonts w:ascii="Arial" w:hAnsi="Arial" w:cs="Arial"/>
          <w:b/>
          <w:sz w:val="22"/>
          <w:szCs w:val="22"/>
        </w:rPr>
      </w:pPr>
      <w:r w:rsidRPr="002B6F30">
        <w:rPr>
          <w:rFonts w:ascii="Arial" w:hAnsi="Arial" w:cs="Arial"/>
          <w:b/>
          <w:sz w:val="22"/>
          <w:szCs w:val="22"/>
        </w:rPr>
        <w:t xml:space="preserve">Study Area and Context </w:t>
      </w:r>
    </w:p>
    <w:p w14:paraId="2232B166" w14:textId="77777777" w:rsidR="002B6F30" w:rsidRPr="002B6F30" w:rsidRDefault="002B6F30" w:rsidP="002B6F30">
      <w:pPr>
        <w:pStyle w:val="Body"/>
        <w:spacing w:after="0"/>
        <w:rPr>
          <w:rFonts w:ascii="Arial" w:hAnsi="Arial" w:cs="Arial"/>
        </w:rPr>
      </w:pPr>
      <w:r w:rsidRPr="002B6F30">
        <w:rPr>
          <w:rFonts w:ascii="Arial" w:hAnsi="Arial" w:cs="Arial"/>
        </w:rPr>
        <w:tab/>
        <w:t xml:space="preserve">The research took place in Kerala, India, a region where fish is integral to both diet and culture. The growing penetration of digital platforms in the seafood sector, Kerala provides a relevant context to investigate consumer perceptions of online fish purchasing. </w:t>
      </w:r>
    </w:p>
    <w:p w14:paraId="0DCC5F43" w14:textId="77777777" w:rsidR="002B6F30" w:rsidRPr="002B6F30" w:rsidRDefault="002B6F30" w:rsidP="006015EF">
      <w:pPr>
        <w:pStyle w:val="Body"/>
        <w:numPr>
          <w:ilvl w:val="1"/>
          <w:numId w:val="39"/>
        </w:numPr>
        <w:spacing w:after="0"/>
        <w:rPr>
          <w:rFonts w:ascii="Arial" w:hAnsi="Arial" w:cs="Arial"/>
          <w:b/>
          <w:iCs/>
          <w:sz w:val="22"/>
          <w:szCs w:val="22"/>
        </w:rPr>
      </w:pPr>
      <w:r w:rsidRPr="002B6F30">
        <w:rPr>
          <w:rFonts w:ascii="Arial" w:hAnsi="Arial" w:cs="Arial"/>
          <w:b/>
          <w:iCs/>
          <w:sz w:val="22"/>
          <w:szCs w:val="22"/>
        </w:rPr>
        <w:t xml:space="preserve">Sampling and Participants </w:t>
      </w:r>
    </w:p>
    <w:p w14:paraId="746F5292" w14:textId="77777777" w:rsidR="002B6F30" w:rsidRPr="002B6F30" w:rsidRDefault="002B6F30" w:rsidP="002B6F30">
      <w:pPr>
        <w:pStyle w:val="Body"/>
        <w:spacing w:after="0"/>
        <w:rPr>
          <w:rFonts w:ascii="Arial" w:hAnsi="Arial" w:cs="Arial"/>
          <w:i/>
          <w:iCs/>
        </w:rPr>
      </w:pPr>
      <w:r w:rsidRPr="002B6F30">
        <w:rPr>
          <w:rFonts w:ascii="Arial" w:hAnsi="Arial" w:cs="Arial"/>
        </w:rPr>
        <w:lastRenderedPageBreak/>
        <w:t xml:space="preserve">A structured survey was distributed to consumers across all three districts (Thiruvananthapuram, Ernakulam, Kozhikode, Trissur, Kottayam) .504 respondents were selected using purposive sampling to ensure representation of urban, peri-urban and semi -rural populations. The population is the customers of the major online fish selling platforms which serves more than one district and Inclusion criteria required respondents to be active seafood consumers aged 18 and above and purchased fish at least once in past 3 months  </w:t>
      </w:r>
    </w:p>
    <w:p w14:paraId="6DBFA4F2" w14:textId="77777777" w:rsidR="002B6F30" w:rsidRPr="002B6F30" w:rsidRDefault="002B6F30" w:rsidP="006015EF">
      <w:pPr>
        <w:pStyle w:val="Body"/>
        <w:numPr>
          <w:ilvl w:val="1"/>
          <w:numId w:val="39"/>
        </w:numPr>
        <w:spacing w:after="0"/>
        <w:rPr>
          <w:rFonts w:ascii="Arial" w:hAnsi="Arial" w:cs="Arial"/>
          <w:b/>
          <w:sz w:val="22"/>
          <w:szCs w:val="22"/>
        </w:rPr>
      </w:pPr>
      <w:r w:rsidRPr="002B6F30">
        <w:rPr>
          <w:rFonts w:ascii="Arial" w:hAnsi="Arial" w:cs="Arial"/>
          <w:b/>
          <w:sz w:val="22"/>
          <w:szCs w:val="22"/>
        </w:rPr>
        <w:t xml:space="preserve">Survey Instrument </w:t>
      </w:r>
    </w:p>
    <w:p w14:paraId="6C27C622" w14:textId="77777777" w:rsidR="002B6F30" w:rsidRPr="002B6F30" w:rsidRDefault="002B6F30" w:rsidP="002B6F30">
      <w:pPr>
        <w:pStyle w:val="Body"/>
        <w:rPr>
          <w:rFonts w:ascii="Arial" w:hAnsi="Arial" w:cs="Arial"/>
        </w:rPr>
      </w:pPr>
      <w:r w:rsidRPr="002B6F30">
        <w:rPr>
          <w:rFonts w:ascii="Arial" w:hAnsi="Arial" w:cs="Arial"/>
        </w:rPr>
        <w:t>The survey instrument was developed based on the E-S-QUAL frameworks proposed by Parasuraman et al. (2005) and adapted to the context of online seafood retailing. The questionnaire comprised four sections demographic information, online fish purchasing behavior, perceptions of e-service quality and loyalty intention.</w:t>
      </w:r>
    </w:p>
    <w:p w14:paraId="4CE8E7AF" w14:textId="77777777" w:rsidR="002B6F30" w:rsidRPr="002B6F30" w:rsidRDefault="002B6F30" w:rsidP="002B6F30">
      <w:pPr>
        <w:pStyle w:val="Body"/>
        <w:rPr>
          <w:rFonts w:ascii="Arial" w:hAnsi="Arial" w:cs="Arial"/>
        </w:rPr>
      </w:pPr>
      <w:r w:rsidRPr="002B6F30">
        <w:rPr>
          <w:rFonts w:ascii="Arial" w:hAnsi="Arial" w:cs="Arial"/>
        </w:rPr>
        <w:t xml:space="preserve">The E-S-QUAL dimensions were measured using four constructs </w:t>
      </w:r>
    </w:p>
    <w:p w14:paraId="1E0CFC9E" w14:textId="77777777" w:rsidR="002B6F30" w:rsidRPr="002B6F30" w:rsidRDefault="002B6F30" w:rsidP="002B6F30">
      <w:pPr>
        <w:pStyle w:val="Body"/>
        <w:numPr>
          <w:ilvl w:val="0"/>
          <w:numId w:val="32"/>
        </w:numPr>
        <w:spacing w:after="0"/>
        <w:rPr>
          <w:rFonts w:ascii="Arial" w:hAnsi="Arial" w:cs="Arial"/>
        </w:rPr>
      </w:pPr>
      <w:r w:rsidRPr="002B6F30">
        <w:rPr>
          <w:rFonts w:ascii="Arial" w:hAnsi="Arial" w:cs="Arial"/>
        </w:rPr>
        <w:t xml:space="preserve">Efficiency (ease of ordering, speed of transactions, clarity of website designs) </w:t>
      </w:r>
    </w:p>
    <w:p w14:paraId="7343FD48" w14:textId="77777777" w:rsidR="002B6F30" w:rsidRPr="002B6F30" w:rsidRDefault="002B6F30" w:rsidP="002B6F30">
      <w:pPr>
        <w:pStyle w:val="Body"/>
        <w:numPr>
          <w:ilvl w:val="0"/>
          <w:numId w:val="32"/>
        </w:numPr>
        <w:spacing w:after="0"/>
        <w:rPr>
          <w:rFonts w:ascii="Arial" w:hAnsi="Arial" w:cs="Arial"/>
        </w:rPr>
      </w:pPr>
      <w:r w:rsidRPr="002B6F30">
        <w:rPr>
          <w:rFonts w:ascii="Arial" w:hAnsi="Arial" w:cs="Arial"/>
        </w:rPr>
        <w:t>Fulfillment (timely delivery, accuracy of orders, freshness of delivered fish)</w:t>
      </w:r>
    </w:p>
    <w:p w14:paraId="1258A2BA" w14:textId="77777777" w:rsidR="002B6F30" w:rsidRPr="002B6F30" w:rsidRDefault="002B6F30" w:rsidP="002B6F30">
      <w:pPr>
        <w:pStyle w:val="Body"/>
        <w:numPr>
          <w:ilvl w:val="0"/>
          <w:numId w:val="32"/>
        </w:numPr>
        <w:spacing w:after="0"/>
        <w:rPr>
          <w:rFonts w:ascii="Arial" w:hAnsi="Arial" w:cs="Arial"/>
        </w:rPr>
      </w:pPr>
      <w:r w:rsidRPr="002B6F30">
        <w:rPr>
          <w:rFonts w:ascii="Arial" w:hAnsi="Arial" w:cs="Arial"/>
        </w:rPr>
        <w:t>System Availability (website /app reliability, absence of technical errors during ordering or payments)</w:t>
      </w:r>
    </w:p>
    <w:p w14:paraId="6D677EE0" w14:textId="77777777" w:rsidR="002B6F30" w:rsidRPr="002B6F30" w:rsidRDefault="002B6F30" w:rsidP="002B6F30">
      <w:pPr>
        <w:pStyle w:val="Body"/>
        <w:numPr>
          <w:ilvl w:val="0"/>
          <w:numId w:val="32"/>
        </w:numPr>
        <w:spacing w:after="0"/>
        <w:rPr>
          <w:rFonts w:ascii="Arial" w:hAnsi="Arial" w:cs="Arial"/>
        </w:rPr>
      </w:pPr>
      <w:r w:rsidRPr="002B6F30">
        <w:rPr>
          <w:rFonts w:ascii="Arial" w:hAnsi="Arial" w:cs="Arial"/>
        </w:rPr>
        <w:t>Privacy (protection of personal information, secure transactions)</w:t>
      </w:r>
    </w:p>
    <w:p w14:paraId="367B5841" w14:textId="77777777" w:rsidR="002B6F30" w:rsidRPr="002B6F30" w:rsidRDefault="002B6F30" w:rsidP="002B6F30">
      <w:pPr>
        <w:pStyle w:val="Body"/>
        <w:rPr>
          <w:rFonts w:ascii="Arial" w:hAnsi="Arial" w:cs="Arial"/>
        </w:rPr>
      </w:pPr>
      <w:r w:rsidRPr="002B6F30">
        <w:rPr>
          <w:rFonts w:ascii="Arial" w:hAnsi="Arial" w:cs="Arial"/>
        </w:rPr>
        <w:t>Loyalty Intention was measured using five items adapted from prior studies Parasuraman et al. (2005) capturing the likelihood of repeat purchase, recommendation to others, and preference for online platforms over traditional markets.</w:t>
      </w:r>
    </w:p>
    <w:p w14:paraId="34F57946" w14:textId="77777777" w:rsidR="002B6F30" w:rsidRPr="002B6F30" w:rsidRDefault="002B6F30" w:rsidP="002B6F30">
      <w:pPr>
        <w:pStyle w:val="Body"/>
        <w:rPr>
          <w:rFonts w:ascii="Arial" w:hAnsi="Arial" w:cs="Arial"/>
        </w:rPr>
      </w:pPr>
      <w:r w:rsidRPr="002B6F30">
        <w:rPr>
          <w:rFonts w:ascii="Arial" w:hAnsi="Arial" w:cs="Arial"/>
        </w:rPr>
        <w:t xml:space="preserve">All items were rated on a 5- point Likert scale ranging from 1= Strongly Disagree to 5= Strongly Agree. The instrument was pre-tested in a pilot study with 100 customers, ensuring clarity and reliability of the items. Expert feedback from both academia and industry was incorporated to refine the questionnaire. Reliability was confirmed through Cronbach’s alpha (&gt;0.70), and validity was supported via confirmatory factor analysis. </w:t>
      </w:r>
    </w:p>
    <w:p w14:paraId="483A4D18" w14:textId="77777777" w:rsidR="002B6F30" w:rsidRPr="002B6F30" w:rsidRDefault="002B6F30" w:rsidP="006015EF">
      <w:pPr>
        <w:pStyle w:val="Body"/>
        <w:numPr>
          <w:ilvl w:val="1"/>
          <w:numId w:val="39"/>
        </w:numPr>
        <w:spacing w:after="0"/>
        <w:rPr>
          <w:rFonts w:ascii="Arial" w:hAnsi="Arial" w:cs="Arial"/>
          <w:b/>
          <w:sz w:val="22"/>
          <w:szCs w:val="22"/>
        </w:rPr>
      </w:pPr>
      <w:r w:rsidRPr="002B6F30">
        <w:rPr>
          <w:rFonts w:ascii="Arial" w:hAnsi="Arial" w:cs="Arial"/>
          <w:b/>
          <w:sz w:val="22"/>
          <w:szCs w:val="22"/>
        </w:rPr>
        <w:t xml:space="preserve">Data Collection Procedure </w:t>
      </w:r>
    </w:p>
    <w:p w14:paraId="7FAC6350" w14:textId="77777777" w:rsidR="002B6F30" w:rsidRPr="002B6F30" w:rsidRDefault="002B6F30" w:rsidP="002B6F30">
      <w:pPr>
        <w:pStyle w:val="Body"/>
        <w:rPr>
          <w:rFonts w:ascii="Arial" w:hAnsi="Arial" w:cs="Arial"/>
        </w:rPr>
      </w:pPr>
      <w:r w:rsidRPr="002B6F30">
        <w:rPr>
          <w:rFonts w:ascii="Arial" w:hAnsi="Arial" w:cs="Arial"/>
        </w:rPr>
        <w:t xml:space="preserve">Data were collected between October 2023 to June 2024. Respondents completed either an online questionnaire (Via Google Forms) or a paper-based survey distributed at </w:t>
      </w:r>
      <w:proofErr w:type="spellStart"/>
      <w:r w:rsidRPr="002B6F30">
        <w:rPr>
          <w:rFonts w:ascii="Arial" w:hAnsi="Arial" w:cs="Arial"/>
        </w:rPr>
        <w:t>loal</w:t>
      </w:r>
      <w:proofErr w:type="spellEnd"/>
      <w:r w:rsidRPr="002B6F30">
        <w:rPr>
          <w:rFonts w:ascii="Arial" w:hAnsi="Arial" w:cs="Arial"/>
        </w:rPr>
        <w:t xml:space="preserve"> fish markets and community centers. Informed consent was obtained from all participants and anonymity was assured.</w:t>
      </w:r>
    </w:p>
    <w:p w14:paraId="136AECDA" w14:textId="77777777" w:rsidR="002B6F30" w:rsidRPr="002B6F30" w:rsidRDefault="002B6F30" w:rsidP="006015EF">
      <w:pPr>
        <w:pStyle w:val="Body"/>
        <w:numPr>
          <w:ilvl w:val="1"/>
          <w:numId w:val="39"/>
        </w:numPr>
        <w:spacing w:after="0"/>
        <w:rPr>
          <w:rFonts w:ascii="Arial" w:hAnsi="Arial" w:cs="Arial"/>
          <w:b/>
          <w:sz w:val="22"/>
          <w:szCs w:val="22"/>
        </w:rPr>
      </w:pPr>
      <w:r w:rsidRPr="002B6F30">
        <w:rPr>
          <w:rFonts w:ascii="Arial" w:hAnsi="Arial" w:cs="Arial"/>
          <w:b/>
          <w:sz w:val="22"/>
          <w:szCs w:val="22"/>
        </w:rPr>
        <w:t>Data Analysis</w:t>
      </w:r>
    </w:p>
    <w:p w14:paraId="080D132F" w14:textId="77777777" w:rsidR="00A03B96" w:rsidRPr="002B6F30" w:rsidRDefault="002B6F30" w:rsidP="002B6F30">
      <w:pPr>
        <w:pStyle w:val="Body"/>
        <w:rPr>
          <w:rFonts w:ascii="Arial" w:hAnsi="Arial" w:cs="Arial"/>
          <w:iCs/>
        </w:rPr>
      </w:pPr>
      <w:r w:rsidRPr="002B6F30">
        <w:rPr>
          <w:rFonts w:ascii="Arial" w:hAnsi="Arial" w:cs="Arial"/>
          <w:iCs/>
        </w:rPr>
        <w:t>Responses were coded and analyzed using SPSS statistical package, version 22. Descriptive statistics were employed to summarize demographic and behavioral patterns. Factor analysis was conducted to identify latent constructs influencing consume preferences. Reliability was assessed using Cronbach’s alpha, while regression analysis was applied to examine the relationships.</w:t>
      </w:r>
    </w:p>
    <w:p w14:paraId="78A59716" w14:textId="77777777" w:rsidR="00790ADA" w:rsidRDefault="00790ADA" w:rsidP="00441B6F">
      <w:pPr>
        <w:pStyle w:val="Body"/>
        <w:spacing w:after="0"/>
        <w:rPr>
          <w:rFonts w:ascii="Arial" w:hAnsi="Arial" w:cs="Arial"/>
        </w:rPr>
      </w:pPr>
    </w:p>
    <w:p w14:paraId="03A21CDC" w14:textId="77777777" w:rsidR="006015EF" w:rsidRDefault="006015EF" w:rsidP="00441B6F">
      <w:pPr>
        <w:pStyle w:val="Body"/>
        <w:spacing w:after="0"/>
        <w:rPr>
          <w:rFonts w:ascii="Arial" w:hAnsi="Arial" w:cs="Arial"/>
        </w:rPr>
      </w:pPr>
    </w:p>
    <w:p w14:paraId="7D39CCC1" w14:textId="77777777" w:rsidR="006015EF" w:rsidRDefault="006015EF" w:rsidP="00441B6F">
      <w:pPr>
        <w:pStyle w:val="Body"/>
        <w:spacing w:after="0"/>
        <w:rPr>
          <w:rFonts w:ascii="Arial" w:hAnsi="Arial" w:cs="Arial"/>
        </w:rPr>
      </w:pPr>
    </w:p>
    <w:p w14:paraId="2D710818" w14:textId="77777777" w:rsidR="006015EF" w:rsidRPr="00FB3A86" w:rsidRDefault="006015EF" w:rsidP="00441B6F">
      <w:pPr>
        <w:pStyle w:val="Body"/>
        <w:spacing w:after="0"/>
        <w:rPr>
          <w:rFonts w:ascii="Arial" w:hAnsi="Arial" w:cs="Arial"/>
        </w:rPr>
      </w:pPr>
    </w:p>
    <w:p w14:paraId="64503D7C" w14:textId="77777777" w:rsidR="002B6F30" w:rsidRDefault="00000F8F" w:rsidP="002B6F30">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53A3CC" w14:textId="77777777" w:rsidR="002B6F30" w:rsidRPr="002B6F30" w:rsidRDefault="002B6F30" w:rsidP="002B6F30">
      <w:pPr>
        <w:autoSpaceDE w:val="0"/>
        <w:autoSpaceDN w:val="0"/>
        <w:adjustRightInd w:val="0"/>
        <w:spacing w:before="240" w:line="276" w:lineRule="auto"/>
        <w:jc w:val="both"/>
        <w:rPr>
          <w:b/>
          <w:color w:val="000000"/>
          <w:sz w:val="22"/>
          <w:szCs w:val="22"/>
        </w:rPr>
      </w:pPr>
      <w:r w:rsidRPr="002B6F30">
        <w:rPr>
          <w:b/>
          <w:color w:val="000000"/>
          <w:sz w:val="22"/>
          <w:szCs w:val="22"/>
        </w:rPr>
        <w:t>3.1 Demographic profile of the Respondents</w:t>
      </w:r>
    </w:p>
    <w:p w14:paraId="24BFBC93" w14:textId="77777777" w:rsidR="002B6F30" w:rsidRDefault="002B6F30" w:rsidP="002B6F30">
      <w:pPr>
        <w:spacing w:before="240" w:line="276" w:lineRule="auto"/>
        <w:ind w:firstLine="720"/>
        <w:jc w:val="both"/>
      </w:pPr>
      <w:r w:rsidRPr="002410A5">
        <w:t xml:space="preserve">The demographic characteristics of the respondents is presented in Table 1. A total of 504 valid response were analyzed, with 423 (83.9%) female and 81 (16.1%) male participants. The predominant age group was 41-50 years (47%), followed by 31-40 years (38.1%). In terms of educational attainment, the majority of respondents (86.5%) held postgraduate degrees, suggesting that online fish purchasing platforms are primarily utilized </w:t>
      </w:r>
      <w:r w:rsidRPr="002410A5">
        <w:lastRenderedPageBreak/>
        <w:t xml:space="preserve">by a highly educated consumer demographic. Notably 93% of respondents had been using these platforms for less than six months, indicating the recent yet rapid growth of digital seafood retailing in Kerala. These demographic insights imply that middle aged, educated households are the early adopters of e-commerce for perishable food products </w:t>
      </w:r>
    </w:p>
    <w:p w14:paraId="6AB229CB" w14:textId="77777777" w:rsidR="002B6F30" w:rsidRPr="004A556F" w:rsidRDefault="004A556F" w:rsidP="002B6F30">
      <w:pPr>
        <w:spacing w:before="240" w:line="276" w:lineRule="auto"/>
        <w:jc w:val="both"/>
        <w:rPr>
          <w:b/>
        </w:rPr>
      </w:pPr>
      <w:r w:rsidRPr="004A556F">
        <w:rPr>
          <w:b/>
        </w:rPr>
        <w:t xml:space="preserve">3.1.1 </w:t>
      </w:r>
      <w:r w:rsidR="002B6F30" w:rsidRPr="004A556F">
        <w:rPr>
          <w:b/>
        </w:rPr>
        <w:t xml:space="preserve">Measurement Model </w:t>
      </w:r>
    </w:p>
    <w:p w14:paraId="4FFA3B25" w14:textId="77777777" w:rsidR="002B6F30" w:rsidRPr="002410A5" w:rsidRDefault="002B6F30" w:rsidP="004A556F">
      <w:pPr>
        <w:spacing w:before="240" w:line="276" w:lineRule="auto"/>
        <w:jc w:val="both"/>
      </w:pPr>
      <w:r w:rsidRPr="002410A5">
        <w:t xml:space="preserve">The study examined the data accuracy, normalcy, missing values and outliers of all variables. Then performed a confirmatory factor analysis (CFA) to assess the measurement model with the constructs related to the e-service quality. The construct loadings after the initial CFA is shown in Table 2. The measurement model of the CFA achieved excellent fit. </w:t>
      </w:r>
    </w:p>
    <w:p w14:paraId="4DBBD195" w14:textId="77777777" w:rsidR="002B6F30" w:rsidRPr="002410A5" w:rsidRDefault="002B6F30" w:rsidP="002B6F30">
      <w:pPr>
        <w:jc w:val="center"/>
        <w:rPr>
          <w:b/>
          <w:lang w:val="en-IN"/>
        </w:rPr>
      </w:pPr>
      <w:r w:rsidRPr="002410A5">
        <w:rPr>
          <w:b/>
          <w:lang w:val="en-IN"/>
        </w:rPr>
        <w:t xml:space="preserve">Table 1. </w:t>
      </w:r>
      <w:r w:rsidRPr="002410A5">
        <w:rPr>
          <w:b/>
          <w:i/>
          <w:lang w:val="en-IN"/>
        </w:rPr>
        <w:t>Demographic profile of the Respondents</w:t>
      </w:r>
    </w:p>
    <w:tbl>
      <w:tblPr>
        <w:tblStyle w:val="TableGrid"/>
        <w:tblpPr w:leftFromText="180" w:rightFromText="180" w:vertAnchor="text" w:horzAnchor="margin" w:tblpXSpec="center" w:tblpY="169"/>
        <w:tblW w:w="0" w:type="auto"/>
        <w:tblLook w:val="04A0" w:firstRow="1" w:lastRow="0" w:firstColumn="1" w:lastColumn="0" w:noHBand="0" w:noVBand="1"/>
      </w:tblPr>
      <w:tblGrid>
        <w:gridCol w:w="3486"/>
        <w:gridCol w:w="1752"/>
        <w:gridCol w:w="1482"/>
        <w:gridCol w:w="1478"/>
      </w:tblGrid>
      <w:tr w:rsidR="002B6F30" w:rsidRPr="002410A5" w14:paraId="678C052F" w14:textId="77777777" w:rsidTr="00EA4679">
        <w:trPr>
          <w:trHeight w:val="200"/>
        </w:trPr>
        <w:tc>
          <w:tcPr>
            <w:tcW w:w="3608" w:type="dxa"/>
          </w:tcPr>
          <w:p w14:paraId="3964247C" w14:textId="77777777" w:rsidR="002B6F30" w:rsidRPr="002410A5" w:rsidRDefault="002B6F30" w:rsidP="00EA4679">
            <w:pPr>
              <w:jc w:val="both"/>
              <w:rPr>
                <w:sz w:val="20"/>
                <w:szCs w:val="20"/>
              </w:rPr>
            </w:pPr>
          </w:p>
          <w:p w14:paraId="51D87D57" w14:textId="77777777" w:rsidR="002B6F30" w:rsidRPr="002410A5" w:rsidRDefault="002B6F30" w:rsidP="00EA4679">
            <w:pPr>
              <w:jc w:val="both"/>
              <w:rPr>
                <w:sz w:val="20"/>
                <w:szCs w:val="20"/>
              </w:rPr>
            </w:pPr>
            <w:r w:rsidRPr="002410A5">
              <w:rPr>
                <w:sz w:val="20"/>
                <w:szCs w:val="20"/>
              </w:rPr>
              <w:t>Demographics</w:t>
            </w:r>
          </w:p>
        </w:tc>
        <w:tc>
          <w:tcPr>
            <w:tcW w:w="1773" w:type="dxa"/>
          </w:tcPr>
          <w:p w14:paraId="794D59B4" w14:textId="77777777" w:rsidR="002B6F30" w:rsidRPr="002410A5" w:rsidRDefault="002B6F30" w:rsidP="00EA4679">
            <w:pPr>
              <w:jc w:val="both"/>
              <w:rPr>
                <w:sz w:val="20"/>
                <w:szCs w:val="20"/>
              </w:rPr>
            </w:pPr>
          </w:p>
          <w:p w14:paraId="27774C32" w14:textId="77777777" w:rsidR="002B6F30" w:rsidRPr="002410A5" w:rsidRDefault="002B6F30" w:rsidP="00EA4679">
            <w:pPr>
              <w:jc w:val="both"/>
              <w:rPr>
                <w:sz w:val="20"/>
                <w:szCs w:val="20"/>
              </w:rPr>
            </w:pPr>
            <w:r w:rsidRPr="002410A5">
              <w:rPr>
                <w:sz w:val="20"/>
                <w:szCs w:val="20"/>
              </w:rPr>
              <w:t>Sub-categories</w:t>
            </w:r>
          </w:p>
        </w:tc>
        <w:tc>
          <w:tcPr>
            <w:tcW w:w="1502" w:type="dxa"/>
          </w:tcPr>
          <w:p w14:paraId="26B2F31B" w14:textId="77777777" w:rsidR="002B6F30" w:rsidRPr="002410A5" w:rsidRDefault="002B6F30" w:rsidP="00EA4679">
            <w:pPr>
              <w:jc w:val="both"/>
              <w:rPr>
                <w:sz w:val="20"/>
                <w:szCs w:val="20"/>
              </w:rPr>
            </w:pPr>
            <w:r w:rsidRPr="002410A5">
              <w:rPr>
                <w:sz w:val="20"/>
                <w:szCs w:val="20"/>
              </w:rPr>
              <w:t xml:space="preserve">             Frequency </w:t>
            </w:r>
          </w:p>
        </w:tc>
        <w:tc>
          <w:tcPr>
            <w:tcW w:w="1531" w:type="dxa"/>
          </w:tcPr>
          <w:p w14:paraId="3A251D96" w14:textId="77777777" w:rsidR="002B6F30" w:rsidRPr="002410A5" w:rsidRDefault="002B6F30" w:rsidP="00EA4679">
            <w:pPr>
              <w:jc w:val="both"/>
              <w:rPr>
                <w:sz w:val="20"/>
                <w:szCs w:val="20"/>
              </w:rPr>
            </w:pPr>
          </w:p>
          <w:p w14:paraId="3CECE7F9" w14:textId="77777777" w:rsidR="002B6F30" w:rsidRPr="002410A5" w:rsidRDefault="002B6F30" w:rsidP="00EA4679">
            <w:pPr>
              <w:jc w:val="both"/>
              <w:rPr>
                <w:sz w:val="20"/>
                <w:szCs w:val="20"/>
              </w:rPr>
            </w:pPr>
            <w:r w:rsidRPr="002410A5">
              <w:rPr>
                <w:sz w:val="20"/>
                <w:szCs w:val="20"/>
              </w:rPr>
              <w:t>%</w:t>
            </w:r>
          </w:p>
        </w:tc>
      </w:tr>
      <w:tr w:rsidR="002B6F30" w:rsidRPr="002410A5" w14:paraId="14E7C3C7" w14:textId="77777777" w:rsidTr="00EA4679">
        <w:trPr>
          <w:trHeight w:val="192"/>
        </w:trPr>
        <w:tc>
          <w:tcPr>
            <w:tcW w:w="3608" w:type="dxa"/>
            <w:vMerge w:val="restart"/>
          </w:tcPr>
          <w:p w14:paraId="01AFD217" w14:textId="77777777" w:rsidR="002B6F30" w:rsidRPr="002410A5" w:rsidRDefault="002B6F30" w:rsidP="00EA4679">
            <w:pPr>
              <w:jc w:val="both"/>
              <w:rPr>
                <w:sz w:val="20"/>
                <w:szCs w:val="20"/>
              </w:rPr>
            </w:pPr>
            <w:r w:rsidRPr="002410A5">
              <w:rPr>
                <w:sz w:val="20"/>
                <w:szCs w:val="20"/>
              </w:rPr>
              <w:t>Gender</w:t>
            </w:r>
          </w:p>
        </w:tc>
        <w:tc>
          <w:tcPr>
            <w:tcW w:w="1773" w:type="dxa"/>
          </w:tcPr>
          <w:p w14:paraId="511B730D" w14:textId="77777777" w:rsidR="002B6F30" w:rsidRPr="002410A5" w:rsidRDefault="002B6F30" w:rsidP="00EA4679">
            <w:pPr>
              <w:jc w:val="both"/>
              <w:rPr>
                <w:sz w:val="20"/>
                <w:szCs w:val="20"/>
              </w:rPr>
            </w:pPr>
            <w:r w:rsidRPr="002410A5">
              <w:rPr>
                <w:sz w:val="20"/>
                <w:szCs w:val="20"/>
              </w:rPr>
              <w:t xml:space="preserve">Male </w:t>
            </w:r>
          </w:p>
        </w:tc>
        <w:tc>
          <w:tcPr>
            <w:tcW w:w="1502" w:type="dxa"/>
          </w:tcPr>
          <w:p w14:paraId="2519AA7E" w14:textId="77777777" w:rsidR="002B6F30" w:rsidRPr="002410A5" w:rsidRDefault="002B6F30" w:rsidP="00EA4679">
            <w:pPr>
              <w:jc w:val="both"/>
              <w:rPr>
                <w:sz w:val="20"/>
                <w:szCs w:val="20"/>
              </w:rPr>
            </w:pPr>
            <w:r w:rsidRPr="002410A5">
              <w:rPr>
                <w:sz w:val="20"/>
                <w:szCs w:val="20"/>
              </w:rPr>
              <w:t>81</w:t>
            </w:r>
          </w:p>
        </w:tc>
        <w:tc>
          <w:tcPr>
            <w:tcW w:w="1531" w:type="dxa"/>
          </w:tcPr>
          <w:p w14:paraId="64AE7C69" w14:textId="77777777" w:rsidR="002B6F30" w:rsidRPr="002410A5" w:rsidRDefault="002B6F30" w:rsidP="00EA4679">
            <w:pPr>
              <w:jc w:val="both"/>
              <w:rPr>
                <w:sz w:val="20"/>
                <w:szCs w:val="20"/>
              </w:rPr>
            </w:pPr>
            <w:r w:rsidRPr="002410A5">
              <w:rPr>
                <w:sz w:val="20"/>
                <w:szCs w:val="20"/>
              </w:rPr>
              <w:t>16</w:t>
            </w:r>
          </w:p>
        </w:tc>
      </w:tr>
      <w:tr w:rsidR="002B6F30" w:rsidRPr="002410A5" w14:paraId="7431DA1A" w14:textId="77777777" w:rsidTr="00EA4679">
        <w:trPr>
          <w:trHeight w:val="206"/>
        </w:trPr>
        <w:tc>
          <w:tcPr>
            <w:tcW w:w="3608" w:type="dxa"/>
            <w:vMerge/>
          </w:tcPr>
          <w:p w14:paraId="1A4E77E5" w14:textId="77777777" w:rsidR="002B6F30" w:rsidRPr="002410A5" w:rsidRDefault="002B6F30" w:rsidP="00EA4679">
            <w:pPr>
              <w:jc w:val="both"/>
              <w:rPr>
                <w:sz w:val="20"/>
                <w:szCs w:val="20"/>
              </w:rPr>
            </w:pPr>
          </w:p>
        </w:tc>
        <w:tc>
          <w:tcPr>
            <w:tcW w:w="1773" w:type="dxa"/>
          </w:tcPr>
          <w:p w14:paraId="4F5A546C" w14:textId="77777777" w:rsidR="002B6F30" w:rsidRPr="002410A5" w:rsidRDefault="002B6F30" w:rsidP="00EA4679">
            <w:pPr>
              <w:jc w:val="both"/>
              <w:rPr>
                <w:sz w:val="20"/>
                <w:szCs w:val="20"/>
              </w:rPr>
            </w:pPr>
            <w:r w:rsidRPr="002410A5">
              <w:rPr>
                <w:sz w:val="20"/>
                <w:szCs w:val="20"/>
              </w:rPr>
              <w:t xml:space="preserve">Female </w:t>
            </w:r>
          </w:p>
        </w:tc>
        <w:tc>
          <w:tcPr>
            <w:tcW w:w="1502" w:type="dxa"/>
          </w:tcPr>
          <w:p w14:paraId="576590F8" w14:textId="77777777" w:rsidR="002B6F30" w:rsidRPr="002410A5" w:rsidRDefault="002B6F30" w:rsidP="00EA4679">
            <w:pPr>
              <w:jc w:val="both"/>
              <w:rPr>
                <w:sz w:val="20"/>
                <w:szCs w:val="20"/>
              </w:rPr>
            </w:pPr>
            <w:r w:rsidRPr="002410A5">
              <w:rPr>
                <w:sz w:val="20"/>
                <w:szCs w:val="20"/>
              </w:rPr>
              <w:t>423</w:t>
            </w:r>
          </w:p>
        </w:tc>
        <w:tc>
          <w:tcPr>
            <w:tcW w:w="1531" w:type="dxa"/>
          </w:tcPr>
          <w:p w14:paraId="6E775CD9" w14:textId="77777777" w:rsidR="002B6F30" w:rsidRPr="002410A5" w:rsidRDefault="002B6F30" w:rsidP="00EA4679">
            <w:pPr>
              <w:jc w:val="both"/>
              <w:rPr>
                <w:sz w:val="20"/>
                <w:szCs w:val="20"/>
              </w:rPr>
            </w:pPr>
            <w:r w:rsidRPr="002410A5">
              <w:rPr>
                <w:sz w:val="20"/>
                <w:szCs w:val="20"/>
              </w:rPr>
              <w:t>83.9</w:t>
            </w:r>
          </w:p>
        </w:tc>
      </w:tr>
      <w:tr w:rsidR="002B6F30" w:rsidRPr="002410A5" w14:paraId="3969E48A" w14:textId="77777777" w:rsidTr="00EA4679">
        <w:trPr>
          <w:trHeight w:val="192"/>
        </w:trPr>
        <w:tc>
          <w:tcPr>
            <w:tcW w:w="3608" w:type="dxa"/>
            <w:vMerge w:val="restart"/>
          </w:tcPr>
          <w:p w14:paraId="37891F97" w14:textId="77777777" w:rsidR="002B6F30" w:rsidRPr="002410A5" w:rsidRDefault="002B6F30" w:rsidP="00EA4679">
            <w:pPr>
              <w:jc w:val="both"/>
              <w:rPr>
                <w:sz w:val="20"/>
                <w:szCs w:val="20"/>
              </w:rPr>
            </w:pPr>
            <w:r w:rsidRPr="002410A5">
              <w:rPr>
                <w:sz w:val="20"/>
                <w:szCs w:val="20"/>
              </w:rPr>
              <w:t xml:space="preserve">Age </w:t>
            </w:r>
          </w:p>
        </w:tc>
        <w:tc>
          <w:tcPr>
            <w:tcW w:w="1773" w:type="dxa"/>
          </w:tcPr>
          <w:p w14:paraId="228DBF58" w14:textId="77777777" w:rsidR="002B6F30" w:rsidRPr="002410A5" w:rsidRDefault="002B6F30" w:rsidP="00EA4679">
            <w:pPr>
              <w:jc w:val="both"/>
              <w:rPr>
                <w:sz w:val="20"/>
                <w:szCs w:val="20"/>
              </w:rPr>
            </w:pPr>
            <w:r w:rsidRPr="002410A5">
              <w:rPr>
                <w:sz w:val="20"/>
                <w:szCs w:val="20"/>
              </w:rPr>
              <w:t>21-30</w:t>
            </w:r>
          </w:p>
        </w:tc>
        <w:tc>
          <w:tcPr>
            <w:tcW w:w="1502" w:type="dxa"/>
          </w:tcPr>
          <w:p w14:paraId="32F2647E" w14:textId="77777777" w:rsidR="002B6F30" w:rsidRPr="002410A5" w:rsidRDefault="002B6F30" w:rsidP="00EA4679">
            <w:pPr>
              <w:jc w:val="both"/>
              <w:rPr>
                <w:sz w:val="20"/>
                <w:szCs w:val="20"/>
              </w:rPr>
            </w:pPr>
            <w:r w:rsidRPr="002410A5">
              <w:rPr>
                <w:sz w:val="20"/>
                <w:szCs w:val="20"/>
              </w:rPr>
              <w:t>6</w:t>
            </w:r>
          </w:p>
        </w:tc>
        <w:tc>
          <w:tcPr>
            <w:tcW w:w="1531" w:type="dxa"/>
          </w:tcPr>
          <w:p w14:paraId="1806013B" w14:textId="77777777" w:rsidR="002B6F30" w:rsidRPr="002410A5" w:rsidRDefault="002B6F30" w:rsidP="00EA4679">
            <w:pPr>
              <w:jc w:val="both"/>
              <w:rPr>
                <w:sz w:val="20"/>
                <w:szCs w:val="20"/>
              </w:rPr>
            </w:pPr>
            <w:r w:rsidRPr="002410A5">
              <w:rPr>
                <w:sz w:val="20"/>
                <w:szCs w:val="20"/>
              </w:rPr>
              <w:t>1.2</w:t>
            </w:r>
          </w:p>
        </w:tc>
      </w:tr>
      <w:tr w:rsidR="002B6F30" w:rsidRPr="002410A5" w14:paraId="5A1B00EC" w14:textId="77777777" w:rsidTr="00EA4679">
        <w:trPr>
          <w:trHeight w:val="206"/>
        </w:trPr>
        <w:tc>
          <w:tcPr>
            <w:tcW w:w="3608" w:type="dxa"/>
            <w:vMerge/>
          </w:tcPr>
          <w:p w14:paraId="2E714D23" w14:textId="77777777" w:rsidR="002B6F30" w:rsidRPr="002410A5" w:rsidRDefault="002B6F30" w:rsidP="00EA4679">
            <w:pPr>
              <w:jc w:val="both"/>
              <w:rPr>
                <w:sz w:val="20"/>
                <w:szCs w:val="20"/>
              </w:rPr>
            </w:pPr>
          </w:p>
        </w:tc>
        <w:tc>
          <w:tcPr>
            <w:tcW w:w="1773" w:type="dxa"/>
          </w:tcPr>
          <w:p w14:paraId="4BA90ABC" w14:textId="77777777" w:rsidR="002B6F30" w:rsidRPr="002410A5" w:rsidRDefault="002B6F30" w:rsidP="00EA4679">
            <w:pPr>
              <w:jc w:val="both"/>
              <w:rPr>
                <w:sz w:val="20"/>
                <w:szCs w:val="20"/>
              </w:rPr>
            </w:pPr>
            <w:r w:rsidRPr="002410A5">
              <w:rPr>
                <w:sz w:val="20"/>
                <w:szCs w:val="20"/>
              </w:rPr>
              <w:t>31-40</w:t>
            </w:r>
          </w:p>
        </w:tc>
        <w:tc>
          <w:tcPr>
            <w:tcW w:w="1502" w:type="dxa"/>
          </w:tcPr>
          <w:p w14:paraId="2F0DB207" w14:textId="77777777" w:rsidR="002B6F30" w:rsidRPr="002410A5" w:rsidRDefault="002B6F30" w:rsidP="00EA4679">
            <w:pPr>
              <w:jc w:val="both"/>
              <w:rPr>
                <w:sz w:val="20"/>
                <w:szCs w:val="20"/>
              </w:rPr>
            </w:pPr>
            <w:r w:rsidRPr="002410A5">
              <w:rPr>
                <w:sz w:val="20"/>
                <w:szCs w:val="20"/>
              </w:rPr>
              <w:t>192</w:t>
            </w:r>
          </w:p>
        </w:tc>
        <w:tc>
          <w:tcPr>
            <w:tcW w:w="1531" w:type="dxa"/>
          </w:tcPr>
          <w:p w14:paraId="3B738751" w14:textId="77777777" w:rsidR="002B6F30" w:rsidRPr="002410A5" w:rsidRDefault="002B6F30" w:rsidP="00EA4679">
            <w:pPr>
              <w:jc w:val="both"/>
              <w:rPr>
                <w:sz w:val="20"/>
                <w:szCs w:val="20"/>
              </w:rPr>
            </w:pPr>
            <w:r w:rsidRPr="002410A5">
              <w:rPr>
                <w:sz w:val="20"/>
                <w:szCs w:val="20"/>
              </w:rPr>
              <w:t>38.1</w:t>
            </w:r>
          </w:p>
        </w:tc>
      </w:tr>
      <w:tr w:rsidR="002B6F30" w:rsidRPr="002410A5" w14:paraId="4D86EF33" w14:textId="77777777" w:rsidTr="00EA4679">
        <w:trPr>
          <w:trHeight w:val="206"/>
        </w:trPr>
        <w:tc>
          <w:tcPr>
            <w:tcW w:w="3608" w:type="dxa"/>
            <w:vMerge/>
          </w:tcPr>
          <w:p w14:paraId="58FF370C" w14:textId="77777777" w:rsidR="002B6F30" w:rsidRPr="002410A5" w:rsidRDefault="002B6F30" w:rsidP="00EA4679">
            <w:pPr>
              <w:jc w:val="both"/>
              <w:rPr>
                <w:sz w:val="20"/>
                <w:szCs w:val="20"/>
              </w:rPr>
            </w:pPr>
          </w:p>
        </w:tc>
        <w:tc>
          <w:tcPr>
            <w:tcW w:w="1773" w:type="dxa"/>
          </w:tcPr>
          <w:p w14:paraId="51EFB4FB" w14:textId="77777777" w:rsidR="002B6F30" w:rsidRPr="002410A5" w:rsidRDefault="002B6F30" w:rsidP="00EA4679">
            <w:pPr>
              <w:jc w:val="both"/>
              <w:rPr>
                <w:sz w:val="20"/>
                <w:szCs w:val="20"/>
              </w:rPr>
            </w:pPr>
            <w:r w:rsidRPr="002410A5">
              <w:rPr>
                <w:sz w:val="20"/>
                <w:szCs w:val="20"/>
              </w:rPr>
              <w:t>41-50</w:t>
            </w:r>
          </w:p>
        </w:tc>
        <w:tc>
          <w:tcPr>
            <w:tcW w:w="1502" w:type="dxa"/>
          </w:tcPr>
          <w:p w14:paraId="73FED10E" w14:textId="77777777" w:rsidR="002B6F30" w:rsidRPr="002410A5" w:rsidRDefault="002B6F30" w:rsidP="00EA4679">
            <w:pPr>
              <w:jc w:val="both"/>
              <w:rPr>
                <w:sz w:val="20"/>
                <w:szCs w:val="20"/>
              </w:rPr>
            </w:pPr>
            <w:r w:rsidRPr="002410A5">
              <w:rPr>
                <w:sz w:val="20"/>
                <w:szCs w:val="20"/>
              </w:rPr>
              <w:t>237</w:t>
            </w:r>
          </w:p>
        </w:tc>
        <w:tc>
          <w:tcPr>
            <w:tcW w:w="1531" w:type="dxa"/>
          </w:tcPr>
          <w:p w14:paraId="11A6F80E" w14:textId="77777777" w:rsidR="002B6F30" w:rsidRPr="002410A5" w:rsidRDefault="002B6F30" w:rsidP="00EA4679">
            <w:pPr>
              <w:jc w:val="both"/>
              <w:rPr>
                <w:sz w:val="20"/>
                <w:szCs w:val="20"/>
              </w:rPr>
            </w:pPr>
            <w:r w:rsidRPr="002410A5">
              <w:rPr>
                <w:sz w:val="20"/>
                <w:szCs w:val="20"/>
              </w:rPr>
              <w:t>47</w:t>
            </w:r>
          </w:p>
        </w:tc>
      </w:tr>
      <w:tr w:rsidR="002B6F30" w:rsidRPr="002410A5" w14:paraId="45B06B08" w14:textId="77777777" w:rsidTr="00EA4679">
        <w:trPr>
          <w:trHeight w:val="200"/>
        </w:trPr>
        <w:tc>
          <w:tcPr>
            <w:tcW w:w="3608" w:type="dxa"/>
            <w:vMerge/>
          </w:tcPr>
          <w:p w14:paraId="4C93679F" w14:textId="77777777" w:rsidR="002B6F30" w:rsidRPr="002410A5" w:rsidRDefault="002B6F30" w:rsidP="00EA4679">
            <w:pPr>
              <w:jc w:val="both"/>
              <w:rPr>
                <w:sz w:val="20"/>
                <w:szCs w:val="20"/>
              </w:rPr>
            </w:pPr>
          </w:p>
        </w:tc>
        <w:tc>
          <w:tcPr>
            <w:tcW w:w="1773" w:type="dxa"/>
          </w:tcPr>
          <w:p w14:paraId="4DFB0E69" w14:textId="77777777" w:rsidR="002B6F30" w:rsidRPr="002410A5" w:rsidRDefault="002B6F30" w:rsidP="00EA4679">
            <w:pPr>
              <w:jc w:val="both"/>
              <w:rPr>
                <w:sz w:val="20"/>
                <w:szCs w:val="20"/>
              </w:rPr>
            </w:pPr>
            <w:r w:rsidRPr="002410A5">
              <w:rPr>
                <w:sz w:val="20"/>
                <w:szCs w:val="20"/>
              </w:rPr>
              <w:t>&gt;51</w:t>
            </w:r>
          </w:p>
        </w:tc>
        <w:tc>
          <w:tcPr>
            <w:tcW w:w="1502" w:type="dxa"/>
          </w:tcPr>
          <w:p w14:paraId="3364AF35" w14:textId="77777777" w:rsidR="002B6F30" w:rsidRPr="002410A5" w:rsidRDefault="002B6F30" w:rsidP="00EA4679">
            <w:pPr>
              <w:jc w:val="both"/>
              <w:rPr>
                <w:sz w:val="20"/>
                <w:szCs w:val="20"/>
              </w:rPr>
            </w:pPr>
            <w:r w:rsidRPr="002410A5">
              <w:rPr>
                <w:sz w:val="20"/>
                <w:szCs w:val="20"/>
              </w:rPr>
              <w:t>69</w:t>
            </w:r>
          </w:p>
        </w:tc>
        <w:tc>
          <w:tcPr>
            <w:tcW w:w="1531" w:type="dxa"/>
          </w:tcPr>
          <w:p w14:paraId="38A24EA9" w14:textId="77777777" w:rsidR="002B6F30" w:rsidRPr="002410A5" w:rsidRDefault="002B6F30" w:rsidP="00EA4679">
            <w:pPr>
              <w:jc w:val="both"/>
              <w:rPr>
                <w:sz w:val="20"/>
                <w:szCs w:val="20"/>
              </w:rPr>
            </w:pPr>
            <w:r w:rsidRPr="002410A5">
              <w:rPr>
                <w:sz w:val="20"/>
                <w:szCs w:val="20"/>
              </w:rPr>
              <w:t>13.7</w:t>
            </w:r>
          </w:p>
        </w:tc>
      </w:tr>
      <w:tr w:rsidR="002B6F30" w:rsidRPr="002410A5" w14:paraId="17E718C6" w14:textId="77777777" w:rsidTr="00EA4679">
        <w:trPr>
          <w:trHeight w:val="200"/>
        </w:trPr>
        <w:tc>
          <w:tcPr>
            <w:tcW w:w="3608" w:type="dxa"/>
            <w:vMerge w:val="restart"/>
          </w:tcPr>
          <w:p w14:paraId="1C06F03E" w14:textId="77777777" w:rsidR="002B6F30" w:rsidRPr="002410A5" w:rsidRDefault="002B6F30" w:rsidP="00EA4679">
            <w:pPr>
              <w:jc w:val="both"/>
              <w:rPr>
                <w:sz w:val="20"/>
                <w:szCs w:val="20"/>
              </w:rPr>
            </w:pPr>
            <w:r w:rsidRPr="002410A5">
              <w:rPr>
                <w:sz w:val="20"/>
                <w:szCs w:val="20"/>
              </w:rPr>
              <w:t xml:space="preserve">Education </w:t>
            </w:r>
          </w:p>
        </w:tc>
        <w:tc>
          <w:tcPr>
            <w:tcW w:w="1773" w:type="dxa"/>
          </w:tcPr>
          <w:p w14:paraId="513B484C" w14:textId="77777777" w:rsidR="002B6F30" w:rsidRPr="002410A5" w:rsidRDefault="002B6F30" w:rsidP="00EA4679">
            <w:pPr>
              <w:jc w:val="both"/>
              <w:rPr>
                <w:sz w:val="20"/>
                <w:szCs w:val="20"/>
              </w:rPr>
            </w:pPr>
            <w:r w:rsidRPr="002410A5">
              <w:rPr>
                <w:sz w:val="20"/>
                <w:szCs w:val="20"/>
              </w:rPr>
              <w:t>High school or less</w:t>
            </w:r>
          </w:p>
        </w:tc>
        <w:tc>
          <w:tcPr>
            <w:tcW w:w="1502" w:type="dxa"/>
          </w:tcPr>
          <w:p w14:paraId="6A517A47" w14:textId="77777777" w:rsidR="002B6F30" w:rsidRPr="002410A5" w:rsidRDefault="002B6F30" w:rsidP="00EA4679">
            <w:pPr>
              <w:jc w:val="both"/>
              <w:rPr>
                <w:sz w:val="20"/>
                <w:szCs w:val="20"/>
              </w:rPr>
            </w:pPr>
            <w:r w:rsidRPr="002410A5">
              <w:rPr>
                <w:sz w:val="20"/>
                <w:szCs w:val="20"/>
              </w:rPr>
              <w:t>8</w:t>
            </w:r>
          </w:p>
        </w:tc>
        <w:tc>
          <w:tcPr>
            <w:tcW w:w="1531" w:type="dxa"/>
          </w:tcPr>
          <w:p w14:paraId="52CCDA7F" w14:textId="77777777" w:rsidR="002B6F30" w:rsidRPr="002410A5" w:rsidRDefault="002B6F30" w:rsidP="00EA4679">
            <w:pPr>
              <w:jc w:val="both"/>
              <w:rPr>
                <w:sz w:val="20"/>
                <w:szCs w:val="20"/>
              </w:rPr>
            </w:pPr>
            <w:r w:rsidRPr="002410A5">
              <w:rPr>
                <w:sz w:val="20"/>
                <w:szCs w:val="20"/>
              </w:rPr>
              <w:t>1.6</w:t>
            </w:r>
          </w:p>
        </w:tc>
      </w:tr>
      <w:tr w:rsidR="002B6F30" w:rsidRPr="002410A5" w14:paraId="5871C576" w14:textId="77777777" w:rsidTr="00EA4679">
        <w:trPr>
          <w:trHeight w:val="192"/>
        </w:trPr>
        <w:tc>
          <w:tcPr>
            <w:tcW w:w="3608" w:type="dxa"/>
            <w:vMerge/>
          </w:tcPr>
          <w:p w14:paraId="17AE2738" w14:textId="77777777" w:rsidR="002B6F30" w:rsidRPr="002410A5" w:rsidRDefault="002B6F30" w:rsidP="00EA4679">
            <w:pPr>
              <w:jc w:val="both"/>
              <w:rPr>
                <w:sz w:val="20"/>
                <w:szCs w:val="20"/>
              </w:rPr>
            </w:pPr>
          </w:p>
        </w:tc>
        <w:tc>
          <w:tcPr>
            <w:tcW w:w="1773" w:type="dxa"/>
          </w:tcPr>
          <w:p w14:paraId="0F23472B" w14:textId="77777777" w:rsidR="002B6F30" w:rsidRPr="002410A5" w:rsidRDefault="002B6F30" w:rsidP="00EA4679">
            <w:pPr>
              <w:jc w:val="both"/>
              <w:rPr>
                <w:sz w:val="20"/>
                <w:szCs w:val="20"/>
              </w:rPr>
            </w:pPr>
            <w:r w:rsidRPr="002410A5">
              <w:rPr>
                <w:sz w:val="20"/>
                <w:szCs w:val="20"/>
              </w:rPr>
              <w:t xml:space="preserve">College graduate </w:t>
            </w:r>
          </w:p>
        </w:tc>
        <w:tc>
          <w:tcPr>
            <w:tcW w:w="1502" w:type="dxa"/>
          </w:tcPr>
          <w:p w14:paraId="576DFC75" w14:textId="77777777" w:rsidR="002B6F30" w:rsidRPr="002410A5" w:rsidRDefault="002B6F30" w:rsidP="00EA4679">
            <w:pPr>
              <w:jc w:val="both"/>
              <w:rPr>
                <w:sz w:val="20"/>
                <w:szCs w:val="20"/>
              </w:rPr>
            </w:pPr>
            <w:r w:rsidRPr="002410A5">
              <w:rPr>
                <w:sz w:val="20"/>
                <w:szCs w:val="20"/>
              </w:rPr>
              <w:t>57</w:t>
            </w:r>
          </w:p>
        </w:tc>
        <w:tc>
          <w:tcPr>
            <w:tcW w:w="1531" w:type="dxa"/>
          </w:tcPr>
          <w:p w14:paraId="317B0B6B" w14:textId="77777777" w:rsidR="002B6F30" w:rsidRPr="002410A5" w:rsidRDefault="002B6F30" w:rsidP="00EA4679">
            <w:pPr>
              <w:jc w:val="both"/>
              <w:rPr>
                <w:sz w:val="20"/>
                <w:szCs w:val="20"/>
              </w:rPr>
            </w:pPr>
            <w:r w:rsidRPr="002410A5">
              <w:rPr>
                <w:sz w:val="20"/>
                <w:szCs w:val="20"/>
              </w:rPr>
              <w:t>11.3</w:t>
            </w:r>
          </w:p>
        </w:tc>
      </w:tr>
      <w:tr w:rsidR="002B6F30" w:rsidRPr="002410A5" w14:paraId="61A70AC4" w14:textId="77777777" w:rsidTr="00EA4679">
        <w:trPr>
          <w:trHeight w:val="200"/>
        </w:trPr>
        <w:tc>
          <w:tcPr>
            <w:tcW w:w="3608" w:type="dxa"/>
            <w:vMerge/>
          </w:tcPr>
          <w:p w14:paraId="1FB1258C" w14:textId="77777777" w:rsidR="002B6F30" w:rsidRPr="002410A5" w:rsidRDefault="002B6F30" w:rsidP="00EA4679">
            <w:pPr>
              <w:jc w:val="both"/>
              <w:rPr>
                <w:sz w:val="20"/>
                <w:szCs w:val="20"/>
              </w:rPr>
            </w:pPr>
          </w:p>
        </w:tc>
        <w:tc>
          <w:tcPr>
            <w:tcW w:w="1773" w:type="dxa"/>
          </w:tcPr>
          <w:p w14:paraId="69FA31FD" w14:textId="77777777" w:rsidR="002B6F30" w:rsidRPr="002410A5" w:rsidRDefault="002B6F30" w:rsidP="00EA4679">
            <w:pPr>
              <w:jc w:val="both"/>
              <w:rPr>
                <w:sz w:val="20"/>
                <w:szCs w:val="20"/>
              </w:rPr>
            </w:pPr>
            <w:r w:rsidRPr="002410A5">
              <w:rPr>
                <w:sz w:val="20"/>
                <w:szCs w:val="20"/>
              </w:rPr>
              <w:t>Postgraduate</w:t>
            </w:r>
          </w:p>
        </w:tc>
        <w:tc>
          <w:tcPr>
            <w:tcW w:w="1502" w:type="dxa"/>
          </w:tcPr>
          <w:p w14:paraId="3E5CB7B6" w14:textId="77777777" w:rsidR="002B6F30" w:rsidRPr="002410A5" w:rsidRDefault="002B6F30" w:rsidP="00EA4679">
            <w:pPr>
              <w:jc w:val="both"/>
              <w:rPr>
                <w:sz w:val="20"/>
                <w:szCs w:val="20"/>
              </w:rPr>
            </w:pPr>
            <w:r w:rsidRPr="002410A5">
              <w:rPr>
                <w:sz w:val="20"/>
                <w:szCs w:val="20"/>
              </w:rPr>
              <w:t>436</w:t>
            </w:r>
          </w:p>
        </w:tc>
        <w:tc>
          <w:tcPr>
            <w:tcW w:w="1531" w:type="dxa"/>
          </w:tcPr>
          <w:p w14:paraId="0600A42D" w14:textId="77777777" w:rsidR="002B6F30" w:rsidRPr="002410A5" w:rsidRDefault="002B6F30" w:rsidP="00EA4679">
            <w:pPr>
              <w:jc w:val="both"/>
              <w:rPr>
                <w:sz w:val="20"/>
                <w:szCs w:val="20"/>
              </w:rPr>
            </w:pPr>
            <w:r w:rsidRPr="002410A5">
              <w:rPr>
                <w:sz w:val="20"/>
                <w:szCs w:val="20"/>
              </w:rPr>
              <w:t>86.5</w:t>
            </w:r>
          </w:p>
        </w:tc>
      </w:tr>
      <w:tr w:rsidR="002B6F30" w:rsidRPr="002410A5" w14:paraId="200A8D2C" w14:textId="77777777" w:rsidTr="00EA4679">
        <w:trPr>
          <w:trHeight w:val="192"/>
        </w:trPr>
        <w:tc>
          <w:tcPr>
            <w:tcW w:w="3608" w:type="dxa"/>
            <w:vMerge/>
          </w:tcPr>
          <w:p w14:paraId="6054F8C9" w14:textId="77777777" w:rsidR="002B6F30" w:rsidRPr="002410A5" w:rsidRDefault="002B6F30" w:rsidP="00EA4679">
            <w:pPr>
              <w:jc w:val="both"/>
              <w:rPr>
                <w:sz w:val="20"/>
                <w:szCs w:val="20"/>
              </w:rPr>
            </w:pPr>
          </w:p>
        </w:tc>
        <w:tc>
          <w:tcPr>
            <w:tcW w:w="1773" w:type="dxa"/>
          </w:tcPr>
          <w:p w14:paraId="36D93354" w14:textId="77777777" w:rsidR="002B6F30" w:rsidRPr="002410A5" w:rsidRDefault="002B6F30" w:rsidP="00EA4679">
            <w:pPr>
              <w:jc w:val="both"/>
              <w:rPr>
                <w:sz w:val="20"/>
                <w:szCs w:val="20"/>
              </w:rPr>
            </w:pPr>
            <w:r w:rsidRPr="002410A5">
              <w:rPr>
                <w:sz w:val="20"/>
                <w:szCs w:val="20"/>
              </w:rPr>
              <w:t>Others</w:t>
            </w:r>
          </w:p>
        </w:tc>
        <w:tc>
          <w:tcPr>
            <w:tcW w:w="1502" w:type="dxa"/>
          </w:tcPr>
          <w:p w14:paraId="4592DE1B" w14:textId="77777777" w:rsidR="002B6F30" w:rsidRPr="002410A5" w:rsidRDefault="002B6F30" w:rsidP="00EA4679">
            <w:pPr>
              <w:jc w:val="both"/>
              <w:rPr>
                <w:sz w:val="20"/>
                <w:szCs w:val="20"/>
              </w:rPr>
            </w:pPr>
            <w:r w:rsidRPr="002410A5">
              <w:rPr>
                <w:sz w:val="20"/>
                <w:szCs w:val="20"/>
              </w:rPr>
              <w:t>3</w:t>
            </w:r>
          </w:p>
        </w:tc>
        <w:tc>
          <w:tcPr>
            <w:tcW w:w="1531" w:type="dxa"/>
          </w:tcPr>
          <w:p w14:paraId="2E5F7B51" w14:textId="77777777" w:rsidR="002B6F30" w:rsidRPr="002410A5" w:rsidRDefault="002B6F30" w:rsidP="00EA4679">
            <w:pPr>
              <w:jc w:val="both"/>
              <w:rPr>
                <w:sz w:val="20"/>
                <w:szCs w:val="20"/>
              </w:rPr>
            </w:pPr>
            <w:r w:rsidRPr="002410A5">
              <w:rPr>
                <w:sz w:val="20"/>
                <w:szCs w:val="20"/>
              </w:rPr>
              <w:t>0.6</w:t>
            </w:r>
          </w:p>
        </w:tc>
      </w:tr>
      <w:tr w:rsidR="002B6F30" w:rsidRPr="002410A5" w14:paraId="5A33C9A7" w14:textId="77777777" w:rsidTr="00EA4679">
        <w:trPr>
          <w:trHeight w:val="200"/>
        </w:trPr>
        <w:tc>
          <w:tcPr>
            <w:tcW w:w="3608" w:type="dxa"/>
            <w:vMerge w:val="restart"/>
          </w:tcPr>
          <w:p w14:paraId="4FD6940B" w14:textId="77777777" w:rsidR="002B6F30" w:rsidRPr="002410A5" w:rsidRDefault="002B6F30" w:rsidP="00EA4679">
            <w:pPr>
              <w:jc w:val="both"/>
              <w:rPr>
                <w:sz w:val="20"/>
                <w:szCs w:val="20"/>
              </w:rPr>
            </w:pPr>
            <w:r w:rsidRPr="002410A5">
              <w:rPr>
                <w:sz w:val="20"/>
                <w:szCs w:val="20"/>
              </w:rPr>
              <w:t xml:space="preserve">Length of using online platforms to purchase fish </w:t>
            </w:r>
          </w:p>
        </w:tc>
        <w:tc>
          <w:tcPr>
            <w:tcW w:w="1773" w:type="dxa"/>
          </w:tcPr>
          <w:p w14:paraId="75FA59A3" w14:textId="77777777" w:rsidR="002B6F30" w:rsidRPr="002410A5" w:rsidRDefault="002B6F30" w:rsidP="00EA4679">
            <w:pPr>
              <w:jc w:val="both"/>
              <w:rPr>
                <w:sz w:val="20"/>
                <w:szCs w:val="20"/>
              </w:rPr>
            </w:pPr>
            <w:r w:rsidRPr="002410A5">
              <w:rPr>
                <w:sz w:val="20"/>
                <w:szCs w:val="20"/>
              </w:rPr>
              <w:t xml:space="preserve">&lt;3 month </w:t>
            </w:r>
          </w:p>
        </w:tc>
        <w:tc>
          <w:tcPr>
            <w:tcW w:w="1502" w:type="dxa"/>
          </w:tcPr>
          <w:p w14:paraId="204DB4C8" w14:textId="77777777" w:rsidR="002B6F30" w:rsidRPr="002410A5" w:rsidRDefault="002B6F30" w:rsidP="00EA4679">
            <w:pPr>
              <w:jc w:val="both"/>
              <w:rPr>
                <w:sz w:val="20"/>
                <w:szCs w:val="20"/>
              </w:rPr>
            </w:pPr>
            <w:r w:rsidRPr="002410A5">
              <w:rPr>
                <w:sz w:val="20"/>
                <w:szCs w:val="20"/>
              </w:rPr>
              <w:t>228</w:t>
            </w:r>
          </w:p>
        </w:tc>
        <w:tc>
          <w:tcPr>
            <w:tcW w:w="1531" w:type="dxa"/>
          </w:tcPr>
          <w:p w14:paraId="601D2C27" w14:textId="77777777" w:rsidR="002B6F30" w:rsidRPr="002410A5" w:rsidRDefault="002B6F30" w:rsidP="00EA4679">
            <w:pPr>
              <w:jc w:val="both"/>
              <w:rPr>
                <w:sz w:val="20"/>
                <w:szCs w:val="20"/>
              </w:rPr>
            </w:pPr>
            <w:r w:rsidRPr="002410A5">
              <w:rPr>
                <w:sz w:val="20"/>
                <w:szCs w:val="20"/>
              </w:rPr>
              <w:t>45.2</w:t>
            </w:r>
          </w:p>
        </w:tc>
      </w:tr>
      <w:tr w:rsidR="002B6F30" w:rsidRPr="002410A5" w14:paraId="75BFF554" w14:textId="77777777" w:rsidTr="00EA4679">
        <w:trPr>
          <w:trHeight w:val="200"/>
        </w:trPr>
        <w:tc>
          <w:tcPr>
            <w:tcW w:w="3608" w:type="dxa"/>
            <w:vMerge/>
          </w:tcPr>
          <w:p w14:paraId="0FCC04AE" w14:textId="77777777" w:rsidR="002B6F30" w:rsidRPr="002410A5" w:rsidRDefault="002B6F30" w:rsidP="00EA4679">
            <w:pPr>
              <w:jc w:val="both"/>
              <w:rPr>
                <w:sz w:val="20"/>
                <w:szCs w:val="20"/>
              </w:rPr>
            </w:pPr>
          </w:p>
        </w:tc>
        <w:tc>
          <w:tcPr>
            <w:tcW w:w="1773" w:type="dxa"/>
          </w:tcPr>
          <w:p w14:paraId="20DC481A" w14:textId="77777777" w:rsidR="002B6F30" w:rsidRPr="002410A5" w:rsidRDefault="002B6F30" w:rsidP="00EA4679">
            <w:pPr>
              <w:jc w:val="both"/>
              <w:rPr>
                <w:sz w:val="20"/>
                <w:szCs w:val="20"/>
              </w:rPr>
            </w:pPr>
            <w:r w:rsidRPr="002410A5">
              <w:rPr>
                <w:sz w:val="20"/>
                <w:szCs w:val="20"/>
              </w:rPr>
              <w:t xml:space="preserve"> 3 to less than 6 months </w:t>
            </w:r>
          </w:p>
        </w:tc>
        <w:tc>
          <w:tcPr>
            <w:tcW w:w="1502" w:type="dxa"/>
          </w:tcPr>
          <w:p w14:paraId="3DC6CC76" w14:textId="77777777" w:rsidR="002B6F30" w:rsidRPr="002410A5" w:rsidRDefault="002B6F30" w:rsidP="00EA4679">
            <w:pPr>
              <w:jc w:val="both"/>
              <w:rPr>
                <w:sz w:val="20"/>
                <w:szCs w:val="20"/>
              </w:rPr>
            </w:pPr>
            <w:r w:rsidRPr="002410A5">
              <w:rPr>
                <w:sz w:val="20"/>
                <w:szCs w:val="20"/>
              </w:rPr>
              <w:t>243</w:t>
            </w:r>
          </w:p>
        </w:tc>
        <w:tc>
          <w:tcPr>
            <w:tcW w:w="1531" w:type="dxa"/>
          </w:tcPr>
          <w:p w14:paraId="0E9E9B7E" w14:textId="77777777" w:rsidR="002B6F30" w:rsidRPr="002410A5" w:rsidRDefault="002B6F30" w:rsidP="00EA4679">
            <w:pPr>
              <w:jc w:val="both"/>
              <w:rPr>
                <w:sz w:val="20"/>
                <w:szCs w:val="20"/>
              </w:rPr>
            </w:pPr>
            <w:r w:rsidRPr="002410A5">
              <w:rPr>
                <w:sz w:val="20"/>
                <w:szCs w:val="20"/>
              </w:rPr>
              <w:t>48.2</w:t>
            </w:r>
          </w:p>
        </w:tc>
      </w:tr>
      <w:tr w:rsidR="002B6F30" w:rsidRPr="002410A5" w14:paraId="30CD7B54" w14:textId="77777777" w:rsidTr="00EA4679">
        <w:trPr>
          <w:trHeight w:val="200"/>
        </w:trPr>
        <w:tc>
          <w:tcPr>
            <w:tcW w:w="3608" w:type="dxa"/>
            <w:vMerge/>
          </w:tcPr>
          <w:p w14:paraId="60339F6F" w14:textId="77777777" w:rsidR="002B6F30" w:rsidRPr="002410A5" w:rsidRDefault="002B6F30" w:rsidP="00EA4679">
            <w:pPr>
              <w:jc w:val="both"/>
              <w:rPr>
                <w:sz w:val="20"/>
                <w:szCs w:val="20"/>
              </w:rPr>
            </w:pPr>
          </w:p>
        </w:tc>
        <w:tc>
          <w:tcPr>
            <w:tcW w:w="1773" w:type="dxa"/>
          </w:tcPr>
          <w:p w14:paraId="37785259" w14:textId="77777777" w:rsidR="002B6F30" w:rsidRPr="002410A5" w:rsidRDefault="002B6F30" w:rsidP="00EA4679">
            <w:pPr>
              <w:jc w:val="both"/>
              <w:rPr>
                <w:sz w:val="20"/>
                <w:szCs w:val="20"/>
              </w:rPr>
            </w:pPr>
            <w:r w:rsidRPr="002410A5">
              <w:rPr>
                <w:sz w:val="20"/>
                <w:szCs w:val="20"/>
              </w:rPr>
              <w:t xml:space="preserve">6 to less than 12 months </w:t>
            </w:r>
          </w:p>
        </w:tc>
        <w:tc>
          <w:tcPr>
            <w:tcW w:w="1502" w:type="dxa"/>
          </w:tcPr>
          <w:p w14:paraId="1DFBDED3" w14:textId="77777777" w:rsidR="002B6F30" w:rsidRPr="002410A5" w:rsidRDefault="002B6F30" w:rsidP="00EA4679">
            <w:pPr>
              <w:jc w:val="both"/>
              <w:rPr>
                <w:sz w:val="20"/>
                <w:szCs w:val="20"/>
              </w:rPr>
            </w:pPr>
            <w:r w:rsidRPr="002410A5">
              <w:rPr>
                <w:sz w:val="20"/>
                <w:szCs w:val="20"/>
              </w:rPr>
              <w:t>33</w:t>
            </w:r>
          </w:p>
        </w:tc>
        <w:tc>
          <w:tcPr>
            <w:tcW w:w="1531" w:type="dxa"/>
          </w:tcPr>
          <w:p w14:paraId="62A00ADC" w14:textId="77777777" w:rsidR="002B6F30" w:rsidRPr="002410A5" w:rsidRDefault="002B6F30" w:rsidP="00EA4679">
            <w:pPr>
              <w:jc w:val="both"/>
              <w:rPr>
                <w:sz w:val="20"/>
                <w:szCs w:val="20"/>
              </w:rPr>
            </w:pPr>
            <w:r w:rsidRPr="002410A5">
              <w:rPr>
                <w:sz w:val="20"/>
                <w:szCs w:val="20"/>
              </w:rPr>
              <w:t>6.5</w:t>
            </w:r>
          </w:p>
        </w:tc>
      </w:tr>
    </w:tbl>
    <w:p w14:paraId="56012473" w14:textId="77777777" w:rsidR="002B6F30" w:rsidRPr="004A556F" w:rsidRDefault="004A556F" w:rsidP="002B6F30">
      <w:pPr>
        <w:spacing w:before="240" w:line="480" w:lineRule="auto"/>
        <w:jc w:val="both"/>
        <w:rPr>
          <w:rFonts w:ascii="Arial" w:hAnsi="Arial" w:cs="Arial"/>
          <w:b/>
          <w:sz w:val="22"/>
          <w:szCs w:val="22"/>
        </w:rPr>
      </w:pPr>
      <w:r>
        <w:rPr>
          <w:rFonts w:ascii="Arial" w:hAnsi="Arial" w:cs="Arial"/>
          <w:b/>
          <w:sz w:val="22"/>
          <w:szCs w:val="22"/>
        </w:rPr>
        <w:t xml:space="preserve">3.2 </w:t>
      </w:r>
      <w:r w:rsidR="002B6F30" w:rsidRPr="004A556F">
        <w:rPr>
          <w:rFonts w:ascii="Arial" w:hAnsi="Arial" w:cs="Arial"/>
          <w:b/>
          <w:sz w:val="22"/>
          <w:szCs w:val="22"/>
        </w:rPr>
        <w:t xml:space="preserve">Reliability and Validity of Measurement Scales </w:t>
      </w:r>
    </w:p>
    <w:p w14:paraId="04E02EF1" w14:textId="77777777" w:rsidR="002B6F30" w:rsidRDefault="002B6F30" w:rsidP="006015EF">
      <w:pPr>
        <w:spacing w:before="240" w:line="276" w:lineRule="auto"/>
        <w:ind w:firstLine="720"/>
        <w:jc w:val="both"/>
      </w:pPr>
      <w:r w:rsidRPr="002410A5">
        <w:t xml:space="preserve">The convergent Validity was verified in the study through the conditions proposed by Fornell and Larker (1981). All CFA factor loadings are statistically significant </w:t>
      </w:r>
      <w:r>
        <w:t>(</w:t>
      </w:r>
      <w:r w:rsidRPr="002410A5">
        <w:t>p</w:t>
      </w:r>
      <w:r>
        <w:t>=</w:t>
      </w:r>
      <w:r w:rsidRPr="002410A5">
        <w:t>.05</w:t>
      </w:r>
      <w:r>
        <w:t>)</w:t>
      </w:r>
      <w:r w:rsidRPr="002410A5">
        <w:t>. The average variance extracted (AVE) for the construct is above the value of 0.50. All the indicators of each construct have critical values more than 1.96. Consequently, it is determined that each construct has convergent validity (Byrne,2016). The research instruments meet the general dependability criteria since the CA (Cronbach’s Alpha) values are more than 0.70 (Table2).</w:t>
      </w:r>
    </w:p>
    <w:p w14:paraId="27757AE4" w14:textId="77777777" w:rsidR="004A556F" w:rsidRPr="002410A5" w:rsidRDefault="004A556F" w:rsidP="004A556F">
      <w:pPr>
        <w:spacing w:before="240" w:line="276" w:lineRule="auto"/>
        <w:jc w:val="both"/>
        <w:rPr>
          <w:b/>
        </w:rPr>
      </w:pPr>
      <w:r>
        <w:rPr>
          <w:b/>
        </w:rPr>
        <w:t xml:space="preserve">3.2.1 </w:t>
      </w:r>
      <w:r w:rsidRPr="002410A5">
        <w:rPr>
          <w:b/>
        </w:rPr>
        <w:t>Model fitness of Structural Equation Model (SEM)</w:t>
      </w:r>
    </w:p>
    <w:p w14:paraId="60F83E2A" w14:textId="77777777" w:rsidR="004A556F" w:rsidRPr="006015EF" w:rsidRDefault="004A556F" w:rsidP="004A556F">
      <w:pPr>
        <w:spacing w:before="240" w:line="276" w:lineRule="auto"/>
        <w:jc w:val="both"/>
      </w:pPr>
      <w:r w:rsidRPr="002410A5">
        <w:t xml:space="preserve">The model fitness ad interrelationship among the constructs are assessed by maximum likelihood estimation in SEM using AMOS (Table 4) and overall model fitness is shown on the Table 3 which reflects a good model fit. </w:t>
      </w:r>
    </w:p>
    <w:p w14:paraId="2E75BA15" w14:textId="77777777" w:rsidR="002B6F30" w:rsidRPr="006015EF" w:rsidRDefault="002B6F30" w:rsidP="002B6F30">
      <w:pPr>
        <w:jc w:val="center"/>
        <w:rPr>
          <w:rFonts w:ascii="Arial" w:hAnsi="Arial" w:cs="Arial"/>
          <w:b/>
          <w:lang w:val="en-IN"/>
        </w:rPr>
      </w:pPr>
      <w:r w:rsidRPr="006015EF">
        <w:rPr>
          <w:rFonts w:ascii="Arial" w:hAnsi="Arial" w:cs="Arial"/>
          <w:b/>
          <w:lang w:val="en-IN"/>
        </w:rPr>
        <w:t xml:space="preserve">Table 2. </w:t>
      </w:r>
      <w:r w:rsidRPr="006015EF">
        <w:rPr>
          <w:rFonts w:ascii="Arial" w:hAnsi="Arial" w:cs="Arial"/>
          <w:b/>
          <w:bCs/>
          <w:lang w:val="en-IN"/>
        </w:rPr>
        <w:t>Measurement Model (Loadings, Cronbach’s Alpha, Composite Reliability and Average Variance Explained)</w:t>
      </w:r>
    </w:p>
    <w:tbl>
      <w:tblPr>
        <w:tblW w:w="9564" w:type="dxa"/>
        <w:tblLook w:val="04A0" w:firstRow="1" w:lastRow="0" w:firstColumn="1" w:lastColumn="0" w:noHBand="0" w:noVBand="1"/>
      </w:tblPr>
      <w:tblGrid>
        <w:gridCol w:w="2469"/>
        <w:gridCol w:w="1209"/>
        <w:gridCol w:w="1461"/>
        <w:gridCol w:w="1650"/>
        <w:gridCol w:w="1566"/>
        <w:gridCol w:w="1209"/>
      </w:tblGrid>
      <w:tr w:rsidR="002B6F30" w:rsidRPr="006015EF" w14:paraId="4C006931" w14:textId="77777777" w:rsidTr="004A556F">
        <w:trPr>
          <w:trHeight w:val="544"/>
        </w:trPr>
        <w:tc>
          <w:tcPr>
            <w:tcW w:w="2469" w:type="dxa"/>
            <w:tcBorders>
              <w:top w:val="single" w:sz="4" w:space="0" w:color="auto"/>
              <w:left w:val="single" w:sz="4" w:space="0" w:color="auto"/>
              <w:bottom w:val="single" w:sz="4" w:space="0" w:color="auto"/>
              <w:right w:val="single" w:sz="4" w:space="0" w:color="auto"/>
            </w:tcBorders>
            <w:noWrap/>
            <w:hideMark/>
          </w:tcPr>
          <w:p w14:paraId="757095E3" w14:textId="77777777" w:rsidR="002B6F30" w:rsidRPr="006015EF" w:rsidRDefault="002B6F30" w:rsidP="00EA4679">
            <w:pPr>
              <w:jc w:val="center"/>
              <w:rPr>
                <w:rFonts w:ascii="Arial" w:hAnsi="Arial" w:cs="Arial"/>
                <w:b/>
                <w:bCs/>
              </w:rPr>
            </w:pPr>
            <w:r w:rsidRPr="006015EF">
              <w:rPr>
                <w:rFonts w:ascii="Arial" w:hAnsi="Arial" w:cs="Arial"/>
                <w:b/>
                <w:bCs/>
              </w:rPr>
              <w:t>Construct</w:t>
            </w:r>
          </w:p>
          <w:p w14:paraId="7B3312A2" w14:textId="77777777" w:rsidR="002B6F30" w:rsidRPr="006015EF" w:rsidRDefault="002B6F30" w:rsidP="00EA4679">
            <w:pPr>
              <w:rPr>
                <w:rFonts w:ascii="Arial" w:hAnsi="Arial" w:cs="Arial"/>
              </w:rPr>
            </w:pPr>
          </w:p>
        </w:tc>
        <w:tc>
          <w:tcPr>
            <w:tcW w:w="1209" w:type="dxa"/>
            <w:tcBorders>
              <w:top w:val="single" w:sz="4" w:space="0" w:color="auto"/>
              <w:left w:val="nil"/>
              <w:bottom w:val="single" w:sz="4" w:space="0" w:color="auto"/>
              <w:right w:val="single" w:sz="4" w:space="0" w:color="auto"/>
            </w:tcBorders>
            <w:noWrap/>
            <w:hideMark/>
          </w:tcPr>
          <w:p w14:paraId="715EC3B7" w14:textId="77777777" w:rsidR="002B6F30" w:rsidRPr="006015EF" w:rsidRDefault="002B6F30" w:rsidP="00EA4679">
            <w:pPr>
              <w:jc w:val="center"/>
              <w:rPr>
                <w:rFonts w:ascii="Arial" w:hAnsi="Arial" w:cs="Arial"/>
                <w:b/>
                <w:bCs/>
              </w:rPr>
            </w:pPr>
            <w:r w:rsidRPr="006015EF">
              <w:rPr>
                <w:rFonts w:ascii="Arial" w:hAnsi="Arial" w:cs="Arial"/>
                <w:b/>
                <w:bCs/>
              </w:rPr>
              <w:t>Item</w:t>
            </w:r>
          </w:p>
        </w:tc>
        <w:tc>
          <w:tcPr>
            <w:tcW w:w="1461" w:type="dxa"/>
            <w:tcBorders>
              <w:top w:val="single" w:sz="4" w:space="0" w:color="auto"/>
              <w:left w:val="nil"/>
              <w:bottom w:val="single" w:sz="4" w:space="0" w:color="auto"/>
              <w:right w:val="single" w:sz="4" w:space="0" w:color="auto"/>
            </w:tcBorders>
            <w:noWrap/>
            <w:hideMark/>
          </w:tcPr>
          <w:p w14:paraId="5B872EDA" w14:textId="77777777" w:rsidR="002B6F30" w:rsidRPr="006015EF" w:rsidRDefault="002B6F30" w:rsidP="00EA4679">
            <w:pPr>
              <w:jc w:val="center"/>
              <w:rPr>
                <w:rFonts w:ascii="Arial" w:hAnsi="Arial" w:cs="Arial"/>
                <w:b/>
                <w:bCs/>
              </w:rPr>
            </w:pPr>
            <w:r w:rsidRPr="006015EF">
              <w:rPr>
                <w:rFonts w:ascii="Arial" w:hAnsi="Arial" w:cs="Arial"/>
                <w:b/>
                <w:bCs/>
              </w:rPr>
              <w:t>Loading (λ)</w:t>
            </w:r>
          </w:p>
        </w:tc>
        <w:tc>
          <w:tcPr>
            <w:tcW w:w="1650" w:type="dxa"/>
            <w:tcBorders>
              <w:top w:val="single" w:sz="4" w:space="0" w:color="auto"/>
              <w:left w:val="nil"/>
              <w:bottom w:val="single" w:sz="4" w:space="0" w:color="auto"/>
              <w:right w:val="single" w:sz="4" w:space="0" w:color="auto"/>
            </w:tcBorders>
            <w:hideMark/>
          </w:tcPr>
          <w:p w14:paraId="6C1D4645" w14:textId="77777777" w:rsidR="002B6F30" w:rsidRPr="006015EF" w:rsidRDefault="002B6F30" w:rsidP="00EA4679">
            <w:pPr>
              <w:jc w:val="center"/>
              <w:rPr>
                <w:rFonts w:ascii="Arial" w:hAnsi="Arial" w:cs="Arial"/>
                <w:b/>
                <w:bCs/>
              </w:rPr>
            </w:pPr>
            <w:r w:rsidRPr="006015EF">
              <w:rPr>
                <w:rFonts w:ascii="Arial" w:hAnsi="Arial" w:cs="Arial"/>
                <w:b/>
                <w:bCs/>
              </w:rPr>
              <w:t>Composite Reliability (CR)</w:t>
            </w:r>
          </w:p>
        </w:tc>
        <w:tc>
          <w:tcPr>
            <w:tcW w:w="1566" w:type="dxa"/>
            <w:tcBorders>
              <w:top w:val="single" w:sz="4" w:space="0" w:color="auto"/>
              <w:left w:val="nil"/>
              <w:bottom w:val="single" w:sz="4" w:space="0" w:color="auto"/>
              <w:right w:val="single" w:sz="4" w:space="0" w:color="auto"/>
            </w:tcBorders>
            <w:hideMark/>
          </w:tcPr>
          <w:p w14:paraId="3A1DC68B" w14:textId="77777777" w:rsidR="002B6F30" w:rsidRPr="006015EF" w:rsidRDefault="002B6F30" w:rsidP="00EA4679">
            <w:pPr>
              <w:jc w:val="center"/>
              <w:rPr>
                <w:rFonts w:ascii="Arial" w:hAnsi="Arial" w:cs="Arial"/>
                <w:b/>
                <w:bCs/>
              </w:rPr>
            </w:pPr>
            <w:r w:rsidRPr="006015EF">
              <w:rPr>
                <w:rFonts w:ascii="Arial" w:hAnsi="Arial" w:cs="Arial"/>
                <w:b/>
                <w:bCs/>
              </w:rPr>
              <w:t>Cronbach Alpha</w:t>
            </w:r>
          </w:p>
        </w:tc>
        <w:tc>
          <w:tcPr>
            <w:tcW w:w="1209" w:type="dxa"/>
            <w:tcBorders>
              <w:top w:val="single" w:sz="4" w:space="0" w:color="auto"/>
              <w:left w:val="nil"/>
              <w:bottom w:val="single" w:sz="4" w:space="0" w:color="auto"/>
              <w:right w:val="single" w:sz="4" w:space="0" w:color="auto"/>
            </w:tcBorders>
            <w:noWrap/>
            <w:hideMark/>
          </w:tcPr>
          <w:p w14:paraId="2356978B" w14:textId="77777777" w:rsidR="002B6F30" w:rsidRPr="006015EF" w:rsidRDefault="002B6F30" w:rsidP="00EA4679">
            <w:pPr>
              <w:jc w:val="center"/>
              <w:rPr>
                <w:rFonts w:ascii="Arial" w:hAnsi="Arial" w:cs="Arial"/>
                <w:b/>
                <w:bCs/>
              </w:rPr>
            </w:pPr>
            <w:r w:rsidRPr="006015EF">
              <w:rPr>
                <w:rFonts w:ascii="Arial" w:hAnsi="Arial" w:cs="Arial"/>
                <w:b/>
                <w:bCs/>
              </w:rPr>
              <w:t>AVE</w:t>
            </w:r>
          </w:p>
        </w:tc>
      </w:tr>
      <w:tr w:rsidR="002B6F30" w:rsidRPr="006015EF" w14:paraId="44A50761"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46D05165" w14:textId="77777777" w:rsidR="002B6F30" w:rsidRPr="006015EF" w:rsidRDefault="002B6F30" w:rsidP="00EA4679">
            <w:pPr>
              <w:rPr>
                <w:rFonts w:ascii="Arial" w:hAnsi="Arial" w:cs="Arial"/>
                <w:color w:val="000000"/>
              </w:rPr>
            </w:pPr>
            <w:r w:rsidRPr="006015EF">
              <w:rPr>
                <w:rFonts w:ascii="Arial" w:hAnsi="Arial" w:cs="Arial"/>
                <w:color w:val="000000"/>
              </w:rPr>
              <w:t>Fulfilment</w:t>
            </w:r>
          </w:p>
        </w:tc>
        <w:tc>
          <w:tcPr>
            <w:tcW w:w="1209" w:type="dxa"/>
            <w:tcBorders>
              <w:top w:val="nil"/>
              <w:left w:val="nil"/>
              <w:bottom w:val="single" w:sz="4" w:space="0" w:color="auto"/>
              <w:right w:val="single" w:sz="4" w:space="0" w:color="auto"/>
            </w:tcBorders>
            <w:noWrap/>
            <w:vAlign w:val="bottom"/>
            <w:hideMark/>
          </w:tcPr>
          <w:p w14:paraId="40CF6C4E" w14:textId="77777777" w:rsidR="002B6F30" w:rsidRPr="006015EF" w:rsidRDefault="002B6F30" w:rsidP="00EA4679">
            <w:pPr>
              <w:rPr>
                <w:rFonts w:ascii="Arial" w:hAnsi="Arial" w:cs="Arial"/>
                <w:color w:val="000000"/>
              </w:rPr>
            </w:pPr>
            <w:r w:rsidRPr="006015EF">
              <w:rPr>
                <w:rFonts w:ascii="Arial" w:hAnsi="Arial" w:cs="Arial"/>
                <w:color w:val="000000"/>
              </w:rPr>
              <w:t>FUL1</w:t>
            </w:r>
          </w:p>
        </w:tc>
        <w:tc>
          <w:tcPr>
            <w:tcW w:w="1461" w:type="dxa"/>
            <w:tcBorders>
              <w:top w:val="nil"/>
              <w:left w:val="nil"/>
              <w:bottom w:val="single" w:sz="4" w:space="0" w:color="auto"/>
              <w:right w:val="single" w:sz="4" w:space="0" w:color="auto"/>
            </w:tcBorders>
            <w:noWrap/>
            <w:vAlign w:val="bottom"/>
            <w:hideMark/>
          </w:tcPr>
          <w:p w14:paraId="707AB34A" w14:textId="77777777" w:rsidR="002B6F30" w:rsidRPr="006015EF" w:rsidRDefault="002B6F30" w:rsidP="00EA4679">
            <w:pPr>
              <w:jc w:val="right"/>
              <w:rPr>
                <w:rFonts w:ascii="Arial" w:hAnsi="Arial" w:cs="Arial"/>
                <w:color w:val="000000"/>
              </w:rPr>
            </w:pPr>
            <w:r w:rsidRPr="006015EF">
              <w:rPr>
                <w:rFonts w:ascii="Arial" w:hAnsi="Arial" w:cs="Arial"/>
                <w:color w:val="000000"/>
              </w:rPr>
              <w:t>0.802</w:t>
            </w:r>
          </w:p>
        </w:tc>
        <w:tc>
          <w:tcPr>
            <w:tcW w:w="1650" w:type="dxa"/>
            <w:vMerge w:val="restart"/>
            <w:tcBorders>
              <w:top w:val="nil"/>
              <w:left w:val="single" w:sz="4" w:space="0" w:color="auto"/>
              <w:bottom w:val="single" w:sz="4" w:space="0" w:color="auto"/>
              <w:right w:val="single" w:sz="4" w:space="0" w:color="auto"/>
            </w:tcBorders>
            <w:noWrap/>
            <w:vAlign w:val="bottom"/>
            <w:hideMark/>
          </w:tcPr>
          <w:p w14:paraId="2E3D1E9C" w14:textId="77777777" w:rsidR="002B6F30" w:rsidRPr="006015EF" w:rsidRDefault="002B6F30" w:rsidP="00EA4679">
            <w:pPr>
              <w:jc w:val="center"/>
              <w:rPr>
                <w:rFonts w:ascii="Arial" w:hAnsi="Arial" w:cs="Arial"/>
                <w:color w:val="000000"/>
              </w:rPr>
            </w:pPr>
            <w:r w:rsidRPr="006015EF">
              <w:rPr>
                <w:rFonts w:ascii="Arial" w:hAnsi="Arial" w:cs="Arial"/>
                <w:color w:val="000000"/>
              </w:rPr>
              <w:t>0.875</w:t>
            </w:r>
          </w:p>
        </w:tc>
        <w:tc>
          <w:tcPr>
            <w:tcW w:w="1566" w:type="dxa"/>
            <w:vMerge w:val="restart"/>
            <w:tcBorders>
              <w:top w:val="nil"/>
              <w:left w:val="single" w:sz="4" w:space="0" w:color="auto"/>
              <w:bottom w:val="single" w:sz="4" w:space="0" w:color="auto"/>
              <w:right w:val="single" w:sz="4" w:space="0" w:color="auto"/>
            </w:tcBorders>
            <w:noWrap/>
            <w:vAlign w:val="bottom"/>
            <w:hideMark/>
          </w:tcPr>
          <w:p w14:paraId="79CC22E8" w14:textId="77777777" w:rsidR="002B6F30" w:rsidRPr="006015EF" w:rsidRDefault="002B6F30" w:rsidP="00EA4679">
            <w:pPr>
              <w:jc w:val="center"/>
              <w:rPr>
                <w:rFonts w:ascii="Arial" w:hAnsi="Arial" w:cs="Arial"/>
                <w:color w:val="000000"/>
              </w:rPr>
            </w:pPr>
            <w:r w:rsidRPr="006015EF">
              <w:rPr>
                <w:rFonts w:ascii="Arial" w:hAnsi="Arial" w:cs="Arial"/>
                <w:color w:val="000000"/>
              </w:rPr>
              <w:t>0.84</w:t>
            </w:r>
          </w:p>
        </w:tc>
        <w:tc>
          <w:tcPr>
            <w:tcW w:w="1209" w:type="dxa"/>
            <w:vMerge w:val="restart"/>
            <w:tcBorders>
              <w:top w:val="nil"/>
              <w:left w:val="single" w:sz="4" w:space="0" w:color="auto"/>
              <w:bottom w:val="single" w:sz="4" w:space="0" w:color="auto"/>
              <w:right w:val="single" w:sz="4" w:space="0" w:color="auto"/>
            </w:tcBorders>
            <w:noWrap/>
            <w:vAlign w:val="bottom"/>
            <w:hideMark/>
          </w:tcPr>
          <w:p w14:paraId="27640F20" w14:textId="77777777" w:rsidR="002B6F30" w:rsidRPr="006015EF" w:rsidRDefault="002B6F30" w:rsidP="00EA4679">
            <w:pPr>
              <w:jc w:val="center"/>
              <w:rPr>
                <w:rFonts w:ascii="Arial" w:hAnsi="Arial" w:cs="Arial"/>
                <w:color w:val="000000"/>
              </w:rPr>
            </w:pPr>
            <w:r w:rsidRPr="006015EF">
              <w:rPr>
                <w:rFonts w:ascii="Arial" w:hAnsi="Arial" w:cs="Arial"/>
                <w:color w:val="000000"/>
              </w:rPr>
              <w:t>0.7</w:t>
            </w:r>
          </w:p>
        </w:tc>
      </w:tr>
      <w:tr w:rsidR="002B6F30" w:rsidRPr="006015EF" w14:paraId="4CD84F97"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0A18FC64" w14:textId="77777777" w:rsidR="002B6F30" w:rsidRPr="006015EF" w:rsidRDefault="002B6F30" w:rsidP="00EA4679">
            <w:pPr>
              <w:rPr>
                <w:rFonts w:ascii="Arial" w:hAnsi="Arial" w:cs="Arial"/>
                <w:color w:val="000000"/>
              </w:rPr>
            </w:pPr>
            <w:r w:rsidRPr="006015EF">
              <w:rPr>
                <w:rFonts w:ascii="Arial" w:hAnsi="Arial" w:cs="Arial"/>
                <w:color w:val="000000"/>
              </w:rPr>
              <w:t>Fulfilment</w:t>
            </w:r>
          </w:p>
        </w:tc>
        <w:tc>
          <w:tcPr>
            <w:tcW w:w="1209" w:type="dxa"/>
            <w:tcBorders>
              <w:top w:val="nil"/>
              <w:left w:val="nil"/>
              <w:bottom w:val="single" w:sz="4" w:space="0" w:color="auto"/>
              <w:right w:val="single" w:sz="4" w:space="0" w:color="auto"/>
            </w:tcBorders>
            <w:noWrap/>
            <w:vAlign w:val="bottom"/>
            <w:hideMark/>
          </w:tcPr>
          <w:p w14:paraId="7B974E3C" w14:textId="77777777" w:rsidR="002B6F30" w:rsidRPr="006015EF" w:rsidRDefault="002B6F30" w:rsidP="00EA4679">
            <w:pPr>
              <w:rPr>
                <w:rFonts w:ascii="Arial" w:hAnsi="Arial" w:cs="Arial"/>
                <w:color w:val="000000"/>
              </w:rPr>
            </w:pPr>
            <w:r w:rsidRPr="006015EF">
              <w:rPr>
                <w:rFonts w:ascii="Arial" w:hAnsi="Arial" w:cs="Arial"/>
                <w:color w:val="000000"/>
              </w:rPr>
              <w:t>FUL2</w:t>
            </w:r>
          </w:p>
        </w:tc>
        <w:tc>
          <w:tcPr>
            <w:tcW w:w="1461" w:type="dxa"/>
            <w:tcBorders>
              <w:top w:val="nil"/>
              <w:left w:val="nil"/>
              <w:bottom w:val="single" w:sz="4" w:space="0" w:color="auto"/>
              <w:right w:val="single" w:sz="4" w:space="0" w:color="auto"/>
            </w:tcBorders>
            <w:noWrap/>
            <w:vAlign w:val="bottom"/>
            <w:hideMark/>
          </w:tcPr>
          <w:p w14:paraId="76A13FB1" w14:textId="77777777" w:rsidR="002B6F30" w:rsidRPr="006015EF" w:rsidRDefault="002B6F30" w:rsidP="00EA4679">
            <w:pPr>
              <w:jc w:val="right"/>
              <w:rPr>
                <w:rFonts w:ascii="Arial" w:hAnsi="Arial" w:cs="Arial"/>
                <w:color w:val="000000"/>
              </w:rPr>
            </w:pPr>
            <w:r w:rsidRPr="006015EF">
              <w:rPr>
                <w:rFonts w:ascii="Arial" w:hAnsi="Arial" w:cs="Arial"/>
                <w:color w:val="000000"/>
              </w:rPr>
              <w:t>0.855</w:t>
            </w:r>
          </w:p>
        </w:tc>
        <w:tc>
          <w:tcPr>
            <w:tcW w:w="1650" w:type="dxa"/>
            <w:vMerge/>
            <w:tcBorders>
              <w:top w:val="nil"/>
              <w:left w:val="single" w:sz="4" w:space="0" w:color="auto"/>
              <w:bottom w:val="single" w:sz="4" w:space="0" w:color="auto"/>
              <w:right w:val="single" w:sz="4" w:space="0" w:color="auto"/>
            </w:tcBorders>
            <w:vAlign w:val="center"/>
            <w:hideMark/>
          </w:tcPr>
          <w:p w14:paraId="231558B9"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04F96895"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6F2DD885" w14:textId="77777777" w:rsidR="002B6F30" w:rsidRPr="006015EF" w:rsidRDefault="002B6F30" w:rsidP="00EA4679">
            <w:pPr>
              <w:rPr>
                <w:rFonts w:ascii="Arial" w:hAnsi="Arial" w:cs="Arial"/>
                <w:color w:val="000000"/>
              </w:rPr>
            </w:pPr>
          </w:p>
        </w:tc>
      </w:tr>
      <w:tr w:rsidR="002B6F30" w:rsidRPr="006015EF" w14:paraId="412BAF00"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217235A4" w14:textId="77777777" w:rsidR="002B6F30" w:rsidRPr="006015EF" w:rsidRDefault="002B6F30" w:rsidP="00EA4679">
            <w:pPr>
              <w:rPr>
                <w:rFonts w:ascii="Arial" w:hAnsi="Arial" w:cs="Arial"/>
                <w:color w:val="000000"/>
              </w:rPr>
            </w:pPr>
            <w:r w:rsidRPr="006015EF">
              <w:rPr>
                <w:rFonts w:ascii="Arial" w:hAnsi="Arial" w:cs="Arial"/>
                <w:color w:val="000000"/>
              </w:rPr>
              <w:lastRenderedPageBreak/>
              <w:t>Fulfilment</w:t>
            </w:r>
          </w:p>
        </w:tc>
        <w:tc>
          <w:tcPr>
            <w:tcW w:w="1209" w:type="dxa"/>
            <w:tcBorders>
              <w:top w:val="nil"/>
              <w:left w:val="nil"/>
              <w:bottom w:val="single" w:sz="4" w:space="0" w:color="auto"/>
              <w:right w:val="single" w:sz="4" w:space="0" w:color="auto"/>
            </w:tcBorders>
            <w:noWrap/>
            <w:vAlign w:val="bottom"/>
            <w:hideMark/>
          </w:tcPr>
          <w:p w14:paraId="358089A1" w14:textId="77777777" w:rsidR="002B6F30" w:rsidRPr="006015EF" w:rsidRDefault="002B6F30" w:rsidP="00EA4679">
            <w:pPr>
              <w:rPr>
                <w:rFonts w:ascii="Arial" w:hAnsi="Arial" w:cs="Arial"/>
                <w:color w:val="000000"/>
              </w:rPr>
            </w:pPr>
            <w:r w:rsidRPr="006015EF">
              <w:rPr>
                <w:rFonts w:ascii="Arial" w:hAnsi="Arial" w:cs="Arial"/>
                <w:color w:val="000000"/>
              </w:rPr>
              <w:t>FUL3</w:t>
            </w:r>
          </w:p>
        </w:tc>
        <w:tc>
          <w:tcPr>
            <w:tcW w:w="1461" w:type="dxa"/>
            <w:tcBorders>
              <w:top w:val="nil"/>
              <w:left w:val="nil"/>
              <w:bottom w:val="single" w:sz="4" w:space="0" w:color="auto"/>
              <w:right w:val="single" w:sz="4" w:space="0" w:color="auto"/>
            </w:tcBorders>
            <w:noWrap/>
            <w:vAlign w:val="bottom"/>
            <w:hideMark/>
          </w:tcPr>
          <w:p w14:paraId="1F2CB00B" w14:textId="77777777" w:rsidR="002B6F30" w:rsidRPr="006015EF" w:rsidRDefault="002B6F30" w:rsidP="00EA4679">
            <w:pPr>
              <w:jc w:val="right"/>
              <w:rPr>
                <w:rFonts w:ascii="Arial" w:hAnsi="Arial" w:cs="Arial"/>
                <w:color w:val="000000"/>
              </w:rPr>
            </w:pPr>
            <w:r w:rsidRPr="006015EF">
              <w:rPr>
                <w:rFonts w:ascii="Arial" w:hAnsi="Arial" w:cs="Arial"/>
                <w:color w:val="000000"/>
              </w:rPr>
              <w:t>0.852</w:t>
            </w:r>
          </w:p>
        </w:tc>
        <w:tc>
          <w:tcPr>
            <w:tcW w:w="1650" w:type="dxa"/>
            <w:vMerge/>
            <w:tcBorders>
              <w:top w:val="nil"/>
              <w:left w:val="single" w:sz="4" w:space="0" w:color="auto"/>
              <w:bottom w:val="single" w:sz="4" w:space="0" w:color="auto"/>
              <w:right w:val="single" w:sz="4" w:space="0" w:color="auto"/>
            </w:tcBorders>
            <w:vAlign w:val="center"/>
            <w:hideMark/>
          </w:tcPr>
          <w:p w14:paraId="106A6593"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5CC76821"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68F2AEE0" w14:textId="77777777" w:rsidR="002B6F30" w:rsidRPr="006015EF" w:rsidRDefault="002B6F30" w:rsidP="00EA4679">
            <w:pPr>
              <w:rPr>
                <w:rFonts w:ascii="Arial" w:hAnsi="Arial" w:cs="Arial"/>
                <w:color w:val="000000"/>
              </w:rPr>
            </w:pPr>
          </w:p>
        </w:tc>
      </w:tr>
      <w:tr w:rsidR="002B6F30" w:rsidRPr="006015EF" w14:paraId="0708A9C6"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43E574DB"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209" w:type="dxa"/>
            <w:tcBorders>
              <w:top w:val="nil"/>
              <w:left w:val="nil"/>
              <w:bottom w:val="single" w:sz="4" w:space="0" w:color="auto"/>
              <w:right w:val="single" w:sz="4" w:space="0" w:color="auto"/>
            </w:tcBorders>
            <w:noWrap/>
            <w:vAlign w:val="bottom"/>
            <w:hideMark/>
          </w:tcPr>
          <w:p w14:paraId="54C0D7F0" w14:textId="77777777" w:rsidR="002B6F30" w:rsidRPr="006015EF" w:rsidRDefault="002B6F30" w:rsidP="00EA4679">
            <w:pPr>
              <w:rPr>
                <w:rFonts w:ascii="Arial" w:hAnsi="Arial" w:cs="Arial"/>
                <w:color w:val="000000"/>
              </w:rPr>
            </w:pPr>
            <w:r w:rsidRPr="006015EF">
              <w:rPr>
                <w:rFonts w:ascii="Arial" w:hAnsi="Arial" w:cs="Arial"/>
                <w:color w:val="000000"/>
              </w:rPr>
              <w:t>EFF1</w:t>
            </w:r>
          </w:p>
        </w:tc>
        <w:tc>
          <w:tcPr>
            <w:tcW w:w="1461" w:type="dxa"/>
            <w:tcBorders>
              <w:top w:val="nil"/>
              <w:left w:val="nil"/>
              <w:bottom w:val="single" w:sz="4" w:space="0" w:color="auto"/>
              <w:right w:val="single" w:sz="4" w:space="0" w:color="auto"/>
            </w:tcBorders>
            <w:noWrap/>
            <w:vAlign w:val="bottom"/>
            <w:hideMark/>
          </w:tcPr>
          <w:p w14:paraId="0528FEFD" w14:textId="77777777" w:rsidR="002B6F30" w:rsidRPr="006015EF" w:rsidRDefault="002B6F30" w:rsidP="00EA4679">
            <w:pPr>
              <w:jc w:val="right"/>
              <w:rPr>
                <w:rFonts w:ascii="Arial" w:hAnsi="Arial" w:cs="Arial"/>
                <w:color w:val="000000"/>
              </w:rPr>
            </w:pPr>
            <w:r w:rsidRPr="006015EF">
              <w:rPr>
                <w:rFonts w:ascii="Arial" w:hAnsi="Arial" w:cs="Arial"/>
                <w:color w:val="000000"/>
              </w:rPr>
              <w:t>0.712</w:t>
            </w:r>
          </w:p>
        </w:tc>
        <w:tc>
          <w:tcPr>
            <w:tcW w:w="1650" w:type="dxa"/>
            <w:vMerge w:val="restart"/>
            <w:tcBorders>
              <w:top w:val="nil"/>
              <w:left w:val="single" w:sz="4" w:space="0" w:color="auto"/>
              <w:bottom w:val="single" w:sz="4" w:space="0" w:color="auto"/>
              <w:right w:val="single" w:sz="4" w:space="0" w:color="auto"/>
            </w:tcBorders>
            <w:noWrap/>
            <w:vAlign w:val="bottom"/>
            <w:hideMark/>
          </w:tcPr>
          <w:p w14:paraId="10CAD980" w14:textId="77777777" w:rsidR="002B6F30" w:rsidRPr="006015EF" w:rsidRDefault="002B6F30" w:rsidP="00EA4679">
            <w:pPr>
              <w:jc w:val="center"/>
              <w:rPr>
                <w:rFonts w:ascii="Arial" w:hAnsi="Arial" w:cs="Arial"/>
                <w:color w:val="000000"/>
              </w:rPr>
            </w:pPr>
            <w:r w:rsidRPr="006015EF">
              <w:rPr>
                <w:rFonts w:ascii="Arial" w:hAnsi="Arial" w:cs="Arial"/>
                <w:color w:val="000000"/>
              </w:rPr>
              <w:t>0.889</w:t>
            </w:r>
          </w:p>
        </w:tc>
        <w:tc>
          <w:tcPr>
            <w:tcW w:w="1566" w:type="dxa"/>
            <w:vMerge w:val="restart"/>
            <w:tcBorders>
              <w:top w:val="nil"/>
              <w:left w:val="single" w:sz="4" w:space="0" w:color="auto"/>
              <w:bottom w:val="single" w:sz="4" w:space="0" w:color="auto"/>
              <w:right w:val="single" w:sz="4" w:space="0" w:color="auto"/>
            </w:tcBorders>
            <w:noWrap/>
            <w:vAlign w:val="bottom"/>
            <w:hideMark/>
          </w:tcPr>
          <w:p w14:paraId="5106AFB5" w14:textId="77777777" w:rsidR="002B6F30" w:rsidRPr="006015EF" w:rsidRDefault="002B6F30" w:rsidP="00EA4679">
            <w:pPr>
              <w:jc w:val="center"/>
              <w:rPr>
                <w:rFonts w:ascii="Arial" w:hAnsi="Arial" w:cs="Arial"/>
                <w:color w:val="000000"/>
              </w:rPr>
            </w:pPr>
            <w:r w:rsidRPr="006015EF">
              <w:rPr>
                <w:rFonts w:ascii="Arial" w:hAnsi="Arial" w:cs="Arial"/>
                <w:color w:val="000000"/>
              </w:rPr>
              <w:t>0.87</w:t>
            </w:r>
          </w:p>
        </w:tc>
        <w:tc>
          <w:tcPr>
            <w:tcW w:w="1209" w:type="dxa"/>
            <w:vMerge w:val="restart"/>
            <w:tcBorders>
              <w:top w:val="nil"/>
              <w:left w:val="single" w:sz="4" w:space="0" w:color="auto"/>
              <w:bottom w:val="single" w:sz="4" w:space="0" w:color="auto"/>
              <w:right w:val="single" w:sz="4" w:space="0" w:color="auto"/>
            </w:tcBorders>
            <w:noWrap/>
            <w:vAlign w:val="bottom"/>
            <w:hideMark/>
          </w:tcPr>
          <w:p w14:paraId="088F930A" w14:textId="77777777" w:rsidR="002B6F30" w:rsidRPr="006015EF" w:rsidRDefault="002B6F30" w:rsidP="00EA4679">
            <w:pPr>
              <w:jc w:val="center"/>
              <w:rPr>
                <w:rFonts w:ascii="Arial" w:hAnsi="Arial" w:cs="Arial"/>
                <w:color w:val="000000"/>
              </w:rPr>
            </w:pPr>
            <w:r w:rsidRPr="006015EF">
              <w:rPr>
                <w:rFonts w:ascii="Arial" w:hAnsi="Arial" w:cs="Arial"/>
                <w:color w:val="000000"/>
              </w:rPr>
              <w:t>0.618</w:t>
            </w:r>
          </w:p>
        </w:tc>
      </w:tr>
      <w:tr w:rsidR="002B6F30" w:rsidRPr="006015EF" w14:paraId="7441515E"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7265BAD0"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209" w:type="dxa"/>
            <w:tcBorders>
              <w:top w:val="nil"/>
              <w:left w:val="nil"/>
              <w:bottom w:val="single" w:sz="4" w:space="0" w:color="auto"/>
              <w:right w:val="single" w:sz="4" w:space="0" w:color="auto"/>
            </w:tcBorders>
            <w:noWrap/>
            <w:vAlign w:val="bottom"/>
            <w:hideMark/>
          </w:tcPr>
          <w:p w14:paraId="43BCAC02" w14:textId="77777777" w:rsidR="002B6F30" w:rsidRPr="006015EF" w:rsidRDefault="002B6F30" w:rsidP="00EA4679">
            <w:pPr>
              <w:rPr>
                <w:rFonts w:ascii="Arial" w:hAnsi="Arial" w:cs="Arial"/>
                <w:color w:val="000000"/>
              </w:rPr>
            </w:pPr>
            <w:r w:rsidRPr="006015EF">
              <w:rPr>
                <w:rFonts w:ascii="Arial" w:hAnsi="Arial" w:cs="Arial"/>
                <w:color w:val="000000"/>
              </w:rPr>
              <w:t>EFF2</w:t>
            </w:r>
          </w:p>
        </w:tc>
        <w:tc>
          <w:tcPr>
            <w:tcW w:w="1461" w:type="dxa"/>
            <w:tcBorders>
              <w:top w:val="nil"/>
              <w:left w:val="nil"/>
              <w:bottom w:val="single" w:sz="4" w:space="0" w:color="auto"/>
              <w:right w:val="single" w:sz="4" w:space="0" w:color="auto"/>
            </w:tcBorders>
            <w:noWrap/>
            <w:vAlign w:val="bottom"/>
            <w:hideMark/>
          </w:tcPr>
          <w:p w14:paraId="381F98AD" w14:textId="77777777" w:rsidR="002B6F30" w:rsidRPr="006015EF" w:rsidRDefault="002B6F30" w:rsidP="00EA4679">
            <w:pPr>
              <w:jc w:val="right"/>
              <w:rPr>
                <w:rFonts w:ascii="Arial" w:hAnsi="Arial" w:cs="Arial"/>
                <w:color w:val="000000"/>
              </w:rPr>
            </w:pPr>
            <w:r w:rsidRPr="006015EF">
              <w:rPr>
                <w:rFonts w:ascii="Arial" w:hAnsi="Arial" w:cs="Arial"/>
                <w:color w:val="000000"/>
              </w:rPr>
              <w:t>0.889</w:t>
            </w:r>
          </w:p>
        </w:tc>
        <w:tc>
          <w:tcPr>
            <w:tcW w:w="1650" w:type="dxa"/>
            <w:vMerge/>
            <w:tcBorders>
              <w:top w:val="nil"/>
              <w:left w:val="single" w:sz="4" w:space="0" w:color="auto"/>
              <w:bottom w:val="single" w:sz="4" w:space="0" w:color="auto"/>
              <w:right w:val="single" w:sz="4" w:space="0" w:color="auto"/>
            </w:tcBorders>
            <w:vAlign w:val="center"/>
            <w:hideMark/>
          </w:tcPr>
          <w:p w14:paraId="2F30F76C"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0490A428"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3BF655AB" w14:textId="77777777" w:rsidR="002B6F30" w:rsidRPr="006015EF" w:rsidRDefault="002B6F30" w:rsidP="00EA4679">
            <w:pPr>
              <w:rPr>
                <w:rFonts w:ascii="Arial" w:hAnsi="Arial" w:cs="Arial"/>
                <w:color w:val="000000"/>
              </w:rPr>
            </w:pPr>
          </w:p>
        </w:tc>
      </w:tr>
      <w:tr w:rsidR="002B6F30" w:rsidRPr="006015EF" w14:paraId="78549D3D"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08DB7199"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209" w:type="dxa"/>
            <w:tcBorders>
              <w:top w:val="nil"/>
              <w:left w:val="nil"/>
              <w:bottom w:val="single" w:sz="4" w:space="0" w:color="auto"/>
              <w:right w:val="single" w:sz="4" w:space="0" w:color="auto"/>
            </w:tcBorders>
            <w:noWrap/>
            <w:vAlign w:val="bottom"/>
            <w:hideMark/>
          </w:tcPr>
          <w:p w14:paraId="65A1A42A" w14:textId="77777777" w:rsidR="002B6F30" w:rsidRPr="006015EF" w:rsidRDefault="002B6F30" w:rsidP="00EA4679">
            <w:pPr>
              <w:rPr>
                <w:rFonts w:ascii="Arial" w:hAnsi="Arial" w:cs="Arial"/>
                <w:color w:val="000000"/>
              </w:rPr>
            </w:pPr>
            <w:r w:rsidRPr="006015EF">
              <w:rPr>
                <w:rFonts w:ascii="Arial" w:hAnsi="Arial" w:cs="Arial"/>
                <w:color w:val="000000"/>
              </w:rPr>
              <w:t>EFF3</w:t>
            </w:r>
          </w:p>
        </w:tc>
        <w:tc>
          <w:tcPr>
            <w:tcW w:w="1461" w:type="dxa"/>
            <w:tcBorders>
              <w:top w:val="nil"/>
              <w:left w:val="nil"/>
              <w:bottom w:val="single" w:sz="4" w:space="0" w:color="auto"/>
              <w:right w:val="single" w:sz="4" w:space="0" w:color="auto"/>
            </w:tcBorders>
            <w:noWrap/>
            <w:vAlign w:val="bottom"/>
            <w:hideMark/>
          </w:tcPr>
          <w:p w14:paraId="0523D832" w14:textId="77777777" w:rsidR="002B6F30" w:rsidRPr="006015EF" w:rsidRDefault="002B6F30" w:rsidP="00EA4679">
            <w:pPr>
              <w:jc w:val="right"/>
              <w:rPr>
                <w:rFonts w:ascii="Arial" w:hAnsi="Arial" w:cs="Arial"/>
                <w:color w:val="000000"/>
              </w:rPr>
            </w:pPr>
            <w:r w:rsidRPr="006015EF">
              <w:rPr>
                <w:rFonts w:ascii="Arial" w:hAnsi="Arial" w:cs="Arial"/>
                <w:color w:val="000000"/>
              </w:rPr>
              <w:t>0.797</w:t>
            </w:r>
          </w:p>
        </w:tc>
        <w:tc>
          <w:tcPr>
            <w:tcW w:w="1650" w:type="dxa"/>
            <w:vMerge/>
            <w:tcBorders>
              <w:top w:val="nil"/>
              <w:left w:val="single" w:sz="4" w:space="0" w:color="auto"/>
              <w:bottom w:val="single" w:sz="4" w:space="0" w:color="auto"/>
              <w:right w:val="single" w:sz="4" w:space="0" w:color="auto"/>
            </w:tcBorders>
            <w:vAlign w:val="center"/>
            <w:hideMark/>
          </w:tcPr>
          <w:p w14:paraId="4B29B015"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1954FF21"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6CCC653C" w14:textId="77777777" w:rsidR="002B6F30" w:rsidRPr="006015EF" w:rsidRDefault="002B6F30" w:rsidP="00EA4679">
            <w:pPr>
              <w:rPr>
                <w:rFonts w:ascii="Arial" w:hAnsi="Arial" w:cs="Arial"/>
                <w:color w:val="000000"/>
              </w:rPr>
            </w:pPr>
          </w:p>
        </w:tc>
      </w:tr>
      <w:tr w:rsidR="002B6F30" w:rsidRPr="006015EF" w14:paraId="1BF034EC"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61212378"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209" w:type="dxa"/>
            <w:tcBorders>
              <w:top w:val="nil"/>
              <w:left w:val="nil"/>
              <w:bottom w:val="single" w:sz="4" w:space="0" w:color="auto"/>
              <w:right w:val="single" w:sz="4" w:space="0" w:color="auto"/>
            </w:tcBorders>
            <w:noWrap/>
            <w:vAlign w:val="bottom"/>
            <w:hideMark/>
          </w:tcPr>
          <w:p w14:paraId="4F5AAB9A" w14:textId="77777777" w:rsidR="002B6F30" w:rsidRPr="006015EF" w:rsidRDefault="002B6F30" w:rsidP="00EA4679">
            <w:pPr>
              <w:rPr>
                <w:rFonts w:ascii="Arial" w:hAnsi="Arial" w:cs="Arial"/>
                <w:color w:val="000000"/>
              </w:rPr>
            </w:pPr>
            <w:r w:rsidRPr="006015EF">
              <w:rPr>
                <w:rFonts w:ascii="Arial" w:hAnsi="Arial" w:cs="Arial"/>
                <w:color w:val="000000"/>
              </w:rPr>
              <w:t>EFF4</w:t>
            </w:r>
          </w:p>
        </w:tc>
        <w:tc>
          <w:tcPr>
            <w:tcW w:w="1461" w:type="dxa"/>
            <w:tcBorders>
              <w:top w:val="nil"/>
              <w:left w:val="nil"/>
              <w:bottom w:val="single" w:sz="4" w:space="0" w:color="auto"/>
              <w:right w:val="single" w:sz="4" w:space="0" w:color="auto"/>
            </w:tcBorders>
            <w:noWrap/>
            <w:vAlign w:val="bottom"/>
            <w:hideMark/>
          </w:tcPr>
          <w:p w14:paraId="64761A32" w14:textId="77777777" w:rsidR="002B6F30" w:rsidRPr="006015EF" w:rsidRDefault="002B6F30" w:rsidP="00EA4679">
            <w:pPr>
              <w:jc w:val="right"/>
              <w:rPr>
                <w:rFonts w:ascii="Arial" w:hAnsi="Arial" w:cs="Arial"/>
                <w:color w:val="000000"/>
              </w:rPr>
            </w:pPr>
            <w:r w:rsidRPr="006015EF">
              <w:rPr>
                <w:rFonts w:ascii="Arial" w:hAnsi="Arial" w:cs="Arial"/>
                <w:color w:val="000000"/>
              </w:rPr>
              <w:t>0.775</w:t>
            </w:r>
          </w:p>
        </w:tc>
        <w:tc>
          <w:tcPr>
            <w:tcW w:w="1650" w:type="dxa"/>
            <w:vMerge/>
            <w:tcBorders>
              <w:top w:val="nil"/>
              <w:left w:val="single" w:sz="4" w:space="0" w:color="auto"/>
              <w:bottom w:val="single" w:sz="4" w:space="0" w:color="auto"/>
              <w:right w:val="single" w:sz="4" w:space="0" w:color="auto"/>
            </w:tcBorders>
            <w:vAlign w:val="center"/>
            <w:hideMark/>
          </w:tcPr>
          <w:p w14:paraId="21D7D58B"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7028061E"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4A7F97D2" w14:textId="77777777" w:rsidR="002B6F30" w:rsidRPr="006015EF" w:rsidRDefault="002B6F30" w:rsidP="00EA4679">
            <w:pPr>
              <w:rPr>
                <w:rFonts w:ascii="Arial" w:hAnsi="Arial" w:cs="Arial"/>
                <w:color w:val="000000"/>
              </w:rPr>
            </w:pPr>
          </w:p>
        </w:tc>
      </w:tr>
      <w:tr w:rsidR="002B6F30" w:rsidRPr="006015EF" w14:paraId="1A6F501E"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692B0F35"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209" w:type="dxa"/>
            <w:tcBorders>
              <w:top w:val="nil"/>
              <w:left w:val="nil"/>
              <w:bottom w:val="single" w:sz="4" w:space="0" w:color="auto"/>
              <w:right w:val="single" w:sz="4" w:space="0" w:color="auto"/>
            </w:tcBorders>
            <w:noWrap/>
            <w:vAlign w:val="bottom"/>
            <w:hideMark/>
          </w:tcPr>
          <w:p w14:paraId="33F35D6A" w14:textId="77777777" w:rsidR="002B6F30" w:rsidRPr="006015EF" w:rsidRDefault="002B6F30" w:rsidP="00EA4679">
            <w:pPr>
              <w:rPr>
                <w:rFonts w:ascii="Arial" w:hAnsi="Arial" w:cs="Arial"/>
                <w:color w:val="000000"/>
              </w:rPr>
            </w:pPr>
            <w:r w:rsidRPr="006015EF">
              <w:rPr>
                <w:rFonts w:ascii="Arial" w:hAnsi="Arial" w:cs="Arial"/>
                <w:color w:val="000000"/>
              </w:rPr>
              <w:t>EFF5</w:t>
            </w:r>
          </w:p>
        </w:tc>
        <w:tc>
          <w:tcPr>
            <w:tcW w:w="1461" w:type="dxa"/>
            <w:tcBorders>
              <w:top w:val="nil"/>
              <w:left w:val="nil"/>
              <w:bottom w:val="single" w:sz="4" w:space="0" w:color="auto"/>
              <w:right w:val="single" w:sz="4" w:space="0" w:color="auto"/>
            </w:tcBorders>
            <w:noWrap/>
            <w:vAlign w:val="bottom"/>
            <w:hideMark/>
          </w:tcPr>
          <w:p w14:paraId="1A537A56" w14:textId="77777777" w:rsidR="002B6F30" w:rsidRPr="006015EF" w:rsidRDefault="002B6F30" w:rsidP="00EA4679">
            <w:pPr>
              <w:jc w:val="right"/>
              <w:rPr>
                <w:rFonts w:ascii="Arial" w:hAnsi="Arial" w:cs="Arial"/>
                <w:color w:val="000000"/>
              </w:rPr>
            </w:pPr>
            <w:r w:rsidRPr="006015EF">
              <w:rPr>
                <w:rFonts w:ascii="Arial" w:hAnsi="Arial" w:cs="Arial"/>
                <w:color w:val="000000"/>
              </w:rPr>
              <w:t>0.747</w:t>
            </w:r>
          </w:p>
        </w:tc>
        <w:tc>
          <w:tcPr>
            <w:tcW w:w="1650" w:type="dxa"/>
            <w:vMerge/>
            <w:tcBorders>
              <w:top w:val="nil"/>
              <w:left w:val="single" w:sz="4" w:space="0" w:color="auto"/>
              <w:bottom w:val="single" w:sz="4" w:space="0" w:color="auto"/>
              <w:right w:val="single" w:sz="4" w:space="0" w:color="auto"/>
            </w:tcBorders>
            <w:vAlign w:val="center"/>
            <w:hideMark/>
          </w:tcPr>
          <w:p w14:paraId="0F88EC05"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12D326D4"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49855088" w14:textId="77777777" w:rsidR="002B6F30" w:rsidRPr="006015EF" w:rsidRDefault="002B6F30" w:rsidP="00EA4679">
            <w:pPr>
              <w:rPr>
                <w:rFonts w:ascii="Arial" w:hAnsi="Arial" w:cs="Arial"/>
                <w:color w:val="000000"/>
              </w:rPr>
            </w:pPr>
          </w:p>
        </w:tc>
      </w:tr>
      <w:tr w:rsidR="002B6F30" w:rsidRPr="006015EF" w14:paraId="22C4B294"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3B615927" w14:textId="77777777" w:rsidR="002B6F30" w:rsidRPr="006015EF" w:rsidRDefault="002B6F30" w:rsidP="00EA4679">
            <w:pPr>
              <w:rPr>
                <w:rFonts w:ascii="Arial" w:hAnsi="Arial" w:cs="Arial"/>
                <w:color w:val="000000"/>
              </w:rPr>
            </w:pPr>
            <w:r w:rsidRPr="006015EF">
              <w:rPr>
                <w:rFonts w:ascii="Arial" w:hAnsi="Arial" w:cs="Arial"/>
                <w:color w:val="000000"/>
              </w:rPr>
              <w:t>System Availability</w:t>
            </w:r>
          </w:p>
        </w:tc>
        <w:tc>
          <w:tcPr>
            <w:tcW w:w="1209" w:type="dxa"/>
            <w:tcBorders>
              <w:top w:val="nil"/>
              <w:left w:val="nil"/>
              <w:bottom w:val="single" w:sz="4" w:space="0" w:color="auto"/>
              <w:right w:val="single" w:sz="4" w:space="0" w:color="auto"/>
            </w:tcBorders>
            <w:noWrap/>
            <w:vAlign w:val="bottom"/>
            <w:hideMark/>
          </w:tcPr>
          <w:p w14:paraId="20A6073C" w14:textId="77777777" w:rsidR="002B6F30" w:rsidRPr="006015EF" w:rsidRDefault="002B6F30" w:rsidP="00EA4679">
            <w:pPr>
              <w:rPr>
                <w:rFonts w:ascii="Arial" w:hAnsi="Arial" w:cs="Arial"/>
                <w:color w:val="000000"/>
              </w:rPr>
            </w:pPr>
            <w:r w:rsidRPr="006015EF">
              <w:rPr>
                <w:rFonts w:ascii="Arial" w:hAnsi="Arial" w:cs="Arial"/>
                <w:color w:val="000000"/>
              </w:rPr>
              <w:t>SYS1</w:t>
            </w:r>
          </w:p>
        </w:tc>
        <w:tc>
          <w:tcPr>
            <w:tcW w:w="1461" w:type="dxa"/>
            <w:tcBorders>
              <w:top w:val="nil"/>
              <w:left w:val="nil"/>
              <w:bottom w:val="single" w:sz="4" w:space="0" w:color="auto"/>
              <w:right w:val="single" w:sz="4" w:space="0" w:color="auto"/>
            </w:tcBorders>
            <w:noWrap/>
            <w:vAlign w:val="bottom"/>
            <w:hideMark/>
          </w:tcPr>
          <w:p w14:paraId="1C704903" w14:textId="77777777" w:rsidR="002B6F30" w:rsidRPr="006015EF" w:rsidRDefault="002B6F30" w:rsidP="00EA4679">
            <w:pPr>
              <w:jc w:val="right"/>
              <w:rPr>
                <w:rFonts w:ascii="Arial" w:hAnsi="Arial" w:cs="Arial"/>
                <w:color w:val="000000"/>
              </w:rPr>
            </w:pPr>
            <w:r w:rsidRPr="006015EF">
              <w:rPr>
                <w:rFonts w:ascii="Arial" w:hAnsi="Arial" w:cs="Arial"/>
                <w:color w:val="000000"/>
              </w:rPr>
              <w:t>0.814</w:t>
            </w:r>
          </w:p>
        </w:tc>
        <w:tc>
          <w:tcPr>
            <w:tcW w:w="1650" w:type="dxa"/>
            <w:vMerge w:val="restart"/>
            <w:tcBorders>
              <w:top w:val="nil"/>
              <w:left w:val="single" w:sz="4" w:space="0" w:color="auto"/>
              <w:bottom w:val="single" w:sz="4" w:space="0" w:color="auto"/>
              <w:right w:val="single" w:sz="4" w:space="0" w:color="auto"/>
            </w:tcBorders>
            <w:noWrap/>
            <w:vAlign w:val="bottom"/>
            <w:hideMark/>
          </w:tcPr>
          <w:p w14:paraId="1AADC51E" w14:textId="77777777" w:rsidR="002B6F30" w:rsidRPr="006015EF" w:rsidRDefault="002B6F30" w:rsidP="00EA4679">
            <w:pPr>
              <w:jc w:val="center"/>
              <w:rPr>
                <w:rFonts w:ascii="Arial" w:hAnsi="Arial" w:cs="Arial"/>
                <w:color w:val="000000"/>
              </w:rPr>
            </w:pPr>
            <w:r w:rsidRPr="006015EF">
              <w:rPr>
                <w:rFonts w:ascii="Arial" w:hAnsi="Arial" w:cs="Arial"/>
                <w:color w:val="000000"/>
              </w:rPr>
              <w:t>0.842</w:t>
            </w:r>
          </w:p>
        </w:tc>
        <w:tc>
          <w:tcPr>
            <w:tcW w:w="1566" w:type="dxa"/>
            <w:vMerge w:val="restart"/>
            <w:tcBorders>
              <w:top w:val="nil"/>
              <w:left w:val="single" w:sz="4" w:space="0" w:color="auto"/>
              <w:bottom w:val="single" w:sz="4" w:space="0" w:color="auto"/>
              <w:right w:val="single" w:sz="4" w:space="0" w:color="auto"/>
            </w:tcBorders>
            <w:noWrap/>
            <w:vAlign w:val="bottom"/>
            <w:hideMark/>
          </w:tcPr>
          <w:p w14:paraId="176FDF40" w14:textId="77777777" w:rsidR="002B6F30" w:rsidRPr="006015EF" w:rsidRDefault="002B6F30" w:rsidP="00EA4679">
            <w:pPr>
              <w:jc w:val="center"/>
              <w:rPr>
                <w:rFonts w:ascii="Arial" w:hAnsi="Arial" w:cs="Arial"/>
                <w:color w:val="000000"/>
              </w:rPr>
            </w:pPr>
            <w:r w:rsidRPr="006015EF">
              <w:rPr>
                <w:rFonts w:ascii="Arial" w:hAnsi="Arial" w:cs="Arial"/>
                <w:color w:val="000000"/>
              </w:rPr>
              <w:t>0.81</w:t>
            </w:r>
          </w:p>
        </w:tc>
        <w:tc>
          <w:tcPr>
            <w:tcW w:w="1209" w:type="dxa"/>
            <w:vMerge w:val="restart"/>
            <w:tcBorders>
              <w:top w:val="nil"/>
              <w:left w:val="single" w:sz="4" w:space="0" w:color="auto"/>
              <w:bottom w:val="single" w:sz="4" w:space="0" w:color="auto"/>
              <w:right w:val="single" w:sz="4" w:space="0" w:color="auto"/>
            </w:tcBorders>
            <w:noWrap/>
            <w:vAlign w:val="bottom"/>
            <w:hideMark/>
          </w:tcPr>
          <w:p w14:paraId="39D45B70" w14:textId="77777777" w:rsidR="002B6F30" w:rsidRPr="006015EF" w:rsidRDefault="002B6F30" w:rsidP="00EA4679">
            <w:pPr>
              <w:jc w:val="center"/>
              <w:rPr>
                <w:rFonts w:ascii="Arial" w:hAnsi="Arial" w:cs="Arial"/>
                <w:color w:val="000000"/>
              </w:rPr>
            </w:pPr>
            <w:r w:rsidRPr="006015EF">
              <w:rPr>
                <w:rFonts w:ascii="Arial" w:hAnsi="Arial" w:cs="Arial"/>
                <w:color w:val="000000"/>
              </w:rPr>
              <w:t>0.573</w:t>
            </w:r>
          </w:p>
        </w:tc>
      </w:tr>
      <w:tr w:rsidR="002B6F30" w:rsidRPr="006015EF" w14:paraId="71967B45"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6F0397E7" w14:textId="77777777" w:rsidR="002B6F30" w:rsidRPr="006015EF" w:rsidRDefault="002B6F30" w:rsidP="00EA4679">
            <w:pPr>
              <w:rPr>
                <w:rFonts w:ascii="Arial" w:hAnsi="Arial" w:cs="Arial"/>
                <w:color w:val="000000"/>
              </w:rPr>
            </w:pPr>
            <w:r w:rsidRPr="006015EF">
              <w:rPr>
                <w:rFonts w:ascii="Arial" w:hAnsi="Arial" w:cs="Arial"/>
                <w:color w:val="000000"/>
              </w:rPr>
              <w:t>System Availability</w:t>
            </w:r>
          </w:p>
        </w:tc>
        <w:tc>
          <w:tcPr>
            <w:tcW w:w="1209" w:type="dxa"/>
            <w:tcBorders>
              <w:top w:val="nil"/>
              <w:left w:val="nil"/>
              <w:bottom w:val="single" w:sz="4" w:space="0" w:color="auto"/>
              <w:right w:val="single" w:sz="4" w:space="0" w:color="auto"/>
            </w:tcBorders>
            <w:noWrap/>
            <w:vAlign w:val="bottom"/>
            <w:hideMark/>
          </w:tcPr>
          <w:p w14:paraId="77E76556" w14:textId="77777777" w:rsidR="002B6F30" w:rsidRPr="006015EF" w:rsidRDefault="002B6F30" w:rsidP="00EA4679">
            <w:pPr>
              <w:rPr>
                <w:rFonts w:ascii="Arial" w:hAnsi="Arial" w:cs="Arial"/>
                <w:color w:val="000000"/>
              </w:rPr>
            </w:pPr>
            <w:r w:rsidRPr="006015EF">
              <w:rPr>
                <w:rFonts w:ascii="Arial" w:hAnsi="Arial" w:cs="Arial"/>
                <w:color w:val="000000"/>
              </w:rPr>
              <w:t>SYS2</w:t>
            </w:r>
          </w:p>
        </w:tc>
        <w:tc>
          <w:tcPr>
            <w:tcW w:w="1461" w:type="dxa"/>
            <w:tcBorders>
              <w:top w:val="nil"/>
              <w:left w:val="nil"/>
              <w:bottom w:val="single" w:sz="4" w:space="0" w:color="auto"/>
              <w:right w:val="single" w:sz="4" w:space="0" w:color="auto"/>
            </w:tcBorders>
            <w:noWrap/>
            <w:vAlign w:val="bottom"/>
            <w:hideMark/>
          </w:tcPr>
          <w:p w14:paraId="03278E28" w14:textId="77777777" w:rsidR="002B6F30" w:rsidRPr="006015EF" w:rsidRDefault="002B6F30" w:rsidP="00EA4679">
            <w:pPr>
              <w:jc w:val="right"/>
              <w:rPr>
                <w:rFonts w:ascii="Arial" w:hAnsi="Arial" w:cs="Arial"/>
                <w:color w:val="000000"/>
              </w:rPr>
            </w:pPr>
            <w:r w:rsidRPr="006015EF">
              <w:rPr>
                <w:rFonts w:ascii="Arial" w:hAnsi="Arial" w:cs="Arial"/>
                <w:color w:val="000000"/>
              </w:rPr>
              <w:t>0.709</w:t>
            </w:r>
          </w:p>
        </w:tc>
        <w:tc>
          <w:tcPr>
            <w:tcW w:w="1650" w:type="dxa"/>
            <w:vMerge/>
            <w:tcBorders>
              <w:top w:val="nil"/>
              <w:left w:val="single" w:sz="4" w:space="0" w:color="auto"/>
              <w:bottom w:val="single" w:sz="4" w:space="0" w:color="auto"/>
              <w:right w:val="single" w:sz="4" w:space="0" w:color="auto"/>
            </w:tcBorders>
            <w:vAlign w:val="center"/>
            <w:hideMark/>
          </w:tcPr>
          <w:p w14:paraId="1F853607"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54766570"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5D1E61B0" w14:textId="77777777" w:rsidR="002B6F30" w:rsidRPr="006015EF" w:rsidRDefault="002B6F30" w:rsidP="00EA4679">
            <w:pPr>
              <w:rPr>
                <w:rFonts w:ascii="Arial" w:hAnsi="Arial" w:cs="Arial"/>
                <w:color w:val="000000"/>
              </w:rPr>
            </w:pPr>
          </w:p>
        </w:tc>
      </w:tr>
      <w:tr w:rsidR="002B6F30" w:rsidRPr="006015EF" w14:paraId="0B810257"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3503FA35" w14:textId="77777777" w:rsidR="002B6F30" w:rsidRPr="006015EF" w:rsidRDefault="002B6F30" w:rsidP="00EA4679">
            <w:pPr>
              <w:rPr>
                <w:rFonts w:ascii="Arial" w:hAnsi="Arial" w:cs="Arial"/>
                <w:color w:val="000000"/>
              </w:rPr>
            </w:pPr>
            <w:r w:rsidRPr="006015EF">
              <w:rPr>
                <w:rFonts w:ascii="Arial" w:hAnsi="Arial" w:cs="Arial"/>
                <w:color w:val="000000"/>
              </w:rPr>
              <w:t>System Availability</w:t>
            </w:r>
          </w:p>
        </w:tc>
        <w:tc>
          <w:tcPr>
            <w:tcW w:w="1209" w:type="dxa"/>
            <w:tcBorders>
              <w:top w:val="nil"/>
              <w:left w:val="nil"/>
              <w:bottom w:val="single" w:sz="4" w:space="0" w:color="auto"/>
              <w:right w:val="single" w:sz="4" w:space="0" w:color="auto"/>
            </w:tcBorders>
            <w:noWrap/>
            <w:vAlign w:val="bottom"/>
            <w:hideMark/>
          </w:tcPr>
          <w:p w14:paraId="74A28BB5" w14:textId="77777777" w:rsidR="002B6F30" w:rsidRPr="006015EF" w:rsidRDefault="002B6F30" w:rsidP="00EA4679">
            <w:pPr>
              <w:rPr>
                <w:rFonts w:ascii="Arial" w:hAnsi="Arial" w:cs="Arial"/>
                <w:color w:val="000000"/>
              </w:rPr>
            </w:pPr>
            <w:r w:rsidRPr="006015EF">
              <w:rPr>
                <w:rFonts w:ascii="Arial" w:hAnsi="Arial" w:cs="Arial"/>
                <w:color w:val="000000"/>
              </w:rPr>
              <w:t>SYS3</w:t>
            </w:r>
          </w:p>
        </w:tc>
        <w:tc>
          <w:tcPr>
            <w:tcW w:w="1461" w:type="dxa"/>
            <w:tcBorders>
              <w:top w:val="nil"/>
              <w:left w:val="nil"/>
              <w:bottom w:val="single" w:sz="4" w:space="0" w:color="auto"/>
              <w:right w:val="single" w:sz="4" w:space="0" w:color="auto"/>
            </w:tcBorders>
            <w:noWrap/>
            <w:vAlign w:val="bottom"/>
            <w:hideMark/>
          </w:tcPr>
          <w:p w14:paraId="1AD69166" w14:textId="77777777" w:rsidR="002B6F30" w:rsidRPr="006015EF" w:rsidRDefault="002B6F30" w:rsidP="00EA4679">
            <w:pPr>
              <w:jc w:val="right"/>
              <w:rPr>
                <w:rFonts w:ascii="Arial" w:hAnsi="Arial" w:cs="Arial"/>
                <w:color w:val="000000"/>
              </w:rPr>
            </w:pPr>
            <w:r w:rsidRPr="006015EF">
              <w:rPr>
                <w:rFonts w:ascii="Arial" w:hAnsi="Arial" w:cs="Arial"/>
                <w:color w:val="000000"/>
              </w:rPr>
              <w:t>0.723</w:t>
            </w:r>
          </w:p>
        </w:tc>
        <w:tc>
          <w:tcPr>
            <w:tcW w:w="1650" w:type="dxa"/>
            <w:vMerge/>
            <w:tcBorders>
              <w:top w:val="nil"/>
              <w:left w:val="single" w:sz="4" w:space="0" w:color="auto"/>
              <w:bottom w:val="single" w:sz="4" w:space="0" w:color="auto"/>
              <w:right w:val="single" w:sz="4" w:space="0" w:color="auto"/>
            </w:tcBorders>
            <w:vAlign w:val="center"/>
            <w:hideMark/>
          </w:tcPr>
          <w:p w14:paraId="3494A63C"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45BA1DC5"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1014DD78" w14:textId="77777777" w:rsidR="002B6F30" w:rsidRPr="006015EF" w:rsidRDefault="002B6F30" w:rsidP="00EA4679">
            <w:pPr>
              <w:rPr>
                <w:rFonts w:ascii="Arial" w:hAnsi="Arial" w:cs="Arial"/>
                <w:color w:val="000000"/>
              </w:rPr>
            </w:pPr>
          </w:p>
        </w:tc>
      </w:tr>
      <w:tr w:rsidR="002B6F30" w:rsidRPr="006015EF" w14:paraId="3BB74E16"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6F436A7E" w14:textId="77777777" w:rsidR="002B6F30" w:rsidRPr="006015EF" w:rsidRDefault="002B6F30" w:rsidP="00EA4679">
            <w:pPr>
              <w:rPr>
                <w:rFonts w:ascii="Arial" w:hAnsi="Arial" w:cs="Arial"/>
                <w:color w:val="000000"/>
              </w:rPr>
            </w:pPr>
            <w:r w:rsidRPr="006015EF">
              <w:rPr>
                <w:rFonts w:ascii="Arial" w:hAnsi="Arial" w:cs="Arial"/>
                <w:color w:val="000000"/>
              </w:rPr>
              <w:t>System Availability</w:t>
            </w:r>
          </w:p>
        </w:tc>
        <w:tc>
          <w:tcPr>
            <w:tcW w:w="1209" w:type="dxa"/>
            <w:tcBorders>
              <w:top w:val="nil"/>
              <w:left w:val="nil"/>
              <w:bottom w:val="single" w:sz="4" w:space="0" w:color="auto"/>
              <w:right w:val="single" w:sz="4" w:space="0" w:color="auto"/>
            </w:tcBorders>
            <w:noWrap/>
            <w:vAlign w:val="bottom"/>
            <w:hideMark/>
          </w:tcPr>
          <w:p w14:paraId="08594808" w14:textId="77777777" w:rsidR="002B6F30" w:rsidRPr="006015EF" w:rsidRDefault="002B6F30" w:rsidP="00EA4679">
            <w:pPr>
              <w:rPr>
                <w:rFonts w:ascii="Arial" w:hAnsi="Arial" w:cs="Arial"/>
                <w:color w:val="000000"/>
              </w:rPr>
            </w:pPr>
            <w:r w:rsidRPr="006015EF">
              <w:rPr>
                <w:rFonts w:ascii="Arial" w:hAnsi="Arial" w:cs="Arial"/>
                <w:color w:val="000000"/>
              </w:rPr>
              <w:t>SYS4</w:t>
            </w:r>
          </w:p>
        </w:tc>
        <w:tc>
          <w:tcPr>
            <w:tcW w:w="1461" w:type="dxa"/>
            <w:tcBorders>
              <w:top w:val="nil"/>
              <w:left w:val="nil"/>
              <w:bottom w:val="single" w:sz="4" w:space="0" w:color="auto"/>
              <w:right w:val="single" w:sz="4" w:space="0" w:color="auto"/>
            </w:tcBorders>
            <w:noWrap/>
            <w:vAlign w:val="bottom"/>
            <w:hideMark/>
          </w:tcPr>
          <w:p w14:paraId="642D0FE1" w14:textId="77777777" w:rsidR="002B6F30" w:rsidRPr="006015EF" w:rsidRDefault="002B6F30" w:rsidP="00EA4679">
            <w:pPr>
              <w:jc w:val="right"/>
              <w:rPr>
                <w:rFonts w:ascii="Arial" w:hAnsi="Arial" w:cs="Arial"/>
                <w:color w:val="000000"/>
              </w:rPr>
            </w:pPr>
            <w:r w:rsidRPr="006015EF">
              <w:rPr>
                <w:rFonts w:ascii="Arial" w:hAnsi="Arial" w:cs="Arial"/>
                <w:color w:val="000000"/>
              </w:rPr>
              <w:t>0.775</w:t>
            </w:r>
          </w:p>
        </w:tc>
        <w:tc>
          <w:tcPr>
            <w:tcW w:w="1650" w:type="dxa"/>
            <w:vMerge/>
            <w:tcBorders>
              <w:top w:val="nil"/>
              <w:left w:val="single" w:sz="4" w:space="0" w:color="auto"/>
              <w:bottom w:val="single" w:sz="4" w:space="0" w:color="auto"/>
              <w:right w:val="single" w:sz="4" w:space="0" w:color="auto"/>
            </w:tcBorders>
            <w:vAlign w:val="center"/>
            <w:hideMark/>
          </w:tcPr>
          <w:p w14:paraId="2FC714B0"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037177A3"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33075792" w14:textId="77777777" w:rsidR="002B6F30" w:rsidRPr="006015EF" w:rsidRDefault="002B6F30" w:rsidP="00EA4679">
            <w:pPr>
              <w:rPr>
                <w:rFonts w:ascii="Arial" w:hAnsi="Arial" w:cs="Arial"/>
                <w:color w:val="000000"/>
              </w:rPr>
            </w:pPr>
          </w:p>
        </w:tc>
      </w:tr>
      <w:tr w:rsidR="002B6F30" w:rsidRPr="006015EF" w14:paraId="4320961C"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023B77DD" w14:textId="77777777" w:rsidR="002B6F30" w:rsidRPr="006015EF" w:rsidRDefault="002B6F30" w:rsidP="00EA4679">
            <w:pPr>
              <w:rPr>
                <w:rFonts w:ascii="Arial" w:hAnsi="Arial" w:cs="Arial"/>
                <w:color w:val="000000"/>
              </w:rPr>
            </w:pPr>
            <w:r w:rsidRPr="006015EF">
              <w:rPr>
                <w:rFonts w:ascii="Arial" w:hAnsi="Arial" w:cs="Arial"/>
                <w:color w:val="000000"/>
              </w:rPr>
              <w:t>Privacy</w:t>
            </w:r>
          </w:p>
        </w:tc>
        <w:tc>
          <w:tcPr>
            <w:tcW w:w="1209" w:type="dxa"/>
            <w:tcBorders>
              <w:top w:val="nil"/>
              <w:left w:val="nil"/>
              <w:bottom w:val="single" w:sz="4" w:space="0" w:color="auto"/>
              <w:right w:val="single" w:sz="4" w:space="0" w:color="auto"/>
            </w:tcBorders>
            <w:noWrap/>
            <w:vAlign w:val="bottom"/>
            <w:hideMark/>
          </w:tcPr>
          <w:p w14:paraId="3E7212E8" w14:textId="77777777" w:rsidR="002B6F30" w:rsidRPr="006015EF" w:rsidRDefault="002B6F30" w:rsidP="00EA4679">
            <w:pPr>
              <w:rPr>
                <w:rFonts w:ascii="Arial" w:hAnsi="Arial" w:cs="Arial"/>
                <w:color w:val="000000"/>
              </w:rPr>
            </w:pPr>
            <w:r w:rsidRPr="006015EF">
              <w:rPr>
                <w:rFonts w:ascii="Arial" w:hAnsi="Arial" w:cs="Arial"/>
                <w:color w:val="000000"/>
              </w:rPr>
              <w:t>PRI1</w:t>
            </w:r>
          </w:p>
        </w:tc>
        <w:tc>
          <w:tcPr>
            <w:tcW w:w="1461" w:type="dxa"/>
            <w:tcBorders>
              <w:top w:val="nil"/>
              <w:left w:val="nil"/>
              <w:bottom w:val="single" w:sz="4" w:space="0" w:color="auto"/>
              <w:right w:val="single" w:sz="4" w:space="0" w:color="auto"/>
            </w:tcBorders>
            <w:noWrap/>
            <w:vAlign w:val="bottom"/>
            <w:hideMark/>
          </w:tcPr>
          <w:p w14:paraId="394C1BE9" w14:textId="77777777" w:rsidR="002B6F30" w:rsidRPr="006015EF" w:rsidRDefault="002B6F30" w:rsidP="00EA4679">
            <w:pPr>
              <w:jc w:val="right"/>
              <w:rPr>
                <w:rFonts w:ascii="Arial" w:hAnsi="Arial" w:cs="Arial"/>
                <w:color w:val="000000"/>
              </w:rPr>
            </w:pPr>
            <w:r w:rsidRPr="006015EF">
              <w:rPr>
                <w:rFonts w:ascii="Arial" w:hAnsi="Arial" w:cs="Arial"/>
                <w:color w:val="000000"/>
              </w:rPr>
              <w:t>0.535</w:t>
            </w:r>
          </w:p>
        </w:tc>
        <w:tc>
          <w:tcPr>
            <w:tcW w:w="1650" w:type="dxa"/>
            <w:vMerge w:val="restart"/>
            <w:tcBorders>
              <w:top w:val="nil"/>
              <w:left w:val="single" w:sz="4" w:space="0" w:color="auto"/>
              <w:bottom w:val="single" w:sz="4" w:space="0" w:color="auto"/>
              <w:right w:val="single" w:sz="4" w:space="0" w:color="auto"/>
            </w:tcBorders>
            <w:noWrap/>
            <w:vAlign w:val="bottom"/>
            <w:hideMark/>
          </w:tcPr>
          <w:p w14:paraId="37D78B04" w14:textId="77777777" w:rsidR="002B6F30" w:rsidRPr="006015EF" w:rsidRDefault="002B6F30" w:rsidP="00EA4679">
            <w:pPr>
              <w:jc w:val="center"/>
              <w:rPr>
                <w:rFonts w:ascii="Arial" w:hAnsi="Arial" w:cs="Arial"/>
                <w:color w:val="000000"/>
              </w:rPr>
            </w:pPr>
            <w:r w:rsidRPr="006015EF">
              <w:rPr>
                <w:rFonts w:ascii="Arial" w:hAnsi="Arial" w:cs="Arial"/>
                <w:color w:val="000000"/>
              </w:rPr>
              <w:t xml:space="preserve">0.72 </w:t>
            </w:r>
          </w:p>
        </w:tc>
        <w:tc>
          <w:tcPr>
            <w:tcW w:w="1566" w:type="dxa"/>
            <w:vMerge w:val="restart"/>
            <w:tcBorders>
              <w:top w:val="nil"/>
              <w:left w:val="single" w:sz="4" w:space="0" w:color="auto"/>
              <w:bottom w:val="single" w:sz="4" w:space="0" w:color="auto"/>
              <w:right w:val="single" w:sz="4" w:space="0" w:color="auto"/>
            </w:tcBorders>
            <w:noWrap/>
            <w:vAlign w:val="bottom"/>
            <w:hideMark/>
          </w:tcPr>
          <w:p w14:paraId="62FCFC55" w14:textId="77777777" w:rsidR="002B6F30" w:rsidRPr="006015EF" w:rsidRDefault="002B6F30" w:rsidP="00EA4679">
            <w:pPr>
              <w:jc w:val="center"/>
              <w:rPr>
                <w:rFonts w:ascii="Arial" w:hAnsi="Arial" w:cs="Arial"/>
                <w:color w:val="000000"/>
              </w:rPr>
            </w:pPr>
            <w:r w:rsidRPr="006015EF">
              <w:rPr>
                <w:rFonts w:ascii="Arial" w:hAnsi="Arial" w:cs="Arial"/>
                <w:color w:val="000000"/>
              </w:rPr>
              <w:t>0.61</w:t>
            </w:r>
          </w:p>
        </w:tc>
        <w:tc>
          <w:tcPr>
            <w:tcW w:w="1209" w:type="dxa"/>
            <w:vMerge w:val="restart"/>
            <w:tcBorders>
              <w:top w:val="nil"/>
              <w:left w:val="single" w:sz="4" w:space="0" w:color="auto"/>
              <w:bottom w:val="single" w:sz="4" w:space="0" w:color="auto"/>
              <w:right w:val="single" w:sz="4" w:space="0" w:color="auto"/>
            </w:tcBorders>
            <w:noWrap/>
            <w:vAlign w:val="bottom"/>
            <w:hideMark/>
          </w:tcPr>
          <w:p w14:paraId="1E692797" w14:textId="77777777" w:rsidR="002B6F30" w:rsidRPr="006015EF" w:rsidRDefault="002B6F30" w:rsidP="00EA4679">
            <w:pPr>
              <w:jc w:val="center"/>
              <w:rPr>
                <w:rFonts w:ascii="Arial" w:hAnsi="Arial" w:cs="Arial"/>
                <w:color w:val="000000"/>
              </w:rPr>
            </w:pPr>
            <w:r w:rsidRPr="006015EF">
              <w:rPr>
                <w:rFonts w:ascii="Arial" w:hAnsi="Arial" w:cs="Arial"/>
                <w:color w:val="000000"/>
              </w:rPr>
              <w:t>0.5</w:t>
            </w:r>
          </w:p>
        </w:tc>
      </w:tr>
      <w:tr w:rsidR="002B6F30" w:rsidRPr="006015EF" w14:paraId="4D08F2D1"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542B8A3C" w14:textId="77777777" w:rsidR="002B6F30" w:rsidRPr="006015EF" w:rsidRDefault="002B6F30" w:rsidP="00EA4679">
            <w:pPr>
              <w:rPr>
                <w:rFonts w:ascii="Arial" w:hAnsi="Arial" w:cs="Arial"/>
                <w:color w:val="000000"/>
              </w:rPr>
            </w:pPr>
            <w:r w:rsidRPr="006015EF">
              <w:rPr>
                <w:rFonts w:ascii="Arial" w:hAnsi="Arial" w:cs="Arial"/>
                <w:color w:val="000000"/>
              </w:rPr>
              <w:t>Privacy</w:t>
            </w:r>
          </w:p>
        </w:tc>
        <w:tc>
          <w:tcPr>
            <w:tcW w:w="1209" w:type="dxa"/>
            <w:tcBorders>
              <w:top w:val="nil"/>
              <w:left w:val="nil"/>
              <w:bottom w:val="single" w:sz="4" w:space="0" w:color="auto"/>
              <w:right w:val="single" w:sz="4" w:space="0" w:color="auto"/>
            </w:tcBorders>
            <w:noWrap/>
            <w:vAlign w:val="bottom"/>
            <w:hideMark/>
          </w:tcPr>
          <w:p w14:paraId="25630660" w14:textId="77777777" w:rsidR="002B6F30" w:rsidRPr="006015EF" w:rsidRDefault="002B6F30" w:rsidP="00EA4679">
            <w:pPr>
              <w:rPr>
                <w:rFonts w:ascii="Arial" w:hAnsi="Arial" w:cs="Arial"/>
                <w:color w:val="000000"/>
              </w:rPr>
            </w:pPr>
            <w:r w:rsidRPr="006015EF">
              <w:rPr>
                <w:rFonts w:ascii="Arial" w:hAnsi="Arial" w:cs="Arial"/>
                <w:color w:val="000000"/>
              </w:rPr>
              <w:t>PRI2</w:t>
            </w:r>
          </w:p>
        </w:tc>
        <w:tc>
          <w:tcPr>
            <w:tcW w:w="1461" w:type="dxa"/>
            <w:tcBorders>
              <w:top w:val="nil"/>
              <w:left w:val="nil"/>
              <w:bottom w:val="single" w:sz="4" w:space="0" w:color="auto"/>
              <w:right w:val="single" w:sz="4" w:space="0" w:color="auto"/>
            </w:tcBorders>
            <w:noWrap/>
            <w:vAlign w:val="bottom"/>
            <w:hideMark/>
          </w:tcPr>
          <w:p w14:paraId="62F85DE6" w14:textId="77777777" w:rsidR="002B6F30" w:rsidRPr="006015EF" w:rsidRDefault="002B6F30" w:rsidP="00EA4679">
            <w:pPr>
              <w:jc w:val="right"/>
              <w:rPr>
                <w:rFonts w:ascii="Arial" w:hAnsi="Arial" w:cs="Arial"/>
                <w:color w:val="000000"/>
              </w:rPr>
            </w:pPr>
            <w:r w:rsidRPr="006015EF">
              <w:rPr>
                <w:rFonts w:ascii="Arial" w:hAnsi="Arial" w:cs="Arial"/>
                <w:color w:val="000000"/>
              </w:rPr>
              <w:t>0.766</w:t>
            </w:r>
          </w:p>
        </w:tc>
        <w:tc>
          <w:tcPr>
            <w:tcW w:w="1650" w:type="dxa"/>
            <w:vMerge/>
            <w:tcBorders>
              <w:top w:val="nil"/>
              <w:left w:val="single" w:sz="4" w:space="0" w:color="auto"/>
              <w:bottom w:val="single" w:sz="4" w:space="0" w:color="auto"/>
              <w:right w:val="single" w:sz="4" w:space="0" w:color="auto"/>
            </w:tcBorders>
            <w:vAlign w:val="center"/>
            <w:hideMark/>
          </w:tcPr>
          <w:p w14:paraId="6D373644"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7A29B640"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2D41B6A7" w14:textId="77777777" w:rsidR="002B6F30" w:rsidRPr="006015EF" w:rsidRDefault="002B6F30" w:rsidP="00EA4679">
            <w:pPr>
              <w:rPr>
                <w:rFonts w:ascii="Arial" w:hAnsi="Arial" w:cs="Arial"/>
                <w:color w:val="000000"/>
              </w:rPr>
            </w:pPr>
          </w:p>
        </w:tc>
      </w:tr>
      <w:tr w:rsidR="002B6F30" w:rsidRPr="006015EF" w14:paraId="4E4AA36F" w14:textId="77777777" w:rsidTr="004A556F">
        <w:trPr>
          <w:trHeight w:val="294"/>
        </w:trPr>
        <w:tc>
          <w:tcPr>
            <w:tcW w:w="2469" w:type="dxa"/>
            <w:tcBorders>
              <w:top w:val="nil"/>
              <w:left w:val="single" w:sz="4" w:space="0" w:color="auto"/>
              <w:bottom w:val="single" w:sz="4" w:space="0" w:color="auto"/>
              <w:right w:val="single" w:sz="4" w:space="0" w:color="auto"/>
            </w:tcBorders>
            <w:noWrap/>
            <w:vAlign w:val="bottom"/>
            <w:hideMark/>
          </w:tcPr>
          <w:p w14:paraId="6B582712" w14:textId="77777777" w:rsidR="002B6F30" w:rsidRPr="006015EF" w:rsidRDefault="002B6F30" w:rsidP="00EA4679">
            <w:pPr>
              <w:rPr>
                <w:rFonts w:ascii="Arial" w:hAnsi="Arial" w:cs="Arial"/>
                <w:color w:val="000000"/>
              </w:rPr>
            </w:pPr>
            <w:r w:rsidRPr="006015EF">
              <w:rPr>
                <w:rFonts w:ascii="Arial" w:hAnsi="Arial" w:cs="Arial"/>
                <w:color w:val="000000"/>
              </w:rPr>
              <w:t>Privacy</w:t>
            </w:r>
          </w:p>
        </w:tc>
        <w:tc>
          <w:tcPr>
            <w:tcW w:w="1209" w:type="dxa"/>
            <w:tcBorders>
              <w:top w:val="nil"/>
              <w:left w:val="nil"/>
              <w:bottom w:val="single" w:sz="4" w:space="0" w:color="auto"/>
              <w:right w:val="single" w:sz="4" w:space="0" w:color="auto"/>
            </w:tcBorders>
            <w:noWrap/>
            <w:vAlign w:val="bottom"/>
            <w:hideMark/>
          </w:tcPr>
          <w:p w14:paraId="2FDFD401" w14:textId="77777777" w:rsidR="002B6F30" w:rsidRPr="006015EF" w:rsidRDefault="002B6F30" w:rsidP="00EA4679">
            <w:pPr>
              <w:rPr>
                <w:rFonts w:ascii="Arial" w:hAnsi="Arial" w:cs="Arial"/>
                <w:color w:val="000000"/>
              </w:rPr>
            </w:pPr>
            <w:r w:rsidRPr="006015EF">
              <w:rPr>
                <w:rFonts w:ascii="Arial" w:hAnsi="Arial" w:cs="Arial"/>
                <w:color w:val="000000"/>
              </w:rPr>
              <w:t>PRI3</w:t>
            </w:r>
          </w:p>
        </w:tc>
        <w:tc>
          <w:tcPr>
            <w:tcW w:w="1461" w:type="dxa"/>
            <w:tcBorders>
              <w:top w:val="nil"/>
              <w:left w:val="nil"/>
              <w:bottom w:val="single" w:sz="4" w:space="0" w:color="auto"/>
              <w:right w:val="single" w:sz="4" w:space="0" w:color="auto"/>
            </w:tcBorders>
            <w:noWrap/>
            <w:vAlign w:val="bottom"/>
            <w:hideMark/>
          </w:tcPr>
          <w:p w14:paraId="38D4E495" w14:textId="77777777" w:rsidR="002B6F30" w:rsidRPr="006015EF" w:rsidRDefault="002B6F30" w:rsidP="00EA4679">
            <w:pPr>
              <w:jc w:val="right"/>
              <w:rPr>
                <w:rFonts w:ascii="Arial" w:hAnsi="Arial" w:cs="Arial"/>
                <w:color w:val="000000"/>
              </w:rPr>
            </w:pPr>
            <w:r w:rsidRPr="006015EF">
              <w:rPr>
                <w:rFonts w:ascii="Arial" w:hAnsi="Arial" w:cs="Arial"/>
                <w:color w:val="000000"/>
              </w:rPr>
              <w:t>0.525</w:t>
            </w:r>
          </w:p>
        </w:tc>
        <w:tc>
          <w:tcPr>
            <w:tcW w:w="1650" w:type="dxa"/>
            <w:vMerge/>
            <w:tcBorders>
              <w:top w:val="nil"/>
              <w:left w:val="single" w:sz="4" w:space="0" w:color="auto"/>
              <w:bottom w:val="single" w:sz="4" w:space="0" w:color="auto"/>
              <w:right w:val="single" w:sz="4" w:space="0" w:color="auto"/>
            </w:tcBorders>
            <w:vAlign w:val="center"/>
            <w:hideMark/>
          </w:tcPr>
          <w:p w14:paraId="5A520723" w14:textId="77777777" w:rsidR="002B6F30" w:rsidRPr="006015EF" w:rsidRDefault="002B6F30" w:rsidP="00EA4679">
            <w:pPr>
              <w:rPr>
                <w:rFonts w:ascii="Arial" w:hAnsi="Arial" w:cs="Arial"/>
                <w:color w:val="000000"/>
              </w:rPr>
            </w:pPr>
          </w:p>
        </w:tc>
        <w:tc>
          <w:tcPr>
            <w:tcW w:w="1566" w:type="dxa"/>
            <w:vMerge/>
            <w:tcBorders>
              <w:top w:val="nil"/>
              <w:left w:val="single" w:sz="4" w:space="0" w:color="auto"/>
              <w:bottom w:val="single" w:sz="4" w:space="0" w:color="auto"/>
              <w:right w:val="single" w:sz="4" w:space="0" w:color="auto"/>
            </w:tcBorders>
            <w:vAlign w:val="center"/>
            <w:hideMark/>
          </w:tcPr>
          <w:p w14:paraId="17E8AFD8" w14:textId="77777777" w:rsidR="002B6F30" w:rsidRPr="006015EF" w:rsidRDefault="002B6F30" w:rsidP="00EA4679">
            <w:pPr>
              <w:rPr>
                <w:rFonts w:ascii="Arial" w:hAnsi="Arial" w:cs="Arial"/>
                <w:color w:val="000000"/>
              </w:rPr>
            </w:pPr>
          </w:p>
        </w:tc>
        <w:tc>
          <w:tcPr>
            <w:tcW w:w="1209" w:type="dxa"/>
            <w:vMerge/>
            <w:tcBorders>
              <w:top w:val="nil"/>
              <w:left w:val="single" w:sz="4" w:space="0" w:color="auto"/>
              <w:bottom w:val="single" w:sz="4" w:space="0" w:color="auto"/>
              <w:right w:val="single" w:sz="4" w:space="0" w:color="auto"/>
            </w:tcBorders>
            <w:vAlign w:val="center"/>
            <w:hideMark/>
          </w:tcPr>
          <w:p w14:paraId="54AEBB0C" w14:textId="77777777" w:rsidR="002B6F30" w:rsidRPr="006015EF" w:rsidRDefault="002B6F30" w:rsidP="00EA4679">
            <w:pPr>
              <w:rPr>
                <w:rFonts w:ascii="Arial" w:hAnsi="Arial" w:cs="Arial"/>
                <w:color w:val="000000"/>
              </w:rPr>
            </w:pPr>
          </w:p>
        </w:tc>
      </w:tr>
    </w:tbl>
    <w:p w14:paraId="206CBEA1" w14:textId="77777777" w:rsidR="002B6F30" w:rsidRPr="004A556F" w:rsidRDefault="002B6F30" w:rsidP="002B6F30">
      <w:pPr>
        <w:spacing w:before="240" w:line="480" w:lineRule="auto"/>
        <w:jc w:val="center"/>
        <w:rPr>
          <w:rFonts w:ascii="Arial" w:hAnsi="Arial" w:cs="Arial"/>
          <w:b/>
        </w:rPr>
      </w:pPr>
      <w:r w:rsidRPr="004A556F">
        <w:rPr>
          <w:rFonts w:ascii="Arial" w:hAnsi="Arial" w:cs="Arial"/>
          <w:b/>
        </w:rPr>
        <w:t>Table 3. Shows the model fitness of structural equation model (SEM)</w:t>
      </w:r>
    </w:p>
    <w:tbl>
      <w:tblPr>
        <w:tblStyle w:val="TableGrid"/>
        <w:tblW w:w="6335" w:type="dxa"/>
        <w:tblInd w:w="1516" w:type="dxa"/>
        <w:tblLook w:val="04A0" w:firstRow="1" w:lastRow="0" w:firstColumn="1" w:lastColumn="0" w:noHBand="0" w:noVBand="1"/>
      </w:tblPr>
      <w:tblGrid>
        <w:gridCol w:w="1136"/>
        <w:gridCol w:w="3691"/>
        <w:gridCol w:w="1508"/>
      </w:tblGrid>
      <w:tr w:rsidR="002B6F30" w:rsidRPr="004A556F" w14:paraId="35893185" w14:textId="77777777" w:rsidTr="00EA4679">
        <w:trPr>
          <w:trHeight w:val="271"/>
        </w:trPr>
        <w:tc>
          <w:tcPr>
            <w:tcW w:w="1136" w:type="dxa"/>
          </w:tcPr>
          <w:p w14:paraId="06D9F026" w14:textId="77777777" w:rsidR="002B6F30" w:rsidRPr="004A556F" w:rsidRDefault="002B6F30" w:rsidP="00EA4679">
            <w:pPr>
              <w:pStyle w:val="NormalWeb"/>
              <w:spacing w:line="360" w:lineRule="auto"/>
              <w:jc w:val="both"/>
              <w:rPr>
                <w:rFonts w:ascii="Arial" w:hAnsi="Arial" w:cs="Arial"/>
                <w:b/>
                <w:sz w:val="20"/>
                <w:szCs w:val="20"/>
              </w:rPr>
            </w:pPr>
            <w:r w:rsidRPr="004A556F">
              <w:rPr>
                <w:rFonts w:ascii="Arial" w:hAnsi="Arial" w:cs="Arial"/>
                <w:b/>
                <w:sz w:val="20"/>
                <w:szCs w:val="20"/>
              </w:rPr>
              <w:t>INDEX</w:t>
            </w:r>
          </w:p>
        </w:tc>
        <w:tc>
          <w:tcPr>
            <w:tcW w:w="3691" w:type="dxa"/>
          </w:tcPr>
          <w:p w14:paraId="71DE841E" w14:textId="77777777" w:rsidR="002B6F30" w:rsidRPr="004A556F" w:rsidRDefault="002B6F30" w:rsidP="00EA4679">
            <w:pPr>
              <w:pStyle w:val="NormalWeb"/>
              <w:spacing w:line="360" w:lineRule="auto"/>
              <w:jc w:val="both"/>
              <w:rPr>
                <w:rFonts w:ascii="Arial" w:hAnsi="Arial" w:cs="Arial"/>
                <w:b/>
                <w:sz w:val="20"/>
                <w:szCs w:val="20"/>
              </w:rPr>
            </w:pPr>
            <w:r w:rsidRPr="004A556F">
              <w:rPr>
                <w:rFonts w:ascii="Arial" w:hAnsi="Arial" w:cs="Arial"/>
                <w:b/>
                <w:sz w:val="20"/>
                <w:szCs w:val="20"/>
              </w:rPr>
              <w:t>THRESHOLD</w:t>
            </w:r>
          </w:p>
        </w:tc>
        <w:tc>
          <w:tcPr>
            <w:tcW w:w="1508" w:type="dxa"/>
          </w:tcPr>
          <w:p w14:paraId="007F7A73" w14:textId="77777777" w:rsidR="002B6F30" w:rsidRPr="004A556F" w:rsidRDefault="002B6F30" w:rsidP="00EA4679">
            <w:pPr>
              <w:pStyle w:val="NormalWeb"/>
              <w:spacing w:line="360" w:lineRule="auto"/>
              <w:jc w:val="both"/>
              <w:rPr>
                <w:rFonts w:ascii="Arial" w:hAnsi="Arial" w:cs="Arial"/>
                <w:b/>
                <w:sz w:val="20"/>
                <w:szCs w:val="20"/>
              </w:rPr>
            </w:pPr>
            <w:r w:rsidRPr="004A556F">
              <w:rPr>
                <w:rFonts w:ascii="Arial" w:hAnsi="Arial" w:cs="Arial"/>
                <w:b/>
                <w:sz w:val="20"/>
                <w:szCs w:val="20"/>
              </w:rPr>
              <w:t>ESTIMATE</w:t>
            </w:r>
          </w:p>
        </w:tc>
      </w:tr>
      <w:tr w:rsidR="002B6F30" w:rsidRPr="004A556F" w14:paraId="6768598B" w14:textId="77777777" w:rsidTr="00EA4679">
        <w:trPr>
          <w:trHeight w:val="261"/>
        </w:trPr>
        <w:tc>
          <w:tcPr>
            <w:tcW w:w="1136" w:type="dxa"/>
          </w:tcPr>
          <w:p w14:paraId="6B3D8771"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CMIN</w:t>
            </w:r>
          </w:p>
        </w:tc>
        <w:tc>
          <w:tcPr>
            <w:tcW w:w="3691" w:type="dxa"/>
          </w:tcPr>
          <w:p w14:paraId="3281F456" w14:textId="77777777" w:rsidR="002B6F30" w:rsidRPr="004A556F" w:rsidRDefault="002B6F30" w:rsidP="00EA4679">
            <w:pPr>
              <w:pStyle w:val="NormalWeb"/>
              <w:spacing w:line="360" w:lineRule="auto"/>
              <w:jc w:val="both"/>
              <w:rPr>
                <w:rFonts w:ascii="Arial" w:hAnsi="Arial" w:cs="Arial"/>
                <w:sz w:val="20"/>
                <w:szCs w:val="20"/>
              </w:rPr>
            </w:pPr>
          </w:p>
        </w:tc>
        <w:tc>
          <w:tcPr>
            <w:tcW w:w="1508" w:type="dxa"/>
          </w:tcPr>
          <w:p w14:paraId="3E874B81"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256.120</w:t>
            </w:r>
          </w:p>
        </w:tc>
      </w:tr>
      <w:tr w:rsidR="002B6F30" w:rsidRPr="004A556F" w14:paraId="0A36FC65" w14:textId="77777777" w:rsidTr="00EA4679">
        <w:trPr>
          <w:trHeight w:val="271"/>
        </w:trPr>
        <w:tc>
          <w:tcPr>
            <w:tcW w:w="1136" w:type="dxa"/>
          </w:tcPr>
          <w:p w14:paraId="294026DA"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DF</w:t>
            </w:r>
          </w:p>
        </w:tc>
        <w:tc>
          <w:tcPr>
            <w:tcW w:w="3691" w:type="dxa"/>
          </w:tcPr>
          <w:p w14:paraId="1D1F4E9E" w14:textId="77777777" w:rsidR="002B6F30" w:rsidRPr="004A556F" w:rsidRDefault="002B6F30" w:rsidP="00EA4679">
            <w:pPr>
              <w:pStyle w:val="NormalWeb"/>
              <w:spacing w:line="360" w:lineRule="auto"/>
              <w:jc w:val="both"/>
              <w:rPr>
                <w:rFonts w:ascii="Arial" w:hAnsi="Arial" w:cs="Arial"/>
                <w:sz w:val="20"/>
                <w:szCs w:val="20"/>
              </w:rPr>
            </w:pPr>
          </w:p>
        </w:tc>
        <w:tc>
          <w:tcPr>
            <w:tcW w:w="1508" w:type="dxa"/>
          </w:tcPr>
          <w:p w14:paraId="5517B992"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84</w:t>
            </w:r>
          </w:p>
        </w:tc>
      </w:tr>
      <w:tr w:rsidR="002B6F30" w:rsidRPr="004A556F" w14:paraId="693E2B02" w14:textId="77777777" w:rsidTr="00EA4679">
        <w:trPr>
          <w:trHeight w:val="724"/>
        </w:trPr>
        <w:tc>
          <w:tcPr>
            <w:tcW w:w="1136" w:type="dxa"/>
          </w:tcPr>
          <w:p w14:paraId="7A7D66CF"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CMIN/DF</w:t>
            </w:r>
          </w:p>
        </w:tc>
        <w:tc>
          <w:tcPr>
            <w:tcW w:w="3691" w:type="dxa"/>
          </w:tcPr>
          <w:p w14:paraId="37DE1547"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Less than 3 is Ideal. The value between 3 and 5 are acceptable (</w:t>
            </w:r>
            <w:proofErr w:type="spellStart"/>
            <w:proofErr w:type="gramStart"/>
            <w:r w:rsidRPr="004A556F">
              <w:rPr>
                <w:rFonts w:ascii="Arial" w:hAnsi="Arial" w:cs="Arial"/>
                <w:sz w:val="20"/>
                <w:szCs w:val="20"/>
              </w:rPr>
              <w:t>Hair,Black</w:t>
            </w:r>
            <w:proofErr w:type="gramEnd"/>
            <w:r w:rsidRPr="004A556F">
              <w:rPr>
                <w:rFonts w:ascii="Arial" w:hAnsi="Arial" w:cs="Arial"/>
                <w:sz w:val="20"/>
                <w:szCs w:val="20"/>
              </w:rPr>
              <w:t>,Babin</w:t>
            </w:r>
            <w:proofErr w:type="spellEnd"/>
            <w:r w:rsidRPr="004A556F">
              <w:rPr>
                <w:rFonts w:ascii="Arial" w:hAnsi="Arial" w:cs="Arial"/>
                <w:sz w:val="20"/>
                <w:szCs w:val="20"/>
              </w:rPr>
              <w:t>,&amp; Anderson,2010)</w:t>
            </w:r>
          </w:p>
        </w:tc>
        <w:tc>
          <w:tcPr>
            <w:tcW w:w="1508" w:type="dxa"/>
          </w:tcPr>
          <w:p w14:paraId="5DE304DB"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3.049</w:t>
            </w:r>
          </w:p>
        </w:tc>
      </w:tr>
      <w:tr w:rsidR="002B6F30" w:rsidRPr="004A556F" w14:paraId="3DD0612B" w14:textId="77777777" w:rsidTr="00EA4679">
        <w:trPr>
          <w:trHeight w:val="312"/>
        </w:trPr>
        <w:tc>
          <w:tcPr>
            <w:tcW w:w="1136" w:type="dxa"/>
          </w:tcPr>
          <w:p w14:paraId="1104E9AF"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GFI</w:t>
            </w:r>
          </w:p>
        </w:tc>
        <w:tc>
          <w:tcPr>
            <w:tcW w:w="3691" w:type="dxa"/>
          </w:tcPr>
          <w:p w14:paraId="04859F04"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Greater than 0.9</w:t>
            </w:r>
          </w:p>
        </w:tc>
        <w:tc>
          <w:tcPr>
            <w:tcW w:w="1508" w:type="dxa"/>
          </w:tcPr>
          <w:p w14:paraId="15321806"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0.942</w:t>
            </w:r>
          </w:p>
        </w:tc>
      </w:tr>
      <w:tr w:rsidR="002B6F30" w:rsidRPr="004A556F" w14:paraId="0D4FB63D" w14:textId="77777777" w:rsidTr="00EA4679">
        <w:trPr>
          <w:trHeight w:val="340"/>
        </w:trPr>
        <w:tc>
          <w:tcPr>
            <w:tcW w:w="1136" w:type="dxa"/>
          </w:tcPr>
          <w:p w14:paraId="7E2C70EE"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AGFI</w:t>
            </w:r>
          </w:p>
        </w:tc>
        <w:tc>
          <w:tcPr>
            <w:tcW w:w="3691" w:type="dxa"/>
          </w:tcPr>
          <w:p w14:paraId="09F55127"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Greater than 0.9</w:t>
            </w:r>
          </w:p>
        </w:tc>
        <w:tc>
          <w:tcPr>
            <w:tcW w:w="1508" w:type="dxa"/>
          </w:tcPr>
          <w:p w14:paraId="2336EDDB"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0.918</w:t>
            </w:r>
          </w:p>
        </w:tc>
      </w:tr>
      <w:tr w:rsidR="002B6F30" w:rsidRPr="004A556F" w14:paraId="0179AF3C" w14:textId="77777777" w:rsidTr="00EA4679">
        <w:trPr>
          <w:trHeight w:val="469"/>
        </w:trPr>
        <w:tc>
          <w:tcPr>
            <w:tcW w:w="1136" w:type="dxa"/>
          </w:tcPr>
          <w:p w14:paraId="460F072B"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CFI</w:t>
            </w:r>
          </w:p>
        </w:tc>
        <w:tc>
          <w:tcPr>
            <w:tcW w:w="3691" w:type="dxa"/>
          </w:tcPr>
          <w:p w14:paraId="4992E1A0"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Values greater than 0.90 (Hooper, Coughlan &amp; Mullen,2008)</w:t>
            </w:r>
          </w:p>
        </w:tc>
        <w:tc>
          <w:tcPr>
            <w:tcW w:w="1508" w:type="dxa"/>
          </w:tcPr>
          <w:p w14:paraId="22E68B46"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0.949</w:t>
            </w:r>
          </w:p>
        </w:tc>
      </w:tr>
      <w:tr w:rsidR="002B6F30" w:rsidRPr="004A556F" w14:paraId="4184ECF8" w14:textId="77777777" w:rsidTr="00EA4679">
        <w:trPr>
          <w:trHeight w:val="271"/>
        </w:trPr>
        <w:tc>
          <w:tcPr>
            <w:tcW w:w="1136" w:type="dxa"/>
          </w:tcPr>
          <w:p w14:paraId="34444A1E"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RMR</w:t>
            </w:r>
          </w:p>
        </w:tc>
        <w:tc>
          <w:tcPr>
            <w:tcW w:w="3691" w:type="dxa"/>
          </w:tcPr>
          <w:p w14:paraId="3ADC3904"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&lt;0.08</w:t>
            </w:r>
          </w:p>
        </w:tc>
        <w:tc>
          <w:tcPr>
            <w:tcW w:w="1508" w:type="dxa"/>
          </w:tcPr>
          <w:p w14:paraId="2D8424CF"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0.048</w:t>
            </w:r>
          </w:p>
        </w:tc>
      </w:tr>
      <w:tr w:rsidR="002B6F30" w:rsidRPr="004A556F" w14:paraId="59039AF9" w14:textId="77777777" w:rsidTr="00EA4679">
        <w:trPr>
          <w:trHeight w:val="470"/>
        </w:trPr>
        <w:tc>
          <w:tcPr>
            <w:tcW w:w="1136" w:type="dxa"/>
          </w:tcPr>
          <w:p w14:paraId="2383C2C8"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RMSEA</w:t>
            </w:r>
          </w:p>
        </w:tc>
        <w:tc>
          <w:tcPr>
            <w:tcW w:w="3691" w:type="dxa"/>
          </w:tcPr>
          <w:p w14:paraId="10D44096"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Less than 0.05 is good. Between 0.05 to 0.10 moderate (Hu &amp;Bentler, 2019)</w:t>
            </w:r>
          </w:p>
        </w:tc>
        <w:tc>
          <w:tcPr>
            <w:tcW w:w="1508" w:type="dxa"/>
          </w:tcPr>
          <w:p w14:paraId="39BE6A5F"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0.064</w:t>
            </w:r>
          </w:p>
        </w:tc>
      </w:tr>
    </w:tbl>
    <w:p w14:paraId="7A5D21D6" w14:textId="77777777" w:rsidR="006015EF" w:rsidRDefault="006015EF" w:rsidP="004A556F">
      <w:pPr>
        <w:autoSpaceDE w:val="0"/>
        <w:autoSpaceDN w:val="0"/>
        <w:adjustRightInd w:val="0"/>
        <w:spacing w:before="240" w:line="276" w:lineRule="auto"/>
        <w:jc w:val="both"/>
        <w:rPr>
          <w:rFonts w:ascii="Arial" w:hAnsi="Arial" w:cs="Arial"/>
          <w:b/>
          <w:color w:val="000000"/>
          <w:sz w:val="22"/>
          <w:szCs w:val="22"/>
        </w:rPr>
      </w:pPr>
    </w:p>
    <w:p w14:paraId="61E817B6" w14:textId="77777777" w:rsidR="006015EF" w:rsidRDefault="006015EF" w:rsidP="004A556F">
      <w:pPr>
        <w:autoSpaceDE w:val="0"/>
        <w:autoSpaceDN w:val="0"/>
        <w:adjustRightInd w:val="0"/>
        <w:spacing w:before="240" w:line="276" w:lineRule="auto"/>
        <w:jc w:val="both"/>
        <w:rPr>
          <w:rFonts w:ascii="Arial" w:hAnsi="Arial" w:cs="Arial"/>
          <w:b/>
          <w:color w:val="000000"/>
          <w:sz w:val="22"/>
          <w:szCs w:val="22"/>
        </w:rPr>
      </w:pPr>
    </w:p>
    <w:p w14:paraId="1FE27C75" w14:textId="77777777" w:rsidR="006015EF" w:rsidRDefault="006015EF" w:rsidP="004A556F">
      <w:pPr>
        <w:autoSpaceDE w:val="0"/>
        <w:autoSpaceDN w:val="0"/>
        <w:adjustRightInd w:val="0"/>
        <w:spacing w:before="240" w:line="276" w:lineRule="auto"/>
        <w:jc w:val="both"/>
        <w:rPr>
          <w:rFonts w:ascii="Arial" w:hAnsi="Arial" w:cs="Arial"/>
          <w:b/>
          <w:color w:val="000000"/>
          <w:sz w:val="22"/>
          <w:szCs w:val="22"/>
        </w:rPr>
      </w:pPr>
    </w:p>
    <w:p w14:paraId="4ECD5817" w14:textId="77777777" w:rsidR="002B6F30" w:rsidRPr="004A556F" w:rsidRDefault="004A556F" w:rsidP="004A556F">
      <w:pPr>
        <w:autoSpaceDE w:val="0"/>
        <w:autoSpaceDN w:val="0"/>
        <w:adjustRightInd w:val="0"/>
        <w:spacing w:before="240" w:line="276" w:lineRule="auto"/>
        <w:jc w:val="both"/>
        <w:rPr>
          <w:rFonts w:ascii="Arial" w:hAnsi="Arial" w:cs="Arial"/>
          <w:b/>
          <w:color w:val="000000"/>
          <w:sz w:val="22"/>
          <w:szCs w:val="22"/>
        </w:rPr>
      </w:pPr>
      <w:r>
        <w:rPr>
          <w:rFonts w:ascii="Arial" w:hAnsi="Arial" w:cs="Arial"/>
          <w:b/>
          <w:color w:val="000000"/>
          <w:sz w:val="22"/>
          <w:szCs w:val="22"/>
        </w:rPr>
        <w:t>3.3.</w:t>
      </w:r>
      <w:r w:rsidRPr="004A556F">
        <w:rPr>
          <w:rFonts w:ascii="Arial" w:hAnsi="Arial" w:cs="Arial"/>
          <w:b/>
          <w:color w:val="000000"/>
          <w:sz w:val="22"/>
          <w:szCs w:val="22"/>
        </w:rPr>
        <w:t xml:space="preserve"> Structural</w:t>
      </w:r>
      <w:r w:rsidR="002B6F30" w:rsidRPr="004A556F">
        <w:rPr>
          <w:rFonts w:ascii="Arial" w:hAnsi="Arial" w:cs="Arial"/>
          <w:b/>
          <w:color w:val="000000"/>
          <w:sz w:val="22"/>
          <w:szCs w:val="22"/>
        </w:rPr>
        <w:t xml:space="preserve"> Model and Hypothesis Testing </w:t>
      </w:r>
    </w:p>
    <w:p w14:paraId="36B93E0D" w14:textId="77777777" w:rsidR="002B6F30" w:rsidRDefault="002B6F30" w:rsidP="002B6F30">
      <w:pPr>
        <w:autoSpaceDE w:val="0"/>
        <w:autoSpaceDN w:val="0"/>
        <w:adjustRightInd w:val="0"/>
        <w:spacing w:before="240" w:line="276" w:lineRule="auto"/>
        <w:jc w:val="both"/>
        <w:rPr>
          <w:color w:val="000000" w:themeColor="text1"/>
        </w:rPr>
      </w:pPr>
      <w:r w:rsidRPr="002410A5">
        <w:rPr>
          <w:color w:val="000000" w:themeColor="text1"/>
        </w:rPr>
        <w:t xml:space="preserve">The first hypothesis, Ha1, investigates the influence of E-service quality relation to perceived value. The result observed from Table </w:t>
      </w:r>
      <w:r w:rsidR="006015EF">
        <w:rPr>
          <w:color w:val="000000" w:themeColor="text1"/>
        </w:rPr>
        <w:t>4</w:t>
      </w:r>
      <w:r w:rsidRPr="002410A5">
        <w:rPr>
          <w:color w:val="000000" w:themeColor="text1"/>
        </w:rPr>
        <w:t xml:space="preserve">. indicates a positive association between e-service quality and perceived value as the p-value is less than the significant alpha level of 0.05 (β = 0.122; C.R. = 2.658; p = 0.008). The beta value explains that for every one-unit increase in e-service quality, a 0.122 unit increase in perceived value can be expected. This indicates that e-service quality is an important determinant in shaping customers’ value perceptions. </w:t>
      </w:r>
      <w:r w:rsidRPr="002410A5">
        <w:rPr>
          <w:color w:val="000000" w:themeColor="text1"/>
        </w:rPr>
        <w:lastRenderedPageBreak/>
        <w:t xml:space="preserve">Therefore, Hypothesis H1 is accepted. Similarly, the second hypothesis Ha2, Influence of Age is related to perceived value. The results further show that age has a significant positive relationship with perceived value (β = 0.361; C.R. = 8.603; p &lt; 0.001). The beta coefficient suggests that for every one-unit increase in customer age, perceived value increases by 0.361 units. Hence, Hypothesis H2 is supported. Ha3, Influence of Income is related to perceived value. Contrary to expectations, income shows a negative but statistically significant relationship with perceived value (β = -0.088; C.R. = -2.112; p = 0.035). The beta coefficient indicates that for every one-unit increase in income, perceived value decreases by 0.088 units. In practical terms, higher-income customers tend to perceive lower value from online fish portals, possibly because they have more alternative sources or higher expectations of service standards. For every 10 high-income customers, at least 1 perceives less value compared to those with lower or moderate incomes. This shows that while income influences perceived value, it does so negatively. Therefore, Hypothesis Ha3 is accepted. The Ha4, Influence of Perceived value is related to loyalty intention. The results demonstrate that perceived value has a strong positive effect on loyalty intention (β = 0.341; C.R. = 7.750; p &lt; 0.001). The beta value suggests that for every one-unit increase in perceived value, loyalty intention increases by 0.341 units. Thus, Hypothesis Ha4 is accepted. Ha5, Influence of E-service quality is related to loyalty intention. The direct effect of e-service quality on loyalty intention is found to be insignificant (β = 0.043; C.R. = 0.985; p = 0.325), as the p-value exceeds the alpha level of 0.05. This means that e-service quality does not directly influence customer loyalty. In practical terms, customers do not remain loyal solely based on service quality; instead, they need to feel that the service translates into real value. This indicates that e-service quality influences loyalty indirectly through perceived value, acting more as a foundation than a direct driver of loyalty. Therefore, Hypothesis H5 is not supported. </w:t>
      </w:r>
    </w:p>
    <w:p w14:paraId="7B8E4E70" w14:textId="77777777" w:rsidR="006015EF" w:rsidRPr="004A556F" w:rsidRDefault="006015EF" w:rsidP="006015EF">
      <w:pPr>
        <w:autoSpaceDE w:val="0"/>
        <w:autoSpaceDN w:val="0"/>
        <w:adjustRightInd w:val="0"/>
        <w:spacing w:before="240" w:line="276" w:lineRule="auto"/>
        <w:jc w:val="center"/>
        <w:rPr>
          <w:rFonts w:ascii="Arial" w:hAnsi="Arial" w:cs="Arial"/>
          <w:b/>
          <w:color w:val="000000" w:themeColor="text1"/>
        </w:rPr>
      </w:pPr>
      <w:r w:rsidRPr="004A556F">
        <w:rPr>
          <w:rFonts w:ascii="Arial" w:hAnsi="Arial" w:cs="Arial"/>
          <w:b/>
          <w:color w:val="000000" w:themeColor="text1"/>
        </w:rPr>
        <w:t>Table 4. Structural Equation Model Result</w:t>
      </w:r>
    </w:p>
    <w:tbl>
      <w:tblPr>
        <w:tblW w:w="952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97"/>
        <w:gridCol w:w="493"/>
        <w:gridCol w:w="1950"/>
        <w:gridCol w:w="988"/>
        <w:gridCol w:w="767"/>
        <w:gridCol w:w="970"/>
        <w:gridCol w:w="767"/>
        <w:gridCol w:w="1796"/>
      </w:tblGrid>
      <w:tr w:rsidR="006015EF" w:rsidRPr="006015EF" w14:paraId="22A8E3C4" w14:textId="77777777" w:rsidTr="00A67198">
        <w:trPr>
          <w:trHeight w:val="520"/>
          <w:tblHeader/>
        </w:trPr>
        <w:tc>
          <w:tcPr>
            <w:tcW w:w="0" w:type="auto"/>
            <w:tcBorders>
              <w:bottom w:val="single" w:sz="6" w:space="0" w:color="auto"/>
            </w:tcBorders>
            <w:tcMar>
              <w:top w:w="15" w:type="dxa"/>
              <w:left w:w="140" w:type="dxa"/>
              <w:bottom w:w="15" w:type="dxa"/>
              <w:right w:w="140" w:type="dxa"/>
            </w:tcMar>
            <w:vAlign w:val="center"/>
            <w:hideMark/>
          </w:tcPr>
          <w:p w14:paraId="1D64171A" w14:textId="77777777" w:rsidR="006015EF" w:rsidRPr="006015EF" w:rsidRDefault="006015EF" w:rsidP="00A67198">
            <w:pPr>
              <w:autoSpaceDE w:val="0"/>
              <w:autoSpaceDN w:val="0"/>
              <w:adjustRightInd w:val="0"/>
              <w:spacing w:before="240" w:line="276" w:lineRule="auto"/>
              <w:jc w:val="both"/>
              <w:rPr>
                <w:rFonts w:ascii="Arial" w:hAnsi="Arial" w:cs="Arial"/>
                <w:b/>
                <w:color w:val="000000" w:themeColor="text1"/>
                <w:lang w:val="en"/>
              </w:rPr>
            </w:pPr>
            <w:r w:rsidRPr="006015EF">
              <w:rPr>
                <w:rFonts w:ascii="Arial" w:hAnsi="Arial" w:cs="Arial"/>
                <w:b/>
                <w:color w:val="000000" w:themeColor="text1"/>
                <w:lang w:val="en"/>
              </w:rPr>
              <w:t>Relationship</w:t>
            </w:r>
          </w:p>
        </w:tc>
        <w:tc>
          <w:tcPr>
            <w:tcW w:w="0" w:type="auto"/>
            <w:tcBorders>
              <w:bottom w:val="single" w:sz="6" w:space="0" w:color="auto"/>
            </w:tcBorders>
            <w:tcMar>
              <w:top w:w="15" w:type="dxa"/>
              <w:left w:w="140" w:type="dxa"/>
              <w:bottom w:w="15" w:type="dxa"/>
              <w:right w:w="140" w:type="dxa"/>
            </w:tcMar>
            <w:vAlign w:val="center"/>
            <w:hideMark/>
          </w:tcPr>
          <w:p w14:paraId="23D6F007" w14:textId="77777777" w:rsidR="006015EF" w:rsidRPr="006015EF" w:rsidRDefault="006015EF" w:rsidP="00A67198">
            <w:pPr>
              <w:autoSpaceDE w:val="0"/>
              <w:autoSpaceDN w:val="0"/>
              <w:adjustRightInd w:val="0"/>
              <w:spacing w:before="240" w:line="276" w:lineRule="auto"/>
              <w:jc w:val="both"/>
              <w:rPr>
                <w:rFonts w:ascii="Arial" w:hAnsi="Arial" w:cs="Arial"/>
                <w:b/>
                <w:color w:val="000000" w:themeColor="text1"/>
                <w:lang w:val="en-IN"/>
              </w:rPr>
            </w:pPr>
          </w:p>
        </w:tc>
        <w:tc>
          <w:tcPr>
            <w:tcW w:w="0" w:type="auto"/>
            <w:tcBorders>
              <w:bottom w:val="single" w:sz="6" w:space="0" w:color="auto"/>
              <w:right w:val="single" w:sz="4" w:space="0" w:color="auto"/>
            </w:tcBorders>
            <w:tcMar>
              <w:top w:w="15" w:type="dxa"/>
              <w:left w:w="140" w:type="dxa"/>
              <w:bottom w:w="15" w:type="dxa"/>
              <w:right w:w="140" w:type="dxa"/>
            </w:tcMar>
            <w:vAlign w:val="center"/>
            <w:hideMark/>
          </w:tcPr>
          <w:p w14:paraId="07C2FD23" w14:textId="77777777" w:rsidR="006015EF" w:rsidRPr="006015EF" w:rsidRDefault="006015EF" w:rsidP="00A67198">
            <w:pPr>
              <w:autoSpaceDE w:val="0"/>
              <w:autoSpaceDN w:val="0"/>
              <w:adjustRightInd w:val="0"/>
              <w:spacing w:before="240" w:line="276" w:lineRule="auto"/>
              <w:jc w:val="both"/>
              <w:rPr>
                <w:rFonts w:ascii="Arial" w:hAnsi="Arial" w:cs="Arial"/>
                <w:b/>
                <w:color w:val="000000" w:themeColor="text1"/>
                <w:lang w:val="en-I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75CADB" w14:textId="77777777" w:rsidR="006015EF" w:rsidRPr="006015EF" w:rsidRDefault="006015EF" w:rsidP="00A67198">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Estimate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414AA" w14:textId="77777777" w:rsidR="006015EF" w:rsidRPr="006015EF" w:rsidRDefault="006015EF" w:rsidP="00A67198">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9C9A72F" w14:textId="77777777" w:rsidR="006015EF" w:rsidRPr="006015EF" w:rsidRDefault="006015EF" w:rsidP="00A67198">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C.R.</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F7F5A" w14:textId="77777777" w:rsidR="006015EF" w:rsidRPr="006015EF" w:rsidRDefault="006015EF" w:rsidP="00A67198">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P</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59243" w14:textId="77777777" w:rsidR="006015EF" w:rsidRPr="006015EF" w:rsidRDefault="006015EF" w:rsidP="00A67198">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Result</w:t>
            </w:r>
          </w:p>
        </w:tc>
      </w:tr>
      <w:tr w:rsidR="006015EF" w:rsidRPr="006015EF" w14:paraId="548E2DF6" w14:textId="77777777" w:rsidTr="00A67198">
        <w:trPr>
          <w:trHeight w:val="520"/>
        </w:trPr>
        <w:tc>
          <w:tcPr>
            <w:tcW w:w="0" w:type="auto"/>
            <w:tcBorders>
              <w:bottom w:val="single" w:sz="4" w:space="0" w:color="auto"/>
            </w:tcBorders>
            <w:tcMar>
              <w:top w:w="15" w:type="dxa"/>
              <w:left w:w="57" w:type="dxa"/>
              <w:bottom w:w="15" w:type="dxa"/>
              <w:right w:w="57" w:type="dxa"/>
            </w:tcMar>
            <w:vAlign w:val="center"/>
            <w:hideMark/>
          </w:tcPr>
          <w:p w14:paraId="44369E5C"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Perceived value</w:t>
            </w:r>
          </w:p>
        </w:tc>
        <w:tc>
          <w:tcPr>
            <w:tcW w:w="0" w:type="auto"/>
            <w:tcBorders>
              <w:bottom w:val="single" w:sz="4" w:space="0" w:color="auto"/>
            </w:tcBorders>
            <w:noWrap/>
            <w:tcMar>
              <w:top w:w="15" w:type="dxa"/>
              <w:left w:w="57" w:type="dxa"/>
              <w:bottom w:w="15" w:type="dxa"/>
              <w:right w:w="57" w:type="dxa"/>
            </w:tcMar>
            <w:vAlign w:val="center"/>
            <w:hideMark/>
          </w:tcPr>
          <w:p w14:paraId="7E66062F"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bottom w:val="single" w:sz="4" w:space="0" w:color="auto"/>
              <w:right w:val="single" w:sz="4" w:space="0" w:color="auto"/>
            </w:tcBorders>
            <w:tcMar>
              <w:top w:w="15" w:type="dxa"/>
              <w:left w:w="140" w:type="dxa"/>
              <w:bottom w:w="15" w:type="dxa"/>
              <w:right w:w="140" w:type="dxa"/>
            </w:tcMar>
            <w:vAlign w:val="center"/>
            <w:hideMark/>
          </w:tcPr>
          <w:p w14:paraId="2B084651"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proofErr w:type="spellStart"/>
            <w:r w:rsidRPr="006015EF">
              <w:rPr>
                <w:rFonts w:ascii="Arial" w:hAnsi="Arial" w:cs="Arial"/>
                <w:color w:val="000000" w:themeColor="text1"/>
                <w:lang w:val="en-IN"/>
              </w:rPr>
              <w:t>EServicequality</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777E5409"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.122</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46AC977"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.041</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FBFBF29"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2.658</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0A155513"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.008</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F6D70D2"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 xml:space="preserve">Significant </w:t>
            </w:r>
          </w:p>
        </w:tc>
      </w:tr>
      <w:tr w:rsidR="006015EF" w:rsidRPr="006015EF" w14:paraId="39569916" w14:textId="77777777" w:rsidTr="00A67198">
        <w:trPr>
          <w:trHeight w:val="520"/>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6D861201"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Perceived value</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4B6D8FD2"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45335503"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Age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5D51393E"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.361</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00DE19C"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.025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7F94C83A"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8.603</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09D25FDF"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.000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6B498CB"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Significant</w:t>
            </w:r>
          </w:p>
        </w:tc>
      </w:tr>
      <w:tr w:rsidR="006015EF" w:rsidRPr="006015EF" w14:paraId="345D1C4D" w14:textId="77777777" w:rsidTr="00A67198">
        <w:trPr>
          <w:trHeight w:val="520"/>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4A3BA5B3"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Perceived value</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6D50B385"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4C03D9F2"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Income</w:t>
            </w:r>
          </w:p>
        </w:tc>
        <w:tc>
          <w:tcPr>
            <w:tcW w:w="0" w:type="auto"/>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hideMark/>
          </w:tcPr>
          <w:p w14:paraId="4ACCF0A8"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-.088</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3392B68"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.016</w:t>
            </w:r>
          </w:p>
        </w:tc>
        <w:tc>
          <w:tcPr>
            <w:tcW w:w="0" w:type="auto"/>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vAlign w:val="center"/>
            <w:hideMark/>
          </w:tcPr>
          <w:p w14:paraId="33430E79"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-2.112</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2E8EFBB2"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.035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E5A96EF"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Significant</w:t>
            </w:r>
          </w:p>
        </w:tc>
      </w:tr>
      <w:tr w:rsidR="006015EF" w:rsidRPr="006015EF" w14:paraId="1C715442" w14:textId="77777777" w:rsidTr="00A67198">
        <w:trPr>
          <w:trHeight w:val="520"/>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731388C4"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Loyalty Intention</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4F72BC64"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7FB22576"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Perceived value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7054179A"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.341</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51A52F9"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.070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DEE072E"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7.750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F9638B0"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.000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7109B4FD"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Significant</w:t>
            </w:r>
          </w:p>
        </w:tc>
      </w:tr>
      <w:tr w:rsidR="006015EF" w:rsidRPr="006015EF" w14:paraId="1AFC5887" w14:textId="77777777" w:rsidTr="00A67198">
        <w:trPr>
          <w:trHeight w:val="520"/>
        </w:trPr>
        <w:tc>
          <w:tcPr>
            <w:tcW w:w="0" w:type="auto"/>
            <w:tcBorders>
              <w:top w:val="single" w:sz="4" w:space="0" w:color="auto"/>
            </w:tcBorders>
            <w:tcMar>
              <w:top w:w="15" w:type="dxa"/>
              <w:left w:w="57" w:type="dxa"/>
              <w:bottom w:w="15" w:type="dxa"/>
              <w:right w:w="57" w:type="dxa"/>
            </w:tcMar>
            <w:vAlign w:val="center"/>
            <w:hideMark/>
          </w:tcPr>
          <w:p w14:paraId="42BA35AD"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Loyalty Intention</w:t>
            </w:r>
          </w:p>
        </w:tc>
        <w:tc>
          <w:tcPr>
            <w:tcW w:w="0" w:type="auto"/>
            <w:tcBorders>
              <w:top w:val="single" w:sz="4" w:space="0" w:color="auto"/>
            </w:tcBorders>
            <w:noWrap/>
            <w:tcMar>
              <w:top w:w="15" w:type="dxa"/>
              <w:left w:w="57" w:type="dxa"/>
              <w:bottom w:w="15" w:type="dxa"/>
              <w:right w:w="57" w:type="dxa"/>
            </w:tcMar>
            <w:vAlign w:val="center"/>
            <w:hideMark/>
          </w:tcPr>
          <w:p w14:paraId="7CAA158C"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top w:val="single" w:sz="4" w:space="0" w:color="auto"/>
              <w:right w:val="single" w:sz="4" w:space="0" w:color="auto"/>
            </w:tcBorders>
            <w:tcMar>
              <w:top w:w="15" w:type="dxa"/>
              <w:left w:w="140" w:type="dxa"/>
              <w:bottom w:w="15" w:type="dxa"/>
              <w:right w:w="140" w:type="dxa"/>
            </w:tcMar>
            <w:vAlign w:val="center"/>
            <w:hideMark/>
          </w:tcPr>
          <w:p w14:paraId="240984B0"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proofErr w:type="spellStart"/>
            <w:r w:rsidRPr="006015EF">
              <w:rPr>
                <w:rFonts w:ascii="Arial" w:hAnsi="Arial" w:cs="Arial"/>
                <w:color w:val="000000" w:themeColor="text1"/>
                <w:lang w:val="en-IN"/>
              </w:rPr>
              <w:t>EServicequality</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1C340BE9"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.043</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3B9B76C"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.061</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56BE728A"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.985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33CFCD6"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.325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5BC7C61" w14:textId="77777777" w:rsidR="006015EF" w:rsidRPr="006015EF" w:rsidRDefault="006015EF" w:rsidP="00A67198">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Not Significant</w:t>
            </w:r>
          </w:p>
        </w:tc>
      </w:tr>
    </w:tbl>
    <w:p w14:paraId="5DDCEADD" w14:textId="77777777" w:rsidR="006015EF" w:rsidRPr="002410A5" w:rsidRDefault="006015EF" w:rsidP="002B6F30">
      <w:pPr>
        <w:autoSpaceDE w:val="0"/>
        <w:autoSpaceDN w:val="0"/>
        <w:adjustRightInd w:val="0"/>
        <w:spacing w:before="240" w:line="276" w:lineRule="auto"/>
        <w:jc w:val="both"/>
        <w:rPr>
          <w:color w:val="000000" w:themeColor="text1"/>
        </w:rPr>
      </w:pPr>
    </w:p>
    <w:p w14:paraId="7F2B067C" w14:textId="77777777" w:rsidR="004A556F" w:rsidRPr="002410A5" w:rsidRDefault="004A556F" w:rsidP="004A556F">
      <w:pPr>
        <w:autoSpaceDE w:val="0"/>
        <w:autoSpaceDN w:val="0"/>
        <w:adjustRightInd w:val="0"/>
        <w:spacing w:before="240" w:line="276" w:lineRule="auto"/>
        <w:jc w:val="both"/>
        <w:rPr>
          <w:b/>
          <w:color w:val="000000" w:themeColor="text1"/>
        </w:rPr>
      </w:pPr>
      <w:r>
        <w:rPr>
          <w:b/>
          <w:color w:val="000000" w:themeColor="text1"/>
        </w:rPr>
        <w:t>3.3.1</w:t>
      </w:r>
      <w:r w:rsidRPr="002410A5">
        <w:rPr>
          <w:b/>
          <w:color w:val="000000" w:themeColor="text1"/>
        </w:rPr>
        <w:t xml:space="preserve">The Moderating Role of Age, Income and Frequency of Purchase between Loyalty intention </w:t>
      </w:r>
    </w:p>
    <w:p w14:paraId="30A4B9F6" w14:textId="77777777" w:rsidR="004A556F" w:rsidRPr="004A556F" w:rsidRDefault="004A556F" w:rsidP="004A556F">
      <w:pPr>
        <w:autoSpaceDE w:val="0"/>
        <w:autoSpaceDN w:val="0"/>
        <w:adjustRightInd w:val="0"/>
        <w:spacing w:before="240" w:line="276" w:lineRule="auto"/>
        <w:jc w:val="both"/>
        <w:rPr>
          <w:color w:val="000000" w:themeColor="text1"/>
        </w:rPr>
      </w:pPr>
      <w:r w:rsidRPr="002410A5">
        <w:rPr>
          <w:color w:val="000000" w:themeColor="text1"/>
        </w:rPr>
        <w:t xml:space="preserve">This study is conducted analysis of testing the relationship between Loyalty intention varying with both age, income and frequency of purchase. the hypothesis Ha6 analyzed the Influence of Age to loyalty intention. The relationship between age and loyalty intention is significant and positive (β = 0.192; C.R. = 4.419; p &lt; 0.001). The beta coefficient shows that for every one-unit increase in age, loyalty intention increases by 0.192 units. This suggests that age plays an important role in fostering customer loyalty. Thus, Hypothesis Ha6 is accepted. The </w:t>
      </w:r>
      <w:r w:rsidRPr="002410A5">
        <w:rPr>
          <w:color w:val="000000" w:themeColor="text1"/>
        </w:rPr>
        <w:lastRenderedPageBreak/>
        <w:t xml:space="preserve">hypothesis Ha7, analyzed Influence of Income to loyalty intention. The findings reveal a strong positive relationship between income and loyalty intention (β = 0.248; C.R. = 6.133; p &lt; 0.001). The beta value suggests that for every one-unit increase in income, loyalty intention increases by 0.248 units Hypothesis Ha7 is accepted. Ha8, Influence of Purchase frequency to loyalty intention, Finally, the results confirm a significant positive association between purchase frequency and loyalty intention (β = 0.117; C.R. = 2.966; p = 0.003). The beta value explains that for every one-unit increase in purchase frequency, loyalty intention increases by 0.117 units. Hence, Hypothesis Ha8 is accepted. The outcome is shown in Table </w:t>
      </w:r>
      <w:r w:rsidR="006015EF">
        <w:rPr>
          <w:color w:val="000000" w:themeColor="text1"/>
        </w:rPr>
        <w:t>5</w:t>
      </w:r>
    </w:p>
    <w:p w14:paraId="3A7ED009" w14:textId="77777777" w:rsidR="002B6F30" w:rsidRPr="006015EF" w:rsidRDefault="002B6F30" w:rsidP="004A556F">
      <w:pPr>
        <w:autoSpaceDE w:val="0"/>
        <w:autoSpaceDN w:val="0"/>
        <w:adjustRightInd w:val="0"/>
        <w:spacing w:before="240" w:line="276" w:lineRule="auto"/>
        <w:jc w:val="center"/>
        <w:rPr>
          <w:rFonts w:ascii="Arial" w:hAnsi="Arial" w:cs="Arial"/>
          <w:color w:val="000000" w:themeColor="text1"/>
        </w:rPr>
      </w:pPr>
      <w:r w:rsidRPr="006015EF">
        <w:rPr>
          <w:rFonts w:ascii="Arial" w:hAnsi="Arial" w:cs="Arial"/>
          <w:b/>
          <w:color w:val="000000" w:themeColor="text1"/>
        </w:rPr>
        <w:t xml:space="preserve">Table </w:t>
      </w:r>
      <w:r w:rsidR="006015EF" w:rsidRPr="006015EF">
        <w:rPr>
          <w:rFonts w:ascii="Arial" w:hAnsi="Arial" w:cs="Arial"/>
          <w:b/>
          <w:color w:val="000000" w:themeColor="text1"/>
        </w:rPr>
        <w:t>5</w:t>
      </w:r>
      <w:r w:rsidRPr="006015EF">
        <w:rPr>
          <w:rFonts w:ascii="Arial" w:hAnsi="Arial" w:cs="Arial"/>
          <w:b/>
          <w:color w:val="000000" w:themeColor="text1"/>
        </w:rPr>
        <w:t>. Age, Income and Frequency of purchase as a Moderator</w:t>
      </w:r>
    </w:p>
    <w:tbl>
      <w:tblPr>
        <w:tblW w:w="9477"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43"/>
        <w:gridCol w:w="533"/>
        <w:gridCol w:w="1515"/>
        <w:gridCol w:w="1377"/>
        <w:gridCol w:w="828"/>
        <w:gridCol w:w="966"/>
        <w:gridCol w:w="828"/>
        <w:gridCol w:w="1487"/>
      </w:tblGrid>
      <w:tr w:rsidR="002B6F30" w:rsidRPr="006015EF" w14:paraId="17FE578F" w14:textId="77777777" w:rsidTr="00EA4679">
        <w:trPr>
          <w:trHeight w:val="442"/>
        </w:trPr>
        <w:tc>
          <w:tcPr>
            <w:tcW w:w="0" w:type="auto"/>
            <w:gridSpan w:val="3"/>
            <w:tcBorders>
              <w:top w:val="single" w:sz="6" w:space="0" w:color="auto"/>
              <w:bottom w:val="single" w:sz="4" w:space="0" w:color="auto"/>
              <w:right w:val="single" w:sz="4" w:space="0" w:color="auto"/>
            </w:tcBorders>
            <w:tcMar>
              <w:top w:w="15" w:type="dxa"/>
              <w:left w:w="57" w:type="dxa"/>
              <w:bottom w:w="15" w:type="dxa"/>
              <w:right w:w="57" w:type="dxa"/>
            </w:tcMar>
            <w:vAlign w:val="center"/>
          </w:tcPr>
          <w:p w14:paraId="2DFFAF8E" w14:textId="77777777" w:rsidR="002B6F30" w:rsidRPr="006015EF" w:rsidRDefault="002B6F30" w:rsidP="00EA4679">
            <w:pPr>
              <w:jc w:val="center"/>
              <w:rPr>
                <w:rFonts w:ascii="Arial" w:hAnsi="Arial" w:cs="Arial"/>
                <w:b/>
              </w:rPr>
            </w:pPr>
            <w:r w:rsidRPr="006015EF">
              <w:rPr>
                <w:rFonts w:ascii="Arial" w:hAnsi="Arial" w:cs="Arial"/>
                <w:b/>
              </w:rPr>
              <w:t>Relationship</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44FE9C99" w14:textId="77777777" w:rsidR="002B6F30" w:rsidRPr="006015EF" w:rsidRDefault="002B6F30" w:rsidP="00EA4679">
            <w:pPr>
              <w:jc w:val="right"/>
              <w:rPr>
                <w:rFonts w:ascii="Arial" w:hAnsi="Arial" w:cs="Arial"/>
                <w:b/>
              </w:rPr>
            </w:pPr>
            <w:r w:rsidRPr="006015EF">
              <w:rPr>
                <w:rFonts w:ascii="Arial" w:hAnsi="Arial" w:cs="Arial"/>
                <w:b/>
              </w:rPr>
              <w:t>Estimate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76CA7464" w14:textId="77777777" w:rsidR="002B6F30" w:rsidRPr="006015EF" w:rsidRDefault="002B6F30" w:rsidP="00EA4679">
            <w:pPr>
              <w:jc w:val="right"/>
              <w:rPr>
                <w:rFonts w:ascii="Arial" w:hAnsi="Arial" w:cs="Arial"/>
                <w:b/>
              </w:rPr>
            </w:pPr>
            <w:r w:rsidRPr="006015EF">
              <w:rPr>
                <w:rFonts w:ascii="Arial" w:hAnsi="Arial" w:cs="Arial"/>
                <w:b/>
              </w:rPr>
              <w:t>S.E.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4FE02639" w14:textId="77777777" w:rsidR="002B6F30" w:rsidRPr="006015EF" w:rsidRDefault="002B6F30" w:rsidP="00EA4679">
            <w:pPr>
              <w:jc w:val="right"/>
              <w:rPr>
                <w:rFonts w:ascii="Arial" w:hAnsi="Arial" w:cs="Arial"/>
                <w:b/>
              </w:rPr>
            </w:pPr>
            <w:r w:rsidRPr="006015EF">
              <w:rPr>
                <w:rFonts w:ascii="Arial" w:hAnsi="Arial" w:cs="Arial"/>
                <w:b/>
              </w:rPr>
              <w:t>C.R.</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65274953" w14:textId="77777777" w:rsidR="002B6F30" w:rsidRPr="006015EF" w:rsidRDefault="002B6F30" w:rsidP="00EA4679">
            <w:pPr>
              <w:jc w:val="right"/>
              <w:rPr>
                <w:rFonts w:ascii="Arial" w:hAnsi="Arial" w:cs="Arial"/>
                <w:b/>
              </w:rPr>
            </w:pPr>
            <w:r w:rsidRPr="006015EF">
              <w:rPr>
                <w:rFonts w:ascii="Arial" w:hAnsi="Arial" w:cs="Arial"/>
                <w:b/>
              </w:rPr>
              <w:t>P</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2F34CF38" w14:textId="77777777" w:rsidR="002B6F30" w:rsidRPr="006015EF" w:rsidRDefault="002B6F30" w:rsidP="00EA4679">
            <w:pPr>
              <w:jc w:val="right"/>
              <w:rPr>
                <w:rFonts w:ascii="Arial" w:hAnsi="Arial" w:cs="Arial"/>
                <w:b/>
              </w:rPr>
            </w:pPr>
            <w:r w:rsidRPr="006015EF">
              <w:rPr>
                <w:rFonts w:ascii="Arial" w:hAnsi="Arial" w:cs="Arial"/>
                <w:b/>
              </w:rPr>
              <w:t>Result</w:t>
            </w:r>
          </w:p>
        </w:tc>
      </w:tr>
      <w:tr w:rsidR="002B6F30" w:rsidRPr="006015EF" w14:paraId="48315609" w14:textId="77777777" w:rsidTr="00EA4679">
        <w:trPr>
          <w:trHeight w:val="442"/>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1371D5FB" w14:textId="77777777" w:rsidR="002B6F30" w:rsidRPr="006015EF" w:rsidRDefault="002B6F30" w:rsidP="00EA4679">
            <w:pPr>
              <w:rPr>
                <w:rFonts w:ascii="Arial" w:hAnsi="Arial" w:cs="Arial"/>
              </w:rPr>
            </w:pPr>
            <w:r w:rsidRPr="006015EF">
              <w:rPr>
                <w:rFonts w:ascii="Arial" w:hAnsi="Arial" w:cs="Arial"/>
              </w:rPr>
              <w:t>Loyalty Intention</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112AA72C" w14:textId="77777777" w:rsidR="002B6F30" w:rsidRPr="006015EF" w:rsidRDefault="002B6F30" w:rsidP="00EA4679">
            <w:pPr>
              <w:rPr>
                <w:rFonts w:ascii="Arial" w:hAnsi="Arial" w:cs="Arial"/>
              </w:rPr>
            </w:pPr>
            <w:r w:rsidRPr="006015EF">
              <w:rPr>
                <w:rFonts w:ascii="Arial" w:hAnsi="Arial" w:cs="Arial"/>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2C5C042C" w14:textId="77777777" w:rsidR="002B6F30" w:rsidRPr="006015EF" w:rsidRDefault="002B6F30" w:rsidP="00EA4679">
            <w:pPr>
              <w:rPr>
                <w:rFonts w:ascii="Arial" w:hAnsi="Arial" w:cs="Arial"/>
              </w:rPr>
            </w:pPr>
            <w:r w:rsidRPr="006015EF">
              <w:rPr>
                <w:rFonts w:ascii="Arial" w:hAnsi="Arial" w:cs="Arial"/>
              </w:rPr>
              <w:t>Age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6118E6DF" w14:textId="77777777" w:rsidR="002B6F30" w:rsidRPr="006015EF" w:rsidRDefault="002B6F30" w:rsidP="00EA4679">
            <w:pPr>
              <w:jc w:val="right"/>
              <w:rPr>
                <w:rFonts w:ascii="Arial" w:hAnsi="Arial" w:cs="Arial"/>
              </w:rPr>
            </w:pPr>
            <w:r w:rsidRPr="006015EF">
              <w:rPr>
                <w:rFonts w:ascii="Arial" w:hAnsi="Arial" w:cs="Arial"/>
              </w:rPr>
              <w:t>.192</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35DDF84" w14:textId="77777777" w:rsidR="002B6F30" w:rsidRPr="006015EF" w:rsidRDefault="002B6F30" w:rsidP="00EA4679">
            <w:pPr>
              <w:jc w:val="right"/>
              <w:rPr>
                <w:rFonts w:ascii="Arial" w:hAnsi="Arial" w:cs="Arial"/>
              </w:rPr>
            </w:pPr>
            <w:r w:rsidRPr="006015EF">
              <w:rPr>
                <w:rFonts w:ascii="Arial" w:hAnsi="Arial" w:cs="Arial"/>
              </w:rPr>
              <w:t>.040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3549104" w14:textId="77777777" w:rsidR="002B6F30" w:rsidRPr="006015EF" w:rsidRDefault="002B6F30" w:rsidP="00EA4679">
            <w:pPr>
              <w:jc w:val="right"/>
              <w:rPr>
                <w:rFonts w:ascii="Arial" w:hAnsi="Arial" w:cs="Arial"/>
              </w:rPr>
            </w:pPr>
            <w:r w:rsidRPr="006015EF">
              <w:rPr>
                <w:rFonts w:ascii="Arial" w:hAnsi="Arial" w:cs="Arial"/>
              </w:rPr>
              <w:t>4.419</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2E4BF390" w14:textId="77777777" w:rsidR="002B6F30" w:rsidRPr="006015EF" w:rsidRDefault="002B6F30" w:rsidP="00EA4679">
            <w:pPr>
              <w:jc w:val="right"/>
              <w:rPr>
                <w:rFonts w:ascii="Arial" w:hAnsi="Arial" w:cs="Arial"/>
              </w:rPr>
            </w:pPr>
            <w:r w:rsidRPr="006015EF">
              <w:rPr>
                <w:rFonts w:ascii="Arial" w:hAnsi="Arial" w:cs="Arial"/>
              </w:rPr>
              <w:t>.000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2CB9C20" w14:textId="77777777" w:rsidR="002B6F30" w:rsidRPr="006015EF" w:rsidRDefault="002B6F30" w:rsidP="00EA4679">
            <w:pPr>
              <w:jc w:val="right"/>
              <w:rPr>
                <w:rFonts w:ascii="Arial" w:hAnsi="Arial" w:cs="Arial"/>
              </w:rPr>
            </w:pPr>
            <w:r w:rsidRPr="006015EF">
              <w:rPr>
                <w:rFonts w:ascii="Arial" w:hAnsi="Arial" w:cs="Arial"/>
              </w:rPr>
              <w:t>Significant</w:t>
            </w:r>
          </w:p>
        </w:tc>
      </w:tr>
      <w:tr w:rsidR="002B6F30" w:rsidRPr="006015EF" w14:paraId="5A4E7CC8" w14:textId="77777777" w:rsidTr="00EA4679">
        <w:trPr>
          <w:trHeight w:val="442"/>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27BE6C04" w14:textId="77777777" w:rsidR="002B6F30" w:rsidRPr="006015EF" w:rsidRDefault="002B6F30" w:rsidP="00EA4679">
            <w:pPr>
              <w:rPr>
                <w:rFonts w:ascii="Arial" w:hAnsi="Arial" w:cs="Arial"/>
              </w:rPr>
            </w:pPr>
            <w:r w:rsidRPr="006015EF">
              <w:rPr>
                <w:rFonts w:ascii="Arial" w:hAnsi="Arial" w:cs="Arial"/>
              </w:rPr>
              <w:t>Loyalty Intention</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4F4299A3" w14:textId="77777777" w:rsidR="002B6F30" w:rsidRPr="006015EF" w:rsidRDefault="002B6F30" w:rsidP="00EA4679">
            <w:pPr>
              <w:rPr>
                <w:rFonts w:ascii="Arial" w:hAnsi="Arial" w:cs="Arial"/>
              </w:rPr>
            </w:pPr>
            <w:r w:rsidRPr="006015EF">
              <w:rPr>
                <w:rFonts w:ascii="Arial" w:hAnsi="Arial" w:cs="Arial"/>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490CE74B" w14:textId="77777777" w:rsidR="002B6F30" w:rsidRPr="006015EF" w:rsidRDefault="002B6F30" w:rsidP="00EA4679">
            <w:pPr>
              <w:rPr>
                <w:rFonts w:ascii="Arial" w:hAnsi="Arial" w:cs="Arial"/>
              </w:rPr>
            </w:pPr>
            <w:r w:rsidRPr="006015EF">
              <w:rPr>
                <w:rFonts w:ascii="Arial" w:hAnsi="Arial" w:cs="Arial"/>
              </w:rPr>
              <w:t>Income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0F12035D" w14:textId="77777777" w:rsidR="002B6F30" w:rsidRPr="006015EF" w:rsidRDefault="002B6F30" w:rsidP="00EA4679">
            <w:pPr>
              <w:jc w:val="right"/>
              <w:rPr>
                <w:rFonts w:ascii="Arial" w:hAnsi="Arial" w:cs="Arial"/>
              </w:rPr>
            </w:pPr>
            <w:r w:rsidRPr="006015EF">
              <w:rPr>
                <w:rFonts w:ascii="Arial" w:hAnsi="Arial" w:cs="Arial"/>
              </w:rPr>
              <w:t>.248</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117B577" w14:textId="77777777" w:rsidR="002B6F30" w:rsidRPr="006015EF" w:rsidRDefault="002B6F30" w:rsidP="00EA4679">
            <w:pPr>
              <w:jc w:val="right"/>
              <w:rPr>
                <w:rFonts w:ascii="Arial" w:hAnsi="Arial" w:cs="Arial"/>
              </w:rPr>
            </w:pPr>
            <w:r w:rsidRPr="006015EF">
              <w:rPr>
                <w:rFonts w:ascii="Arial" w:hAnsi="Arial" w:cs="Arial"/>
              </w:rPr>
              <w:t>.025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599764A" w14:textId="77777777" w:rsidR="002B6F30" w:rsidRPr="006015EF" w:rsidRDefault="002B6F30" w:rsidP="00EA4679">
            <w:pPr>
              <w:jc w:val="right"/>
              <w:rPr>
                <w:rFonts w:ascii="Arial" w:hAnsi="Arial" w:cs="Arial"/>
              </w:rPr>
            </w:pPr>
            <w:r w:rsidRPr="006015EF">
              <w:rPr>
                <w:rFonts w:ascii="Arial" w:hAnsi="Arial" w:cs="Arial"/>
              </w:rPr>
              <w:t>6.133</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2B5BC97A" w14:textId="77777777" w:rsidR="002B6F30" w:rsidRPr="006015EF" w:rsidRDefault="002B6F30" w:rsidP="00EA4679">
            <w:pPr>
              <w:jc w:val="right"/>
              <w:rPr>
                <w:rFonts w:ascii="Arial" w:hAnsi="Arial" w:cs="Arial"/>
              </w:rPr>
            </w:pPr>
            <w:r w:rsidRPr="006015EF">
              <w:rPr>
                <w:rFonts w:ascii="Arial" w:hAnsi="Arial" w:cs="Arial"/>
              </w:rPr>
              <w:t>.000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7B4D29EE" w14:textId="77777777" w:rsidR="002B6F30" w:rsidRPr="006015EF" w:rsidRDefault="002B6F30" w:rsidP="00EA4679">
            <w:pPr>
              <w:jc w:val="right"/>
              <w:rPr>
                <w:rFonts w:ascii="Arial" w:hAnsi="Arial" w:cs="Arial"/>
              </w:rPr>
            </w:pPr>
            <w:r w:rsidRPr="006015EF">
              <w:rPr>
                <w:rFonts w:ascii="Arial" w:hAnsi="Arial" w:cs="Arial"/>
              </w:rPr>
              <w:t>Significant</w:t>
            </w:r>
          </w:p>
        </w:tc>
      </w:tr>
      <w:tr w:rsidR="002B6F30" w:rsidRPr="006015EF" w14:paraId="7D9508AD" w14:textId="77777777" w:rsidTr="00EA4679">
        <w:trPr>
          <w:trHeight w:val="442"/>
        </w:trPr>
        <w:tc>
          <w:tcPr>
            <w:tcW w:w="0" w:type="auto"/>
            <w:tcBorders>
              <w:top w:val="single" w:sz="4" w:space="0" w:color="auto"/>
            </w:tcBorders>
            <w:tcMar>
              <w:top w:w="15" w:type="dxa"/>
              <w:left w:w="57" w:type="dxa"/>
              <w:bottom w:w="15" w:type="dxa"/>
              <w:right w:w="57" w:type="dxa"/>
            </w:tcMar>
            <w:vAlign w:val="center"/>
            <w:hideMark/>
          </w:tcPr>
          <w:p w14:paraId="1015DF19" w14:textId="77777777" w:rsidR="002B6F30" w:rsidRPr="006015EF" w:rsidRDefault="002B6F30" w:rsidP="00EA4679">
            <w:pPr>
              <w:rPr>
                <w:rFonts w:ascii="Arial" w:hAnsi="Arial" w:cs="Arial"/>
              </w:rPr>
            </w:pPr>
            <w:r w:rsidRPr="006015EF">
              <w:rPr>
                <w:rFonts w:ascii="Arial" w:hAnsi="Arial" w:cs="Arial"/>
              </w:rPr>
              <w:t>Loyalty Intention</w:t>
            </w:r>
          </w:p>
        </w:tc>
        <w:tc>
          <w:tcPr>
            <w:tcW w:w="0" w:type="auto"/>
            <w:tcBorders>
              <w:top w:val="single" w:sz="4" w:space="0" w:color="auto"/>
            </w:tcBorders>
            <w:noWrap/>
            <w:tcMar>
              <w:top w:w="15" w:type="dxa"/>
              <w:left w:w="57" w:type="dxa"/>
              <w:bottom w:w="15" w:type="dxa"/>
              <w:right w:w="57" w:type="dxa"/>
            </w:tcMar>
            <w:vAlign w:val="center"/>
            <w:hideMark/>
          </w:tcPr>
          <w:p w14:paraId="321C7EC6" w14:textId="77777777" w:rsidR="002B6F30" w:rsidRPr="006015EF" w:rsidRDefault="002B6F30" w:rsidP="00EA4679">
            <w:pPr>
              <w:rPr>
                <w:rFonts w:ascii="Arial" w:hAnsi="Arial" w:cs="Arial"/>
              </w:rPr>
            </w:pPr>
            <w:r w:rsidRPr="006015EF">
              <w:rPr>
                <w:rFonts w:ascii="Arial" w:hAnsi="Arial" w:cs="Arial"/>
              </w:rPr>
              <w:t>&lt;---</w:t>
            </w:r>
          </w:p>
        </w:tc>
        <w:tc>
          <w:tcPr>
            <w:tcW w:w="0" w:type="auto"/>
            <w:tcBorders>
              <w:top w:val="single" w:sz="4" w:space="0" w:color="auto"/>
              <w:right w:val="single" w:sz="4" w:space="0" w:color="auto"/>
            </w:tcBorders>
            <w:tcMar>
              <w:top w:w="15" w:type="dxa"/>
              <w:left w:w="140" w:type="dxa"/>
              <w:bottom w:w="15" w:type="dxa"/>
              <w:right w:w="140" w:type="dxa"/>
            </w:tcMar>
            <w:vAlign w:val="center"/>
            <w:hideMark/>
          </w:tcPr>
          <w:p w14:paraId="0A3850B8" w14:textId="77777777" w:rsidR="002B6F30" w:rsidRPr="006015EF" w:rsidRDefault="002B6F30" w:rsidP="00EA4679">
            <w:pPr>
              <w:rPr>
                <w:rFonts w:ascii="Arial" w:hAnsi="Arial" w:cs="Arial"/>
              </w:rPr>
            </w:pPr>
            <w:r w:rsidRPr="006015EF">
              <w:rPr>
                <w:rFonts w:ascii="Arial" w:hAnsi="Arial" w:cs="Arial"/>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2D7D4DB4" w14:textId="77777777" w:rsidR="002B6F30" w:rsidRPr="006015EF" w:rsidRDefault="002B6F30" w:rsidP="00EA4679">
            <w:pPr>
              <w:jc w:val="right"/>
              <w:rPr>
                <w:rFonts w:ascii="Arial" w:hAnsi="Arial" w:cs="Arial"/>
              </w:rPr>
            </w:pPr>
            <w:r w:rsidRPr="006015EF">
              <w:rPr>
                <w:rFonts w:ascii="Arial" w:hAnsi="Arial" w:cs="Arial"/>
              </w:rPr>
              <w:t>.117</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B1AC856" w14:textId="77777777" w:rsidR="002B6F30" w:rsidRPr="006015EF" w:rsidRDefault="002B6F30" w:rsidP="00EA4679">
            <w:pPr>
              <w:jc w:val="right"/>
              <w:rPr>
                <w:rFonts w:ascii="Arial" w:hAnsi="Arial" w:cs="Arial"/>
              </w:rPr>
            </w:pPr>
            <w:r w:rsidRPr="006015EF">
              <w:rPr>
                <w:rFonts w:ascii="Arial" w:hAnsi="Arial" w:cs="Arial"/>
              </w:rPr>
              <w:t>.325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0D844BD5" w14:textId="77777777" w:rsidR="002B6F30" w:rsidRPr="006015EF" w:rsidRDefault="002B6F30" w:rsidP="00EA4679">
            <w:pPr>
              <w:jc w:val="right"/>
              <w:rPr>
                <w:rFonts w:ascii="Arial" w:hAnsi="Arial" w:cs="Arial"/>
              </w:rPr>
            </w:pPr>
            <w:r w:rsidRPr="006015EF">
              <w:rPr>
                <w:rFonts w:ascii="Arial" w:hAnsi="Arial" w:cs="Arial"/>
              </w:rPr>
              <w:t>2.966</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275DF3E3" w14:textId="77777777" w:rsidR="002B6F30" w:rsidRPr="006015EF" w:rsidRDefault="002B6F30" w:rsidP="00EA4679">
            <w:pPr>
              <w:jc w:val="right"/>
              <w:rPr>
                <w:rFonts w:ascii="Arial" w:hAnsi="Arial" w:cs="Arial"/>
              </w:rPr>
            </w:pPr>
            <w:r w:rsidRPr="006015EF">
              <w:rPr>
                <w:rFonts w:ascii="Arial" w:hAnsi="Arial" w:cs="Arial"/>
              </w:rPr>
              <w:t>.003</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5A620635" w14:textId="77777777" w:rsidR="002B6F30" w:rsidRPr="006015EF" w:rsidRDefault="002B6F30" w:rsidP="00EA4679">
            <w:pPr>
              <w:jc w:val="right"/>
              <w:rPr>
                <w:rFonts w:ascii="Arial" w:hAnsi="Arial" w:cs="Arial"/>
              </w:rPr>
            </w:pPr>
            <w:r w:rsidRPr="006015EF">
              <w:rPr>
                <w:rFonts w:ascii="Arial" w:hAnsi="Arial" w:cs="Arial"/>
              </w:rPr>
              <w:t>Significant</w:t>
            </w:r>
          </w:p>
        </w:tc>
      </w:tr>
    </w:tbl>
    <w:p w14:paraId="597AC47D" w14:textId="77777777" w:rsidR="002B6F30" w:rsidRPr="006015EF" w:rsidRDefault="004A556F" w:rsidP="002B6F30">
      <w:pPr>
        <w:autoSpaceDE w:val="0"/>
        <w:autoSpaceDN w:val="0"/>
        <w:adjustRightInd w:val="0"/>
        <w:spacing w:before="240" w:line="480" w:lineRule="auto"/>
        <w:jc w:val="both"/>
        <w:rPr>
          <w:rFonts w:ascii="Arial" w:hAnsi="Arial" w:cs="Arial"/>
          <w:b/>
          <w:color w:val="000000" w:themeColor="text1"/>
        </w:rPr>
      </w:pPr>
      <w:r w:rsidRPr="006015EF">
        <w:rPr>
          <w:rFonts w:ascii="Arial" w:hAnsi="Arial" w:cs="Arial"/>
          <w:b/>
          <w:color w:val="000000" w:themeColor="text1"/>
        </w:rPr>
        <w:t>3.3.3</w:t>
      </w:r>
      <w:r w:rsidR="002B6F30" w:rsidRPr="006015EF">
        <w:rPr>
          <w:rFonts w:ascii="Arial" w:hAnsi="Arial" w:cs="Arial"/>
          <w:b/>
          <w:color w:val="000000" w:themeColor="text1"/>
        </w:rPr>
        <w:t>The Mediating Role of Perceived value on E-service quality and Loyalty Intention</w:t>
      </w:r>
    </w:p>
    <w:p w14:paraId="55D0E220" w14:textId="77777777" w:rsidR="002B6F30" w:rsidRPr="002410A5" w:rsidRDefault="002B6F30" w:rsidP="006015EF">
      <w:pPr>
        <w:autoSpaceDE w:val="0"/>
        <w:autoSpaceDN w:val="0"/>
        <w:adjustRightInd w:val="0"/>
        <w:spacing w:before="240" w:line="276" w:lineRule="auto"/>
        <w:ind w:firstLine="720"/>
        <w:jc w:val="both"/>
        <w:rPr>
          <w:bCs/>
          <w:color w:val="000000" w:themeColor="text1"/>
          <w:lang w:val="en-IN"/>
        </w:rPr>
      </w:pPr>
      <w:r w:rsidRPr="002410A5">
        <w:rPr>
          <w:color w:val="000000" w:themeColor="text1"/>
        </w:rPr>
        <w:t xml:space="preserve">A thorough study based on the covariance structural model used a bootstrap technique to examine the perceived value mediating role in the relationship between e-service quality and loyalty intention. The mediation effects are tested using the analytical method to determine the direct indirect and overall influence. </w:t>
      </w:r>
      <w:r w:rsidRPr="002410A5">
        <w:rPr>
          <w:bCs/>
          <w:color w:val="000000" w:themeColor="text1"/>
          <w:lang w:val="en-IN"/>
        </w:rPr>
        <w:t xml:space="preserve">The Hypothesis Ha9 analyses, Perceived value mediates the relationship between the e-service quality and loyalty intention. From the table </w:t>
      </w:r>
      <w:r w:rsidR="006015EF">
        <w:rPr>
          <w:bCs/>
          <w:color w:val="000000" w:themeColor="text1"/>
          <w:lang w:val="en-IN"/>
        </w:rPr>
        <w:t>6</w:t>
      </w:r>
      <w:r w:rsidRPr="002410A5">
        <w:rPr>
          <w:bCs/>
          <w:color w:val="000000" w:themeColor="text1"/>
          <w:lang w:val="en-IN"/>
        </w:rPr>
        <w:t>, the results indicate that the indirect effect of E-service Quality on Loyalty Intention through Perceived Value is (β = 0.042), i.e., (0.122 × 0.341), with a p-value of 0.002 using the bootstrapping method, which is significant at the 95% confidence level. The direct effect from E-service Quality to Perceived Value is 0.122, and the p-value is 0.008 (ρ &lt; 0.05). Similarly, the direct effect from Perceived Value to Loyalty Intention is significant (β = 0.341, p &lt; 0.001</w:t>
      </w:r>
      <w:proofErr w:type="gramStart"/>
      <w:r w:rsidRPr="002410A5">
        <w:rPr>
          <w:bCs/>
          <w:color w:val="000000" w:themeColor="text1"/>
          <w:lang w:val="en-IN"/>
        </w:rPr>
        <w:t>).The</w:t>
      </w:r>
      <w:proofErr w:type="gramEnd"/>
      <w:r w:rsidRPr="002410A5">
        <w:rPr>
          <w:bCs/>
          <w:color w:val="000000" w:themeColor="text1"/>
          <w:lang w:val="en-IN"/>
        </w:rPr>
        <w:t xml:space="preserve"> significant indirect effect (β = 0.042, p = 0.002) confirms that Perceived Value mediates the relationship between E-service Quality and Loyalty Intention. The direct effect of E-service Quality on Loyalty Intention is non-significant (β = 0.043, p = 0.325), indicating that the influence of E-service Quality on loyalty operates primarily through Perceived Value.</w:t>
      </w:r>
    </w:p>
    <w:p w14:paraId="497FC2FC" w14:textId="77777777" w:rsidR="004A556F" w:rsidRPr="002410A5" w:rsidRDefault="002B6F30" w:rsidP="002B6F30">
      <w:pPr>
        <w:autoSpaceDE w:val="0"/>
        <w:autoSpaceDN w:val="0"/>
        <w:adjustRightInd w:val="0"/>
        <w:spacing w:before="240" w:line="276" w:lineRule="auto"/>
        <w:jc w:val="both"/>
        <w:rPr>
          <w:bCs/>
          <w:color w:val="000000" w:themeColor="text1"/>
          <w:lang w:val="en-IN"/>
        </w:rPr>
      </w:pPr>
      <w:r w:rsidRPr="002410A5">
        <w:rPr>
          <w:bCs/>
          <w:color w:val="000000" w:themeColor="text1"/>
          <w:lang w:val="en-IN"/>
        </w:rPr>
        <w:t>Therefore, it is concluded that full mediation occurs, with Perceived Value acting as a key pathway linking E-service Quality to Loyalty Intention. This suggests that online fish portals should enhance their E-service Quality features such as fulfilment, efficiency, and privacy and system availability to increase perceived value, which in turn fosters stronger customer loyalty. Hence, Hypothesis H16.1 is accepted.</w:t>
      </w:r>
    </w:p>
    <w:p w14:paraId="456823D3" w14:textId="77777777" w:rsidR="002B6F30" w:rsidRPr="006015EF" w:rsidRDefault="002B6F30" w:rsidP="002B6F30">
      <w:pPr>
        <w:autoSpaceDE w:val="0"/>
        <w:autoSpaceDN w:val="0"/>
        <w:adjustRightInd w:val="0"/>
        <w:spacing w:before="240" w:line="276" w:lineRule="auto"/>
        <w:jc w:val="center"/>
        <w:rPr>
          <w:rFonts w:ascii="Arial" w:hAnsi="Arial" w:cs="Arial"/>
          <w:b/>
          <w:bCs/>
          <w:color w:val="000000" w:themeColor="text1"/>
          <w:lang w:val="en-IN"/>
        </w:rPr>
      </w:pPr>
      <w:r w:rsidRPr="006015EF">
        <w:rPr>
          <w:rFonts w:ascii="Arial" w:hAnsi="Arial" w:cs="Arial"/>
          <w:b/>
          <w:bCs/>
          <w:color w:val="000000" w:themeColor="text1"/>
          <w:lang w:val="en-IN"/>
        </w:rPr>
        <w:t xml:space="preserve">Table </w:t>
      </w:r>
      <w:r w:rsidR="006015EF" w:rsidRPr="006015EF">
        <w:rPr>
          <w:rFonts w:ascii="Arial" w:hAnsi="Arial" w:cs="Arial"/>
          <w:b/>
          <w:bCs/>
          <w:color w:val="000000" w:themeColor="text1"/>
          <w:lang w:val="en-IN"/>
        </w:rPr>
        <w:t>6</w:t>
      </w:r>
      <w:r w:rsidRPr="006015EF">
        <w:rPr>
          <w:rFonts w:ascii="Arial" w:hAnsi="Arial" w:cs="Arial"/>
          <w:b/>
          <w:bCs/>
          <w:color w:val="000000" w:themeColor="text1"/>
          <w:lang w:val="en-IN"/>
        </w:rPr>
        <w:t>. Mediating Effect of the Perceived value on the relationship between e-service quality and loyalty intention</w:t>
      </w:r>
    </w:p>
    <w:tbl>
      <w:tblPr>
        <w:tblStyle w:val="TableGrid"/>
        <w:tblW w:w="9110" w:type="dxa"/>
        <w:tblLook w:val="04A0" w:firstRow="1" w:lastRow="0" w:firstColumn="1" w:lastColumn="0" w:noHBand="0" w:noVBand="1"/>
      </w:tblPr>
      <w:tblGrid>
        <w:gridCol w:w="1549"/>
        <w:gridCol w:w="1923"/>
        <w:gridCol w:w="917"/>
        <w:gridCol w:w="853"/>
        <w:gridCol w:w="863"/>
        <w:gridCol w:w="866"/>
        <w:gridCol w:w="864"/>
        <w:gridCol w:w="1275"/>
      </w:tblGrid>
      <w:tr w:rsidR="004A556F" w:rsidRPr="006015EF" w14:paraId="5E3691BA" w14:textId="77777777" w:rsidTr="006015EF">
        <w:trPr>
          <w:trHeight w:val="183"/>
        </w:trPr>
        <w:tc>
          <w:tcPr>
            <w:tcW w:w="1549" w:type="dxa"/>
          </w:tcPr>
          <w:p w14:paraId="47332D2B"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Independent Variable </w:t>
            </w:r>
          </w:p>
        </w:tc>
        <w:tc>
          <w:tcPr>
            <w:tcW w:w="1923" w:type="dxa"/>
          </w:tcPr>
          <w:p w14:paraId="1158AA75"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Model Summary </w:t>
            </w:r>
          </w:p>
        </w:tc>
        <w:tc>
          <w:tcPr>
            <w:tcW w:w="917" w:type="dxa"/>
          </w:tcPr>
          <w:p w14:paraId="11900A32"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B</w:t>
            </w:r>
          </w:p>
        </w:tc>
        <w:tc>
          <w:tcPr>
            <w:tcW w:w="853" w:type="dxa"/>
          </w:tcPr>
          <w:p w14:paraId="5DE3E2C6"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Boot </w:t>
            </w:r>
          </w:p>
          <w:p w14:paraId="0A7FB221"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S.E </w:t>
            </w:r>
          </w:p>
        </w:tc>
        <w:tc>
          <w:tcPr>
            <w:tcW w:w="863" w:type="dxa"/>
          </w:tcPr>
          <w:p w14:paraId="5FE15A8D"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Boot </w:t>
            </w:r>
          </w:p>
          <w:p w14:paraId="635BC6C3"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LLCI</w:t>
            </w:r>
          </w:p>
        </w:tc>
        <w:tc>
          <w:tcPr>
            <w:tcW w:w="866" w:type="dxa"/>
          </w:tcPr>
          <w:p w14:paraId="52E50420"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Boot </w:t>
            </w:r>
          </w:p>
          <w:p w14:paraId="36DC1EEF"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ULCI</w:t>
            </w:r>
          </w:p>
        </w:tc>
        <w:tc>
          <w:tcPr>
            <w:tcW w:w="864" w:type="dxa"/>
          </w:tcPr>
          <w:p w14:paraId="359B9276"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P-value </w:t>
            </w:r>
          </w:p>
        </w:tc>
        <w:tc>
          <w:tcPr>
            <w:tcW w:w="1275" w:type="dxa"/>
          </w:tcPr>
          <w:p w14:paraId="2C4E9854"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Result </w:t>
            </w:r>
          </w:p>
        </w:tc>
      </w:tr>
      <w:tr w:rsidR="004A556F" w:rsidRPr="006015EF" w14:paraId="62B61401" w14:textId="77777777" w:rsidTr="006015EF">
        <w:trPr>
          <w:trHeight w:val="850"/>
        </w:trPr>
        <w:tc>
          <w:tcPr>
            <w:tcW w:w="1549" w:type="dxa"/>
          </w:tcPr>
          <w:p w14:paraId="6E8163C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lastRenderedPageBreak/>
              <w:t xml:space="preserve">E-service quality </w:t>
            </w:r>
          </w:p>
        </w:tc>
        <w:tc>
          <w:tcPr>
            <w:tcW w:w="1923" w:type="dxa"/>
          </w:tcPr>
          <w:p w14:paraId="74DE0057"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roofErr w:type="gramStart"/>
            <w:r w:rsidRPr="006015EF">
              <w:rPr>
                <w:rFonts w:ascii="Arial" w:hAnsi="Arial" w:cs="Arial"/>
                <w:bCs/>
                <w:color w:val="000000" w:themeColor="text1"/>
                <w:sz w:val="20"/>
                <w:szCs w:val="20"/>
                <w:lang w:val="en-IN"/>
              </w:rPr>
              <w:t>A(</w:t>
            </w:r>
            <w:proofErr w:type="gramEnd"/>
            <w:r w:rsidRPr="006015EF">
              <w:rPr>
                <w:rFonts w:ascii="Arial" w:hAnsi="Arial" w:cs="Arial"/>
                <w:bCs/>
                <w:color w:val="000000" w:themeColor="text1"/>
                <w:sz w:val="20"/>
                <w:szCs w:val="20"/>
                <w:lang w:val="en-IN"/>
              </w:rPr>
              <w:t>IV</w:t>
            </w:r>
            <w:r w:rsidRPr="006015EF">
              <w:rPr>
                <w:rFonts w:ascii="Arial" w:hAnsi="Arial" w:cs="Arial"/>
                <w:bCs/>
                <w:color w:val="000000" w:themeColor="text1"/>
                <w:sz w:val="20"/>
                <w:szCs w:val="20"/>
                <w:lang w:val="en-IN"/>
              </w:rPr>
              <w:sym w:font="Wingdings" w:char="F0E0"/>
            </w:r>
            <w:r w:rsidRPr="006015EF">
              <w:rPr>
                <w:rFonts w:ascii="Arial" w:hAnsi="Arial" w:cs="Arial"/>
                <w:bCs/>
                <w:color w:val="000000" w:themeColor="text1"/>
                <w:sz w:val="20"/>
                <w:szCs w:val="20"/>
                <w:lang w:val="en-IN"/>
              </w:rPr>
              <w:t xml:space="preserve"> </w:t>
            </w:r>
            <w:proofErr w:type="spellStart"/>
            <w:r w:rsidRPr="006015EF">
              <w:rPr>
                <w:rFonts w:ascii="Arial" w:hAnsi="Arial" w:cs="Arial"/>
                <w:bCs/>
                <w:color w:val="000000" w:themeColor="text1"/>
                <w:sz w:val="20"/>
                <w:szCs w:val="20"/>
                <w:lang w:val="en-IN"/>
              </w:rPr>
              <w:t>PerceivedValue</w:t>
            </w:r>
            <w:proofErr w:type="spellEnd"/>
            <w:r w:rsidRPr="006015EF">
              <w:rPr>
                <w:rFonts w:ascii="Arial" w:hAnsi="Arial" w:cs="Arial"/>
                <w:bCs/>
                <w:color w:val="000000" w:themeColor="text1"/>
                <w:sz w:val="20"/>
                <w:szCs w:val="20"/>
                <w:lang w:val="en-IN"/>
              </w:rPr>
              <w:t>)</w:t>
            </w:r>
          </w:p>
        </w:tc>
        <w:tc>
          <w:tcPr>
            <w:tcW w:w="917" w:type="dxa"/>
          </w:tcPr>
          <w:p w14:paraId="03C0003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0.122</w:t>
            </w:r>
          </w:p>
        </w:tc>
        <w:tc>
          <w:tcPr>
            <w:tcW w:w="853" w:type="dxa"/>
          </w:tcPr>
          <w:p w14:paraId="77D52C7F"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0.044</w:t>
            </w:r>
          </w:p>
        </w:tc>
        <w:tc>
          <w:tcPr>
            <w:tcW w:w="863" w:type="dxa"/>
          </w:tcPr>
          <w:p w14:paraId="48190144"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0.036</w:t>
            </w:r>
          </w:p>
        </w:tc>
        <w:tc>
          <w:tcPr>
            <w:tcW w:w="866" w:type="dxa"/>
          </w:tcPr>
          <w:p w14:paraId="025274BC"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0.214</w:t>
            </w:r>
          </w:p>
        </w:tc>
        <w:tc>
          <w:tcPr>
            <w:tcW w:w="864" w:type="dxa"/>
          </w:tcPr>
          <w:p w14:paraId="3054FA68"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0.008</w:t>
            </w:r>
          </w:p>
        </w:tc>
        <w:tc>
          <w:tcPr>
            <w:tcW w:w="1275" w:type="dxa"/>
          </w:tcPr>
          <w:p w14:paraId="471744C5"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Significant </w:t>
            </w:r>
          </w:p>
        </w:tc>
      </w:tr>
      <w:tr w:rsidR="004A556F" w:rsidRPr="006015EF" w14:paraId="21F6B26B" w14:textId="77777777" w:rsidTr="006015EF">
        <w:trPr>
          <w:trHeight w:val="25"/>
        </w:trPr>
        <w:tc>
          <w:tcPr>
            <w:tcW w:w="1549" w:type="dxa"/>
            <w:vMerge w:val="restart"/>
          </w:tcPr>
          <w:p w14:paraId="7E2A4D6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
        </w:tc>
        <w:tc>
          <w:tcPr>
            <w:tcW w:w="1923" w:type="dxa"/>
          </w:tcPr>
          <w:p w14:paraId="37E8E0A8"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roofErr w:type="gramStart"/>
            <w:r w:rsidRPr="006015EF">
              <w:rPr>
                <w:rFonts w:ascii="Arial" w:hAnsi="Arial" w:cs="Arial"/>
                <w:bCs/>
                <w:color w:val="000000" w:themeColor="text1"/>
                <w:sz w:val="20"/>
                <w:szCs w:val="20"/>
                <w:lang w:val="en-IN"/>
              </w:rPr>
              <w:t>B(</w:t>
            </w:r>
            <w:proofErr w:type="gramEnd"/>
            <w:r w:rsidRPr="006015EF">
              <w:rPr>
                <w:rFonts w:ascii="Arial" w:hAnsi="Arial" w:cs="Arial"/>
                <w:bCs/>
                <w:color w:val="000000" w:themeColor="text1"/>
                <w:sz w:val="20"/>
                <w:szCs w:val="20"/>
                <w:lang w:val="en-IN"/>
              </w:rPr>
              <w:t>Perceived Value</w:t>
            </w:r>
            <w:r w:rsidRPr="006015EF">
              <w:rPr>
                <w:rFonts w:ascii="Arial" w:hAnsi="Arial" w:cs="Arial"/>
                <w:bCs/>
                <w:color w:val="000000" w:themeColor="text1"/>
                <w:sz w:val="20"/>
                <w:szCs w:val="20"/>
                <w:lang w:val="en-IN"/>
              </w:rPr>
              <w:sym w:font="Wingdings" w:char="F0E0"/>
            </w:r>
            <w:r w:rsidRPr="006015EF">
              <w:rPr>
                <w:rFonts w:ascii="Arial" w:hAnsi="Arial" w:cs="Arial"/>
                <w:bCs/>
                <w:color w:val="000000" w:themeColor="text1"/>
                <w:sz w:val="20"/>
                <w:szCs w:val="20"/>
                <w:lang w:val="en-IN"/>
              </w:rPr>
              <w:t xml:space="preserve"> Loyalty </w:t>
            </w:r>
            <w:proofErr w:type="spellStart"/>
            <w:r w:rsidRPr="006015EF">
              <w:rPr>
                <w:rFonts w:ascii="Arial" w:hAnsi="Arial" w:cs="Arial"/>
                <w:bCs/>
                <w:color w:val="000000" w:themeColor="text1"/>
                <w:sz w:val="20"/>
                <w:szCs w:val="20"/>
                <w:lang w:val="en-IN"/>
              </w:rPr>
              <w:t>Inlon</w:t>
            </w:r>
            <w:proofErr w:type="spellEnd"/>
          </w:p>
        </w:tc>
        <w:tc>
          <w:tcPr>
            <w:tcW w:w="917" w:type="dxa"/>
          </w:tcPr>
          <w:p w14:paraId="7BFF5E53"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0.341</w:t>
            </w:r>
          </w:p>
        </w:tc>
        <w:tc>
          <w:tcPr>
            <w:tcW w:w="853" w:type="dxa"/>
          </w:tcPr>
          <w:p w14:paraId="0ED2996E"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0.056</w:t>
            </w:r>
          </w:p>
        </w:tc>
        <w:tc>
          <w:tcPr>
            <w:tcW w:w="863" w:type="dxa"/>
          </w:tcPr>
          <w:p w14:paraId="4054CD6E"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0.234</w:t>
            </w:r>
          </w:p>
        </w:tc>
        <w:tc>
          <w:tcPr>
            <w:tcW w:w="866" w:type="dxa"/>
          </w:tcPr>
          <w:p w14:paraId="1059BED8"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0.452</w:t>
            </w:r>
          </w:p>
        </w:tc>
        <w:tc>
          <w:tcPr>
            <w:tcW w:w="864" w:type="dxa"/>
          </w:tcPr>
          <w:p w14:paraId="5DFB1BB0"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0.000</w:t>
            </w:r>
          </w:p>
        </w:tc>
        <w:tc>
          <w:tcPr>
            <w:tcW w:w="1275" w:type="dxa"/>
          </w:tcPr>
          <w:p w14:paraId="05622A20"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Significant </w:t>
            </w:r>
          </w:p>
        </w:tc>
      </w:tr>
      <w:tr w:rsidR="004A556F" w:rsidRPr="006015EF" w14:paraId="41905780" w14:textId="77777777" w:rsidTr="006015EF">
        <w:trPr>
          <w:trHeight w:val="25"/>
        </w:trPr>
        <w:tc>
          <w:tcPr>
            <w:tcW w:w="1549" w:type="dxa"/>
            <w:vMerge/>
          </w:tcPr>
          <w:p w14:paraId="10276D78"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
        </w:tc>
        <w:tc>
          <w:tcPr>
            <w:tcW w:w="1923" w:type="dxa"/>
          </w:tcPr>
          <w:p w14:paraId="539F49B8"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Indirect Effect</w:t>
            </w:r>
          </w:p>
          <w:p w14:paraId="20DBE95E"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(a*b)</w:t>
            </w:r>
          </w:p>
        </w:tc>
        <w:tc>
          <w:tcPr>
            <w:tcW w:w="917" w:type="dxa"/>
          </w:tcPr>
          <w:p w14:paraId="2F94869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0.042</w:t>
            </w:r>
          </w:p>
        </w:tc>
        <w:tc>
          <w:tcPr>
            <w:tcW w:w="853" w:type="dxa"/>
          </w:tcPr>
          <w:p w14:paraId="6FFC986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0.015</w:t>
            </w:r>
          </w:p>
        </w:tc>
        <w:tc>
          <w:tcPr>
            <w:tcW w:w="863" w:type="dxa"/>
          </w:tcPr>
          <w:p w14:paraId="486FE583"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0.017</w:t>
            </w:r>
          </w:p>
        </w:tc>
        <w:tc>
          <w:tcPr>
            <w:tcW w:w="866" w:type="dxa"/>
          </w:tcPr>
          <w:p w14:paraId="07C4A5B0"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0.078</w:t>
            </w:r>
          </w:p>
        </w:tc>
        <w:tc>
          <w:tcPr>
            <w:tcW w:w="864" w:type="dxa"/>
          </w:tcPr>
          <w:p w14:paraId="1E151546"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0.002</w:t>
            </w:r>
          </w:p>
        </w:tc>
        <w:tc>
          <w:tcPr>
            <w:tcW w:w="1275" w:type="dxa"/>
          </w:tcPr>
          <w:p w14:paraId="29DDEB15"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Significant </w:t>
            </w:r>
          </w:p>
        </w:tc>
      </w:tr>
      <w:tr w:rsidR="004A556F" w:rsidRPr="006015EF" w14:paraId="04026D36" w14:textId="77777777" w:rsidTr="006015EF">
        <w:trPr>
          <w:trHeight w:val="25"/>
        </w:trPr>
        <w:tc>
          <w:tcPr>
            <w:tcW w:w="1549" w:type="dxa"/>
            <w:vMerge/>
          </w:tcPr>
          <w:p w14:paraId="59799F4B"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
        </w:tc>
        <w:tc>
          <w:tcPr>
            <w:tcW w:w="1923" w:type="dxa"/>
          </w:tcPr>
          <w:p w14:paraId="29E0D943"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Direct </w:t>
            </w:r>
            <w:proofErr w:type="gramStart"/>
            <w:r w:rsidRPr="006015EF">
              <w:rPr>
                <w:rFonts w:ascii="Arial" w:hAnsi="Arial" w:cs="Arial"/>
                <w:bCs/>
                <w:color w:val="000000" w:themeColor="text1"/>
                <w:sz w:val="20"/>
                <w:szCs w:val="20"/>
                <w:lang w:val="en-IN"/>
              </w:rPr>
              <w:t>Effect(</w:t>
            </w:r>
            <w:proofErr w:type="gramEnd"/>
            <w:r w:rsidRPr="006015EF">
              <w:rPr>
                <w:rFonts w:ascii="Arial" w:hAnsi="Arial" w:cs="Arial"/>
                <w:bCs/>
                <w:color w:val="000000" w:themeColor="text1"/>
                <w:sz w:val="20"/>
                <w:szCs w:val="20"/>
                <w:lang w:val="en-IN"/>
              </w:rPr>
              <w:t>IV</w:t>
            </w:r>
            <w:r w:rsidRPr="006015EF">
              <w:rPr>
                <w:rFonts w:ascii="Arial" w:hAnsi="Arial" w:cs="Arial"/>
                <w:bCs/>
                <w:color w:val="000000" w:themeColor="text1"/>
                <w:sz w:val="20"/>
                <w:szCs w:val="20"/>
                <w:lang w:val="en-IN"/>
              </w:rPr>
              <w:sym w:font="Wingdings" w:char="F0E0"/>
            </w:r>
            <w:r w:rsidRPr="006015EF">
              <w:rPr>
                <w:rFonts w:ascii="Arial" w:hAnsi="Arial" w:cs="Arial"/>
                <w:bCs/>
                <w:color w:val="000000" w:themeColor="text1"/>
                <w:sz w:val="20"/>
                <w:szCs w:val="20"/>
                <w:lang w:val="en-IN"/>
              </w:rPr>
              <w:t>DV)</w:t>
            </w:r>
          </w:p>
        </w:tc>
        <w:tc>
          <w:tcPr>
            <w:tcW w:w="917" w:type="dxa"/>
          </w:tcPr>
          <w:p w14:paraId="31FBB116"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0.043</w:t>
            </w:r>
          </w:p>
        </w:tc>
        <w:tc>
          <w:tcPr>
            <w:tcW w:w="853" w:type="dxa"/>
          </w:tcPr>
          <w:p w14:paraId="1FC5795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0.053</w:t>
            </w:r>
          </w:p>
        </w:tc>
        <w:tc>
          <w:tcPr>
            <w:tcW w:w="863" w:type="dxa"/>
          </w:tcPr>
          <w:p w14:paraId="75CD3BCC"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-0.061</w:t>
            </w:r>
          </w:p>
        </w:tc>
        <w:tc>
          <w:tcPr>
            <w:tcW w:w="866" w:type="dxa"/>
          </w:tcPr>
          <w:p w14:paraId="5D7BF39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0.147</w:t>
            </w:r>
          </w:p>
        </w:tc>
        <w:tc>
          <w:tcPr>
            <w:tcW w:w="864" w:type="dxa"/>
          </w:tcPr>
          <w:p w14:paraId="773D2366"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0.325</w:t>
            </w:r>
          </w:p>
        </w:tc>
        <w:tc>
          <w:tcPr>
            <w:tcW w:w="1275" w:type="dxa"/>
          </w:tcPr>
          <w:p w14:paraId="7F83F2B1"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Not Significant </w:t>
            </w:r>
          </w:p>
        </w:tc>
      </w:tr>
      <w:tr w:rsidR="004A556F" w:rsidRPr="006015EF" w14:paraId="776AAB75" w14:textId="77777777" w:rsidTr="006015EF">
        <w:trPr>
          <w:trHeight w:val="25"/>
        </w:trPr>
        <w:tc>
          <w:tcPr>
            <w:tcW w:w="1549" w:type="dxa"/>
            <w:vMerge/>
          </w:tcPr>
          <w:p w14:paraId="6C245C4C"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
        </w:tc>
        <w:tc>
          <w:tcPr>
            <w:tcW w:w="1923" w:type="dxa"/>
          </w:tcPr>
          <w:p w14:paraId="49F5CBD7"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Total Effect </w:t>
            </w:r>
          </w:p>
        </w:tc>
        <w:tc>
          <w:tcPr>
            <w:tcW w:w="917" w:type="dxa"/>
          </w:tcPr>
          <w:p w14:paraId="7599D73C"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0.084</w:t>
            </w:r>
          </w:p>
        </w:tc>
        <w:tc>
          <w:tcPr>
            <w:tcW w:w="853" w:type="dxa"/>
          </w:tcPr>
          <w:p w14:paraId="29E31AB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0.075</w:t>
            </w:r>
          </w:p>
        </w:tc>
        <w:tc>
          <w:tcPr>
            <w:tcW w:w="863" w:type="dxa"/>
          </w:tcPr>
          <w:p w14:paraId="088503D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-0.054</w:t>
            </w:r>
          </w:p>
        </w:tc>
        <w:tc>
          <w:tcPr>
            <w:tcW w:w="866" w:type="dxa"/>
          </w:tcPr>
          <w:p w14:paraId="71F1711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0.198</w:t>
            </w:r>
          </w:p>
        </w:tc>
        <w:tc>
          <w:tcPr>
            <w:tcW w:w="864" w:type="dxa"/>
          </w:tcPr>
          <w:p w14:paraId="568CC10B"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0.270</w:t>
            </w:r>
          </w:p>
        </w:tc>
        <w:tc>
          <w:tcPr>
            <w:tcW w:w="1275" w:type="dxa"/>
          </w:tcPr>
          <w:p w14:paraId="70D6B1A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Not Significant </w:t>
            </w:r>
          </w:p>
        </w:tc>
      </w:tr>
    </w:tbl>
    <w:p w14:paraId="5240AC80" w14:textId="77777777" w:rsidR="002B6F30" w:rsidRPr="004A556F" w:rsidRDefault="004A556F" w:rsidP="006015EF">
      <w:pPr>
        <w:autoSpaceDE w:val="0"/>
        <w:autoSpaceDN w:val="0"/>
        <w:adjustRightInd w:val="0"/>
        <w:spacing w:before="240" w:line="276" w:lineRule="auto"/>
        <w:jc w:val="center"/>
        <w:rPr>
          <w:b/>
          <w:color w:val="000000" w:themeColor="text1"/>
        </w:rPr>
      </w:pPr>
      <w:r w:rsidRPr="002410A5">
        <w:rPr>
          <w:b/>
          <w:color w:val="000000" w:themeColor="text1"/>
        </w:rPr>
        <w:t>Figure 2. Mediation of Perceived Value on e-service quality and perceived value</w:t>
      </w:r>
    </w:p>
    <w:p w14:paraId="1626943A" w14:textId="77777777" w:rsidR="002B6F30" w:rsidRDefault="006015EF" w:rsidP="00441B6F">
      <w:pPr>
        <w:pStyle w:val="Body"/>
        <w:spacing w:after="0"/>
        <w:rPr>
          <w:rFonts w:ascii="Arial" w:hAnsi="Arial" w:cs="Arial"/>
        </w:rPr>
      </w:pPr>
      <w:r w:rsidRPr="002410A5">
        <w:rPr>
          <w:b/>
          <w:bCs/>
          <w:noProof/>
          <w:color w:val="000000" w:themeColor="text1"/>
        </w:rPr>
        <w:drawing>
          <wp:anchor distT="0" distB="0" distL="114300" distR="114300" simplePos="0" relativeHeight="251663360" behindDoc="1" locked="0" layoutInCell="1" allowOverlap="1" wp14:anchorId="476470DA" wp14:editId="734A3136">
            <wp:simplePos x="0" y="0"/>
            <wp:positionH relativeFrom="margin">
              <wp:posOffset>371475</wp:posOffset>
            </wp:positionH>
            <wp:positionV relativeFrom="paragraph">
              <wp:posOffset>100965</wp:posOffset>
            </wp:positionV>
            <wp:extent cx="5297170" cy="4076065"/>
            <wp:effectExtent l="0" t="0" r="0" b="635"/>
            <wp:wrapTight wrapText="bothSides">
              <wp:wrapPolygon edited="0">
                <wp:start x="0" y="0"/>
                <wp:lineTo x="0" y="21502"/>
                <wp:lineTo x="21517" y="21502"/>
                <wp:lineTo x="21517" y="0"/>
                <wp:lineTo x="0" y="0"/>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554" r="1"/>
                    <a:stretch/>
                  </pic:blipFill>
                  <pic:spPr bwMode="auto">
                    <a:xfrm>
                      <a:off x="0" y="0"/>
                      <a:ext cx="5297170" cy="4076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1133DC" w14:textId="77777777" w:rsidR="006015EF" w:rsidRDefault="006015EF" w:rsidP="00441B6F">
      <w:pPr>
        <w:pStyle w:val="Body"/>
        <w:spacing w:after="0"/>
        <w:rPr>
          <w:rFonts w:ascii="Arial" w:hAnsi="Arial" w:cs="Arial"/>
        </w:rPr>
      </w:pPr>
    </w:p>
    <w:p w14:paraId="6BFF6100" w14:textId="77777777" w:rsidR="006015EF" w:rsidRDefault="006015EF" w:rsidP="00441B6F">
      <w:pPr>
        <w:pStyle w:val="Body"/>
        <w:spacing w:after="0"/>
        <w:rPr>
          <w:rFonts w:ascii="Arial" w:hAnsi="Arial" w:cs="Arial"/>
        </w:rPr>
      </w:pPr>
    </w:p>
    <w:p w14:paraId="3F393449" w14:textId="77777777" w:rsidR="006015EF" w:rsidRDefault="006015EF" w:rsidP="00441B6F">
      <w:pPr>
        <w:pStyle w:val="Body"/>
        <w:spacing w:after="0"/>
        <w:rPr>
          <w:rFonts w:ascii="Arial" w:hAnsi="Arial" w:cs="Arial"/>
        </w:rPr>
      </w:pPr>
    </w:p>
    <w:p w14:paraId="1097B4F5" w14:textId="77777777" w:rsidR="006015EF" w:rsidRDefault="006015EF" w:rsidP="00441B6F">
      <w:pPr>
        <w:pStyle w:val="Body"/>
        <w:spacing w:after="0"/>
        <w:rPr>
          <w:rFonts w:ascii="Arial" w:hAnsi="Arial" w:cs="Arial"/>
        </w:rPr>
      </w:pPr>
    </w:p>
    <w:p w14:paraId="2705C5B7" w14:textId="77777777" w:rsidR="006015EF" w:rsidRDefault="006015EF" w:rsidP="00441B6F">
      <w:pPr>
        <w:pStyle w:val="Body"/>
        <w:spacing w:after="0"/>
        <w:rPr>
          <w:rFonts w:ascii="Arial" w:hAnsi="Arial" w:cs="Arial"/>
        </w:rPr>
      </w:pPr>
    </w:p>
    <w:p w14:paraId="237EC57D" w14:textId="77777777" w:rsidR="006015EF" w:rsidRDefault="006015EF" w:rsidP="00441B6F">
      <w:pPr>
        <w:pStyle w:val="Body"/>
        <w:spacing w:after="0"/>
        <w:rPr>
          <w:rFonts w:ascii="Arial" w:hAnsi="Arial" w:cs="Arial"/>
        </w:rPr>
      </w:pPr>
    </w:p>
    <w:p w14:paraId="516B153D" w14:textId="77777777" w:rsidR="006015EF" w:rsidRDefault="006015EF" w:rsidP="00441B6F">
      <w:pPr>
        <w:pStyle w:val="Body"/>
        <w:spacing w:after="0"/>
        <w:rPr>
          <w:rFonts w:ascii="Arial" w:hAnsi="Arial" w:cs="Arial"/>
        </w:rPr>
      </w:pPr>
    </w:p>
    <w:p w14:paraId="141AB448" w14:textId="77777777" w:rsidR="006015EF" w:rsidRDefault="006015EF" w:rsidP="00441B6F">
      <w:pPr>
        <w:pStyle w:val="Body"/>
        <w:spacing w:after="0"/>
        <w:rPr>
          <w:rFonts w:ascii="Arial" w:hAnsi="Arial" w:cs="Arial"/>
        </w:rPr>
      </w:pPr>
    </w:p>
    <w:p w14:paraId="5F82EFF1" w14:textId="77777777" w:rsidR="006015EF" w:rsidRDefault="006015EF" w:rsidP="00441B6F">
      <w:pPr>
        <w:pStyle w:val="Body"/>
        <w:spacing w:after="0"/>
        <w:rPr>
          <w:rFonts w:ascii="Arial" w:hAnsi="Arial" w:cs="Arial"/>
        </w:rPr>
      </w:pPr>
    </w:p>
    <w:p w14:paraId="3D3BDCD3" w14:textId="77777777" w:rsidR="006015EF" w:rsidRDefault="006015EF" w:rsidP="00441B6F">
      <w:pPr>
        <w:pStyle w:val="Body"/>
        <w:spacing w:after="0"/>
        <w:rPr>
          <w:rFonts w:ascii="Arial" w:hAnsi="Arial" w:cs="Arial"/>
        </w:rPr>
      </w:pPr>
    </w:p>
    <w:p w14:paraId="3C935030" w14:textId="77777777" w:rsidR="006015EF" w:rsidRDefault="006015EF" w:rsidP="00441B6F">
      <w:pPr>
        <w:pStyle w:val="Body"/>
        <w:spacing w:after="0"/>
        <w:rPr>
          <w:rFonts w:ascii="Arial" w:hAnsi="Arial" w:cs="Arial"/>
        </w:rPr>
      </w:pPr>
    </w:p>
    <w:p w14:paraId="7A780A7D" w14:textId="77777777" w:rsidR="006015EF" w:rsidRDefault="006015EF" w:rsidP="00441B6F">
      <w:pPr>
        <w:pStyle w:val="Body"/>
        <w:spacing w:after="0"/>
        <w:rPr>
          <w:rFonts w:ascii="Arial" w:hAnsi="Arial" w:cs="Arial"/>
        </w:rPr>
      </w:pPr>
    </w:p>
    <w:p w14:paraId="6A37616E" w14:textId="77777777" w:rsidR="006015EF" w:rsidRDefault="006015EF" w:rsidP="00441B6F">
      <w:pPr>
        <w:pStyle w:val="Body"/>
        <w:spacing w:after="0"/>
        <w:rPr>
          <w:rFonts w:ascii="Arial" w:hAnsi="Arial" w:cs="Arial"/>
        </w:rPr>
      </w:pPr>
    </w:p>
    <w:p w14:paraId="69A1BB42" w14:textId="77777777" w:rsidR="006015EF" w:rsidRDefault="006015EF" w:rsidP="00441B6F">
      <w:pPr>
        <w:pStyle w:val="Body"/>
        <w:spacing w:after="0"/>
        <w:rPr>
          <w:rFonts w:ascii="Arial" w:hAnsi="Arial" w:cs="Arial"/>
        </w:rPr>
      </w:pPr>
    </w:p>
    <w:p w14:paraId="7C99CE4E" w14:textId="77777777" w:rsidR="006015EF" w:rsidRDefault="006015EF" w:rsidP="00441B6F">
      <w:pPr>
        <w:pStyle w:val="Body"/>
        <w:spacing w:after="0"/>
        <w:rPr>
          <w:rFonts w:ascii="Arial" w:hAnsi="Arial" w:cs="Arial"/>
        </w:rPr>
      </w:pPr>
    </w:p>
    <w:p w14:paraId="338C85CA" w14:textId="77777777" w:rsidR="006015EF" w:rsidRDefault="006015EF" w:rsidP="00441B6F">
      <w:pPr>
        <w:pStyle w:val="Body"/>
        <w:spacing w:after="0"/>
        <w:rPr>
          <w:rFonts w:ascii="Arial" w:hAnsi="Arial" w:cs="Arial"/>
        </w:rPr>
      </w:pPr>
    </w:p>
    <w:p w14:paraId="30F56F2D" w14:textId="77777777" w:rsidR="006015EF" w:rsidRDefault="006015EF" w:rsidP="00441B6F">
      <w:pPr>
        <w:pStyle w:val="Body"/>
        <w:spacing w:after="0"/>
        <w:rPr>
          <w:rFonts w:ascii="Arial" w:hAnsi="Arial" w:cs="Arial"/>
        </w:rPr>
      </w:pPr>
    </w:p>
    <w:p w14:paraId="52B6CE30" w14:textId="77777777" w:rsidR="006015EF" w:rsidRDefault="006015EF" w:rsidP="00441B6F">
      <w:pPr>
        <w:pStyle w:val="Body"/>
        <w:spacing w:after="0"/>
        <w:rPr>
          <w:rFonts w:ascii="Arial" w:hAnsi="Arial" w:cs="Arial"/>
        </w:rPr>
      </w:pPr>
    </w:p>
    <w:p w14:paraId="4A10F428" w14:textId="77777777" w:rsidR="006015EF" w:rsidRDefault="006015EF" w:rsidP="00441B6F">
      <w:pPr>
        <w:pStyle w:val="Body"/>
        <w:spacing w:after="0"/>
        <w:rPr>
          <w:rFonts w:ascii="Arial" w:hAnsi="Arial" w:cs="Arial"/>
        </w:rPr>
      </w:pPr>
    </w:p>
    <w:p w14:paraId="077391E1" w14:textId="77777777" w:rsidR="006015EF" w:rsidRDefault="006015EF" w:rsidP="00441B6F">
      <w:pPr>
        <w:pStyle w:val="Body"/>
        <w:spacing w:after="0"/>
        <w:rPr>
          <w:rFonts w:ascii="Arial" w:hAnsi="Arial" w:cs="Arial"/>
        </w:rPr>
      </w:pPr>
    </w:p>
    <w:p w14:paraId="77B01510" w14:textId="77777777" w:rsidR="006015EF" w:rsidRDefault="006015EF" w:rsidP="00441B6F">
      <w:pPr>
        <w:pStyle w:val="Body"/>
        <w:spacing w:after="0"/>
        <w:rPr>
          <w:rFonts w:ascii="Arial" w:hAnsi="Arial" w:cs="Arial"/>
        </w:rPr>
      </w:pPr>
    </w:p>
    <w:p w14:paraId="39250D16" w14:textId="77777777" w:rsidR="006015EF" w:rsidRDefault="006015EF" w:rsidP="00441B6F">
      <w:pPr>
        <w:pStyle w:val="Body"/>
        <w:spacing w:after="0"/>
        <w:rPr>
          <w:rFonts w:ascii="Arial" w:hAnsi="Arial" w:cs="Arial"/>
        </w:rPr>
      </w:pPr>
    </w:p>
    <w:p w14:paraId="5D73CBA6" w14:textId="77777777" w:rsidR="006015EF" w:rsidRDefault="006015EF" w:rsidP="00441B6F">
      <w:pPr>
        <w:pStyle w:val="Body"/>
        <w:spacing w:after="0"/>
        <w:rPr>
          <w:rFonts w:ascii="Arial" w:hAnsi="Arial" w:cs="Arial"/>
        </w:rPr>
      </w:pPr>
    </w:p>
    <w:p w14:paraId="3E588429" w14:textId="77777777" w:rsidR="006015EF" w:rsidRDefault="006015EF" w:rsidP="00441B6F">
      <w:pPr>
        <w:pStyle w:val="Body"/>
        <w:spacing w:after="0"/>
        <w:rPr>
          <w:rFonts w:ascii="Arial" w:hAnsi="Arial" w:cs="Arial"/>
        </w:rPr>
      </w:pPr>
    </w:p>
    <w:p w14:paraId="64D2DF1A" w14:textId="77777777" w:rsidR="006015EF" w:rsidRDefault="006015EF" w:rsidP="00441B6F">
      <w:pPr>
        <w:pStyle w:val="Body"/>
        <w:spacing w:after="0"/>
        <w:rPr>
          <w:rFonts w:ascii="Arial" w:hAnsi="Arial" w:cs="Arial"/>
        </w:rPr>
      </w:pPr>
    </w:p>
    <w:p w14:paraId="08C5C9DB" w14:textId="77777777" w:rsidR="006015EF" w:rsidRDefault="006015EF" w:rsidP="00441B6F">
      <w:pPr>
        <w:pStyle w:val="Body"/>
        <w:spacing w:after="0"/>
        <w:rPr>
          <w:rFonts w:ascii="Arial" w:hAnsi="Arial" w:cs="Arial"/>
        </w:rPr>
      </w:pPr>
    </w:p>
    <w:p w14:paraId="26DD8F22" w14:textId="77777777" w:rsidR="006015EF" w:rsidRDefault="006015EF" w:rsidP="00441B6F">
      <w:pPr>
        <w:pStyle w:val="Body"/>
        <w:spacing w:after="0"/>
        <w:rPr>
          <w:rFonts w:ascii="Arial" w:hAnsi="Arial" w:cs="Arial"/>
        </w:rPr>
      </w:pPr>
    </w:p>
    <w:p w14:paraId="1CC8C426" w14:textId="77777777" w:rsidR="006015EF" w:rsidRDefault="006015EF" w:rsidP="00441B6F">
      <w:pPr>
        <w:pStyle w:val="Body"/>
        <w:spacing w:after="0"/>
        <w:rPr>
          <w:rFonts w:ascii="Arial" w:hAnsi="Arial" w:cs="Arial"/>
        </w:rPr>
      </w:pPr>
    </w:p>
    <w:p w14:paraId="5D19B381" w14:textId="77777777" w:rsidR="00790ADA" w:rsidRPr="00FB3A86" w:rsidRDefault="00790ADA" w:rsidP="00441B6F">
      <w:pPr>
        <w:pStyle w:val="Body"/>
        <w:spacing w:after="0"/>
        <w:rPr>
          <w:rFonts w:ascii="Arial" w:hAnsi="Arial" w:cs="Arial"/>
        </w:rPr>
      </w:pPr>
    </w:p>
    <w:p w14:paraId="3E08439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14D423" w14:textId="77777777" w:rsidR="00790ADA" w:rsidRPr="00FB3A86" w:rsidRDefault="00790ADA" w:rsidP="00441B6F">
      <w:pPr>
        <w:pStyle w:val="ConcHead"/>
        <w:spacing w:after="0"/>
        <w:jc w:val="both"/>
        <w:rPr>
          <w:rFonts w:ascii="Arial" w:hAnsi="Arial" w:cs="Arial"/>
        </w:rPr>
      </w:pPr>
    </w:p>
    <w:p w14:paraId="601B20F9" w14:textId="77777777" w:rsidR="00F82992" w:rsidRPr="00F82992" w:rsidRDefault="00F82992" w:rsidP="006015EF">
      <w:pPr>
        <w:pStyle w:val="Body"/>
        <w:ind w:firstLine="720"/>
        <w:rPr>
          <w:rFonts w:ascii="Arial" w:hAnsi="Arial" w:cs="Arial"/>
          <w:lang w:val="en-IN"/>
        </w:rPr>
      </w:pPr>
      <w:r w:rsidRPr="00F82992">
        <w:rPr>
          <w:rFonts w:ascii="Arial" w:hAnsi="Arial" w:cs="Arial"/>
          <w:lang w:val="en-IN"/>
        </w:rPr>
        <w:t>The SEM analysis results validate that the proposed model is accurately specified and exhibits an acceptable goodness of fit, with indices aligning with recommended standards (Hu &amp; Bentler, 1999). This confirms the robustness of the conceptual framework and its relevance to the emerging field of online seafood retailing. The structural relationships indicate that e-</w:t>
      </w:r>
      <w:r w:rsidRPr="00F82992">
        <w:rPr>
          <w:rFonts w:ascii="Arial" w:hAnsi="Arial" w:cs="Arial"/>
          <w:lang w:val="en-IN"/>
        </w:rPr>
        <w:lastRenderedPageBreak/>
        <w:t>service quality has a positive and significant impact on perceived value, which in turn, significantly influences loyalty intention. This finding is consistent with previous research suggesting that perceived value is a key determinant of customer loyalty in digital settings (</w:t>
      </w:r>
      <w:proofErr w:type="spellStart"/>
      <w:r w:rsidRPr="00F82992">
        <w:rPr>
          <w:rFonts w:ascii="Arial" w:hAnsi="Arial" w:cs="Arial"/>
          <w:lang w:val="en-IN"/>
        </w:rPr>
        <w:t>Punyatoya</w:t>
      </w:r>
      <w:proofErr w:type="spellEnd"/>
      <w:r w:rsidRPr="00F82992">
        <w:rPr>
          <w:rFonts w:ascii="Arial" w:hAnsi="Arial" w:cs="Arial"/>
          <w:lang w:val="en-IN"/>
        </w:rPr>
        <w:t>, 2018; Zeithaml, 1988). By illustrating this mechanism in the context of perishable aquaculture products, this study extends existing e-service quality models into a new domain.</w:t>
      </w:r>
    </w:p>
    <w:p w14:paraId="0BCCDDA2" w14:textId="77777777" w:rsidR="00F82992" w:rsidRPr="00F82992" w:rsidRDefault="00F82992" w:rsidP="00F82992">
      <w:pPr>
        <w:pStyle w:val="Body"/>
        <w:rPr>
          <w:rFonts w:ascii="Arial" w:hAnsi="Arial" w:cs="Arial"/>
          <w:lang w:val="en-IN"/>
        </w:rPr>
      </w:pPr>
      <w:r w:rsidRPr="00F82992">
        <w:rPr>
          <w:rFonts w:ascii="Arial" w:hAnsi="Arial" w:cs="Arial"/>
          <w:lang w:val="en-IN"/>
        </w:rPr>
        <w:t xml:space="preserve">Interestingly, the direct impact of e-service quality on loyalty intention was not significant, which contrasts with many traditional e-commerce studies where service quality is seen as a direct precursor to loyalty (Kassim &amp; Abdullah, 2008; Gefen, 2002). This implies that in high-risk product categories like fresh seafood, customers do not convert positive service experiences into loyalty unless these experiences create strong perceived value. This underscores the mediating role of perceived value as the crucial psychological channel through which service quality affects loyalty </w:t>
      </w:r>
      <w:proofErr w:type="spellStart"/>
      <w:r w:rsidRPr="00F82992">
        <w:rPr>
          <w:rFonts w:ascii="Arial" w:hAnsi="Arial" w:cs="Arial"/>
          <w:lang w:val="en-IN"/>
        </w:rPr>
        <w:t>behavior</w:t>
      </w:r>
      <w:proofErr w:type="spellEnd"/>
      <w:r w:rsidRPr="00F82992">
        <w:rPr>
          <w:rFonts w:ascii="Arial" w:hAnsi="Arial" w:cs="Arial"/>
          <w:lang w:val="en-IN"/>
        </w:rPr>
        <w:t xml:space="preserve">. Previous research has also shown that trust and value perceptions mediate the service quality–loyalty relationship (Chiu et al., 2009; </w:t>
      </w:r>
      <w:proofErr w:type="spellStart"/>
      <w:r w:rsidRPr="00F82992">
        <w:rPr>
          <w:rFonts w:ascii="Arial" w:hAnsi="Arial" w:cs="Arial"/>
          <w:lang w:val="en-IN"/>
        </w:rPr>
        <w:t>Thaichon</w:t>
      </w:r>
      <w:proofErr w:type="spellEnd"/>
      <w:r w:rsidRPr="00F82992">
        <w:rPr>
          <w:rFonts w:ascii="Arial" w:hAnsi="Arial" w:cs="Arial"/>
          <w:lang w:val="en-IN"/>
        </w:rPr>
        <w:t xml:space="preserve"> &amp; Quach, 2015); the current study supports and strengthens this evidence in a perishable food e-commerce context.</w:t>
      </w:r>
    </w:p>
    <w:p w14:paraId="4D5F35EA" w14:textId="77777777" w:rsidR="00F82992" w:rsidRPr="00F82992" w:rsidRDefault="00F82992" w:rsidP="00F82992">
      <w:pPr>
        <w:pStyle w:val="Body"/>
        <w:rPr>
          <w:rFonts w:ascii="Arial" w:hAnsi="Arial" w:cs="Arial"/>
          <w:lang w:val="en-IN"/>
        </w:rPr>
      </w:pPr>
      <w:r w:rsidRPr="00F82992">
        <w:rPr>
          <w:rFonts w:ascii="Arial" w:hAnsi="Arial" w:cs="Arial"/>
          <w:lang w:val="en-IN"/>
        </w:rPr>
        <w:t xml:space="preserve">Demographic and </w:t>
      </w:r>
      <w:proofErr w:type="spellStart"/>
      <w:r w:rsidRPr="00F82992">
        <w:rPr>
          <w:rFonts w:ascii="Arial" w:hAnsi="Arial" w:cs="Arial"/>
          <w:lang w:val="en-IN"/>
        </w:rPr>
        <w:t>behavioral</w:t>
      </w:r>
      <w:proofErr w:type="spellEnd"/>
      <w:r w:rsidRPr="00F82992">
        <w:rPr>
          <w:rFonts w:ascii="Arial" w:hAnsi="Arial" w:cs="Arial"/>
          <w:lang w:val="en-IN"/>
        </w:rPr>
        <w:t xml:space="preserve"> factors also emerged as significant predictors. Age was positively associated with both perceived value and loyalty intention, suggesting that older consumers are more likely to perceive greater benefits and remain loyal to online fish platforms. This aligns with previous studies that report older customers often exhibit greater trust and reduced switching </w:t>
      </w:r>
      <w:proofErr w:type="spellStart"/>
      <w:r w:rsidRPr="00F82992">
        <w:rPr>
          <w:rFonts w:ascii="Arial" w:hAnsi="Arial" w:cs="Arial"/>
          <w:lang w:val="en-IN"/>
        </w:rPr>
        <w:t>behavior</w:t>
      </w:r>
      <w:proofErr w:type="spellEnd"/>
      <w:r w:rsidRPr="00F82992">
        <w:rPr>
          <w:rFonts w:ascii="Arial" w:hAnsi="Arial" w:cs="Arial"/>
          <w:lang w:val="en-IN"/>
        </w:rPr>
        <w:t xml:space="preserve"> in online markets (Chiu et al., 2009). Income showed a dual pattern: it negatively influenced perceived value but positively affected loyalty intention. This contrasts with conventional findings that higher income enhances perceived value (Kaura et al., 2015) and suggests that higher-income consumers may be less price-sensitive, perceiving lower relative value but remaining loyal due to habit or convenience. Purchase frequency positively influenced loyalty intention, confirming that repeated buying </w:t>
      </w:r>
      <w:proofErr w:type="spellStart"/>
      <w:r w:rsidRPr="00F82992">
        <w:rPr>
          <w:rFonts w:ascii="Arial" w:hAnsi="Arial" w:cs="Arial"/>
          <w:lang w:val="en-IN"/>
        </w:rPr>
        <w:t>behavior</w:t>
      </w:r>
      <w:proofErr w:type="spellEnd"/>
      <w:r w:rsidRPr="00F82992">
        <w:rPr>
          <w:rFonts w:ascii="Arial" w:hAnsi="Arial" w:cs="Arial"/>
          <w:lang w:val="en-IN"/>
        </w:rPr>
        <w:t xml:space="preserve"> reinforces familiarity and trust, thereby fostering loyalty—an association supported in prior loyalty research (Gefen, 2002; Dick &amp; Basu, 1994).</w:t>
      </w:r>
    </w:p>
    <w:p w14:paraId="58A43656" w14:textId="77777777" w:rsidR="00F82992" w:rsidRPr="00F82992" w:rsidRDefault="00F82992" w:rsidP="00F82992">
      <w:pPr>
        <w:pStyle w:val="Body"/>
        <w:rPr>
          <w:rFonts w:ascii="Arial" w:hAnsi="Arial" w:cs="Arial"/>
          <w:lang w:val="en-IN"/>
        </w:rPr>
      </w:pPr>
      <w:r w:rsidRPr="00F82992">
        <w:rPr>
          <w:rFonts w:ascii="Arial" w:hAnsi="Arial" w:cs="Arial"/>
          <w:lang w:val="en-IN"/>
        </w:rPr>
        <w:t xml:space="preserve">Overall, these findings offer three key insights. First, perceived value is the primary driver of loyalty in online seafood retail, serving as the essential link between e-service quality and loyalty intention. Second, demographic characteristics influence perceived value, with age enhancing and income diminishing value perceptions, indicating the need for segment-specific strategies. Third, </w:t>
      </w:r>
      <w:proofErr w:type="spellStart"/>
      <w:r w:rsidRPr="00F82992">
        <w:rPr>
          <w:rFonts w:ascii="Arial" w:hAnsi="Arial" w:cs="Arial"/>
          <w:lang w:val="en-IN"/>
        </w:rPr>
        <w:t>behavioral</w:t>
      </w:r>
      <w:proofErr w:type="spellEnd"/>
      <w:r w:rsidRPr="00F82992">
        <w:rPr>
          <w:rFonts w:ascii="Arial" w:hAnsi="Arial" w:cs="Arial"/>
          <w:lang w:val="en-IN"/>
        </w:rPr>
        <w:t xml:space="preserve"> repetition reinforces loyalty, highlighting the importance of initiatives that encourage frequent purchases. Collectively, the results advance e-service quality theory by demonstrating that service quality indirectly fosters loyalty through perceived value and by showing that customer characteristics significantly shape this pathway in perishable food e-commerce.</w:t>
      </w:r>
    </w:p>
    <w:p w14:paraId="2EC56366" w14:textId="77777777" w:rsidR="00F82992" w:rsidRDefault="00F82992" w:rsidP="00F82992">
      <w:pPr>
        <w:pStyle w:val="Body"/>
        <w:rPr>
          <w:rFonts w:ascii="Arial" w:hAnsi="Arial" w:cs="Arial"/>
        </w:rPr>
      </w:pPr>
      <w:r w:rsidRPr="00F82992">
        <w:rPr>
          <w:rFonts w:ascii="Arial" w:hAnsi="Arial" w:cs="Arial"/>
        </w:rPr>
        <w:t>This research explored the impact of e-service quality on customer loyalty intentions within the realm of online fish retailing, considering perceived value as a mediating factor and incorporating demographic and behavioral variables as additional predictors. By analyzing survey data from 504 consumers and employing structural equation modeling, the study validated that the proposed model is well-suited to explaining the loyalty formation process in the e-commerce of perishable foods. The findings reveal that e-service quality does not have a direct effect on loyalty intention but rather influences it indirectly through perceived value. This underscores the pivotal role of perceived value in fostering loyalty behavior, extending previous studies on the service quality–loyalty connection (</w:t>
      </w:r>
      <w:proofErr w:type="spellStart"/>
      <w:r w:rsidRPr="00F82992">
        <w:rPr>
          <w:rFonts w:ascii="Arial" w:hAnsi="Arial" w:cs="Arial"/>
        </w:rPr>
        <w:t>Punyatoya</w:t>
      </w:r>
      <w:proofErr w:type="spellEnd"/>
      <w:r w:rsidRPr="00F82992">
        <w:rPr>
          <w:rFonts w:ascii="Arial" w:hAnsi="Arial" w:cs="Arial"/>
        </w:rPr>
        <w:t xml:space="preserve">, 2018; Zeithaml, 1988) to the less-explored area of perishable aquaculture products. This result challenges the traditional belief in a direct relationship between service quality and loyalty (Gefen, 2002; Kassim &amp; Abdullah, 2008), indicating that customers only convert positive service experiences into loyalty when those experiences yield tangible perceived benefits. Moreover, demographic and behavioral factors were found to be significant predictors: age positively influenced both perceived value and loyalty intention, income negatively impacted perceived value but positively predicted loyalty intention, and purchase frequency enhanced loyalty. These </w:t>
      </w:r>
      <w:r w:rsidRPr="00F82992">
        <w:rPr>
          <w:rFonts w:ascii="Arial" w:hAnsi="Arial" w:cs="Arial"/>
        </w:rPr>
        <w:lastRenderedPageBreak/>
        <w:t>findings highlight that loyalty development is influenced not only by service experiences but also by customer characteristics and behavioral patterns.</w:t>
      </w:r>
    </w:p>
    <w:p w14:paraId="658317F2" w14:textId="77777777" w:rsidR="00F82992" w:rsidRPr="006015EF" w:rsidRDefault="00F82992" w:rsidP="00F82992">
      <w:pPr>
        <w:pStyle w:val="Body"/>
        <w:rPr>
          <w:rFonts w:ascii="Arial" w:hAnsi="Arial" w:cs="Arial"/>
          <w:b/>
        </w:rPr>
      </w:pPr>
      <w:r w:rsidRPr="006015EF">
        <w:rPr>
          <w:rFonts w:ascii="Arial" w:hAnsi="Arial" w:cs="Arial"/>
          <w:b/>
        </w:rPr>
        <w:t>4.1 Theoretical Contributions</w:t>
      </w:r>
    </w:p>
    <w:p w14:paraId="713A7B39" w14:textId="77777777" w:rsidR="00F82992" w:rsidRPr="00F82992" w:rsidRDefault="00F82992" w:rsidP="00F82992">
      <w:pPr>
        <w:pStyle w:val="Body"/>
        <w:rPr>
          <w:rFonts w:ascii="Arial" w:hAnsi="Arial" w:cs="Arial"/>
        </w:rPr>
      </w:pPr>
      <w:r w:rsidRPr="00F82992">
        <w:rPr>
          <w:rFonts w:ascii="Arial" w:hAnsi="Arial" w:cs="Arial"/>
        </w:rPr>
        <w:t>This study offers several theoretical contributions. Firstly, it advances e-service quality research by identifying perceived value as a crucial mediating construct between e-service quality and loyalty in the context of perishable food e-commerce. Secondly, it provides empirical evidence that customer demographics (age, income) and behavioral factors (purchase frequency) significantly influence the value–loyalty pathway, offering a more detailed understanding of loyalty formation. Thirdly, it expands service quality theory by showing that functional service quality alone is insufficient to ensure loyalty in high-risk product categories, thus challenging traditional linear models of service quality–loyalty relationships.</w:t>
      </w:r>
    </w:p>
    <w:p w14:paraId="6B963184" w14:textId="77777777" w:rsidR="00F82992" w:rsidRPr="006015EF" w:rsidRDefault="00F82992" w:rsidP="00F82992">
      <w:pPr>
        <w:pStyle w:val="Body"/>
        <w:rPr>
          <w:rFonts w:ascii="Arial" w:hAnsi="Arial" w:cs="Arial"/>
          <w:b/>
        </w:rPr>
      </w:pPr>
      <w:r w:rsidRPr="006015EF">
        <w:rPr>
          <w:rFonts w:ascii="Arial" w:hAnsi="Arial" w:cs="Arial"/>
          <w:b/>
        </w:rPr>
        <w:t>4.2 Practical Implications</w:t>
      </w:r>
    </w:p>
    <w:p w14:paraId="7BF67FDF" w14:textId="77777777" w:rsidR="00F82992" w:rsidRPr="00F82992" w:rsidRDefault="00F82992" w:rsidP="00F82992">
      <w:pPr>
        <w:pStyle w:val="Body"/>
        <w:rPr>
          <w:rFonts w:ascii="Arial" w:hAnsi="Arial" w:cs="Arial"/>
        </w:rPr>
      </w:pPr>
      <w:r w:rsidRPr="00F82992">
        <w:rPr>
          <w:rFonts w:ascii="Arial" w:hAnsi="Arial" w:cs="Arial"/>
        </w:rPr>
        <w:t>For practitioners, the findings emphasize that enhancing perceived value is vital for converting positive service experiences into long-term loyalty. Online seafood platforms should prioritize improving fulfillment accuracy, system reliability, privacy assurance, and responsiveness to boost customer value perceptions. Given the positive impact of purchase frequency, platforms should also develop loyalty programs, subscription models, and personalized offers to encourage repeat purchases. Additionally, marketing strategies should be tailored to demographic profiles: older consumers may respond well to trust-building messages, while higher-income segments may require differentiated value propositions beyond price-based incentives.</w:t>
      </w:r>
    </w:p>
    <w:p w14:paraId="3A949602" w14:textId="77777777" w:rsidR="00F82992" w:rsidRPr="006015EF" w:rsidRDefault="00F82992" w:rsidP="00F82992">
      <w:pPr>
        <w:pStyle w:val="Body"/>
        <w:rPr>
          <w:rFonts w:ascii="Arial" w:hAnsi="Arial" w:cs="Arial"/>
          <w:b/>
        </w:rPr>
      </w:pPr>
      <w:r w:rsidRPr="006015EF">
        <w:rPr>
          <w:rFonts w:ascii="Arial" w:hAnsi="Arial" w:cs="Arial"/>
          <w:b/>
        </w:rPr>
        <w:t>4.3 Limitations and Future Research</w:t>
      </w:r>
    </w:p>
    <w:p w14:paraId="714B9846" w14:textId="77777777" w:rsidR="00790ADA" w:rsidRPr="00FB3A86" w:rsidRDefault="00F82992" w:rsidP="006015EF">
      <w:pPr>
        <w:pStyle w:val="Body"/>
        <w:rPr>
          <w:rFonts w:ascii="Arial" w:hAnsi="Arial" w:cs="Arial"/>
        </w:rPr>
      </w:pPr>
      <w:r w:rsidRPr="00F82992">
        <w:rPr>
          <w:rFonts w:ascii="Arial" w:hAnsi="Arial" w:cs="Arial"/>
        </w:rPr>
        <w:t>While this study provides valuable insights, it has certain limitations. The data were collected from consumers in Kerala, which may limit generalizability to other regions or cultural contexts. The cross-sectional design restricts causal inference; future research could use longitudinal or experimental designs to verify these relationships over time. Additionally, the study focused on overall e-service quality and perceived value; future research could investigate specific e-service quality dimensions (e.g., system availability, responsiveness, privacy, fulfillment) and psychological constructs such as trust, satisfaction, and perceived risk as potential mediators or moderators. Incorporating qualitative insights could also enhance understanding of customer perceptions in perishable food e-commerce</w:t>
      </w:r>
    </w:p>
    <w:p w14:paraId="7D160922" w14:textId="3DB22A68" w:rsidR="005A6C43" w:rsidRDefault="005A6C43" w:rsidP="00441B6F">
      <w:pPr>
        <w:pStyle w:val="ReferHead"/>
        <w:spacing w:after="0"/>
        <w:jc w:val="both"/>
        <w:rPr>
          <w:rFonts w:ascii="Arial" w:hAnsi="Arial" w:cs="Arial"/>
          <w:b w:val="0"/>
          <w:caps w:val="0"/>
          <w:sz w:val="20"/>
        </w:rPr>
      </w:pPr>
    </w:p>
    <w:p w14:paraId="7711AEC5" w14:textId="77777777" w:rsidR="00F646FD" w:rsidRDefault="00F646FD" w:rsidP="00441B6F">
      <w:pPr>
        <w:pStyle w:val="ReferHead"/>
        <w:spacing w:after="0"/>
        <w:jc w:val="both"/>
        <w:rPr>
          <w:rFonts w:ascii="Arial" w:hAnsi="Arial" w:cs="Arial"/>
          <w:b w:val="0"/>
          <w:caps w:val="0"/>
          <w:sz w:val="20"/>
        </w:rPr>
      </w:pPr>
    </w:p>
    <w:p w14:paraId="4E2D5358" w14:textId="77777777" w:rsidR="005A6C43" w:rsidRPr="005A6C43" w:rsidRDefault="005A6C43" w:rsidP="005A6C43">
      <w:pPr>
        <w:pStyle w:val="ReferHead"/>
        <w:jc w:val="both"/>
        <w:rPr>
          <w:rFonts w:ascii="Arial" w:hAnsi="Arial" w:cs="Arial"/>
          <w:b w:val="0"/>
          <w:caps w:val="0"/>
          <w:sz w:val="20"/>
        </w:rPr>
      </w:pPr>
      <w:r w:rsidRPr="005A6C43">
        <w:rPr>
          <w:rFonts w:ascii="Arial" w:hAnsi="Arial" w:cs="Arial"/>
          <w:b w:val="0"/>
          <w:caps w:val="0"/>
          <w:sz w:val="20"/>
        </w:rPr>
        <w:t>COMPETING INTERESTS DISCLAIMER:</w:t>
      </w:r>
    </w:p>
    <w:p w14:paraId="69702EF8" w14:textId="3BE340EB" w:rsidR="005A6C43" w:rsidRPr="00F82992" w:rsidRDefault="005A6C43" w:rsidP="005A6C43">
      <w:pPr>
        <w:pStyle w:val="ReferHead"/>
        <w:spacing w:after="0"/>
        <w:jc w:val="both"/>
        <w:rPr>
          <w:rFonts w:ascii="Arial" w:hAnsi="Arial" w:cs="Arial"/>
          <w:b w:val="0"/>
          <w:caps w:val="0"/>
          <w:sz w:val="20"/>
        </w:rPr>
      </w:pPr>
      <w:r w:rsidRPr="005A6C4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C5CD5E0" w14:textId="77777777" w:rsidR="002B685A" w:rsidRDefault="002B685A" w:rsidP="00441B6F">
      <w:pPr>
        <w:pStyle w:val="ReferHead"/>
        <w:spacing w:after="0"/>
        <w:jc w:val="both"/>
        <w:rPr>
          <w:rFonts w:ascii="Arial" w:hAnsi="Arial" w:cs="Arial"/>
          <w:b w:val="0"/>
          <w:caps w:val="0"/>
          <w:sz w:val="20"/>
        </w:rPr>
      </w:pPr>
    </w:p>
    <w:p w14:paraId="7085C877" w14:textId="77777777" w:rsidR="006015EF" w:rsidRDefault="006015EF" w:rsidP="00441B6F">
      <w:pPr>
        <w:pStyle w:val="ReferHead"/>
        <w:spacing w:after="0"/>
        <w:jc w:val="both"/>
        <w:rPr>
          <w:rFonts w:ascii="Arial" w:hAnsi="Arial" w:cs="Arial"/>
          <w:b w:val="0"/>
          <w:caps w:val="0"/>
          <w:sz w:val="20"/>
        </w:rPr>
      </w:pPr>
    </w:p>
    <w:p w14:paraId="5768721E" w14:textId="77777777" w:rsidR="00EA4679" w:rsidRPr="006015EF" w:rsidRDefault="00B01FCD" w:rsidP="006015EF">
      <w:pPr>
        <w:pStyle w:val="ReferHead"/>
        <w:spacing w:after="0"/>
        <w:jc w:val="both"/>
        <w:rPr>
          <w:rFonts w:ascii="Arial" w:hAnsi="Arial" w:cs="Arial"/>
        </w:rPr>
      </w:pPr>
      <w:r w:rsidRPr="00FB3A86">
        <w:rPr>
          <w:rFonts w:ascii="Arial" w:hAnsi="Arial" w:cs="Arial"/>
        </w:rPr>
        <w:t>References</w:t>
      </w:r>
    </w:p>
    <w:p w14:paraId="5CEED086" w14:textId="77777777" w:rsidR="00EA4679" w:rsidRPr="00EA4679" w:rsidRDefault="00EA4679" w:rsidP="00EA4679">
      <w:pPr>
        <w:pStyle w:val="Body"/>
        <w:spacing w:after="0"/>
        <w:rPr>
          <w:lang w:val="en-IN"/>
        </w:rPr>
      </w:pPr>
    </w:p>
    <w:p w14:paraId="50C28689" w14:textId="77777777" w:rsidR="00EA4679" w:rsidRPr="00EA4679" w:rsidRDefault="00EA4679" w:rsidP="006015EF">
      <w:pPr>
        <w:pStyle w:val="Body"/>
        <w:numPr>
          <w:ilvl w:val="0"/>
          <w:numId w:val="38"/>
        </w:numPr>
        <w:spacing w:after="0"/>
        <w:ind w:left="709"/>
        <w:rPr>
          <w:rFonts w:ascii="Arial" w:hAnsi="Arial" w:cs="Arial"/>
          <w:i/>
          <w:u w:val="single"/>
        </w:rPr>
      </w:pPr>
      <w:r w:rsidRPr="00D532B7">
        <w:rPr>
          <w:rFonts w:ascii="Arial" w:hAnsi="Arial" w:cs="Arial"/>
          <w:lang w:val="en-IN"/>
        </w:rPr>
        <w:t xml:space="preserve">Abidin, Z., &amp; Triono, L. D. (2020). Fresh frozen fish consumer behaviour: effect of the mix and trust marketing on buying interest, purchase decision and customer satisfaction in E-commerce, silly fish Indonesia. In IOP Conference Series Earth and Environmental Science (Vol. 493, Issue 1, p. 12041). IOP Publishing. </w:t>
      </w:r>
      <w:hyperlink r:id="rId15" w:history="1">
        <w:r w:rsidRPr="00D532B7">
          <w:rPr>
            <w:rStyle w:val="Hyperlink"/>
            <w:rFonts w:ascii="Arial" w:hAnsi="Arial" w:cs="Arial"/>
          </w:rPr>
          <w:t>https://doi.org/10.1088/1755-1315/493/1/012041</w:t>
        </w:r>
      </w:hyperlink>
    </w:p>
    <w:p w14:paraId="51B01826" w14:textId="77777777" w:rsidR="00EA4679" w:rsidRPr="00D532B7" w:rsidRDefault="00EA4679" w:rsidP="006015EF">
      <w:pPr>
        <w:pStyle w:val="Body"/>
        <w:numPr>
          <w:ilvl w:val="0"/>
          <w:numId w:val="38"/>
        </w:numPr>
        <w:spacing w:after="0"/>
        <w:ind w:left="709"/>
        <w:rPr>
          <w:rFonts w:ascii="Arial" w:hAnsi="Arial" w:cs="Arial"/>
        </w:rPr>
      </w:pPr>
      <w:proofErr w:type="spellStart"/>
      <w:r w:rsidRPr="00D532B7">
        <w:rPr>
          <w:rFonts w:ascii="Arial" w:hAnsi="Arial" w:cs="Arial"/>
          <w:lang w:val="en-IN"/>
        </w:rPr>
        <w:t>Alghizzawi</w:t>
      </w:r>
      <w:proofErr w:type="spellEnd"/>
      <w:r w:rsidRPr="00D532B7">
        <w:rPr>
          <w:rFonts w:ascii="Arial" w:hAnsi="Arial" w:cs="Arial"/>
          <w:lang w:val="en-IN"/>
        </w:rPr>
        <w:t xml:space="preserve">, M., Salloum, S. A., &amp; </w:t>
      </w:r>
      <w:proofErr w:type="spellStart"/>
      <w:r w:rsidRPr="00D532B7">
        <w:rPr>
          <w:rFonts w:ascii="Arial" w:hAnsi="Arial" w:cs="Arial"/>
          <w:lang w:val="en-IN"/>
        </w:rPr>
        <w:t>Habes</w:t>
      </w:r>
      <w:proofErr w:type="spellEnd"/>
      <w:r w:rsidRPr="00D532B7">
        <w:rPr>
          <w:rFonts w:ascii="Arial" w:hAnsi="Arial" w:cs="Arial"/>
          <w:lang w:val="en-IN"/>
        </w:rPr>
        <w:t xml:space="preserve">, M. (2018). The effect of social media usage on students’ e-learning acceptance in Jordan: A survey study. Interdisciplinary Journal </w:t>
      </w:r>
      <w:r w:rsidRPr="00D532B7">
        <w:rPr>
          <w:rFonts w:ascii="Arial" w:hAnsi="Arial" w:cs="Arial"/>
          <w:lang w:val="en-IN"/>
        </w:rPr>
        <w:lastRenderedPageBreak/>
        <w:t xml:space="preserve">of Information, Knowledge, and Management, 13, 235–261. </w:t>
      </w:r>
      <w:hyperlink r:id="rId16" w:history="1">
        <w:r w:rsidRPr="00D532B7">
          <w:rPr>
            <w:rStyle w:val="Hyperlink"/>
            <w:rFonts w:ascii="Arial" w:hAnsi="Arial" w:cs="Arial"/>
          </w:rPr>
          <w:t>https://doi.org/10.28945/4086</w:t>
        </w:r>
      </w:hyperlink>
    </w:p>
    <w:p w14:paraId="6B9B5699" w14:textId="77777777" w:rsidR="00EA4679" w:rsidRPr="00D532B7" w:rsidRDefault="00EA4679" w:rsidP="006015EF">
      <w:pPr>
        <w:pStyle w:val="Body"/>
        <w:numPr>
          <w:ilvl w:val="0"/>
          <w:numId w:val="38"/>
        </w:numPr>
        <w:spacing w:after="0"/>
        <w:ind w:left="709" w:hanging="284"/>
        <w:rPr>
          <w:rFonts w:ascii="Arial" w:hAnsi="Arial" w:cs="Arial"/>
          <w:lang w:val="en-IN"/>
        </w:rPr>
      </w:pPr>
      <w:r w:rsidRPr="00D532B7">
        <w:rPr>
          <w:rFonts w:ascii="Arial" w:hAnsi="Arial" w:cs="Arial"/>
          <w:lang w:val="en-IN"/>
        </w:rPr>
        <w:t xml:space="preserve">Aura, C. M., Odoli, C., Abila, R., Nyamweya, C. S., Okeyo, R., Oketch, R., Musa, S., Njiru, J. M., &amp; </w:t>
      </w:r>
      <w:proofErr w:type="spellStart"/>
      <w:r w:rsidRPr="00D532B7">
        <w:rPr>
          <w:rFonts w:ascii="Arial" w:hAnsi="Arial" w:cs="Arial"/>
          <w:lang w:val="en-IN"/>
        </w:rPr>
        <w:t>Ogari</w:t>
      </w:r>
      <w:proofErr w:type="spellEnd"/>
      <w:r w:rsidRPr="00D532B7">
        <w:rPr>
          <w:rFonts w:ascii="Arial" w:hAnsi="Arial" w:cs="Arial"/>
          <w:lang w:val="en-IN"/>
        </w:rPr>
        <w:t xml:space="preserve">, Z. (2019). Using fish landing sites and markets information towards quantification of the blue economy to enhance fisheries management. Fisheries Management and Ecology, 26(2), 141–152. </w:t>
      </w:r>
      <w:hyperlink r:id="rId17" w:history="1">
        <w:r w:rsidRPr="00D532B7">
          <w:rPr>
            <w:rStyle w:val="Hyperlink"/>
            <w:rFonts w:ascii="Arial" w:hAnsi="Arial" w:cs="Arial"/>
          </w:rPr>
          <w:t>https://doi.org/10.1111/fme.12334</w:t>
        </w:r>
      </w:hyperlink>
    </w:p>
    <w:p w14:paraId="415621E5" w14:textId="77777777" w:rsidR="00EA4679" w:rsidRPr="00D532B7" w:rsidRDefault="00EA4679" w:rsidP="006015EF">
      <w:pPr>
        <w:pStyle w:val="Body"/>
        <w:numPr>
          <w:ilvl w:val="0"/>
          <w:numId w:val="38"/>
        </w:numPr>
        <w:spacing w:after="0"/>
        <w:ind w:left="709"/>
        <w:rPr>
          <w:rFonts w:ascii="Arial" w:hAnsi="Arial" w:cs="Arial"/>
          <w:lang w:val="en-IN"/>
        </w:rPr>
      </w:pPr>
      <w:r w:rsidRPr="00D532B7">
        <w:rPr>
          <w:rFonts w:ascii="Arial" w:hAnsi="Arial" w:cs="Arial"/>
          <w:lang w:val="en-IN"/>
        </w:rPr>
        <w:t xml:space="preserve">Blut, M., Chowdhry, N., Mittal, V., &amp; Brock, C. (2015). E-Service Quality: A Meta-Analytic Review [Review of E-Service Quality: A Meta-Analytic Review]. Journal of Retailing, 91(4), 679. Elsevier BV. </w:t>
      </w:r>
      <w:hyperlink r:id="rId18" w:history="1">
        <w:r w:rsidRPr="00D532B7">
          <w:rPr>
            <w:rStyle w:val="Hyperlink"/>
            <w:rFonts w:ascii="Arial" w:hAnsi="Arial" w:cs="Arial"/>
          </w:rPr>
          <w:t>https://doi.org/10.1016/j.jretai.2015.05.004</w:t>
        </w:r>
      </w:hyperlink>
      <w:r w:rsidRPr="00D532B7">
        <w:rPr>
          <w:rFonts w:ascii="Arial" w:hAnsi="Arial" w:cs="Arial"/>
          <w:lang w:val="en-IN"/>
        </w:rPr>
        <w:t xml:space="preserve"> </w:t>
      </w:r>
    </w:p>
    <w:p w14:paraId="205F20D7"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Budiarto, B. W., Haes, P., </w:t>
      </w:r>
      <w:proofErr w:type="spellStart"/>
      <w:r w:rsidRPr="00D532B7">
        <w:rPr>
          <w:rFonts w:ascii="Arial" w:hAnsi="Arial" w:cs="Arial"/>
          <w:lang w:val="en-IN"/>
        </w:rPr>
        <w:t>Apriyono</w:t>
      </w:r>
      <w:proofErr w:type="spellEnd"/>
      <w:r w:rsidRPr="00D532B7">
        <w:rPr>
          <w:rFonts w:ascii="Arial" w:hAnsi="Arial" w:cs="Arial"/>
          <w:lang w:val="en-IN"/>
        </w:rPr>
        <w:t xml:space="preserve">, T., </w:t>
      </w:r>
      <w:proofErr w:type="spellStart"/>
      <w:r w:rsidRPr="00D532B7">
        <w:rPr>
          <w:rFonts w:ascii="Arial" w:hAnsi="Arial" w:cs="Arial"/>
          <w:lang w:val="en-IN"/>
        </w:rPr>
        <w:t>Nawarcono</w:t>
      </w:r>
      <w:proofErr w:type="spellEnd"/>
      <w:r w:rsidRPr="00D532B7">
        <w:rPr>
          <w:rFonts w:ascii="Arial" w:hAnsi="Arial" w:cs="Arial"/>
          <w:lang w:val="en-IN"/>
        </w:rPr>
        <w:t xml:space="preserve">, W., &amp; </w:t>
      </w:r>
      <w:proofErr w:type="spellStart"/>
      <w:r w:rsidRPr="00D532B7">
        <w:rPr>
          <w:rFonts w:ascii="Arial" w:hAnsi="Arial" w:cs="Arial"/>
          <w:lang w:val="en-IN"/>
        </w:rPr>
        <w:t>Mardiah</w:t>
      </w:r>
      <w:proofErr w:type="spellEnd"/>
      <w:r w:rsidRPr="00D532B7">
        <w:rPr>
          <w:rFonts w:ascii="Arial" w:hAnsi="Arial" w:cs="Arial"/>
          <w:lang w:val="en-IN"/>
        </w:rPr>
        <w:t xml:space="preserve">, A. (2023). The Influence Of E-Customer Satisfaction, E-Service Quality </w:t>
      </w:r>
      <w:proofErr w:type="gramStart"/>
      <w:r w:rsidRPr="00D532B7">
        <w:rPr>
          <w:rFonts w:ascii="Arial" w:hAnsi="Arial" w:cs="Arial"/>
          <w:lang w:val="en-IN"/>
        </w:rPr>
        <w:t>And</w:t>
      </w:r>
      <w:proofErr w:type="gramEnd"/>
      <w:r w:rsidRPr="00D532B7">
        <w:rPr>
          <w:rFonts w:ascii="Arial" w:hAnsi="Arial" w:cs="Arial"/>
          <w:lang w:val="en-IN"/>
        </w:rPr>
        <w:t xml:space="preserve"> Sales Promotion On E-Customer Loyalty Of Tokopedia Customers. JEMSI (</w:t>
      </w:r>
      <w:proofErr w:type="spellStart"/>
      <w:r w:rsidRPr="00D532B7">
        <w:rPr>
          <w:rFonts w:ascii="Arial" w:hAnsi="Arial" w:cs="Arial"/>
          <w:lang w:val="en-IN"/>
        </w:rPr>
        <w:t>Jurnal</w:t>
      </w:r>
      <w:proofErr w:type="spellEnd"/>
      <w:r w:rsidRPr="00D532B7">
        <w:rPr>
          <w:rFonts w:ascii="Arial" w:hAnsi="Arial" w:cs="Arial"/>
          <w:lang w:val="en-IN"/>
        </w:rPr>
        <w:t xml:space="preserve"> </w:t>
      </w:r>
      <w:proofErr w:type="spellStart"/>
      <w:r w:rsidRPr="00D532B7">
        <w:rPr>
          <w:rFonts w:ascii="Arial" w:hAnsi="Arial" w:cs="Arial"/>
          <w:lang w:val="en-IN"/>
        </w:rPr>
        <w:t>Ekonomi</w:t>
      </w:r>
      <w:proofErr w:type="spellEnd"/>
      <w:r w:rsidRPr="00D532B7">
        <w:rPr>
          <w:rFonts w:ascii="Arial" w:hAnsi="Arial" w:cs="Arial"/>
          <w:lang w:val="en-IN"/>
        </w:rPr>
        <w:t xml:space="preserve">, </w:t>
      </w:r>
      <w:proofErr w:type="spellStart"/>
      <w:r w:rsidRPr="00D532B7">
        <w:rPr>
          <w:rFonts w:ascii="Arial" w:hAnsi="Arial" w:cs="Arial"/>
          <w:lang w:val="en-IN"/>
        </w:rPr>
        <w:t>Manajemen</w:t>
      </w:r>
      <w:proofErr w:type="spellEnd"/>
      <w:r w:rsidRPr="00D532B7">
        <w:rPr>
          <w:rFonts w:ascii="Arial" w:hAnsi="Arial" w:cs="Arial"/>
          <w:lang w:val="en-IN"/>
        </w:rPr>
        <w:t xml:space="preserve">, Dan Akuntansi), 9(6), 2472–2479. </w:t>
      </w:r>
      <w:hyperlink r:id="rId19" w:history="1">
        <w:r w:rsidRPr="00D532B7">
          <w:rPr>
            <w:rStyle w:val="Hyperlink"/>
            <w:rFonts w:ascii="Arial" w:hAnsi="Arial" w:cs="Arial"/>
          </w:rPr>
          <w:t>https://doi.org/10.35870/jemsi.v9i6.1656</w:t>
        </w:r>
      </w:hyperlink>
    </w:p>
    <w:p w14:paraId="7C7B98FD" w14:textId="77777777" w:rsidR="00EA4679" w:rsidRPr="00D532B7" w:rsidRDefault="00EA4679" w:rsidP="00EA4679">
      <w:pPr>
        <w:pStyle w:val="Body"/>
        <w:numPr>
          <w:ilvl w:val="0"/>
          <w:numId w:val="38"/>
        </w:numPr>
        <w:spacing w:after="0"/>
        <w:rPr>
          <w:rFonts w:ascii="Arial" w:hAnsi="Arial" w:cs="Arial"/>
          <w:lang w:val="en-IN"/>
        </w:rPr>
      </w:pPr>
      <w:proofErr w:type="spellStart"/>
      <w:r w:rsidRPr="00D532B7">
        <w:rPr>
          <w:rFonts w:ascii="Arial" w:hAnsi="Arial" w:cs="Arial"/>
          <w:lang w:val="en-IN"/>
        </w:rPr>
        <w:t>Chavadi</w:t>
      </w:r>
      <w:proofErr w:type="spellEnd"/>
      <w:r w:rsidRPr="00D532B7">
        <w:rPr>
          <w:rFonts w:ascii="Arial" w:hAnsi="Arial" w:cs="Arial"/>
          <w:lang w:val="en-IN"/>
        </w:rPr>
        <w:t xml:space="preserve">, C. A., Menon, S. R., &amp; </w:t>
      </w:r>
      <w:proofErr w:type="spellStart"/>
      <w:r w:rsidRPr="00D532B7">
        <w:rPr>
          <w:rFonts w:ascii="Arial" w:hAnsi="Arial" w:cs="Arial"/>
          <w:lang w:val="en-IN"/>
        </w:rPr>
        <w:t>Sirothiya</w:t>
      </w:r>
      <w:proofErr w:type="spellEnd"/>
      <w:r w:rsidRPr="00D532B7">
        <w:rPr>
          <w:rFonts w:ascii="Arial" w:hAnsi="Arial" w:cs="Arial"/>
          <w:lang w:val="en-IN"/>
        </w:rPr>
        <w:t xml:space="preserve">, M. (2019). Measuring Service Quality Perceptions of Indian E-retailers: An Evaluative Study. Journal of Internet Commerce, 18(4), 1–15. </w:t>
      </w:r>
      <w:hyperlink r:id="rId20" w:history="1">
        <w:r w:rsidRPr="00D532B7">
          <w:rPr>
            <w:rStyle w:val="Hyperlink"/>
            <w:rFonts w:ascii="Arial" w:hAnsi="Arial" w:cs="Arial"/>
          </w:rPr>
          <w:t>https://doi.org/10.1080/15332861.2019.1696614</w:t>
        </w:r>
      </w:hyperlink>
    </w:p>
    <w:p w14:paraId="2CA92DA7"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Chiu, C., Chang, C., Cheng, H., &amp; Fang, Y. (2009). Determinants of customer repurchase intention in online shopping. Online Information Review, 33(4), 761–784. </w:t>
      </w:r>
      <w:hyperlink r:id="rId21" w:history="1">
        <w:r w:rsidRPr="00D532B7">
          <w:rPr>
            <w:rStyle w:val="Hyperlink"/>
            <w:rFonts w:ascii="Arial" w:hAnsi="Arial" w:cs="Arial"/>
          </w:rPr>
          <w:t>https://doi.org/10.1108/14684520910985710</w:t>
        </w:r>
      </w:hyperlink>
    </w:p>
    <w:p w14:paraId="7149305D"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Department of Fisheries, Government of Kerala. (2017) Kerala Fisheries Statistics: At a glance – 2017. </w:t>
      </w:r>
      <w:hyperlink r:id="rId22" w:history="1">
        <w:r w:rsidRPr="00D532B7">
          <w:rPr>
            <w:rStyle w:val="Hyperlink"/>
            <w:rFonts w:ascii="Arial" w:hAnsi="Arial" w:cs="Arial"/>
          </w:rPr>
          <w:t>https://www.fisheries.kerala.gov.in/marine-fisheries</w:t>
        </w:r>
      </w:hyperlink>
      <w:r w:rsidRPr="00D532B7">
        <w:rPr>
          <w:rFonts w:ascii="Arial" w:hAnsi="Arial" w:cs="Arial"/>
          <w:lang w:val="en-IN"/>
        </w:rPr>
        <w:t xml:space="preserve"> </w:t>
      </w:r>
    </w:p>
    <w:p w14:paraId="1FD151AE" w14:textId="77777777" w:rsidR="00EA4679" w:rsidRPr="00D532B7" w:rsidRDefault="00EA4679" w:rsidP="00EA4679">
      <w:pPr>
        <w:pStyle w:val="Body"/>
        <w:numPr>
          <w:ilvl w:val="0"/>
          <w:numId w:val="38"/>
        </w:numPr>
        <w:spacing w:after="0"/>
        <w:rPr>
          <w:rFonts w:ascii="Arial" w:hAnsi="Arial" w:cs="Arial"/>
          <w:lang w:val="en-IN"/>
        </w:rPr>
      </w:pPr>
      <w:proofErr w:type="spellStart"/>
      <w:r w:rsidRPr="00D532B7">
        <w:rPr>
          <w:rFonts w:ascii="Arial" w:hAnsi="Arial" w:cs="Arial"/>
          <w:lang w:val="en-IN"/>
        </w:rPr>
        <w:t>DoF</w:t>
      </w:r>
      <w:proofErr w:type="spellEnd"/>
      <w:r w:rsidRPr="00D532B7">
        <w:rPr>
          <w:rFonts w:ascii="Arial" w:hAnsi="Arial" w:cs="Arial"/>
          <w:lang w:val="en-IN"/>
        </w:rPr>
        <w:t xml:space="preserve"> (2020) Department of Fisheries, Government of India. Handbook on Fisheries Statistics-2020. Government of India, New Delhi</w:t>
      </w:r>
    </w:p>
    <w:p w14:paraId="3C373749"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Express News Service (ENS). (2020, January 3). Kerala third in marine fish production. The New Indian Express. Retrieved from </w:t>
      </w:r>
      <w:hyperlink r:id="rId23" w:tgtFrame="_new" w:history="1">
        <w:r w:rsidRPr="00D532B7">
          <w:rPr>
            <w:rStyle w:val="Hyperlink"/>
            <w:rFonts w:ascii="Arial" w:hAnsi="Arial" w:cs="Arial"/>
          </w:rPr>
          <w:t>https://www.newindianexpress.com</w:t>
        </w:r>
      </w:hyperlink>
    </w:p>
    <w:p w14:paraId="2D50B267"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FSSAI and ICAR-CIFT (2018) Food Safety and Standards Authority of India and ICAR-Central Institute of Fisheries Technology. Issue of formalin in fish. Guidance Note No 1/2018</w:t>
      </w:r>
    </w:p>
    <w:p w14:paraId="0BD8ECD1" w14:textId="77777777" w:rsidR="00EA4679" w:rsidRPr="00EA4679" w:rsidRDefault="00EA4679" w:rsidP="006015EF">
      <w:pPr>
        <w:pStyle w:val="Body"/>
        <w:numPr>
          <w:ilvl w:val="0"/>
          <w:numId w:val="38"/>
        </w:numPr>
        <w:spacing w:after="0"/>
        <w:rPr>
          <w:lang w:val="en-IN"/>
        </w:rPr>
      </w:pPr>
      <w:r w:rsidRPr="00EA4679">
        <w:rPr>
          <w:lang w:val="en-IN"/>
        </w:rPr>
        <w:t>Galaxy Classes. Fisheries sector in India [Internet]. 2025 Feb 14 [cited 2025 May 22]. Available from: https://www.galaxyclasses.co.in/details?res_type=ca&amp;res _id=7891</w:t>
      </w:r>
    </w:p>
    <w:p w14:paraId="1C01C7C6"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Ganie, S. A., &amp; Bhat, M. A. (2020). Impact of E-service Quality on Customer Satisfaction: An Empirical Assessment. International Journal of Management and Development Studies, 12(6), 45–60. </w:t>
      </w:r>
      <w:hyperlink r:id="rId24" w:history="1">
        <w:r w:rsidRPr="00D532B7">
          <w:rPr>
            <w:rStyle w:val="Hyperlink"/>
            <w:rFonts w:ascii="Arial" w:hAnsi="Arial" w:cs="Arial"/>
          </w:rPr>
          <w:t>https://doi.org/10.53983/ijmds.v12n6.2020.045</w:t>
        </w:r>
      </w:hyperlink>
    </w:p>
    <w:p w14:paraId="0B59B31A"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Gefen, D. (2002). Customer Loyalty in E-Commerce. Journal of the Association for Information Systems, 3(1), 27–53. </w:t>
      </w:r>
      <w:hyperlink r:id="rId25" w:history="1">
        <w:r w:rsidRPr="00D532B7">
          <w:rPr>
            <w:rStyle w:val="Hyperlink"/>
            <w:rFonts w:ascii="Arial" w:hAnsi="Arial" w:cs="Arial"/>
          </w:rPr>
          <w:t>https://doi.org/10.17705/1jais.00022</w:t>
        </w:r>
      </w:hyperlink>
    </w:p>
    <w:p w14:paraId="0B389A74"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Gefen, D. (2002). Customer loyalty in e-commerce. Journal of the Association for Information Systems, 3(1), 27–51. </w:t>
      </w:r>
      <w:hyperlink r:id="rId26" w:tgtFrame="_blank" w:history="1">
        <w:r w:rsidRPr="00D532B7">
          <w:rPr>
            <w:rStyle w:val="Hyperlink"/>
            <w:rFonts w:ascii="Arial" w:hAnsi="Arial" w:cs="Arial"/>
            <w:lang w:val="en-IN"/>
          </w:rPr>
          <w:t>https://doi.org/10.17705/1jais.00022</w:t>
        </w:r>
      </w:hyperlink>
    </w:p>
    <w:p w14:paraId="158A1BDA"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Getu, A., &amp; </w:t>
      </w:r>
      <w:proofErr w:type="spellStart"/>
      <w:r w:rsidRPr="00D532B7">
        <w:rPr>
          <w:rFonts w:ascii="Arial" w:hAnsi="Arial" w:cs="Arial"/>
          <w:lang w:val="en-IN"/>
        </w:rPr>
        <w:t>Misganaw</w:t>
      </w:r>
      <w:proofErr w:type="spellEnd"/>
      <w:r w:rsidRPr="00D532B7">
        <w:rPr>
          <w:rFonts w:ascii="Arial" w:hAnsi="Arial" w:cs="Arial"/>
          <w:lang w:val="en-IN"/>
        </w:rPr>
        <w:t xml:space="preserve">, K. (2015). Post-harvesting and Major Related Problems of Fish Production. Fisheries and Aquaculture Journal, 06(04). </w:t>
      </w:r>
      <w:hyperlink r:id="rId27" w:history="1">
        <w:r w:rsidRPr="00D532B7">
          <w:rPr>
            <w:rStyle w:val="Hyperlink"/>
            <w:rFonts w:ascii="Arial" w:hAnsi="Arial" w:cs="Arial"/>
          </w:rPr>
          <w:t>https://doi.org/10.4172/2150-3508.1000154</w:t>
        </w:r>
      </w:hyperlink>
    </w:p>
    <w:p w14:paraId="6E5B2726" w14:textId="77777777" w:rsidR="00EA4679" w:rsidRPr="00EA4679" w:rsidRDefault="00EA4679" w:rsidP="00EA4679">
      <w:pPr>
        <w:pStyle w:val="Body"/>
        <w:numPr>
          <w:ilvl w:val="0"/>
          <w:numId w:val="38"/>
        </w:numPr>
        <w:spacing w:after="0"/>
        <w:rPr>
          <w:lang w:val="en-IN"/>
        </w:rPr>
      </w:pPr>
      <w:r w:rsidRPr="00EA4679">
        <w:rPr>
          <w:lang w:val="en-IN"/>
        </w:rPr>
        <w:t>Government of India. Economic survey 2023. Ministry of Finance; 2023</w:t>
      </w:r>
    </w:p>
    <w:p w14:paraId="39F9DC69"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Hossain, M. A., Islam, S., Arif, N. U. M., &amp; Rahman, M. M. (2024). Impact of online payment systems on customer trust and loyalty in e-commerce </w:t>
      </w:r>
      <w:proofErr w:type="spellStart"/>
      <w:r w:rsidRPr="00D532B7">
        <w:rPr>
          <w:rFonts w:ascii="Arial" w:hAnsi="Arial" w:cs="Arial"/>
          <w:lang w:val="en-IN"/>
        </w:rPr>
        <w:t>analyzing</w:t>
      </w:r>
      <w:proofErr w:type="spellEnd"/>
      <w:r w:rsidRPr="00D532B7">
        <w:rPr>
          <w:rFonts w:ascii="Arial" w:hAnsi="Arial" w:cs="Arial"/>
          <w:lang w:val="en-IN"/>
        </w:rPr>
        <w:t xml:space="preserve"> security and convenience. Academic journal on science, technology, engineering &amp; mathematics education, 4(3), 1–15. </w:t>
      </w:r>
      <w:hyperlink r:id="rId28" w:history="1">
        <w:r w:rsidRPr="00D532B7">
          <w:rPr>
            <w:rStyle w:val="Hyperlink"/>
            <w:rFonts w:ascii="Arial" w:hAnsi="Arial" w:cs="Arial"/>
          </w:rPr>
          <w:t>https://doi.org/10.69593/ajsteme.v4i03.85</w:t>
        </w:r>
      </w:hyperlink>
    </w:p>
    <w:p w14:paraId="41896882"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Hsieh, M.-T., &amp; Tsao, W.-C. (2013). Reducing perceived online shopping risk to enhance loyalty: a website quality perspective. Journal of Risk Research, 17(2), 241–261. </w:t>
      </w:r>
      <w:hyperlink r:id="rId29" w:history="1">
        <w:r w:rsidRPr="00D532B7">
          <w:rPr>
            <w:rStyle w:val="Hyperlink"/>
            <w:rFonts w:ascii="Arial" w:hAnsi="Arial" w:cs="Arial"/>
          </w:rPr>
          <w:t>https://doi.org/10.1080/13669877.2013.794152</w:t>
        </w:r>
      </w:hyperlink>
    </w:p>
    <w:p w14:paraId="4F7B1E30"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Hu, L. T., &amp; Bentler, P. M. (1999). Cutoff criteria for fit indexes in covariance structure analysis: Conventional criteria versus new alternatives. Structural Equation </w:t>
      </w:r>
      <w:proofErr w:type="spellStart"/>
      <w:r w:rsidRPr="00D532B7">
        <w:rPr>
          <w:rFonts w:ascii="Arial" w:hAnsi="Arial" w:cs="Arial"/>
          <w:lang w:val="en-IN"/>
        </w:rPr>
        <w:t>Modeling</w:t>
      </w:r>
      <w:proofErr w:type="spellEnd"/>
      <w:r w:rsidRPr="00D532B7">
        <w:rPr>
          <w:rFonts w:ascii="Arial" w:hAnsi="Arial" w:cs="Arial"/>
          <w:lang w:val="en-IN"/>
        </w:rPr>
        <w:t>, 6(1), 1–55. </w:t>
      </w:r>
      <w:hyperlink r:id="rId30" w:tgtFrame="_blank" w:history="1">
        <w:r w:rsidRPr="00D532B7">
          <w:rPr>
            <w:rStyle w:val="Hyperlink"/>
            <w:rFonts w:ascii="Arial" w:hAnsi="Arial" w:cs="Arial"/>
            <w:lang w:val="en-IN"/>
          </w:rPr>
          <w:t>https://doi.org/10.1080/10705519909540118</w:t>
        </w:r>
      </w:hyperlink>
    </w:p>
    <w:p w14:paraId="414204E8"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Ikram, A. S., &amp; Pillay, S. (2022). Admission vital signs as predictors of COVID-19 mortality: a retrospective cross-sectional study. BMC Emergency Medicine, 22(1). </w:t>
      </w:r>
      <w:hyperlink r:id="rId31" w:history="1">
        <w:r w:rsidRPr="00D532B7">
          <w:rPr>
            <w:rStyle w:val="Hyperlink"/>
            <w:rFonts w:ascii="Arial" w:hAnsi="Arial" w:cs="Arial"/>
          </w:rPr>
          <w:t>https://doi.org/10.1186/s12873-022-00631-7</w:t>
        </w:r>
      </w:hyperlink>
    </w:p>
    <w:p w14:paraId="1CC32095" w14:textId="77777777" w:rsidR="00EA4679" w:rsidRPr="00EA4679" w:rsidRDefault="00EA4679" w:rsidP="00EA4679">
      <w:pPr>
        <w:pStyle w:val="Body"/>
        <w:numPr>
          <w:ilvl w:val="0"/>
          <w:numId w:val="38"/>
        </w:numPr>
        <w:spacing w:after="0"/>
        <w:rPr>
          <w:lang w:val="en-IN"/>
        </w:rPr>
      </w:pPr>
      <w:r w:rsidRPr="00EA4679">
        <w:rPr>
          <w:lang w:val="en-IN"/>
        </w:rPr>
        <w:lastRenderedPageBreak/>
        <w:t>IMARC Group. (2023). </w:t>
      </w:r>
      <w:r w:rsidRPr="00EA4679">
        <w:rPr>
          <w:i/>
          <w:iCs/>
          <w:lang w:val="en-IN"/>
        </w:rPr>
        <w:t>Indian fish market: Size, price trends, forecast to 2033</w:t>
      </w:r>
      <w:r w:rsidRPr="00EA4679">
        <w:rPr>
          <w:lang w:val="en-IN"/>
        </w:rPr>
        <w:t>. </w:t>
      </w:r>
      <w:hyperlink r:id="rId32" w:tgtFrame="_blank" w:history="1">
        <w:r w:rsidRPr="00EA4679">
          <w:rPr>
            <w:rStyle w:val="Hyperlink"/>
            <w:lang w:val="en-IN"/>
          </w:rPr>
          <w:t>https://www.imarcgroup.com/indian-fish-market</w:t>
        </w:r>
      </w:hyperlink>
    </w:p>
    <w:p w14:paraId="04C5C7FA"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Kassim, N., &amp; Abdullah, N. A. (2008). Customer Loyalty in e-Commerce Settings: An Empirical Study. Electronic Markets, 18(3), 275–290. </w:t>
      </w:r>
      <w:hyperlink r:id="rId33" w:history="1">
        <w:r w:rsidRPr="00D532B7">
          <w:rPr>
            <w:rStyle w:val="Hyperlink"/>
            <w:rFonts w:ascii="Arial" w:hAnsi="Arial" w:cs="Arial"/>
          </w:rPr>
          <w:t>https://doi.org/10.1080/10196780802265843</w:t>
        </w:r>
      </w:hyperlink>
    </w:p>
    <w:p w14:paraId="32957F1D"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Kaur, M. (2018). Exploring the Determinants of E-Service Quality in E-Retailing. In Researchers World – Journal of Arts Science &amp; Commerce (Vol. 9, Issue 1, p. 9). </w:t>
      </w:r>
      <w:hyperlink r:id="rId34" w:history="1">
        <w:r w:rsidRPr="00D532B7">
          <w:rPr>
            <w:rStyle w:val="Hyperlink"/>
            <w:rFonts w:ascii="Arial" w:hAnsi="Arial" w:cs="Arial"/>
          </w:rPr>
          <w:t>https://doi.org/10.18843/rwjasc/v9i1/02</w:t>
        </w:r>
      </w:hyperlink>
    </w:p>
    <w:p w14:paraId="2C3A4557"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Kaura, V., Sharma, S., &amp; Durga Prasad, C. S. (2015). Service quality, service convenience, price and fairness, customer loyalty, and the mediating role of customer satisfaction. International Journal of Bank Marketing, 33(4), 404–422. </w:t>
      </w:r>
      <w:hyperlink r:id="rId35" w:history="1">
        <w:r w:rsidRPr="00D532B7">
          <w:rPr>
            <w:rStyle w:val="Hyperlink"/>
            <w:rFonts w:ascii="Arial" w:hAnsi="Arial" w:cs="Arial"/>
          </w:rPr>
          <w:t>https://doi.org/10.1108/ijbm-04-2014-0048</w:t>
        </w:r>
      </w:hyperlink>
    </w:p>
    <w:p w14:paraId="5282F139"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Leo, G., </w:t>
      </w:r>
      <w:proofErr w:type="spellStart"/>
      <w:r w:rsidRPr="00D532B7">
        <w:rPr>
          <w:rFonts w:ascii="Arial" w:hAnsi="Arial" w:cs="Arial"/>
          <w:lang w:val="en-IN"/>
        </w:rPr>
        <w:t>Hurriyati</w:t>
      </w:r>
      <w:proofErr w:type="spellEnd"/>
      <w:r w:rsidRPr="00D532B7">
        <w:rPr>
          <w:rFonts w:ascii="Arial" w:hAnsi="Arial" w:cs="Arial"/>
          <w:lang w:val="en-IN"/>
        </w:rPr>
        <w:t xml:space="preserve">, R., &amp; </w:t>
      </w:r>
      <w:proofErr w:type="spellStart"/>
      <w:r w:rsidRPr="00D532B7">
        <w:rPr>
          <w:rFonts w:ascii="Arial" w:hAnsi="Arial" w:cs="Arial"/>
          <w:lang w:val="en-IN"/>
        </w:rPr>
        <w:t>Hendrayati</w:t>
      </w:r>
      <w:proofErr w:type="spellEnd"/>
      <w:r w:rsidRPr="00D532B7">
        <w:rPr>
          <w:rFonts w:ascii="Arial" w:hAnsi="Arial" w:cs="Arial"/>
          <w:lang w:val="en-IN"/>
        </w:rPr>
        <w:t xml:space="preserve">, H. (2022). Online Food Delivery Service: The Role of e-Service Quality and Food Quality on Customer Loyalty. In Advances in economics, business and management research/Advances in Economics, Business and Management Research. Atlantis Press. </w:t>
      </w:r>
      <w:hyperlink r:id="rId36" w:history="1">
        <w:r w:rsidRPr="00D532B7">
          <w:rPr>
            <w:rStyle w:val="Hyperlink"/>
            <w:rFonts w:ascii="Arial" w:hAnsi="Arial" w:cs="Arial"/>
          </w:rPr>
          <w:t>https://doi.org/10.2991/aebmr.k.220701.049</w:t>
        </w:r>
      </w:hyperlink>
      <w:r w:rsidRPr="00D532B7">
        <w:rPr>
          <w:rFonts w:ascii="Arial" w:hAnsi="Arial" w:cs="Arial"/>
          <w:lang w:val="en-IN"/>
        </w:rPr>
        <w:t xml:space="preserve"> </w:t>
      </w:r>
    </w:p>
    <w:p w14:paraId="046CF0A7"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Love, D., Asche, F., Thorne-Lyman, A. L., Allison, E. H., Hicks, C., Stoll, J. S., Gephart, J. A., Cottrell, R. S., Zhang, W., Froehlich, H. E., Little, D. C., Nussbaumer, E. M., Rubio, A., Poulain, F., Tlusty, M. F., Troell, M., Da Silva, P. P., &amp; Belton, B. (2021). Emerging COVID-19 impacts, responses, and lessons for building resilience in the seafood system (Vol. 28). </w:t>
      </w:r>
      <w:proofErr w:type="spellStart"/>
      <w:r w:rsidRPr="00D532B7">
        <w:rPr>
          <w:rFonts w:ascii="Arial" w:hAnsi="Arial" w:cs="Arial"/>
          <w:lang w:val="en-IN"/>
        </w:rPr>
        <w:t>center</w:t>
      </w:r>
      <w:proofErr w:type="spellEnd"/>
      <w:r w:rsidRPr="00D532B7">
        <w:rPr>
          <w:rFonts w:ascii="Arial" w:hAnsi="Arial" w:cs="Arial"/>
          <w:lang w:val="en-IN"/>
        </w:rPr>
        <w:t xml:space="preserve"> for open science. </w:t>
      </w:r>
      <w:hyperlink r:id="rId37" w:history="1">
        <w:r w:rsidRPr="00D532B7">
          <w:rPr>
            <w:rStyle w:val="Hyperlink"/>
            <w:rFonts w:ascii="Arial" w:hAnsi="Arial" w:cs="Arial"/>
          </w:rPr>
          <w:t>https://doi.org/10.31235/osf.io/x8aew</w:t>
        </w:r>
      </w:hyperlink>
    </w:p>
    <w:p w14:paraId="6258DB15" w14:textId="77777777" w:rsidR="00EA4679" w:rsidRPr="00EA4679" w:rsidRDefault="00EA4679" w:rsidP="00EA4679">
      <w:pPr>
        <w:pStyle w:val="Body"/>
        <w:numPr>
          <w:ilvl w:val="0"/>
          <w:numId w:val="38"/>
        </w:numPr>
        <w:spacing w:after="0"/>
        <w:rPr>
          <w:lang w:val="en-IN"/>
        </w:rPr>
      </w:pPr>
      <w:r w:rsidRPr="00EA4679">
        <w:rPr>
          <w:lang w:val="en-IN"/>
        </w:rPr>
        <w:t>Ministry of Fisheries, Animal Husbandry and Dairying (</w:t>
      </w:r>
      <w:proofErr w:type="spellStart"/>
      <w:r w:rsidRPr="00EA4679">
        <w:rPr>
          <w:lang w:val="en-IN"/>
        </w:rPr>
        <w:t>MoFAHD</w:t>
      </w:r>
      <w:proofErr w:type="spellEnd"/>
      <w:r w:rsidRPr="00EA4679">
        <w:rPr>
          <w:lang w:val="en-IN"/>
        </w:rPr>
        <w:t>). Fisheries sector economic data and policy updates. Government of India; 2024.</w:t>
      </w:r>
    </w:p>
    <w:p w14:paraId="05D9991D"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National Sample Survey Office (NSSO).  (2012) Household consumption of various goods and services in India (Report No: 541). Govt. of India, New Delhi</w:t>
      </w:r>
    </w:p>
    <w:p w14:paraId="07D390E8" w14:textId="77777777" w:rsidR="00EA4679" w:rsidRPr="00EA4679" w:rsidRDefault="00EA4679" w:rsidP="00EA4679">
      <w:pPr>
        <w:pStyle w:val="Body"/>
        <w:numPr>
          <w:ilvl w:val="0"/>
          <w:numId w:val="38"/>
        </w:numPr>
        <w:spacing w:after="0"/>
        <w:rPr>
          <w:lang w:val="en-IN"/>
        </w:rPr>
      </w:pPr>
      <w:proofErr w:type="spellStart"/>
      <w:r w:rsidRPr="00EA4679">
        <w:rPr>
          <w:lang w:val="en-IN"/>
        </w:rPr>
        <w:t>Padiyar</w:t>
      </w:r>
      <w:proofErr w:type="spellEnd"/>
      <w:r w:rsidRPr="00EA4679">
        <w:rPr>
          <w:lang w:val="en-IN"/>
        </w:rPr>
        <w:t>, P. A., Dubey, S. K., Bayan, B., Mohan, C. V., Belton, B., Jena, J., Susheela, M., Murthy, L. N., Karthikeyan, M., &amp; Murthy, C. K. (2024). </w:t>
      </w:r>
      <w:r w:rsidRPr="00EA4679">
        <w:rPr>
          <w:i/>
          <w:iCs/>
          <w:lang w:val="en-IN"/>
        </w:rPr>
        <w:t>Fish consumption in India: Patterns and trends</w:t>
      </w:r>
      <w:r w:rsidRPr="00EA4679">
        <w:rPr>
          <w:lang w:val="en-IN"/>
        </w:rPr>
        <w:t>. Indian Council of Agricultural Research (ICAR) &amp; WorldFish. </w:t>
      </w:r>
      <w:hyperlink r:id="rId38" w:tgtFrame="_blank" w:history="1">
        <w:r w:rsidRPr="00EA4679">
          <w:rPr>
            <w:rStyle w:val="Hyperlink"/>
            <w:lang w:val="en-IN"/>
          </w:rPr>
          <w:t>https://hdl.handle.net/20.500.12348/5813</w:t>
        </w:r>
      </w:hyperlink>
    </w:p>
    <w:p w14:paraId="5A6ABD91"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Parasuraman, A., Zeithaml, V. A., &amp; Malhotra, A. (2005). E-S-QUAL: A Multiple-Item Scale for Assessing Electronic Service Quality. Journal of Service Research, 7(3), 213-233. </w:t>
      </w:r>
      <w:hyperlink r:id="rId39" w:history="1">
        <w:r w:rsidRPr="00D532B7">
          <w:rPr>
            <w:rStyle w:val="Hyperlink"/>
            <w:rFonts w:ascii="Arial" w:hAnsi="Arial" w:cs="Arial"/>
          </w:rPr>
          <w:t>https://doi.org/10.1177/1094670504271156</w:t>
        </w:r>
      </w:hyperlink>
    </w:p>
    <w:p w14:paraId="4BF740BC" w14:textId="77777777" w:rsidR="00EA4679" w:rsidRPr="00EA4679" w:rsidRDefault="00EA4679" w:rsidP="00EA4679">
      <w:pPr>
        <w:pStyle w:val="Body"/>
        <w:numPr>
          <w:ilvl w:val="0"/>
          <w:numId w:val="38"/>
        </w:numPr>
        <w:spacing w:after="0"/>
        <w:rPr>
          <w:lang w:val="en-IN"/>
        </w:rPr>
      </w:pPr>
      <w:r w:rsidRPr="00EA4679">
        <w:rPr>
          <w:lang w:val="en-IN"/>
        </w:rPr>
        <w:t>Press Information Bureau, Government of India. (2025, March 31). </w:t>
      </w:r>
      <w:r w:rsidRPr="00EA4679">
        <w:rPr>
          <w:i/>
          <w:iCs/>
          <w:lang w:val="en-IN"/>
        </w:rPr>
        <w:t>Harnessing the Blue Economy: India’s Fisheries at a Glance</w:t>
      </w:r>
      <w:r w:rsidRPr="00EA4679">
        <w:rPr>
          <w:lang w:val="en-IN"/>
        </w:rPr>
        <w:t>. </w:t>
      </w:r>
      <w:hyperlink r:id="rId40" w:tgtFrame="_blank" w:history="1">
        <w:r w:rsidRPr="00EA4679">
          <w:rPr>
            <w:rStyle w:val="Hyperlink"/>
            <w:lang w:val="en-IN"/>
          </w:rPr>
          <w:t>https://www.pib.gov.in/PressNoteDetails.aspx?NoteId=155080&amp;ModuleId=3</w:t>
        </w:r>
      </w:hyperlink>
    </w:p>
    <w:p w14:paraId="677B5D10" w14:textId="77777777" w:rsidR="00EA4679" w:rsidRPr="00D532B7" w:rsidRDefault="00EA4679" w:rsidP="00EA4679">
      <w:pPr>
        <w:pStyle w:val="Body"/>
        <w:numPr>
          <w:ilvl w:val="0"/>
          <w:numId w:val="38"/>
        </w:numPr>
        <w:spacing w:after="0"/>
        <w:rPr>
          <w:rFonts w:ascii="Arial" w:hAnsi="Arial" w:cs="Arial"/>
          <w:lang w:val="en-IN"/>
        </w:rPr>
      </w:pPr>
      <w:proofErr w:type="spellStart"/>
      <w:r w:rsidRPr="00D532B7">
        <w:rPr>
          <w:rFonts w:ascii="Arial" w:hAnsi="Arial" w:cs="Arial"/>
          <w:lang w:val="en-IN"/>
        </w:rPr>
        <w:t>Punyatoya</w:t>
      </w:r>
      <w:proofErr w:type="spellEnd"/>
      <w:r w:rsidRPr="00D532B7">
        <w:rPr>
          <w:rFonts w:ascii="Arial" w:hAnsi="Arial" w:cs="Arial"/>
          <w:lang w:val="en-IN"/>
        </w:rPr>
        <w:t xml:space="preserve">, P. (2018). Effects of cognitive and affective trust on online customer </w:t>
      </w:r>
      <w:proofErr w:type="spellStart"/>
      <w:r w:rsidRPr="00D532B7">
        <w:rPr>
          <w:rFonts w:ascii="Arial" w:hAnsi="Arial" w:cs="Arial"/>
          <w:lang w:val="en-IN"/>
        </w:rPr>
        <w:t>behavior</w:t>
      </w:r>
      <w:proofErr w:type="spellEnd"/>
      <w:r w:rsidRPr="00D532B7">
        <w:rPr>
          <w:rFonts w:ascii="Arial" w:hAnsi="Arial" w:cs="Arial"/>
          <w:lang w:val="en-IN"/>
        </w:rPr>
        <w:t xml:space="preserve">. Marketing Intelligence &amp; Planning, 37(1), 80–96. </w:t>
      </w:r>
      <w:hyperlink r:id="rId41" w:history="1">
        <w:r w:rsidRPr="00D532B7">
          <w:rPr>
            <w:rStyle w:val="Hyperlink"/>
            <w:rFonts w:ascii="Arial" w:hAnsi="Arial" w:cs="Arial"/>
          </w:rPr>
          <w:t>https://doi.org/10.1108/mip-02-2018-0058</w:t>
        </w:r>
      </w:hyperlink>
    </w:p>
    <w:p w14:paraId="02AE16D1"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Rami, Y., &amp; </w:t>
      </w:r>
      <w:proofErr w:type="spellStart"/>
      <w:r w:rsidRPr="00D532B7">
        <w:rPr>
          <w:rFonts w:ascii="Arial" w:hAnsi="Arial" w:cs="Arial"/>
          <w:lang w:val="en-IN"/>
        </w:rPr>
        <w:t>Allouhi</w:t>
      </w:r>
      <w:proofErr w:type="spellEnd"/>
      <w:r w:rsidRPr="00D532B7">
        <w:rPr>
          <w:rFonts w:ascii="Arial" w:hAnsi="Arial" w:cs="Arial"/>
          <w:lang w:val="en-IN"/>
        </w:rPr>
        <w:t xml:space="preserve">, A. (2024). Design, Economic, and Environmental Accounting Assessment of a Solar-Powered Cold Room for Fish Storage in Traditional Markets. Sustainability, 16(7), 3080. </w:t>
      </w:r>
      <w:hyperlink r:id="rId42" w:history="1">
        <w:r w:rsidRPr="00D532B7">
          <w:rPr>
            <w:rStyle w:val="Hyperlink"/>
            <w:rFonts w:ascii="Arial" w:hAnsi="Arial" w:cs="Arial"/>
          </w:rPr>
          <w:t>https://doi.org/10.3390/su16073080</w:t>
        </w:r>
      </w:hyperlink>
    </w:p>
    <w:p w14:paraId="6BAE07E5"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Sajeev, M. V. (2021) E-marketing of Fish and Fish Products. In: </w:t>
      </w:r>
      <w:proofErr w:type="spellStart"/>
      <w:r w:rsidRPr="00D532B7">
        <w:rPr>
          <w:rFonts w:ascii="Arial" w:hAnsi="Arial" w:cs="Arial"/>
          <w:lang w:val="en-IN"/>
        </w:rPr>
        <w:t>Fishpreneurship</w:t>
      </w:r>
      <w:proofErr w:type="spellEnd"/>
      <w:r w:rsidRPr="00D532B7">
        <w:rPr>
          <w:rFonts w:ascii="Arial" w:hAnsi="Arial" w:cs="Arial"/>
          <w:lang w:val="en-IN"/>
        </w:rPr>
        <w:t>: Present Status, Challenges and Opportunities (Ravishankar, C.N., A.K. Mohanty and Sajeev, M.V. Eds.), pp 323-336, Biotech Books (India), New Delhi</w:t>
      </w:r>
    </w:p>
    <w:p w14:paraId="0E71D056"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Sajeev, M. V., Mohanty, A. K., </w:t>
      </w:r>
      <w:proofErr w:type="spellStart"/>
      <w:r w:rsidRPr="00D532B7">
        <w:rPr>
          <w:rFonts w:ascii="Arial" w:hAnsi="Arial" w:cs="Arial"/>
          <w:lang w:val="en-IN"/>
        </w:rPr>
        <w:t>Sajesh</w:t>
      </w:r>
      <w:proofErr w:type="spellEnd"/>
      <w:r w:rsidRPr="00D532B7">
        <w:rPr>
          <w:rFonts w:ascii="Arial" w:hAnsi="Arial" w:cs="Arial"/>
          <w:lang w:val="en-IN"/>
        </w:rPr>
        <w:t xml:space="preserve">, V. K. and </w:t>
      </w:r>
      <w:proofErr w:type="spellStart"/>
      <w:r w:rsidRPr="00D532B7">
        <w:rPr>
          <w:rFonts w:ascii="Arial" w:hAnsi="Arial" w:cs="Arial"/>
          <w:lang w:val="en-IN"/>
        </w:rPr>
        <w:t>Rejula</w:t>
      </w:r>
      <w:proofErr w:type="spellEnd"/>
      <w:r w:rsidRPr="00D532B7">
        <w:rPr>
          <w:rFonts w:ascii="Arial" w:hAnsi="Arial" w:cs="Arial"/>
          <w:lang w:val="en-IN"/>
        </w:rPr>
        <w:t xml:space="preserve">, K. (2019) A review of drivers and barriers to fish consumption based on theory of planned behaviour. </w:t>
      </w:r>
      <w:proofErr w:type="spellStart"/>
      <w:r w:rsidRPr="00D532B7">
        <w:rPr>
          <w:rFonts w:ascii="Arial" w:hAnsi="Arial" w:cs="Arial"/>
          <w:lang w:val="en-IN"/>
        </w:rPr>
        <w:t>FishTech</w:t>
      </w:r>
      <w:proofErr w:type="spellEnd"/>
      <w:r w:rsidRPr="00D532B7">
        <w:rPr>
          <w:rFonts w:ascii="Arial" w:hAnsi="Arial" w:cs="Arial"/>
          <w:lang w:val="en-IN"/>
        </w:rPr>
        <w:t xml:space="preserve"> Report. 5(2): 18</w:t>
      </w:r>
    </w:p>
    <w:p w14:paraId="3F522C43"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Sajeev, M. V., Radhakrishnan, A., Mohanty, A. K., Joshy, C. G., Ali, V. A., Gopika, R., ... and Ravishankar, C. N. (2021) Factors Influencing the Fish Consumption Preferences: Understandings from the tribes of Wayanad, Kerala. Indian J. Ext. Educ. 57(4): 23-27</w:t>
      </w:r>
    </w:p>
    <w:p w14:paraId="4E78E8F2"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Salim, S. S. (2020). Demand pattern and willingness to pay for high value fish consumption: Case study from selected coastal cities in Kerala, south India. Indian Journal of Fisheries, 67(3). </w:t>
      </w:r>
      <w:hyperlink r:id="rId43" w:history="1">
        <w:r w:rsidRPr="00D532B7">
          <w:rPr>
            <w:rStyle w:val="Hyperlink"/>
            <w:rFonts w:ascii="Arial" w:hAnsi="Arial" w:cs="Arial"/>
            <w:lang w:val="en-IN"/>
          </w:rPr>
          <w:t>https://doi.org/10.21077/ijf.2020.67.3.70635-15</w:t>
        </w:r>
      </w:hyperlink>
    </w:p>
    <w:p w14:paraId="0F8D6741"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lastRenderedPageBreak/>
        <w:t xml:space="preserve">Salim, S. S., James, H. E., Athira, N. R., Smitha, R. X., Shinu, A. M. and </w:t>
      </w:r>
      <w:proofErr w:type="spellStart"/>
      <w:r w:rsidRPr="00D532B7">
        <w:rPr>
          <w:rFonts w:ascii="Arial" w:hAnsi="Arial" w:cs="Arial"/>
          <w:lang w:val="en-IN"/>
        </w:rPr>
        <w:t>Meharoof</w:t>
      </w:r>
      <w:proofErr w:type="spellEnd"/>
      <w:r w:rsidRPr="00D532B7">
        <w:rPr>
          <w:rFonts w:ascii="Arial" w:hAnsi="Arial" w:cs="Arial"/>
          <w:lang w:val="en-IN"/>
        </w:rPr>
        <w:t>, M. (2018) Assessment of Online Fish Marketing in Ernakulam District, Kerala. Asian J. Agric. Ext. Econ. Soc. 27(1): 1-8</w:t>
      </w:r>
    </w:p>
    <w:p w14:paraId="3EBEEC33"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Salim, S., James, H., Shinu, A., Smitha, R., </w:t>
      </w:r>
      <w:proofErr w:type="spellStart"/>
      <w:r w:rsidRPr="00D532B7">
        <w:rPr>
          <w:rFonts w:ascii="Arial" w:hAnsi="Arial" w:cs="Arial"/>
          <w:lang w:val="en-IN"/>
        </w:rPr>
        <w:t>Meharoof</w:t>
      </w:r>
      <w:proofErr w:type="spellEnd"/>
      <w:r w:rsidRPr="00D532B7">
        <w:rPr>
          <w:rFonts w:ascii="Arial" w:hAnsi="Arial" w:cs="Arial"/>
          <w:lang w:val="en-IN"/>
        </w:rPr>
        <w:t xml:space="preserve">, M., &amp; Athira, N. (2018). Assessment of Online Fish Marketing in Ernakulam District, Kerala. Asian Journal of Agricultural Extension, Economics &amp; Sociology, 27(1), 1–8. </w:t>
      </w:r>
      <w:hyperlink r:id="rId44" w:history="1">
        <w:r w:rsidRPr="00D532B7">
          <w:rPr>
            <w:rStyle w:val="Hyperlink"/>
            <w:rFonts w:ascii="Arial" w:hAnsi="Arial" w:cs="Arial"/>
            <w:lang w:val="en-IN"/>
          </w:rPr>
          <w:t>https://doi.org/10.9734/ajaees/2018/42373</w:t>
        </w:r>
      </w:hyperlink>
    </w:p>
    <w:p w14:paraId="3D783439"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Santos, J. (2003). E</w:t>
      </w:r>
      <w:r w:rsidRPr="00D532B7">
        <w:rPr>
          <w:rFonts w:ascii="Cambria Math" w:hAnsi="Cambria Math" w:cs="Cambria Math"/>
          <w:lang w:val="en-IN"/>
        </w:rPr>
        <w:t>‐</w:t>
      </w:r>
      <w:r w:rsidRPr="00D532B7">
        <w:rPr>
          <w:rFonts w:ascii="Arial" w:hAnsi="Arial" w:cs="Arial"/>
          <w:lang w:val="en-IN"/>
        </w:rPr>
        <w:t xml:space="preserve">service quality: a model of virtual service quality dimensions. Managing Service Quality: An International Journal, 13(3), 233–246. </w:t>
      </w:r>
      <w:hyperlink r:id="rId45" w:history="1">
        <w:r w:rsidRPr="00D532B7">
          <w:rPr>
            <w:rStyle w:val="Hyperlink"/>
            <w:rFonts w:ascii="Arial" w:hAnsi="Arial" w:cs="Arial"/>
          </w:rPr>
          <w:t>https://doi.org/10.1108/09604520310476490</w:t>
        </w:r>
      </w:hyperlink>
    </w:p>
    <w:p w14:paraId="4778446D"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Sheng, T., &amp; Liu, C. (2010). An empirical study on the effect of e</w:t>
      </w:r>
      <w:r w:rsidRPr="00D532B7">
        <w:rPr>
          <w:rFonts w:ascii="Cambria Math" w:hAnsi="Cambria Math" w:cs="Cambria Math"/>
          <w:lang w:val="en-IN"/>
        </w:rPr>
        <w:t>‐</w:t>
      </w:r>
      <w:r w:rsidRPr="00D532B7">
        <w:rPr>
          <w:rFonts w:ascii="Arial" w:hAnsi="Arial" w:cs="Arial"/>
          <w:lang w:val="en-IN"/>
        </w:rPr>
        <w:t xml:space="preserve">service quality on </w:t>
      </w:r>
      <w:proofErr w:type="gramStart"/>
      <w:r w:rsidRPr="00D532B7">
        <w:rPr>
          <w:rFonts w:ascii="Arial" w:hAnsi="Arial" w:cs="Arial"/>
          <w:lang w:val="en-IN"/>
        </w:rPr>
        <w:t xml:space="preserve">online </w:t>
      </w:r>
      <w:r>
        <w:rPr>
          <w:rFonts w:ascii="Arial" w:hAnsi="Arial" w:cs="Arial"/>
          <w:lang w:val="en-IN"/>
        </w:rPr>
        <w:t xml:space="preserve"> </w:t>
      </w:r>
      <w:r w:rsidRPr="00D532B7">
        <w:rPr>
          <w:rFonts w:ascii="Arial" w:hAnsi="Arial" w:cs="Arial"/>
          <w:lang w:val="en-IN"/>
        </w:rPr>
        <w:t>customer</w:t>
      </w:r>
      <w:proofErr w:type="gramEnd"/>
      <w:r w:rsidRPr="00D532B7">
        <w:rPr>
          <w:rFonts w:ascii="Arial" w:hAnsi="Arial" w:cs="Arial"/>
          <w:lang w:val="en-IN"/>
        </w:rPr>
        <w:t xml:space="preserve"> satisfaction and loyalty. In Nankai Business Review International (Vol. 1, Issue 3, p. 273). Emerald Publishing Limited. </w:t>
      </w:r>
      <w:hyperlink r:id="rId46" w:history="1">
        <w:r w:rsidRPr="00D532B7">
          <w:rPr>
            <w:rStyle w:val="Hyperlink"/>
            <w:rFonts w:ascii="Arial" w:hAnsi="Arial" w:cs="Arial"/>
          </w:rPr>
          <w:t>https://doi.org/10.1108/20408741011069205</w:t>
        </w:r>
      </w:hyperlink>
    </w:p>
    <w:p w14:paraId="6BE5DBA4"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Stoll, J. S., De Sousa, E., Kramer, E., Loring, P. A., Harrell, K., Jones, B., Strobel, S., Sylvester, T., Callaway, D., Harrison, H. L., Tomlinson, A., Collier, M., Tolley, B., White, E. R., Young, T., Kurian, S., Lovewell, M. A., &amp; </w:t>
      </w:r>
      <w:proofErr w:type="spellStart"/>
      <w:r w:rsidRPr="00D532B7">
        <w:rPr>
          <w:rFonts w:ascii="Arial" w:hAnsi="Arial" w:cs="Arial"/>
          <w:lang w:val="en-IN"/>
        </w:rPr>
        <w:t>Kastlunger</w:t>
      </w:r>
      <w:proofErr w:type="spellEnd"/>
      <w:r w:rsidRPr="00D532B7">
        <w:rPr>
          <w:rFonts w:ascii="Arial" w:hAnsi="Arial" w:cs="Arial"/>
          <w:lang w:val="en-IN"/>
        </w:rPr>
        <w:t xml:space="preserve">, J. (2021). Alternative Seafood Networks During COVID-19: Implications for Resilience and Sustainability. Frontiers in Sustainable Food Systems, 5. </w:t>
      </w:r>
      <w:hyperlink r:id="rId47" w:history="1">
        <w:r w:rsidRPr="00D532B7">
          <w:rPr>
            <w:rStyle w:val="Hyperlink"/>
            <w:rFonts w:ascii="Arial" w:hAnsi="Arial" w:cs="Arial"/>
          </w:rPr>
          <w:t>https://doi.org/10.3389/fsufs.2021.614368</w:t>
        </w:r>
      </w:hyperlink>
    </w:p>
    <w:p w14:paraId="6C281ECF" w14:textId="77777777" w:rsidR="00EA4679" w:rsidRPr="00D532B7" w:rsidRDefault="00EA4679" w:rsidP="00EA4679">
      <w:pPr>
        <w:pStyle w:val="Body"/>
        <w:numPr>
          <w:ilvl w:val="0"/>
          <w:numId w:val="38"/>
        </w:numPr>
        <w:spacing w:after="0"/>
        <w:rPr>
          <w:rFonts w:ascii="Arial" w:hAnsi="Arial" w:cs="Arial"/>
          <w:lang w:val="en-IN"/>
        </w:rPr>
      </w:pPr>
      <w:proofErr w:type="spellStart"/>
      <w:r w:rsidRPr="00D532B7">
        <w:rPr>
          <w:rFonts w:ascii="Arial" w:hAnsi="Arial" w:cs="Arial"/>
          <w:lang w:val="en-IN"/>
        </w:rPr>
        <w:t>Suhartanto</w:t>
      </w:r>
      <w:proofErr w:type="spellEnd"/>
      <w:r w:rsidRPr="00D532B7">
        <w:rPr>
          <w:rFonts w:ascii="Arial" w:hAnsi="Arial" w:cs="Arial"/>
          <w:lang w:val="en-IN"/>
        </w:rPr>
        <w:t xml:space="preserve">, D., Leo, G., Dean, D., &amp; </w:t>
      </w:r>
      <w:proofErr w:type="spellStart"/>
      <w:r w:rsidRPr="00D532B7">
        <w:rPr>
          <w:rFonts w:ascii="Arial" w:hAnsi="Arial" w:cs="Arial"/>
          <w:lang w:val="en-IN"/>
        </w:rPr>
        <w:t>Nyoman</w:t>
      </w:r>
      <w:proofErr w:type="spellEnd"/>
      <w:r w:rsidRPr="00D532B7">
        <w:rPr>
          <w:rFonts w:ascii="Arial" w:hAnsi="Arial" w:cs="Arial"/>
          <w:lang w:val="en-IN"/>
        </w:rPr>
        <w:t xml:space="preserve"> </w:t>
      </w:r>
      <w:proofErr w:type="spellStart"/>
      <w:r w:rsidRPr="00D532B7">
        <w:rPr>
          <w:rFonts w:ascii="Arial" w:hAnsi="Arial" w:cs="Arial"/>
          <w:lang w:val="en-IN"/>
        </w:rPr>
        <w:t>Triyuni</w:t>
      </w:r>
      <w:proofErr w:type="spellEnd"/>
      <w:r w:rsidRPr="00D532B7">
        <w:rPr>
          <w:rFonts w:ascii="Arial" w:hAnsi="Arial" w:cs="Arial"/>
          <w:lang w:val="en-IN"/>
        </w:rPr>
        <w:t xml:space="preserve">, N. (2019). Millennial Experience with Online Food Home Delivery: A Lesson from Indonesia. Interdisciplinary Journal of Information, Knowledge, and Management, 14, 277–294. </w:t>
      </w:r>
      <w:hyperlink r:id="rId48" w:history="1">
        <w:r w:rsidRPr="00D532B7">
          <w:rPr>
            <w:rStyle w:val="Hyperlink"/>
            <w:rFonts w:ascii="Arial" w:hAnsi="Arial" w:cs="Arial"/>
            <w:lang w:val="en-IN"/>
          </w:rPr>
          <w:t>https://doi.org/10.28945/4386</w:t>
        </w:r>
      </w:hyperlink>
    </w:p>
    <w:p w14:paraId="5A32CB55" w14:textId="77777777" w:rsidR="00EA4679" w:rsidRPr="00EA4679" w:rsidRDefault="00EA4679" w:rsidP="00EA4679">
      <w:pPr>
        <w:pStyle w:val="Body"/>
        <w:numPr>
          <w:ilvl w:val="0"/>
          <w:numId w:val="38"/>
        </w:numPr>
        <w:spacing w:after="0"/>
        <w:rPr>
          <w:lang w:val="en-IN"/>
        </w:rPr>
      </w:pPr>
      <w:r w:rsidRPr="00EA4679">
        <w:rPr>
          <w:lang w:val="en-IN"/>
        </w:rPr>
        <w:t>Suresh, K., &amp; Pillai, D. (2024). A field survey for aqua inputs used in freshwater fish farms in Andhra Pradesh, India. </w:t>
      </w:r>
      <w:r w:rsidRPr="00EA4679">
        <w:rPr>
          <w:i/>
          <w:iCs/>
          <w:lang w:val="en-IN"/>
        </w:rPr>
        <w:t>Aquaculture International</w:t>
      </w:r>
      <w:r w:rsidRPr="00EA4679">
        <w:rPr>
          <w:lang w:val="en-IN"/>
        </w:rPr>
        <w:t>. https://doi.org/10.1007/s10499-024-01487-3</w:t>
      </w:r>
    </w:p>
    <w:p w14:paraId="69AF5784" w14:textId="77777777" w:rsidR="00EA4679" w:rsidRPr="00EA4679" w:rsidRDefault="00EA4679" w:rsidP="00EA4679">
      <w:pPr>
        <w:pStyle w:val="Body"/>
        <w:numPr>
          <w:ilvl w:val="0"/>
          <w:numId w:val="38"/>
        </w:numPr>
        <w:spacing w:after="0"/>
        <w:rPr>
          <w:lang w:val="en-IN"/>
        </w:rPr>
      </w:pPr>
      <w:proofErr w:type="spellStart"/>
      <w:r w:rsidRPr="00EA4679">
        <w:rPr>
          <w:lang w:val="en-IN"/>
        </w:rPr>
        <w:t>TechSci</w:t>
      </w:r>
      <w:proofErr w:type="spellEnd"/>
      <w:r w:rsidRPr="00EA4679">
        <w:rPr>
          <w:lang w:val="en-IN"/>
        </w:rPr>
        <w:t xml:space="preserve"> Research. (2025). </w:t>
      </w:r>
      <w:r w:rsidRPr="00EA4679">
        <w:rPr>
          <w:i/>
          <w:iCs/>
          <w:lang w:val="en-IN"/>
        </w:rPr>
        <w:t>India fish market: By size, share, trends, growth and forecast 2027-2031</w:t>
      </w:r>
      <w:r w:rsidRPr="00EA4679">
        <w:rPr>
          <w:lang w:val="en-IN"/>
        </w:rPr>
        <w:t>. </w:t>
      </w:r>
      <w:hyperlink r:id="rId49" w:tgtFrame="_blank" w:history="1">
        <w:r w:rsidRPr="00EA4679">
          <w:rPr>
            <w:rStyle w:val="Hyperlink"/>
            <w:lang w:val="en-IN"/>
          </w:rPr>
          <w:t>https://www.techsciresearch.com/report/india-fish-market/29682.html</w:t>
        </w:r>
      </w:hyperlink>
    </w:p>
    <w:p w14:paraId="06BD426A" w14:textId="77777777" w:rsidR="00EA4679" w:rsidRPr="00D532B7" w:rsidRDefault="00EA4679" w:rsidP="00EA4679">
      <w:pPr>
        <w:pStyle w:val="Body"/>
        <w:numPr>
          <w:ilvl w:val="0"/>
          <w:numId w:val="38"/>
        </w:numPr>
        <w:spacing w:after="0"/>
        <w:rPr>
          <w:rFonts w:ascii="Arial" w:hAnsi="Arial" w:cs="Arial"/>
          <w:lang w:val="en-IN"/>
        </w:rPr>
      </w:pPr>
      <w:proofErr w:type="spellStart"/>
      <w:r w:rsidRPr="00D532B7">
        <w:rPr>
          <w:rFonts w:ascii="Arial" w:hAnsi="Arial" w:cs="Arial"/>
          <w:lang w:val="en-IN"/>
        </w:rPr>
        <w:t>Thaichon</w:t>
      </w:r>
      <w:proofErr w:type="spellEnd"/>
      <w:r w:rsidRPr="00D532B7">
        <w:rPr>
          <w:rFonts w:ascii="Arial" w:hAnsi="Arial" w:cs="Arial"/>
          <w:lang w:val="en-IN"/>
        </w:rPr>
        <w:t xml:space="preserve">, P., &amp; Quach, T. N. (2015). The relationship between service quality, satisfaction, trust, value, commitment and loyalty of Internet service providers’ customers. Journal of Global Scholars of Marketing Science, 25(4), 295–313. </w:t>
      </w:r>
      <w:hyperlink r:id="rId50" w:history="1">
        <w:r w:rsidRPr="00D532B7">
          <w:rPr>
            <w:rStyle w:val="Hyperlink"/>
            <w:rFonts w:ascii="Arial" w:hAnsi="Arial" w:cs="Arial"/>
          </w:rPr>
          <w:t>https://doi.org/10.1080/21639159.2015.1073419</w:t>
        </w:r>
      </w:hyperlink>
    </w:p>
    <w:p w14:paraId="25A99FB8"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Venkatesh, V. (2024). Paradigm changing metaverse: Future research directions in design, technology adoption and use, and impacts. Decision Support Systems, 188, 114307. </w:t>
      </w:r>
      <w:hyperlink r:id="rId51" w:history="1">
        <w:r w:rsidRPr="00D532B7">
          <w:rPr>
            <w:rStyle w:val="Hyperlink"/>
            <w:rFonts w:ascii="Arial" w:hAnsi="Arial" w:cs="Arial"/>
          </w:rPr>
          <w:t>https://doi.org/10.1016/j.dss.2024.114307</w:t>
        </w:r>
      </w:hyperlink>
    </w:p>
    <w:p w14:paraId="77612D0F"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Vinita Kaura, Ch. S. Durga Prasad, Sourabh Sharma; Service quality, service convenience, price and fairness, customer loyalty, and the mediating role of customer satisfaction. International Journal of Bank Marketing 1 June 2015; 33 (4): 404–422. </w:t>
      </w:r>
      <w:hyperlink r:id="rId52" w:tgtFrame="_blank" w:history="1">
        <w:r w:rsidRPr="00D532B7">
          <w:rPr>
            <w:rStyle w:val="Hyperlink"/>
            <w:rFonts w:ascii="Arial" w:hAnsi="Arial" w:cs="Arial"/>
            <w:lang w:val="en-IN"/>
          </w:rPr>
          <w:t>https://doi.org/10.1108/IJBM-04-2014-0048</w:t>
        </w:r>
      </w:hyperlink>
    </w:p>
    <w:p w14:paraId="660A82C5"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Wei, C., Zhang, M., Chen, W., Ge, Y., Wang, D., Zhang, D., Xue, D., Cheng, Q., Cheng, C., &amp; Zhang, W. (2023). After the pandemic: the global seafood trade market forecasts in 2030. Humanities and Social Sciences Communications, 10(1). </w:t>
      </w:r>
      <w:hyperlink r:id="rId53" w:history="1">
        <w:r w:rsidRPr="00D532B7">
          <w:rPr>
            <w:rStyle w:val="Hyperlink"/>
            <w:rFonts w:ascii="Arial" w:hAnsi="Arial" w:cs="Arial"/>
          </w:rPr>
          <w:t>https://doi.org/10.1057/s41599-023-02070-6</w:t>
        </w:r>
      </w:hyperlink>
    </w:p>
    <w:p w14:paraId="3C47B62E"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Wolfinbarger, M., &amp; Gilly, M. C. (2003). </w:t>
      </w:r>
      <w:proofErr w:type="spellStart"/>
      <w:r w:rsidRPr="00D532B7">
        <w:rPr>
          <w:rFonts w:ascii="Arial" w:hAnsi="Arial" w:cs="Arial"/>
          <w:lang w:val="en-IN"/>
        </w:rPr>
        <w:t>eTailQ</w:t>
      </w:r>
      <w:proofErr w:type="spellEnd"/>
      <w:r w:rsidRPr="00D532B7">
        <w:rPr>
          <w:rFonts w:ascii="Arial" w:hAnsi="Arial" w:cs="Arial"/>
          <w:lang w:val="en-IN"/>
        </w:rPr>
        <w:t xml:space="preserve">: </w:t>
      </w:r>
      <w:proofErr w:type="spellStart"/>
      <w:r w:rsidRPr="00D532B7">
        <w:rPr>
          <w:rFonts w:ascii="Arial" w:hAnsi="Arial" w:cs="Arial"/>
          <w:lang w:val="en-IN"/>
        </w:rPr>
        <w:t>dimensionalizing</w:t>
      </w:r>
      <w:proofErr w:type="spellEnd"/>
      <w:r w:rsidRPr="00D532B7">
        <w:rPr>
          <w:rFonts w:ascii="Arial" w:hAnsi="Arial" w:cs="Arial"/>
          <w:lang w:val="en-IN"/>
        </w:rPr>
        <w:t xml:space="preserve">, measuring and predicting </w:t>
      </w:r>
      <w:proofErr w:type="spellStart"/>
      <w:r w:rsidRPr="00D532B7">
        <w:rPr>
          <w:rFonts w:ascii="Arial" w:hAnsi="Arial" w:cs="Arial"/>
          <w:lang w:val="en-IN"/>
        </w:rPr>
        <w:t>etail</w:t>
      </w:r>
      <w:proofErr w:type="spellEnd"/>
      <w:r w:rsidRPr="00D532B7">
        <w:rPr>
          <w:rFonts w:ascii="Arial" w:hAnsi="Arial" w:cs="Arial"/>
          <w:lang w:val="en-IN"/>
        </w:rPr>
        <w:t xml:space="preserve"> quality. Journal of Retailing, 79(3), 183–198. </w:t>
      </w:r>
      <w:hyperlink r:id="rId54" w:history="1">
        <w:r w:rsidRPr="00D532B7">
          <w:rPr>
            <w:rStyle w:val="Hyperlink"/>
            <w:rFonts w:ascii="Arial" w:hAnsi="Arial" w:cs="Arial"/>
          </w:rPr>
          <w:t>https://doi.org/10.1016/s0022-4359(03)00034-4</w:t>
        </w:r>
      </w:hyperlink>
    </w:p>
    <w:p w14:paraId="2624CACB"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Zeithaml, V. A. (1988). Consumer perceptions of price, quality, and value: A means-end model and synthesis of evidence. Journal of Marketing, 52(3), 2–22. </w:t>
      </w:r>
      <w:hyperlink r:id="rId55" w:tgtFrame="_blank" w:history="1">
        <w:r w:rsidRPr="00D532B7">
          <w:rPr>
            <w:rStyle w:val="Hyperlink"/>
            <w:rFonts w:ascii="Arial" w:hAnsi="Arial" w:cs="Arial"/>
            <w:lang w:val="en-IN"/>
          </w:rPr>
          <w:t>https://doi.org/10.1177/002224298805200302</w:t>
        </w:r>
      </w:hyperlink>
    </w:p>
    <w:p w14:paraId="6C849D8B"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Zeithaml, V. A., Malhotra, A., &amp; Parasuraman, A. (2002). Service Quality Delivery through Web Sites: A Critical Review of Extant Knowledge. Journal of the Academy of Marketing Science, 30(4), 362–375. </w:t>
      </w:r>
      <w:hyperlink r:id="rId56" w:history="1">
        <w:r w:rsidRPr="00D532B7">
          <w:rPr>
            <w:rStyle w:val="Hyperlink"/>
            <w:rFonts w:ascii="Arial" w:hAnsi="Arial" w:cs="Arial"/>
            <w:lang w:val="en-IN"/>
          </w:rPr>
          <w:t>https://doi.org/10.1177/009207002236911</w:t>
        </w:r>
      </w:hyperlink>
    </w:p>
    <w:p w14:paraId="369CC87F"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Zhou, R., Wang, X., Zhang, R., Shi, Y., Guo, H., &amp; Zhang, L. (2018). Measuring e-service quality and its importance to customer satisfaction and loyalty: an empirical </w:t>
      </w:r>
      <w:r w:rsidRPr="00D532B7">
        <w:rPr>
          <w:rFonts w:ascii="Arial" w:hAnsi="Arial" w:cs="Arial"/>
          <w:lang w:val="en-IN"/>
        </w:rPr>
        <w:lastRenderedPageBreak/>
        <w:t xml:space="preserve">study in a telecom setting. Electronic Commerce Research, 19(3), 477–499. </w:t>
      </w:r>
      <w:hyperlink r:id="rId57" w:history="1">
        <w:r w:rsidRPr="00D532B7">
          <w:rPr>
            <w:rStyle w:val="Hyperlink"/>
            <w:rFonts w:ascii="Arial" w:hAnsi="Arial" w:cs="Arial"/>
          </w:rPr>
          <w:t>https://doi.org/10.1007/s10660-018-9301-3</w:t>
        </w:r>
      </w:hyperlink>
    </w:p>
    <w:p w14:paraId="37C4724D" w14:textId="77777777" w:rsidR="00EA4679" w:rsidRPr="00EA4679" w:rsidRDefault="00EA4679" w:rsidP="00EA4679">
      <w:pPr>
        <w:pStyle w:val="Body"/>
        <w:spacing w:after="0"/>
        <w:rPr>
          <w:lang w:val="en-IN"/>
        </w:rPr>
      </w:pPr>
    </w:p>
    <w:p w14:paraId="0661B65D" w14:textId="77777777" w:rsidR="00EA4679" w:rsidRPr="00EA4679" w:rsidRDefault="00EA4679" w:rsidP="00EA4679">
      <w:pPr>
        <w:pStyle w:val="Body"/>
        <w:spacing w:after="0"/>
        <w:rPr>
          <w:lang w:val="en-IN"/>
        </w:rPr>
      </w:pPr>
    </w:p>
    <w:sectPr w:rsidR="00EA4679" w:rsidRPr="00EA4679" w:rsidSect="00F646FD">
      <w:type w:val="continuous"/>
      <w:pgSz w:w="12240" w:h="15840"/>
      <w:pgMar w:top="851" w:right="2016" w:bottom="1560"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972D3" w14:textId="77777777" w:rsidR="00C12A26" w:rsidRDefault="00C12A26" w:rsidP="00C37E61">
      <w:r>
        <w:separator/>
      </w:r>
    </w:p>
  </w:endnote>
  <w:endnote w:type="continuationSeparator" w:id="0">
    <w:p w14:paraId="42628C18" w14:textId="77777777" w:rsidR="00C12A26" w:rsidRDefault="00C12A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716D" w14:textId="77777777" w:rsidR="00F646FD" w:rsidRDefault="00F64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D75C" w14:textId="77777777" w:rsidR="00F646FD" w:rsidRDefault="00F64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4D85" w14:textId="1EAF7D2B" w:rsidR="00EA4679" w:rsidRPr="00F646FD" w:rsidRDefault="00EA4679" w:rsidP="00F646FD">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B3E1" w14:textId="77777777" w:rsidR="00C12A26" w:rsidRDefault="00C12A26" w:rsidP="00C37E61">
      <w:r>
        <w:separator/>
      </w:r>
    </w:p>
  </w:footnote>
  <w:footnote w:type="continuationSeparator" w:id="0">
    <w:p w14:paraId="1B2763FC" w14:textId="77777777" w:rsidR="00C12A26" w:rsidRDefault="00C12A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EF84" w14:textId="458EBDBF" w:rsidR="00F646FD" w:rsidRDefault="00F646FD">
    <w:pPr>
      <w:pStyle w:val="Header"/>
    </w:pPr>
    <w:r>
      <w:rPr>
        <w:noProof/>
      </w:rPr>
      <w:pict w14:anchorId="44CB4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221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A7E3" w14:textId="444B298C" w:rsidR="00F646FD" w:rsidRDefault="00F646FD">
    <w:pPr>
      <w:pStyle w:val="Header"/>
    </w:pPr>
    <w:r>
      <w:rPr>
        <w:noProof/>
      </w:rPr>
      <w:pict w14:anchorId="51F87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221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E3B1" w14:textId="008FB47A" w:rsidR="00EA4679" w:rsidRPr="00296529" w:rsidRDefault="00F646FD" w:rsidP="00296529">
    <w:pPr>
      <w:ind w:left="2160"/>
      <w:jc w:val="center"/>
      <w:rPr>
        <w:rFonts w:ascii="Times New Roman" w:eastAsia="Calibri" w:hAnsi="Times New Roman"/>
        <w:i/>
        <w:sz w:val="18"/>
        <w:szCs w:val="22"/>
      </w:rPr>
    </w:pPr>
    <w:r>
      <w:rPr>
        <w:noProof/>
      </w:rPr>
      <w:pict w14:anchorId="59753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221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EAC709" w14:textId="77777777" w:rsidR="00EA4679" w:rsidRPr="00296529" w:rsidRDefault="00EA467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E24D8E" w14:textId="77777777" w:rsidR="00EA4679" w:rsidRPr="00296529" w:rsidRDefault="00EA467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61DA7" w14:textId="77777777" w:rsidR="00EA4679" w:rsidRPr="00296529" w:rsidRDefault="00EA467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6C3F2D" w14:textId="77777777" w:rsidR="00EA4679" w:rsidRDefault="00EA467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C05AF8" w14:textId="77777777" w:rsidR="00EA4679" w:rsidRDefault="00EA467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6EA9B9" w14:textId="77777777" w:rsidR="00EA4679" w:rsidRDefault="00EA467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7857E1"/>
    <w:multiLevelType w:val="hybridMultilevel"/>
    <w:tmpl w:val="6CEC31FA"/>
    <w:lvl w:ilvl="0" w:tplc="4009000F">
      <w:start w:val="1"/>
      <w:numFmt w:val="decimal"/>
      <w:lvlText w:val="%1."/>
      <w:lvlJc w:val="left"/>
      <w:pPr>
        <w:ind w:left="720" w:hanging="360"/>
      </w:pPr>
      <w:rPr>
        <w:rFonts w:hint="default"/>
        <w:i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D5BE4"/>
    <w:multiLevelType w:val="multilevel"/>
    <w:tmpl w:val="15FE2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4D4105"/>
    <w:multiLevelType w:val="hybridMultilevel"/>
    <w:tmpl w:val="2F4E37EC"/>
    <w:lvl w:ilvl="0" w:tplc="BEE29882">
      <w:start w:val="1"/>
      <w:numFmt w:val="decimal"/>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30AC9"/>
    <w:multiLevelType w:val="multilevel"/>
    <w:tmpl w:val="CB6471A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EF36BF"/>
    <w:multiLevelType w:val="multilevel"/>
    <w:tmpl w:val="E40640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0B963D6"/>
    <w:multiLevelType w:val="hybridMultilevel"/>
    <w:tmpl w:val="C8DEA5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F2E74"/>
    <w:multiLevelType w:val="multilevel"/>
    <w:tmpl w:val="8AB230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86A5987"/>
    <w:multiLevelType w:val="multilevel"/>
    <w:tmpl w:val="AF5292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F1494"/>
    <w:multiLevelType w:val="multilevel"/>
    <w:tmpl w:val="6CBE1278"/>
    <w:lvl w:ilvl="0">
      <w:start w:val="3"/>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6"/>
  </w:num>
  <w:num w:numId="19">
    <w:abstractNumId w:val="37"/>
  </w:num>
  <w:num w:numId="20">
    <w:abstractNumId w:val="13"/>
  </w:num>
  <w:num w:numId="21">
    <w:abstractNumId w:val="10"/>
  </w:num>
  <w:num w:numId="22">
    <w:abstractNumId w:val="15"/>
  </w:num>
  <w:num w:numId="23">
    <w:abstractNumId w:val="25"/>
  </w:num>
  <w:num w:numId="24">
    <w:abstractNumId w:val="34"/>
  </w:num>
  <w:num w:numId="25">
    <w:abstractNumId w:val="4"/>
  </w:num>
  <w:num w:numId="26">
    <w:abstractNumId w:val="19"/>
  </w:num>
  <w:num w:numId="27">
    <w:abstractNumId w:val="26"/>
  </w:num>
  <w:num w:numId="28">
    <w:abstractNumId w:val="35"/>
  </w:num>
  <w:num w:numId="29">
    <w:abstractNumId w:val="31"/>
  </w:num>
  <w:num w:numId="30">
    <w:abstractNumId w:val="11"/>
  </w:num>
  <w:num w:numId="31">
    <w:abstractNumId w:val="18"/>
  </w:num>
  <w:num w:numId="32">
    <w:abstractNumId w:val="23"/>
  </w:num>
  <w:num w:numId="33">
    <w:abstractNumId w:val="36"/>
  </w:num>
  <w:num w:numId="34">
    <w:abstractNumId w:val="21"/>
  </w:num>
  <w:num w:numId="35">
    <w:abstractNumId w:val="20"/>
  </w:num>
  <w:num w:numId="36">
    <w:abstractNumId w:val="27"/>
  </w:num>
  <w:num w:numId="37">
    <w:abstractNumId w:val="33"/>
  </w:num>
  <w:num w:numId="38">
    <w:abstractNumId w:val="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92B"/>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779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D16"/>
    <w:rsid w:val="002B27FB"/>
    <w:rsid w:val="002B685A"/>
    <w:rsid w:val="002B6F30"/>
    <w:rsid w:val="002C57D2"/>
    <w:rsid w:val="002E0D56"/>
    <w:rsid w:val="00315186"/>
    <w:rsid w:val="0033343E"/>
    <w:rsid w:val="003512C2"/>
    <w:rsid w:val="00371FB6"/>
    <w:rsid w:val="003763C1"/>
    <w:rsid w:val="00376BBE"/>
    <w:rsid w:val="0039224F"/>
    <w:rsid w:val="003A05D7"/>
    <w:rsid w:val="003A43A4"/>
    <w:rsid w:val="003A7E18"/>
    <w:rsid w:val="003C4C86"/>
    <w:rsid w:val="003C6258"/>
    <w:rsid w:val="003E2904"/>
    <w:rsid w:val="003F624B"/>
    <w:rsid w:val="00401927"/>
    <w:rsid w:val="0041027F"/>
    <w:rsid w:val="00412475"/>
    <w:rsid w:val="00423789"/>
    <w:rsid w:val="00440F43"/>
    <w:rsid w:val="00441B6F"/>
    <w:rsid w:val="00446221"/>
    <w:rsid w:val="00450E62"/>
    <w:rsid w:val="004539DB"/>
    <w:rsid w:val="00471A80"/>
    <w:rsid w:val="004A556F"/>
    <w:rsid w:val="004D305E"/>
    <w:rsid w:val="004D4277"/>
    <w:rsid w:val="00502516"/>
    <w:rsid w:val="00505F06"/>
    <w:rsid w:val="00506828"/>
    <w:rsid w:val="0053056E"/>
    <w:rsid w:val="00554FDA"/>
    <w:rsid w:val="00566999"/>
    <w:rsid w:val="00597A5D"/>
    <w:rsid w:val="005A6C43"/>
    <w:rsid w:val="005C784C"/>
    <w:rsid w:val="005D17F6"/>
    <w:rsid w:val="005E5539"/>
    <w:rsid w:val="006015EF"/>
    <w:rsid w:val="00602BF5"/>
    <w:rsid w:val="00617FDD"/>
    <w:rsid w:val="00633614"/>
    <w:rsid w:val="00633F68"/>
    <w:rsid w:val="00636EB2"/>
    <w:rsid w:val="006375B8"/>
    <w:rsid w:val="0066510A"/>
    <w:rsid w:val="00673180"/>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3C18"/>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49A4"/>
    <w:rsid w:val="00C12A2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32B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4679"/>
    <w:rsid w:val="00EC6A55"/>
    <w:rsid w:val="00ED0288"/>
    <w:rsid w:val="00EE52CB"/>
    <w:rsid w:val="00EF581D"/>
    <w:rsid w:val="00EF7FD8"/>
    <w:rsid w:val="00F06F59"/>
    <w:rsid w:val="00F17988"/>
    <w:rsid w:val="00F469F0"/>
    <w:rsid w:val="00F53273"/>
    <w:rsid w:val="00F646FD"/>
    <w:rsid w:val="00F755E4"/>
    <w:rsid w:val="00F77D02"/>
    <w:rsid w:val="00F8299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D4C8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829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B6F30"/>
    <w:pPr>
      <w:spacing w:after="160" w:line="259" w:lineRule="auto"/>
      <w:ind w:left="720"/>
      <w:contextualSpacing/>
    </w:pPr>
    <w:rPr>
      <w:rFonts w:ascii="Times New Roman" w:eastAsia="Calibri" w:hAnsi="Times New Roman"/>
      <w:sz w:val="24"/>
      <w:szCs w:val="32"/>
    </w:rPr>
  </w:style>
  <w:style w:type="paragraph" w:styleId="NormalWeb">
    <w:name w:val="Normal (Web)"/>
    <w:basedOn w:val="Normal"/>
    <w:uiPriority w:val="99"/>
    <w:semiHidden/>
    <w:unhideWhenUsed/>
    <w:rsid w:val="002B6F30"/>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F8299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retai.2015.05.004" TargetMode="External"/><Relationship Id="rId26" Type="http://schemas.openxmlformats.org/officeDocument/2006/relationships/hyperlink" Target="https://doi.org/10.17705/1jais.00022" TargetMode="External"/><Relationship Id="rId39" Type="http://schemas.openxmlformats.org/officeDocument/2006/relationships/hyperlink" Target="https://doi.org/10.1177/1094670504271156" TargetMode="External"/><Relationship Id="rId21" Type="http://schemas.openxmlformats.org/officeDocument/2006/relationships/hyperlink" Target="https://doi.org/10.1108/14684520910985710" TargetMode="External"/><Relationship Id="rId34" Type="http://schemas.openxmlformats.org/officeDocument/2006/relationships/hyperlink" Target="https://doi.org/10.18843/rwjasc/v9i1/02" TargetMode="External"/><Relationship Id="rId42" Type="http://schemas.openxmlformats.org/officeDocument/2006/relationships/hyperlink" Target="https://doi.org/10.3390/su16073080" TargetMode="External"/><Relationship Id="rId47" Type="http://schemas.openxmlformats.org/officeDocument/2006/relationships/hyperlink" Target="https://doi.org/10.3389/fsufs.2021.614368" TargetMode="External"/><Relationship Id="rId50" Type="http://schemas.openxmlformats.org/officeDocument/2006/relationships/hyperlink" Target="https://doi.org/10.1080/21639159.2015.1073419" TargetMode="External"/><Relationship Id="rId55" Type="http://schemas.openxmlformats.org/officeDocument/2006/relationships/hyperlink" Target="https://doi.org/10.1177/0022242988052003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8945/4086" TargetMode="External"/><Relationship Id="rId29" Type="http://schemas.openxmlformats.org/officeDocument/2006/relationships/hyperlink" Target="https://doi.org/10.1080/13669877.2013.794152" TargetMode="External"/><Relationship Id="rId11" Type="http://schemas.openxmlformats.org/officeDocument/2006/relationships/footer" Target="footer2.xml"/><Relationship Id="rId24" Type="http://schemas.openxmlformats.org/officeDocument/2006/relationships/hyperlink" Target="https://doi.org/10.53983/ijmds.v12n6.2020.045" TargetMode="External"/><Relationship Id="rId32" Type="http://schemas.openxmlformats.org/officeDocument/2006/relationships/hyperlink" Target="https://www.imarcgroup.com/indian-fish-market" TargetMode="External"/><Relationship Id="rId37" Type="http://schemas.openxmlformats.org/officeDocument/2006/relationships/hyperlink" Target="https://doi.org/10.31235/osf.io/x8aew" TargetMode="External"/><Relationship Id="rId40" Type="http://schemas.openxmlformats.org/officeDocument/2006/relationships/hyperlink" Target="https://www.pib.gov.in/PressNoteDetails.aspx?NoteId=155080&amp;ModuleId=3" TargetMode="External"/><Relationship Id="rId45" Type="http://schemas.openxmlformats.org/officeDocument/2006/relationships/hyperlink" Target="https://doi.org/10.1108/09604520310476490" TargetMode="External"/><Relationship Id="rId53" Type="http://schemas.openxmlformats.org/officeDocument/2006/relationships/hyperlink" Target="https://doi.org/10.1057/s41599-023-02070-6"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35870/jemsi.v9i6.165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fisheries.kerala.gov.in/marine-fisheries" TargetMode="External"/><Relationship Id="rId27" Type="http://schemas.openxmlformats.org/officeDocument/2006/relationships/hyperlink" Target="https://doi.org/10.4172/2150-3508.1000154" TargetMode="External"/><Relationship Id="rId30" Type="http://schemas.openxmlformats.org/officeDocument/2006/relationships/hyperlink" Target="https://doi.org/10.1080/10705519909540118" TargetMode="External"/><Relationship Id="rId35" Type="http://schemas.openxmlformats.org/officeDocument/2006/relationships/hyperlink" Target="https://doi.org/10.1108/ijbm-04-2014-0048" TargetMode="External"/><Relationship Id="rId43" Type="http://schemas.openxmlformats.org/officeDocument/2006/relationships/hyperlink" Target="https://doi.org/10.21077/ijf.2020.67.3.70635-15" TargetMode="External"/><Relationship Id="rId48" Type="http://schemas.openxmlformats.org/officeDocument/2006/relationships/hyperlink" Target="https://doi.org/10.28945/4386" TargetMode="External"/><Relationship Id="rId56" Type="http://schemas.openxmlformats.org/officeDocument/2006/relationships/hyperlink" Target="https://doi.org/10.1177/009207002236911" TargetMode="External"/><Relationship Id="rId8" Type="http://schemas.openxmlformats.org/officeDocument/2006/relationships/header" Target="header1.xml"/><Relationship Id="rId51" Type="http://schemas.openxmlformats.org/officeDocument/2006/relationships/hyperlink" Target="https://doi.org/10.1016/j.dss.2024.11430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11/fme.12334" TargetMode="External"/><Relationship Id="rId25" Type="http://schemas.openxmlformats.org/officeDocument/2006/relationships/hyperlink" Target="https://doi.org/10.17705/1jais.00022" TargetMode="External"/><Relationship Id="rId33" Type="http://schemas.openxmlformats.org/officeDocument/2006/relationships/hyperlink" Target="https://doi.org/10.1080/10196780802265843" TargetMode="External"/><Relationship Id="rId38" Type="http://schemas.openxmlformats.org/officeDocument/2006/relationships/hyperlink" Target="https://hdl.handle.net/20.500.12348/5813" TargetMode="External"/><Relationship Id="rId46" Type="http://schemas.openxmlformats.org/officeDocument/2006/relationships/hyperlink" Target="https://doi.org/10.1108/20408741011069205" TargetMode="External"/><Relationship Id="rId59" Type="http://schemas.openxmlformats.org/officeDocument/2006/relationships/theme" Target="theme/theme1.xml"/><Relationship Id="rId20" Type="http://schemas.openxmlformats.org/officeDocument/2006/relationships/hyperlink" Target="https://doi.org/10.1080/15332861.2019.1696614" TargetMode="External"/><Relationship Id="rId41" Type="http://schemas.openxmlformats.org/officeDocument/2006/relationships/hyperlink" Target="https://doi.org/10.1108/mip-02-2018-0058" TargetMode="External"/><Relationship Id="rId54" Type="http://schemas.openxmlformats.org/officeDocument/2006/relationships/hyperlink" Target="https://doi.org/10.1016/s0022-4359(03)00034-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8/1755-1315/493/1/012041" TargetMode="External"/><Relationship Id="rId23" Type="http://schemas.openxmlformats.org/officeDocument/2006/relationships/hyperlink" Target="https://www.newindianexpress.com" TargetMode="External"/><Relationship Id="rId28" Type="http://schemas.openxmlformats.org/officeDocument/2006/relationships/hyperlink" Target="https://doi.org/10.69593/ajsteme.v4i03.85" TargetMode="External"/><Relationship Id="rId36" Type="http://schemas.openxmlformats.org/officeDocument/2006/relationships/hyperlink" Target="https://doi.org/10.2991/aebmr.k.220701.049" TargetMode="External"/><Relationship Id="rId49" Type="http://schemas.openxmlformats.org/officeDocument/2006/relationships/hyperlink" Target="https://www.techsciresearch.com/report/india-fish-market/29682.html" TargetMode="External"/><Relationship Id="rId57" Type="http://schemas.openxmlformats.org/officeDocument/2006/relationships/hyperlink" Target="https://doi.org/10.1007/s10660-018-9301-3" TargetMode="External"/><Relationship Id="rId10" Type="http://schemas.openxmlformats.org/officeDocument/2006/relationships/footer" Target="footer1.xml"/><Relationship Id="rId31" Type="http://schemas.openxmlformats.org/officeDocument/2006/relationships/hyperlink" Target="https://doi.org/10.1186/s12873-022-00631-7" TargetMode="External"/><Relationship Id="rId44" Type="http://schemas.openxmlformats.org/officeDocument/2006/relationships/hyperlink" Target="https://doi.org/10.9734/ajaees/2018/42373" TargetMode="External"/><Relationship Id="rId52" Type="http://schemas.openxmlformats.org/officeDocument/2006/relationships/hyperlink" Target="https://doi.org/10.1108/IJBM-04-2014-00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14175-80F3-45C0-909D-143EEDA9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15</Pages>
  <Words>6864</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45898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2025-09-14T18:02:00Z</dcterms:created>
  <dcterms:modified xsi:type="dcterms:W3CDTF">2025-09-15T08:43:00Z</dcterms:modified>
</cp:coreProperties>
</file>