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BFE5" w14:textId="05684E94" w:rsidR="00CB3168" w:rsidRPr="00324BC3" w:rsidRDefault="001D3979" w:rsidP="00B56BAF">
      <w:pPr>
        <w:spacing w:after="0" w:line="240" w:lineRule="auto"/>
        <w:jc w:val="both"/>
        <w:rPr>
          <w:rFonts w:ascii="Times New Roman" w:eastAsia="Times New Roman" w:hAnsi="Times New Roman" w:cs="Times New Roman"/>
          <w:sz w:val="24"/>
          <w:szCs w:val="24"/>
        </w:rPr>
      </w:pPr>
      <w:bookmarkStart w:id="0" w:name="_GoBack"/>
      <w:bookmarkEnd w:id="0"/>
      <w:r w:rsidRPr="00324BC3">
        <w:rPr>
          <w:rFonts w:ascii="Times New Roman" w:hAnsi="Times New Roman" w:cs="Times New Roman"/>
          <w:b/>
          <w:sz w:val="24"/>
          <w:szCs w:val="24"/>
        </w:rPr>
        <w:t xml:space="preserve">The Role of Index-Based Livestock Insurance in Enhancing </w:t>
      </w:r>
      <w:r w:rsidR="00206996" w:rsidRPr="00324BC3">
        <w:rPr>
          <w:rFonts w:ascii="Times New Roman" w:hAnsi="Times New Roman" w:cs="Times New Roman"/>
          <w:b/>
          <w:sz w:val="24"/>
          <w:szCs w:val="24"/>
        </w:rPr>
        <w:t xml:space="preserve">Household </w:t>
      </w:r>
      <w:r w:rsidRPr="00324BC3">
        <w:rPr>
          <w:rFonts w:ascii="Times New Roman" w:hAnsi="Times New Roman" w:cs="Times New Roman"/>
          <w:b/>
          <w:sz w:val="24"/>
          <w:szCs w:val="24"/>
        </w:rPr>
        <w:t>Food Security among Pastoralist</w:t>
      </w:r>
      <w:r w:rsidR="00206996" w:rsidRPr="00324BC3">
        <w:rPr>
          <w:rFonts w:ascii="Times New Roman" w:hAnsi="Times New Roman" w:cs="Times New Roman"/>
          <w:b/>
          <w:sz w:val="24"/>
          <w:szCs w:val="24"/>
        </w:rPr>
        <w:t>s</w:t>
      </w:r>
      <w:r w:rsidRPr="00324BC3">
        <w:rPr>
          <w:rFonts w:ascii="Times New Roman" w:hAnsi="Times New Roman" w:cs="Times New Roman"/>
          <w:b/>
          <w:sz w:val="24"/>
          <w:szCs w:val="24"/>
        </w:rPr>
        <w:t xml:space="preserve"> in Hadado Sub-County, Kenya</w:t>
      </w:r>
    </w:p>
    <w:p w14:paraId="7B4B05FC" w14:textId="6330055F" w:rsidR="00320908" w:rsidRPr="00324BC3" w:rsidRDefault="00320908" w:rsidP="00F2724F">
      <w:pPr>
        <w:spacing w:before="100" w:beforeAutospacing="1" w:after="100" w:afterAutospacing="1" w:line="240" w:lineRule="auto"/>
        <w:jc w:val="both"/>
        <w:rPr>
          <w:rFonts w:ascii="Times New Roman" w:eastAsia="Times New Roman" w:hAnsi="Times New Roman" w:cs="Times New Roman"/>
          <w:sz w:val="24"/>
          <w:szCs w:val="24"/>
        </w:rPr>
      </w:pPr>
    </w:p>
    <w:p w14:paraId="69225098" w14:textId="77777777" w:rsidR="00CB3168" w:rsidRPr="00324BC3" w:rsidRDefault="00CB3168" w:rsidP="00B56B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Abstract</w:t>
      </w:r>
    </w:p>
    <w:p w14:paraId="647AD1CD" w14:textId="45C25A17" w:rsidR="00CB3168" w:rsidRPr="00324BC3" w:rsidRDefault="00206996" w:rsidP="00B56BAF">
      <w:pPr>
        <w:spacing w:before="100" w:beforeAutospacing="1"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The p</w:t>
      </w:r>
      <w:r w:rsidR="00B45930" w:rsidRPr="00324BC3">
        <w:rPr>
          <w:rFonts w:ascii="Times New Roman" w:eastAsia="Times New Roman" w:hAnsi="Times New Roman" w:cs="Times New Roman"/>
          <w:sz w:val="24"/>
          <w:szCs w:val="24"/>
        </w:rPr>
        <w:t>astoralist</w:t>
      </w:r>
      <w:r w:rsidRPr="00324BC3">
        <w:rPr>
          <w:rFonts w:ascii="Times New Roman" w:eastAsia="Times New Roman" w:hAnsi="Times New Roman" w:cs="Times New Roman"/>
          <w:sz w:val="24"/>
          <w:szCs w:val="24"/>
        </w:rPr>
        <w:t xml:space="preserve"> </w:t>
      </w:r>
      <w:r w:rsidR="004553F2" w:rsidRPr="00324BC3">
        <w:rPr>
          <w:rFonts w:ascii="Times New Roman" w:eastAsia="Times New Roman" w:hAnsi="Times New Roman" w:cs="Times New Roman"/>
          <w:sz w:val="24"/>
          <w:szCs w:val="24"/>
        </w:rPr>
        <w:t>households in</w:t>
      </w:r>
      <w:r w:rsidR="00B45930" w:rsidRPr="00324BC3">
        <w:rPr>
          <w:rFonts w:ascii="Times New Roman" w:eastAsia="Times New Roman" w:hAnsi="Times New Roman" w:cs="Times New Roman"/>
          <w:sz w:val="24"/>
          <w:szCs w:val="24"/>
        </w:rPr>
        <w:t xml:space="preserve"> </w:t>
      </w:r>
      <w:r w:rsidR="00B56BAF" w:rsidRPr="00324BC3">
        <w:rPr>
          <w:rFonts w:ascii="Times New Roman" w:hAnsi="Times New Roman" w:cs="Times New Roman"/>
          <w:sz w:val="24"/>
          <w:szCs w:val="24"/>
        </w:rPr>
        <w:t xml:space="preserve">Kenya’s </w:t>
      </w:r>
      <w:r w:rsidR="00B56BAF" w:rsidRPr="00324BC3">
        <w:rPr>
          <w:rFonts w:ascii="Times New Roman" w:eastAsia="Times New Roman" w:hAnsi="Times New Roman" w:cs="Times New Roman"/>
          <w:sz w:val="24"/>
          <w:szCs w:val="24"/>
        </w:rPr>
        <w:t>arid</w:t>
      </w:r>
      <w:r w:rsidR="00B45930" w:rsidRPr="00324BC3">
        <w:rPr>
          <w:rFonts w:ascii="Times New Roman" w:eastAsia="Times New Roman" w:hAnsi="Times New Roman" w:cs="Times New Roman"/>
          <w:sz w:val="24"/>
          <w:szCs w:val="24"/>
        </w:rPr>
        <w:t xml:space="preserve"> and semi-arid lands are</w:t>
      </w:r>
      <w:r w:rsidRPr="00324BC3">
        <w:rPr>
          <w:rFonts w:ascii="Times New Roman" w:eastAsia="Times New Roman" w:hAnsi="Times New Roman" w:cs="Times New Roman"/>
          <w:sz w:val="24"/>
          <w:szCs w:val="24"/>
        </w:rPr>
        <w:t xml:space="preserve"> increasingly vulnerable to recurrent droughts and climate variability, which deteriorates livestock-based livelihoods and compromise food security. </w:t>
      </w:r>
      <w:r w:rsidR="00B45930" w:rsidRPr="00324BC3">
        <w:rPr>
          <w:rFonts w:ascii="Times New Roman" w:eastAsia="Times New Roman" w:hAnsi="Times New Roman" w:cs="Times New Roman"/>
          <w:sz w:val="24"/>
          <w:szCs w:val="24"/>
        </w:rPr>
        <w:t xml:space="preserve">. </w:t>
      </w:r>
      <w:r w:rsidR="00D23304" w:rsidRPr="00324BC3">
        <w:rPr>
          <w:rFonts w:ascii="Times New Roman" w:eastAsia="Times New Roman" w:hAnsi="Times New Roman" w:cs="Times New Roman"/>
          <w:sz w:val="24"/>
          <w:szCs w:val="24"/>
        </w:rPr>
        <w:t>The i</w:t>
      </w:r>
      <w:r w:rsidR="00B45930" w:rsidRPr="00324BC3">
        <w:rPr>
          <w:rFonts w:ascii="Times New Roman" w:eastAsia="Times New Roman" w:hAnsi="Times New Roman" w:cs="Times New Roman"/>
          <w:sz w:val="24"/>
          <w:szCs w:val="24"/>
        </w:rPr>
        <w:t>ndex-</w:t>
      </w:r>
      <w:r w:rsidR="00D23304" w:rsidRPr="00324BC3">
        <w:rPr>
          <w:rFonts w:ascii="Times New Roman" w:eastAsia="Times New Roman" w:hAnsi="Times New Roman" w:cs="Times New Roman"/>
          <w:sz w:val="24"/>
          <w:szCs w:val="24"/>
        </w:rPr>
        <w:t>b</w:t>
      </w:r>
      <w:r w:rsidR="00B45930" w:rsidRPr="00324BC3">
        <w:rPr>
          <w:rFonts w:ascii="Times New Roman" w:eastAsia="Times New Roman" w:hAnsi="Times New Roman" w:cs="Times New Roman"/>
          <w:sz w:val="24"/>
          <w:szCs w:val="24"/>
        </w:rPr>
        <w:t xml:space="preserve">ased </w:t>
      </w:r>
      <w:r w:rsidR="00D23304" w:rsidRPr="00324BC3">
        <w:rPr>
          <w:rFonts w:ascii="Times New Roman" w:eastAsia="Times New Roman" w:hAnsi="Times New Roman" w:cs="Times New Roman"/>
          <w:sz w:val="24"/>
          <w:szCs w:val="24"/>
        </w:rPr>
        <w:t>l</w:t>
      </w:r>
      <w:r w:rsidR="00B45930" w:rsidRPr="00324BC3">
        <w:rPr>
          <w:rFonts w:ascii="Times New Roman" w:eastAsia="Times New Roman" w:hAnsi="Times New Roman" w:cs="Times New Roman"/>
          <w:sz w:val="24"/>
          <w:szCs w:val="24"/>
        </w:rPr>
        <w:t xml:space="preserve">ivestock </w:t>
      </w:r>
      <w:r w:rsidR="00D23304" w:rsidRPr="00324BC3">
        <w:rPr>
          <w:rFonts w:ascii="Times New Roman" w:eastAsia="Times New Roman" w:hAnsi="Times New Roman" w:cs="Times New Roman"/>
          <w:sz w:val="24"/>
          <w:szCs w:val="24"/>
        </w:rPr>
        <w:t>i</w:t>
      </w:r>
      <w:r w:rsidR="00B45930" w:rsidRPr="00324BC3">
        <w:rPr>
          <w:rFonts w:ascii="Times New Roman" w:eastAsia="Times New Roman" w:hAnsi="Times New Roman" w:cs="Times New Roman"/>
          <w:sz w:val="24"/>
          <w:szCs w:val="24"/>
        </w:rPr>
        <w:t>nsurance</w:t>
      </w:r>
      <w:r w:rsidR="00D23304" w:rsidRPr="00324BC3">
        <w:rPr>
          <w:rFonts w:ascii="Times New Roman" w:eastAsia="Times New Roman" w:hAnsi="Times New Roman" w:cs="Times New Roman"/>
          <w:sz w:val="24"/>
          <w:szCs w:val="24"/>
        </w:rPr>
        <w:t xml:space="preserve"> </w:t>
      </w:r>
      <w:r w:rsidR="00B45930" w:rsidRPr="00324BC3">
        <w:rPr>
          <w:rFonts w:ascii="Times New Roman" w:eastAsia="Times New Roman" w:hAnsi="Times New Roman" w:cs="Times New Roman"/>
          <w:sz w:val="24"/>
          <w:szCs w:val="24"/>
        </w:rPr>
        <w:t xml:space="preserve">has been </w:t>
      </w:r>
      <w:r w:rsidR="00D23304" w:rsidRPr="00324BC3">
        <w:rPr>
          <w:rFonts w:ascii="Times New Roman" w:eastAsia="Times New Roman" w:hAnsi="Times New Roman" w:cs="Times New Roman"/>
          <w:sz w:val="24"/>
          <w:szCs w:val="24"/>
        </w:rPr>
        <w:t>promoted</w:t>
      </w:r>
      <w:r w:rsidR="00B45930" w:rsidRPr="00324BC3">
        <w:rPr>
          <w:rFonts w:ascii="Times New Roman" w:eastAsia="Times New Roman" w:hAnsi="Times New Roman" w:cs="Times New Roman"/>
          <w:sz w:val="24"/>
          <w:szCs w:val="24"/>
        </w:rPr>
        <w:t xml:space="preserve"> as an adaptation tool to absorb this risk by households, paying out based on satellite-derived vegetation indices as opposed to measuring losses made at the household level. Th</w:t>
      </w:r>
      <w:r w:rsidR="00D23304" w:rsidRPr="00324BC3">
        <w:rPr>
          <w:rFonts w:ascii="Times New Roman" w:eastAsia="Times New Roman" w:hAnsi="Times New Roman" w:cs="Times New Roman"/>
          <w:sz w:val="24"/>
          <w:szCs w:val="24"/>
        </w:rPr>
        <w:t xml:space="preserve">is paper examines the role of index-based livestock insurance in enhancing household food security among pastoralist, focusing   on </w:t>
      </w:r>
      <w:r w:rsidR="00B45930" w:rsidRPr="00324BC3">
        <w:rPr>
          <w:rFonts w:ascii="Times New Roman" w:eastAsia="Times New Roman" w:hAnsi="Times New Roman" w:cs="Times New Roman"/>
          <w:sz w:val="24"/>
          <w:szCs w:val="24"/>
        </w:rPr>
        <w:t xml:space="preserve">Hadado </w:t>
      </w:r>
      <w:r w:rsidR="00D23304" w:rsidRPr="00324BC3">
        <w:rPr>
          <w:rFonts w:ascii="Times New Roman" w:eastAsia="Times New Roman" w:hAnsi="Times New Roman" w:cs="Times New Roman"/>
          <w:sz w:val="24"/>
          <w:szCs w:val="24"/>
        </w:rPr>
        <w:t>S</w:t>
      </w:r>
      <w:r w:rsidR="00B45930" w:rsidRPr="00324BC3">
        <w:rPr>
          <w:rFonts w:ascii="Times New Roman" w:eastAsia="Times New Roman" w:hAnsi="Times New Roman" w:cs="Times New Roman"/>
          <w:sz w:val="24"/>
          <w:szCs w:val="24"/>
        </w:rPr>
        <w:t>ub-County in Wajir</w:t>
      </w:r>
      <w:r w:rsidR="00D23304" w:rsidRPr="00324BC3">
        <w:rPr>
          <w:rFonts w:ascii="Times New Roman" w:eastAsia="Times New Roman" w:hAnsi="Times New Roman" w:cs="Times New Roman"/>
          <w:sz w:val="24"/>
          <w:szCs w:val="24"/>
        </w:rPr>
        <w:t>, Kenya.</w:t>
      </w:r>
      <w:r w:rsidR="00B45930" w:rsidRPr="00324BC3">
        <w:rPr>
          <w:rFonts w:ascii="Times New Roman" w:eastAsia="Times New Roman" w:hAnsi="Times New Roman" w:cs="Times New Roman"/>
          <w:sz w:val="24"/>
          <w:szCs w:val="24"/>
        </w:rPr>
        <w:t xml:space="preserve"> </w:t>
      </w:r>
      <w:r w:rsidR="00BD0002" w:rsidRPr="00324BC3">
        <w:rPr>
          <w:rFonts w:ascii="Times New Roman" w:eastAsia="Times New Roman" w:hAnsi="Times New Roman" w:cs="Times New Roman"/>
          <w:sz w:val="24"/>
          <w:szCs w:val="24"/>
        </w:rPr>
        <w:t xml:space="preserve">‘The primary data was collected from 286 randomly selected pastoralist households using a semi-structured questionnaire.  The Propensity to Score Matching was used to evaluate the effect of using index-based livestock insurance on household food security.  </w:t>
      </w:r>
      <w:r w:rsidR="00B45930" w:rsidRPr="00324BC3">
        <w:rPr>
          <w:rFonts w:ascii="Times New Roman" w:eastAsia="Times New Roman" w:hAnsi="Times New Roman" w:cs="Times New Roman"/>
          <w:sz w:val="24"/>
          <w:szCs w:val="24"/>
        </w:rPr>
        <w:t xml:space="preserve">The findings show that the presence of IBLI strongly corresponded with a decreased dependency on less preferred foods (p &lt; 0.05), which implies that IBLI has a protective effect on diet in case of droughts. Nevertheless, there were no statistically significant differences in the frequency of run-out of food in insured and non-insured households nor in missing meals. The qualitative evidence showed that IBLI Bonds payouts helped the households to survive bouts of livestock distressive sales, as well as buy food but basis risk, and the low absorptiveness of financial literacy imposed effective constraints on maximizing benefit. </w:t>
      </w:r>
      <w:r w:rsidR="00221768" w:rsidRPr="00221768">
        <w:rPr>
          <w:rFonts w:ascii="Times New Roman" w:eastAsia="Times New Roman" w:hAnsi="Times New Roman" w:cs="Times New Roman"/>
          <w:sz w:val="24"/>
          <w:szCs w:val="24"/>
        </w:rPr>
        <w:t>This evidence suggests that, with food security impacts, IBLI can be used to maintain food quality in drought-prone pastoral societies, where other factors (financial skills training, market connectivity and emergency aid) might be necessary</w:t>
      </w:r>
      <w:r w:rsidR="00221768">
        <w:rPr>
          <w:rFonts w:ascii="Times New Roman" w:eastAsia="Times New Roman" w:hAnsi="Times New Roman" w:cs="Times New Roman"/>
          <w:sz w:val="24"/>
          <w:szCs w:val="24"/>
        </w:rPr>
        <w:t xml:space="preserve"> to supplement the intervention</w:t>
      </w:r>
      <w:r w:rsidR="00B45930" w:rsidRPr="00324BC3">
        <w:rPr>
          <w:rFonts w:ascii="Times New Roman" w:eastAsia="Times New Roman" w:hAnsi="Times New Roman" w:cs="Times New Roman"/>
          <w:sz w:val="24"/>
          <w:szCs w:val="24"/>
        </w:rPr>
        <w:t>.</w:t>
      </w:r>
    </w:p>
    <w:p w14:paraId="56CF859B" w14:textId="77777777" w:rsidR="00CB3168" w:rsidRPr="00324BC3" w:rsidRDefault="00CB3168" w:rsidP="00B56B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Keywords</w:t>
      </w:r>
    </w:p>
    <w:p w14:paraId="724566DE" w14:textId="77777777" w:rsidR="00F27BEE" w:rsidRPr="00324BC3" w:rsidRDefault="00CB3168" w:rsidP="00B56BAF">
      <w:pPr>
        <w:tabs>
          <w:tab w:val="left" w:pos="6480"/>
        </w:tabs>
        <w:spacing w:before="100" w:beforeAutospacing="1"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Index-Based Livestock Insurance, Food Security, Pastoralism, Arid and Semi-Arid Lands, Kenya, Drought Resilience, IBLI</w:t>
      </w:r>
    </w:p>
    <w:p w14:paraId="6B885180" w14:textId="77777777" w:rsidR="00CB3168" w:rsidRPr="00324BC3" w:rsidRDefault="00CB3168" w:rsidP="00B56BAF">
      <w:pPr>
        <w:spacing w:after="0" w:line="240" w:lineRule="auto"/>
        <w:jc w:val="both"/>
        <w:outlineLvl w:val="1"/>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1. Introduction</w:t>
      </w:r>
    </w:p>
    <w:p w14:paraId="3ABDF9F4" w14:textId="7408FC43" w:rsidR="00DF0AD7" w:rsidRPr="00324BC3" w:rsidRDefault="00355F1C" w:rsidP="00B56BAF">
      <w:pPr>
        <w:pStyle w:val="NormalWeb"/>
        <w:spacing w:after="0"/>
        <w:jc w:val="both"/>
      </w:pPr>
      <w:r w:rsidRPr="00324BC3">
        <w:t xml:space="preserve">The </w:t>
      </w:r>
      <w:r w:rsidR="002B6E16" w:rsidRPr="00324BC3">
        <w:t>Ar</w:t>
      </w:r>
      <w:r w:rsidR="00DF0AD7" w:rsidRPr="00324BC3">
        <w:t xml:space="preserve">id and semi-arid lands (ASALs) occupy about 89 per cent of the total land cover in Kenya and inhabit about 30 per cent of Kenya population whose livelihood largely depend on livestock [6]. Pastoralism is also an economic and cultural pillar of these regions with livestock playing a key role in the provision of food and income as well as a store of wealth. </w:t>
      </w:r>
      <w:r w:rsidRPr="00324BC3">
        <w:t xml:space="preserve">However, recurrent droughts, erratic rainfall pattern and increasing climate variability have heightened the vulnerability of pastoral communities resulting to massive livestock losses, income shocks and food insecurity [16].  </w:t>
      </w:r>
      <w:r w:rsidR="00DF0AD7" w:rsidRPr="00324BC3">
        <w:t xml:space="preserve">This natural cycle of vulnerability has deepened poverty and recovery between climatic events </w:t>
      </w:r>
      <w:r w:rsidRPr="00324BC3">
        <w:t>in</w:t>
      </w:r>
      <w:r w:rsidR="00DF0AD7" w:rsidRPr="00324BC3">
        <w:t xml:space="preserve"> hard and thus, leaving pastoralists with diminishing capacity to invest in future resilience.</w:t>
      </w:r>
    </w:p>
    <w:p w14:paraId="76793E1F" w14:textId="282BBC24" w:rsidR="00DF0AD7" w:rsidRDefault="00355F1C" w:rsidP="00B56BAF">
      <w:pPr>
        <w:pStyle w:val="NormalWeb"/>
        <w:spacing w:before="0" w:beforeAutospacing="0" w:after="0" w:afterAutospacing="0"/>
        <w:jc w:val="both"/>
      </w:pPr>
      <w:r w:rsidRPr="00324BC3">
        <w:lastRenderedPageBreak/>
        <w:t xml:space="preserve">The pastoralists have been using traditional coping mechanism such as herd mobility, social networks and sale of assets to mitigate the effect of climate </w:t>
      </w:r>
      <w:r w:rsidR="00115EC4" w:rsidRPr="00324BC3">
        <w:t xml:space="preserve">change </w:t>
      </w:r>
      <w:r w:rsidRPr="00324BC3">
        <w:t xml:space="preserve">with varying </w:t>
      </w:r>
      <w:r w:rsidR="00115EC4" w:rsidRPr="00324BC3">
        <w:t xml:space="preserve">level of </w:t>
      </w:r>
      <w:r w:rsidRPr="00324BC3">
        <w:t xml:space="preserve">effectiveness and sustainability. </w:t>
      </w:r>
      <w:r w:rsidR="00115EC4" w:rsidRPr="00324BC3">
        <w:t xml:space="preserve"> This has necessitated the adoption of innovative risk management strategies among which Index</w:t>
      </w:r>
      <w:r w:rsidR="00DF0AD7" w:rsidRPr="00324BC3">
        <w:t>-Based Livestock Insurance (IBLI)</w:t>
      </w:r>
      <w:r w:rsidR="00115EC4" w:rsidRPr="00324BC3">
        <w:t xml:space="preserve"> has emerged as a promising tool to cushion pastoralist against climate- induce shocks.</w:t>
      </w:r>
      <w:r w:rsidR="00DF0AD7" w:rsidRPr="00324BC3">
        <w:t xml:space="preserve"> Unlike traditional insurance, IBLI relies on satellite-based normalized difference vegetation index (NDVI) data to estimate the existence of forage and makes a payment when forage conditions reach an unacceptable level [4]. The aim of IBLI is to mitigate the effects of drought which causes livestock deaths and also provide income to pastoral households to secure food during times of an emergency. </w:t>
      </w:r>
      <w:r w:rsidR="00115EC4" w:rsidRPr="00324BC3">
        <w:t xml:space="preserve">While IBLI has been piloted and scaled in several pastoral regions of Kenya, its role in enhancing household food security among pastoralist remains insufficiently examined, particularly in highly vulnerable areas such as Hadado Sub-County in Wajir County. </w:t>
      </w:r>
    </w:p>
    <w:p w14:paraId="2F6B1BFA" w14:textId="77777777" w:rsidR="0047356F" w:rsidRPr="00324BC3" w:rsidRDefault="0047356F" w:rsidP="00B56BAF">
      <w:pPr>
        <w:pStyle w:val="NormalWeb"/>
        <w:spacing w:before="0" w:beforeAutospacing="0" w:after="0" w:afterAutospacing="0"/>
        <w:jc w:val="both"/>
      </w:pPr>
    </w:p>
    <w:p w14:paraId="24513415" w14:textId="4EC8989D" w:rsidR="00186F49" w:rsidRPr="00324BC3" w:rsidRDefault="00115EC4" w:rsidP="00B56BAF">
      <w:pPr>
        <w:pStyle w:val="NormalWeb"/>
        <w:spacing w:before="0" w:beforeAutospacing="0" w:after="0" w:afterAutospacing="0"/>
        <w:jc w:val="both"/>
      </w:pPr>
      <w:r w:rsidRPr="00324BC3">
        <w:t xml:space="preserve">Food insecurity is a perennial challenge in Kenya’s arid and semi-arid lands (ASALs), where more than 70 percent of the population experiences moderate to severe levels of food insecurity during drought periods [8]. </w:t>
      </w:r>
      <w:r w:rsidR="00DF0AD7" w:rsidRPr="00324BC3">
        <w:t>Humanitarian interventions only relieve the problem, not a long- term solution. Market and individual solutions like IBLI can potentially be a game changer as it offers households the ability to be proactive in their risk management</w:t>
      </w:r>
      <w:r w:rsidR="00DF4321" w:rsidRPr="00324BC3">
        <w:t xml:space="preserve"> [34].</w:t>
      </w:r>
      <w:r w:rsidR="00DF0AD7" w:rsidRPr="00324BC3">
        <w:t xml:space="preserve"> IBLI has the potential to support the pillars of food security which are availability, access, utilization, and stability as it facilitates the purchase of food by households when productivity of livestock declines</w:t>
      </w:r>
      <w:r w:rsidR="00DF4321" w:rsidRPr="00324BC3">
        <w:t xml:space="preserve"> [34, 35].</w:t>
      </w:r>
    </w:p>
    <w:p w14:paraId="5A47D72E" w14:textId="77777777" w:rsidR="00DF0AD7" w:rsidRPr="00324BC3" w:rsidRDefault="00DF0AD7" w:rsidP="00B56BAF">
      <w:pPr>
        <w:pStyle w:val="NormalWeb"/>
        <w:spacing w:before="0" w:beforeAutospacing="0" w:after="0" w:afterAutospacing="0"/>
        <w:jc w:val="both"/>
      </w:pPr>
    </w:p>
    <w:p w14:paraId="08C1A63A" w14:textId="6F744EE4" w:rsidR="005E5C4D" w:rsidRDefault="005E5C4D" w:rsidP="00B56BAF">
      <w:pPr>
        <w:pStyle w:val="NormalWeb"/>
        <w:spacing w:before="0" w:beforeAutospacing="0" w:after="0" w:afterAutospacing="0"/>
        <w:jc w:val="both"/>
      </w:pPr>
      <w:r w:rsidRPr="00324BC3">
        <w:t>Despite encouraging outcomes from pilot interventions in Marsabit and other northern counties, empirical evaluations of IBLI's impact on food security remain limited, particularly in localized areas such as Hadado [36]. Earlier studies have primarily concentrated on broader outcomes, such as poverty reduction or asset retention [11], while IBLI's direct influence on food security indicators including dietary diversity, consumption levels, and periods of hunger has received comparatively less attention. For instance, some studies have demonstrated IBLI’s effectiveness in reducing livestock mortality and stabilizing income [4, 9, 30], but offered limited insights into how these benefits translate into household-level food security outcomes. This gap underscores the need for context-specific research that explicitly links IBLI participation to nutrition and consumption measures. The present study addresses this gap by examining the effect of IBLI on household dietary diversity, skipped meals, and reliance on less preferred foods in Hadado Sub-County.</w:t>
      </w:r>
    </w:p>
    <w:p w14:paraId="3B1D0D9A" w14:textId="77777777" w:rsidR="0047356F" w:rsidRPr="00324BC3" w:rsidRDefault="0047356F" w:rsidP="00B56BAF">
      <w:pPr>
        <w:pStyle w:val="NormalWeb"/>
        <w:spacing w:before="0" w:beforeAutospacing="0" w:after="0" w:afterAutospacing="0"/>
        <w:jc w:val="both"/>
      </w:pPr>
    </w:p>
    <w:p w14:paraId="4027301B" w14:textId="77777777" w:rsidR="0047356F" w:rsidRDefault="0047356F" w:rsidP="0047356F">
      <w:pPr>
        <w:pStyle w:val="NormalWeb"/>
        <w:spacing w:after="0"/>
        <w:jc w:val="both"/>
      </w:pPr>
      <w:r>
        <w:t xml:space="preserve">Moreover, the predictors of IBLI among pastoral communities are becoming more and more important in determining program results. It has been empirically shown that socio-economic factors including income, education and household size play a significant role in defining adoption decisions [33]. The demographic variables such as gender and age of the head of the household are also critical, and different populations have a dissimilar risk perception [15]. Access to the extension services, physical access to markets, and belief in insurance providers are also institutional factors that further define uptake [12]. Besides that, there are behavioral and psychological conditions including financial </w:t>
      </w:r>
      <w:r>
        <w:lastRenderedPageBreak/>
        <w:t>literacy, previous encounters with climate shocks, and the views on basis risk that influence willingness to enroll [29, 32]. These determinants should be understood to enhance the uptake of IBLI and to make it effective in protecting food security among pastoralists.</w:t>
      </w:r>
    </w:p>
    <w:p w14:paraId="0E817E3B" w14:textId="06A1DCEB" w:rsidR="0047356F" w:rsidRDefault="0047356F" w:rsidP="0047356F">
      <w:pPr>
        <w:pStyle w:val="NormalWeb"/>
        <w:spacing w:after="0"/>
        <w:jc w:val="both"/>
      </w:pPr>
      <w:r>
        <w:t xml:space="preserve">Second, current IBLI studies have focused primarily on macro- or asset-level measures, e.g., livestock mortality and income stabilization [4], but have lacked concern on consumption and nutrition outcomes, e.g., household dietary diversity scores (HDDS) or the number of food-insecure </w:t>
      </w:r>
      <w:r w:rsidR="0019695D">
        <w:t>months. Third</w:t>
      </w:r>
      <w:r>
        <w:t xml:space="preserve">, not many studies have been conducted on a mixed-methodological approach combining both quantitative and qualitative data to help in capturing the not just statistical implications of IBLI but the lived experiences and perceptions of beneficiaries. </w:t>
      </w:r>
      <w:r w:rsidR="0019695D" w:rsidRPr="0019695D">
        <w:t>These approaches are required to reveal how the insurance payments are being used in practice and what it promises more broadly about the strength of the households.</w:t>
      </w:r>
      <w:r>
        <w:t xml:space="preserve"> Lastly, operational challenges on basis risk and behavioral responses which are operational aspects have been given minimal focus in the literature and they determine the degree to which insurance is helping in improving food access. This project thus bridges these gaps by using a mixed-methods approach to evaluate the role of IBLI in household food security, in addition to evaluating factors that determine adoption and barriers to implementation in the context of Hadado Sub-County.</w:t>
      </w:r>
    </w:p>
    <w:p w14:paraId="6BF378FD" w14:textId="2A3721A4" w:rsidR="00BB3D1D" w:rsidRPr="00324BC3" w:rsidRDefault="00CC55A9" w:rsidP="00B56BAF">
      <w:pPr>
        <w:pStyle w:val="NormalWeb"/>
        <w:spacing w:before="0" w:beforeAutospacing="0" w:after="0" w:afterAutospacing="0"/>
        <w:jc w:val="both"/>
      </w:pPr>
      <w:r w:rsidRPr="00324BC3">
        <w:t xml:space="preserve">Most of the recent studies </w:t>
      </w:r>
      <w:r w:rsidR="00BB3D1D" w:rsidRPr="00324BC3">
        <w:t>have highlighted the promise of index insurance in contributing to climate adaptation and resilience in pastoral systems.</w:t>
      </w:r>
      <w:r w:rsidRPr="00324BC3">
        <w:t xml:space="preserve"> A study </w:t>
      </w:r>
      <w:r w:rsidR="005E5C4D" w:rsidRPr="00324BC3">
        <w:t xml:space="preserve">by </w:t>
      </w:r>
      <w:r w:rsidR="00BB3D1D" w:rsidRPr="00324BC3">
        <w:t>[9] show that IBLI uptake by pastoralists in Kenya is linked to decreases in livestock mortality and faster recovery after drought. These effects, however, are usually mediated by household level characteristics and local quality of implementation.</w:t>
      </w:r>
      <w:r w:rsidRPr="00324BC3">
        <w:t xml:space="preserve"> Despite </w:t>
      </w:r>
      <w:r w:rsidR="00BB3D1D" w:rsidRPr="00324BC3">
        <w:t xml:space="preserve">IBLI enhances economic resilience, its impacts on food security are contingent upon the use of payouts, particularly in buying food or keeping productive </w:t>
      </w:r>
      <w:r w:rsidR="005E5C4D" w:rsidRPr="00324BC3">
        <w:t>animals [</w:t>
      </w:r>
      <w:r w:rsidRPr="00324BC3">
        <w:t>4]</w:t>
      </w:r>
      <w:r w:rsidR="00BB3D1D" w:rsidRPr="00324BC3">
        <w:t>.</w:t>
      </w:r>
      <w:r w:rsidRPr="00324BC3">
        <w:t xml:space="preserve"> Furthermore, a study in Isiolo County </w:t>
      </w:r>
      <w:r w:rsidR="005E06C7" w:rsidRPr="00324BC3">
        <w:t xml:space="preserve">found </w:t>
      </w:r>
      <w:r w:rsidRPr="00324BC3">
        <w:t>that insured households experienced fewer hunger months and better dietary quality during drought, citing a direct link between insurance and food consumption [14].Similarly</w:t>
      </w:r>
      <w:r w:rsidR="005E5C4D" w:rsidRPr="00324BC3">
        <w:t>, a</w:t>
      </w:r>
      <w:r w:rsidRPr="00324BC3">
        <w:t xml:space="preserve"> study by [15] determined a positive correlation between IBLI and dietary diversity for women-headed households, citing the gendered nature of food security gains.</w:t>
      </w:r>
    </w:p>
    <w:p w14:paraId="767560D7" w14:textId="77777777" w:rsidR="00186F49" w:rsidRPr="00324BC3" w:rsidRDefault="00186F49" w:rsidP="00B56BAF">
      <w:pPr>
        <w:pStyle w:val="NormalWeb"/>
        <w:spacing w:before="0" w:beforeAutospacing="0" w:after="0" w:afterAutospacing="0"/>
        <w:jc w:val="both"/>
      </w:pPr>
    </w:p>
    <w:p w14:paraId="05BAF451" w14:textId="0B58E0DD" w:rsidR="00221768" w:rsidRDefault="00BB2E29" w:rsidP="00B56BAF">
      <w:pPr>
        <w:spacing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A study conducted in Ethiopia found that </w:t>
      </w:r>
      <w:r w:rsidR="00AD2A3D" w:rsidRPr="00324BC3">
        <w:rPr>
          <w:rFonts w:ascii="Times New Roman" w:eastAsia="Times New Roman" w:hAnsi="Times New Roman" w:cs="Times New Roman"/>
          <w:sz w:val="24"/>
          <w:szCs w:val="24"/>
        </w:rPr>
        <w:t xml:space="preserve">households covered with weather-based insurance </w:t>
      </w:r>
      <w:r w:rsidRPr="00324BC3">
        <w:rPr>
          <w:rFonts w:ascii="Times New Roman" w:eastAsia="Times New Roman" w:hAnsi="Times New Roman" w:cs="Times New Roman"/>
          <w:sz w:val="24"/>
          <w:szCs w:val="24"/>
        </w:rPr>
        <w:t xml:space="preserve">were less likely to reduce food consumption during the times of crop failures </w:t>
      </w:r>
      <w:r w:rsidR="00AD2A3D" w:rsidRPr="00324BC3">
        <w:rPr>
          <w:rFonts w:ascii="Times New Roman" w:eastAsia="Times New Roman" w:hAnsi="Times New Roman" w:cs="Times New Roman"/>
          <w:sz w:val="24"/>
          <w:szCs w:val="24"/>
        </w:rPr>
        <w:t>[1]</w:t>
      </w:r>
      <w:r w:rsidRPr="00324BC3">
        <w:rPr>
          <w:rFonts w:ascii="Times New Roman" w:eastAsia="Times New Roman" w:hAnsi="Times New Roman" w:cs="Times New Roman"/>
          <w:sz w:val="24"/>
          <w:szCs w:val="24"/>
        </w:rPr>
        <w:t xml:space="preserve">. </w:t>
      </w:r>
      <w:r w:rsidR="00BE55D8" w:rsidRPr="00324BC3">
        <w:rPr>
          <w:rFonts w:ascii="Times New Roman" w:eastAsia="Times New Roman" w:hAnsi="Times New Roman" w:cs="Times New Roman"/>
          <w:sz w:val="24"/>
          <w:szCs w:val="24"/>
        </w:rPr>
        <w:t xml:space="preserve">The </w:t>
      </w:r>
      <w:r w:rsidR="00AD2A3D" w:rsidRPr="00324BC3">
        <w:rPr>
          <w:rFonts w:ascii="Times New Roman" w:eastAsia="Times New Roman" w:hAnsi="Times New Roman" w:cs="Times New Roman"/>
          <w:sz w:val="24"/>
          <w:szCs w:val="24"/>
        </w:rPr>
        <w:t>households that had insurance coverage in</w:t>
      </w:r>
      <w:r w:rsidR="00BE55D8" w:rsidRPr="00324BC3">
        <w:rPr>
          <w:rFonts w:ascii="Times New Roman" w:eastAsia="Times New Roman" w:hAnsi="Times New Roman" w:cs="Times New Roman"/>
          <w:sz w:val="24"/>
          <w:szCs w:val="24"/>
        </w:rPr>
        <w:t xml:space="preserve"> the drought-stricken areas of S</w:t>
      </w:r>
      <w:r w:rsidR="00AD2A3D" w:rsidRPr="00324BC3">
        <w:rPr>
          <w:rFonts w:ascii="Times New Roman" w:eastAsia="Times New Roman" w:hAnsi="Times New Roman" w:cs="Times New Roman"/>
          <w:sz w:val="24"/>
          <w:szCs w:val="24"/>
        </w:rPr>
        <w:t>outhern Ethiopia were more likely to have stable diets even during lean seasons</w:t>
      </w:r>
      <w:r w:rsidR="00BE55D8" w:rsidRPr="00324BC3">
        <w:rPr>
          <w:rFonts w:ascii="Times New Roman" w:eastAsia="Times New Roman" w:hAnsi="Times New Roman" w:cs="Times New Roman"/>
          <w:sz w:val="24"/>
          <w:szCs w:val="24"/>
        </w:rPr>
        <w:t xml:space="preserve"> [17]</w:t>
      </w:r>
      <w:r w:rsidR="00AD2A3D" w:rsidRPr="00324BC3">
        <w:rPr>
          <w:rFonts w:ascii="Times New Roman" w:eastAsia="Times New Roman" w:hAnsi="Times New Roman" w:cs="Times New Roman"/>
          <w:sz w:val="24"/>
          <w:szCs w:val="24"/>
        </w:rPr>
        <w:t>.</w:t>
      </w:r>
      <w:r w:rsidR="00BE55D8" w:rsidRPr="00324BC3">
        <w:rPr>
          <w:rFonts w:ascii="Times New Roman" w:eastAsia="Times New Roman" w:hAnsi="Times New Roman" w:cs="Times New Roman"/>
          <w:sz w:val="24"/>
          <w:szCs w:val="24"/>
        </w:rPr>
        <w:t xml:space="preserve"> In Kenya,</w:t>
      </w:r>
      <w:r w:rsidR="00AD2A3D" w:rsidRPr="00324BC3">
        <w:rPr>
          <w:rFonts w:ascii="Times New Roman" w:eastAsia="Times New Roman" w:hAnsi="Times New Roman" w:cs="Times New Roman"/>
          <w:sz w:val="24"/>
          <w:szCs w:val="24"/>
        </w:rPr>
        <w:t xml:space="preserve"> </w:t>
      </w:r>
      <w:r w:rsidR="00BB3D1D" w:rsidRPr="00324BC3">
        <w:rPr>
          <w:rFonts w:ascii="Times New Roman" w:hAnsi="Times New Roman" w:cs="Times New Roman"/>
          <w:sz w:val="24"/>
          <w:szCs w:val="24"/>
        </w:rPr>
        <w:t>a significant challenge for index insurance, was investigated by [13], who determined that discrepancies between satellite indices and ground truth discouraged enrollment and created mistrust within communities.</w:t>
      </w:r>
      <w:r w:rsidR="00806A13" w:rsidRPr="00324BC3">
        <w:rPr>
          <w:rFonts w:ascii="Times New Roman" w:hAnsi="Times New Roman" w:cs="Times New Roman"/>
          <w:sz w:val="24"/>
          <w:szCs w:val="24"/>
        </w:rPr>
        <w:t xml:space="preserve"> This was also noted </w:t>
      </w:r>
      <w:r w:rsidR="005E5C4D" w:rsidRPr="00324BC3">
        <w:rPr>
          <w:rFonts w:ascii="Times New Roman" w:hAnsi="Times New Roman" w:cs="Times New Roman"/>
          <w:sz w:val="24"/>
          <w:szCs w:val="24"/>
        </w:rPr>
        <w:t xml:space="preserve">by </w:t>
      </w:r>
      <w:r w:rsidR="00BB3D1D" w:rsidRPr="00324BC3">
        <w:rPr>
          <w:rFonts w:ascii="Times New Roman" w:hAnsi="Times New Roman" w:cs="Times New Roman"/>
          <w:sz w:val="24"/>
          <w:szCs w:val="24"/>
        </w:rPr>
        <w:t xml:space="preserve">[12] who recommended community-driven index calibration and feedback mechanisms in real time to improve payout efficacy. </w:t>
      </w:r>
      <w:r w:rsidR="00806A13" w:rsidRPr="00324BC3">
        <w:rPr>
          <w:rFonts w:ascii="Times New Roman" w:hAnsi="Times New Roman" w:cs="Times New Roman"/>
          <w:sz w:val="24"/>
          <w:szCs w:val="24"/>
        </w:rPr>
        <w:t xml:space="preserve">Finally, </w:t>
      </w:r>
      <w:r w:rsidR="00BB3D1D" w:rsidRPr="00324BC3">
        <w:rPr>
          <w:rFonts w:ascii="Times New Roman" w:hAnsi="Times New Roman" w:cs="Times New Roman"/>
          <w:sz w:val="24"/>
          <w:szCs w:val="24"/>
        </w:rPr>
        <w:t xml:space="preserve">[10] </w:t>
      </w:r>
      <w:r w:rsidR="00221768" w:rsidRPr="00324BC3">
        <w:rPr>
          <w:rFonts w:ascii="Times New Roman" w:hAnsi="Times New Roman" w:cs="Times New Roman"/>
          <w:sz w:val="24"/>
          <w:szCs w:val="24"/>
        </w:rPr>
        <w:t>noted that</w:t>
      </w:r>
      <w:r w:rsidR="00BB3D1D" w:rsidRPr="00324BC3">
        <w:rPr>
          <w:rFonts w:ascii="Times New Roman" w:hAnsi="Times New Roman" w:cs="Times New Roman"/>
          <w:sz w:val="24"/>
          <w:szCs w:val="24"/>
        </w:rPr>
        <w:t xml:space="preserve"> bundling IBLI with nutrition education and savings programs can add to its usefulness for food security outcomes.</w:t>
      </w:r>
      <w:r w:rsidR="00BE55D8" w:rsidRPr="00324BC3">
        <w:rPr>
          <w:rFonts w:ascii="Times New Roman" w:hAnsi="Times New Roman" w:cs="Times New Roman"/>
          <w:sz w:val="24"/>
          <w:szCs w:val="24"/>
        </w:rPr>
        <w:t xml:space="preserve"> From the above review, </w:t>
      </w:r>
      <w:r w:rsidR="005E5C4D" w:rsidRPr="00324BC3">
        <w:rPr>
          <w:rFonts w:ascii="Times New Roman" w:hAnsi="Times New Roman" w:cs="Times New Roman"/>
          <w:sz w:val="24"/>
          <w:szCs w:val="24"/>
        </w:rPr>
        <w:t>it’s</w:t>
      </w:r>
      <w:r w:rsidR="00BE55D8" w:rsidRPr="00324BC3">
        <w:rPr>
          <w:rFonts w:ascii="Times New Roman" w:hAnsi="Times New Roman" w:cs="Times New Roman"/>
          <w:sz w:val="24"/>
          <w:szCs w:val="24"/>
        </w:rPr>
        <w:t xml:space="preserve"> evident that studies have not directly liked the IBLI with household food security among pastoralist. In addition, there is limited information on the role of IBLI in enhancing food security among pastoralist in ASALs regions of Kenya. The current study </w:t>
      </w:r>
      <w:r w:rsidR="00BE55D8" w:rsidRPr="00324BC3">
        <w:rPr>
          <w:rFonts w:ascii="Times New Roman" w:hAnsi="Times New Roman" w:cs="Times New Roman"/>
          <w:sz w:val="24"/>
          <w:szCs w:val="24"/>
        </w:rPr>
        <w:lastRenderedPageBreak/>
        <w:t xml:space="preserve">fills this gap by employing econometric model to evaluate the effect of IBLI on food security outcomes among pastoralist in Hadado Sub-County, Kenya.   </w:t>
      </w:r>
    </w:p>
    <w:p w14:paraId="18FF92B5" w14:textId="703B7787" w:rsidR="00BB3D1D" w:rsidRPr="00324BC3" w:rsidRDefault="00806A13" w:rsidP="00B56BAF">
      <w:pPr>
        <w:spacing w:line="240" w:lineRule="auto"/>
        <w:jc w:val="both"/>
        <w:rPr>
          <w:rFonts w:ascii="Times New Roman" w:eastAsia="Times New Roman" w:hAnsi="Times New Roman" w:cs="Times New Roman"/>
          <w:b/>
          <w:sz w:val="24"/>
          <w:szCs w:val="24"/>
        </w:rPr>
      </w:pPr>
      <w:r w:rsidRPr="00324BC3">
        <w:rPr>
          <w:rFonts w:ascii="Times New Roman" w:eastAsia="Times New Roman" w:hAnsi="Times New Roman" w:cs="Times New Roman"/>
          <w:sz w:val="24"/>
          <w:szCs w:val="24"/>
        </w:rPr>
        <w:t xml:space="preserve"> </w:t>
      </w:r>
      <w:r w:rsidR="00BB3D1D" w:rsidRPr="00324BC3">
        <w:rPr>
          <w:rFonts w:ascii="Times New Roman" w:hAnsi="Times New Roman" w:cs="Times New Roman"/>
          <w:b/>
          <w:sz w:val="24"/>
          <w:szCs w:val="24"/>
        </w:rPr>
        <w:t>2.0 Theoretical Framework</w:t>
      </w:r>
    </w:p>
    <w:p w14:paraId="1FABF68F" w14:textId="74E47209" w:rsidR="00F129D0" w:rsidRPr="00324BC3" w:rsidRDefault="00F129D0" w:rsidP="00B56BAF">
      <w:pPr>
        <w:spacing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The theoretical background of the given research is in two different, yet interconnected paradigms Asset-Based Livelihood Framework (ABLF) and Risk Management Theory. Cumulatively, these paradigms will give a wide light through which the role in the Index-Based Livestock Insurance (IBLI) can be seen in the household level food security of pastoralists in Hadado </w:t>
      </w:r>
      <w:r w:rsidR="005E06C7" w:rsidRPr="00324BC3">
        <w:rPr>
          <w:rFonts w:ascii="Times New Roman" w:eastAsia="Times New Roman" w:hAnsi="Times New Roman" w:cs="Times New Roman"/>
          <w:sz w:val="24"/>
          <w:szCs w:val="24"/>
        </w:rPr>
        <w:t>S</w:t>
      </w:r>
      <w:r w:rsidRPr="00324BC3">
        <w:rPr>
          <w:rFonts w:ascii="Times New Roman" w:eastAsia="Times New Roman" w:hAnsi="Times New Roman" w:cs="Times New Roman"/>
          <w:sz w:val="24"/>
          <w:szCs w:val="24"/>
        </w:rPr>
        <w:t>ub-</w:t>
      </w:r>
      <w:r w:rsidR="005E06C7" w:rsidRPr="00324BC3">
        <w:rPr>
          <w:rFonts w:ascii="Times New Roman" w:eastAsia="Times New Roman" w:hAnsi="Times New Roman" w:cs="Times New Roman"/>
          <w:sz w:val="24"/>
          <w:szCs w:val="24"/>
        </w:rPr>
        <w:t>C</w:t>
      </w:r>
      <w:r w:rsidRPr="00324BC3">
        <w:rPr>
          <w:rFonts w:ascii="Times New Roman" w:eastAsia="Times New Roman" w:hAnsi="Times New Roman" w:cs="Times New Roman"/>
          <w:sz w:val="24"/>
          <w:szCs w:val="24"/>
        </w:rPr>
        <w:t>ounty, Kenya. The analysis of how IBLI as a risk reduction measure and an asset-maintenance strategy would shape the role of insurance programs in vulnerable agro-ecological landscapes, whereby climate variability poses the greatest risk to livelihoods.</w:t>
      </w:r>
    </w:p>
    <w:p w14:paraId="231E8665" w14:textId="77777777" w:rsidR="00BB3D1D" w:rsidRPr="00324BC3" w:rsidRDefault="00BB3D1D" w:rsidP="00B56BAF">
      <w:pPr>
        <w:pStyle w:val="NormalWeb"/>
        <w:spacing w:before="0" w:beforeAutospacing="0" w:after="0" w:afterAutospacing="0"/>
        <w:jc w:val="both"/>
        <w:rPr>
          <w:b/>
        </w:rPr>
      </w:pPr>
      <w:r w:rsidRPr="00324BC3">
        <w:rPr>
          <w:b/>
        </w:rPr>
        <w:t>2.1 Asset-Based Livelihood Framework (ABLF)</w:t>
      </w:r>
    </w:p>
    <w:p w14:paraId="65169E3E" w14:textId="77777777" w:rsidR="0097641A" w:rsidRPr="00324BC3" w:rsidRDefault="0097641A" w:rsidP="00B56BAF">
      <w:pPr>
        <w:pStyle w:val="NormalWeb"/>
        <w:spacing w:after="0"/>
        <w:jc w:val="both"/>
      </w:pPr>
      <w:r w:rsidRPr="00324BC3">
        <w:t xml:space="preserve">The Asset-Based Livelihoods Framework (ABLF) is based on the Sustainable Livelihoods Approach [18, 19] that asserts that the resilience of a household in withstanding and reconstructing </w:t>
      </w:r>
      <w:r w:rsidR="00EA574F" w:rsidRPr="00324BC3">
        <w:t>aftershocks</w:t>
      </w:r>
      <w:r w:rsidRPr="00324BC3">
        <w:t xml:space="preserve"> are dependent on its command and access to several creatures of capital the most obvious being physical cash and human capital. In the pastoralist context that Hadado currently occupies; livestock is the most important possession of the household, it is the principal source of household income, a means of wealth storage, communal and cultural anchor of family and societal networks [2].</w:t>
      </w:r>
    </w:p>
    <w:p w14:paraId="2FC18A4A" w14:textId="77777777" w:rsidR="0097641A" w:rsidRPr="00324BC3" w:rsidRDefault="0097641A" w:rsidP="00B56BAF">
      <w:pPr>
        <w:pStyle w:val="NormalWeb"/>
        <w:spacing w:after="0"/>
        <w:jc w:val="both"/>
      </w:pPr>
      <w:r w:rsidRPr="00324BC3">
        <w:t>In this model, the preservation of the household assets takes precedence in maintenance of food security. IBLI helps protect the livestock by mitigating the distress sales that result in poor prices in case of a drought. Insurance releases payouts when satellite-measured vegetation cover reaches the set limit releasing timely cash to enable households to buy food, fulfill basic requirements, and ensure proper nutrition as well as maintenance of breeding stock that can be used in the future [5]. Such protection is to ensure that short-term survival does not compromise long-term sustainability of livelihood.</w:t>
      </w:r>
    </w:p>
    <w:p w14:paraId="2EE30396" w14:textId="77777777" w:rsidR="0097641A" w:rsidRPr="00324BC3" w:rsidRDefault="008C1D12" w:rsidP="00B56BAF">
      <w:pPr>
        <w:pStyle w:val="NormalWeb"/>
        <w:spacing w:after="0"/>
        <w:jc w:val="both"/>
      </w:pPr>
      <w:r w:rsidRPr="00324BC3">
        <w:t>Asset-Based Livelihood Framework</w:t>
      </w:r>
      <w:r w:rsidR="0097641A" w:rsidRPr="00324BC3">
        <w:t xml:space="preserve"> also explains, how IBLI complements various household capitals. It is able to retain physical capital through milk and meat production by enabling the retention of animals. Liquidity during climatic stress complements financial capital because households can avoid selling assets or cutting down on food consumption because they do not need additional liquidity. The same way, stable food availability has a positive impact on human capital through its contribution to nutrition, health and labor productivity [3].</w:t>
      </w:r>
    </w:p>
    <w:p w14:paraId="560D6F00" w14:textId="0C4F7F16" w:rsidR="00BB3D1D" w:rsidRPr="00324BC3" w:rsidRDefault="005E06C7" w:rsidP="00B56BAF">
      <w:pPr>
        <w:pStyle w:val="NormalWeb"/>
        <w:spacing w:before="0" w:beforeAutospacing="0" w:after="0" w:afterAutospacing="0"/>
        <w:jc w:val="both"/>
      </w:pPr>
      <w:r w:rsidRPr="00324BC3">
        <w:t xml:space="preserve">The </w:t>
      </w:r>
      <w:r w:rsidR="0097641A" w:rsidRPr="00324BC3">
        <w:t xml:space="preserve">the model observes that by averting loss of productive property, IBLI breaks the negative cycle of asset loss, poverty and chronically food insecure households that is likely to occur due to the shocks caused by climate [24]. In </w:t>
      </w:r>
      <w:r w:rsidRPr="00324BC3">
        <w:t xml:space="preserve">ASALs </w:t>
      </w:r>
      <w:r w:rsidR="0097641A" w:rsidRPr="00324BC3">
        <w:t>regions of Kenya, this not only makes IBLI a financial product but a strategic intervention in enhancement of resilience and preservation of sustainable livelihoods</w:t>
      </w:r>
      <w:r w:rsidR="00BB3D1D" w:rsidRPr="00324BC3">
        <w:t>.</w:t>
      </w:r>
    </w:p>
    <w:p w14:paraId="5C684736" w14:textId="77777777" w:rsidR="00186F49" w:rsidRPr="00324BC3" w:rsidRDefault="00186F49" w:rsidP="00B56BAF">
      <w:pPr>
        <w:pStyle w:val="NormalWeb"/>
        <w:spacing w:before="0" w:beforeAutospacing="0" w:after="0" w:afterAutospacing="0"/>
        <w:jc w:val="both"/>
      </w:pPr>
    </w:p>
    <w:p w14:paraId="2780D842" w14:textId="77777777" w:rsidR="00BB3D1D" w:rsidRPr="00324BC3" w:rsidRDefault="00BB3D1D" w:rsidP="00B56BAF">
      <w:pPr>
        <w:pStyle w:val="NormalWeb"/>
        <w:spacing w:before="0" w:beforeAutospacing="0" w:after="0" w:afterAutospacing="0"/>
        <w:jc w:val="both"/>
        <w:rPr>
          <w:rStyle w:val="Strong"/>
        </w:rPr>
      </w:pPr>
      <w:r w:rsidRPr="00324BC3">
        <w:rPr>
          <w:rStyle w:val="Strong"/>
        </w:rPr>
        <w:t>2.2 Risk Management Theory</w:t>
      </w:r>
    </w:p>
    <w:p w14:paraId="3B5990D9" w14:textId="77777777" w:rsidR="00F94760" w:rsidRPr="00F94760" w:rsidRDefault="00F94760" w:rsidP="00F94760">
      <w:pPr>
        <w:pStyle w:val="NormalWeb"/>
        <w:spacing w:after="0"/>
        <w:jc w:val="both"/>
        <w:rPr>
          <w:rStyle w:val="Strong"/>
          <w:b w:val="0"/>
        </w:rPr>
      </w:pPr>
      <w:r w:rsidRPr="00F94760">
        <w:rPr>
          <w:rStyle w:val="Strong"/>
          <w:b w:val="0"/>
        </w:rPr>
        <w:lastRenderedPageBreak/>
        <w:t>In this study, the Risk Management Theory (RMT) was applied to demonstrate how people and households identify, plan and act in response to the risks in an effort to reduce vulnerability [25, 26]. These resiliencies are ones that have long been provided by pastoral peoples in the form of coping strategy herd diversification, mobility and social reciprocity. These systems are however becoming inefficient with increasing frequency and severity of droughts in ASALs regions in Kenya in association with climate changes [27].</w:t>
      </w:r>
    </w:p>
    <w:p w14:paraId="7616A7ED" w14:textId="499674A9" w:rsidR="00F94760" w:rsidRPr="00F94760" w:rsidRDefault="00F94760" w:rsidP="00F94760">
      <w:pPr>
        <w:pStyle w:val="NormalWeb"/>
        <w:spacing w:after="0"/>
        <w:jc w:val="both"/>
        <w:rPr>
          <w:rStyle w:val="Strong"/>
          <w:b w:val="0"/>
        </w:rPr>
      </w:pPr>
      <w:r w:rsidRPr="00F94760">
        <w:rPr>
          <w:rStyle w:val="Strong"/>
          <w:b w:val="0"/>
        </w:rPr>
        <w:t>Formal ex-ante risk transfer mechanisms in the form of insurance are essential innovations in this conceptual framework by virtue of the fact that the innovations must be embraced and embraced in totality. The mechanisms allow the households to believe that they expect the shocks and can manage them because the burdens will be sold to a third party say an insurer or development partner. IBLI qualifies as such a tenet, in that it provides systematized insurances against climatic risk, through insurance payouts based on satellite-derived vegetation indices. The predictable and timely remuneration will enable IBLI to reduce uncertainty and this factor can enable pastoral households to stabilize income and even the consumption during drought periods [28].</w:t>
      </w:r>
    </w:p>
    <w:p w14:paraId="6CB428F2" w14:textId="77777777" w:rsidR="00D72FBB" w:rsidRDefault="00D72FBB" w:rsidP="00B56BAF">
      <w:pPr>
        <w:pStyle w:val="NormalWeb"/>
        <w:spacing w:before="0" w:beforeAutospacing="0" w:after="0" w:afterAutospacing="0"/>
        <w:jc w:val="both"/>
        <w:rPr>
          <w:rStyle w:val="Strong"/>
          <w:b w:val="0"/>
        </w:rPr>
      </w:pPr>
      <w:r w:rsidRPr="00D72FBB">
        <w:rPr>
          <w:rStyle w:val="Strong"/>
          <w:b w:val="0"/>
        </w:rPr>
        <w:t>The RMT is concerned with the psychological aspect of uncertainty other than the economic one. The understanding that help will come in case they are shocked can be utilized in reducing the level of stress and this can pave way to better decision making even before the shock sets in [29]. Such forms of protection enable households to consume lower amounts of protecting coping, such as selling productive assets, or consuming less than they would consume and instead investing in more resilient coping, such as Building resilience to resist shocks. IBLI is not only a safety net in terms of finances, it is a behavior change agent too that transforms households into reactionary crisis-response to proactive, risk-planning. Through this transition, resilience of households is boosted and benefits of food security programmes on a long-term basis increased in the pastoral drought prone areas.</w:t>
      </w:r>
    </w:p>
    <w:p w14:paraId="7DEDD95F" w14:textId="77777777" w:rsidR="00D72FBB" w:rsidRDefault="00D72FBB" w:rsidP="00B56BAF">
      <w:pPr>
        <w:pStyle w:val="NormalWeb"/>
        <w:spacing w:before="0" w:beforeAutospacing="0" w:after="0" w:afterAutospacing="0"/>
        <w:jc w:val="both"/>
        <w:rPr>
          <w:rStyle w:val="Strong"/>
          <w:b w:val="0"/>
        </w:rPr>
      </w:pPr>
    </w:p>
    <w:p w14:paraId="245FF8FA" w14:textId="5693C4B3" w:rsidR="00BB3D1D" w:rsidRPr="00324BC3" w:rsidRDefault="00BB3D1D" w:rsidP="00B56BAF">
      <w:pPr>
        <w:pStyle w:val="NormalWeb"/>
        <w:spacing w:before="0" w:beforeAutospacing="0" w:after="0" w:afterAutospacing="0"/>
        <w:jc w:val="both"/>
        <w:rPr>
          <w:rStyle w:val="Strong"/>
        </w:rPr>
      </w:pPr>
      <w:r w:rsidRPr="00324BC3">
        <w:rPr>
          <w:rStyle w:val="Strong"/>
        </w:rPr>
        <w:t>2.3 Connecting Theory to Food Security Indicators</w:t>
      </w:r>
    </w:p>
    <w:p w14:paraId="1B35A31B" w14:textId="5EE25ADD" w:rsidR="00186F49" w:rsidRPr="00324BC3" w:rsidRDefault="00D72FBB" w:rsidP="00B56BAF">
      <w:pPr>
        <w:pStyle w:val="NormalWeb"/>
        <w:spacing w:after="0"/>
        <w:jc w:val="both"/>
        <w:rPr>
          <w:rStyle w:val="Strong"/>
          <w:b w:val="0"/>
        </w:rPr>
      </w:pPr>
      <w:r w:rsidRPr="00D72FBB">
        <w:t xml:space="preserve">Assets Based Livelihood Framework (ABLF) and Risk Management Theory is a conceptually balanced approach to explaining both livelihood and vulnerability issues and both theories provide an effective conceptual model of how Index-Based Livestock Insurance (IBLI) can enhance household food security. However, the mechanisms differ: whereas the ABLF prioritizes the protection and preservation of livelihood assets primarily the livestock as a means of sustaining food security [18, 19], Risk Management Theory is concerned with risk transfer and income stabilization as a mode of coping with the adverse effects of climate shocks [25, 26]. The ABLF is aimed at protecting domestic livelihood assets, including livestock as the foundation of long-term household welfare and food security [18, 19]. In contrast, Risk Management Theory insists on the necessity to possess stable and predictable streams of incomes in preparing the homes against the adverse impact of the climate-based shocks [25, 26]. Collectively, the frameworks will offer an overall picture of how IBLI will enhance food security performance through concurrent protective resources of productive assets and delivering timely financial monies to ensure the household can enjoy food when Crisis hits. The food security </w:t>
      </w:r>
      <w:r w:rsidRPr="00D72FBB">
        <w:lastRenderedPageBreak/>
        <w:t>indicators applied in the current study are tripled.</w:t>
      </w:r>
      <w:r w:rsidR="0084535C" w:rsidRPr="0084535C">
        <w:t xml:space="preserve"> The first one is the Household Dietary Diversity Score (HDDS) that is used to measure food consumption and the quality of nutrition [23]. </w:t>
      </w:r>
      <w:r w:rsidR="0084535C" w:rsidRPr="0084535C">
        <w:rPr>
          <w:bCs/>
        </w:rPr>
        <w:t>The second indicator is the count of food-insecure months that a household has undergone, which indicates seasonal changes in the availability of food and the degree to which a household has to resort to coping strategies [23]. The third indicator is the number of times livestock products, including milk and meat, were consumed, which acts as a stabilizer of the diet and availability of necessary protein sources [24].</w:t>
      </w:r>
      <w:r w:rsidR="00CB40DC" w:rsidRPr="00324BC3">
        <w:rPr>
          <w:rFonts w:eastAsiaTheme="minorHAnsi"/>
        </w:rPr>
        <w:t xml:space="preserve"> </w:t>
      </w:r>
      <w:r w:rsidR="00CB40DC" w:rsidRPr="00324BC3">
        <w:rPr>
          <w:bCs/>
        </w:rPr>
        <w:t>These indicators are directly linked to the theoretical mechanisms discussed above. Households enrolled in IBLI are likely to experience higher HDDS, as insurance payouts provide the financial flexibility to purchase a more diverse range of foods [23]. Similarly, insured households are expected to face fewer months of food insecurity, since timely payouts during drought periods reduce the need to exhaust food reserves or endure extended periods without adequate consumption. Moreover, the consumption of livestock products tends to be more stable among IBLI beneficiaries, as insurance reduces the pressure to sell animals at distress prices during acute food shortages. Instead, households can retain their livestock and sell them later at more favorable market prices, thereby ensuring consistent access to milk and meat throughout the year [24].</w:t>
      </w:r>
    </w:p>
    <w:p w14:paraId="73BF07F7" w14:textId="77777777" w:rsidR="002245FE" w:rsidRPr="00324BC3" w:rsidRDefault="009F4279" w:rsidP="00B56BAF">
      <w:pPr>
        <w:pStyle w:val="NormalWeb"/>
        <w:spacing w:before="0" w:beforeAutospacing="0" w:after="0" w:afterAutospacing="0"/>
        <w:jc w:val="both"/>
      </w:pPr>
      <w:r w:rsidRPr="00324BC3">
        <w:rPr>
          <w:rStyle w:val="Strong"/>
        </w:rPr>
        <w:t>2.4 Empirical Support for Theoretical Linkages</w:t>
      </w:r>
    </w:p>
    <w:p w14:paraId="0A967DFF" w14:textId="77777777" w:rsidR="008B7B1D" w:rsidRDefault="008B7B1D" w:rsidP="008B7B1D">
      <w:pPr>
        <w:pStyle w:val="NormalWeb"/>
        <w:spacing w:after="0"/>
        <w:jc w:val="both"/>
      </w:pPr>
      <w:r>
        <w:t>The theoretical linkages expressed in this framework have a substantial empirical support. As an example, [9] used a household survey and econometric analysis to show that IBLI involvement in Northern Kenya has led to a substantial decrease in the occurrence of distress sales of livestock and contributed to the maintenance of milk production-both of which are especially useful in child nutrition and household resilience. In a corresponding study, [16] applied propensity score matching (PSM) to compare insured households in Marsabit County and found that they demonstrated greater dietary diversity and fewer hunger periods, highlighting the direct role played by IBLI with food access in times of droughts.</w:t>
      </w:r>
    </w:p>
    <w:p w14:paraId="2CA077D9" w14:textId="4A6C44BA" w:rsidR="00CB40DC" w:rsidRPr="00324BC3" w:rsidRDefault="008B7B1D" w:rsidP="008B7B1D">
      <w:pPr>
        <w:pStyle w:val="NormalWeb"/>
        <w:spacing w:before="0" w:beforeAutospacing="0" w:after="0" w:afterAutospacing="0"/>
        <w:jc w:val="both"/>
      </w:pPr>
      <w:r>
        <w:t>Likewise, [14] adopted a difference-in-differences (DiD) design and offered additional information that households that had access to IBLI also reported lower rates of meal skipping and that they maintained higher meat and milk intake during lean periods.</w:t>
      </w:r>
      <w:r w:rsidR="00CB40DC" w:rsidRPr="00324BC3">
        <w:t>. Their research also highlighted the psychological benefits of insurance, particularly its role in reinforcing household confidence and forward planning. Adding a gendered perspective, [15] employed a mixed-methods design combining household survey data with focus group discussions, and demonstrated that women-headed households were especially responsive to IBLI payouts. These households often prioritized food purchases, reflecting enhanced decision-making autonomy and aligning with the ABLF’s emphasis on social capital and intra-household agency.</w:t>
      </w:r>
    </w:p>
    <w:p w14:paraId="78F1FD32" w14:textId="2FA8D15C" w:rsidR="00186F49" w:rsidRPr="00324BC3" w:rsidRDefault="00CB40DC" w:rsidP="00B56BAF">
      <w:pPr>
        <w:pStyle w:val="NormalWeb"/>
        <w:spacing w:before="0" w:beforeAutospacing="0" w:after="0" w:afterAutospacing="0"/>
        <w:jc w:val="both"/>
      </w:pPr>
      <w:r w:rsidRPr="00324BC3">
        <w:t xml:space="preserve">Nonetheless, not all findings are uniformly positive. [13] Conducted a cross-sectional econometric analysis that highlighted the challenge of basis risk—the discrepancy between index-triggered payouts and actual household losses. When households experience real losses but do not receive compensation due to index calibration flaws, trust in the insurance scheme is eroded. This weakens IBLI’s role in stabilizing food </w:t>
      </w:r>
      <w:r w:rsidRPr="00324BC3">
        <w:lastRenderedPageBreak/>
        <w:t>security outcomes and emphasizes the need for continual improvements in the design and calibration of index-based insurance products</w:t>
      </w:r>
      <w:r w:rsidR="009F4279" w:rsidRPr="00324BC3">
        <w:t>.</w:t>
      </w:r>
    </w:p>
    <w:p w14:paraId="768B53CF" w14:textId="77777777" w:rsidR="0097641A" w:rsidRPr="00324BC3" w:rsidRDefault="0097641A" w:rsidP="00B56BAF">
      <w:pPr>
        <w:pStyle w:val="NormalWeb"/>
        <w:spacing w:before="0" w:beforeAutospacing="0" w:after="0" w:afterAutospacing="0"/>
        <w:jc w:val="both"/>
        <w:rPr>
          <w:rStyle w:val="Strong"/>
        </w:rPr>
      </w:pPr>
    </w:p>
    <w:p w14:paraId="5A1B14B9" w14:textId="1B4FAEC1" w:rsidR="002245FE" w:rsidRPr="00324BC3" w:rsidRDefault="009F4279" w:rsidP="00B56BAF">
      <w:pPr>
        <w:pStyle w:val="NormalWeb"/>
        <w:spacing w:before="0" w:beforeAutospacing="0" w:after="0" w:afterAutospacing="0"/>
        <w:jc w:val="both"/>
        <w:rPr>
          <w:rStyle w:val="Strong"/>
        </w:rPr>
      </w:pPr>
      <w:r w:rsidRPr="00324BC3">
        <w:rPr>
          <w:rStyle w:val="Strong"/>
        </w:rPr>
        <w:t>2.5 Synthesis and Theoretical Expectations</w:t>
      </w:r>
    </w:p>
    <w:p w14:paraId="5AEFED7D" w14:textId="77777777" w:rsidR="00001381" w:rsidRPr="00324BC3" w:rsidRDefault="00001381" w:rsidP="00B56BAF">
      <w:pPr>
        <w:pStyle w:val="NormalWeb"/>
        <w:spacing w:before="0" w:beforeAutospacing="0" w:after="0" w:afterAutospacing="0"/>
        <w:jc w:val="both"/>
      </w:pPr>
    </w:p>
    <w:p w14:paraId="5BF6E608" w14:textId="1580F174" w:rsidR="009F4279" w:rsidRPr="00324BC3" w:rsidRDefault="009F4279" w:rsidP="00B56BAF">
      <w:pPr>
        <w:pStyle w:val="NormalWeb"/>
        <w:spacing w:before="0" w:beforeAutospacing="0" w:after="0" w:afterAutospacing="0"/>
        <w:jc w:val="both"/>
      </w:pPr>
      <w:r w:rsidRPr="00324BC3">
        <w:t>In synthesizing the insights from the Asset-Based Livelihood Framework and Risk Management Theory, this study posits that IBLI contributes to improved food security in Hadado through three interrelated pathways. First, through the income effect, households with IBLI are expected to exhibit improved dietary diversity, as payouts increase their ability to purchase diverse food items. Second, through the stability effect, insured households are anticipated to experience fewer food-insecure months because timely cash injections during droughts allow them to maintain consistent food supplies. Third, through the asset effect, households are expected to sustain more regular consumption of livestock products because they are not forced to sell or slaughter their animals during crises.</w:t>
      </w:r>
    </w:p>
    <w:p w14:paraId="0EBB9A9A" w14:textId="77777777" w:rsidR="00FC2E74" w:rsidRPr="00324BC3" w:rsidRDefault="00FC2E74" w:rsidP="00B56BAF">
      <w:pPr>
        <w:pStyle w:val="NormalWeb"/>
        <w:spacing w:before="0" w:beforeAutospacing="0" w:after="0" w:afterAutospacing="0"/>
        <w:jc w:val="both"/>
      </w:pPr>
    </w:p>
    <w:p w14:paraId="1C5DFB6E" w14:textId="77777777" w:rsidR="009F4279" w:rsidRPr="00324BC3" w:rsidRDefault="009F4279" w:rsidP="00B56BAF">
      <w:pPr>
        <w:pStyle w:val="NormalWeb"/>
        <w:spacing w:before="0" w:beforeAutospacing="0" w:after="0" w:afterAutospacing="0"/>
        <w:jc w:val="both"/>
      </w:pPr>
      <w:r w:rsidRPr="00324BC3">
        <w:t>These propositions inform the development of the study’s hypotheses and guide the selection of appropriate outcome measures. The theoretical framework not only outlines the mechanisms through which IBLI is expected to impact household food security but also supports the practical relevance of insurance interventions in enhancing resilience among pastoralist populat</w:t>
      </w:r>
      <w:r w:rsidR="002245FE" w:rsidRPr="00324BC3">
        <w:t xml:space="preserve">ions. The dual function of IBLI </w:t>
      </w:r>
      <w:r w:rsidRPr="00324BC3">
        <w:t xml:space="preserve">as a strategy for risk transfer and a </w:t>
      </w:r>
      <w:r w:rsidR="002245FE" w:rsidRPr="00324BC3">
        <w:t xml:space="preserve">safeguard for productive assets </w:t>
      </w:r>
      <w:r w:rsidRPr="00324BC3">
        <w:t>stands at the core of this study’s conceptual approach and empirical inquiry.</w:t>
      </w:r>
    </w:p>
    <w:p w14:paraId="3A87F54B" w14:textId="77777777" w:rsidR="00B80B55" w:rsidRPr="00324BC3" w:rsidRDefault="00B80B55" w:rsidP="00B56BAF">
      <w:pPr>
        <w:pStyle w:val="NormalWeb"/>
        <w:spacing w:before="0" w:beforeAutospacing="0" w:after="0" w:afterAutospacing="0"/>
        <w:jc w:val="both"/>
      </w:pPr>
    </w:p>
    <w:p w14:paraId="0CDA2068" w14:textId="77777777" w:rsidR="00FB6A85" w:rsidRPr="00324BC3" w:rsidRDefault="00FB6A85" w:rsidP="00B56BAF">
      <w:pPr>
        <w:spacing w:after="0" w:line="240" w:lineRule="auto"/>
        <w:jc w:val="both"/>
        <w:outlineLvl w:val="1"/>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 Research Methodology</w:t>
      </w:r>
    </w:p>
    <w:p w14:paraId="2719E750" w14:textId="77777777" w:rsidR="00FB6A85" w:rsidRPr="00324BC3" w:rsidRDefault="00FB6A85" w:rsidP="00B56BAF">
      <w:pPr>
        <w:spacing w:after="0"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3.1 Location of the Study</w:t>
      </w:r>
    </w:p>
    <w:p w14:paraId="4A323506" w14:textId="77777777" w:rsidR="00EA170C" w:rsidRPr="00324BC3" w:rsidRDefault="00EA170C" w:rsidP="00B56BAF">
      <w:pPr>
        <w:spacing w:after="0" w:line="240" w:lineRule="auto"/>
        <w:jc w:val="both"/>
        <w:outlineLvl w:val="2"/>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The research took place in Hadado Sub-County, Wajir County, Kenya (around 1,000 km²), situated in Agro-Ecological Zone VI and having arid and semi-arid climates. The region exists at about 1.7500° N latitude and 40.0500° E longitude and records 200–400 mm rainfall each year, temperatures ranging between 21°C (June–September) and 36°C (February–March) (GoK, 2012). Rainfall varies wildly, Apr averaging 68 mm and Jun just 1 mm. Hadado is bounded by Mandera County in the north, Isiolo and Marsabit in the west, Garissa in the south, and Somalia in the east. The sub-county was selected because it heavily depends on pastoralism and IBLI adoption (Murphy </w:t>
      </w:r>
      <w:r w:rsidRPr="00324BC3">
        <w:rPr>
          <w:rFonts w:ascii="Times New Roman" w:eastAsia="Times New Roman" w:hAnsi="Times New Roman" w:cs="Times New Roman"/>
          <w:i/>
          <w:sz w:val="24"/>
          <w:szCs w:val="24"/>
        </w:rPr>
        <w:t>et al</w:t>
      </w:r>
      <w:r w:rsidRPr="00324BC3">
        <w:rPr>
          <w:rFonts w:ascii="Times New Roman" w:eastAsia="Times New Roman" w:hAnsi="Times New Roman" w:cs="Times New Roman"/>
          <w:sz w:val="24"/>
          <w:szCs w:val="24"/>
        </w:rPr>
        <w:t>., 2017)</w:t>
      </w:r>
    </w:p>
    <w:p w14:paraId="03291315" w14:textId="77777777" w:rsidR="00EA170C" w:rsidRPr="00324BC3" w:rsidRDefault="00EA170C" w:rsidP="00B56BAF">
      <w:pPr>
        <w:spacing w:after="0" w:line="240" w:lineRule="auto"/>
        <w:jc w:val="both"/>
        <w:outlineLvl w:val="2"/>
        <w:rPr>
          <w:rFonts w:ascii="Times New Roman" w:eastAsia="Times New Roman" w:hAnsi="Times New Roman" w:cs="Times New Roman"/>
          <w:sz w:val="24"/>
          <w:szCs w:val="24"/>
        </w:rPr>
      </w:pPr>
    </w:p>
    <w:p w14:paraId="59CDAF52" w14:textId="77777777" w:rsidR="00EA170C" w:rsidRPr="00324BC3" w:rsidRDefault="00EA170C" w:rsidP="00B56BAF">
      <w:pPr>
        <w:spacing w:after="0" w:line="240" w:lineRule="auto"/>
        <w:jc w:val="both"/>
        <w:outlineLvl w:val="2"/>
        <w:rPr>
          <w:rFonts w:ascii="Times New Roman" w:eastAsia="Times New Roman" w:hAnsi="Times New Roman" w:cs="Times New Roman"/>
          <w:sz w:val="24"/>
          <w:szCs w:val="24"/>
        </w:rPr>
      </w:pPr>
      <w:r w:rsidRPr="00324BC3">
        <w:rPr>
          <w:rFonts w:ascii="Times New Roman" w:eastAsia="Times New Roman" w:hAnsi="Times New Roman" w:cs="Times New Roman"/>
          <w:noProof/>
          <w:sz w:val="24"/>
          <w:szCs w:val="24"/>
        </w:rPr>
        <w:lastRenderedPageBreak/>
        <w:drawing>
          <wp:inline distT="0" distB="0" distL="0" distR="0" wp14:anchorId="1CBCC092" wp14:editId="10345F02">
            <wp:extent cx="5022832" cy="363986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51" b="1680"/>
                    <a:stretch/>
                  </pic:blipFill>
                  <pic:spPr bwMode="auto">
                    <a:xfrm>
                      <a:off x="0" y="0"/>
                      <a:ext cx="5033785" cy="3647805"/>
                    </a:xfrm>
                    <a:prstGeom prst="rect">
                      <a:avLst/>
                    </a:prstGeom>
                    <a:noFill/>
                    <a:ln>
                      <a:noFill/>
                    </a:ln>
                    <a:extLst>
                      <a:ext uri="{53640926-AAD7-44D8-BBD7-CCE9431645EC}">
                        <a14:shadowObscured xmlns:a14="http://schemas.microsoft.com/office/drawing/2010/main"/>
                      </a:ext>
                    </a:extLst>
                  </pic:spPr>
                </pic:pic>
              </a:graphicData>
            </a:graphic>
          </wp:inline>
        </w:drawing>
      </w:r>
    </w:p>
    <w:p w14:paraId="42CBBA74" w14:textId="77777777" w:rsidR="00EA170C" w:rsidRPr="00324BC3" w:rsidRDefault="00EA170C" w:rsidP="00B56BAF">
      <w:pPr>
        <w:spacing w:after="0"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Figure 1: Map of Hadado sub-County</w:t>
      </w:r>
    </w:p>
    <w:p w14:paraId="4979AA89" w14:textId="77777777" w:rsidR="00197F2A" w:rsidRPr="00324BC3" w:rsidRDefault="00197F2A" w:rsidP="00B56BAF">
      <w:pPr>
        <w:spacing w:after="0" w:line="240" w:lineRule="auto"/>
        <w:jc w:val="both"/>
        <w:rPr>
          <w:rFonts w:ascii="Times New Roman" w:eastAsia="Times New Roman" w:hAnsi="Times New Roman" w:cs="Times New Roman"/>
          <w:sz w:val="24"/>
          <w:szCs w:val="24"/>
        </w:rPr>
      </w:pPr>
    </w:p>
    <w:p w14:paraId="5B90349E" w14:textId="77777777" w:rsidR="00FB6A85" w:rsidRPr="00324BC3" w:rsidRDefault="00FB6A85" w:rsidP="00B56BAF">
      <w:pPr>
        <w:spacing w:after="0"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3.2 Research Design</w:t>
      </w:r>
    </w:p>
    <w:p w14:paraId="432A25E7" w14:textId="73850316" w:rsidR="009F7BC2" w:rsidRPr="009F7BC2" w:rsidRDefault="009F7BC2" w:rsidP="009F7BC2">
      <w:pPr>
        <w:spacing w:after="0" w:line="240" w:lineRule="auto"/>
        <w:jc w:val="both"/>
        <w:rPr>
          <w:rFonts w:ascii="Times New Roman" w:eastAsia="Times New Roman" w:hAnsi="Times New Roman" w:cs="Times New Roman"/>
          <w:sz w:val="24"/>
          <w:szCs w:val="24"/>
        </w:rPr>
      </w:pPr>
      <w:r w:rsidRPr="009F7BC2">
        <w:rPr>
          <w:rFonts w:ascii="Times New Roman" w:eastAsia="Times New Roman" w:hAnsi="Times New Roman" w:cs="Times New Roman"/>
          <w:sz w:val="24"/>
          <w:szCs w:val="24"/>
        </w:rPr>
        <w:t>This paper adopted quasi-experimental study design and the study was observational; Propensity Score Matching (PSM) was used to determine the Average Treatment Effect (ATT). The IBLI beneficiaries (treatment group) were matched to those who were not beneficiaries (control group) but shared similar observable characteristics with the PSM approach thereby minimizing selection bias related to the non-random uptake of insurance [9].  Another design that was used in the study was a convergent parallel mixed-methods, to measure the impact of IBLI on pastoralists’ livelihood. The design enabled the concomitant collection of both qualitative and quantitative data that were then combined to form a more detailed and multifaceted image of the impact of the intervention under focus.</w:t>
      </w:r>
    </w:p>
    <w:p w14:paraId="42FCE47C" w14:textId="77777777" w:rsidR="009F7BC2" w:rsidRPr="009F7BC2" w:rsidRDefault="009F7BC2" w:rsidP="009F7BC2">
      <w:pPr>
        <w:spacing w:after="0" w:line="240" w:lineRule="auto"/>
        <w:jc w:val="both"/>
        <w:rPr>
          <w:rFonts w:ascii="Times New Roman" w:eastAsia="Times New Roman" w:hAnsi="Times New Roman" w:cs="Times New Roman"/>
          <w:sz w:val="24"/>
          <w:szCs w:val="24"/>
        </w:rPr>
      </w:pPr>
    </w:p>
    <w:p w14:paraId="7AD65384" w14:textId="77777777" w:rsidR="009F7BC2" w:rsidRPr="009F7BC2" w:rsidRDefault="009F7BC2" w:rsidP="009F7BC2">
      <w:pPr>
        <w:spacing w:after="0" w:line="240" w:lineRule="auto"/>
        <w:jc w:val="both"/>
        <w:rPr>
          <w:rFonts w:ascii="Times New Roman" w:eastAsia="Times New Roman" w:hAnsi="Times New Roman" w:cs="Times New Roman"/>
          <w:b/>
          <w:sz w:val="24"/>
          <w:szCs w:val="24"/>
        </w:rPr>
      </w:pPr>
      <w:r w:rsidRPr="009F7BC2">
        <w:rPr>
          <w:rFonts w:ascii="Times New Roman" w:eastAsia="Times New Roman" w:hAnsi="Times New Roman" w:cs="Times New Roman"/>
          <w:b/>
          <w:sz w:val="24"/>
          <w:szCs w:val="24"/>
        </w:rPr>
        <w:t>3.3 Population and Sampling</w:t>
      </w:r>
    </w:p>
    <w:p w14:paraId="6EC27FB5" w14:textId="0B4EF36E" w:rsidR="004E138D" w:rsidRPr="00324BC3" w:rsidRDefault="009F7BC2" w:rsidP="009F7BC2">
      <w:pPr>
        <w:spacing w:after="0" w:line="240" w:lineRule="auto"/>
        <w:jc w:val="both"/>
        <w:rPr>
          <w:rFonts w:ascii="Times New Roman" w:hAnsi="Times New Roman" w:cs="Times New Roman"/>
          <w:sz w:val="24"/>
          <w:szCs w:val="24"/>
        </w:rPr>
      </w:pPr>
      <w:r w:rsidRPr="009F7BC2">
        <w:rPr>
          <w:rFonts w:ascii="Times New Roman" w:eastAsia="Times New Roman" w:hAnsi="Times New Roman" w:cs="Times New Roman"/>
          <w:sz w:val="24"/>
          <w:szCs w:val="24"/>
        </w:rPr>
        <w:t>The risk population was the whole pastoralist community in the Hadado Sub-County.</w:t>
      </w:r>
      <w:r w:rsidR="004E138D" w:rsidRPr="00324BC3">
        <w:rPr>
          <w:rFonts w:ascii="Times New Roman" w:hAnsi="Times New Roman" w:cs="Times New Roman"/>
          <w:sz w:val="24"/>
          <w:szCs w:val="24"/>
        </w:rPr>
        <w:t xml:space="preserve"> By utilizing population data obtained from the records at the county level, the sampling frame was established. Cluster random sampling method was employed since the pastoralists had a scattered mode of settlement. The study purposively targeted pastoralist households among the seven areas in the sub-County of Hadado: Ardhi Bogol, Hadado North, Kuta North, Kuta South, Lag Bogol, Hadado South, and Msajida. The household served as the sample units. The sample size of 286 households was calculated using Yamane's (1973) formula at the 95% level of confidence and 5% margin of error. Respondents were classified as insured and non-insured and individuals then compared at the livelihood outcomes level.</w:t>
      </w:r>
    </w:p>
    <w:p w14:paraId="36AA4594" w14:textId="77777777" w:rsidR="004E138D" w:rsidRPr="00324BC3" w:rsidRDefault="004E138D" w:rsidP="00B56BAF">
      <w:pPr>
        <w:spacing w:after="0" w:line="240" w:lineRule="auto"/>
        <w:jc w:val="both"/>
        <w:rPr>
          <w:rFonts w:ascii="Times New Roman" w:hAnsi="Times New Roman" w:cs="Times New Roman"/>
          <w:bCs/>
          <w:sz w:val="24"/>
          <w:szCs w:val="24"/>
        </w:rPr>
      </w:pPr>
      <m:oMathPara>
        <m:oMath>
          <m:r>
            <w:rPr>
              <w:rFonts w:ascii="Cambria Math" w:hAnsi="Cambria Math" w:cs="Times New Roman"/>
              <w:sz w:val="24"/>
              <w:szCs w:val="24"/>
            </w:rPr>
            <w:lastRenderedPageBreak/>
            <m:t>n=</m:t>
          </m:r>
          <m:f>
            <m:fPr>
              <m:ctrlPr>
                <w:rPr>
                  <w:rFonts w:ascii="Cambria Math" w:hAnsi="Cambria Math" w:cs="Times New Roman"/>
                  <w:bCs/>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ⅇ</m:t>
                      </m:r>
                    </m:e>
                    <m:sup>
                      <m:r>
                        <w:rPr>
                          <w:rFonts w:ascii="Cambria Math" w:hAnsi="Cambria Math" w:cs="Times New Roman"/>
                          <w:sz w:val="24"/>
                          <w:szCs w:val="24"/>
                        </w:rPr>
                        <m:t>2</m:t>
                      </m:r>
                    </m:sup>
                  </m:sSup>
                </m:e>
              </m:d>
            </m:den>
          </m:f>
        </m:oMath>
      </m:oMathPara>
    </w:p>
    <w:p w14:paraId="3D3C1E4D"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Where:</w:t>
      </w:r>
    </w:p>
    <w:p w14:paraId="46633A27" w14:textId="77777777" w:rsidR="004E138D" w:rsidRPr="00324BC3" w:rsidRDefault="004E138D" w:rsidP="00A0674C">
      <w:pPr>
        <w:numPr>
          <w:ilvl w:val="0"/>
          <w:numId w:val="4"/>
        </w:num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n is the sample size,</w:t>
      </w:r>
    </w:p>
    <w:p w14:paraId="67BABD43" w14:textId="77777777" w:rsidR="004E138D" w:rsidRPr="00324BC3" w:rsidRDefault="004E138D" w:rsidP="00A0674C">
      <w:pPr>
        <w:numPr>
          <w:ilvl w:val="0"/>
          <w:numId w:val="4"/>
        </w:num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N is the population size, and</w:t>
      </w:r>
    </w:p>
    <w:p w14:paraId="01FB9E0B" w14:textId="77777777" w:rsidR="004E138D" w:rsidRPr="00324BC3" w:rsidRDefault="004E138D" w:rsidP="00A0674C">
      <w:pPr>
        <w:numPr>
          <w:ilvl w:val="0"/>
          <w:numId w:val="4"/>
        </w:num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e is the error of sampling.</w:t>
      </w:r>
    </w:p>
    <w:p w14:paraId="2CEAB249"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Plugging in values:</w:t>
      </w:r>
    </w:p>
    <w:p w14:paraId="42C66D65" w14:textId="77777777" w:rsidR="004E138D" w:rsidRPr="00324BC3" w:rsidRDefault="004E138D" w:rsidP="00B56BAF">
      <w:pPr>
        <w:spacing w:after="0" w:line="240" w:lineRule="auto"/>
        <w:jc w:val="both"/>
        <w:rPr>
          <w:rFonts w:ascii="Times New Roman" w:hAnsi="Times New Roman" w:cs="Times New Roman"/>
          <w:bCs/>
          <w:sz w:val="24"/>
          <w:szCs w:val="24"/>
        </w:rPr>
      </w:pPr>
      <m:oMathPara>
        <m:oMath>
          <m:r>
            <w:rPr>
              <w:rFonts w:ascii="Cambria Math" w:hAnsi="Cambria Math" w:cs="Times New Roman"/>
              <w:sz w:val="24"/>
              <w:szCs w:val="24"/>
            </w:rPr>
            <m:t>n=</m:t>
          </m:r>
          <m:f>
            <m:fPr>
              <m:ctrlPr>
                <w:rPr>
                  <w:rFonts w:ascii="Cambria Math" w:hAnsi="Cambria Math" w:cs="Times New Roman"/>
                  <w:bCs/>
                  <w:i/>
                  <w:sz w:val="24"/>
                  <w:szCs w:val="24"/>
                </w:rPr>
              </m:ctrlPr>
            </m:fPr>
            <m:num>
              <m:r>
                <w:rPr>
                  <w:rFonts w:ascii="Cambria Math" w:hAnsi="Cambria Math" w:cs="Times New Roman"/>
                  <w:sz w:val="24"/>
                  <w:szCs w:val="24"/>
                </w:rPr>
                <m:t>1000</m:t>
              </m:r>
            </m:num>
            <m:den>
              <m:r>
                <w:rPr>
                  <w:rFonts w:ascii="Cambria Math" w:hAnsi="Cambria Math" w:cs="Times New Roman"/>
                  <w:sz w:val="24"/>
                  <w:szCs w:val="24"/>
                </w:rPr>
                <m:t>1+1000</m:t>
              </m:r>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e>
              </m:d>
            </m:den>
          </m:f>
        </m:oMath>
      </m:oMathPara>
    </w:p>
    <w:p w14:paraId="515F8220"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This gives a sample size of n = 286 pastoralists. The table below shows the sample size of pastoralists’ distribution.</w:t>
      </w:r>
    </w:p>
    <w:p w14:paraId="580FD593" w14:textId="77777777" w:rsidR="004E138D" w:rsidRPr="00324BC3" w:rsidRDefault="004E138D" w:rsidP="00B56BAF">
      <w:pPr>
        <w:spacing w:after="0" w:line="240" w:lineRule="auto"/>
        <w:jc w:val="both"/>
        <w:rPr>
          <w:rFonts w:ascii="Times New Roman" w:hAnsi="Times New Roman" w:cs="Times New Roman"/>
          <w:sz w:val="24"/>
          <w:szCs w:val="24"/>
        </w:rPr>
      </w:pPr>
    </w:p>
    <w:p w14:paraId="72813AF8" w14:textId="77777777" w:rsidR="004E138D" w:rsidRPr="00324BC3" w:rsidRDefault="004E138D" w:rsidP="00B56BAF">
      <w:pPr>
        <w:spacing w:after="0" w:line="240" w:lineRule="auto"/>
        <w:jc w:val="both"/>
        <w:rPr>
          <w:rFonts w:ascii="Times New Roman" w:hAnsi="Times New Roman" w:cs="Times New Roman"/>
          <w:sz w:val="24"/>
          <w:szCs w:val="24"/>
        </w:rPr>
      </w:pPr>
      <w:bookmarkStart w:id="1" w:name="_Toc205651583"/>
      <w:r w:rsidRPr="00324BC3">
        <w:rPr>
          <w:rFonts w:ascii="Times New Roman" w:hAnsi="Times New Roman" w:cs="Times New Roman"/>
          <w:sz w:val="24"/>
          <w:szCs w:val="24"/>
        </w:rPr>
        <w:t xml:space="preserve">Table </w:t>
      </w:r>
      <w:r w:rsidRPr="00324BC3">
        <w:rPr>
          <w:rFonts w:ascii="Times New Roman" w:hAnsi="Times New Roman" w:cs="Times New Roman"/>
          <w:iCs/>
          <w:sz w:val="24"/>
          <w:szCs w:val="24"/>
        </w:rPr>
        <w:t>1:</w:t>
      </w:r>
      <w:r w:rsidRPr="00324BC3">
        <w:rPr>
          <w:rFonts w:ascii="Times New Roman" w:hAnsi="Times New Roman" w:cs="Times New Roman"/>
          <w:sz w:val="24"/>
          <w:szCs w:val="24"/>
        </w:rPr>
        <w:t xml:space="preserve"> Sample Size of the Pastoralists in Hadado sub-County</w:t>
      </w:r>
      <w:bookmarkEnd w:id="1"/>
    </w:p>
    <w:tbl>
      <w:tblPr>
        <w:tblW w:w="5000" w:type="pct"/>
        <w:tblBorders>
          <w:top w:val="single" w:sz="4" w:space="0" w:color="auto"/>
          <w:bottom w:val="single" w:sz="4" w:space="0" w:color="auto"/>
        </w:tblBorders>
        <w:tblLook w:val="04A0" w:firstRow="1" w:lastRow="0" w:firstColumn="1" w:lastColumn="0" w:noHBand="0" w:noVBand="1"/>
      </w:tblPr>
      <w:tblGrid>
        <w:gridCol w:w="2841"/>
        <w:gridCol w:w="3722"/>
        <w:gridCol w:w="1969"/>
      </w:tblGrid>
      <w:tr w:rsidR="004E138D" w:rsidRPr="00324BC3" w14:paraId="3F97246A" w14:textId="77777777" w:rsidTr="00A330DE">
        <w:trPr>
          <w:trHeight w:val="20"/>
        </w:trPr>
        <w:tc>
          <w:tcPr>
            <w:tcW w:w="1665" w:type="pct"/>
            <w:tcBorders>
              <w:top w:val="single" w:sz="4" w:space="0" w:color="auto"/>
              <w:left w:val="nil"/>
              <w:bottom w:val="single" w:sz="4" w:space="0" w:color="auto"/>
              <w:right w:val="nil"/>
            </w:tcBorders>
            <w:hideMark/>
          </w:tcPr>
          <w:p w14:paraId="62C042BD"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Location (cluster)</w:t>
            </w:r>
          </w:p>
        </w:tc>
        <w:tc>
          <w:tcPr>
            <w:tcW w:w="2181" w:type="pct"/>
            <w:tcBorders>
              <w:top w:val="single" w:sz="4" w:space="0" w:color="auto"/>
              <w:left w:val="nil"/>
              <w:bottom w:val="single" w:sz="4" w:space="0" w:color="auto"/>
              <w:right w:val="nil"/>
            </w:tcBorders>
            <w:hideMark/>
          </w:tcPr>
          <w:p w14:paraId="04CD363D"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Number of pastoralists</w:t>
            </w:r>
          </w:p>
        </w:tc>
        <w:tc>
          <w:tcPr>
            <w:tcW w:w="1154" w:type="pct"/>
            <w:tcBorders>
              <w:top w:val="single" w:sz="4" w:space="0" w:color="auto"/>
              <w:left w:val="nil"/>
              <w:bottom w:val="single" w:sz="4" w:space="0" w:color="auto"/>
              <w:right w:val="nil"/>
            </w:tcBorders>
            <w:hideMark/>
          </w:tcPr>
          <w:p w14:paraId="4FA67303"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Sample size</w:t>
            </w:r>
          </w:p>
        </w:tc>
      </w:tr>
      <w:tr w:rsidR="004E138D" w:rsidRPr="00324BC3" w14:paraId="4AA96B2E" w14:textId="77777777" w:rsidTr="00A330DE">
        <w:trPr>
          <w:trHeight w:val="20"/>
        </w:trPr>
        <w:tc>
          <w:tcPr>
            <w:tcW w:w="1665" w:type="pct"/>
            <w:tcBorders>
              <w:top w:val="single" w:sz="4" w:space="0" w:color="auto"/>
              <w:left w:val="nil"/>
              <w:bottom w:val="nil"/>
              <w:right w:val="nil"/>
            </w:tcBorders>
            <w:hideMark/>
          </w:tcPr>
          <w:p w14:paraId="245CC6AF"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Ardhi Bogol</w:t>
            </w:r>
            <w:r w:rsidRPr="00324BC3">
              <w:rPr>
                <w:rFonts w:ascii="Times New Roman" w:hAnsi="Times New Roman" w:cs="Times New Roman"/>
                <w:bCs/>
                <w:sz w:val="24"/>
                <w:szCs w:val="24"/>
              </w:rPr>
              <w:tab/>
            </w:r>
          </w:p>
        </w:tc>
        <w:tc>
          <w:tcPr>
            <w:tcW w:w="2181" w:type="pct"/>
            <w:tcBorders>
              <w:top w:val="single" w:sz="4" w:space="0" w:color="auto"/>
              <w:left w:val="nil"/>
              <w:bottom w:val="nil"/>
              <w:right w:val="nil"/>
            </w:tcBorders>
            <w:hideMark/>
          </w:tcPr>
          <w:p w14:paraId="163EE8B1"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210</w:t>
            </w:r>
          </w:p>
        </w:tc>
        <w:tc>
          <w:tcPr>
            <w:tcW w:w="1154" w:type="pct"/>
            <w:tcBorders>
              <w:top w:val="single" w:sz="4" w:space="0" w:color="auto"/>
              <w:left w:val="nil"/>
              <w:bottom w:val="nil"/>
              <w:right w:val="nil"/>
            </w:tcBorders>
            <w:hideMark/>
          </w:tcPr>
          <w:p w14:paraId="06717BDC"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60</w:t>
            </w:r>
          </w:p>
        </w:tc>
      </w:tr>
      <w:tr w:rsidR="004E138D" w:rsidRPr="00324BC3" w14:paraId="147298A1" w14:textId="77777777" w:rsidTr="00A330DE">
        <w:trPr>
          <w:trHeight w:val="20"/>
        </w:trPr>
        <w:tc>
          <w:tcPr>
            <w:tcW w:w="1665" w:type="pct"/>
            <w:tcBorders>
              <w:top w:val="nil"/>
              <w:left w:val="nil"/>
              <w:bottom w:val="nil"/>
              <w:right w:val="nil"/>
            </w:tcBorders>
            <w:hideMark/>
          </w:tcPr>
          <w:p w14:paraId="6081AFC2"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Hadado North</w:t>
            </w:r>
          </w:p>
        </w:tc>
        <w:tc>
          <w:tcPr>
            <w:tcW w:w="2181" w:type="pct"/>
            <w:tcBorders>
              <w:top w:val="nil"/>
              <w:left w:val="nil"/>
              <w:bottom w:val="nil"/>
              <w:right w:val="nil"/>
            </w:tcBorders>
            <w:hideMark/>
          </w:tcPr>
          <w:p w14:paraId="6A407C77"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185</w:t>
            </w:r>
          </w:p>
        </w:tc>
        <w:tc>
          <w:tcPr>
            <w:tcW w:w="1154" w:type="pct"/>
            <w:tcBorders>
              <w:top w:val="nil"/>
              <w:left w:val="nil"/>
              <w:bottom w:val="nil"/>
              <w:right w:val="nil"/>
            </w:tcBorders>
            <w:hideMark/>
          </w:tcPr>
          <w:p w14:paraId="46F3DD03"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53</w:t>
            </w:r>
          </w:p>
        </w:tc>
      </w:tr>
      <w:tr w:rsidR="004E138D" w:rsidRPr="00324BC3" w14:paraId="5F91C149" w14:textId="77777777" w:rsidTr="00A330DE">
        <w:trPr>
          <w:trHeight w:val="20"/>
        </w:trPr>
        <w:tc>
          <w:tcPr>
            <w:tcW w:w="1665" w:type="pct"/>
            <w:tcBorders>
              <w:top w:val="nil"/>
              <w:left w:val="nil"/>
              <w:bottom w:val="nil"/>
              <w:right w:val="nil"/>
            </w:tcBorders>
            <w:hideMark/>
          </w:tcPr>
          <w:p w14:paraId="0B56187B"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Hadado South</w:t>
            </w:r>
          </w:p>
        </w:tc>
        <w:tc>
          <w:tcPr>
            <w:tcW w:w="2181" w:type="pct"/>
            <w:tcBorders>
              <w:top w:val="nil"/>
              <w:left w:val="nil"/>
              <w:bottom w:val="nil"/>
              <w:right w:val="nil"/>
            </w:tcBorders>
            <w:hideMark/>
          </w:tcPr>
          <w:p w14:paraId="00F5DECF"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146</w:t>
            </w:r>
          </w:p>
        </w:tc>
        <w:tc>
          <w:tcPr>
            <w:tcW w:w="1154" w:type="pct"/>
            <w:tcBorders>
              <w:top w:val="nil"/>
              <w:left w:val="nil"/>
              <w:bottom w:val="nil"/>
              <w:right w:val="nil"/>
            </w:tcBorders>
            <w:hideMark/>
          </w:tcPr>
          <w:p w14:paraId="7371608C"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42</w:t>
            </w:r>
          </w:p>
        </w:tc>
      </w:tr>
      <w:tr w:rsidR="004E138D" w:rsidRPr="00324BC3" w14:paraId="569EBF41" w14:textId="77777777" w:rsidTr="00A330DE">
        <w:trPr>
          <w:trHeight w:val="20"/>
        </w:trPr>
        <w:tc>
          <w:tcPr>
            <w:tcW w:w="1665" w:type="pct"/>
            <w:tcBorders>
              <w:top w:val="nil"/>
              <w:left w:val="nil"/>
              <w:bottom w:val="nil"/>
              <w:right w:val="nil"/>
            </w:tcBorders>
            <w:hideMark/>
          </w:tcPr>
          <w:p w14:paraId="75B0FE95"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Lag Bogol</w:t>
            </w:r>
          </w:p>
        </w:tc>
        <w:tc>
          <w:tcPr>
            <w:tcW w:w="2181" w:type="pct"/>
            <w:tcBorders>
              <w:top w:val="nil"/>
              <w:left w:val="nil"/>
              <w:bottom w:val="nil"/>
              <w:right w:val="nil"/>
            </w:tcBorders>
            <w:hideMark/>
          </w:tcPr>
          <w:p w14:paraId="22239E01"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124</w:t>
            </w:r>
          </w:p>
        </w:tc>
        <w:tc>
          <w:tcPr>
            <w:tcW w:w="1154" w:type="pct"/>
            <w:tcBorders>
              <w:top w:val="nil"/>
              <w:left w:val="nil"/>
              <w:bottom w:val="nil"/>
              <w:right w:val="nil"/>
            </w:tcBorders>
            <w:hideMark/>
          </w:tcPr>
          <w:p w14:paraId="4B715A37"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35</w:t>
            </w:r>
          </w:p>
        </w:tc>
      </w:tr>
      <w:tr w:rsidR="004E138D" w:rsidRPr="00324BC3" w14:paraId="67D3F21D" w14:textId="77777777" w:rsidTr="00A330DE">
        <w:trPr>
          <w:trHeight w:val="20"/>
        </w:trPr>
        <w:tc>
          <w:tcPr>
            <w:tcW w:w="1665" w:type="pct"/>
            <w:tcBorders>
              <w:top w:val="nil"/>
              <w:left w:val="nil"/>
              <w:bottom w:val="nil"/>
              <w:right w:val="nil"/>
            </w:tcBorders>
            <w:hideMark/>
          </w:tcPr>
          <w:p w14:paraId="231C0133"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Kuta South</w:t>
            </w:r>
          </w:p>
        </w:tc>
        <w:tc>
          <w:tcPr>
            <w:tcW w:w="2181" w:type="pct"/>
            <w:tcBorders>
              <w:top w:val="nil"/>
              <w:left w:val="nil"/>
              <w:bottom w:val="nil"/>
              <w:right w:val="nil"/>
            </w:tcBorders>
            <w:hideMark/>
          </w:tcPr>
          <w:p w14:paraId="0466BA2D"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120</w:t>
            </w:r>
          </w:p>
        </w:tc>
        <w:tc>
          <w:tcPr>
            <w:tcW w:w="1154" w:type="pct"/>
            <w:tcBorders>
              <w:top w:val="nil"/>
              <w:left w:val="nil"/>
              <w:bottom w:val="nil"/>
              <w:right w:val="nil"/>
            </w:tcBorders>
            <w:hideMark/>
          </w:tcPr>
          <w:p w14:paraId="7401101C"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34</w:t>
            </w:r>
          </w:p>
        </w:tc>
      </w:tr>
      <w:tr w:rsidR="004E138D" w:rsidRPr="00324BC3" w14:paraId="15A0F069" w14:textId="77777777" w:rsidTr="00A330DE">
        <w:trPr>
          <w:trHeight w:val="20"/>
        </w:trPr>
        <w:tc>
          <w:tcPr>
            <w:tcW w:w="1665" w:type="pct"/>
            <w:tcBorders>
              <w:top w:val="nil"/>
              <w:left w:val="nil"/>
              <w:bottom w:val="nil"/>
              <w:right w:val="nil"/>
            </w:tcBorders>
            <w:hideMark/>
          </w:tcPr>
          <w:p w14:paraId="48FC2AC3"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Kuta North</w:t>
            </w:r>
          </w:p>
        </w:tc>
        <w:tc>
          <w:tcPr>
            <w:tcW w:w="2181" w:type="pct"/>
            <w:tcBorders>
              <w:top w:val="nil"/>
              <w:left w:val="nil"/>
              <w:bottom w:val="nil"/>
              <w:right w:val="nil"/>
            </w:tcBorders>
            <w:hideMark/>
          </w:tcPr>
          <w:p w14:paraId="0D0147B8"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115</w:t>
            </w:r>
          </w:p>
        </w:tc>
        <w:tc>
          <w:tcPr>
            <w:tcW w:w="1154" w:type="pct"/>
            <w:tcBorders>
              <w:top w:val="nil"/>
              <w:left w:val="nil"/>
              <w:bottom w:val="nil"/>
              <w:right w:val="nil"/>
            </w:tcBorders>
            <w:hideMark/>
          </w:tcPr>
          <w:p w14:paraId="05291F43"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33</w:t>
            </w:r>
          </w:p>
        </w:tc>
      </w:tr>
      <w:tr w:rsidR="004E138D" w:rsidRPr="00324BC3" w14:paraId="7F21D283" w14:textId="77777777" w:rsidTr="00A330DE">
        <w:trPr>
          <w:trHeight w:val="20"/>
        </w:trPr>
        <w:tc>
          <w:tcPr>
            <w:tcW w:w="1665" w:type="pct"/>
            <w:tcBorders>
              <w:top w:val="nil"/>
              <w:left w:val="nil"/>
              <w:bottom w:val="single" w:sz="4" w:space="0" w:color="auto"/>
              <w:right w:val="nil"/>
            </w:tcBorders>
            <w:hideMark/>
          </w:tcPr>
          <w:p w14:paraId="5A339FEB"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Msajida</w:t>
            </w:r>
          </w:p>
        </w:tc>
        <w:tc>
          <w:tcPr>
            <w:tcW w:w="2181" w:type="pct"/>
            <w:tcBorders>
              <w:top w:val="nil"/>
              <w:left w:val="nil"/>
              <w:bottom w:val="single" w:sz="4" w:space="0" w:color="auto"/>
              <w:right w:val="nil"/>
            </w:tcBorders>
            <w:hideMark/>
          </w:tcPr>
          <w:p w14:paraId="098AE7EB"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100</w:t>
            </w:r>
          </w:p>
        </w:tc>
        <w:tc>
          <w:tcPr>
            <w:tcW w:w="1154" w:type="pct"/>
            <w:tcBorders>
              <w:top w:val="nil"/>
              <w:left w:val="nil"/>
              <w:bottom w:val="single" w:sz="4" w:space="0" w:color="auto"/>
              <w:right w:val="nil"/>
            </w:tcBorders>
            <w:hideMark/>
          </w:tcPr>
          <w:p w14:paraId="30EFEB47"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29</w:t>
            </w:r>
          </w:p>
        </w:tc>
      </w:tr>
      <w:tr w:rsidR="004E138D" w:rsidRPr="00324BC3" w14:paraId="0F737409" w14:textId="77777777" w:rsidTr="00A330DE">
        <w:trPr>
          <w:trHeight w:val="20"/>
        </w:trPr>
        <w:tc>
          <w:tcPr>
            <w:tcW w:w="1665" w:type="pct"/>
            <w:tcBorders>
              <w:top w:val="single" w:sz="4" w:space="0" w:color="auto"/>
              <w:left w:val="nil"/>
              <w:bottom w:val="single" w:sz="4" w:space="0" w:color="auto"/>
              <w:right w:val="nil"/>
            </w:tcBorders>
            <w:hideMark/>
          </w:tcPr>
          <w:p w14:paraId="4F95F5FB" w14:textId="77777777" w:rsidR="004E138D" w:rsidRPr="00324BC3" w:rsidRDefault="004E138D"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Total</w:t>
            </w:r>
          </w:p>
        </w:tc>
        <w:tc>
          <w:tcPr>
            <w:tcW w:w="2181" w:type="pct"/>
            <w:tcBorders>
              <w:top w:val="single" w:sz="4" w:space="0" w:color="auto"/>
              <w:left w:val="nil"/>
              <w:bottom w:val="single" w:sz="4" w:space="0" w:color="auto"/>
              <w:right w:val="nil"/>
            </w:tcBorders>
            <w:hideMark/>
          </w:tcPr>
          <w:p w14:paraId="470A8AE8"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1000</w:t>
            </w:r>
          </w:p>
        </w:tc>
        <w:tc>
          <w:tcPr>
            <w:tcW w:w="1154" w:type="pct"/>
            <w:tcBorders>
              <w:top w:val="single" w:sz="4" w:space="0" w:color="auto"/>
              <w:left w:val="nil"/>
              <w:bottom w:val="single" w:sz="4" w:space="0" w:color="auto"/>
              <w:right w:val="nil"/>
            </w:tcBorders>
            <w:hideMark/>
          </w:tcPr>
          <w:p w14:paraId="7A7FAF42" w14:textId="77777777" w:rsidR="004E138D" w:rsidRPr="00324BC3" w:rsidRDefault="004E138D" w:rsidP="00B56BAF">
            <w:pPr>
              <w:spacing w:after="0" w:line="240" w:lineRule="auto"/>
              <w:jc w:val="both"/>
              <w:rPr>
                <w:rFonts w:ascii="Times New Roman" w:hAnsi="Times New Roman" w:cs="Times New Roman"/>
                <w:bCs/>
                <w:sz w:val="24"/>
                <w:szCs w:val="24"/>
              </w:rPr>
            </w:pPr>
            <w:r w:rsidRPr="00324BC3">
              <w:rPr>
                <w:rFonts w:ascii="Times New Roman" w:hAnsi="Times New Roman" w:cs="Times New Roman"/>
                <w:bCs/>
                <w:sz w:val="24"/>
                <w:szCs w:val="24"/>
              </w:rPr>
              <w:t>286</w:t>
            </w:r>
          </w:p>
        </w:tc>
      </w:tr>
    </w:tbl>
    <w:p w14:paraId="5B3736E3" w14:textId="77777777" w:rsidR="004E138D" w:rsidRPr="00324BC3" w:rsidRDefault="004E138D" w:rsidP="00B56BAF">
      <w:pPr>
        <w:spacing w:after="0" w:line="240" w:lineRule="auto"/>
        <w:jc w:val="both"/>
        <w:rPr>
          <w:rFonts w:ascii="Times New Roman" w:eastAsia="Times New Roman" w:hAnsi="Times New Roman" w:cs="Times New Roman"/>
          <w:sz w:val="24"/>
          <w:szCs w:val="24"/>
        </w:rPr>
      </w:pPr>
    </w:p>
    <w:p w14:paraId="0A1E938B" w14:textId="77777777" w:rsidR="00FB6A85" w:rsidRPr="00324BC3" w:rsidRDefault="00FB6A85" w:rsidP="00B56BAF">
      <w:pPr>
        <w:spacing w:after="0" w:line="240" w:lineRule="auto"/>
        <w:jc w:val="both"/>
        <w:rPr>
          <w:rFonts w:ascii="Times New Roman" w:eastAsia="Times New Roman" w:hAnsi="Times New Roman" w:cs="Times New Roman"/>
          <w:vanish/>
          <w:sz w:val="24"/>
          <w:szCs w:val="24"/>
        </w:rPr>
      </w:pPr>
      <w:r w:rsidRPr="00324BC3">
        <w:rPr>
          <w:rFonts w:ascii="Times New Roman" w:eastAsia="Times New Roman" w:hAnsi="Times New Roman" w:cs="Times New Roman"/>
          <w:vanish/>
          <w:sz w:val="24"/>
          <w:szCs w:val="24"/>
        </w:rPr>
        <w:t>Bottom of Form</w:t>
      </w:r>
    </w:p>
    <w:p w14:paraId="520EEBAD"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p>
    <w:p w14:paraId="21741DD2" w14:textId="5BEE24D3" w:rsidR="00FB6A85" w:rsidRPr="00324BC3" w:rsidRDefault="00FB6A85" w:rsidP="00B56BAF">
      <w:pPr>
        <w:spacing w:after="0"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3.3 Data Collection</w:t>
      </w:r>
      <w:r w:rsidR="002A2D46" w:rsidRPr="00324BC3">
        <w:rPr>
          <w:rFonts w:ascii="Times New Roman" w:eastAsia="Times New Roman" w:hAnsi="Times New Roman" w:cs="Times New Roman"/>
          <w:b/>
          <w:bCs/>
          <w:sz w:val="24"/>
          <w:szCs w:val="24"/>
        </w:rPr>
        <w:t xml:space="preserve"> Procedure </w:t>
      </w:r>
    </w:p>
    <w:p w14:paraId="270DCE11" w14:textId="77777777" w:rsidR="00B82BFC" w:rsidRDefault="00704385" w:rsidP="00B82BFC">
      <w:pPr>
        <w:spacing w:after="0" w:line="240" w:lineRule="auto"/>
        <w:jc w:val="both"/>
        <w:rPr>
          <w:rFonts w:ascii="Times New Roman" w:eastAsia="Times New Roman" w:hAnsi="Times New Roman" w:cs="Times New Roman"/>
          <w:bCs/>
          <w:sz w:val="24"/>
          <w:szCs w:val="24"/>
        </w:rPr>
      </w:pPr>
      <w:r w:rsidRPr="00704385">
        <w:rPr>
          <w:rFonts w:ascii="Times New Roman" w:eastAsia="Times New Roman" w:hAnsi="Times New Roman" w:cs="Times New Roman"/>
          <w:bCs/>
          <w:sz w:val="24"/>
          <w:szCs w:val="24"/>
        </w:rPr>
        <w:t xml:space="preserve">Well- semi-structured questionnaires were used in this study to gather primary data in 286 pastoralist households. Both the IBLI beneficiaries and non-beneficiaries were used in the sample; it was done in stratified random sampling to bring out the representation of sub-groupings. Some of the information gathered by the questionnaire included demographic data, including age, gender and the level of education; livestock keeping; the primary source of household incomes and participation in the Index-Based Livestock Insurance (IBLI) </w:t>
      </w:r>
      <w:r w:rsidR="000126E3" w:rsidRPr="00704385">
        <w:rPr>
          <w:rFonts w:ascii="Times New Roman" w:eastAsia="Times New Roman" w:hAnsi="Times New Roman" w:cs="Times New Roman"/>
          <w:bCs/>
          <w:sz w:val="24"/>
          <w:szCs w:val="24"/>
        </w:rPr>
        <w:t>project Food</w:t>
      </w:r>
      <w:r w:rsidRPr="00704385">
        <w:rPr>
          <w:rFonts w:ascii="Times New Roman" w:eastAsia="Times New Roman" w:hAnsi="Times New Roman" w:cs="Times New Roman"/>
          <w:bCs/>
          <w:sz w:val="24"/>
          <w:szCs w:val="24"/>
        </w:rPr>
        <w:t xml:space="preserve"> security measures were assessed using three indicators; Household Dietary Diversity Score (HDDS), the number of food insecure months and frequency of milk and meat intake during droughts [23, 24]. The qualitative data were used to supplement the quantitative data, and Focus Group Discussions (FGDs) and Key Informant Interviews (KIIs) were used to gather that information. </w:t>
      </w:r>
      <w:r w:rsidR="00B82BFC" w:rsidRPr="00B82BFC">
        <w:rPr>
          <w:rFonts w:ascii="Times New Roman" w:eastAsia="Times New Roman" w:hAnsi="Times New Roman" w:cs="Times New Roman"/>
          <w:bCs/>
          <w:sz w:val="24"/>
          <w:szCs w:val="24"/>
        </w:rPr>
        <w:t>These methods provided more in-depth information about the household perception of the IBLI program, particularly in its implications on food accessibility and stressor resistance due to climate [12, 15].</w:t>
      </w:r>
    </w:p>
    <w:p w14:paraId="6FB14673" w14:textId="77777777" w:rsidR="00B82BFC" w:rsidRPr="00B82BFC" w:rsidRDefault="00B82BFC" w:rsidP="00B82BFC">
      <w:pPr>
        <w:spacing w:after="0" w:line="240" w:lineRule="auto"/>
        <w:jc w:val="both"/>
        <w:rPr>
          <w:rFonts w:ascii="Times New Roman" w:eastAsia="Times New Roman" w:hAnsi="Times New Roman" w:cs="Times New Roman"/>
          <w:bCs/>
          <w:sz w:val="24"/>
          <w:szCs w:val="24"/>
        </w:rPr>
      </w:pPr>
    </w:p>
    <w:p w14:paraId="57A7296E" w14:textId="77777777" w:rsidR="00B82BFC" w:rsidRPr="00B82BFC" w:rsidRDefault="00B82BFC" w:rsidP="00B82BFC">
      <w:pPr>
        <w:spacing w:after="0" w:line="240" w:lineRule="auto"/>
        <w:jc w:val="both"/>
        <w:rPr>
          <w:rFonts w:ascii="Times New Roman" w:eastAsia="Times New Roman" w:hAnsi="Times New Roman" w:cs="Times New Roman"/>
          <w:b/>
          <w:bCs/>
          <w:sz w:val="24"/>
          <w:szCs w:val="24"/>
        </w:rPr>
      </w:pPr>
      <w:r w:rsidRPr="00B82BFC">
        <w:rPr>
          <w:rFonts w:ascii="Times New Roman" w:eastAsia="Times New Roman" w:hAnsi="Times New Roman" w:cs="Times New Roman"/>
          <w:b/>
          <w:bCs/>
          <w:sz w:val="24"/>
          <w:szCs w:val="24"/>
        </w:rPr>
        <w:t>3.4 Data Analysis</w:t>
      </w:r>
    </w:p>
    <w:p w14:paraId="42ED5733" w14:textId="77777777" w:rsidR="00B82BFC" w:rsidRPr="00B82BFC" w:rsidRDefault="00B82BFC" w:rsidP="00B82BFC">
      <w:pPr>
        <w:spacing w:after="0" w:line="240" w:lineRule="auto"/>
        <w:jc w:val="both"/>
        <w:rPr>
          <w:rFonts w:ascii="Times New Roman" w:eastAsia="Times New Roman" w:hAnsi="Times New Roman" w:cs="Times New Roman"/>
          <w:b/>
          <w:bCs/>
          <w:sz w:val="24"/>
          <w:szCs w:val="24"/>
        </w:rPr>
      </w:pPr>
      <w:r w:rsidRPr="00B82BFC">
        <w:rPr>
          <w:rFonts w:ascii="Times New Roman" w:eastAsia="Times New Roman" w:hAnsi="Times New Roman" w:cs="Times New Roman"/>
          <w:b/>
          <w:bCs/>
          <w:sz w:val="24"/>
          <w:szCs w:val="24"/>
        </w:rPr>
        <w:t>3.4.1 Statistical Analysis Propensity Score Matching (PSM).</w:t>
      </w:r>
    </w:p>
    <w:p w14:paraId="26370B22" w14:textId="77777777" w:rsidR="00B82BFC" w:rsidRPr="00B82BFC" w:rsidRDefault="00B82BFC" w:rsidP="00B82BFC">
      <w:pPr>
        <w:spacing w:after="0" w:line="240" w:lineRule="auto"/>
        <w:jc w:val="both"/>
        <w:rPr>
          <w:rFonts w:ascii="Times New Roman" w:eastAsia="Times New Roman" w:hAnsi="Times New Roman" w:cs="Times New Roman"/>
          <w:bCs/>
          <w:sz w:val="24"/>
          <w:szCs w:val="24"/>
        </w:rPr>
      </w:pPr>
      <w:r w:rsidRPr="00B82BFC">
        <w:rPr>
          <w:rFonts w:ascii="Times New Roman" w:eastAsia="Times New Roman" w:hAnsi="Times New Roman" w:cs="Times New Roman"/>
          <w:bCs/>
          <w:sz w:val="24"/>
          <w:szCs w:val="24"/>
        </w:rPr>
        <w:t xml:space="preserve">The Household Dietary Diversity Score (HDDS) was one of the main indicators of food security in the household to represent how much of the food items consumed by the household members throughout a one-point recall period are household food items; in this paper, the proportion of foods consumed by the household members was estimated by </w:t>
      </w:r>
      <w:r w:rsidRPr="00B82BFC">
        <w:rPr>
          <w:rFonts w:ascii="Times New Roman" w:eastAsia="Times New Roman" w:hAnsi="Times New Roman" w:cs="Times New Roman"/>
          <w:bCs/>
          <w:sz w:val="24"/>
          <w:szCs w:val="24"/>
        </w:rPr>
        <w:lastRenderedPageBreak/>
        <w:t>approximating the proportion of the household food items consumed in this period [23]. The use of other indicators such as number of months of food insecurity, frequency of milk and meat during droughts also sequestered sequestration of seasonality and stability in protein intakes.</w:t>
      </w:r>
    </w:p>
    <w:p w14:paraId="65B0838D" w14:textId="28B2D565" w:rsidR="00FB6A85" w:rsidRPr="00324BC3" w:rsidRDefault="00B82BFC" w:rsidP="00B82BFC">
      <w:pPr>
        <w:spacing w:after="0" w:line="240" w:lineRule="auto"/>
        <w:jc w:val="both"/>
        <w:rPr>
          <w:rFonts w:ascii="Times New Roman" w:eastAsia="Times New Roman" w:hAnsi="Times New Roman" w:cs="Times New Roman"/>
          <w:sz w:val="24"/>
          <w:szCs w:val="24"/>
        </w:rPr>
      </w:pPr>
      <w:r w:rsidRPr="00B82BFC">
        <w:rPr>
          <w:rFonts w:ascii="Times New Roman" w:eastAsia="Times New Roman" w:hAnsi="Times New Roman" w:cs="Times New Roman"/>
          <w:bCs/>
          <w:sz w:val="24"/>
          <w:szCs w:val="24"/>
        </w:rPr>
        <w:t xml:space="preserve">Propensity Score Matching (PSM) was used to assess the impact of IBLI membership on the following food security outcomes. A logistic regression equation was estimated to derive propensity scores where IBLI participation was the dependent variable (with 1 = yes and 0 = no). </w:t>
      </w:r>
      <w:r w:rsidR="00FB6A85" w:rsidRPr="00324BC3">
        <w:rPr>
          <w:rFonts w:ascii="Times New Roman" w:eastAsia="Times New Roman" w:hAnsi="Times New Roman" w:cs="Times New Roman"/>
          <w:sz w:val="24"/>
          <w:szCs w:val="24"/>
        </w:rPr>
        <w:t xml:space="preserve">The </w:t>
      </w:r>
      <w:r w:rsidR="00FB6A85" w:rsidRPr="00324BC3">
        <w:rPr>
          <w:rFonts w:ascii="Times New Roman" w:eastAsia="Times New Roman" w:hAnsi="Times New Roman" w:cs="Times New Roman"/>
          <w:bCs/>
          <w:sz w:val="24"/>
          <w:szCs w:val="24"/>
        </w:rPr>
        <w:t>propensity score equation</w:t>
      </w:r>
      <w:r w:rsidR="00FB6A85" w:rsidRPr="00324BC3">
        <w:rPr>
          <w:rFonts w:ascii="Times New Roman" w:eastAsia="Times New Roman" w:hAnsi="Times New Roman" w:cs="Times New Roman"/>
          <w:sz w:val="24"/>
          <w:szCs w:val="24"/>
        </w:rPr>
        <w:t xml:space="preserve"> is:</w:t>
      </w:r>
    </w:p>
    <w:p w14:paraId="3FB3A6F8" w14:textId="77777777" w:rsidR="00FB6A85" w:rsidRPr="00324BC3" w:rsidRDefault="001E3534" w:rsidP="00B56BAF">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ⅇ</m:t>
                </m:r>
              </m:e>
              <m:sup>
                <m:d>
                  <m:dPr>
                    <m:begChr m:val="["/>
                    <m:endChr m:val="]"/>
                    <m:ctrlPr>
                      <w:rPr>
                        <w:rFonts w:ascii="Cambria Math" w:hAnsi="Cambria Math" w:cs="Times New Roman"/>
                        <w:i/>
                        <w:sz w:val="24"/>
                        <w:szCs w:val="24"/>
                      </w:rPr>
                    </m:ctrlPr>
                  </m:dPr>
                  <m:e>
                    <m:r>
                      <w:rPr>
                        <w:rFonts w:ascii="Cambria Math" w:hAnsi="Cambria Math" w:cs="Times New Roman"/>
                        <w:sz w:val="24"/>
                        <w:szCs w:val="24"/>
                      </w:rPr>
                      <m:t>α+βx</m:t>
                    </m:r>
                  </m:e>
                </m:d>
              </m:sup>
            </m:sSup>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ⅇ</m:t>
                </m:r>
              </m:e>
              <m:sup>
                <m:d>
                  <m:dPr>
                    <m:begChr m:val="["/>
                    <m:endChr m:val="]"/>
                    <m:ctrlPr>
                      <w:rPr>
                        <w:rFonts w:ascii="Cambria Math" w:hAnsi="Cambria Math" w:cs="Times New Roman"/>
                        <w:i/>
                        <w:sz w:val="24"/>
                        <w:szCs w:val="24"/>
                      </w:rPr>
                    </m:ctrlPr>
                  </m:dPr>
                  <m:e>
                    <m:r>
                      <w:rPr>
                        <w:rFonts w:ascii="Cambria Math" w:hAnsi="Cambria Math" w:cs="Times New Roman"/>
                        <w:sz w:val="24"/>
                        <w:szCs w:val="24"/>
                      </w:rPr>
                      <m:t>α+βx</m:t>
                    </m:r>
                  </m:e>
                </m:d>
              </m:sup>
            </m:sSup>
          </m:den>
        </m:f>
      </m:oMath>
      <w:r w:rsidR="00FB6A85" w:rsidRPr="00324BC3">
        <w:rPr>
          <w:rFonts w:ascii="Times New Roman" w:hAnsi="Times New Roman" w:cs="Times New Roman"/>
          <w:vanish/>
          <w:sz w:val="24"/>
          <w:szCs w:val="24"/>
        </w:rPr>
        <w:t>p(X)=1+e(α+βX)e(α+βX)​</w:t>
      </w:r>
    </w:p>
    <w:p w14:paraId="6A193D66" w14:textId="77777777" w:rsidR="00FB6A85" w:rsidRPr="00324BC3" w:rsidRDefault="00FB6A85"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where:</w:t>
      </w:r>
    </w:p>
    <w:p w14:paraId="655572EE" w14:textId="77777777" w:rsidR="00FB6A85" w:rsidRPr="00324BC3" w:rsidRDefault="00FB6A85" w:rsidP="00A0674C">
      <w:pPr>
        <w:numPr>
          <w:ilvl w:val="1"/>
          <w:numId w:val="1"/>
        </w:numPr>
        <w:spacing w:after="0" w:line="240" w:lineRule="auto"/>
        <w:jc w:val="both"/>
        <w:rPr>
          <w:rFonts w:ascii="Cambria Math" w:hAnsi="Cambria Math" w:cs="Times New Roman"/>
          <w:sz w:val="24"/>
          <w:szCs w:val="24"/>
          <w:oMath/>
        </w:rPr>
      </w:pPr>
      <w:r w:rsidRPr="00324BC3">
        <w:rPr>
          <w:rFonts w:ascii="Times New Roman" w:hAnsi="Times New Roman" w:cs="Times New Roman"/>
          <w:sz w:val="24"/>
          <w:szCs w:val="24"/>
        </w:rPr>
        <w:t>(</w:t>
      </w:r>
      <m:oMath>
        <m:r>
          <w:rPr>
            <w:rFonts w:ascii="Cambria Math" w:hAnsi="Cambria Math" w:cs="Times New Roman"/>
            <w:sz w:val="24"/>
            <w:szCs w:val="24"/>
          </w:rPr>
          <m:t>P(X)) is the propensity score,</m:t>
        </m:r>
      </m:oMath>
    </w:p>
    <w:p w14:paraId="1A26FE7D" w14:textId="77777777" w:rsidR="00FB6A85" w:rsidRPr="00324BC3" w:rsidRDefault="001E3534" w:rsidP="00A0674C">
      <w:pPr>
        <w:numPr>
          <w:ilvl w:val="1"/>
          <w:numId w:val="1"/>
        </w:numPr>
        <w:spacing w:after="0" w:line="240" w:lineRule="auto"/>
        <w:jc w:val="both"/>
        <w:rPr>
          <w:rFonts w:ascii="Cambria Math" w:hAnsi="Cambria Math" w:cs="Times New Roman"/>
          <w:sz w:val="24"/>
          <w:szCs w:val="24"/>
          <w:oMath/>
        </w:rPr>
      </w:pPr>
      <m:oMath>
        <m:r>
          <w:rPr>
            <w:rFonts w:ascii="Cambria Math" w:hAnsi="Cambria Math" w:cs="Times New Roman"/>
            <w:sz w:val="24"/>
            <w:szCs w:val="24"/>
          </w:rPr>
          <m:t>(X) is a vector of observed covariates,</m:t>
        </m:r>
      </m:oMath>
    </w:p>
    <w:p w14:paraId="64FDB5B5" w14:textId="77777777" w:rsidR="00FB6A85" w:rsidRPr="00324BC3" w:rsidRDefault="001E3534" w:rsidP="00A0674C">
      <w:pPr>
        <w:numPr>
          <w:ilvl w:val="1"/>
          <w:numId w:val="1"/>
        </w:numPr>
        <w:spacing w:after="0" w:line="240" w:lineRule="auto"/>
        <w:jc w:val="both"/>
        <w:rPr>
          <w:rFonts w:ascii="Cambria Math" w:hAnsi="Cambria Math" w:cs="Times New Roman"/>
          <w:sz w:val="24"/>
          <w:szCs w:val="24"/>
          <w:oMath/>
        </w:rPr>
      </w:pPr>
      <m:oMath>
        <m:r>
          <w:rPr>
            <w:rFonts w:ascii="Cambria Math" w:hAnsi="Cambria Math" w:cs="Times New Roman"/>
            <w:sz w:val="24"/>
            <w:szCs w:val="24"/>
          </w:rPr>
          <m:t>(α) is the intercept,</m:t>
        </m:r>
      </m:oMath>
    </w:p>
    <w:p w14:paraId="7430D8B6" w14:textId="77777777" w:rsidR="00FB6A85" w:rsidRPr="00324BC3" w:rsidRDefault="001E3534" w:rsidP="00A0674C">
      <w:pPr>
        <w:numPr>
          <w:ilvl w:val="1"/>
          <w:numId w:val="1"/>
        </w:numPr>
        <w:spacing w:after="0" w:line="240" w:lineRule="auto"/>
        <w:jc w:val="both"/>
        <w:rPr>
          <w:rFonts w:ascii="Cambria Math" w:hAnsi="Cambria Math" w:cs="Times New Roman"/>
          <w:sz w:val="24"/>
          <w:szCs w:val="24"/>
          <w:oMath/>
        </w:rPr>
      </w:pPr>
      <m:oMath>
        <m:r>
          <w:rPr>
            <w:rFonts w:ascii="Cambria Math" w:hAnsi="Cambria Math" w:cs="Times New Roman"/>
            <w:sz w:val="24"/>
            <w:szCs w:val="24"/>
          </w:rPr>
          <m:t>(β) is a vector of coefficients</m:t>
        </m:r>
      </m:oMath>
      <w:r w:rsidR="00FB6A85" w:rsidRPr="00324BC3">
        <w:rPr>
          <w:rFonts w:ascii="Times New Roman" w:eastAsia="Times New Roman" w:hAnsi="Times New Roman" w:cs="Times New Roman"/>
          <w:sz w:val="24"/>
          <w:szCs w:val="24"/>
        </w:rPr>
        <w:t>.</w:t>
      </w:r>
    </w:p>
    <w:p w14:paraId="10F6B6E8" w14:textId="77777777" w:rsidR="00FB6A85" w:rsidRPr="00324BC3" w:rsidRDefault="00525B64"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Once propensity scores have been computed nearest neighbor matching with replacement and caliper 0.1 was used to match treatment and control units. The ATT was obtained as</w:t>
      </w:r>
      <w:r w:rsidR="00FB6A85" w:rsidRPr="00324BC3">
        <w:rPr>
          <w:rFonts w:ascii="Times New Roman" w:eastAsia="Times New Roman" w:hAnsi="Times New Roman" w:cs="Times New Roman"/>
          <w:sz w:val="24"/>
          <w:szCs w:val="24"/>
        </w:rPr>
        <w:t>:</w:t>
      </w:r>
    </w:p>
    <w:p w14:paraId="63D38E43" w14:textId="77777777" w:rsidR="00FB6A85" w:rsidRPr="00324BC3" w:rsidRDefault="00FB6A85" w:rsidP="00B56BAF">
      <w:pPr>
        <w:spacing w:after="0" w:line="240" w:lineRule="auto"/>
        <w:jc w:val="both"/>
        <w:rPr>
          <w:rFonts w:ascii="Times New Roman" w:hAnsi="Times New Roman" w:cs="Times New Roman"/>
          <w:sz w:val="24"/>
          <w:szCs w:val="24"/>
        </w:rPr>
      </w:pPr>
    </w:p>
    <w:p w14:paraId="46059215" w14:textId="77777777" w:rsidR="00FB6A85" w:rsidRPr="00324BC3" w:rsidRDefault="001E3534" w:rsidP="00B56BAF">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ATT = E[</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r>
            <w:rPr>
              <w:rFonts w:ascii="Cambria Math" w:hAnsi="Cambria Math" w:cs="Times New Roman"/>
              <w:sz w:val="24"/>
              <w:szCs w:val="24"/>
            </w:rPr>
            <m:t xml:space="preserve"> | D = 1] = E[</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 xml:space="preserve"> | D = 1] - E[</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r>
            <w:rPr>
              <w:rFonts w:ascii="Cambria Math" w:hAnsi="Cambria Math" w:cs="Times New Roman"/>
              <w:sz w:val="24"/>
              <w:szCs w:val="24"/>
            </w:rPr>
            <m:t>| D = 1]</m:t>
          </m:r>
          <m:r>
            <w:rPr>
              <w:rFonts w:ascii="Cambria Math" w:hAnsi="Cambria Math" w:cs="Times New Roman"/>
              <w:vanish/>
              <w:sz w:val="24"/>
              <w:szCs w:val="24"/>
            </w:rPr>
            <m:t>ATT=E[Y1​-Y0​∣D=1]=E[Y1​∣D=1]-E[Y0​∣D=1]</m:t>
          </m:r>
        </m:oMath>
      </m:oMathPara>
    </w:p>
    <w:p w14:paraId="5EC1FF20" w14:textId="5B11DE93" w:rsidR="00FB6A85" w:rsidRPr="00324BC3" w:rsidRDefault="00974435"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Where</w:t>
      </w:r>
      <w:r w:rsidR="00FB6A85" w:rsidRPr="00324BC3">
        <w:rPr>
          <w:rFonts w:ascii="Times New Roman" w:hAnsi="Times New Roman" w:cs="Times New Roman"/>
          <w:sz w:val="24"/>
          <w:szCs w:val="24"/>
        </w:rPr>
        <w:t>:</w:t>
      </w:r>
    </w:p>
    <w:p w14:paraId="5365641D" w14:textId="77777777" w:rsidR="00FB6A85" w:rsidRPr="00324BC3" w:rsidRDefault="00FB6A85" w:rsidP="00A0674C">
      <w:pPr>
        <w:numPr>
          <w:ilvl w:val="1"/>
          <w:numId w:val="1"/>
        </w:num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Pr="00324BC3">
        <w:rPr>
          <w:rFonts w:ascii="Times New Roman" w:hAnsi="Times New Roman" w:cs="Times New Roman"/>
          <w:sz w:val="24"/>
          <w:szCs w:val="24"/>
        </w:rPr>
        <w:t>) is the outcome for the treatment group,</w:t>
      </w:r>
    </w:p>
    <w:p w14:paraId="73BE7F2E" w14:textId="77777777" w:rsidR="00FB6A85" w:rsidRPr="00324BC3" w:rsidRDefault="00FB6A85" w:rsidP="00A0674C">
      <w:pPr>
        <w:numPr>
          <w:ilvl w:val="1"/>
          <w:numId w:val="1"/>
        </w:num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oMath>
      <w:r w:rsidRPr="00324BC3">
        <w:rPr>
          <w:rFonts w:ascii="Times New Roman" w:hAnsi="Times New Roman" w:cs="Times New Roman"/>
          <w:sz w:val="24"/>
          <w:szCs w:val="24"/>
        </w:rPr>
        <w:t>) is the outcome for the control group,</w:t>
      </w:r>
    </w:p>
    <w:p w14:paraId="00FA3D50" w14:textId="77777777" w:rsidR="00651872" w:rsidRPr="00324BC3" w:rsidRDefault="00FB6A85" w:rsidP="00A0674C">
      <w:pPr>
        <w:numPr>
          <w:ilvl w:val="1"/>
          <w:numId w:val="1"/>
        </w:num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(D = 1) indicates the treatment group.</w:t>
      </w:r>
    </w:p>
    <w:p w14:paraId="548ABBC2" w14:textId="32B118B9" w:rsidR="00E95FB0" w:rsidRPr="00324BC3" w:rsidRDefault="00E95FB0"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 xml:space="preserve">Selection bias is a common concern when applying Propensity Score Matching (PSM), as it primarily accounts for observable characteristics while unobserved heterogeneity may still influence both treatment assignment and outcomes. To address this issue, the study implemented several measures. First, </w:t>
      </w:r>
      <w:r w:rsidR="00117E54">
        <w:rPr>
          <w:rFonts w:ascii="Times New Roman" w:hAnsi="Times New Roman" w:cs="Times New Roman"/>
          <w:sz w:val="24"/>
          <w:szCs w:val="24"/>
        </w:rPr>
        <w:t xml:space="preserve">careful selection of covariates such as </w:t>
      </w:r>
      <w:r w:rsidRPr="00324BC3">
        <w:rPr>
          <w:rFonts w:ascii="Times New Roman" w:hAnsi="Times New Roman" w:cs="Times New Roman"/>
          <w:sz w:val="24"/>
          <w:szCs w:val="24"/>
        </w:rPr>
        <w:t>household size, age</w:t>
      </w:r>
      <w:r w:rsidR="00A330DE">
        <w:rPr>
          <w:rFonts w:ascii="Times New Roman" w:hAnsi="Times New Roman" w:cs="Times New Roman"/>
          <w:sz w:val="24"/>
          <w:szCs w:val="24"/>
        </w:rPr>
        <w:t xml:space="preserve">, education, income, and gender </w:t>
      </w:r>
      <w:r w:rsidRPr="00324BC3">
        <w:rPr>
          <w:rFonts w:ascii="Times New Roman" w:hAnsi="Times New Roman" w:cs="Times New Roman"/>
          <w:sz w:val="24"/>
          <w:szCs w:val="24"/>
        </w:rPr>
        <w:t>was guided by both theory and prior empirical studies to minimize omitted variable bias [9, 33]. Second, balance diagnostics, including standardized bias tests and variance ratios, were conducted to confirm that matched treatment and control groups were statistically comparable after matching.</w:t>
      </w:r>
    </w:p>
    <w:p w14:paraId="6951E0EF" w14:textId="77777777" w:rsidR="00E95FB0" w:rsidRPr="00324BC3" w:rsidRDefault="00E95FB0" w:rsidP="00A330DE">
      <w:pPr>
        <w:spacing w:after="0" w:line="240" w:lineRule="auto"/>
        <w:ind w:left="1080"/>
        <w:jc w:val="both"/>
        <w:rPr>
          <w:rFonts w:ascii="Times New Roman" w:hAnsi="Times New Roman" w:cs="Times New Roman"/>
          <w:sz w:val="24"/>
          <w:szCs w:val="24"/>
        </w:rPr>
      </w:pPr>
    </w:p>
    <w:p w14:paraId="7B149245" w14:textId="50CABA23" w:rsidR="00E95FB0" w:rsidRPr="00324BC3" w:rsidRDefault="00E95FB0" w:rsidP="00B56BAF">
      <w:pPr>
        <w:spacing w:after="0" w:line="240" w:lineRule="auto"/>
        <w:jc w:val="both"/>
        <w:rPr>
          <w:rFonts w:ascii="Times New Roman" w:hAnsi="Times New Roman" w:cs="Times New Roman"/>
          <w:sz w:val="24"/>
          <w:szCs w:val="24"/>
        </w:rPr>
      </w:pPr>
      <w:r w:rsidRPr="00324BC3">
        <w:rPr>
          <w:rFonts w:ascii="Times New Roman" w:hAnsi="Times New Roman" w:cs="Times New Roman"/>
          <w:sz w:val="24"/>
          <w:szCs w:val="24"/>
        </w:rPr>
        <w:t xml:space="preserve">Nonetheless, PSM cannot fully eliminate bias arising from unobserved factors. To strengthen the robustness of the results, future extensions of this work could employ Endogenous Switching Regression (ESR), which allows simultaneous estimation of the selection equation and outcome equations while correcting for self-selection based on </w:t>
      </w:r>
      <w:r w:rsidR="000126E3" w:rsidRPr="00324BC3">
        <w:rPr>
          <w:rFonts w:ascii="Times New Roman" w:hAnsi="Times New Roman" w:cs="Times New Roman"/>
          <w:sz w:val="24"/>
          <w:szCs w:val="24"/>
        </w:rPr>
        <w:t>unobservable</w:t>
      </w:r>
      <w:r w:rsidRPr="00324BC3">
        <w:rPr>
          <w:rFonts w:ascii="Times New Roman" w:hAnsi="Times New Roman" w:cs="Times New Roman"/>
          <w:sz w:val="24"/>
          <w:szCs w:val="24"/>
        </w:rPr>
        <w:t>. ESR has been widely recommended in impact evaluation studies where treatment assignment is non-random and influenced by both observable and latent characteristics [30]. Running an ESR model alongside PSM would provide a robustness check to determine whether the results converge, thereby increasing confidence in the reliability of the findings.</w:t>
      </w:r>
    </w:p>
    <w:p w14:paraId="26D938E6" w14:textId="730CED59" w:rsidR="00FB6A85" w:rsidRPr="00324BC3" w:rsidRDefault="00E95FB0" w:rsidP="00B56BAF">
      <w:pPr>
        <w:spacing w:after="0" w:line="240" w:lineRule="auto"/>
        <w:jc w:val="both"/>
        <w:rPr>
          <w:rFonts w:ascii="Times New Roman" w:eastAsia="Times New Roman" w:hAnsi="Times New Roman" w:cs="Times New Roman"/>
          <w:sz w:val="24"/>
          <w:szCs w:val="24"/>
        </w:rPr>
      </w:pPr>
      <w:r w:rsidRPr="00324BC3">
        <w:rPr>
          <w:rFonts w:ascii="Times New Roman" w:hAnsi="Times New Roman" w:cs="Times New Roman"/>
          <w:sz w:val="24"/>
          <w:szCs w:val="24"/>
        </w:rPr>
        <w:t>Although ESR was not implemented in this analysis due to data and resource limitations, the current study acknowledges this as a methodological limitation and recommends the application of ESR in future research to control for potential selection bias from unobserved variables</w:t>
      </w:r>
    </w:p>
    <w:p w14:paraId="766887D3" w14:textId="77777777" w:rsidR="00FB6A85" w:rsidRPr="00324BC3" w:rsidRDefault="00FB6A85" w:rsidP="00B56BAF">
      <w:pPr>
        <w:spacing w:after="0" w:line="240" w:lineRule="auto"/>
        <w:jc w:val="both"/>
        <w:outlineLvl w:val="3"/>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3.4.2 Covariate Balance Diagnostics</w:t>
      </w:r>
    </w:p>
    <w:p w14:paraId="232F934E" w14:textId="77777777" w:rsidR="00FB6A85" w:rsidRPr="00324BC3" w:rsidRDefault="00FC0EA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lastRenderedPageBreak/>
        <w:t>The balance of covariates is evaluated after matching by t-tests, variance or standardized percentage bias. All covariates had bias &lt; 20%. Variance ratios were [0.62-1.62] and p-values were &gt; 0.05, which demonstrated adequate balance</w:t>
      </w:r>
      <w:r w:rsidR="00FB6A85" w:rsidRPr="00324BC3">
        <w:rPr>
          <w:rFonts w:ascii="Times New Roman" w:eastAsia="Times New Roman" w:hAnsi="Times New Roman" w:cs="Times New Roman"/>
          <w:sz w:val="24"/>
          <w:szCs w:val="24"/>
        </w:rPr>
        <w:t>.</w:t>
      </w:r>
    </w:p>
    <w:p w14:paraId="7332CF4E" w14:textId="77777777" w:rsidR="002B6E16" w:rsidRPr="00324BC3" w:rsidRDefault="002B6E16" w:rsidP="00B56BAF">
      <w:pPr>
        <w:spacing w:after="0" w:line="240" w:lineRule="auto"/>
        <w:jc w:val="both"/>
        <w:rPr>
          <w:rFonts w:ascii="Times New Roman" w:eastAsia="Times New Roman" w:hAnsi="Times New Roman" w:cs="Times New Roman"/>
          <w:b/>
          <w:sz w:val="24"/>
          <w:szCs w:val="24"/>
        </w:rPr>
      </w:pPr>
    </w:p>
    <w:p w14:paraId="7F47D779" w14:textId="30B3B927" w:rsidR="00FB6A85" w:rsidRPr="000126E3" w:rsidRDefault="005001CC" w:rsidP="00B56BAF">
      <w:pPr>
        <w:spacing w:line="240" w:lineRule="auto"/>
        <w:jc w:val="both"/>
        <w:rPr>
          <w:rFonts w:ascii="Times New Roman" w:eastAsia="Times New Roman" w:hAnsi="Times New Roman" w:cs="Times New Roman"/>
          <w:bCs/>
          <w:sz w:val="24"/>
          <w:szCs w:val="24"/>
        </w:rPr>
      </w:pPr>
      <w:r w:rsidRPr="000126E3">
        <w:rPr>
          <w:rFonts w:ascii="Times New Roman" w:eastAsia="Times New Roman" w:hAnsi="Times New Roman" w:cs="Times New Roman"/>
          <w:bCs/>
          <w:sz w:val="24"/>
          <w:szCs w:val="24"/>
        </w:rPr>
        <w:t>Table</w:t>
      </w:r>
      <w:r w:rsidR="0061634B" w:rsidRPr="000126E3">
        <w:rPr>
          <w:rFonts w:ascii="Times New Roman" w:eastAsia="Times New Roman" w:hAnsi="Times New Roman" w:cs="Times New Roman"/>
          <w:bCs/>
          <w:sz w:val="24"/>
          <w:szCs w:val="24"/>
        </w:rPr>
        <w:t xml:space="preserve"> 2</w:t>
      </w:r>
      <w:r w:rsidR="00FC0EA5" w:rsidRPr="000126E3">
        <w:rPr>
          <w:rFonts w:ascii="Times New Roman" w:eastAsia="Times New Roman" w:hAnsi="Times New Roman" w:cs="Times New Roman"/>
          <w:sz w:val="24"/>
          <w:szCs w:val="24"/>
        </w:rPr>
        <w:t xml:space="preserve">: </w:t>
      </w:r>
      <w:r w:rsidR="00FB6A85" w:rsidRPr="000126E3">
        <w:rPr>
          <w:rFonts w:ascii="Times New Roman" w:eastAsia="Times New Roman" w:hAnsi="Times New Roman" w:cs="Times New Roman"/>
          <w:iCs/>
          <w:sz w:val="24"/>
          <w:szCs w:val="24"/>
        </w:rPr>
        <w:t xml:space="preserve">Covariate Balance Test </w:t>
      </w:r>
      <w:r w:rsidR="003366BB" w:rsidRPr="000126E3">
        <w:rPr>
          <w:rFonts w:ascii="Times New Roman" w:eastAsia="Times New Roman" w:hAnsi="Times New Roman" w:cs="Times New Roman"/>
          <w:iCs/>
          <w:sz w:val="24"/>
          <w:szCs w:val="24"/>
        </w:rPr>
        <w:t>after</w:t>
      </w:r>
      <w:r w:rsidR="00FB6A85" w:rsidRPr="000126E3">
        <w:rPr>
          <w:rFonts w:ascii="Times New Roman" w:eastAsia="Times New Roman" w:hAnsi="Times New Roman" w:cs="Times New Roman"/>
          <w:iCs/>
          <w:sz w:val="24"/>
          <w:szCs w:val="24"/>
        </w:rPr>
        <w:t xml:space="preserve"> Matching</w:t>
      </w:r>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036"/>
        <w:gridCol w:w="1510"/>
        <w:gridCol w:w="1510"/>
        <w:gridCol w:w="805"/>
        <w:gridCol w:w="603"/>
        <w:gridCol w:w="840"/>
        <w:gridCol w:w="1201"/>
      </w:tblGrid>
      <w:tr w:rsidR="00FB6A85" w:rsidRPr="00324BC3" w14:paraId="2B82006A" w14:textId="77777777" w:rsidTr="00D428B4">
        <w:trPr>
          <w:trHeight w:val="441"/>
          <w:tblHeader/>
          <w:tblCellSpacing w:w="15" w:type="dxa"/>
        </w:trPr>
        <w:tc>
          <w:tcPr>
            <w:tcW w:w="0" w:type="auto"/>
            <w:tcBorders>
              <w:top w:val="single" w:sz="4" w:space="0" w:color="auto"/>
            </w:tcBorders>
            <w:vAlign w:val="center"/>
            <w:hideMark/>
          </w:tcPr>
          <w:p w14:paraId="02222BC8"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73F63DA4"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Treated Mean</w:t>
            </w:r>
          </w:p>
        </w:tc>
        <w:tc>
          <w:tcPr>
            <w:tcW w:w="0" w:type="auto"/>
            <w:tcBorders>
              <w:top w:val="single" w:sz="4" w:space="0" w:color="auto"/>
            </w:tcBorders>
            <w:vAlign w:val="center"/>
            <w:hideMark/>
          </w:tcPr>
          <w:p w14:paraId="48A7C04E"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Control Mean</w:t>
            </w:r>
          </w:p>
        </w:tc>
        <w:tc>
          <w:tcPr>
            <w:tcW w:w="0" w:type="auto"/>
            <w:tcBorders>
              <w:top w:val="single" w:sz="4" w:space="0" w:color="auto"/>
            </w:tcBorders>
            <w:vAlign w:val="center"/>
            <w:hideMark/>
          </w:tcPr>
          <w:p w14:paraId="66894753"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 Bias</w:t>
            </w:r>
          </w:p>
        </w:tc>
        <w:tc>
          <w:tcPr>
            <w:tcW w:w="0" w:type="auto"/>
            <w:tcBorders>
              <w:top w:val="single" w:sz="4" w:space="0" w:color="auto"/>
            </w:tcBorders>
            <w:vAlign w:val="center"/>
            <w:hideMark/>
          </w:tcPr>
          <w:p w14:paraId="3B8236EF"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t</w:t>
            </w:r>
          </w:p>
        </w:tc>
        <w:tc>
          <w:tcPr>
            <w:tcW w:w="0" w:type="auto"/>
            <w:tcBorders>
              <w:top w:val="single" w:sz="4" w:space="0" w:color="auto"/>
            </w:tcBorders>
            <w:vAlign w:val="center"/>
            <w:hideMark/>
          </w:tcPr>
          <w:p w14:paraId="0D824B5D"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p-value</w:t>
            </w:r>
          </w:p>
        </w:tc>
        <w:tc>
          <w:tcPr>
            <w:tcW w:w="0" w:type="auto"/>
            <w:tcBorders>
              <w:top w:val="single" w:sz="4" w:space="0" w:color="auto"/>
            </w:tcBorders>
            <w:vAlign w:val="center"/>
            <w:hideMark/>
          </w:tcPr>
          <w:p w14:paraId="5A91EEC6"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V(T)/V(C)</w:t>
            </w:r>
          </w:p>
        </w:tc>
      </w:tr>
      <w:tr w:rsidR="00FB6A85" w:rsidRPr="00324BC3" w14:paraId="4034FAC9" w14:textId="77777777" w:rsidTr="00D428B4">
        <w:trPr>
          <w:trHeight w:val="458"/>
          <w:tblCellSpacing w:w="15" w:type="dxa"/>
        </w:trPr>
        <w:tc>
          <w:tcPr>
            <w:tcW w:w="0" w:type="auto"/>
            <w:tcBorders>
              <w:top w:val="single" w:sz="4" w:space="0" w:color="auto"/>
            </w:tcBorders>
            <w:vAlign w:val="center"/>
            <w:hideMark/>
          </w:tcPr>
          <w:p w14:paraId="3556BE3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Gender</w:t>
            </w:r>
          </w:p>
        </w:tc>
        <w:tc>
          <w:tcPr>
            <w:tcW w:w="0" w:type="auto"/>
            <w:tcBorders>
              <w:top w:val="single" w:sz="4" w:space="0" w:color="auto"/>
            </w:tcBorders>
            <w:vAlign w:val="center"/>
            <w:hideMark/>
          </w:tcPr>
          <w:p w14:paraId="5BCC50C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1.3971</w:t>
            </w:r>
          </w:p>
        </w:tc>
        <w:tc>
          <w:tcPr>
            <w:tcW w:w="0" w:type="auto"/>
            <w:tcBorders>
              <w:top w:val="single" w:sz="4" w:space="0" w:color="auto"/>
            </w:tcBorders>
            <w:vAlign w:val="center"/>
            <w:hideMark/>
          </w:tcPr>
          <w:p w14:paraId="48437B0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1.3676</w:t>
            </w:r>
          </w:p>
        </w:tc>
        <w:tc>
          <w:tcPr>
            <w:tcW w:w="0" w:type="auto"/>
            <w:tcBorders>
              <w:top w:val="single" w:sz="4" w:space="0" w:color="auto"/>
            </w:tcBorders>
            <w:vAlign w:val="center"/>
            <w:hideMark/>
          </w:tcPr>
          <w:p w14:paraId="5FD34668"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5.9</w:t>
            </w:r>
          </w:p>
        </w:tc>
        <w:tc>
          <w:tcPr>
            <w:tcW w:w="0" w:type="auto"/>
            <w:tcBorders>
              <w:top w:val="single" w:sz="4" w:space="0" w:color="auto"/>
            </w:tcBorders>
            <w:vAlign w:val="center"/>
            <w:hideMark/>
          </w:tcPr>
          <w:p w14:paraId="4740EA9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0.35</w:t>
            </w:r>
          </w:p>
        </w:tc>
        <w:tc>
          <w:tcPr>
            <w:tcW w:w="0" w:type="auto"/>
            <w:tcBorders>
              <w:top w:val="single" w:sz="4" w:space="0" w:color="auto"/>
            </w:tcBorders>
            <w:vAlign w:val="center"/>
            <w:hideMark/>
          </w:tcPr>
          <w:p w14:paraId="2074381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0.727</w:t>
            </w:r>
          </w:p>
        </w:tc>
        <w:tc>
          <w:tcPr>
            <w:tcW w:w="0" w:type="auto"/>
            <w:tcBorders>
              <w:top w:val="single" w:sz="4" w:space="0" w:color="auto"/>
            </w:tcBorders>
            <w:vAlign w:val="center"/>
            <w:hideMark/>
          </w:tcPr>
          <w:p w14:paraId="259780CD"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1.03</w:t>
            </w:r>
          </w:p>
        </w:tc>
      </w:tr>
      <w:tr w:rsidR="00FB6A85" w:rsidRPr="00324BC3" w14:paraId="42BCEC38" w14:textId="77777777" w:rsidTr="00D428B4">
        <w:trPr>
          <w:trHeight w:val="441"/>
          <w:tblCellSpacing w:w="15" w:type="dxa"/>
        </w:trPr>
        <w:tc>
          <w:tcPr>
            <w:tcW w:w="0" w:type="auto"/>
            <w:vAlign w:val="center"/>
            <w:hideMark/>
          </w:tcPr>
          <w:p w14:paraId="4B85C158" w14:textId="227A1A82" w:rsidR="00FB6A85" w:rsidRPr="00324BC3" w:rsidRDefault="00FB6A85" w:rsidP="0061634B">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Age</w:t>
            </w:r>
            <w:r w:rsidR="0061634B" w:rsidRPr="00324BC3">
              <w:rPr>
                <w:rFonts w:ascii="Times New Roman" w:eastAsia="Times New Roman" w:hAnsi="Times New Roman" w:cs="Times New Roman"/>
                <w:sz w:val="24"/>
                <w:szCs w:val="24"/>
              </w:rPr>
              <w:t>Years</w:t>
            </w:r>
          </w:p>
        </w:tc>
        <w:tc>
          <w:tcPr>
            <w:tcW w:w="0" w:type="auto"/>
            <w:vAlign w:val="center"/>
            <w:hideMark/>
          </w:tcPr>
          <w:p w14:paraId="65571C04"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3.2353</w:t>
            </w:r>
          </w:p>
        </w:tc>
        <w:tc>
          <w:tcPr>
            <w:tcW w:w="0" w:type="auto"/>
            <w:vAlign w:val="center"/>
            <w:hideMark/>
          </w:tcPr>
          <w:p w14:paraId="59DAB77E"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3.4853</w:t>
            </w:r>
          </w:p>
        </w:tc>
        <w:tc>
          <w:tcPr>
            <w:tcW w:w="0" w:type="auto"/>
            <w:vAlign w:val="center"/>
            <w:hideMark/>
          </w:tcPr>
          <w:p w14:paraId="36BE4826"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-14.4</w:t>
            </w:r>
          </w:p>
        </w:tc>
        <w:tc>
          <w:tcPr>
            <w:tcW w:w="0" w:type="auto"/>
            <w:vAlign w:val="center"/>
            <w:hideMark/>
          </w:tcPr>
          <w:p w14:paraId="3CE29872"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-0.81</w:t>
            </w:r>
          </w:p>
        </w:tc>
        <w:tc>
          <w:tcPr>
            <w:tcW w:w="0" w:type="auto"/>
            <w:vAlign w:val="center"/>
            <w:hideMark/>
          </w:tcPr>
          <w:p w14:paraId="5BFF218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0.419</w:t>
            </w:r>
          </w:p>
        </w:tc>
        <w:tc>
          <w:tcPr>
            <w:tcW w:w="0" w:type="auto"/>
            <w:vAlign w:val="center"/>
            <w:hideMark/>
          </w:tcPr>
          <w:p w14:paraId="65B7441D"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0.98</w:t>
            </w:r>
          </w:p>
        </w:tc>
      </w:tr>
      <w:tr w:rsidR="00FB6A85" w:rsidRPr="00324BC3" w14:paraId="6CE6AB07" w14:textId="77777777" w:rsidTr="00D428B4">
        <w:trPr>
          <w:trHeight w:val="458"/>
          <w:tblCellSpacing w:w="15" w:type="dxa"/>
        </w:trPr>
        <w:tc>
          <w:tcPr>
            <w:tcW w:w="0" w:type="auto"/>
            <w:vAlign w:val="center"/>
            <w:hideMark/>
          </w:tcPr>
          <w:p w14:paraId="64BEF875" w14:textId="06E6E5AD" w:rsidR="00FB6A85" w:rsidRPr="00324BC3" w:rsidRDefault="0061634B"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Years of schooling</w:t>
            </w:r>
          </w:p>
        </w:tc>
        <w:tc>
          <w:tcPr>
            <w:tcW w:w="0" w:type="auto"/>
            <w:vAlign w:val="center"/>
            <w:hideMark/>
          </w:tcPr>
          <w:p w14:paraId="0D4E91B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2.0882</w:t>
            </w:r>
          </w:p>
        </w:tc>
        <w:tc>
          <w:tcPr>
            <w:tcW w:w="0" w:type="auto"/>
            <w:vAlign w:val="center"/>
            <w:hideMark/>
          </w:tcPr>
          <w:p w14:paraId="1A392B4B"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2.0882</w:t>
            </w:r>
          </w:p>
        </w:tc>
        <w:tc>
          <w:tcPr>
            <w:tcW w:w="0" w:type="auto"/>
            <w:vAlign w:val="center"/>
            <w:hideMark/>
          </w:tcPr>
          <w:p w14:paraId="1E3EA1DB"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0.0</w:t>
            </w:r>
          </w:p>
        </w:tc>
        <w:tc>
          <w:tcPr>
            <w:tcW w:w="0" w:type="auto"/>
            <w:vAlign w:val="center"/>
            <w:hideMark/>
          </w:tcPr>
          <w:p w14:paraId="63D41E9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0.00</w:t>
            </w:r>
          </w:p>
        </w:tc>
        <w:tc>
          <w:tcPr>
            <w:tcW w:w="0" w:type="auto"/>
            <w:vAlign w:val="center"/>
            <w:hideMark/>
          </w:tcPr>
          <w:p w14:paraId="5BA613AB"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1.000</w:t>
            </w:r>
          </w:p>
        </w:tc>
        <w:tc>
          <w:tcPr>
            <w:tcW w:w="0" w:type="auto"/>
            <w:vAlign w:val="center"/>
            <w:hideMark/>
          </w:tcPr>
          <w:p w14:paraId="0D4D634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1.04</w:t>
            </w:r>
          </w:p>
        </w:tc>
      </w:tr>
      <w:tr w:rsidR="00FB6A85" w:rsidRPr="00324BC3" w14:paraId="1F287F88" w14:textId="77777777" w:rsidTr="00D428B4">
        <w:trPr>
          <w:trHeight w:val="441"/>
          <w:tblCellSpacing w:w="15" w:type="dxa"/>
        </w:trPr>
        <w:tc>
          <w:tcPr>
            <w:tcW w:w="0" w:type="auto"/>
            <w:vAlign w:val="center"/>
            <w:hideMark/>
          </w:tcPr>
          <w:p w14:paraId="683C1EA1"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Household Size</w:t>
            </w:r>
          </w:p>
        </w:tc>
        <w:tc>
          <w:tcPr>
            <w:tcW w:w="0" w:type="auto"/>
            <w:vAlign w:val="center"/>
            <w:hideMark/>
          </w:tcPr>
          <w:p w14:paraId="657006B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6.6765</w:t>
            </w:r>
          </w:p>
        </w:tc>
        <w:tc>
          <w:tcPr>
            <w:tcW w:w="0" w:type="auto"/>
            <w:vAlign w:val="center"/>
            <w:hideMark/>
          </w:tcPr>
          <w:p w14:paraId="15BD85FA"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6.3529</w:t>
            </w:r>
          </w:p>
        </w:tc>
        <w:tc>
          <w:tcPr>
            <w:tcW w:w="0" w:type="auto"/>
            <w:vAlign w:val="center"/>
            <w:hideMark/>
          </w:tcPr>
          <w:p w14:paraId="22C97AD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10.3</w:t>
            </w:r>
          </w:p>
        </w:tc>
        <w:tc>
          <w:tcPr>
            <w:tcW w:w="0" w:type="auto"/>
            <w:vAlign w:val="center"/>
            <w:hideMark/>
          </w:tcPr>
          <w:p w14:paraId="267AA50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0.60</w:t>
            </w:r>
          </w:p>
        </w:tc>
        <w:tc>
          <w:tcPr>
            <w:tcW w:w="0" w:type="auto"/>
            <w:vAlign w:val="center"/>
            <w:hideMark/>
          </w:tcPr>
          <w:p w14:paraId="4A1AFC34"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0.550</w:t>
            </w:r>
          </w:p>
        </w:tc>
        <w:tc>
          <w:tcPr>
            <w:tcW w:w="0" w:type="auto"/>
            <w:vAlign w:val="center"/>
            <w:hideMark/>
          </w:tcPr>
          <w:p w14:paraId="084A22D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0.96</w:t>
            </w:r>
          </w:p>
        </w:tc>
      </w:tr>
      <w:tr w:rsidR="00FB6A85" w:rsidRPr="00324BC3" w14:paraId="64F02564" w14:textId="77777777" w:rsidTr="00D428B4">
        <w:trPr>
          <w:trHeight w:val="639"/>
          <w:tblCellSpacing w:w="15" w:type="dxa"/>
        </w:trPr>
        <w:tc>
          <w:tcPr>
            <w:tcW w:w="0" w:type="auto"/>
            <w:tcBorders>
              <w:bottom w:val="single" w:sz="4" w:space="0" w:color="auto"/>
            </w:tcBorders>
            <w:vAlign w:val="center"/>
            <w:hideMark/>
          </w:tcPr>
          <w:p w14:paraId="6FB158EC"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Monthly Income</w:t>
            </w:r>
          </w:p>
        </w:tc>
        <w:tc>
          <w:tcPr>
            <w:tcW w:w="0" w:type="auto"/>
            <w:tcBorders>
              <w:bottom w:val="single" w:sz="4" w:space="0" w:color="auto"/>
            </w:tcBorders>
            <w:vAlign w:val="center"/>
            <w:hideMark/>
          </w:tcPr>
          <w:p w14:paraId="01AD51B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3.1324</w:t>
            </w:r>
          </w:p>
        </w:tc>
        <w:tc>
          <w:tcPr>
            <w:tcW w:w="0" w:type="auto"/>
            <w:tcBorders>
              <w:bottom w:val="single" w:sz="4" w:space="0" w:color="auto"/>
            </w:tcBorders>
            <w:vAlign w:val="center"/>
            <w:hideMark/>
          </w:tcPr>
          <w:p w14:paraId="7125B12D"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3.1765</w:t>
            </w:r>
          </w:p>
        </w:tc>
        <w:tc>
          <w:tcPr>
            <w:tcW w:w="0" w:type="auto"/>
            <w:tcBorders>
              <w:bottom w:val="single" w:sz="4" w:space="0" w:color="auto"/>
            </w:tcBorders>
            <w:vAlign w:val="center"/>
            <w:hideMark/>
          </w:tcPr>
          <w:p w14:paraId="4E0AEC4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-3.2</w:t>
            </w:r>
          </w:p>
        </w:tc>
        <w:tc>
          <w:tcPr>
            <w:tcW w:w="0" w:type="auto"/>
            <w:tcBorders>
              <w:bottom w:val="single" w:sz="4" w:space="0" w:color="auto"/>
            </w:tcBorders>
            <w:vAlign w:val="center"/>
            <w:hideMark/>
          </w:tcPr>
          <w:p w14:paraId="14185EE8"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-0.19</w:t>
            </w:r>
          </w:p>
        </w:tc>
        <w:tc>
          <w:tcPr>
            <w:tcW w:w="0" w:type="auto"/>
            <w:tcBorders>
              <w:bottom w:val="single" w:sz="4" w:space="0" w:color="auto"/>
            </w:tcBorders>
            <w:vAlign w:val="center"/>
            <w:hideMark/>
          </w:tcPr>
          <w:p w14:paraId="05FD935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0.852</w:t>
            </w:r>
          </w:p>
        </w:tc>
        <w:tc>
          <w:tcPr>
            <w:tcW w:w="0" w:type="auto"/>
            <w:tcBorders>
              <w:bottom w:val="single" w:sz="4" w:space="0" w:color="auto"/>
            </w:tcBorders>
            <w:vAlign w:val="center"/>
            <w:hideMark/>
          </w:tcPr>
          <w:p w14:paraId="6C0A5F1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1.15</w:t>
            </w:r>
          </w:p>
        </w:tc>
      </w:tr>
    </w:tbl>
    <w:p w14:paraId="6BD7545A"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p>
    <w:p w14:paraId="3ECBF788"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p>
    <w:p w14:paraId="31E3F98B" w14:textId="77777777" w:rsidR="00FB6A85" w:rsidRPr="00324BC3" w:rsidRDefault="00FB6A85" w:rsidP="00B56BAF">
      <w:pPr>
        <w:spacing w:after="0" w:line="240" w:lineRule="auto"/>
        <w:jc w:val="both"/>
        <w:outlineLvl w:val="3"/>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3.4.3 PSM Sensitivity and Overall Balance</w:t>
      </w:r>
    </w:p>
    <w:p w14:paraId="333A683B" w14:textId="21412297" w:rsidR="00651872" w:rsidRPr="00324BC3" w:rsidRDefault="00651872" w:rsidP="00B56BAF">
      <w:pPr>
        <w:spacing w:after="0" w:line="240" w:lineRule="auto"/>
        <w:jc w:val="both"/>
        <w:rPr>
          <w:rFonts w:ascii="Times New Roman" w:eastAsia="Times New Roman" w:hAnsi="Times New Roman" w:cs="Times New Roman"/>
          <w:sz w:val="24"/>
          <w:szCs w:val="24"/>
          <w:vertAlign w:val="superscript"/>
        </w:rPr>
      </w:pPr>
      <w:r w:rsidRPr="00324BC3">
        <w:rPr>
          <w:rFonts w:ascii="Times New Roman" w:hAnsi="Times New Roman" w:cs="Times New Roman"/>
          <w:sz w:val="24"/>
          <w:szCs w:val="24"/>
        </w:rPr>
        <w:t>The Pseudo R² was used to assess the sensitivity of the models, while the bias statistics and chi-square test were also employed. The PSM model showed little difference between groups, with the low Pseudo R² and LR chi-square confirming this.</w:t>
      </w:r>
    </w:p>
    <w:p w14:paraId="764AFF28" w14:textId="77777777" w:rsidR="0061634B" w:rsidRPr="00324BC3" w:rsidRDefault="0061634B" w:rsidP="00B56BAF">
      <w:pPr>
        <w:spacing w:after="0" w:line="240" w:lineRule="auto"/>
        <w:jc w:val="both"/>
        <w:rPr>
          <w:rFonts w:ascii="Times New Roman" w:eastAsia="Times New Roman" w:hAnsi="Times New Roman" w:cs="Times New Roman"/>
          <w:bCs/>
          <w:sz w:val="24"/>
          <w:szCs w:val="24"/>
        </w:rPr>
      </w:pPr>
    </w:p>
    <w:p w14:paraId="36B89A87" w14:textId="7952BDDF" w:rsidR="00FB6A85" w:rsidRPr="00324BC3" w:rsidRDefault="0061634B" w:rsidP="00B56BAF">
      <w:pPr>
        <w:spacing w:after="0" w:line="240" w:lineRule="auto"/>
        <w:jc w:val="both"/>
        <w:rPr>
          <w:rFonts w:ascii="Times New Roman" w:eastAsia="Times New Roman" w:hAnsi="Times New Roman" w:cs="Times New Roman"/>
          <w:sz w:val="24"/>
          <w:szCs w:val="24"/>
          <w:vertAlign w:val="superscript"/>
        </w:rPr>
      </w:pPr>
      <w:r w:rsidRPr="00324BC3">
        <w:rPr>
          <w:rFonts w:ascii="Times New Roman" w:eastAsia="Times New Roman" w:hAnsi="Times New Roman" w:cs="Times New Roman"/>
          <w:bCs/>
          <w:sz w:val="24"/>
          <w:szCs w:val="24"/>
        </w:rPr>
        <w:t>Table 3</w:t>
      </w:r>
      <w:r w:rsidR="001A048B" w:rsidRPr="00324BC3">
        <w:rPr>
          <w:rFonts w:ascii="Times New Roman" w:eastAsia="Times New Roman" w:hAnsi="Times New Roman" w:cs="Times New Roman"/>
          <w:sz w:val="24"/>
          <w:szCs w:val="24"/>
        </w:rPr>
        <w:t xml:space="preserve">: </w:t>
      </w:r>
      <w:r w:rsidR="00FB6A85" w:rsidRPr="00324BC3">
        <w:rPr>
          <w:rFonts w:ascii="Times New Roman" w:eastAsia="Times New Roman" w:hAnsi="Times New Roman" w:cs="Times New Roman"/>
          <w:iCs/>
          <w:sz w:val="24"/>
          <w:szCs w:val="24"/>
        </w:rPr>
        <w:t>Overall Balance and Sensitivity Diagnostics</w:t>
      </w:r>
    </w:p>
    <w:tbl>
      <w:tblPr>
        <w:tblW w:w="8591" w:type="dxa"/>
        <w:tblCellSpacing w:w="15" w:type="dxa"/>
        <w:tblCellMar>
          <w:top w:w="15" w:type="dxa"/>
          <w:left w:w="15" w:type="dxa"/>
          <w:bottom w:w="15" w:type="dxa"/>
          <w:right w:w="15" w:type="dxa"/>
        </w:tblCellMar>
        <w:tblLook w:val="04A0" w:firstRow="1" w:lastRow="0" w:firstColumn="1" w:lastColumn="0" w:noHBand="0" w:noVBand="1"/>
      </w:tblPr>
      <w:tblGrid>
        <w:gridCol w:w="6686"/>
        <w:gridCol w:w="1905"/>
      </w:tblGrid>
      <w:tr w:rsidR="00FB6A85" w:rsidRPr="00324BC3" w14:paraId="45A2B136" w14:textId="77777777" w:rsidTr="00D428B4">
        <w:trPr>
          <w:trHeight w:val="290"/>
          <w:tblHeader/>
          <w:tblCellSpacing w:w="15" w:type="dxa"/>
        </w:trPr>
        <w:tc>
          <w:tcPr>
            <w:tcW w:w="0" w:type="auto"/>
            <w:tcBorders>
              <w:top w:val="single" w:sz="4" w:space="0" w:color="auto"/>
            </w:tcBorders>
            <w:vAlign w:val="center"/>
            <w:hideMark/>
          </w:tcPr>
          <w:p w14:paraId="630D0BC0" w14:textId="77777777" w:rsidR="00FB6A85" w:rsidRPr="00324BC3" w:rsidRDefault="00FB6A85" w:rsidP="00B56BAF">
            <w:pPr>
              <w:spacing w:after="0" w:line="240" w:lineRule="auto"/>
              <w:jc w:val="both"/>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Statistic</w:t>
            </w:r>
          </w:p>
        </w:tc>
        <w:tc>
          <w:tcPr>
            <w:tcW w:w="0" w:type="auto"/>
            <w:tcBorders>
              <w:top w:val="single" w:sz="4" w:space="0" w:color="auto"/>
            </w:tcBorders>
            <w:vAlign w:val="center"/>
            <w:hideMark/>
          </w:tcPr>
          <w:p w14:paraId="0688B55F" w14:textId="77777777" w:rsidR="00FB6A85" w:rsidRPr="00324BC3" w:rsidRDefault="00FB6A85" w:rsidP="00B56BAF">
            <w:pPr>
              <w:spacing w:after="0" w:line="240" w:lineRule="auto"/>
              <w:jc w:val="both"/>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Value</w:t>
            </w:r>
          </w:p>
        </w:tc>
      </w:tr>
      <w:tr w:rsidR="00FB6A85" w:rsidRPr="00324BC3" w14:paraId="130C4927" w14:textId="77777777" w:rsidTr="00D428B4">
        <w:trPr>
          <w:trHeight w:val="290"/>
          <w:tblCellSpacing w:w="15" w:type="dxa"/>
        </w:trPr>
        <w:tc>
          <w:tcPr>
            <w:tcW w:w="0" w:type="auto"/>
            <w:tcBorders>
              <w:top w:val="single" w:sz="4" w:space="0" w:color="auto"/>
            </w:tcBorders>
            <w:vAlign w:val="center"/>
            <w:hideMark/>
          </w:tcPr>
          <w:p w14:paraId="0D754B33"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Pseudo R²</w:t>
            </w:r>
          </w:p>
        </w:tc>
        <w:tc>
          <w:tcPr>
            <w:tcW w:w="0" w:type="auto"/>
            <w:tcBorders>
              <w:top w:val="single" w:sz="4" w:space="0" w:color="auto"/>
            </w:tcBorders>
            <w:vAlign w:val="center"/>
            <w:hideMark/>
          </w:tcPr>
          <w:p w14:paraId="67D28A3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0.006</w:t>
            </w:r>
          </w:p>
        </w:tc>
      </w:tr>
      <w:tr w:rsidR="00FB6A85" w:rsidRPr="00324BC3" w14:paraId="2933216B" w14:textId="77777777" w:rsidTr="00D428B4">
        <w:trPr>
          <w:trHeight w:val="306"/>
          <w:tblCellSpacing w:w="15" w:type="dxa"/>
        </w:trPr>
        <w:tc>
          <w:tcPr>
            <w:tcW w:w="0" w:type="auto"/>
            <w:vAlign w:val="center"/>
            <w:hideMark/>
          </w:tcPr>
          <w:p w14:paraId="595F1E5B"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LR χ²</w:t>
            </w:r>
          </w:p>
        </w:tc>
        <w:tc>
          <w:tcPr>
            <w:tcW w:w="0" w:type="auto"/>
            <w:vAlign w:val="center"/>
            <w:hideMark/>
          </w:tcPr>
          <w:p w14:paraId="311C63F3"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1.06</w:t>
            </w:r>
          </w:p>
        </w:tc>
      </w:tr>
      <w:tr w:rsidR="00FB6A85" w:rsidRPr="00324BC3" w14:paraId="60D75DA3" w14:textId="77777777" w:rsidTr="00D428B4">
        <w:trPr>
          <w:trHeight w:val="290"/>
          <w:tblCellSpacing w:w="15" w:type="dxa"/>
        </w:trPr>
        <w:tc>
          <w:tcPr>
            <w:tcW w:w="0" w:type="auto"/>
            <w:vAlign w:val="center"/>
            <w:hideMark/>
          </w:tcPr>
          <w:p w14:paraId="2995CBEE"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p-value</w:t>
            </w:r>
          </w:p>
        </w:tc>
        <w:tc>
          <w:tcPr>
            <w:tcW w:w="0" w:type="auto"/>
            <w:vAlign w:val="center"/>
            <w:hideMark/>
          </w:tcPr>
          <w:p w14:paraId="72BD3CEE"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0.958</w:t>
            </w:r>
          </w:p>
        </w:tc>
      </w:tr>
      <w:tr w:rsidR="00FB6A85" w:rsidRPr="00324BC3" w14:paraId="75EB2316" w14:textId="77777777" w:rsidTr="00D428B4">
        <w:trPr>
          <w:trHeight w:val="290"/>
          <w:tblCellSpacing w:w="15" w:type="dxa"/>
        </w:trPr>
        <w:tc>
          <w:tcPr>
            <w:tcW w:w="0" w:type="auto"/>
            <w:vAlign w:val="center"/>
            <w:hideMark/>
          </w:tcPr>
          <w:p w14:paraId="413014B3"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Mean Bias (%)</w:t>
            </w:r>
          </w:p>
        </w:tc>
        <w:tc>
          <w:tcPr>
            <w:tcW w:w="0" w:type="auto"/>
            <w:vAlign w:val="center"/>
            <w:hideMark/>
          </w:tcPr>
          <w:p w14:paraId="6C96F2BD"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6.8</w:t>
            </w:r>
          </w:p>
        </w:tc>
      </w:tr>
      <w:tr w:rsidR="00FB6A85" w:rsidRPr="00324BC3" w14:paraId="713697EC" w14:textId="77777777" w:rsidTr="00D428B4">
        <w:trPr>
          <w:trHeight w:val="306"/>
          <w:tblCellSpacing w:w="15" w:type="dxa"/>
        </w:trPr>
        <w:tc>
          <w:tcPr>
            <w:tcW w:w="0" w:type="auto"/>
            <w:vAlign w:val="center"/>
            <w:hideMark/>
          </w:tcPr>
          <w:p w14:paraId="58ADE88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Median Bias (%)</w:t>
            </w:r>
          </w:p>
        </w:tc>
        <w:tc>
          <w:tcPr>
            <w:tcW w:w="0" w:type="auto"/>
            <w:vAlign w:val="center"/>
            <w:hideMark/>
          </w:tcPr>
          <w:p w14:paraId="22BE14F4"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5.9</w:t>
            </w:r>
          </w:p>
        </w:tc>
      </w:tr>
      <w:tr w:rsidR="00FB6A85" w:rsidRPr="00324BC3" w14:paraId="77384ED6" w14:textId="77777777" w:rsidTr="00D428B4">
        <w:trPr>
          <w:trHeight w:val="290"/>
          <w:tblCellSpacing w:w="15" w:type="dxa"/>
        </w:trPr>
        <w:tc>
          <w:tcPr>
            <w:tcW w:w="0" w:type="auto"/>
            <w:vAlign w:val="center"/>
            <w:hideMark/>
          </w:tcPr>
          <w:p w14:paraId="566F3D48"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B-statistic (%)</w:t>
            </w:r>
          </w:p>
        </w:tc>
        <w:tc>
          <w:tcPr>
            <w:tcW w:w="0" w:type="auto"/>
            <w:vAlign w:val="center"/>
            <w:hideMark/>
          </w:tcPr>
          <w:p w14:paraId="048ED97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17.6</w:t>
            </w:r>
          </w:p>
        </w:tc>
      </w:tr>
      <w:tr w:rsidR="00FB6A85" w:rsidRPr="00324BC3" w14:paraId="2112CB02" w14:textId="77777777" w:rsidTr="00D428B4">
        <w:trPr>
          <w:trHeight w:val="306"/>
          <w:tblCellSpacing w:w="15" w:type="dxa"/>
        </w:trPr>
        <w:tc>
          <w:tcPr>
            <w:tcW w:w="0" w:type="auto"/>
            <w:vAlign w:val="center"/>
            <w:hideMark/>
          </w:tcPr>
          <w:p w14:paraId="46356DF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R</w:t>
            </w:r>
          </w:p>
        </w:tc>
        <w:tc>
          <w:tcPr>
            <w:tcW w:w="0" w:type="auto"/>
            <w:vAlign w:val="center"/>
            <w:hideMark/>
          </w:tcPr>
          <w:p w14:paraId="0AC77651"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0.99</w:t>
            </w:r>
          </w:p>
        </w:tc>
      </w:tr>
      <w:tr w:rsidR="00FB6A85" w:rsidRPr="00324BC3" w14:paraId="5434A7ED" w14:textId="77777777" w:rsidTr="00D428B4">
        <w:trPr>
          <w:trHeight w:val="290"/>
          <w:tblCellSpacing w:w="15" w:type="dxa"/>
        </w:trPr>
        <w:tc>
          <w:tcPr>
            <w:tcW w:w="0" w:type="auto"/>
            <w:tcBorders>
              <w:bottom w:val="single" w:sz="4" w:space="0" w:color="auto"/>
            </w:tcBorders>
            <w:vAlign w:val="center"/>
            <w:hideMark/>
          </w:tcPr>
          <w:p w14:paraId="6902CD7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Var Outside Bounds</w:t>
            </w:r>
          </w:p>
        </w:tc>
        <w:tc>
          <w:tcPr>
            <w:tcW w:w="0" w:type="auto"/>
            <w:tcBorders>
              <w:bottom w:val="single" w:sz="4" w:space="0" w:color="auto"/>
            </w:tcBorders>
            <w:vAlign w:val="center"/>
            <w:hideMark/>
          </w:tcPr>
          <w:p w14:paraId="2B9026FE"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w:t>
            </w:r>
          </w:p>
        </w:tc>
      </w:tr>
    </w:tbl>
    <w:p w14:paraId="7964D9BF" w14:textId="77777777" w:rsidR="00651872" w:rsidRPr="00324BC3" w:rsidRDefault="00651872" w:rsidP="00B56BAF">
      <w:pPr>
        <w:spacing w:after="0" w:line="240" w:lineRule="auto"/>
        <w:jc w:val="both"/>
        <w:outlineLvl w:val="3"/>
        <w:rPr>
          <w:rFonts w:ascii="Times New Roman" w:eastAsia="Times New Roman" w:hAnsi="Times New Roman" w:cs="Times New Roman"/>
          <w:b/>
          <w:bCs/>
          <w:sz w:val="24"/>
          <w:szCs w:val="24"/>
        </w:rPr>
      </w:pPr>
    </w:p>
    <w:p w14:paraId="031B1E25" w14:textId="147F7980" w:rsidR="00FB6A85" w:rsidRPr="00324BC3" w:rsidRDefault="00FB6A85" w:rsidP="00B56BAF">
      <w:pPr>
        <w:spacing w:after="0" w:line="240" w:lineRule="auto"/>
        <w:jc w:val="both"/>
        <w:outlineLvl w:val="3"/>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3.4.4 Other Statistical Diagnostics</w:t>
      </w:r>
    </w:p>
    <w:p w14:paraId="7D359415" w14:textId="21F585E1" w:rsidR="00651872"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To validate the robustness of the regression model and ensure data assumptions were met, diagnostic tests were performed on key food security outcome regressions.</w:t>
      </w:r>
    </w:p>
    <w:p w14:paraId="7E8ED05E" w14:textId="77777777" w:rsidR="00B83365" w:rsidRPr="00324BC3" w:rsidRDefault="00FB6A85" w:rsidP="00A0674C">
      <w:pPr>
        <w:pStyle w:val="ListParagraph"/>
        <w:numPr>
          <w:ilvl w:val="3"/>
          <w:numId w:val="3"/>
        </w:num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
          <w:bCs/>
          <w:sz w:val="24"/>
          <w:szCs w:val="24"/>
        </w:rPr>
        <w:t>Normality Test</w:t>
      </w:r>
    </w:p>
    <w:p w14:paraId="47DCA8AC"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The </w:t>
      </w:r>
      <w:r w:rsidRPr="00324BC3">
        <w:rPr>
          <w:rFonts w:ascii="Times New Roman" w:eastAsia="Times New Roman" w:hAnsi="Times New Roman" w:cs="Times New Roman"/>
          <w:bCs/>
          <w:sz w:val="24"/>
          <w:szCs w:val="24"/>
        </w:rPr>
        <w:t>Shapiro-Wilk test</w:t>
      </w:r>
      <w:r w:rsidRPr="00324BC3">
        <w:rPr>
          <w:rFonts w:ascii="Times New Roman" w:eastAsia="Times New Roman" w:hAnsi="Times New Roman" w:cs="Times New Roman"/>
          <w:sz w:val="24"/>
          <w:szCs w:val="24"/>
        </w:rPr>
        <w:t xml:space="preserve"> confirmed that residuals followed a normal distribution (p &gt; 0.05), validating the use of OLS for ATT estimation.</w:t>
      </w:r>
    </w:p>
    <w:p w14:paraId="773FB881" w14:textId="77777777" w:rsidR="00916E9D" w:rsidRPr="00324BC3" w:rsidRDefault="00916E9D" w:rsidP="00B56BAF">
      <w:pPr>
        <w:spacing w:after="0" w:line="240" w:lineRule="auto"/>
        <w:jc w:val="both"/>
        <w:rPr>
          <w:rFonts w:ascii="Times New Roman" w:eastAsia="Times New Roman" w:hAnsi="Times New Roman" w:cs="Times New Roman"/>
          <w:sz w:val="24"/>
          <w:szCs w:val="24"/>
        </w:rPr>
      </w:pPr>
    </w:p>
    <w:p w14:paraId="62962DE3" w14:textId="41788B99" w:rsidR="00916E9D" w:rsidRPr="00324BC3" w:rsidRDefault="0061634B"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Table 4</w:t>
      </w:r>
      <w:r w:rsidR="00527756" w:rsidRPr="00324BC3">
        <w:rPr>
          <w:rFonts w:ascii="Times New Roman" w:eastAsia="Times New Roman" w:hAnsi="Times New Roman" w:cs="Times New Roman"/>
          <w:sz w:val="24"/>
          <w:szCs w:val="24"/>
        </w:rPr>
        <w:t xml:space="preserve">: </w:t>
      </w:r>
      <w:r w:rsidR="00916E9D" w:rsidRPr="00324BC3">
        <w:rPr>
          <w:rFonts w:ascii="Times New Roman" w:eastAsia="Times New Roman" w:hAnsi="Times New Roman" w:cs="Times New Roman"/>
          <w:sz w:val="24"/>
          <w:szCs w:val="24"/>
        </w:rPr>
        <w:t>Shapiro–Wilk Normality Test for ATT (OLS) Overall Residuals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8"/>
        <w:gridCol w:w="420"/>
        <w:gridCol w:w="1694"/>
        <w:gridCol w:w="780"/>
        <w:gridCol w:w="2282"/>
      </w:tblGrid>
      <w:tr w:rsidR="008A2B44" w:rsidRPr="00324BC3" w14:paraId="21A1066B" w14:textId="77777777" w:rsidTr="008A2B44">
        <w:trPr>
          <w:tblHeader/>
          <w:tblCellSpacing w:w="15" w:type="dxa"/>
        </w:trPr>
        <w:tc>
          <w:tcPr>
            <w:tcW w:w="0" w:type="auto"/>
            <w:tcBorders>
              <w:top w:val="single" w:sz="4" w:space="0" w:color="auto"/>
              <w:bottom w:val="single" w:sz="4" w:space="0" w:color="auto"/>
            </w:tcBorders>
            <w:vAlign w:val="center"/>
            <w:hideMark/>
          </w:tcPr>
          <w:p w14:paraId="366B5593" w14:textId="77777777" w:rsidR="008A2B44" w:rsidRPr="00324BC3" w:rsidRDefault="008A2B44"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lastRenderedPageBreak/>
              <w:t>Model / Residuals</w:t>
            </w:r>
          </w:p>
        </w:tc>
        <w:tc>
          <w:tcPr>
            <w:tcW w:w="0" w:type="auto"/>
            <w:tcBorders>
              <w:top w:val="single" w:sz="4" w:space="0" w:color="auto"/>
              <w:bottom w:val="single" w:sz="4" w:space="0" w:color="auto"/>
            </w:tcBorders>
            <w:vAlign w:val="center"/>
            <w:hideMark/>
          </w:tcPr>
          <w:p w14:paraId="4EBEC8C2" w14:textId="77777777" w:rsidR="008A2B44" w:rsidRPr="00324BC3" w:rsidRDefault="008A2B44"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N</w:t>
            </w:r>
          </w:p>
        </w:tc>
        <w:tc>
          <w:tcPr>
            <w:tcW w:w="0" w:type="auto"/>
            <w:tcBorders>
              <w:top w:val="single" w:sz="4" w:space="0" w:color="auto"/>
              <w:bottom w:val="single" w:sz="4" w:space="0" w:color="auto"/>
            </w:tcBorders>
            <w:vAlign w:val="center"/>
            <w:hideMark/>
          </w:tcPr>
          <w:p w14:paraId="0828AAF3" w14:textId="77777777" w:rsidR="008A2B44" w:rsidRPr="00324BC3" w:rsidRDefault="008A2B44"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Shapiro–Wilk W</w:t>
            </w:r>
          </w:p>
        </w:tc>
        <w:tc>
          <w:tcPr>
            <w:tcW w:w="0" w:type="auto"/>
            <w:tcBorders>
              <w:top w:val="single" w:sz="4" w:space="0" w:color="auto"/>
              <w:bottom w:val="single" w:sz="4" w:space="0" w:color="auto"/>
            </w:tcBorders>
            <w:vAlign w:val="center"/>
            <w:hideMark/>
          </w:tcPr>
          <w:p w14:paraId="1B32D20B" w14:textId="77777777" w:rsidR="008A2B44" w:rsidRPr="00324BC3" w:rsidRDefault="008A2B44"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p-value</w:t>
            </w:r>
          </w:p>
        </w:tc>
        <w:tc>
          <w:tcPr>
            <w:tcW w:w="0" w:type="auto"/>
            <w:tcBorders>
              <w:top w:val="single" w:sz="4" w:space="0" w:color="auto"/>
              <w:bottom w:val="single" w:sz="4" w:space="0" w:color="auto"/>
            </w:tcBorders>
            <w:vAlign w:val="center"/>
            <w:hideMark/>
          </w:tcPr>
          <w:p w14:paraId="07B0B875" w14:textId="77777777" w:rsidR="008A2B44" w:rsidRPr="00324BC3" w:rsidRDefault="008A2B44"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Decision (α = .05)</w:t>
            </w:r>
          </w:p>
        </w:tc>
      </w:tr>
      <w:tr w:rsidR="008A2B44" w:rsidRPr="00324BC3" w14:paraId="363CDC04" w14:textId="77777777" w:rsidTr="008A2B44">
        <w:trPr>
          <w:tblCellSpacing w:w="15" w:type="dxa"/>
        </w:trPr>
        <w:tc>
          <w:tcPr>
            <w:tcW w:w="0" w:type="auto"/>
            <w:tcBorders>
              <w:bottom w:val="single" w:sz="4" w:space="0" w:color="auto"/>
            </w:tcBorders>
            <w:vAlign w:val="center"/>
            <w:hideMark/>
          </w:tcPr>
          <w:p w14:paraId="39800D44" w14:textId="77777777" w:rsidR="008A2B44" w:rsidRPr="00324BC3" w:rsidRDefault="008A2B44"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ATT (OLS) – Overall residuals</w:t>
            </w:r>
          </w:p>
        </w:tc>
        <w:tc>
          <w:tcPr>
            <w:tcW w:w="0" w:type="auto"/>
            <w:tcBorders>
              <w:bottom w:val="single" w:sz="4" w:space="0" w:color="auto"/>
            </w:tcBorders>
            <w:vAlign w:val="center"/>
            <w:hideMark/>
          </w:tcPr>
          <w:p w14:paraId="0089ADBE" w14:textId="77777777" w:rsidR="008A2B44" w:rsidRPr="00324BC3" w:rsidRDefault="008A2B44"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240</w:t>
            </w:r>
          </w:p>
        </w:tc>
        <w:tc>
          <w:tcPr>
            <w:tcW w:w="0" w:type="auto"/>
            <w:tcBorders>
              <w:bottom w:val="single" w:sz="4" w:space="0" w:color="auto"/>
            </w:tcBorders>
            <w:vAlign w:val="center"/>
            <w:hideMark/>
          </w:tcPr>
          <w:p w14:paraId="3CDB02CD" w14:textId="77777777" w:rsidR="008A2B44" w:rsidRPr="00324BC3" w:rsidRDefault="008A2B44"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0.983</w:t>
            </w:r>
          </w:p>
        </w:tc>
        <w:tc>
          <w:tcPr>
            <w:tcW w:w="0" w:type="auto"/>
            <w:tcBorders>
              <w:bottom w:val="single" w:sz="4" w:space="0" w:color="auto"/>
            </w:tcBorders>
            <w:vAlign w:val="center"/>
            <w:hideMark/>
          </w:tcPr>
          <w:p w14:paraId="390755D4" w14:textId="77777777" w:rsidR="008A2B44" w:rsidRPr="00324BC3" w:rsidRDefault="008A2B44"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.114</w:t>
            </w:r>
          </w:p>
        </w:tc>
        <w:tc>
          <w:tcPr>
            <w:tcW w:w="0" w:type="auto"/>
            <w:tcBorders>
              <w:bottom w:val="single" w:sz="4" w:space="0" w:color="auto"/>
            </w:tcBorders>
            <w:vAlign w:val="center"/>
            <w:hideMark/>
          </w:tcPr>
          <w:p w14:paraId="697485C6" w14:textId="77777777" w:rsidR="008A2B44" w:rsidRPr="00324BC3" w:rsidRDefault="008A2B44"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Fail to reject normality</w:t>
            </w:r>
          </w:p>
        </w:tc>
      </w:tr>
    </w:tbl>
    <w:p w14:paraId="57D14C2F" w14:textId="77777777" w:rsidR="00916E9D" w:rsidRPr="00324BC3" w:rsidRDefault="00916E9D" w:rsidP="00B56BAF">
      <w:pPr>
        <w:spacing w:after="0" w:line="240" w:lineRule="auto"/>
        <w:jc w:val="both"/>
        <w:rPr>
          <w:rFonts w:ascii="Times New Roman" w:eastAsia="Times New Roman" w:hAnsi="Times New Roman" w:cs="Times New Roman"/>
          <w:sz w:val="24"/>
          <w:szCs w:val="24"/>
        </w:rPr>
      </w:pPr>
    </w:p>
    <w:p w14:paraId="136492E6" w14:textId="77777777" w:rsidR="00916E9D" w:rsidRPr="00324BC3" w:rsidRDefault="00527756"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Shapiro-Wilk normality test was used to determine whether the residuals of ATT (OLS) model followed a normal distribution. The resulting test statistic was W = 0.983 and the p-value was .114 which exceeded the conventional significance of alpha =.05. Because of that the null hypothesis of normality was not rejected. This observation indicates that the residuals were in a decent way normally distributed. The normality of residuals is a crucial assumption in the validity of the Ordinary Least Squares (OLS) regression assuring that the estimation outcomes of the ATT are valid and appropriate to be used in interpretation efforts.</w:t>
      </w:r>
    </w:p>
    <w:p w14:paraId="146443A5" w14:textId="77777777" w:rsidR="00527756" w:rsidRPr="00324BC3" w:rsidRDefault="00527756" w:rsidP="00B56BAF">
      <w:pPr>
        <w:spacing w:after="0" w:line="240" w:lineRule="auto"/>
        <w:jc w:val="both"/>
        <w:rPr>
          <w:rFonts w:ascii="Times New Roman" w:eastAsia="Times New Roman" w:hAnsi="Times New Roman" w:cs="Times New Roman"/>
          <w:sz w:val="24"/>
          <w:szCs w:val="24"/>
        </w:rPr>
      </w:pPr>
    </w:p>
    <w:p w14:paraId="6583CC5C" w14:textId="77777777" w:rsidR="00B83365" w:rsidRPr="00324BC3" w:rsidRDefault="00FB6A85" w:rsidP="00A0674C">
      <w:pPr>
        <w:pStyle w:val="ListParagraph"/>
        <w:numPr>
          <w:ilvl w:val="3"/>
          <w:numId w:val="3"/>
        </w:num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
          <w:bCs/>
          <w:sz w:val="24"/>
          <w:szCs w:val="24"/>
        </w:rPr>
        <w:t>Multicollinearity Test</w:t>
      </w:r>
    </w:p>
    <w:p w14:paraId="6A2ACA39" w14:textId="5C4EC3EF" w:rsidR="00651872"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Variance Inflation Factors (VIF)</w:t>
      </w:r>
      <w:r w:rsidRPr="00324BC3">
        <w:rPr>
          <w:rFonts w:ascii="Times New Roman" w:eastAsia="Times New Roman" w:hAnsi="Times New Roman" w:cs="Times New Roman"/>
          <w:sz w:val="24"/>
          <w:szCs w:val="24"/>
        </w:rPr>
        <w:t xml:space="preserve"> were calculated to test for multicollinearity among covariates.</w:t>
      </w:r>
    </w:p>
    <w:p w14:paraId="4CB53E44" w14:textId="77777777" w:rsidR="00651872" w:rsidRPr="00324BC3" w:rsidRDefault="00651872" w:rsidP="00B56BAF">
      <w:pPr>
        <w:spacing w:after="0" w:line="240" w:lineRule="auto"/>
        <w:jc w:val="both"/>
        <w:rPr>
          <w:rFonts w:ascii="Times New Roman" w:eastAsia="Times New Roman" w:hAnsi="Times New Roman" w:cs="Times New Roman"/>
          <w:sz w:val="24"/>
          <w:szCs w:val="24"/>
        </w:rPr>
      </w:pPr>
    </w:p>
    <w:p w14:paraId="1E499C4C" w14:textId="61749435" w:rsidR="00FB6A85" w:rsidRPr="00324BC3" w:rsidRDefault="0061634B"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Table 5</w:t>
      </w:r>
      <w:r w:rsidR="001A048B" w:rsidRPr="00324BC3">
        <w:rPr>
          <w:rFonts w:ascii="Times New Roman" w:eastAsia="Times New Roman" w:hAnsi="Times New Roman" w:cs="Times New Roman"/>
          <w:sz w:val="24"/>
          <w:szCs w:val="24"/>
        </w:rPr>
        <w:t xml:space="preserve">: </w:t>
      </w:r>
      <w:r w:rsidR="00FB6A85" w:rsidRPr="00324BC3">
        <w:rPr>
          <w:rFonts w:ascii="Times New Roman" w:eastAsia="Times New Roman" w:hAnsi="Times New Roman" w:cs="Times New Roman"/>
          <w:iCs/>
          <w:sz w:val="24"/>
          <w:szCs w:val="24"/>
        </w:rPr>
        <w:t>Variance Inflation Factor (VIF) Results</w:t>
      </w:r>
    </w:p>
    <w:tbl>
      <w:tblPr>
        <w:tblW w:w="8484" w:type="dxa"/>
        <w:tblCellSpacing w:w="15" w:type="dxa"/>
        <w:tblCellMar>
          <w:top w:w="15" w:type="dxa"/>
          <w:left w:w="15" w:type="dxa"/>
          <w:bottom w:w="15" w:type="dxa"/>
          <w:right w:w="15" w:type="dxa"/>
        </w:tblCellMar>
        <w:tblLook w:val="04A0" w:firstRow="1" w:lastRow="0" w:firstColumn="1" w:lastColumn="0" w:noHBand="0" w:noVBand="1"/>
      </w:tblPr>
      <w:tblGrid>
        <w:gridCol w:w="3583"/>
        <w:gridCol w:w="1003"/>
        <w:gridCol w:w="3898"/>
      </w:tblGrid>
      <w:tr w:rsidR="00FB6A85" w:rsidRPr="00324BC3" w14:paraId="6B76B711" w14:textId="77777777" w:rsidTr="00D428B4">
        <w:trPr>
          <w:trHeight w:val="265"/>
          <w:tblHeader/>
          <w:tblCellSpacing w:w="15" w:type="dxa"/>
        </w:trPr>
        <w:tc>
          <w:tcPr>
            <w:tcW w:w="0" w:type="auto"/>
            <w:tcBorders>
              <w:top w:val="single" w:sz="4" w:space="0" w:color="auto"/>
            </w:tcBorders>
            <w:vAlign w:val="center"/>
            <w:hideMark/>
          </w:tcPr>
          <w:p w14:paraId="08FDDF30"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0E67E42C"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VIF</w:t>
            </w:r>
          </w:p>
        </w:tc>
        <w:tc>
          <w:tcPr>
            <w:tcW w:w="0" w:type="auto"/>
            <w:tcBorders>
              <w:top w:val="single" w:sz="4" w:space="0" w:color="auto"/>
            </w:tcBorders>
            <w:vAlign w:val="center"/>
            <w:hideMark/>
          </w:tcPr>
          <w:p w14:paraId="42A91425"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Tolerance (1/VIF)</w:t>
            </w:r>
          </w:p>
        </w:tc>
      </w:tr>
      <w:tr w:rsidR="00FB6A85" w:rsidRPr="00324BC3" w14:paraId="47781A28" w14:textId="77777777" w:rsidTr="00D428B4">
        <w:trPr>
          <w:trHeight w:val="265"/>
          <w:tblCellSpacing w:w="15" w:type="dxa"/>
        </w:trPr>
        <w:tc>
          <w:tcPr>
            <w:tcW w:w="0" w:type="auto"/>
            <w:tcBorders>
              <w:top w:val="single" w:sz="4" w:space="0" w:color="auto"/>
            </w:tcBorders>
            <w:vAlign w:val="center"/>
            <w:hideMark/>
          </w:tcPr>
          <w:p w14:paraId="4459E908"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Household Size</w:t>
            </w:r>
          </w:p>
        </w:tc>
        <w:tc>
          <w:tcPr>
            <w:tcW w:w="0" w:type="auto"/>
            <w:tcBorders>
              <w:top w:val="single" w:sz="4" w:space="0" w:color="auto"/>
            </w:tcBorders>
            <w:vAlign w:val="center"/>
            <w:hideMark/>
          </w:tcPr>
          <w:p w14:paraId="484DBA7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1.22</w:t>
            </w:r>
          </w:p>
        </w:tc>
        <w:tc>
          <w:tcPr>
            <w:tcW w:w="0" w:type="auto"/>
            <w:tcBorders>
              <w:top w:val="single" w:sz="4" w:space="0" w:color="auto"/>
            </w:tcBorders>
            <w:vAlign w:val="center"/>
            <w:hideMark/>
          </w:tcPr>
          <w:p w14:paraId="68F62F0E"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0.8205</w:t>
            </w:r>
          </w:p>
        </w:tc>
      </w:tr>
      <w:tr w:rsidR="00FB6A85" w:rsidRPr="00324BC3" w14:paraId="2D76A5D1" w14:textId="77777777" w:rsidTr="00D428B4">
        <w:trPr>
          <w:trHeight w:val="280"/>
          <w:tblCellSpacing w:w="15" w:type="dxa"/>
        </w:trPr>
        <w:tc>
          <w:tcPr>
            <w:tcW w:w="0" w:type="auto"/>
            <w:vAlign w:val="center"/>
            <w:hideMark/>
          </w:tcPr>
          <w:p w14:paraId="659043D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Monthly Income</w:t>
            </w:r>
          </w:p>
        </w:tc>
        <w:tc>
          <w:tcPr>
            <w:tcW w:w="0" w:type="auto"/>
            <w:vAlign w:val="center"/>
            <w:hideMark/>
          </w:tcPr>
          <w:p w14:paraId="6A87DB6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1.35</w:t>
            </w:r>
          </w:p>
        </w:tc>
        <w:tc>
          <w:tcPr>
            <w:tcW w:w="0" w:type="auto"/>
            <w:vAlign w:val="center"/>
            <w:hideMark/>
          </w:tcPr>
          <w:p w14:paraId="78FA17F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0.7407</w:t>
            </w:r>
          </w:p>
        </w:tc>
      </w:tr>
      <w:tr w:rsidR="00FB6A85" w:rsidRPr="00324BC3" w14:paraId="1D32242B" w14:textId="77777777" w:rsidTr="00D428B4">
        <w:trPr>
          <w:trHeight w:val="265"/>
          <w:tblCellSpacing w:w="15" w:type="dxa"/>
        </w:trPr>
        <w:tc>
          <w:tcPr>
            <w:tcW w:w="0" w:type="auto"/>
            <w:vAlign w:val="center"/>
            <w:hideMark/>
          </w:tcPr>
          <w:p w14:paraId="3BC40E3B"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Education Level</w:t>
            </w:r>
          </w:p>
        </w:tc>
        <w:tc>
          <w:tcPr>
            <w:tcW w:w="0" w:type="auto"/>
            <w:vAlign w:val="center"/>
            <w:hideMark/>
          </w:tcPr>
          <w:p w14:paraId="6B62B5F6"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1.47</w:t>
            </w:r>
          </w:p>
        </w:tc>
        <w:tc>
          <w:tcPr>
            <w:tcW w:w="0" w:type="auto"/>
            <w:vAlign w:val="center"/>
            <w:hideMark/>
          </w:tcPr>
          <w:p w14:paraId="44EB97FA"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0.6803</w:t>
            </w:r>
          </w:p>
        </w:tc>
      </w:tr>
      <w:tr w:rsidR="00FB6A85" w:rsidRPr="00324BC3" w14:paraId="30A6D1C6" w14:textId="77777777" w:rsidTr="00D428B4">
        <w:trPr>
          <w:trHeight w:val="265"/>
          <w:tblCellSpacing w:w="15" w:type="dxa"/>
        </w:trPr>
        <w:tc>
          <w:tcPr>
            <w:tcW w:w="0" w:type="auto"/>
            <w:vAlign w:val="center"/>
            <w:hideMark/>
          </w:tcPr>
          <w:p w14:paraId="27A2510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Age Group</w:t>
            </w:r>
          </w:p>
        </w:tc>
        <w:tc>
          <w:tcPr>
            <w:tcW w:w="0" w:type="auto"/>
            <w:vAlign w:val="center"/>
            <w:hideMark/>
          </w:tcPr>
          <w:p w14:paraId="190A3C8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1.61</w:t>
            </w:r>
          </w:p>
        </w:tc>
        <w:tc>
          <w:tcPr>
            <w:tcW w:w="0" w:type="auto"/>
            <w:vAlign w:val="center"/>
            <w:hideMark/>
          </w:tcPr>
          <w:p w14:paraId="38BFC9A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0.6211</w:t>
            </w:r>
          </w:p>
        </w:tc>
      </w:tr>
      <w:tr w:rsidR="00FB6A85" w:rsidRPr="00324BC3" w14:paraId="3FE60DED" w14:textId="77777777" w:rsidTr="00D428B4">
        <w:trPr>
          <w:trHeight w:val="280"/>
          <w:tblCellSpacing w:w="15" w:type="dxa"/>
        </w:trPr>
        <w:tc>
          <w:tcPr>
            <w:tcW w:w="0" w:type="auto"/>
            <w:vAlign w:val="center"/>
            <w:hideMark/>
          </w:tcPr>
          <w:p w14:paraId="0ACA59D2"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Gender</w:t>
            </w:r>
          </w:p>
        </w:tc>
        <w:tc>
          <w:tcPr>
            <w:tcW w:w="0" w:type="auto"/>
            <w:vAlign w:val="center"/>
            <w:hideMark/>
          </w:tcPr>
          <w:p w14:paraId="0FE48C4F"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1.12</w:t>
            </w:r>
          </w:p>
        </w:tc>
        <w:tc>
          <w:tcPr>
            <w:tcW w:w="0" w:type="auto"/>
            <w:vAlign w:val="center"/>
            <w:hideMark/>
          </w:tcPr>
          <w:p w14:paraId="4DE75CF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0.8929</w:t>
            </w:r>
          </w:p>
        </w:tc>
      </w:tr>
      <w:tr w:rsidR="00FB6A85" w:rsidRPr="00324BC3" w14:paraId="0215530C" w14:textId="77777777" w:rsidTr="00D428B4">
        <w:trPr>
          <w:trHeight w:val="251"/>
          <w:tblCellSpacing w:w="15" w:type="dxa"/>
        </w:trPr>
        <w:tc>
          <w:tcPr>
            <w:tcW w:w="0" w:type="auto"/>
            <w:tcBorders>
              <w:top w:val="single" w:sz="4" w:space="0" w:color="auto"/>
              <w:bottom w:val="single" w:sz="4" w:space="0" w:color="auto"/>
            </w:tcBorders>
            <w:vAlign w:val="center"/>
            <w:hideMark/>
          </w:tcPr>
          <w:p w14:paraId="77B11EA7"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Mean VIF</w:t>
            </w:r>
          </w:p>
        </w:tc>
        <w:tc>
          <w:tcPr>
            <w:tcW w:w="0" w:type="auto"/>
            <w:tcBorders>
              <w:top w:val="single" w:sz="4" w:space="0" w:color="auto"/>
              <w:bottom w:val="single" w:sz="4" w:space="0" w:color="auto"/>
            </w:tcBorders>
            <w:vAlign w:val="center"/>
            <w:hideMark/>
          </w:tcPr>
          <w:p w14:paraId="60F1D98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1.35</w:t>
            </w:r>
          </w:p>
        </w:tc>
        <w:tc>
          <w:tcPr>
            <w:tcW w:w="0" w:type="auto"/>
            <w:tcBorders>
              <w:top w:val="single" w:sz="4" w:space="0" w:color="auto"/>
              <w:bottom w:val="single" w:sz="4" w:space="0" w:color="auto"/>
            </w:tcBorders>
            <w:vAlign w:val="center"/>
            <w:hideMark/>
          </w:tcPr>
          <w:p w14:paraId="39335A2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p>
        </w:tc>
      </w:tr>
    </w:tbl>
    <w:p w14:paraId="28A87AD3" w14:textId="77777777" w:rsidR="00651872" w:rsidRPr="00324BC3" w:rsidRDefault="00651872" w:rsidP="00B56BAF">
      <w:pPr>
        <w:spacing w:after="0" w:line="240" w:lineRule="auto"/>
        <w:jc w:val="both"/>
        <w:rPr>
          <w:rFonts w:ascii="Times New Roman" w:eastAsia="Times New Roman" w:hAnsi="Times New Roman" w:cs="Times New Roman"/>
          <w:iCs/>
          <w:sz w:val="24"/>
          <w:szCs w:val="24"/>
        </w:rPr>
      </w:pPr>
    </w:p>
    <w:p w14:paraId="071FA989" w14:textId="01A69ABC" w:rsidR="00527756" w:rsidRPr="00324BC3" w:rsidRDefault="00D64E8F" w:rsidP="00B56BAF">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Table 5</w:t>
      </w:r>
      <w:r w:rsidR="00527756" w:rsidRPr="00324BC3">
        <w:rPr>
          <w:rFonts w:ascii="Times New Roman" w:eastAsia="Times New Roman" w:hAnsi="Times New Roman" w:cs="Times New Roman"/>
          <w:iCs/>
          <w:sz w:val="24"/>
          <w:szCs w:val="24"/>
        </w:rPr>
        <w:t xml:space="preserve"> shows the results of Variance Inflation Factor </w:t>
      </w:r>
      <w:r w:rsidR="00651872" w:rsidRPr="00324BC3">
        <w:rPr>
          <w:rFonts w:ascii="Times New Roman" w:eastAsia="Times New Roman" w:hAnsi="Times New Roman" w:cs="Times New Roman"/>
          <w:iCs/>
          <w:sz w:val="24"/>
          <w:szCs w:val="24"/>
        </w:rPr>
        <w:t>(</w:t>
      </w:r>
      <w:r w:rsidR="00527756" w:rsidRPr="00324BC3">
        <w:rPr>
          <w:rFonts w:ascii="Times New Roman" w:eastAsia="Times New Roman" w:hAnsi="Times New Roman" w:cs="Times New Roman"/>
          <w:iCs/>
          <w:sz w:val="24"/>
          <w:szCs w:val="24"/>
        </w:rPr>
        <w:t>VIF</w:t>
      </w:r>
      <w:r w:rsidR="00651872" w:rsidRPr="00324BC3">
        <w:rPr>
          <w:rFonts w:ascii="Times New Roman" w:eastAsia="Times New Roman" w:hAnsi="Times New Roman" w:cs="Times New Roman"/>
          <w:iCs/>
          <w:sz w:val="24"/>
          <w:szCs w:val="24"/>
        </w:rPr>
        <w:t>)</w:t>
      </w:r>
      <w:r w:rsidR="00527756" w:rsidRPr="00324BC3">
        <w:rPr>
          <w:rFonts w:ascii="Times New Roman" w:eastAsia="Times New Roman" w:hAnsi="Times New Roman" w:cs="Times New Roman"/>
          <w:iCs/>
          <w:sz w:val="24"/>
          <w:szCs w:val="24"/>
        </w:rPr>
        <w:t xml:space="preserve"> to verify as to whether there is multicollinearity </w:t>
      </w:r>
      <w:r w:rsidR="00E9743B" w:rsidRPr="00324BC3">
        <w:rPr>
          <w:rFonts w:ascii="Times New Roman" w:eastAsia="Times New Roman" w:hAnsi="Times New Roman" w:cs="Times New Roman"/>
          <w:iCs/>
          <w:sz w:val="24"/>
          <w:szCs w:val="24"/>
        </w:rPr>
        <w:t xml:space="preserve">between the </w:t>
      </w:r>
      <w:r w:rsidR="00527756" w:rsidRPr="00324BC3">
        <w:rPr>
          <w:rFonts w:ascii="Times New Roman" w:eastAsia="Times New Roman" w:hAnsi="Times New Roman" w:cs="Times New Roman"/>
          <w:iCs/>
          <w:sz w:val="24"/>
          <w:szCs w:val="24"/>
        </w:rPr>
        <w:t>independent variables. VIFs all are between 1.12 and 1.61 and the mean VIF is 1.35. Because these values are far below the commonly accepted criteria of 10 (and even the more agreeable 5), the outcomes show that multicollinearity is not an issue in this model. The level of corresponding tolerance values (0.6211-0.8929) also proves that there are no collinearity issues. As such the independent variables can be added to the regression with confidence without any form of efficiency lost in the estimation.</w:t>
      </w:r>
    </w:p>
    <w:p w14:paraId="64B7ACC2" w14:textId="77777777" w:rsidR="00527756" w:rsidRPr="00324BC3" w:rsidRDefault="00527756" w:rsidP="00B56BAF">
      <w:pPr>
        <w:spacing w:after="0" w:line="240" w:lineRule="auto"/>
        <w:jc w:val="both"/>
        <w:rPr>
          <w:rFonts w:ascii="Times New Roman" w:eastAsia="Times New Roman" w:hAnsi="Times New Roman" w:cs="Times New Roman"/>
          <w:iCs/>
          <w:sz w:val="24"/>
          <w:szCs w:val="24"/>
        </w:rPr>
      </w:pPr>
    </w:p>
    <w:p w14:paraId="756B83F4" w14:textId="7B3D5227" w:rsidR="00B8336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
          <w:bCs/>
          <w:sz w:val="24"/>
          <w:szCs w:val="24"/>
        </w:rPr>
        <w:t xml:space="preserve">C. </w:t>
      </w:r>
      <w:r w:rsidR="00E9743B" w:rsidRPr="00324BC3">
        <w:rPr>
          <w:rFonts w:ascii="Times New Roman" w:eastAsia="Times New Roman" w:hAnsi="Times New Roman" w:cs="Times New Roman"/>
          <w:b/>
          <w:bCs/>
          <w:sz w:val="24"/>
          <w:szCs w:val="24"/>
        </w:rPr>
        <w:t>Heteroscedasticity</w:t>
      </w:r>
      <w:r w:rsidRPr="00324BC3">
        <w:rPr>
          <w:rFonts w:ascii="Times New Roman" w:eastAsia="Times New Roman" w:hAnsi="Times New Roman" w:cs="Times New Roman"/>
          <w:b/>
          <w:bCs/>
          <w:sz w:val="24"/>
          <w:szCs w:val="24"/>
        </w:rPr>
        <w:t xml:space="preserve"> Test</w:t>
      </w:r>
    </w:p>
    <w:p w14:paraId="38B2115D" w14:textId="7A85A417" w:rsidR="00527756"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Breusch-Pagan test</w:t>
      </w:r>
      <w:r w:rsidRPr="00324BC3">
        <w:rPr>
          <w:rFonts w:ascii="Times New Roman" w:eastAsia="Times New Roman" w:hAnsi="Times New Roman" w:cs="Times New Roman"/>
          <w:sz w:val="24"/>
          <w:szCs w:val="24"/>
        </w:rPr>
        <w:t xml:space="preserve"> was used to assess </w:t>
      </w:r>
      <w:r w:rsidR="00E9743B" w:rsidRPr="00324BC3">
        <w:rPr>
          <w:rFonts w:ascii="Times New Roman" w:eastAsia="Times New Roman" w:hAnsi="Times New Roman" w:cs="Times New Roman"/>
          <w:sz w:val="24"/>
          <w:szCs w:val="24"/>
        </w:rPr>
        <w:t>heteroscedasticity</w:t>
      </w:r>
      <w:r w:rsidRPr="00324BC3">
        <w:rPr>
          <w:rFonts w:ascii="Times New Roman" w:eastAsia="Times New Roman" w:hAnsi="Times New Roman" w:cs="Times New Roman"/>
          <w:sz w:val="24"/>
          <w:szCs w:val="24"/>
        </w:rPr>
        <w:t xml:space="preserve"> in regression residuals.</w:t>
      </w:r>
    </w:p>
    <w:p w14:paraId="22510204" w14:textId="77777777" w:rsidR="000156D9" w:rsidRPr="00324BC3" w:rsidRDefault="000156D9" w:rsidP="00B56BAF">
      <w:pPr>
        <w:spacing w:after="0" w:line="240" w:lineRule="auto"/>
        <w:jc w:val="both"/>
        <w:rPr>
          <w:rFonts w:ascii="Times New Roman" w:eastAsia="Times New Roman" w:hAnsi="Times New Roman" w:cs="Times New Roman"/>
          <w:sz w:val="24"/>
          <w:szCs w:val="24"/>
        </w:rPr>
      </w:pPr>
    </w:p>
    <w:p w14:paraId="6305DA2A" w14:textId="77777777" w:rsidR="0061634B" w:rsidRPr="00324BC3" w:rsidRDefault="0061634B" w:rsidP="00B56BAF">
      <w:pPr>
        <w:spacing w:after="0" w:line="240" w:lineRule="auto"/>
        <w:jc w:val="both"/>
        <w:rPr>
          <w:rFonts w:ascii="Times New Roman" w:eastAsia="Times New Roman" w:hAnsi="Times New Roman" w:cs="Times New Roman"/>
          <w:bCs/>
          <w:sz w:val="24"/>
          <w:szCs w:val="24"/>
        </w:rPr>
      </w:pPr>
    </w:p>
    <w:p w14:paraId="728F5F90" w14:textId="77777777" w:rsidR="0061634B" w:rsidRPr="00324BC3" w:rsidRDefault="0061634B" w:rsidP="00B56BAF">
      <w:pPr>
        <w:spacing w:after="0" w:line="240" w:lineRule="auto"/>
        <w:jc w:val="both"/>
        <w:rPr>
          <w:rFonts w:ascii="Times New Roman" w:eastAsia="Times New Roman" w:hAnsi="Times New Roman" w:cs="Times New Roman"/>
          <w:bCs/>
          <w:sz w:val="24"/>
          <w:szCs w:val="24"/>
        </w:rPr>
      </w:pPr>
    </w:p>
    <w:p w14:paraId="0151FD25" w14:textId="77777777" w:rsidR="0061634B" w:rsidRPr="00324BC3" w:rsidRDefault="0061634B" w:rsidP="00B56BAF">
      <w:pPr>
        <w:spacing w:after="0" w:line="240" w:lineRule="auto"/>
        <w:jc w:val="both"/>
        <w:rPr>
          <w:rFonts w:ascii="Times New Roman" w:eastAsia="Times New Roman" w:hAnsi="Times New Roman" w:cs="Times New Roman"/>
          <w:bCs/>
          <w:sz w:val="24"/>
          <w:szCs w:val="24"/>
        </w:rPr>
      </w:pPr>
    </w:p>
    <w:p w14:paraId="18C71624" w14:textId="0BCE2366" w:rsidR="00FB6A85" w:rsidRPr="00324BC3" w:rsidRDefault="0061634B"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Cs/>
          <w:sz w:val="24"/>
          <w:szCs w:val="24"/>
        </w:rPr>
        <w:t>Table 6</w:t>
      </w:r>
      <w:r w:rsidR="00B83365" w:rsidRPr="00324BC3">
        <w:rPr>
          <w:rFonts w:ascii="Times New Roman" w:eastAsia="Times New Roman" w:hAnsi="Times New Roman" w:cs="Times New Roman"/>
          <w:sz w:val="24"/>
          <w:szCs w:val="24"/>
        </w:rPr>
        <w:t xml:space="preserve">: </w:t>
      </w:r>
      <w:r w:rsidR="00FB6A85" w:rsidRPr="00324BC3">
        <w:rPr>
          <w:rFonts w:ascii="Times New Roman" w:eastAsia="Times New Roman" w:hAnsi="Times New Roman" w:cs="Times New Roman"/>
          <w:i/>
          <w:iCs/>
          <w:sz w:val="24"/>
          <w:szCs w:val="24"/>
        </w:rPr>
        <w:t xml:space="preserve">Breusch-Pagan </w:t>
      </w:r>
      <w:r w:rsidR="00E9743B" w:rsidRPr="00324BC3">
        <w:rPr>
          <w:rFonts w:ascii="Times New Roman" w:eastAsia="Times New Roman" w:hAnsi="Times New Roman" w:cs="Times New Roman"/>
          <w:i/>
          <w:iCs/>
          <w:sz w:val="24"/>
          <w:szCs w:val="24"/>
        </w:rPr>
        <w:t>Heteroscedasticity</w:t>
      </w:r>
      <w:r w:rsidR="00FB6A85" w:rsidRPr="00324BC3">
        <w:rPr>
          <w:rFonts w:ascii="Times New Roman" w:eastAsia="Times New Roman" w:hAnsi="Times New Roman" w:cs="Times New Roman"/>
          <w:i/>
          <w:iCs/>
          <w:sz w:val="24"/>
          <w:szCs w:val="24"/>
        </w:rPr>
        <w:t xml:space="preserve"> Test</w:t>
      </w:r>
    </w:p>
    <w:tbl>
      <w:tblPr>
        <w:tblW w:w="8761" w:type="dxa"/>
        <w:tblCellSpacing w:w="15" w:type="dxa"/>
        <w:tblCellMar>
          <w:top w:w="15" w:type="dxa"/>
          <w:left w:w="15" w:type="dxa"/>
          <w:bottom w:w="15" w:type="dxa"/>
          <w:right w:w="15" w:type="dxa"/>
        </w:tblCellMar>
        <w:tblLook w:val="04A0" w:firstRow="1" w:lastRow="0" w:firstColumn="1" w:lastColumn="0" w:noHBand="0" w:noVBand="1"/>
      </w:tblPr>
      <w:tblGrid>
        <w:gridCol w:w="5941"/>
        <w:gridCol w:w="2820"/>
      </w:tblGrid>
      <w:tr w:rsidR="00FB6A85" w:rsidRPr="00324BC3" w14:paraId="4B27E769" w14:textId="77777777" w:rsidTr="00804B97">
        <w:trPr>
          <w:trHeight w:val="325"/>
          <w:tblHeader/>
          <w:tblCellSpacing w:w="15" w:type="dxa"/>
        </w:trPr>
        <w:tc>
          <w:tcPr>
            <w:tcW w:w="0" w:type="auto"/>
            <w:tcBorders>
              <w:top w:val="single" w:sz="4" w:space="0" w:color="auto"/>
            </w:tcBorders>
            <w:vAlign w:val="center"/>
            <w:hideMark/>
          </w:tcPr>
          <w:p w14:paraId="28A92FE2"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7D9EAB8B" w14:textId="77777777" w:rsidR="00FB6A85" w:rsidRPr="00324BC3" w:rsidRDefault="00FB6A85" w:rsidP="00B56BAF">
            <w:pPr>
              <w:spacing w:after="0" w:line="240" w:lineRule="auto"/>
              <w:jc w:val="both"/>
              <w:rPr>
                <w:rFonts w:ascii="Times New Roman" w:eastAsia="Times New Roman" w:hAnsi="Times New Roman" w:cs="Times New Roman"/>
                <w:bCs/>
                <w:sz w:val="24"/>
                <w:szCs w:val="24"/>
              </w:rPr>
            </w:pPr>
            <w:r w:rsidRPr="00324BC3">
              <w:rPr>
                <w:rFonts w:ascii="Times New Roman" w:eastAsia="Times New Roman" w:hAnsi="Times New Roman" w:cs="Times New Roman"/>
                <w:bCs/>
                <w:sz w:val="24"/>
                <w:szCs w:val="24"/>
              </w:rPr>
              <w:t>Value</w:t>
            </w:r>
          </w:p>
        </w:tc>
      </w:tr>
      <w:tr w:rsidR="00FB6A85" w:rsidRPr="00324BC3" w14:paraId="1644DEBC" w14:textId="77777777" w:rsidTr="00804B97">
        <w:trPr>
          <w:trHeight w:val="325"/>
          <w:tblCellSpacing w:w="15" w:type="dxa"/>
        </w:trPr>
        <w:tc>
          <w:tcPr>
            <w:tcW w:w="0" w:type="auto"/>
            <w:tcBorders>
              <w:top w:val="single" w:sz="4" w:space="0" w:color="auto"/>
            </w:tcBorders>
            <w:vAlign w:val="center"/>
            <w:hideMark/>
          </w:tcPr>
          <w:p w14:paraId="54E580FC"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Chi² Statistic</w:t>
            </w:r>
          </w:p>
        </w:tc>
        <w:tc>
          <w:tcPr>
            <w:tcW w:w="0" w:type="auto"/>
            <w:tcBorders>
              <w:top w:val="single" w:sz="4" w:space="0" w:color="auto"/>
            </w:tcBorders>
            <w:vAlign w:val="center"/>
            <w:hideMark/>
          </w:tcPr>
          <w:p w14:paraId="03921539"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1.57</w:t>
            </w:r>
          </w:p>
        </w:tc>
      </w:tr>
      <w:tr w:rsidR="00FB6A85" w:rsidRPr="00324BC3" w14:paraId="27D56E61" w14:textId="77777777" w:rsidTr="00804B97">
        <w:trPr>
          <w:trHeight w:val="343"/>
          <w:tblCellSpacing w:w="15" w:type="dxa"/>
        </w:trPr>
        <w:tc>
          <w:tcPr>
            <w:tcW w:w="0" w:type="auto"/>
            <w:vAlign w:val="center"/>
            <w:hideMark/>
          </w:tcPr>
          <w:p w14:paraId="6B21A085"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lastRenderedPageBreak/>
              <w:t>df</w:t>
            </w:r>
          </w:p>
        </w:tc>
        <w:tc>
          <w:tcPr>
            <w:tcW w:w="0" w:type="auto"/>
            <w:vAlign w:val="center"/>
            <w:hideMark/>
          </w:tcPr>
          <w:p w14:paraId="04180070"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5</w:t>
            </w:r>
          </w:p>
        </w:tc>
      </w:tr>
      <w:tr w:rsidR="00FB6A85" w:rsidRPr="00324BC3" w14:paraId="561DD31C" w14:textId="77777777" w:rsidTr="00804B97">
        <w:trPr>
          <w:trHeight w:val="325"/>
          <w:tblCellSpacing w:w="15" w:type="dxa"/>
        </w:trPr>
        <w:tc>
          <w:tcPr>
            <w:tcW w:w="0" w:type="auto"/>
            <w:tcBorders>
              <w:bottom w:val="single" w:sz="4" w:space="0" w:color="auto"/>
            </w:tcBorders>
            <w:vAlign w:val="center"/>
            <w:hideMark/>
          </w:tcPr>
          <w:p w14:paraId="41F840BA"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p-value</w:t>
            </w:r>
          </w:p>
        </w:tc>
        <w:tc>
          <w:tcPr>
            <w:tcW w:w="0" w:type="auto"/>
            <w:tcBorders>
              <w:bottom w:val="single" w:sz="4" w:space="0" w:color="auto"/>
            </w:tcBorders>
            <w:vAlign w:val="center"/>
            <w:hideMark/>
          </w:tcPr>
          <w:p w14:paraId="6BD7EFF7" w14:textId="77777777" w:rsidR="00FB6A85" w:rsidRPr="00324BC3" w:rsidRDefault="00FB6A85"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0.192</w:t>
            </w:r>
          </w:p>
        </w:tc>
      </w:tr>
    </w:tbl>
    <w:p w14:paraId="4D44501F" w14:textId="77777777" w:rsidR="00E9743B" w:rsidRPr="00324BC3" w:rsidRDefault="00E9743B" w:rsidP="00B56BAF">
      <w:pPr>
        <w:spacing w:line="240" w:lineRule="auto"/>
        <w:jc w:val="both"/>
        <w:rPr>
          <w:rFonts w:ascii="Times New Roman" w:hAnsi="Times New Roman" w:cs="Times New Roman"/>
          <w:sz w:val="24"/>
          <w:szCs w:val="24"/>
        </w:rPr>
      </w:pPr>
    </w:p>
    <w:p w14:paraId="0A3AA91B" w14:textId="25F3C763" w:rsidR="00527756" w:rsidRPr="00324BC3" w:rsidRDefault="00E9743B" w:rsidP="00B56BAF">
      <w:pPr>
        <w:spacing w:line="240" w:lineRule="auto"/>
        <w:jc w:val="both"/>
        <w:rPr>
          <w:rFonts w:ascii="Times New Roman" w:eastAsia="Times New Roman" w:hAnsi="Times New Roman" w:cs="Times New Roman"/>
          <w:i/>
          <w:iCs/>
          <w:sz w:val="24"/>
          <w:szCs w:val="24"/>
        </w:rPr>
      </w:pPr>
      <w:r w:rsidRPr="00324BC3">
        <w:rPr>
          <w:rFonts w:ascii="Times New Roman" w:hAnsi="Times New Roman" w:cs="Times New Roman"/>
          <w:sz w:val="24"/>
          <w:szCs w:val="24"/>
        </w:rPr>
        <w:t>T</w:t>
      </w:r>
      <w:r w:rsidR="00D64E8F">
        <w:rPr>
          <w:rFonts w:ascii="Times New Roman" w:hAnsi="Times New Roman" w:cs="Times New Roman"/>
          <w:sz w:val="24"/>
          <w:szCs w:val="24"/>
        </w:rPr>
        <w:t>able 6</w:t>
      </w:r>
      <w:r w:rsidR="00527756" w:rsidRPr="00324BC3">
        <w:rPr>
          <w:rFonts w:ascii="Times New Roman" w:hAnsi="Times New Roman" w:cs="Times New Roman"/>
          <w:sz w:val="24"/>
          <w:szCs w:val="24"/>
        </w:rPr>
        <w:t xml:space="preserve"> shows the BreuschPagan tests of assessing the heteroskedastic presence in the regression model. The test yielded a Chi statistic of 1.57 with 5 d</w:t>
      </w:r>
      <w:r w:rsidR="0020520B">
        <w:rPr>
          <w:rFonts w:ascii="Times New Roman" w:hAnsi="Times New Roman" w:cs="Times New Roman"/>
          <w:sz w:val="24"/>
          <w:szCs w:val="24"/>
        </w:rPr>
        <w:t xml:space="preserve">egrees of </w:t>
      </w:r>
      <w:r w:rsidR="00527756" w:rsidRPr="00324BC3">
        <w:rPr>
          <w:rFonts w:ascii="Times New Roman" w:hAnsi="Times New Roman" w:cs="Times New Roman"/>
          <w:sz w:val="24"/>
          <w:szCs w:val="24"/>
        </w:rPr>
        <w:t>f</w:t>
      </w:r>
      <w:r w:rsidR="0020520B">
        <w:rPr>
          <w:rFonts w:ascii="Times New Roman" w:hAnsi="Times New Roman" w:cs="Times New Roman"/>
          <w:sz w:val="24"/>
          <w:szCs w:val="24"/>
        </w:rPr>
        <w:t>reedom</w:t>
      </w:r>
      <w:r w:rsidR="00527756" w:rsidRPr="00324BC3">
        <w:rPr>
          <w:rFonts w:ascii="Times New Roman" w:hAnsi="Times New Roman" w:cs="Times New Roman"/>
          <w:sz w:val="24"/>
          <w:szCs w:val="24"/>
        </w:rPr>
        <w:t xml:space="preserve"> and a p- value of 0.192. The p-value </w:t>
      </w:r>
      <w:r w:rsidRPr="00324BC3">
        <w:rPr>
          <w:rFonts w:ascii="Times New Roman" w:hAnsi="Times New Roman" w:cs="Times New Roman"/>
          <w:sz w:val="24"/>
          <w:szCs w:val="24"/>
        </w:rPr>
        <w:t>was</w:t>
      </w:r>
      <w:r w:rsidR="00527756" w:rsidRPr="00324BC3">
        <w:rPr>
          <w:rFonts w:ascii="Times New Roman" w:hAnsi="Times New Roman" w:cs="Times New Roman"/>
          <w:sz w:val="24"/>
          <w:szCs w:val="24"/>
        </w:rPr>
        <w:t xml:space="preserve"> larger than the conventional significance level of 0.05 and as such the null hypothesis of </w:t>
      </w:r>
      <w:r w:rsidRPr="00324BC3">
        <w:rPr>
          <w:rFonts w:ascii="Times New Roman" w:hAnsi="Times New Roman" w:cs="Times New Roman"/>
          <w:sz w:val="24"/>
          <w:szCs w:val="24"/>
        </w:rPr>
        <w:t>homoscedasticity</w:t>
      </w:r>
      <w:r w:rsidR="00527756" w:rsidRPr="00324BC3">
        <w:rPr>
          <w:rFonts w:ascii="Times New Roman" w:hAnsi="Times New Roman" w:cs="Times New Roman"/>
          <w:sz w:val="24"/>
          <w:szCs w:val="24"/>
        </w:rPr>
        <w:t xml:space="preserve"> </w:t>
      </w:r>
      <w:r w:rsidRPr="00324BC3">
        <w:rPr>
          <w:rFonts w:ascii="Times New Roman" w:hAnsi="Times New Roman" w:cs="Times New Roman"/>
          <w:sz w:val="24"/>
          <w:szCs w:val="24"/>
        </w:rPr>
        <w:t xml:space="preserve">was not </w:t>
      </w:r>
      <w:r w:rsidR="00527756" w:rsidRPr="00324BC3">
        <w:rPr>
          <w:rFonts w:ascii="Times New Roman" w:hAnsi="Times New Roman" w:cs="Times New Roman"/>
          <w:sz w:val="24"/>
          <w:szCs w:val="24"/>
        </w:rPr>
        <w:t xml:space="preserve">rejected. This shows that the apparatus of error in the model has equal variance and a non-issue of </w:t>
      </w:r>
      <w:r w:rsidRPr="00324BC3">
        <w:rPr>
          <w:rFonts w:ascii="Times New Roman" w:hAnsi="Times New Roman" w:cs="Times New Roman"/>
          <w:sz w:val="24"/>
          <w:szCs w:val="24"/>
        </w:rPr>
        <w:t>heteroscedasticity</w:t>
      </w:r>
      <w:r w:rsidR="00527756" w:rsidRPr="00324BC3">
        <w:rPr>
          <w:rFonts w:ascii="Times New Roman" w:hAnsi="Times New Roman" w:cs="Times New Roman"/>
          <w:sz w:val="24"/>
          <w:szCs w:val="24"/>
        </w:rPr>
        <w:t xml:space="preserve"> is involved. Due to this, estimates of the regression ha</w:t>
      </w:r>
      <w:r w:rsidRPr="00324BC3">
        <w:rPr>
          <w:rFonts w:ascii="Times New Roman" w:hAnsi="Times New Roman" w:cs="Times New Roman"/>
          <w:sz w:val="24"/>
          <w:szCs w:val="24"/>
        </w:rPr>
        <w:t>d</w:t>
      </w:r>
      <w:r w:rsidR="00527756" w:rsidRPr="00324BC3">
        <w:rPr>
          <w:rFonts w:ascii="Times New Roman" w:hAnsi="Times New Roman" w:cs="Times New Roman"/>
          <w:sz w:val="24"/>
          <w:szCs w:val="24"/>
        </w:rPr>
        <w:t xml:space="preserve"> efficiency as well as being unbiased thus the relationship offer</w:t>
      </w:r>
      <w:r w:rsidRPr="00324BC3">
        <w:rPr>
          <w:rFonts w:ascii="Times New Roman" w:hAnsi="Times New Roman" w:cs="Times New Roman"/>
          <w:sz w:val="24"/>
          <w:szCs w:val="24"/>
        </w:rPr>
        <w:t>ed</w:t>
      </w:r>
      <w:r w:rsidR="00527756" w:rsidRPr="00324BC3">
        <w:rPr>
          <w:rFonts w:ascii="Times New Roman" w:hAnsi="Times New Roman" w:cs="Times New Roman"/>
          <w:sz w:val="24"/>
          <w:szCs w:val="24"/>
        </w:rPr>
        <w:t xml:space="preserve"> more confidence in the explanations and descriptions of the results of statistical tests and conclusions.</w:t>
      </w:r>
    </w:p>
    <w:p w14:paraId="3879E56C" w14:textId="12A7460C" w:rsidR="00E9743B" w:rsidRPr="00324BC3" w:rsidRDefault="00E9743B" w:rsidP="00B56BAF">
      <w:pPr>
        <w:spacing w:after="0" w:line="240" w:lineRule="auto"/>
        <w:jc w:val="both"/>
        <w:rPr>
          <w:rFonts w:ascii="Times New Roman" w:eastAsia="Times New Roman" w:hAnsi="Times New Roman" w:cs="Times New Roman"/>
          <w:sz w:val="24"/>
          <w:szCs w:val="24"/>
        </w:rPr>
      </w:pPr>
    </w:p>
    <w:p w14:paraId="59E62009" w14:textId="14FFF4AC" w:rsidR="003C7C88" w:rsidRPr="00324BC3" w:rsidRDefault="003C7C88" w:rsidP="00B56BAF">
      <w:pPr>
        <w:spacing w:after="0" w:line="240" w:lineRule="auto"/>
        <w:jc w:val="both"/>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4. Results and Discussion</w:t>
      </w:r>
    </w:p>
    <w:p w14:paraId="13D04959" w14:textId="77777777" w:rsidR="00F8164D" w:rsidRPr="00F8164D" w:rsidRDefault="00F8164D" w:rsidP="00B56B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4.1 Descriptive Statistics</w:t>
      </w:r>
    </w:p>
    <w:p w14:paraId="389A90FB" w14:textId="2FABBFD4" w:rsidR="00F8164D" w:rsidRPr="00F8164D" w:rsidRDefault="0061634B" w:rsidP="00B56BAF">
      <w:pPr>
        <w:spacing w:before="100" w:beforeAutospacing="1"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Table </w:t>
      </w:r>
      <w:r w:rsidR="00F8164D" w:rsidRPr="00F8164D">
        <w:rPr>
          <w:rFonts w:ascii="Times New Roman" w:eastAsia="Times New Roman" w:hAnsi="Times New Roman" w:cs="Times New Roman"/>
          <w:sz w:val="24"/>
          <w:szCs w:val="24"/>
        </w:rPr>
        <w:t>7 presents descriptive statistics for household size. On average, respondents reported 7.19 household members (SD = 3.16), with a minimum of 2 and a maximum of 12 members. This variation reflects the large and close-knit family structures characteristic of pastoralist households. Household size is an important determinant of food security, as larger households may benefit from pooled labor resources while simultaneously facing higher consumption needs, which can increase vulnerability to shocks. This dual effect has also been observed in pastoral regions of Northern Kenya, where household size enhances resilience through labor mobilization but exacerbates per capita resource constraints during droughts [6, 7].</w:t>
      </w:r>
    </w:p>
    <w:p w14:paraId="1CB8C920" w14:textId="5001764A" w:rsidR="00F8164D" w:rsidRPr="00F8164D" w:rsidRDefault="0061634B" w:rsidP="00B56BAF">
      <w:pPr>
        <w:spacing w:before="100" w:beforeAutospacing="1" w:after="100" w:afterAutospacing="1" w:line="240" w:lineRule="auto"/>
        <w:jc w:val="both"/>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t xml:space="preserve">Table </w:t>
      </w:r>
      <w:r w:rsidR="00F8164D" w:rsidRPr="00F8164D">
        <w:rPr>
          <w:rFonts w:ascii="Times New Roman" w:eastAsia="Times New Roman" w:hAnsi="Times New Roman" w:cs="Times New Roman"/>
          <w:bCs/>
          <w:sz w:val="24"/>
          <w:szCs w:val="24"/>
        </w:rPr>
        <w:t>7</w:t>
      </w:r>
      <w:r w:rsidR="00062F95" w:rsidRPr="00D64E8F">
        <w:rPr>
          <w:rFonts w:ascii="Times New Roman" w:eastAsia="Times New Roman" w:hAnsi="Times New Roman" w:cs="Times New Roman"/>
          <w:sz w:val="24"/>
          <w:szCs w:val="24"/>
        </w:rPr>
        <w:t xml:space="preserve">: </w:t>
      </w:r>
      <w:r w:rsidR="00F8164D" w:rsidRPr="00F8164D">
        <w:rPr>
          <w:rFonts w:ascii="Times New Roman" w:eastAsia="Times New Roman" w:hAnsi="Times New Roman" w:cs="Times New Roman"/>
          <w:iCs/>
          <w:sz w:val="24"/>
          <w:szCs w:val="24"/>
        </w:rPr>
        <w:t>Descriptive Statistics for Household Size (N = 286)</w:t>
      </w:r>
    </w:p>
    <w:tbl>
      <w:tblPr>
        <w:tblW w:w="8508" w:type="dxa"/>
        <w:tblCellSpacing w:w="15" w:type="dxa"/>
        <w:tblCellMar>
          <w:top w:w="15" w:type="dxa"/>
          <w:left w:w="15" w:type="dxa"/>
          <w:bottom w:w="15" w:type="dxa"/>
          <w:right w:w="15" w:type="dxa"/>
        </w:tblCellMar>
        <w:tblLook w:val="04A0" w:firstRow="1" w:lastRow="0" w:firstColumn="1" w:lastColumn="0" w:noHBand="0" w:noVBand="1"/>
      </w:tblPr>
      <w:tblGrid>
        <w:gridCol w:w="3749"/>
        <w:gridCol w:w="1414"/>
        <w:gridCol w:w="1109"/>
        <w:gridCol w:w="1064"/>
        <w:gridCol w:w="1172"/>
      </w:tblGrid>
      <w:tr w:rsidR="00D64E8F" w:rsidRPr="00F8164D" w14:paraId="318BF61F" w14:textId="77777777" w:rsidTr="00D428B4">
        <w:trPr>
          <w:trHeight w:val="343"/>
          <w:tblHeader/>
          <w:tblCellSpacing w:w="15" w:type="dxa"/>
        </w:trPr>
        <w:tc>
          <w:tcPr>
            <w:tcW w:w="0" w:type="auto"/>
            <w:tcBorders>
              <w:top w:val="single" w:sz="4" w:space="0" w:color="auto"/>
            </w:tcBorders>
            <w:vAlign w:val="center"/>
            <w:hideMark/>
          </w:tcPr>
          <w:p w14:paraId="78087F3A"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7905D385"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Mean</w:t>
            </w:r>
          </w:p>
        </w:tc>
        <w:tc>
          <w:tcPr>
            <w:tcW w:w="0" w:type="auto"/>
            <w:tcBorders>
              <w:top w:val="single" w:sz="4" w:space="0" w:color="auto"/>
            </w:tcBorders>
            <w:vAlign w:val="center"/>
            <w:hideMark/>
          </w:tcPr>
          <w:p w14:paraId="6F909478"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SD</w:t>
            </w:r>
          </w:p>
        </w:tc>
        <w:tc>
          <w:tcPr>
            <w:tcW w:w="0" w:type="auto"/>
            <w:tcBorders>
              <w:top w:val="single" w:sz="4" w:space="0" w:color="auto"/>
            </w:tcBorders>
            <w:vAlign w:val="center"/>
            <w:hideMark/>
          </w:tcPr>
          <w:p w14:paraId="189CA2E0"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Min</w:t>
            </w:r>
          </w:p>
        </w:tc>
        <w:tc>
          <w:tcPr>
            <w:tcW w:w="0" w:type="auto"/>
            <w:tcBorders>
              <w:top w:val="single" w:sz="4" w:space="0" w:color="auto"/>
            </w:tcBorders>
            <w:vAlign w:val="center"/>
            <w:hideMark/>
          </w:tcPr>
          <w:p w14:paraId="4C2138C7"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Max</w:t>
            </w:r>
          </w:p>
        </w:tc>
      </w:tr>
      <w:tr w:rsidR="00D64E8F" w:rsidRPr="00F8164D" w14:paraId="1B5CB2AF" w14:textId="77777777" w:rsidTr="00D428B4">
        <w:trPr>
          <w:trHeight w:val="343"/>
          <w:tblCellSpacing w:w="15" w:type="dxa"/>
        </w:trPr>
        <w:tc>
          <w:tcPr>
            <w:tcW w:w="0" w:type="auto"/>
            <w:tcBorders>
              <w:top w:val="single" w:sz="4" w:space="0" w:color="auto"/>
              <w:bottom w:val="single" w:sz="4" w:space="0" w:color="auto"/>
            </w:tcBorders>
            <w:vAlign w:val="center"/>
            <w:hideMark/>
          </w:tcPr>
          <w:p w14:paraId="616DD635"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Household Size</w:t>
            </w:r>
          </w:p>
        </w:tc>
        <w:tc>
          <w:tcPr>
            <w:tcW w:w="0" w:type="auto"/>
            <w:tcBorders>
              <w:top w:val="single" w:sz="4" w:space="0" w:color="auto"/>
              <w:bottom w:val="single" w:sz="4" w:space="0" w:color="auto"/>
            </w:tcBorders>
            <w:vAlign w:val="center"/>
            <w:hideMark/>
          </w:tcPr>
          <w:p w14:paraId="4DBF8C04"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7.19</w:t>
            </w:r>
          </w:p>
        </w:tc>
        <w:tc>
          <w:tcPr>
            <w:tcW w:w="0" w:type="auto"/>
            <w:tcBorders>
              <w:top w:val="single" w:sz="4" w:space="0" w:color="auto"/>
              <w:bottom w:val="single" w:sz="4" w:space="0" w:color="auto"/>
            </w:tcBorders>
            <w:vAlign w:val="center"/>
            <w:hideMark/>
          </w:tcPr>
          <w:p w14:paraId="486B4A59"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3.16</w:t>
            </w:r>
          </w:p>
        </w:tc>
        <w:tc>
          <w:tcPr>
            <w:tcW w:w="0" w:type="auto"/>
            <w:tcBorders>
              <w:top w:val="single" w:sz="4" w:space="0" w:color="auto"/>
              <w:bottom w:val="single" w:sz="4" w:space="0" w:color="auto"/>
            </w:tcBorders>
            <w:vAlign w:val="center"/>
            <w:hideMark/>
          </w:tcPr>
          <w:p w14:paraId="57100A74"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2</w:t>
            </w:r>
          </w:p>
        </w:tc>
        <w:tc>
          <w:tcPr>
            <w:tcW w:w="0" w:type="auto"/>
            <w:tcBorders>
              <w:top w:val="single" w:sz="4" w:space="0" w:color="auto"/>
              <w:bottom w:val="single" w:sz="4" w:space="0" w:color="auto"/>
            </w:tcBorders>
            <w:vAlign w:val="center"/>
            <w:hideMark/>
          </w:tcPr>
          <w:p w14:paraId="1D6DE0FB"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12</w:t>
            </w:r>
          </w:p>
        </w:tc>
      </w:tr>
    </w:tbl>
    <w:p w14:paraId="4E3FB193" w14:textId="77777777" w:rsidR="00F8164D" w:rsidRPr="00F8164D" w:rsidRDefault="00F8164D" w:rsidP="00B56BAF">
      <w:pPr>
        <w:spacing w:before="100" w:beforeAutospacing="1" w:after="100" w:afterAutospacing="1"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Note. SD = Standard deviation.</w:t>
      </w:r>
    </w:p>
    <w:p w14:paraId="7C8C319C" w14:textId="77777777" w:rsidR="00F8164D" w:rsidRPr="00F8164D" w:rsidRDefault="00F8164D" w:rsidP="00B56B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4.2 IBLI Uptake</w:t>
      </w:r>
    </w:p>
    <w:p w14:paraId="29582C61" w14:textId="6F1D681E" w:rsidR="00F8164D" w:rsidRPr="00F8164D" w:rsidRDefault="0061634B" w:rsidP="00B56BAF">
      <w:pPr>
        <w:spacing w:before="100" w:beforeAutospacing="1"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Table </w:t>
      </w:r>
      <w:r w:rsidR="00F8164D" w:rsidRPr="00F8164D">
        <w:rPr>
          <w:rFonts w:ascii="Times New Roman" w:eastAsia="Times New Roman" w:hAnsi="Times New Roman" w:cs="Times New Roman"/>
          <w:sz w:val="24"/>
          <w:szCs w:val="24"/>
        </w:rPr>
        <w:t>8 shows that only 23.78% of households in Hadado Sub-County had enrolled in IBLI, while 76.22% had not. This low uptake highlights significant barriers to adoption, including limited awareness, affordability challenges, mistrust, and poor accessibility of services [12]. Similar trends have been documented in other arid and semi-arid regions, where basis risk—defined as a mismatch between index-based payouts and actual household losses—has undermined confidence in the insurance product and discouraged enrollment [13].</w:t>
      </w:r>
    </w:p>
    <w:p w14:paraId="36AB3EB6" w14:textId="152A41F0" w:rsidR="00F8164D" w:rsidRPr="00F8164D" w:rsidRDefault="0061634B" w:rsidP="00B56BAF">
      <w:pPr>
        <w:spacing w:before="100" w:beforeAutospacing="1" w:after="100" w:afterAutospacing="1" w:line="240" w:lineRule="auto"/>
        <w:jc w:val="both"/>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lastRenderedPageBreak/>
        <w:t xml:space="preserve">Table </w:t>
      </w:r>
      <w:r w:rsidR="00F8164D" w:rsidRPr="00F8164D">
        <w:rPr>
          <w:rFonts w:ascii="Times New Roman" w:eastAsia="Times New Roman" w:hAnsi="Times New Roman" w:cs="Times New Roman"/>
          <w:bCs/>
          <w:sz w:val="24"/>
          <w:szCs w:val="24"/>
        </w:rPr>
        <w:t>8</w:t>
      </w:r>
      <w:r w:rsidR="0056250E" w:rsidRPr="00D64E8F">
        <w:rPr>
          <w:rFonts w:ascii="Times New Roman" w:eastAsia="Times New Roman" w:hAnsi="Times New Roman" w:cs="Times New Roman"/>
          <w:sz w:val="24"/>
          <w:szCs w:val="24"/>
        </w:rPr>
        <w:t xml:space="preserve">: </w:t>
      </w:r>
      <w:r w:rsidR="00F8164D" w:rsidRPr="00F8164D">
        <w:rPr>
          <w:rFonts w:ascii="Times New Roman" w:eastAsia="Times New Roman" w:hAnsi="Times New Roman" w:cs="Times New Roman"/>
          <w:i/>
          <w:iCs/>
          <w:sz w:val="24"/>
          <w:szCs w:val="24"/>
        </w:rPr>
        <w:t>IBLI Uptake Among Respondents (N = 286)</w:t>
      </w:r>
    </w:p>
    <w:tbl>
      <w:tblPr>
        <w:tblW w:w="8490" w:type="dxa"/>
        <w:tblCellSpacing w:w="15" w:type="dxa"/>
        <w:tblCellMar>
          <w:top w:w="15" w:type="dxa"/>
          <w:left w:w="15" w:type="dxa"/>
          <w:bottom w:w="15" w:type="dxa"/>
          <w:right w:w="15" w:type="dxa"/>
        </w:tblCellMar>
        <w:tblLook w:val="04A0" w:firstRow="1" w:lastRow="0" w:firstColumn="1" w:lastColumn="0" w:noHBand="0" w:noVBand="1"/>
      </w:tblPr>
      <w:tblGrid>
        <w:gridCol w:w="3779"/>
        <w:gridCol w:w="2215"/>
        <w:gridCol w:w="2496"/>
      </w:tblGrid>
      <w:tr w:rsidR="00F8164D" w:rsidRPr="00F8164D" w14:paraId="52928A9E" w14:textId="77777777" w:rsidTr="00D428B4">
        <w:trPr>
          <w:trHeight w:val="293"/>
          <w:tblHeader/>
          <w:tblCellSpacing w:w="15" w:type="dxa"/>
        </w:trPr>
        <w:tc>
          <w:tcPr>
            <w:tcW w:w="0" w:type="auto"/>
            <w:tcBorders>
              <w:top w:val="single" w:sz="4" w:space="0" w:color="auto"/>
              <w:bottom w:val="single" w:sz="4" w:space="0" w:color="auto"/>
            </w:tcBorders>
            <w:vAlign w:val="center"/>
            <w:hideMark/>
          </w:tcPr>
          <w:p w14:paraId="62918BCE"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IBLI Participation</w:t>
            </w:r>
          </w:p>
        </w:tc>
        <w:tc>
          <w:tcPr>
            <w:tcW w:w="0" w:type="auto"/>
            <w:tcBorders>
              <w:top w:val="single" w:sz="4" w:space="0" w:color="auto"/>
              <w:bottom w:val="single" w:sz="4" w:space="0" w:color="auto"/>
            </w:tcBorders>
            <w:vAlign w:val="center"/>
            <w:hideMark/>
          </w:tcPr>
          <w:p w14:paraId="04AD46D0"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Frequency</w:t>
            </w:r>
          </w:p>
        </w:tc>
        <w:tc>
          <w:tcPr>
            <w:tcW w:w="0" w:type="auto"/>
            <w:tcBorders>
              <w:top w:val="single" w:sz="4" w:space="0" w:color="auto"/>
              <w:bottom w:val="single" w:sz="4" w:space="0" w:color="auto"/>
            </w:tcBorders>
            <w:vAlign w:val="center"/>
            <w:hideMark/>
          </w:tcPr>
          <w:p w14:paraId="06825F66" w14:textId="77777777" w:rsidR="00F8164D" w:rsidRPr="00F8164D" w:rsidRDefault="00F8164D" w:rsidP="00B56BAF">
            <w:pPr>
              <w:spacing w:after="0" w:line="240" w:lineRule="auto"/>
              <w:jc w:val="both"/>
              <w:rPr>
                <w:rFonts w:ascii="Times New Roman" w:eastAsia="Times New Roman" w:hAnsi="Times New Roman" w:cs="Times New Roman"/>
                <w:bCs/>
                <w:sz w:val="24"/>
                <w:szCs w:val="24"/>
              </w:rPr>
            </w:pPr>
            <w:r w:rsidRPr="00F8164D">
              <w:rPr>
                <w:rFonts w:ascii="Times New Roman" w:eastAsia="Times New Roman" w:hAnsi="Times New Roman" w:cs="Times New Roman"/>
                <w:bCs/>
                <w:sz w:val="24"/>
                <w:szCs w:val="24"/>
              </w:rPr>
              <w:t>Percent (%)</w:t>
            </w:r>
          </w:p>
        </w:tc>
      </w:tr>
      <w:tr w:rsidR="00F8164D" w:rsidRPr="00F8164D" w14:paraId="453AA757" w14:textId="77777777" w:rsidTr="00D428B4">
        <w:trPr>
          <w:trHeight w:val="293"/>
          <w:tblCellSpacing w:w="15" w:type="dxa"/>
        </w:trPr>
        <w:tc>
          <w:tcPr>
            <w:tcW w:w="0" w:type="auto"/>
            <w:vAlign w:val="center"/>
            <w:hideMark/>
          </w:tcPr>
          <w:p w14:paraId="5ADCC2F0"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No</w:t>
            </w:r>
          </w:p>
        </w:tc>
        <w:tc>
          <w:tcPr>
            <w:tcW w:w="0" w:type="auto"/>
            <w:vAlign w:val="center"/>
            <w:hideMark/>
          </w:tcPr>
          <w:p w14:paraId="622F4E79"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218</w:t>
            </w:r>
          </w:p>
        </w:tc>
        <w:tc>
          <w:tcPr>
            <w:tcW w:w="0" w:type="auto"/>
            <w:vAlign w:val="center"/>
            <w:hideMark/>
          </w:tcPr>
          <w:p w14:paraId="4BE25744"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76.22</w:t>
            </w:r>
          </w:p>
        </w:tc>
      </w:tr>
      <w:tr w:rsidR="00F8164D" w:rsidRPr="00F8164D" w14:paraId="5BC772E7" w14:textId="77777777" w:rsidTr="00D428B4">
        <w:trPr>
          <w:trHeight w:val="309"/>
          <w:tblCellSpacing w:w="15" w:type="dxa"/>
        </w:trPr>
        <w:tc>
          <w:tcPr>
            <w:tcW w:w="0" w:type="auto"/>
            <w:vAlign w:val="center"/>
            <w:hideMark/>
          </w:tcPr>
          <w:p w14:paraId="76329410"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Yes</w:t>
            </w:r>
          </w:p>
        </w:tc>
        <w:tc>
          <w:tcPr>
            <w:tcW w:w="0" w:type="auto"/>
            <w:vAlign w:val="center"/>
            <w:hideMark/>
          </w:tcPr>
          <w:p w14:paraId="0D671364"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68</w:t>
            </w:r>
          </w:p>
        </w:tc>
        <w:tc>
          <w:tcPr>
            <w:tcW w:w="0" w:type="auto"/>
            <w:vAlign w:val="center"/>
            <w:hideMark/>
          </w:tcPr>
          <w:p w14:paraId="465F9442"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23.78</w:t>
            </w:r>
          </w:p>
        </w:tc>
      </w:tr>
      <w:tr w:rsidR="00F8164D" w:rsidRPr="00F8164D" w14:paraId="6708F6E5" w14:textId="77777777" w:rsidTr="00D428B4">
        <w:trPr>
          <w:trHeight w:val="276"/>
          <w:tblCellSpacing w:w="15" w:type="dxa"/>
        </w:trPr>
        <w:tc>
          <w:tcPr>
            <w:tcW w:w="0" w:type="auto"/>
            <w:tcBorders>
              <w:top w:val="single" w:sz="4" w:space="0" w:color="auto"/>
              <w:bottom w:val="single" w:sz="4" w:space="0" w:color="auto"/>
            </w:tcBorders>
            <w:vAlign w:val="center"/>
            <w:hideMark/>
          </w:tcPr>
          <w:p w14:paraId="0D8FFA56"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bCs/>
                <w:sz w:val="24"/>
                <w:szCs w:val="24"/>
              </w:rPr>
              <w:t>Total</w:t>
            </w:r>
          </w:p>
        </w:tc>
        <w:tc>
          <w:tcPr>
            <w:tcW w:w="0" w:type="auto"/>
            <w:tcBorders>
              <w:top w:val="single" w:sz="4" w:space="0" w:color="auto"/>
              <w:bottom w:val="single" w:sz="4" w:space="0" w:color="auto"/>
            </w:tcBorders>
            <w:vAlign w:val="center"/>
            <w:hideMark/>
          </w:tcPr>
          <w:p w14:paraId="678376BA"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bCs/>
                <w:sz w:val="24"/>
                <w:szCs w:val="24"/>
              </w:rPr>
              <w:t>286</w:t>
            </w:r>
          </w:p>
        </w:tc>
        <w:tc>
          <w:tcPr>
            <w:tcW w:w="0" w:type="auto"/>
            <w:tcBorders>
              <w:top w:val="single" w:sz="4" w:space="0" w:color="auto"/>
              <w:bottom w:val="single" w:sz="4" w:space="0" w:color="auto"/>
            </w:tcBorders>
            <w:vAlign w:val="center"/>
            <w:hideMark/>
          </w:tcPr>
          <w:p w14:paraId="396EB455"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bCs/>
                <w:sz w:val="24"/>
                <w:szCs w:val="24"/>
              </w:rPr>
              <w:t>100.00</w:t>
            </w:r>
          </w:p>
        </w:tc>
      </w:tr>
    </w:tbl>
    <w:p w14:paraId="5DF49D1C" w14:textId="77777777" w:rsidR="00F8164D" w:rsidRPr="00F8164D" w:rsidRDefault="00F8164D" w:rsidP="00B56BAF">
      <w:pPr>
        <w:spacing w:before="100" w:beforeAutospacing="1" w:after="100" w:afterAutospacing="1"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The low enrollment rate underscores the urgent need for policy actions aimed at improving coverage. Recommended interventions include targeted awareness campaigns, premium subsidies, and integration with livelihood-support programs to increase accessibility and uptake [15].</w:t>
      </w:r>
    </w:p>
    <w:p w14:paraId="0C3C26EC" w14:textId="77777777" w:rsidR="00F8164D" w:rsidRPr="00F8164D" w:rsidRDefault="00F8164D" w:rsidP="00B56B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4.3 Food Security Indicators</w:t>
      </w:r>
    </w:p>
    <w:p w14:paraId="7AADE6D9" w14:textId="215E3D42" w:rsidR="00F8164D" w:rsidRPr="00F8164D" w:rsidRDefault="00F8164D" w:rsidP="00B56BAF">
      <w:pPr>
        <w:spacing w:before="100" w:beforeAutospacing="1" w:after="100" w:afterAutospacing="1"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Food security was measured using three indicators: the Household Dietary Diversity Score (HDDS), the number of food-insecure months, and the frequency of mi</w:t>
      </w:r>
      <w:r w:rsidR="0061634B" w:rsidRPr="00324BC3">
        <w:rPr>
          <w:rFonts w:ascii="Times New Roman" w:eastAsia="Times New Roman" w:hAnsi="Times New Roman" w:cs="Times New Roman"/>
          <w:sz w:val="24"/>
          <w:szCs w:val="24"/>
        </w:rPr>
        <w:t xml:space="preserve">lk and meat consumption. Table </w:t>
      </w:r>
      <w:r w:rsidRPr="00F8164D">
        <w:rPr>
          <w:rFonts w:ascii="Times New Roman" w:eastAsia="Times New Roman" w:hAnsi="Times New Roman" w:cs="Times New Roman"/>
          <w:sz w:val="24"/>
          <w:szCs w:val="24"/>
        </w:rPr>
        <w:t>9 provides the descriptive statistics for these indicators.</w:t>
      </w:r>
    </w:p>
    <w:p w14:paraId="7C7E1F18" w14:textId="03F7F968" w:rsidR="00F8164D" w:rsidRPr="00F8164D" w:rsidRDefault="0061634B" w:rsidP="00B56BAF">
      <w:pPr>
        <w:spacing w:before="100" w:beforeAutospacing="1" w:after="100" w:afterAutospacing="1" w:line="240" w:lineRule="auto"/>
        <w:jc w:val="both"/>
        <w:rPr>
          <w:rFonts w:ascii="Times New Roman" w:eastAsia="Times New Roman" w:hAnsi="Times New Roman" w:cs="Times New Roman"/>
          <w:b/>
          <w:sz w:val="24"/>
          <w:szCs w:val="24"/>
        </w:rPr>
      </w:pPr>
      <w:r w:rsidRPr="00324BC3">
        <w:rPr>
          <w:rFonts w:ascii="Times New Roman" w:eastAsia="Times New Roman" w:hAnsi="Times New Roman" w:cs="Times New Roman"/>
          <w:b/>
          <w:bCs/>
          <w:sz w:val="24"/>
          <w:szCs w:val="24"/>
        </w:rPr>
        <w:t xml:space="preserve">Table </w:t>
      </w:r>
      <w:r w:rsidR="00F8164D" w:rsidRPr="00F8164D">
        <w:rPr>
          <w:rFonts w:ascii="Times New Roman" w:eastAsia="Times New Roman" w:hAnsi="Times New Roman" w:cs="Times New Roman"/>
          <w:b/>
          <w:bCs/>
          <w:sz w:val="24"/>
          <w:szCs w:val="24"/>
        </w:rPr>
        <w:t>9</w:t>
      </w:r>
      <w:r w:rsidR="0056250E" w:rsidRPr="00324BC3">
        <w:rPr>
          <w:rFonts w:ascii="Times New Roman" w:eastAsia="Times New Roman" w:hAnsi="Times New Roman" w:cs="Times New Roman"/>
          <w:sz w:val="24"/>
          <w:szCs w:val="24"/>
        </w:rPr>
        <w:t xml:space="preserve">: </w:t>
      </w:r>
      <w:r w:rsidR="00F8164D" w:rsidRPr="00F8164D">
        <w:rPr>
          <w:rFonts w:ascii="Times New Roman" w:eastAsia="Times New Roman" w:hAnsi="Times New Roman" w:cs="Times New Roman"/>
          <w:b/>
          <w:i/>
          <w:iCs/>
          <w:sz w:val="24"/>
          <w:szCs w:val="24"/>
        </w:rPr>
        <w:t>Descriptive Statistics for Food Security Indicators (N = 286)</w:t>
      </w:r>
    </w:p>
    <w:tbl>
      <w:tblPr>
        <w:tblW w:w="8520" w:type="dxa"/>
        <w:tblCellSpacing w:w="15" w:type="dxa"/>
        <w:tblCellMar>
          <w:top w:w="15" w:type="dxa"/>
          <w:left w:w="15" w:type="dxa"/>
          <w:bottom w:w="15" w:type="dxa"/>
          <w:right w:w="15" w:type="dxa"/>
        </w:tblCellMar>
        <w:tblLook w:val="04A0" w:firstRow="1" w:lastRow="0" w:firstColumn="1" w:lastColumn="0" w:noHBand="0" w:noVBand="1"/>
      </w:tblPr>
      <w:tblGrid>
        <w:gridCol w:w="4693"/>
        <w:gridCol w:w="1157"/>
        <w:gridCol w:w="852"/>
        <w:gridCol w:w="865"/>
        <w:gridCol w:w="953"/>
      </w:tblGrid>
      <w:tr w:rsidR="00F8164D" w:rsidRPr="00F8164D" w14:paraId="41F7C43B" w14:textId="77777777" w:rsidTr="00D428B4">
        <w:trPr>
          <w:trHeight w:val="290"/>
          <w:tblHeader/>
          <w:tblCellSpacing w:w="15" w:type="dxa"/>
        </w:trPr>
        <w:tc>
          <w:tcPr>
            <w:tcW w:w="0" w:type="auto"/>
            <w:tcBorders>
              <w:top w:val="single" w:sz="4" w:space="0" w:color="auto"/>
            </w:tcBorders>
            <w:vAlign w:val="center"/>
            <w:hideMark/>
          </w:tcPr>
          <w:p w14:paraId="0D7BDD20" w14:textId="77777777" w:rsidR="00F8164D" w:rsidRPr="00F8164D" w:rsidRDefault="00F8164D" w:rsidP="00B56BAF">
            <w:pPr>
              <w:spacing w:after="0" w:line="240" w:lineRule="auto"/>
              <w:jc w:val="both"/>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Indicator</w:t>
            </w:r>
          </w:p>
        </w:tc>
        <w:tc>
          <w:tcPr>
            <w:tcW w:w="0" w:type="auto"/>
            <w:tcBorders>
              <w:top w:val="single" w:sz="4" w:space="0" w:color="auto"/>
            </w:tcBorders>
            <w:vAlign w:val="center"/>
            <w:hideMark/>
          </w:tcPr>
          <w:p w14:paraId="63DEBC69" w14:textId="77777777" w:rsidR="00F8164D" w:rsidRPr="00F8164D" w:rsidRDefault="00F8164D" w:rsidP="00B56BAF">
            <w:pPr>
              <w:spacing w:after="0" w:line="240" w:lineRule="auto"/>
              <w:jc w:val="both"/>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Mean</w:t>
            </w:r>
          </w:p>
        </w:tc>
        <w:tc>
          <w:tcPr>
            <w:tcW w:w="0" w:type="auto"/>
            <w:tcBorders>
              <w:top w:val="single" w:sz="4" w:space="0" w:color="auto"/>
            </w:tcBorders>
            <w:vAlign w:val="center"/>
            <w:hideMark/>
          </w:tcPr>
          <w:p w14:paraId="72EEF34A" w14:textId="77777777" w:rsidR="00F8164D" w:rsidRPr="00F8164D" w:rsidRDefault="00F8164D" w:rsidP="00B56BAF">
            <w:pPr>
              <w:spacing w:after="0" w:line="240" w:lineRule="auto"/>
              <w:jc w:val="both"/>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SD</w:t>
            </w:r>
          </w:p>
        </w:tc>
        <w:tc>
          <w:tcPr>
            <w:tcW w:w="0" w:type="auto"/>
            <w:tcBorders>
              <w:top w:val="single" w:sz="4" w:space="0" w:color="auto"/>
            </w:tcBorders>
            <w:vAlign w:val="center"/>
            <w:hideMark/>
          </w:tcPr>
          <w:p w14:paraId="53F85458" w14:textId="77777777" w:rsidR="00F8164D" w:rsidRPr="00F8164D" w:rsidRDefault="00F8164D" w:rsidP="00B56BAF">
            <w:pPr>
              <w:spacing w:after="0" w:line="240" w:lineRule="auto"/>
              <w:jc w:val="both"/>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Min</w:t>
            </w:r>
          </w:p>
        </w:tc>
        <w:tc>
          <w:tcPr>
            <w:tcW w:w="0" w:type="auto"/>
            <w:tcBorders>
              <w:top w:val="single" w:sz="4" w:space="0" w:color="auto"/>
            </w:tcBorders>
            <w:vAlign w:val="center"/>
            <w:hideMark/>
          </w:tcPr>
          <w:p w14:paraId="78C8948C" w14:textId="77777777" w:rsidR="00F8164D" w:rsidRPr="00F8164D" w:rsidRDefault="00F8164D" w:rsidP="00B56BAF">
            <w:pPr>
              <w:spacing w:after="0" w:line="240" w:lineRule="auto"/>
              <w:jc w:val="both"/>
              <w:rPr>
                <w:rFonts w:ascii="Times New Roman" w:eastAsia="Times New Roman" w:hAnsi="Times New Roman" w:cs="Times New Roman"/>
                <w:b/>
                <w:bCs/>
                <w:sz w:val="24"/>
                <w:szCs w:val="24"/>
              </w:rPr>
            </w:pPr>
            <w:r w:rsidRPr="00F8164D">
              <w:rPr>
                <w:rFonts w:ascii="Times New Roman" w:eastAsia="Times New Roman" w:hAnsi="Times New Roman" w:cs="Times New Roman"/>
                <w:b/>
                <w:bCs/>
                <w:sz w:val="24"/>
                <w:szCs w:val="24"/>
              </w:rPr>
              <w:t>Max</w:t>
            </w:r>
          </w:p>
        </w:tc>
      </w:tr>
      <w:tr w:rsidR="00F8164D" w:rsidRPr="00F8164D" w14:paraId="18297B78" w14:textId="77777777" w:rsidTr="00D428B4">
        <w:trPr>
          <w:trHeight w:val="290"/>
          <w:tblCellSpacing w:w="15" w:type="dxa"/>
        </w:trPr>
        <w:tc>
          <w:tcPr>
            <w:tcW w:w="0" w:type="auto"/>
            <w:tcBorders>
              <w:top w:val="single" w:sz="4" w:space="0" w:color="auto"/>
            </w:tcBorders>
            <w:vAlign w:val="center"/>
            <w:hideMark/>
          </w:tcPr>
          <w:p w14:paraId="592FF18F"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HDDS (0–12 scale)</w:t>
            </w:r>
          </w:p>
        </w:tc>
        <w:tc>
          <w:tcPr>
            <w:tcW w:w="0" w:type="auto"/>
            <w:tcBorders>
              <w:top w:val="single" w:sz="4" w:space="0" w:color="auto"/>
            </w:tcBorders>
            <w:vAlign w:val="center"/>
            <w:hideMark/>
          </w:tcPr>
          <w:p w14:paraId="1F52EAE5"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5.87</w:t>
            </w:r>
          </w:p>
        </w:tc>
        <w:tc>
          <w:tcPr>
            <w:tcW w:w="0" w:type="auto"/>
            <w:tcBorders>
              <w:top w:val="single" w:sz="4" w:space="0" w:color="auto"/>
            </w:tcBorders>
            <w:vAlign w:val="center"/>
            <w:hideMark/>
          </w:tcPr>
          <w:p w14:paraId="4B0A14E7"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1.72</w:t>
            </w:r>
          </w:p>
        </w:tc>
        <w:tc>
          <w:tcPr>
            <w:tcW w:w="0" w:type="auto"/>
            <w:tcBorders>
              <w:top w:val="single" w:sz="4" w:space="0" w:color="auto"/>
            </w:tcBorders>
            <w:vAlign w:val="center"/>
            <w:hideMark/>
          </w:tcPr>
          <w:p w14:paraId="5CD0C738"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2</w:t>
            </w:r>
          </w:p>
        </w:tc>
        <w:tc>
          <w:tcPr>
            <w:tcW w:w="0" w:type="auto"/>
            <w:tcBorders>
              <w:top w:val="single" w:sz="4" w:space="0" w:color="auto"/>
            </w:tcBorders>
            <w:vAlign w:val="center"/>
            <w:hideMark/>
          </w:tcPr>
          <w:p w14:paraId="50779F5C"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10</w:t>
            </w:r>
          </w:p>
        </w:tc>
      </w:tr>
      <w:tr w:rsidR="00F8164D" w:rsidRPr="00F8164D" w14:paraId="3FB3E080" w14:textId="77777777" w:rsidTr="00D428B4">
        <w:trPr>
          <w:trHeight w:val="306"/>
          <w:tblCellSpacing w:w="15" w:type="dxa"/>
        </w:trPr>
        <w:tc>
          <w:tcPr>
            <w:tcW w:w="0" w:type="auto"/>
            <w:vAlign w:val="center"/>
            <w:hideMark/>
          </w:tcPr>
          <w:p w14:paraId="0A72656B"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Food-insecure months</w:t>
            </w:r>
          </w:p>
        </w:tc>
        <w:tc>
          <w:tcPr>
            <w:tcW w:w="0" w:type="auto"/>
            <w:vAlign w:val="center"/>
            <w:hideMark/>
          </w:tcPr>
          <w:p w14:paraId="61A95D89"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3.41</w:t>
            </w:r>
          </w:p>
        </w:tc>
        <w:tc>
          <w:tcPr>
            <w:tcW w:w="0" w:type="auto"/>
            <w:vAlign w:val="center"/>
            <w:hideMark/>
          </w:tcPr>
          <w:p w14:paraId="39763C4B"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1.12</w:t>
            </w:r>
          </w:p>
        </w:tc>
        <w:tc>
          <w:tcPr>
            <w:tcW w:w="0" w:type="auto"/>
            <w:vAlign w:val="center"/>
            <w:hideMark/>
          </w:tcPr>
          <w:p w14:paraId="07F3D5D4"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0</w:t>
            </w:r>
          </w:p>
        </w:tc>
        <w:tc>
          <w:tcPr>
            <w:tcW w:w="0" w:type="auto"/>
            <w:vAlign w:val="center"/>
            <w:hideMark/>
          </w:tcPr>
          <w:p w14:paraId="305ECB8E"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6</w:t>
            </w:r>
          </w:p>
        </w:tc>
      </w:tr>
      <w:tr w:rsidR="00F8164D" w:rsidRPr="00F8164D" w14:paraId="010AE374" w14:textId="77777777" w:rsidTr="00D428B4">
        <w:trPr>
          <w:trHeight w:val="290"/>
          <w:tblCellSpacing w:w="15" w:type="dxa"/>
        </w:trPr>
        <w:tc>
          <w:tcPr>
            <w:tcW w:w="0" w:type="auto"/>
            <w:tcBorders>
              <w:bottom w:val="single" w:sz="4" w:space="0" w:color="auto"/>
            </w:tcBorders>
            <w:vAlign w:val="center"/>
            <w:hideMark/>
          </w:tcPr>
          <w:p w14:paraId="72B86723" w14:textId="41FE60CC" w:rsidR="00F8164D" w:rsidRPr="00F8164D" w:rsidRDefault="008C4A7C" w:rsidP="00B56BAF">
            <w:pPr>
              <w:spacing w:after="0"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a</w:t>
            </w:r>
            <w:r w:rsidR="00F8164D" w:rsidRPr="00F8164D">
              <w:rPr>
                <w:rFonts w:ascii="Times New Roman" w:eastAsia="Times New Roman" w:hAnsi="Times New Roman" w:cs="Times New Roman"/>
                <w:sz w:val="24"/>
                <w:szCs w:val="24"/>
              </w:rPr>
              <w:t>Livestock products/week</w:t>
            </w:r>
          </w:p>
        </w:tc>
        <w:tc>
          <w:tcPr>
            <w:tcW w:w="0" w:type="auto"/>
            <w:tcBorders>
              <w:bottom w:val="single" w:sz="4" w:space="0" w:color="auto"/>
            </w:tcBorders>
            <w:vAlign w:val="center"/>
            <w:hideMark/>
          </w:tcPr>
          <w:p w14:paraId="2759A559"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2.97</w:t>
            </w:r>
          </w:p>
        </w:tc>
        <w:tc>
          <w:tcPr>
            <w:tcW w:w="0" w:type="auto"/>
            <w:tcBorders>
              <w:bottom w:val="single" w:sz="4" w:space="0" w:color="auto"/>
            </w:tcBorders>
            <w:vAlign w:val="center"/>
            <w:hideMark/>
          </w:tcPr>
          <w:p w14:paraId="35291615"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1.45</w:t>
            </w:r>
          </w:p>
        </w:tc>
        <w:tc>
          <w:tcPr>
            <w:tcW w:w="0" w:type="auto"/>
            <w:tcBorders>
              <w:bottom w:val="single" w:sz="4" w:space="0" w:color="auto"/>
            </w:tcBorders>
            <w:vAlign w:val="center"/>
            <w:hideMark/>
          </w:tcPr>
          <w:p w14:paraId="0440F9CD"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0</w:t>
            </w:r>
          </w:p>
        </w:tc>
        <w:tc>
          <w:tcPr>
            <w:tcW w:w="0" w:type="auto"/>
            <w:tcBorders>
              <w:bottom w:val="single" w:sz="4" w:space="0" w:color="auto"/>
            </w:tcBorders>
            <w:vAlign w:val="center"/>
            <w:hideMark/>
          </w:tcPr>
          <w:p w14:paraId="4BBBDC9A" w14:textId="77777777" w:rsidR="00F8164D" w:rsidRPr="00F8164D" w:rsidRDefault="00F8164D" w:rsidP="00B56BAF">
            <w:pPr>
              <w:spacing w:after="0"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7</w:t>
            </w:r>
          </w:p>
        </w:tc>
      </w:tr>
    </w:tbl>
    <w:p w14:paraId="19C49503" w14:textId="77777777" w:rsidR="00F8164D" w:rsidRPr="00F8164D" w:rsidRDefault="00F8164D" w:rsidP="00B56BAF">
      <w:pPr>
        <w:spacing w:before="100" w:beforeAutospacing="1" w:after="100" w:afterAutospacing="1"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Note. HDDS = Household Dietary Diversity Score.</w:t>
      </w:r>
    </w:p>
    <w:p w14:paraId="25954C97" w14:textId="0E9B6878" w:rsidR="00F8164D" w:rsidRPr="00F8164D" w:rsidRDefault="00F8164D" w:rsidP="00B56BAF">
      <w:pPr>
        <w:spacing w:before="100" w:beforeAutospacing="1" w:after="100" w:afterAutospacing="1" w:line="240" w:lineRule="auto"/>
        <w:jc w:val="both"/>
        <w:rPr>
          <w:rFonts w:ascii="Times New Roman" w:eastAsia="Times New Roman" w:hAnsi="Times New Roman" w:cs="Times New Roman"/>
          <w:sz w:val="24"/>
          <w:szCs w:val="24"/>
        </w:rPr>
      </w:pPr>
      <w:r w:rsidRPr="00F8164D">
        <w:rPr>
          <w:rFonts w:ascii="Times New Roman" w:eastAsia="Times New Roman" w:hAnsi="Times New Roman" w:cs="Times New Roman"/>
          <w:sz w:val="24"/>
          <w:szCs w:val="24"/>
        </w:rPr>
        <w:t>These meas</w:t>
      </w:r>
      <w:r w:rsidR="00DA136B">
        <w:rPr>
          <w:rFonts w:ascii="Times New Roman" w:eastAsia="Times New Roman" w:hAnsi="Times New Roman" w:cs="Times New Roman"/>
          <w:sz w:val="24"/>
          <w:szCs w:val="24"/>
        </w:rPr>
        <w:t>ures are consistent with [21, 22</w:t>
      </w:r>
      <w:r w:rsidRPr="00F8164D">
        <w:rPr>
          <w:rFonts w:ascii="Times New Roman" w:eastAsia="Times New Roman" w:hAnsi="Times New Roman" w:cs="Times New Roman"/>
          <w:sz w:val="24"/>
          <w:szCs w:val="24"/>
        </w:rPr>
        <w:t>], which recommend dietary diversity, seasonal food availability, and animal-source food consumption as reliable indicators of household food security.</w:t>
      </w:r>
    </w:p>
    <w:p w14:paraId="78C6FB5C" w14:textId="3636E90A" w:rsidR="00B817D5" w:rsidRPr="00324BC3" w:rsidRDefault="00B817D5" w:rsidP="00B56BAF">
      <w:pPr>
        <w:spacing w:after="0" w:line="240" w:lineRule="auto"/>
        <w:jc w:val="both"/>
        <w:outlineLvl w:val="2"/>
        <w:rPr>
          <w:rFonts w:ascii="Times New Roman" w:eastAsia="Times New Roman" w:hAnsi="Times New Roman" w:cs="Times New Roman"/>
          <w:b/>
          <w:bCs/>
          <w:sz w:val="24"/>
          <w:szCs w:val="24"/>
        </w:rPr>
      </w:pPr>
    </w:p>
    <w:p w14:paraId="44F91D7A" w14:textId="4554C864" w:rsidR="00642C3E" w:rsidRPr="00324BC3" w:rsidRDefault="00B50ED2" w:rsidP="00B56BAF">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sidR="00642C3E" w:rsidRPr="00324BC3">
        <w:rPr>
          <w:rFonts w:ascii="Times New Roman" w:eastAsia="Times New Roman" w:hAnsi="Times New Roman" w:cs="Times New Roman"/>
          <w:b/>
          <w:bCs/>
          <w:sz w:val="24"/>
          <w:szCs w:val="24"/>
        </w:rPr>
        <w:t xml:space="preserve"> Food Security Outcomes and IBLI Uptake</w:t>
      </w:r>
    </w:p>
    <w:p w14:paraId="0B02EF0C" w14:textId="77777777" w:rsidR="00F8164D" w:rsidRPr="00324BC3" w:rsidRDefault="00642C3E" w:rsidP="00B56BAF">
      <w:pPr>
        <w:spacing w:after="0" w:line="240" w:lineRule="auto"/>
        <w:jc w:val="both"/>
        <w:outlineLvl w:val="2"/>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To evaluate the effects of Index-Based Livestock Insurance (IBLI) on household food security, propensity score matching (PSM) was used to estimate the Average Treatment Effect on the Treated (ATT). Three food security indicators food run-out frequency, skipped meals, and use of less-preferred foods were analyzed. These indicators are drawn from the Household Food Insecurity Access Scale (HFIAS), which captures household-level experiences of food access. It is important to note that these indicators differ from the conceptual categories of food security (chronic, transitory, break-even, and food secure) defined by FAO [24]. While FAO categories provide broad classifications, the HFIAS indicators employed here offer more granular and empirically measurable outcomes relevant to household consumption behavior during drought [23].</w:t>
      </w:r>
    </w:p>
    <w:p w14:paraId="1D60193F" w14:textId="3760DD00" w:rsidR="00642C3E" w:rsidRPr="00D64E8F" w:rsidRDefault="0061634B"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t xml:space="preserve">Table 10: </w:t>
      </w:r>
      <w:r w:rsidR="00642C3E" w:rsidRPr="00D64E8F">
        <w:rPr>
          <w:rFonts w:ascii="Times New Roman" w:eastAsia="Times New Roman" w:hAnsi="Times New Roman" w:cs="Times New Roman"/>
          <w:bCs/>
          <w:sz w:val="24"/>
          <w:szCs w:val="24"/>
        </w:rPr>
        <w:t>ATT estimates for food-security outcomes (PSM)</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2651"/>
        <w:gridCol w:w="1167"/>
        <w:gridCol w:w="939"/>
        <w:gridCol w:w="940"/>
        <w:gridCol w:w="1252"/>
        <w:gridCol w:w="698"/>
        <w:gridCol w:w="615"/>
      </w:tblGrid>
      <w:tr w:rsidR="00642C3E" w:rsidRPr="00D64E8F" w14:paraId="21B90D65" w14:textId="77777777" w:rsidTr="00D428B4">
        <w:trPr>
          <w:tblHeader/>
          <w:tblCellSpacing w:w="15" w:type="dxa"/>
        </w:trPr>
        <w:tc>
          <w:tcPr>
            <w:tcW w:w="2606" w:type="dxa"/>
            <w:tcBorders>
              <w:top w:val="single" w:sz="4" w:space="0" w:color="auto"/>
              <w:bottom w:val="single" w:sz="4" w:space="0" w:color="auto"/>
            </w:tcBorders>
            <w:vAlign w:val="center"/>
            <w:hideMark/>
          </w:tcPr>
          <w:p w14:paraId="0AB53CAA"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lastRenderedPageBreak/>
              <w:t>Outcome (scale/interpretation)</w:t>
            </w:r>
          </w:p>
        </w:tc>
        <w:tc>
          <w:tcPr>
            <w:tcW w:w="0" w:type="auto"/>
            <w:tcBorders>
              <w:top w:val="single" w:sz="4" w:space="0" w:color="auto"/>
              <w:bottom w:val="single" w:sz="4" w:space="0" w:color="auto"/>
            </w:tcBorders>
            <w:vAlign w:val="center"/>
            <w:hideMark/>
          </w:tcPr>
          <w:p w14:paraId="65E4F0C4"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Sample</w:t>
            </w:r>
          </w:p>
        </w:tc>
        <w:tc>
          <w:tcPr>
            <w:tcW w:w="0" w:type="auto"/>
            <w:tcBorders>
              <w:top w:val="single" w:sz="4" w:space="0" w:color="auto"/>
              <w:bottom w:val="single" w:sz="4" w:space="0" w:color="auto"/>
            </w:tcBorders>
            <w:vAlign w:val="center"/>
            <w:hideMark/>
          </w:tcPr>
          <w:p w14:paraId="1AF57316"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Treated Mean</w:t>
            </w:r>
          </w:p>
        </w:tc>
        <w:tc>
          <w:tcPr>
            <w:tcW w:w="0" w:type="auto"/>
            <w:tcBorders>
              <w:top w:val="single" w:sz="4" w:space="0" w:color="auto"/>
              <w:bottom w:val="single" w:sz="4" w:space="0" w:color="auto"/>
            </w:tcBorders>
            <w:vAlign w:val="center"/>
            <w:hideMark/>
          </w:tcPr>
          <w:p w14:paraId="554CCB56"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Control Mean</w:t>
            </w:r>
          </w:p>
        </w:tc>
        <w:tc>
          <w:tcPr>
            <w:tcW w:w="0" w:type="auto"/>
            <w:tcBorders>
              <w:top w:val="single" w:sz="4" w:space="0" w:color="auto"/>
              <w:bottom w:val="single" w:sz="4" w:space="0" w:color="auto"/>
            </w:tcBorders>
            <w:vAlign w:val="center"/>
            <w:hideMark/>
          </w:tcPr>
          <w:p w14:paraId="7E2192DB"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Difference (ATT)</w:t>
            </w:r>
          </w:p>
        </w:tc>
        <w:tc>
          <w:tcPr>
            <w:tcW w:w="0" w:type="auto"/>
            <w:tcBorders>
              <w:top w:val="single" w:sz="4" w:space="0" w:color="auto"/>
              <w:bottom w:val="single" w:sz="4" w:space="0" w:color="auto"/>
            </w:tcBorders>
            <w:vAlign w:val="center"/>
            <w:hideMark/>
          </w:tcPr>
          <w:p w14:paraId="690BDBFC"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Std. Error</w:t>
            </w:r>
          </w:p>
        </w:tc>
        <w:tc>
          <w:tcPr>
            <w:tcW w:w="0" w:type="auto"/>
            <w:tcBorders>
              <w:top w:val="single" w:sz="4" w:space="0" w:color="auto"/>
              <w:bottom w:val="single" w:sz="4" w:space="0" w:color="auto"/>
            </w:tcBorders>
            <w:vAlign w:val="center"/>
            <w:hideMark/>
          </w:tcPr>
          <w:p w14:paraId="07033947"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t</w:t>
            </w:r>
          </w:p>
        </w:tc>
      </w:tr>
      <w:tr w:rsidR="00642C3E" w:rsidRPr="00D64E8F" w14:paraId="52342AC9" w14:textId="77777777" w:rsidTr="00D428B4">
        <w:trPr>
          <w:tblCellSpacing w:w="15" w:type="dxa"/>
        </w:trPr>
        <w:tc>
          <w:tcPr>
            <w:tcW w:w="2606" w:type="dxa"/>
            <w:vAlign w:val="center"/>
            <w:hideMark/>
          </w:tcPr>
          <w:p w14:paraId="5343A2CC" w14:textId="47A70C28"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 xml:space="preserve">Food run-out </w:t>
            </w:r>
          </w:p>
        </w:tc>
        <w:tc>
          <w:tcPr>
            <w:tcW w:w="0" w:type="auto"/>
            <w:vAlign w:val="center"/>
            <w:hideMark/>
          </w:tcPr>
          <w:p w14:paraId="64C95468"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Unmatched</w:t>
            </w:r>
          </w:p>
        </w:tc>
        <w:tc>
          <w:tcPr>
            <w:tcW w:w="0" w:type="auto"/>
            <w:vAlign w:val="center"/>
            <w:hideMark/>
          </w:tcPr>
          <w:p w14:paraId="1AB813FE"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1.53</w:t>
            </w:r>
          </w:p>
        </w:tc>
        <w:tc>
          <w:tcPr>
            <w:tcW w:w="0" w:type="auto"/>
            <w:vAlign w:val="center"/>
            <w:hideMark/>
          </w:tcPr>
          <w:p w14:paraId="22E3B491"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1.55</w:t>
            </w:r>
          </w:p>
        </w:tc>
        <w:tc>
          <w:tcPr>
            <w:tcW w:w="0" w:type="auto"/>
            <w:vAlign w:val="center"/>
            <w:hideMark/>
          </w:tcPr>
          <w:p w14:paraId="1492E87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−0.016</w:t>
            </w:r>
          </w:p>
        </w:tc>
        <w:tc>
          <w:tcPr>
            <w:tcW w:w="0" w:type="auto"/>
            <w:vAlign w:val="center"/>
            <w:hideMark/>
          </w:tcPr>
          <w:p w14:paraId="62ED8D4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0.069</w:t>
            </w:r>
          </w:p>
        </w:tc>
        <w:tc>
          <w:tcPr>
            <w:tcW w:w="0" w:type="auto"/>
            <w:vAlign w:val="center"/>
            <w:hideMark/>
          </w:tcPr>
          <w:p w14:paraId="4E529BE9"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0.24</w:t>
            </w:r>
          </w:p>
        </w:tc>
      </w:tr>
      <w:tr w:rsidR="00642C3E" w:rsidRPr="00D64E8F" w14:paraId="1369DEF8" w14:textId="77777777" w:rsidTr="00D428B4">
        <w:trPr>
          <w:tblCellSpacing w:w="15" w:type="dxa"/>
        </w:trPr>
        <w:tc>
          <w:tcPr>
            <w:tcW w:w="2606" w:type="dxa"/>
            <w:vAlign w:val="center"/>
            <w:hideMark/>
          </w:tcPr>
          <w:p w14:paraId="365A4580"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p>
        </w:tc>
        <w:tc>
          <w:tcPr>
            <w:tcW w:w="0" w:type="auto"/>
            <w:vAlign w:val="center"/>
            <w:hideMark/>
          </w:tcPr>
          <w:p w14:paraId="4029093B"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Matched</w:t>
            </w:r>
          </w:p>
        </w:tc>
        <w:tc>
          <w:tcPr>
            <w:tcW w:w="0" w:type="auto"/>
            <w:vAlign w:val="center"/>
            <w:hideMark/>
          </w:tcPr>
          <w:p w14:paraId="0153EC16"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1.53</w:t>
            </w:r>
          </w:p>
        </w:tc>
        <w:tc>
          <w:tcPr>
            <w:tcW w:w="0" w:type="auto"/>
            <w:vAlign w:val="center"/>
            <w:hideMark/>
          </w:tcPr>
          <w:p w14:paraId="0B94BEB2"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1.49</w:t>
            </w:r>
          </w:p>
        </w:tc>
        <w:tc>
          <w:tcPr>
            <w:tcW w:w="0" w:type="auto"/>
            <w:vAlign w:val="center"/>
            <w:hideMark/>
          </w:tcPr>
          <w:p w14:paraId="646456B4"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0.044</w:t>
            </w:r>
          </w:p>
        </w:tc>
        <w:tc>
          <w:tcPr>
            <w:tcW w:w="0" w:type="auto"/>
            <w:vAlign w:val="center"/>
            <w:hideMark/>
          </w:tcPr>
          <w:p w14:paraId="785F2AE4"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0.097</w:t>
            </w:r>
          </w:p>
        </w:tc>
        <w:tc>
          <w:tcPr>
            <w:tcW w:w="0" w:type="auto"/>
            <w:vAlign w:val="center"/>
            <w:hideMark/>
          </w:tcPr>
          <w:p w14:paraId="75FD59C5"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0.46</w:t>
            </w:r>
          </w:p>
        </w:tc>
      </w:tr>
      <w:tr w:rsidR="00642C3E" w:rsidRPr="00D64E8F" w14:paraId="03B35B4B" w14:textId="77777777" w:rsidTr="00D428B4">
        <w:trPr>
          <w:tblCellSpacing w:w="15" w:type="dxa"/>
        </w:trPr>
        <w:tc>
          <w:tcPr>
            <w:tcW w:w="2606" w:type="dxa"/>
            <w:vAlign w:val="center"/>
            <w:hideMark/>
          </w:tcPr>
          <w:p w14:paraId="5F9B8212" w14:textId="6E8A3F75"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 xml:space="preserve">Skipped meals </w:t>
            </w:r>
          </w:p>
        </w:tc>
        <w:tc>
          <w:tcPr>
            <w:tcW w:w="0" w:type="auto"/>
            <w:vAlign w:val="center"/>
            <w:hideMark/>
          </w:tcPr>
          <w:p w14:paraId="6BD9CC4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Unmatched</w:t>
            </w:r>
          </w:p>
        </w:tc>
        <w:tc>
          <w:tcPr>
            <w:tcW w:w="0" w:type="auto"/>
            <w:vAlign w:val="center"/>
            <w:hideMark/>
          </w:tcPr>
          <w:p w14:paraId="1D7F5EB2"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1.50</w:t>
            </w:r>
          </w:p>
        </w:tc>
        <w:tc>
          <w:tcPr>
            <w:tcW w:w="0" w:type="auto"/>
            <w:vAlign w:val="center"/>
            <w:hideMark/>
          </w:tcPr>
          <w:p w14:paraId="3A609979"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1.55</w:t>
            </w:r>
          </w:p>
        </w:tc>
        <w:tc>
          <w:tcPr>
            <w:tcW w:w="0" w:type="auto"/>
            <w:vAlign w:val="center"/>
            <w:hideMark/>
          </w:tcPr>
          <w:p w14:paraId="26EC8363"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−0.046</w:t>
            </w:r>
          </w:p>
        </w:tc>
        <w:tc>
          <w:tcPr>
            <w:tcW w:w="0" w:type="auto"/>
            <w:vAlign w:val="center"/>
            <w:hideMark/>
          </w:tcPr>
          <w:p w14:paraId="5A792AEE"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0.069</w:t>
            </w:r>
          </w:p>
        </w:tc>
        <w:tc>
          <w:tcPr>
            <w:tcW w:w="0" w:type="auto"/>
            <w:vAlign w:val="center"/>
            <w:hideMark/>
          </w:tcPr>
          <w:p w14:paraId="7570CE9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0.66</w:t>
            </w:r>
          </w:p>
        </w:tc>
      </w:tr>
      <w:tr w:rsidR="00642C3E" w:rsidRPr="00D64E8F" w14:paraId="375935F8" w14:textId="77777777" w:rsidTr="00D428B4">
        <w:trPr>
          <w:tblCellSpacing w:w="15" w:type="dxa"/>
        </w:trPr>
        <w:tc>
          <w:tcPr>
            <w:tcW w:w="2606" w:type="dxa"/>
            <w:vAlign w:val="center"/>
            <w:hideMark/>
          </w:tcPr>
          <w:p w14:paraId="12C20246"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p>
        </w:tc>
        <w:tc>
          <w:tcPr>
            <w:tcW w:w="0" w:type="auto"/>
            <w:vAlign w:val="center"/>
            <w:hideMark/>
          </w:tcPr>
          <w:p w14:paraId="37DDE97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Matched</w:t>
            </w:r>
          </w:p>
        </w:tc>
        <w:tc>
          <w:tcPr>
            <w:tcW w:w="0" w:type="auto"/>
            <w:vAlign w:val="center"/>
            <w:hideMark/>
          </w:tcPr>
          <w:p w14:paraId="5752FA69"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1.50</w:t>
            </w:r>
          </w:p>
        </w:tc>
        <w:tc>
          <w:tcPr>
            <w:tcW w:w="0" w:type="auto"/>
            <w:vAlign w:val="center"/>
            <w:hideMark/>
          </w:tcPr>
          <w:p w14:paraId="255D691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1.53</w:t>
            </w:r>
          </w:p>
        </w:tc>
        <w:tc>
          <w:tcPr>
            <w:tcW w:w="0" w:type="auto"/>
            <w:vAlign w:val="center"/>
            <w:hideMark/>
          </w:tcPr>
          <w:p w14:paraId="0B961E48"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−0.029</w:t>
            </w:r>
          </w:p>
        </w:tc>
        <w:tc>
          <w:tcPr>
            <w:tcW w:w="0" w:type="auto"/>
            <w:vAlign w:val="center"/>
            <w:hideMark/>
          </w:tcPr>
          <w:p w14:paraId="19147219"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0.097</w:t>
            </w:r>
          </w:p>
        </w:tc>
        <w:tc>
          <w:tcPr>
            <w:tcW w:w="0" w:type="auto"/>
            <w:vAlign w:val="center"/>
            <w:hideMark/>
          </w:tcPr>
          <w:p w14:paraId="4069D690"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0.30</w:t>
            </w:r>
          </w:p>
        </w:tc>
      </w:tr>
      <w:tr w:rsidR="00642C3E" w:rsidRPr="00D64E8F" w14:paraId="0B11A8E0" w14:textId="77777777" w:rsidTr="00D428B4">
        <w:trPr>
          <w:tblCellSpacing w:w="15" w:type="dxa"/>
        </w:trPr>
        <w:tc>
          <w:tcPr>
            <w:tcW w:w="2606" w:type="dxa"/>
            <w:vAlign w:val="center"/>
            <w:hideMark/>
          </w:tcPr>
          <w:p w14:paraId="747834E5" w14:textId="4919A319"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 xml:space="preserve">Use of less-preferred foods </w:t>
            </w:r>
          </w:p>
        </w:tc>
        <w:tc>
          <w:tcPr>
            <w:tcW w:w="0" w:type="auto"/>
            <w:vAlign w:val="center"/>
            <w:hideMark/>
          </w:tcPr>
          <w:p w14:paraId="4292322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Unmatched</w:t>
            </w:r>
          </w:p>
        </w:tc>
        <w:tc>
          <w:tcPr>
            <w:tcW w:w="0" w:type="auto"/>
            <w:vAlign w:val="center"/>
            <w:hideMark/>
          </w:tcPr>
          <w:p w14:paraId="7D9B9AE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1.44</w:t>
            </w:r>
          </w:p>
        </w:tc>
        <w:tc>
          <w:tcPr>
            <w:tcW w:w="0" w:type="auto"/>
            <w:vAlign w:val="center"/>
            <w:hideMark/>
          </w:tcPr>
          <w:p w14:paraId="559340E0"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1.36</w:t>
            </w:r>
          </w:p>
        </w:tc>
        <w:tc>
          <w:tcPr>
            <w:tcW w:w="0" w:type="auto"/>
            <w:vAlign w:val="center"/>
            <w:hideMark/>
          </w:tcPr>
          <w:p w14:paraId="0D2CB602"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0.083</w:t>
            </w:r>
          </w:p>
        </w:tc>
        <w:tc>
          <w:tcPr>
            <w:tcW w:w="0" w:type="auto"/>
            <w:vAlign w:val="center"/>
            <w:hideMark/>
          </w:tcPr>
          <w:p w14:paraId="074F1C08"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0.067</w:t>
            </w:r>
          </w:p>
        </w:tc>
        <w:tc>
          <w:tcPr>
            <w:tcW w:w="0" w:type="auto"/>
            <w:vAlign w:val="center"/>
            <w:hideMark/>
          </w:tcPr>
          <w:p w14:paraId="00F32651"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1.24</w:t>
            </w:r>
          </w:p>
        </w:tc>
      </w:tr>
      <w:tr w:rsidR="00642C3E" w:rsidRPr="00D64E8F" w14:paraId="251BDF07" w14:textId="77777777" w:rsidTr="00D428B4">
        <w:trPr>
          <w:tblCellSpacing w:w="15" w:type="dxa"/>
        </w:trPr>
        <w:tc>
          <w:tcPr>
            <w:tcW w:w="2606" w:type="dxa"/>
            <w:tcBorders>
              <w:bottom w:val="single" w:sz="4" w:space="0" w:color="auto"/>
            </w:tcBorders>
            <w:vAlign w:val="center"/>
            <w:hideMark/>
          </w:tcPr>
          <w:p w14:paraId="3F885CB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p>
        </w:tc>
        <w:tc>
          <w:tcPr>
            <w:tcW w:w="0" w:type="auto"/>
            <w:tcBorders>
              <w:bottom w:val="single" w:sz="4" w:space="0" w:color="auto"/>
            </w:tcBorders>
            <w:vAlign w:val="center"/>
            <w:hideMark/>
          </w:tcPr>
          <w:p w14:paraId="6D5A88F3"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Matched</w:t>
            </w:r>
          </w:p>
        </w:tc>
        <w:tc>
          <w:tcPr>
            <w:tcW w:w="0" w:type="auto"/>
            <w:tcBorders>
              <w:bottom w:val="single" w:sz="4" w:space="0" w:color="auto"/>
            </w:tcBorders>
            <w:vAlign w:val="center"/>
            <w:hideMark/>
          </w:tcPr>
          <w:p w14:paraId="4544C2F8"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1.44</w:t>
            </w:r>
          </w:p>
        </w:tc>
        <w:tc>
          <w:tcPr>
            <w:tcW w:w="0" w:type="auto"/>
            <w:tcBorders>
              <w:bottom w:val="single" w:sz="4" w:space="0" w:color="auto"/>
            </w:tcBorders>
            <w:vAlign w:val="center"/>
            <w:hideMark/>
          </w:tcPr>
          <w:p w14:paraId="79F8851F"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1.24</w:t>
            </w:r>
          </w:p>
        </w:tc>
        <w:tc>
          <w:tcPr>
            <w:tcW w:w="0" w:type="auto"/>
            <w:tcBorders>
              <w:bottom w:val="single" w:sz="4" w:space="0" w:color="auto"/>
            </w:tcBorders>
            <w:vAlign w:val="center"/>
            <w:hideMark/>
          </w:tcPr>
          <w:p w14:paraId="4E17FF15"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t>0.206</w:t>
            </w:r>
          </w:p>
        </w:tc>
        <w:tc>
          <w:tcPr>
            <w:tcW w:w="0" w:type="auto"/>
            <w:tcBorders>
              <w:bottom w:val="single" w:sz="4" w:space="0" w:color="auto"/>
            </w:tcBorders>
            <w:vAlign w:val="center"/>
            <w:hideMark/>
          </w:tcPr>
          <w:p w14:paraId="09A1962F"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t>0.088</w:t>
            </w:r>
          </w:p>
        </w:tc>
        <w:tc>
          <w:tcPr>
            <w:tcW w:w="0" w:type="auto"/>
            <w:tcBorders>
              <w:bottom w:val="single" w:sz="4" w:space="0" w:color="auto"/>
            </w:tcBorders>
            <w:vAlign w:val="center"/>
            <w:hideMark/>
          </w:tcPr>
          <w:p w14:paraId="170B3C7A"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t>2.33</w:t>
            </w:r>
            <w:r w:rsidRPr="00D64E8F">
              <w:rPr>
                <w:rFonts w:ascii="Times New Roman" w:eastAsia="Times New Roman" w:hAnsi="Times New Roman" w:cs="Times New Roman"/>
                <w:sz w:val="24"/>
                <w:szCs w:val="24"/>
              </w:rPr>
              <w:t>*</w:t>
            </w:r>
          </w:p>
        </w:tc>
      </w:tr>
    </w:tbl>
    <w:p w14:paraId="3C954CC4"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p>
    <w:p w14:paraId="3947C6B1" w14:textId="284DF16D" w:rsidR="00642C3E" w:rsidRPr="00324BC3" w:rsidRDefault="00642C3E" w:rsidP="00B56BAF">
      <w:pPr>
        <w:spacing w:line="240" w:lineRule="auto"/>
        <w:rPr>
          <w:rFonts w:ascii="Times New Roman" w:hAnsi="Times New Roman" w:cs="Times New Roman"/>
          <w:sz w:val="24"/>
          <w:szCs w:val="24"/>
        </w:rPr>
      </w:pPr>
      <w:r w:rsidRPr="00324BC3">
        <w:rPr>
          <w:rFonts w:ascii="Times New Roman" w:hAnsi="Times New Roman" w:cs="Times New Roman"/>
          <w:sz w:val="24"/>
          <w:szCs w:val="24"/>
        </w:rPr>
        <w:t>*p &lt; .05.</w:t>
      </w:r>
      <w:r w:rsidRPr="00324BC3">
        <w:rPr>
          <w:rFonts w:ascii="Times New Roman" w:hAnsi="Times New Roman" w:cs="Times New Roman"/>
          <w:sz w:val="24"/>
          <w:szCs w:val="24"/>
        </w:rPr>
        <w:br/>
      </w:r>
    </w:p>
    <w:p w14:paraId="59232AED" w14:textId="64903651" w:rsidR="00A05115" w:rsidRPr="00324BC3" w:rsidRDefault="00A05115" w:rsidP="00B56BAF">
      <w:pPr>
        <w:spacing w:line="240" w:lineRule="auto"/>
        <w:jc w:val="both"/>
        <w:rPr>
          <w:rFonts w:ascii="Times New Roman" w:hAnsi="Times New Roman" w:cs="Times New Roman"/>
          <w:sz w:val="24"/>
          <w:szCs w:val="24"/>
        </w:rPr>
      </w:pPr>
      <w:r w:rsidRPr="00324BC3">
        <w:rPr>
          <w:rFonts w:ascii="Times New Roman" w:hAnsi="Times New Roman" w:cs="Times New Roman"/>
          <w:sz w:val="24"/>
          <w:szCs w:val="24"/>
        </w:rPr>
        <w:t>The ATT results indicate that IBLI participation had mixed impacts on household food security outcomes. With respect to food run-out, the estimates were not statistically significant, suggesting that participation in the insurance scheme did not reduce the likelihood of households exhausting their food stocks during drought periods. This outcome may be attributed to the fact that insurance payouts were either too small or not released in time to buffer against acute shortages, thereby forcing households to continue relying on alternative coping strategies [30]. Similarly, the results for skipped meals were also statistically insignificant. This finding implies that IBLI, on its own, was insufficient to prevent households from resorting to the extreme coping strategy of missing meals. It therefore reinforces the view that insurance interventions must be complemented with other short-term safety nets such as emergency cash transfers or food aid to effectively address immediate food access challenges during severe drought cycles [31].</w:t>
      </w:r>
    </w:p>
    <w:p w14:paraId="25D08BF8" w14:textId="79553AF4" w:rsidR="00642C3E" w:rsidRPr="00324BC3" w:rsidRDefault="00A05115" w:rsidP="00B56BAF">
      <w:pPr>
        <w:spacing w:line="240" w:lineRule="auto"/>
        <w:jc w:val="both"/>
        <w:rPr>
          <w:rFonts w:ascii="Times New Roman" w:hAnsi="Times New Roman" w:cs="Times New Roman"/>
          <w:sz w:val="24"/>
          <w:szCs w:val="24"/>
        </w:rPr>
      </w:pPr>
      <w:r w:rsidRPr="00324BC3">
        <w:rPr>
          <w:rFonts w:ascii="Times New Roman" w:hAnsi="Times New Roman" w:cs="Times New Roman"/>
          <w:sz w:val="24"/>
          <w:szCs w:val="24"/>
        </w:rPr>
        <w:t>By contrast, a statistically significant effect was observed in the case of reliance on less-preferred foods. Households participating in IBLI were 0.206 points better off on this indicator compared to their non-insured counterparts (p &lt; .05), indicating that insurance payouts allowed them to sustain a higher-quality diet and avoid resorting to inferior food substitutes. This finding is consistent with previous empirical evidence that insurance mechanisms are more effective in preserving dietary quality than in securing overall food quantity [32]. Collectively, these results suggest that while IBLI does not necessarily prevent households from running out of food or skipping meals, it plays an important role in supporting dietary diversity and quality, thereby contributing positively to household food security.</w:t>
      </w:r>
    </w:p>
    <w:p w14:paraId="5B9B4ADB" w14:textId="77777777" w:rsidR="00A05115" w:rsidRPr="00324BC3" w:rsidRDefault="00A05115" w:rsidP="00B56BAF">
      <w:pPr>
        <w:spacing w:line="240" w:lineRule="auto"/>
        <w:jc w:val="both"/>
        <w:rPr>
          <w:rFonts w:ascii="Times New Roman" w:hAnsi="Times New Roman" w:cs="Times New Roman"/>
          <w:sz w:val="24"/>
          <w:szCs w:val="24"/>
        </w:rPr>
      </w:pPr>
    </w:p>
    <w:p w14:paraId="23008541" w14:textId="77777777" w:rsidR="0061634B" w:rsidRDefault="0061634B" w:rsidP="00B56BAF">
      <w:pPr>
        <w:spacing w:line="240" w:lineRule="auto"/>
        <w:jc w:val="both"/>
        <w:rPr>
          <w:rFonts w:ascii="Times New Roman" w:hAnsi="Times New Roman" w:cs="Times New Roman"/>
          <w:sz w:val="24"/>
          <w:szCs w:val="24"/>
        </w:rPr>
      </w:pPr>
    </w:p>
    <w:p w14:paraId="57BC6BCE" w14:textId="77777777" w:rsidR="00B50ED2" w:rsidRPr="00324BC3" w:rsidRDefault="00B50ED2" w:rsidP="00B56BAF">
      <w:pPr>
        <w:spacing w:line="240" w:lineRule="auto"/>
        <w:jc w:val="both"/>
        <w:rPr>
          <w:rFonts w:ascii="Times New Roman" w:hAnsi="Times New Roman" w:cs="Times New Roman"/>
          <w:sz w:val="24"/>
          <w:szCs w:val="24"/>
        </w:rPr>
      </w:pPr>
    </w:p>
    <w:p w14:paraId="79BE5466" w14:textId="60988F40" w:rsidR="008C72E5" w:rsidRPr="00324BC3" w:rsidRDefault="00B50ED2" w:rsidP="00B56BAF">
      <w:pPr>
        <w:spacing w:after="0"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4.5 </w:t>
      </w:r>
      <w:r w:rsidR="008C72E5" w:rsidRPr="00324BC3">
        <w:rPr>
          <w:rFonts w:ascii="Times New Roman" w:hAnsi="Times New Roman" w:cs="Times New Roman"/>
          <w:b/>
          <w:bCs/>
          <w:sz w:val="24"/>
          <w:szCs w:val="24"/>
        </w:rPr>
        <w:t>Probit Model for Covariate Estimation</w:t>
      </w:r>
    </w:p>
    <w:p w14:paraId="15B8C22C" w14:textId="710FE574" w:rsidR="008C72E5" w:rsidRPr="00324BC3" w:rsidRDefault="008C72E5" w:rsidP="00B56BAF">
      <w:pPr>
        <w:spacing w:after="0" w:line="240" w:lineRule="auto"/>
        <w:jc w:val="both"/>
        <w:outlineLvl w:val="2"/>
        <w:rPr>
          <w:rFonts w:ascii="Times New Roman" w:hAnsi="Times New Roman" w:cs="Times New Roman"/>
          <w:sz w:val="24"/>
          <w:szCs w:val="24"/>
        </w:rPr>
      </w:pPr>
      <w:r w:rsidRPr="00324BC3">
        <w:rPr>
          <w:rFonts w:ascii="Times New Roman" w:hAnsi="Times New Roman" w:cs="Times New Roman"/>
          <w:sz w:val="24"/>
          <w:szCs w:val="24"/>
        </w:rPr>
        <w:t>A probit regression model was estimated to identify determinants of IBLI uptake. R</w:t>
      </w:r>
      <w:r w:rsidR="00D64E8F">
        <w:rPr>
          <w:rFonts w:ascii="Times New Roman" w:hAnsi="Times New Roman" w:cs="Times New Roman"/>
          <w:sz w:val="24"/>
          <w:szCs w:val="24"/>
        </w:rPr>
        <w:t>esults are presented in Table 11</w:t>
      </w:r>
      <w:r w:rsidRPr="00324BC3">
        <w:rPr>
          <w:rFonts w:ascii="Times New Roman" w:hAnsi="Times New Roman" w:cs="Times New Roman"/>
          <w:sz w:val="24"/>
          <w:szCs w:val="24"/>
        </w:rPr>
        <w:t>.</w:t>
      </w:r>
    </w:p>
    <w:p w14:paraId="7FDDB9EB" w14:textId="77777777" w:rsidR="00A05115" w:rsidRPr="00324BC3" w:rsidRDefault="00A05115" w:rsidP="00B56BAF">
      <w:pPr>
        <w:spacing w:after="0" w:line="240" w:lineRule="auto"/>
        <w:jc w:val="both"/>
        <w:outlineLvl w:val="2"/>
        <w:rPr>
          <w:rFonts w:ascii="Times New Roman" w:eastAsia="Times New Roman" w:hAnsi="Times New Roman" w:cs="Times New Roman"/>
          <w:b/>
          <w:bCs/>
          <w:sz w:val="24"/>
          <w:szCs w:val="24"/>
        </w:rPr>
      </w:pPr>
    </w:p>
    <w:p w14:paraId="119E4228" w14:textId="6604E60D" w:rsidR="00642C3E" w:rsidRPr="00D64E8F" w:rsidRDefault="0061634B"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bCs/>
          <w:sz w:val="24"/>
          <w:szCs w:val="24"/>
        </w:rPr>
        <w:t xml:space="preserve">Table 11: </w:t>
      </w:r>
      <w:r w:rsidR="00642C3E" w:rsidRPr="00D64E8F">
        <w:rPr>
          <w:rFonts w:ascii="Times New Roman" w:eastAsia="Times New Roman" w:hAnsi="Times New Roman" w:cs="Times New Roman"/>
          <w:bCs/>
          <w:sz w:val="24"/>
          <w:szCs w:val="24"/>
        </w:rPr>
        <w:t>Probit regression for probability of IBLI uptake</w:t>
      </w:r>
    </w:p>
    <w:tbl>
      <w:tblPr>
        <w:tblW w:w="8472" w:type="dxa"/>
        <w:tblCellSpacing w:w="15" w:type="dxa"/>
        <w:tblCellMar>
          <w:top w:w="15" w:type="dxa"/>
          <w:left w:w="15" w:type="dxa"/>
          <w:bottom w:w="15" w:type="dxa"/>
          <w:right w:w="15" w:type="dxa"/>
        </w:tblCellMar>
        <w:tblLook w:val="04A0" w:firstRow="1" w:lastRow="0" w:firstColumn="1" w:lastColumn="0" w:noHBand="0" w:noVBand="1"/>
      </w:tblPr>
      <w:tblGrid>
        <w:gridCol w:w="3842"/>
        <w:gridCol w:w="2084"/>
        <w:gridCol w:w="836"/>
        <w:gridCol w:w="859"/>
        <w:gridCol w:w="851"/>
      </w:tblGrid>
      <w:tr w:rsidR="00D64E8F" w:rsidRPr="00D64E8F" w14:paraId="62CE2140" w14:textId="77777777" w:rsidTr="00D428B4">
        <w:trPr>
          <w:trHeight w:val="421"/>
          <w:tblHeader/>
          <w:tblCellSpacing w:w="15" w:type="dxa"/>
        </w:trPr>
        <w:tc>
          <w:tcPr>
            <w:tcW w:w="0" w:type="auto"/>
            <w:tcBorders>
              <w:top w:val="single" w:sz="4" w:space="0" w:color="auto"/>
            </w:tcBorders>
            <w:vAlign w:val="center"/>
            <w:hideMark/>
          </w:tcPr>
          <w:p w14:paraId="7F5CA170"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lastRenderedPageBreak/>
              <w:t>Predictor</w:t>
            </w:r>
          </w:p>
        </w:tc>
        <w:tc>
          <w:tcPr>
            <w:tcW w:w="0" w:type="auto"/>
            <w:tcBorders>
              <w:top w:val="single" w:sz="4" w:space="0" w:color="auto"/>
            </w:tcBorders>
            <w:vAlign w:val="center"/>
            <w:hideMark/>
          </w:tcPr>
          <w:p w14:paraId="1FAA4CA3"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Coefficient (β)</w:t>
            </w:r>
          </w:p>
        </w:tc>
        <w:tc>
          <w:tcPr>
            <w:tcW w:w="0" w:type="auto"/>
            <w:tcBorders>
              <w:top w:val="single" w:sz="4" w:space="0" w:color="auto"/>
            </w:tcBorders>
            <w:vAlign w:val="center"/>
            <w:hideMark/>
          </w:tcPr>
          <w:p w14:paraId="634AC1EF"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SE</w:t>
            </w:r>
          </w:p>
        </w:tc>
        <w:tc>
          <w:tcPr>
            <w:tcW w:w="0" w:type="auto"/>
            <w:tcBorders>
              <w:top w:val="single" w:sz="4" w:space="0" w:color="auto"/>
            </w:tcBorders>
            <w:vAlign w:val="center"/>
            <w:hideMark/>
          </w:tcPr>
          <w:p w14:paraId="45FEDAEB"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z</w:t>
            </w:r>
          </w:p>
        </w:tc>
        <w:tc>
          <w:tcPr>
            <w:tcW w:w="0" w:type="auto"/>
            <w:tcBorders>
              <w:top w:val="single" w:sz="4" w:space="0" w:color="auto"/>
            </w:tcBorders>
            <w:vAlign w:val="center"/>
            <w:hideMark/>
          </w:tcPr>
          <w:p w14:paraId="5D215531" w14:textId="77777777" w:rsidR="00642C3E" w:rsidRPr="00D64E8F" w:rsidRDefault="00642C3E" w:rsidP="00B56BAF">
            <w:pPr>
              <w:spacing w:after="0" w:line="240" w:lineRule="auto"/>
              <w:jc w:val="both"/>
              <w:outlineLvl w:val="2"/>
              <w:rPr>
                <w:rFonts w:ascii="Times New Roman" w:eastAsia="Times New Roman" w:hAnsi="Times New Roman" w:cs="Times New Roman"/>
                <w:bCs/>
                <w:sz w:val="24"/>
                <w:szCs w:val="24"/>
              </w:rPr>
            </w:pPr>
            <w:r w:rsidRPr="00D64E8F">
              <w:rPr>
                <w:rFonts w:ascii="Times New Roman" w:eastAsia="Times New Roman" w:hAnsi="Times New Roman" w:cs="Times New Roman"/>
                <w:bCs/>
                <w:sz w:val="24"/>
                <w:szCs w:val="24"/>
              </w:rPr>
              <w:t>p</w:t>
            </w:r>
          </w:p>
        </w:tc>
      </w:tr>
      <w:tr w:rsidR="00D64E8F" w:rsidRPr="00D64E8F" w14:paraId="611A7861" w14:textId="77777777" w:rsidTr="00D428B4">
        <w:trPr>
          <w:trHeight w:val="436"/>
          <w:tblCellSpacing w:w="15" w:type="dxa"/>
        </w:trPr>
        <w:tc>
          <w:tcPr>
            <w:tcW w:w="0" w:type="auto"/>
            <w:tcBorders>
              <w:top w:val="single" w:sz="4" w:space="0" w:color="auto"/>
            </w:tcBorders>
            <w:vAlign w:val="center"/>
            <w:hideMark/>
          </w:tcPr>
          <w:p w14:paraId="18DE7609"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Gender (male = 1)</w:t>
            </w:r>
          </w:p>
        </w:tc>
        <w:tc>
          <w:tcPr>
            <w:tcW w:w="0" w:type="auto"/>
            <w:tcBorders>
              <w:top w:val="single" w:sz="4" w:space="0" w:color="auto"/>
            </w:tcBorders>
            <w:vAlign w:val="center"/>
            <w:hideMark/>
          </w:tcPr>
          <w:p w14:paraId="2962EC52"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−0.082</w:t>
            </w:r>
          </w:p>
        </w:tc>
        <w:tc>
          <w:tcPr>
            <w:tcW w:w="0" w:type="auto"/>
            <w:tcBorders>
              <w:top w:val="single" w:sz="4" w:space="0" w:color="auto"/>
            </w:tcBorders>
            <w:vAlign w:val="center"/>
            <w:hideMark/>
          </w:tcPr>
          <w:p w14:paraId="5310D058"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0.165</w:t>
            </w:r>
          </w:p>
        </w:tc>
        <w:tc>
          <w:tcPr>
            <w:tcW w:w="0" w:type="auto"/>
            <w:tcBorders>
              <w:top w:val="single" w:sz="4" w:space="0" w:color="auto"/>
            </w:tcBorders>
            <w:vAlign w:val="center"/>
            <w:hideMark/>
          </w:tcPr>
          <w:p w14:paraId="47158F8B"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−0.50</w:t>
            </w:r>
          </w:p>
        </w:tc>
        <w:tc>
          <w:tcPr>
            <w:tcW w:w="0" w:type="auto"/>
            <w:tcBorders>
              <w:top w:val="single" w:sz="4" w:space="0" w:color="auto"/>
            </w:tcBorders>
            <w:vAlign w:val="center"/>
            <w:hideMark/>
          </w:tcPr>
          <w:p w14:paraId="21309D97"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0.618</w:t>
            </w:r>
          </w:p>
        </w:tc>
      </w:tr>
      <w:tr w:rsidR="00D64E8F" w:rsidRPr="00D64E8F" w14:paraId="5CA72D4E" w14:textId="77777777" w:rsidTr="00D428B4">
        <w:trPr>
          <w:trHeight w:val="421"/>
          <w:tblCellSpacing w:w="15" w:type="dxa"/>
        </w:trPr>
        <w:tc>
          <w:tcPr>
            <w:tcW w:w="0" w:type="auto"/>
            <w:vAlign w:val="center"/>
            <w:hideMark/>
          </w:tcPr>
          <w:p w14:paraId="4F8908D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Age (years)</w:t>
            </w:r>
          </w:p>
        </w:tc>
        <w:tc>
          <w:tcPr>
            <w:tcW w:w="0" w:type="auto"/>
            <w:vAlign w:val="center"/>
            <w:hideMark/>
          </w:tcPr>
          <w:p w14:paraId="5725E824"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−0.021</w:t>
            </w:r>
          </w:p>
        </w:tc>
        <w:tc>
          <w:tcPr>
            <w:tcW w:w="0" w:type="auto"/>
            <w:vAlign w:val="center"/>
            <w:hideMark/>
          </w:tcPr>
          <w:p w14:paraId="64478F75"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0.013</w:t>
            </w:r>
          </w:p>
        </w:tc>
        <w:tc>
          <w:tcPr>
            <w:tcW w:w="0" w:type="auto"/>
            <w:vAlign w:val="center"/>
            <w:hideMark/>
          </w:tcPr>
          <w:p w14:paraId="2857684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−1.62</w:t>
            </w:r>
          </w:p>
        </w:tc>
        <w:tc>
          <w:tcPr>
            <w:tcW w:w="0" w:type="auto"/>
            <w:vAlign w:val="center"/>
            <w:hideMark/>
          </w:tcPr>
          <w:p w14:paraId="3C4921E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0.105</w:t>
            </w:r>
          </w:p>
        </w:tc>
      </w:tr>
      <w:tr w:rsidR="00D64E8F" w:rsidRPr="00D64E8F" w14:paraId="6460CB9E" w14:textId="77777777" w:rsidTr="00D428B4">
        <w:trPr>
          <w:trHeight w:val="436"/>
          <w:tblCellSpacing w:w="15" w:type="dxa"/>
        </w:trPr>
        <w:tc>
          <w:tcPr>
            <w:tcW w:w="0" w:type="auto"/>
            <w:vAlign w:val="center"/>
            <w:hideMark/>
          </w:tcPr>
          <w:p w14:paraId="1481E99F"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Years of schooling</w:t>
            </w:r>
          </w:p>
        </w:tc>
        <w:tc>
          <w:tcPr>
            <w:tcW w:w="0" w:type="auto"/>
            <w:vAlign w:val="center"/>
            <w:hideMark/>
          </w:tcPr>
          <w:p w14:paraId="56EC3BE5"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−0.018</w:t>
            </w:r>
          </w:p>
        </w:tc>
        <w:tc>
          <w:tcPr>
            <w:tcW w:w="0" w:type="auto"/>
            <w:vAlign w:val="center"/>
            <w:hideMark/>
          </w:tcPr>
          <w:p w14:paraId="3FC2B6CE"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0.056</w:t>
            </w:r>
          </w:p>
        </w:tc>
        <w:tc>
          <w:tcPr>
            <w:tcW w:w="0" w:type="auto"/>
            <w:vAlign w:val="center"/>
            <w:hideMark/>
          </w:tcPr>
          <w:p w14:paraId="2BEBC4EB"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−0.32</w:t>
            </w:r>
          </w:p>
        </w:tc>
        <w:tc>
          <w:tcPr>
            <w:tcW w:w="0" w:type="auto"/>
            <w:vAlign w:val="center"/>
            <w:hideMark/>
          </w:tcPr>
          <w:p w14:paraId="0EEE3B2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0.749</w:t>
            </w:r>
          </w:p>
        </w:tc>
      </w:tr>
      <w:tr w:rsidR="00D64E8F" w:rsidRPr="00D64E8F" w14:paraId="183BA18C" w14:textId="77777777" w:rsidTr="00D428B4">
        <w:trPr>
          <w:trHeight w:val="421"/>
          <w:tblCellSpacing w:w="15" w:type="dxa"/>
        </w:trPr>
        <w:tc>
          <w:tcPr>
            <w:tcW w:w="0" w:type="auto"/>
            <w:vAlign w:val="center"/>
            <w:hideMark/>
          </w:tcPr>
          <w:p w14:paraId="707054EC"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Household size (persons)</w:t>
            </w:r>
          </w:p>
        </w:tc>
        <w:tc>
          <w:tcPr>
            <w:tcW w:w="0" w:type="auto"/>
            <w:vAlign w:val="center"/>
            <w:hideMark/>
          </w:tcPr>
          <w:p w14:paraId="2076CA7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−0.043</w:t>
            </w:r>
          </w:p>
        </w:tc>
        <w:tc>
          <w:tcPr>
            <w:tcW w:w="0" w:type="auto"/>
            <w:vAlign w:val="center"/>
            <w:hideMark/>
          </w:tcPr>
          <w:p w14:paraId="0842CE7E"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0.026</w:t>
            </w:r>
          </w:p>
        </w:tc>
        <w:tc>
          <w:tcPr>
            <w:tcW w:w="0" w:type="auto"/>
            <w:vAlign w:val="center"/>
            <w:hideMark/>
          </w:tcPr>
          <w:p w14:paraId="05F86A47"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−1.65</w:t>
            </w:r>
          </w:p>
        </w:tc>
        <w:tc>
          <w:tcPr>
            <w:tcW w:w="0" w:type="auto"/>
            <w:vAlign w:val="center"/>
            <w:hideMark/>
          </w:tcPr>
          <w:p w14:paraId="2611E99B"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0.098</w:t>
            </w:r>
          </w:p>
        </w:tc>
      </w:tr>
      <w:tr w:rsidR="00D64E8F" w:rsidRPr="00D64E8F" w14:paraId="164C8C4E" w14:textId="77777777" w:rsidTr="00D428B4">
        <w:trPr>
          <w:trHeight w:val="436"/>
          <w:tblCellSpacing w:w="15" w:type="dxa"/>
        </w:trPr>
        <w:tc>
          <w:tcPr>
            <w:tcW w:w="0" w:type="auto"/>
            <w:vAlign w:val="center"/>
            <w:hideMark/>
          </w:tcPr>
          <w:p w14:paraId="42B14137"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Monthly income (log/units)</w:t>
            </w:r>
          </w:p>
        </w:tc>
        <w:tc>
          <w:tcPr>
            <w:tcW w:w="0" w:type="auto"/>
            <w:vAlign w:val="center"/>
            <w:hideMark/>
          </w:tcPr>
          <w:p w14:paraId="251FAE27"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0.057</w:t>
            </w:r>
          </w:p>
        </w:tc>
        <w:tc>
          <w:tcPr>
            <w:tcW w:w="0" w:type="auto"/>
            <w:vAlign w:val="center"/>
            <w:hideMark/>
          </w:tcPr>
          <w:p w14:paraId="4B68D978"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0.058</w:t>
            </w:r>
          </w:p>
        </w:tc>
        <w:tc>
          <w:tcPr>
            <w:tcW w:w="0" w:type="auto"/>
            <w:vAlign w:val="center"/>
            <w:hideMark/>
          </w:tcPr>
          <w:p w14:paraId="106BBF7E"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0.98</w:t>
            </w:r>
          </w:p>
        </w:tc>
        <w:tc>
          <w:tcPr>
            <w:tcW w:w="0" w:type="auto"/>
            <w:vAlign w:val="center"/>
            <w:hideMark/>
          </w:tcPr>
          <w:p w14:paraId="109DF1A9"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0.329</w:t>
            </w:r>
          </w:p>
        </w:tc>
      </w:tr>
      <w:tr w:rsidR="00D64E8F" w:rsidRPr="00D64E8F" w14:paraId="091DD96D" w14:textId="77777777" w:rsidTr="00D428B4">
        <w:trPr>
          <w:trHeight w:val="421"/>
          <w:tblCellSpacing w:w="15" w:type="dxa"/>
        </w:trPr>
        <w:tc>
          <w:tcPr>
            <w:tcW w:w="0" w:type="auto"/>
            <w:tcBorders>
              <w:bottom w:val="single" w:sz="4" w:space="0" w:color="auto"/>
            </w:tcBorders>
            <w:vAlign w:val="center"/>
            <w:hideMark/>
          </w:tcPr>
          <w:p w14:paraId="11AF50C0"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Constant</w:t>
            </w:r>
          </w:p>
        </w:tc>
        <w:tc>
          <w:tcPr>
            <w:tcW w:w="0" w:type="auto"/>
            <w:tcBorders>
              <w:bottom w:val="single" w:sz="4" w:space="0" w:color="auto"/>
            </w:tcBorders>
            <w:vAlign w:val="center"/>
            <w:hideMark/>
          </w:tcPr>
          <w:p w14:paraId="0DB98303"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−0.184</w:t>
            </w:r>
          </w:p>
        </w:tc>
        <w:tc>
          <w:tcPr>
            <w:tcW w:w="0" w:type="auto"/>
            <w:tcBorders>
              <w:bottom w:val="single" w:sz="4" w:space="0" w:color="auto"/>
            </w:tcBorders>
            <w:vAlign w:val="center"/>
            <w:hideMark/>
          </w:tcPr>
          <w:p w14:paraId="20E3B27A"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0.389</w:t>
            </w:r>
          </w:p>
        </w:tc>
        <w:tc>
          <w:tcPr>
            <w:tcW w:w="0" w:type="auto"/>
            <w:tcBorders>
              <w:bottom w:val="single" w:sz="4" w:space="0" w:color="auto"/>
            </w:tcBorders>
            <w:vAlign w:val="center"/>
            <w:hideMark/>
          </w:tcPr>
          <w:p w14:paraId="5A42C87D"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−0.47</w:t>
            </w:r>
          </w:p>
        </w:tc>
        <w:tc>
          <w:tcPr>
            <w:tcW w:w="0" w:type="auto"/>
            <w:tcBorders>
              <w:bottom w:val="single" w:sz="4" w:space="0" w:color="auto"/>
            </w:tcBorders>
            <w:vAlign w:val="center"/>
            <w:hideMark/>
          </w:tcPr>
          <w:p w14:paraId="4F1238E7"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0.638</w:t>
            </w:r>
          </w:p>
        </w:tc>
      </w:tr>
    </w:tbl>
    <w:p w14:paraId="592AE677" w14:textId="77777777" w:rsidR="00642C3E" w:rsidRPr="00D64E8F" w:rsidRDefault="00642C3E" w:rsidP="00B56BAF">
      <w:pPr>
        <w:spacing w:after="0" w:line="240" w:lineRule="auto"/>
        <w:jc w:val="both"/>
        <w:outlineLvl w:val="2"/>
        <w:rPr>
          <w:rFonts w:ascii="Times New Roman" w:eastAsia="Times New Roman" w:hAnsi="Times New Roman" w:cs="Times New Roman"/>
          <w:sz w:val="24"/>
          <w:szCs w:val="24"/>
        </w:rPr>
      </w:pPr>
      <w:r w:rsidRPr="00D64E8F">
        <w:rPr>
          <w:rFonts w:ascii="Times New Roman" w:eastAsia="Times New Roman" w:hAnsi="Times New Roman" w:cs="Times New Roman"/>
          <w:sz w:val="24"/>
          <w:szCs w:val="24"/>
        </w:rPr>
        <w:t>Model summary: N = 286; Pseudo R² = 0.021; Log-likelihood = −153.10; χ²(5) = 6.72, p = 0.243.</w:t>
      </w:r>
    </w:p>
    <w:p w14:paraId="5E4C1A7A" w14:textId="77777777" w:rsidR="00642C3E" w:rsidRPr="00324BC3" w:rsidRDefault="00642C3E" w:rsidP="00B56BAF">
      <w:pPr>
        <w:spacing w:after="0" w:line="240" w:lineRule="auto"/>
        <w:jc w:val="both"/>
        <w:outlineLvl w:val="2"/>
        <w:rPr>
          <w:rFonts w:ascii="Times New Roman" w:eastAsia="Times New Roman" w:hAnsi="Times New Roman" w:cs="Times New Roman"/>
          <w:sz w:val="24"/>
          <w:szCs w:val="24"/>
        </w:rPr>
      </w:pPr>
    </w:p>
    <w:p w14:paraId="7F299D38" w14:textId="64FA7FF3" w:rsidR="00642C3E" w:rsidRPr="00324BC3" w:rsidRDefault="00642C3E" w:rsidP="00B56BAF">
      <w:pPr>
        <w:spacing w:after="0" w:line="240" w:lineRule="auto"/>
        <w:jc w:val="both"/>
        <w:outlineLvl w:val="2"/>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The probit results </w:t>
      </w:r>
      <w:r w:rsidR="0061634B" w:rsidRPr="00324BC3">
        <w:rPr>
          <w:rFonts w:ascii="Times New Roman" w:eastAsia="Times New Roman" w:hAnsi="Times New Roman" w:cs="Times New Roman"/>
          <w:sz w:val="24"/>
          <w:szCs w:val="24"/>
        </w:rPr>
        <w:t xml:space="preserve">in Table 11 </w:t>
      </w:r>
      <w:r w:rsidRPr="00324BC3">
        <w:rPr>
          <w:rFonts w:ascii="Times New Roman" w:eastAsia="Times New Roman" w:hAnsi="Times New Roman" w:cs="Times New Roman"/>
          <w:sz w:val="24"/>
          <w:szCs w:val="24"/>
        </w:rPr>
        <w:t>reveal that household size was negatively associated with IBLI participation (β = −0.043, p = 0.098), suggesting that larger households may face resource constraints that limit their ability to invest in premiums. Age of the household head was also negatively associated with uptake (β = −0.021, p = 0.105), indicating that older respondents may be more risk-averse or reliant on traditional coping mechanisms. Years of schooling and monthly income were not significant predictors, contradicting expectations that higher education or income necessarily increase adoption. This pattern highlights the importance of structural and behavioral barriers, such as limited trust, concerns about basis risk, and information asymmetries, which can suppress insurance demand regardless of socioeconomic status [33].</w:t>
      </w:r>
    </w:p>
    <w:p w14:paraId="43C6B003" w14:textId="77777777" w:rsidR="00DA136B" w:rsidRDefault="00DA136B" w:rsidP="00DA136B">
      <w:pPr>
        <w:rPr>
          <w:rFonts w:ascii="Times New Roman" w:hAnsi="Times New Roman" w:cs="Times New Roman"/>
          <w:sz w:val="24"/>
          <w:szCs w:val="24"/>
        </w:rPr>
      </w:pPr>
    </w:p>
    <w:p w14:paraId="183E2A08" w14:textId="3AB677E7" w:rsidR="00DA136B" w:rsidRDefault="00DA136B" w:rsidP="00DA136B">
      <w:pPr>
        <w:rPr>
          <w:rFonts w:ascii="Times New Roman" w:hAnsi="Times New Roman" w:cs="Times New Roman"/>
          <w:sz w:val="24"/>
          <w:szCs w:val="24"/>
        </w:rPr>
      </w:pPr>
      <w:r w:rsidRPr="00DA136B">
        <w:rPr>
          <w:rFonts w:ascii="Times New Roman" w:hAnsi="Times New Roman" w:cs="Times New Roman"/>
          <w:sz w:val="24"/>
          <w:szCs w:val="24"/>
        </w:rPr>
        <w:t>The probit model estimates indicate that only a small proportion of the variation in the uptake of IBLI can be explained by observable household characteristics (E.g., age, education, income, and household size) as indicated by the small Pseudo R</w:t>
      </w:r>
      <w:r w:rsidRPr="00A03E8F">
        <w:rPr>
          <w:rFonts w:ascii="Times New Roman" w:hAnsi="Times New Roman" w:cs="Times New Roman"/>
          <w:sz w:val="24"/>
          <w:szCs w:val="24"/>
          <w:vertAlign w:val="superscript"/>
        </w:rPr>
        <w:t>2</w:t>
      </w:r>
      <w:r w:rsidRPr="00DA136B">
        <w:rPr>
          <w:rFonts w:ascii="Times New Roman" w:hAnsi="Times New Roman" w:cs="Times New Roman"/>
          <w:sz w:val="24"/>
          <w:szCs w:val="24"/>
        </w:rPr>
        <w:t xml:space="preserve"> of 0.021 and the non-significant overall model fit (</w:t>
      </w:r>
      <w:r w:rsidR="00A03E8F">
        <w:t>χ² = 6.72, p = 0.243</w:t>
      </w:r>
      <w:r w:rsidRPr="00DA136B">
        <w:rPr>
          <w:rFonts w:ascii="Times New Roman" w:hAnsi="Times New Roman" w:cs="Times New Roman"/>
          <w:sz w:val="24"/>
          <w:szCs w:val="24"/>
        </w:rPr>
        <w:t>). Such low explanatory power indicates that the choices to adopt are highly influenced by the unobservable variables, such as product reliability perceptions, previous experiences with drought, cultural beliefs and community values [13]. It gives the significance of incorporating behavioral, trust, and contextual variables in the future analysis in order to get a better understanding of insurance demands.</w:t>
      </w:r>
    </w:p>
    <w:p w14:paraId="0D55B9C5" w14:textId="23DF2CCE" w:rsidR="00820254" w:rsidRPr="00DA136B" w:rsidRDefault="00820254" w:rsidP="00DA136B">
      <w:pPr>
        <w:rPr>
          <w:rFonts w:ascii="Times New Roman" w:hAnsi="Times New Roman" w:cs="Times New Roman"/>
          <w:sz w:val="24"/>
          <w:szCs w:val="24"/>
        </w:rPr>
      </w:pPr>
      <w:r w:rsidRPr="00DA136B">
        <w:rPr>
          <w:rFonts w:ascii="Times New Roman" w:hAnsi="Times New Roman" w:cs="Times New Roman"/>
          <w:b/>
          <w:bCs/>
          <w:sz w:val="24"/>
          <w:szCs w:val="24"/>
        </w:rPr>
        <w:t>5. Conclusion</w:t>
      </w:r>
      <w:r w:rsidR="0019516B" w:rsidRPr="00DA136B">
        <w:rPr>
          <w:rFonts w:ascii="Times New Roman" w:hAnsi="Times New Roman" w:cs="Times New Roman"/>
          <w:b/>
          <w:bCs/>
          <w:sz w:val="24"/>
          <w:szCs w:val="24"/>
        </w:rPr>
        <w:t xml:space="preserve"> and Policy Recommendations </w:t>
      </w:r>
    </w:p>
    <w:p w14:paraId="426466A4" w14:textId="6CDB9B97" w:rsidR="00DB22D9" w:rsidRPr="00324BC3" w:rsidRDefault="00DB22D9" w:rsidP="00B56BAF">
      <w:pPr>
        <w:spacing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b/>
          <w:sz w:val="24"/>
          <w:szCs w:val="24"/>
        </w:rPr>
        <w:t>5.1</w:t>
      </w:r>
      <w:r w:rsidRPr="00324BC3">
        <w:rPr>
          <w:rFonts w:ascii="Times New Roman" w:eastAsia="Times New Roman" w:hAnsi="Times New Roman" w:cs="Times New Roman"/>
          <w:sz w:val="24"/>
          <w:szCs w:val="24"/>
        </w:rPr>
        <w:t xml:space="preserve"> </w:t>
      </w:r>
      <w:r w:rsidRPr="00324BC3">
        <w:rPr>
          <w:rFonts w:ascii="Times New Roman" w:eastAsia="Times New Roman" w:hAnsi="Times New Roman" w:cs="Times New Roman"/>
          <w:b/>
          <w:bCs/>
          <w:sz w:val="24"/>
          <w:szCs w:val="24"/>
        </w:rPr>
        <w:t>Conclusion</w:t>
      </w:r>
    </w:p>
    <w:p w14:paraId="2BEB053D" w14:textId="77777777" w:rsidR="002A7C44" w:rsidRPr="002A7C44" w:rsidRDefault="002A7C44" w:rsidP="002A7C44">
      <w:pPr>
        <w:spacing w:line="240" w:lineRule="auto"/>
        <w:jc w:val="both"/>
        <w:rPr>
          <w:rFonts w:ascii="Times New Roman" w:eastAsia="Times New Roman" w:hAnsi="Times New Roman" w:cs="Times New Roman"/>
          <w:sz w:val="24"/>
          <w:szCs w:val="24"/>
        </w:rPr>
      </w:pPr>
      <w:r w:rsidRPr="002A7C44">
        <w:rPr>
          <w:rFonts w:ascii="Times New Roman" w:eastAsia="Times New Roman" w:hAnsi="Times New Roman" w:cs="Times New Roman"/>
          <w:sz w:val="24"/>
          <w:szCs w:val="24"/>
        </w:rPr>
        <w:t xml:space="preserve">The objective of the paper was to analyze how Index-Based Livestock Insurance (IBLI) can help reduce food security among pastoralist households in the region of Hadado Sub-County, in Wajir County, using Propensity Score Matching (PSM). The findings indicate that IBLI had varied outcomes. On the one hand, the insurance did not generate statistically significant differences in the acute food insecurity measures such as the incidence of food run-out or missed meals. This shows that there is a possibility that IBLI </w:t>
      </w:r>
      <w:r w:rsidRPr="002A7C44">
        <w:rPr>
          <w:rFonts w:ascii="Times New Roman" w:eastAsia="Times New Roman" w:hAnsi="Times New Roman" w:cs="Times New Roman"/>
          <w:sz w:val="24"/>
          <w:szCs w:val="24"/>
        </w:rPr>
        <w:lastRenderedPageBreak/>
        <w:t>may not be sufficient in assuring households with sufficient and timely resources to buffer against severe food crises during drought. On the other hand, the results showed that the quality of diet had the positive and significant outcome of IBLI as the insured household was less likely to use less-preferred food. This means that the program may not be able to avoid short term hunger completely but of great importance to protect the consumption pattern of the household and the maintenance of dietary diversity during climatic shocks.</w:t>
      </w:r>
    </w:p>
    <w:p w14:paraId="6ABA556D" w14:textId="77777777" w:rsidR="002A7C44" w:rsidRDefault="002A7C44" w:rsidP="002A7C44">
      <w:pPr>
        <w:spacing w:line="240" w:lineRule="auto"/>
        <w:jc w:val="both"/>
        <w:rPr>
          <w:rFonts w:ascii="Times New Roman" w:eastAsia="Times New Roman" w:hAnsi="Times New Roman" w:cs="Times New Roman"/>
          <w:sz w:val="24"/>
          <w:szCs w:val="24"/>
        </w:rPr>
      </w:pPr>
      <w:r w:rsidRPr="002A7C44">
        <w:rPr>
          <w:rFonts w:ascii="Times New Roman" w:eastAsia="Times New Roman" w:hAnsi="Times New Roman" w:cs="Times New Roman"/>
          <w:sz w:val="24"/>
          <w:szCs w:val="24"/>
        </w:rPr>
        <w:t>Overall, the findings suggest that IBLI is more helpful to improve food security through keeping the diet quality intact and allowing the food to be consumed with ease as opposed to preventing the acute food crises. Although the adoption of the program is quite low limiting its potential, the evidence indicates that the program can be an addition of value to household resilience in the medium term through enhancing risk management.</w:t>
      </w:r>
    </w:p>
    <w:p w14:paraId="74604E70" w14:textId="096C232C" w:rsidR="00DA136B" w:rsidRPr="00DA136B" w:rsidRDefault="00DA136B" w:rsidP="002A7C44">
      <w:pPr>
        <w:spacing w:line="240" w:lineRule="auto"/>
        <w:jc w:val="both"/>
        <w:rPr>
          <w:rFonts w:ascii="Times New Roman" w:eastAsia="Times New Roman" w:hAnsi="Times New Roman" w:cs="Times New Roman"/>
          <w:b/>
          <w:sz w:val="24"/>
          <w:szCs w:val="24"/>
        </w:rPr>
      </w:pPr>
      <w:r w:rsidRPr="00DA136B">
        <w:rPr>
          <w:rFonts w:ascii="Times New Roman" w:eastAsia="Times New Roman" w:hAnsi="Times New Roman" w:cs="Times New Roman"/>
          <w:b/>
          <w:sz w:val="24"/>
          <w:szCs w:val="24"/>
        </w:rPr>
        <w:t>5.2 Policy Recommendations</w:t>
      </w:r>
    </w:p>
    <w:p w14:paraId="142F91C9" w14:textId="2DAE23FD" w:rsidR="00DB22D9" w:rsidRPr="00324BC3" w:rsidRDefault="00DA136B" w:rsidP="00DA136B">
      <w:pPr>
        <w:spacing w:line="240" w:lineRule="auto"/>
        <w:jc w:val="both"/>
        <w:rPr>
          <w:rFonts w:ascii="Times New Roman" w:eastAsia="Times New Roman" w:hAnsi="Times New Roman" w:cs="Times New Roman"/>
          <w:sz w:val="24"/>
          <w:szCs w:val="24"/>
        </w:rPr>
      </w:pPr>
      <w:r w:rsidRPr="00DA136B">
        <w:rPr>
          <w:rFonts w:ascii="Times New Roman" w:eastAsia="Times New Roman" w:hAnsi="Times New Roman" w:cs="Times New Roman"/>
          <w:sz w:val="24"/>
          <w:szCs w:val="24"/>
        </w:rPr>
        <w:t>There are a number of policy and practice implications in the findings of this study. First, because IBLI does not eliminate food run-outs or meal skipping, a period based safety net of emergency food support or cash transfer programs should be considered alongside the scheme to ensure that immediate issues regarding access to food are resolved during droughts. Second, the high value of IBLI on the quality of diet implies that program designs must enhance this protective value, such as by providing timely and sufficient payouts that households can spend on dietary variety.</w:t>
      </w:r>
      <w:r w:rsidR="00DB22D9" w:rsidRPr="00324BC3">
        <w:rPr>
          <w:rFonts w:ascii="Times New Roman" w:eastAsia="Times New Roman" w:hAnsi="Times New Roman" w:cs="Times New Roman"/>
          <w:sz w:val="24"/>
          <w:szCs w:val="24"/>
        </w:rPr>
        <w:t xml:space="preserve"> Third, the relatively low level of uptake observed in Hadado highlights the importance of reducing barriers to participation. This can be achieved by improving accessibility of insurance services in remote areas and by building trust through community engagement and transparency in payout processes. Finally, because the findings suggest that larger households were less likely to enroll in IBLI, targeted support mechanisms—such as premium subsidies or flexible payment schedules—could help ease the resource constraints faced by these households and encourage greater participation.</w:t>
      </w:r>
    </w:p>
    <w:p w14:paraId="351C1D9D" w14:textId="0ECF12E6" w:rsidR="00820254" w:rsidRPr="00324BC3" w:rsidRDefault="00DB22D9" w:rsidP="00B56BAF">
      <w:p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By aligning program design with these insights, policymakers and development actors can strengthen the role of IBLI in safeguarding household food security and enhancing resilience in pastoralist communities.</w:t>
      </w:r>
    </w:p>
    <w:p w14:paraId="12A8D4D3" w14:textId="3FECDDED" w:rsidR="00820254" w:rsidRPr="00324BC3" w:rsidRDefault="00DB22D9" w:rsidP="00B56BAF">
      <w:pPr>
        <w:spacing w:after="100" w:afterAutospacing="1" w:line="240" w:lineRule="auto"/>
        <w:jc w:val="both"/>
        <w:outlineLvl w:val="2"/>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 xml:space="preserve">5.3 </w:t>
      </w:r>
      <w:r w:rsidR="00820254" w:rsidRPr="00324BC3">
        <w:rPr>
          <w:rFonts w:ascii="Times New Roman" w:eastAsia="Times New Roman" w:hAnsi="Times New Roman" w:cs="Times New Roman"/>
          <w:b/>
          <w:bCs/>
          <w:sz w:val="24"/>
          <w:szCs w:val="24"/>
        </w:rPr>
        <w:t>Limitations and Future Research Directions</w:t>
      </w:r>
    </w:p>
    <w:p w14:paraId="71F94C62" w14:textId="77777777" w:rsidR="0079532A" w:rsidRPr="00324BC3" w:rsidRDefault="00820254" w:rsidP="00B56BAF">
      <w:p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This study was constrained by the </w:t>
      </w:r>
      <w:r w:rsidRPr="00324BC3">
        <w:rPr>
          <w:rFonts w:ascii="Times New Roman" w:eastAsia="Times New Roman" w:hAnsi="Times New Roman" w:cs="Times New Roman"/>
          <w:bCs/>
          <w:sz w:val="24"/>
          <w:szCs w:val="24"/>
        </w:rPr>
        <w:t>cross-sectional design</w:t>
      </w:r>
      <w:r w:rsidRPr="00324BC3">
        <w:rPr>
          <w:rFonts w:ascii="Times New Roman" w:eastAsia="Times New Roman" w:hAnsi="Times New Roman" w:cs="Times New Roman"/>
          <w:sz w:val="24"/>
          <w:szCs w:val="24"/>
        </w:rPr>
        <w:t xml:space="preserve"> and </w:t>
      </w:r>
      <w:r w:rsidRPr="00324BC3">
        <w:rPr>
          <w:rFonts w:ascii="Times New Roman" w:eastAsia="Times New Roman" w:hAnsi="Times New Roman" w:cs="Times New Roman"/>
          <w:bCs/>
          <w:sz w:val="24"/>
          <w:szCs w:val="24"/>
        </w:rPr>
        <w:t>limited sample size</w:t>
      </w:r>
      <w:r w:rsidRPr="00324BC3">
        <w:rPr>
          <w:rFonts w:ascii="Times New Roman" w:eastAsia="Times New Roman" w:hAnsi="Times New Roman" w:cs="Times New Roman"/>
          <w:sz w:val="24"/>
          <w:szCs w:val="24"/>
        </w:rPr>
        <w:t xml:space="preserve">, which restricts causal inference beyond the measured outcomes. Future studies should employ </w:t>
      </w:r>
      <w:r w:rsidRPr="00324BC3">
        <w:rPr>
          <w:rFonts w:ascii="Times New Roman" w:eastAsia="Times New Roman" w:hAnsi="Times New Roman" w:cs="Times New Roman"/>
          <w:bCs/>
          <w:sz w:val="24"/>
          <w:szCs w:val="24"/>
        </w:rPr>
        <w:t>panel data</w:t>
      </w:r>
      <w:r w:rsidRPr="00324BC3">
        <w:rPr>
          <w:rFonts w:ascii="Times New Roman" w:eastAsia="Times New Roman" w:hAnsi="Times New Roman" w:cs="Times New Roman"/>
          <w:sz w:val="24"/>
          <w:szCs w:val="24"/>
        </w:rPr>
        <w:t xml:space="preserve"> or </w:t>
      </w:r>
      <w:r w:rsidRPr="00324BC3">
        <w:rPr>
          <w:rFonts w:ascii="Times New Roman" w:eastAsia="Times New Roman" w:hAnsi="Times New Roman" w:cs="Times New Roman"/>
          <w:bCs/>
          <w:sz w:val="24"/>
          <w:szCs w:val="24"/>
        </w:rPr>
        <w:t>randomized control trials</w:t>
      </w:r>
      <w:r w:rsidRPr="00324BC3">
        <w:rPr>
          <w:rFonts w:ascii="Times New Roman" w:eastAsia="Times New Roman" w:hAnsi="Times New Roman" w:cs="Times New Roman"/>
          <w:sz w:val="24"/>
          <w:szCs w:val="24"/>
        </w:rPr>
        <w:t xml:space="preserve"> to assess long-term impacts. Moreover, </w:t>
      </w:r>
      <w:r w:rsidRPr="00324BC3">
        <w:rPr>
          <w:rFonts w:ascii="Times New Roman" w:eastAsia="Times New Roman" w:hAnsi="Times New Roman" w:cs="Times New Roman"/>
          <w:bCs/>
          <w:sz w:val="24"/>
          <w:szCs w:val="24"/>
        </w:rPr>
        <w:t>qualitative methods</w:t>
      </w:r>
      <w:r w:rsidRPr="00324BC3">
        <w:rPr>
          <w:rFonts w:ascii="Times New Roman" w:eastAsia="Times New Roman" w:hAnsi="Times New Roman" w:cs="Times New Roman"/>
          <w:sz w:val="24"/>
          <w:szCs w:val="24"/>
        </w:rPr>
        <w:t xml:space="preserve"> could uncover the behavioral and social drivers of IBLI uptake and usage. Expanding the model to incorporate </w:t>
      </w:r>
      <w:r w:rsidRPr="00324BC3">
        <w:rPr>
          <w:rFonts w:ascii="Times New Roman" w:eastAsia="Times New Roman" w:hAnsi="Times New Roman" w:cs="Times New Roman"/>
          <w:bCs/>
          <w:sz w:val="24"/>
          <w:szCs w:val="24"/>
        </w:rPr>
        <w:t>unobservable characteristics</w:t>
      </w:r>
      <w:r w:rsidRPr="00324BC3">
        <w:rPr>
          <w:rFonts w:ascii="Times New Roman" w:eastAsia="Times New Roman" w:hAnsi="Times New Roman" w:cs="Times New Roman"/>
          <w:sz w:val="24"/>
          <w:szCs w:val="24"/>
        </w:rPr>
        <w:t xml:space="preserve"> would also improve estimation accuracy.</w:t>
      </w:r>
    </w:p>
    <w:p w14:paraId="03F4527A" w14:textId="77777777" w:rsidR="007F2045" w:rsidRPr="00324BC3" w:rsidRDefault="007F2045" w:rsidP="00B56BAF">
      <w:pPr>
        <w:spacing w:after="0" w:line="240" w:lineRule="auto"/>
        <w:jc w:val="both"/>
        <w:rPr>
          <w:rFonts w:ascii="Times New Roman" w:eastAsia="Times New Roman" w:hAnsi="Times New Roman" w:cs="Times New Roman"/>
          <w:sz w:val="24"/>
          <w:szCs w:val="24"/>
        </w:rPr>
      </w:pPr>
    </w:p>
    <w:p w14:paraId="4F0CC3FF" w14:textId="77777777" w:rsidR="00820254" w:rsidRPr="00324BC3" w:rsidRDefault="00820254" w:rsidP="00B56BAF">
      <w:pPr>
        <w:spacing w:after="100" w:afterAutospacing="1" w:line="240" w:lineRule="auto"/>
        <w:jc w:val="both"/>
        <w:outlineLvl w:val="1"/>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t>6. Conflict of Interest</w:t>
      </w:r>
    </w:p>
    <w:p w14:paraId="37C7F7E3" w14:textId="77777777" w:rsidR="00820254" w:rsidRPr="00324BC3" w:rsidRDefault="00820254" w:rsidP="00B56BAF">
      <w:p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The author declares </w:t>
      </w:r>
      <w:r w:rsidRPr="00324BC3">
        <w:rPr>
          <w:rFonts w:ascii="Times New Roman" w:eastAsia="Times New Roman" w:hAnsi="Times New Roman" w:cs="Times New Roman"/>
          <w:bCs/>
          <w:sz w:val="24"/>
          <w:szCs w:val="24"/>
        </w:rPr>
        <w:t>no conflict of interest</w:t>
      </w:r>
      <w:r w:rsidRPr="00324BC3">
        <w:rPr>
          <w:rFonts w:ascii="Times New Roman" w:eastAsia="Times New Roman" w:hAnsi="Times New Roman" w:cs="Times New Roman"/>
          <w:sz w:val="24"/>
          <w:szCs w:val="24"/>
        </w:rPr>
        <w:t xml:space="preserve"> related to the design, implementation, analysis, or reporting of this research.</w:t>
      </w:r>
    </w:p>
    <w:p w14:paraId="6DC2AD63" w14:textId="77777777" w:rsidR="00820254" w:rsidRPr="00324BC3" w:rsidRDefault="00820254" w:rsidP="00B56BAF">
      <w:pPr>
        <w:spacing w:after="100" w:afterAutospacing="1" w:line="240" w:lineRule="auto"/>
        <w:jc w:val="both"/>
        <w:outlineLvl w:val="1"/>
        <w:rPr>
          <w:rFonts w:ascii="Times New Roman" w:eastAsia="Times New Roman" w:hAnsi="Times New Roman" w:cs="Times New Roman"/>
          <w:b/>
          <w:bCs/>
          <w:sz w:val="24"/>
          <w:szCs w:val="24"/>
        </w:rPr>
      </w:pPr>
      <w:r w:rsidRPr="00324BC3">
        <w:rPr>
          <w:rFonts w:ascii="Times New Roman" w:eastAsia="Times New Roman" w:hAnsi="Times New Roman" w:cs="Times New Roman"/>
          <w:b/>
          <w:bCs/>
          <w:sz w:val="24"/>
          <w:szCs w:val="24"/>
        </w:rPr>
        <w:lastRenderedPageBreak/>
        <w:t>8. References</w:t>
      </w:r>
    </w:p>
    <w:p w14:paraId="60829D1C"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Alemu, T., Berhanu, K., &amp; Biazin, B. (2019). Weather index insurance for managing drought risk in smallholder agriculture: Lessons and policy implications for sub-Saharan Africa. </w:t>
      </w:r>
      <w:r w:rsidRPr="00324BC3">
        <w:rPr>
          <w:rFonts w:ascii="Times New Roman" w:eastAsia="Times New Roman" w:hAnsi="Times New Roman" w:cs="Times New Roman"/>
          <w:i/>
          <w:iCs/>
          <w:sz w:val="24"/>
          <w:szCs w:val="24"/>
        </w:rPr>
        <w:t>International Journal of Climate Change Strategies and Management</w:t>
      </w:r>
      <w:r w:rsidRPr="00324BC3">
        <w:rPr>
          <w:rFonts w:ascii="Times New Roman" w:eastAsia="Times New Roman" w:hAnsi="Times New Roman" w:cs="Times New Roman"/>
          <w:sz w:val="24"/>
          <w:szCs w:val="24"/>
        </w:rPr>
        <w:t>, 11(5), 632–648. https://doi.org/10.1108/IJCCSM-02-2018-0018</w:t>
      </w:r>
    </w:p>
    <w:p w14:paraId="0DD2159D"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Barrett, C. B., Carter, M. R., &amp; Chantarat, S. (2021). Index insurance for developing country agriculture: A reassessment. </w:t>
      </w:r>
      <w:r w:rsidRPr="00324BC3">
        <w:rPr>
          <w:rFonts w:ascii="Times New Roman" w:eastAsia="Times New Roman" w:hAnsi="Times New Roman" w:cs="Times New Roman"/>
          <w:i/>
          <w:iCs/>
          <w:sz w:val="24"/>
          <w:szCs w:val="24"/>
        </w:rPr>
        <w:t>Annual Review of Resource Economics</w:t>
      </w:r>
      <w:r w:rsidRPr="00324BC3">
        <w:rPr>
          <w:rFonts w:ascii="Times New Roman" w:eastAsia="Times New Roman" w:hAnsi="Times New Roman" w:cs="Times New Roman"/>
          <w:sz w:val="24"/>
          <w:szCs w:val="24"/>
        </w:rPr>
        <w:t>, 13, 139–160. https://doi.org/10.1146/annurev-resource-102320-103059</w:t>
      </w:r>
    </w:p>
    <w:p w14:paraId="4F93E4B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Behnke, R., &amp; Muthami, D. (2011). The contribution of livestock to the Kenyan economy. IGAD Livestock Policy Initiative Working Paper No. 03-11. Intergovernmental Authority on Development (IGAD).</w:t>
      </w:r>
    </w:p>
    <w:p w14:paraId="77BA925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Chantarat, S., Mude, A. G., Barrett, C. B., &amp; Carter, M. R. (2013). Designing index-based livestock insurance for managing asset risk in northern Kenya. </w:t>
      </w:r>
      <w:r w:rsidRPr="00324BC3">
        <w:rPr>
          <w:rFonts w:ascii="Times New Roman" w:eastAsia="Times New Roman" w:hAnsi="Times New Roman" w:cs="Times New Roman"/>
          <w:i/>
          <w:iCs/>
          <w:sz w:val="24"/>
          <w:szCs w:val="24"/>
        </w:rPr>
        <w:t>Journal of Risk and Insurance</w:t>
      </w:r>
      <w:r w:rsidRPr="00324BC3">
        <w:rPr>
          <w:rFonts w:ascii="Times New Roman" w:eastAsia="Times New Roman" w:hAnsi="Times New Roman" w:cs="Times New Roman"/>
          <w:sz w:val="24"/>
          <w:szCs w:val="24"/>
        </w:rPr>
        <w:t>, 80(1), 205–237. https://doi.org/10.1111/j.1539-6975.2012.01463.x</w:t>
      </w:r>
    </w:p>
    <w:p w14:paraId="4B8D7E48"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Chantarat, S., Mude, A. G., Barrett, C. B., &amp; Carter, M. R. (2017). Welfare impacts of index-based livestock insurance: Evidence from northern Kenya. </w:t>
      </w:r>
      <w:r w:rsidRPr="00324BC3">
        <w:rPr>
          <w:rFonts w:ascii="Times New Roman" w:eastAsia="Times New Roman" w:hAnsi="Times New Roman" w:cs="Times New Roman"/>
          <w:i/>
          <w:iCs/>
          <w:sz w:val="24"/>
          <w:szCs w:val="24"/>
        </w:rPr>
        <w:t>American Journal of Agricultural Economics</w:t>
      </w:r>
      <w:r w:rsidRPr="00324BC3">
        <w:rPr>
          <w:rFonts w:ascii="Times New Roman" w:eastAsia="Times New Roman" w:hAnsi="Times New Roman" w:cs="Times New Roman"/>
          <w:sz w:val="24"/>
          <w:szCs w:val="24"/>
        </w:rPr>
        <w:t>, 99(2), 357–382. https://doi.org/10.1093/ajae/aaw053</w:t>
      </w:r>
    </w:p>
    <w:p w14:paraId="0E32661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GoK (Government of Kenya). (2018). Kenya’s food and nutrition security policy. Ministry of Agriculture, Livestock, Fisheries and Irrigation.</w:t>
      </w:r>
    </w:p>
    <w:p w14:paraId="3E83B409"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GoK (Government of Kenya). (2019). Kenya population and housing census: Volume IV – Distribution of population by socio-economic characteristics. Kenya National Bureau of Statistics (KNBS).</w:t>
      </w:r>
    </w:p>
    <w:p w14:paraId="5D9E86C6"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GoK (Government of Kenya). (2021). Drought risk management strategy. National Drought Management Authority (NDMA).</w:t>
      </w:r>
    </w:p>
    <w:p w14:paraId="25A53B0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Jensen, N. D., Barrett, C. B., &amp; Mude, A. G. (2017). Cash transfers and index insurance: A comparative impact analysis from northern Kenya. </w:t>
      </w:r>
      <w:r w:rsidRPr="00324BC3">
        <w:rPr>
          <w:rFonts w:ascii="Times New Roman" w:eastAsia="Times New Roman" w:hAnsi="Times New Roman" w:cs="Times New Roman"/>
          <w:i/>
          <w:iCs/>
          <w:sz w:val="24"/>
          <w:szCs w:val="24"/>
        </w:rPr>
        <w:t>Journal of Development Economics</w:t>
      </w:r>
      <w:r w:rsidRPr="00324BC3">
        <w:rPr>
          <w:rFonts w:ascii="Times New Roman" w:eastAsia="Times New Roman" w:hAnsi="Times New Roman" w:cs="Times New Roman"/>
          <w:sz w:val="24"/>
          <w:szCs w:val="24"/>
        </w:rPr>
        <w:t>, 129, 14–28. https://doi.org/10.1016/j.jdeveco.2017.08.002</w:t>
      </w:r>
    </w:p>
    <w:p w14:paraId="4ED6B1B1"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Kibicho, K., &amp; Wekesa, E. (2020). Integrating nutrition education with climate risk insurance: Pathways to improved food security. </w:t>
      </w:r>
      <w:r w:rsidRPr="00324BC3">
        <w:rPr>
          <w:rFonts w:ascii="Times New Roman" w:eastAsia="Times New Roman" w:hAnsi="Times New Roman" w:cs="Times New Roman"/>
          <w:i/>
          <w:iCs/>
          <w:sz w:val="24"/>
          <w:szCs w:val="24"/>
        </w:rPr>
        <w:t>Food Security</w:t>
      </w:r>
      <w:r w:rsidRPr="00324BC3">
        <w:rPr>
          <w:rFonts w:ascii="Times New Roman" w:eastAsia="Times New Roman" w:hAnsi="Times New Roman" w:cs="Times New Roman"/>
          <w:sz w:val="24"/>
          <w:szCs w:val="24"/>
        </w:rPr>
        <w:t>, 12, 785–799. https://doi.org/10.1007/s12571-020-01037-4</w:t>
      </w:r>
    </w:p>
    <w:p w14:paraId="1D6BC2F2"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Kristjanson, P., Mango, N., Krishna, A., Radeny, M., &amp; Johnson, N. (2010). Understanding poverty dynamics in Kenyan communities. </w:t>
      </w:r>
      <w:r w:rsidRPr="00324BC3">
        <w:rPr>
          <w:rFonts w:ascii="Times New Roman" w:eastAsia="Times New Roman" w:hAnsi="Times New Roman" w:cs="Times New Roman"/>
          <w:i/>
          <w:iCs/>
          <w:sz w:val="24"/>
          <w:szCs w:val="24"/>
        </w:rPr>
        <w:t>Journal of International Development</w:t>
      </w:r>
      <w:r w:rsidRPr="00324BC3">
        <w:rPr>
          <w:rFonts w:ascii="Times New Roman" w:eastAsia="Times New Roman" w:hAnsi="Times New Roman" w:cs="Times New Roman"/>
          <w:sz w:val="24"/>
          <w:szCs w:val="24"/>
        </w:rPr>
        <w:t>, 22(7), 978–996. https://doi.org/10.1002/jid.1598</w:t>
      </w:r>
    </w:p>
    <w:p w14:paraId="4A228A1E"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Ochieng, J., &amp; Mugo, R. (2019). Community-based approaches to improve the effectiveness of index-based livestock insurance in Kenya. </w:t>
      </w:r>
      <w:r w:rsidRPr="00324BC3">
        <w:rPr>
          <w:rFonts w:ascii="Times New Roman" w:eastAsia="Times New Roman" w:hAnsi="Times New Roman" w:cs="Times New Roman"/>
          <w:i/>
          <w:iCs/>
          <w:sz w:val="24"/>
          <w:szCs w:val="24"/>
        </w:rPr>
        <w:t>Climate and Development</w:t>
      </w:r>
      <w:r w:rsidRPr="00324BC3">
        <w:rPr>
          <w:rFonts w:ascii="Times New Roman" w:eastAsia="Times New Roman" w:hAnsi="Times New Roman" w:cs="Times New Roman"/>
          <w:sz w:val="24"/>
          <w:szCs w:val="24"/>
        </w:rPr>
        <w:t>, 11(9), 791–801. https://doi.org/10.1080/17565529.2019.1605287</w:t>
      </w:r>
    </w:p>
    <w:p w14:paraId="2A197053"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Ndung’u, C. K., &amp; Ndiritu, S. W. (2021). Reducing basis risk in index-based livestock insurance: Evidence from Kenya. </w:t>
      </w:r>
      <w:r w:rsidRPr="00324BC3">
        <w:rPr>
          <w:rFonts w:ascii="Times New Roman" w:eastAsia="Times New Roman" w:hAnsi="Times New Roman" w:cs="Times New Roman"/>
          <w:i/>
          <w:iCs/>
          <w:sz w:val="24"/>
          <w:szCs w:val="24"/>
        </w:rPr>
        <w:t>World Development Perspectives</w:t>
      </w:r>
      <w:r w:rsidRPr="00324BC3">
        <w:rPr>
          <w:rFonts w:ascii="Times New Roman" w:eastAsia="Times New Roman" w:hAnsi="Times New Roman" w:cs="Times New Roman"/>
          <w:sz w:val="24"/>
          <w:szCs w:val="24"/>
        </w:rPr>
        <w:t>, 21, 100297. https://doi.org/10.1016/j.wdp.2021.100297</w:t>
      </w:r>
    </w:p>
    <w:p w14:paraId="2CF6E84F"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lastRenderedPageBreak/>
        <w:t xml:space="preserve">Murphy, T., &amp; Kirimi, L. (2022). Index-based livestock insurance and household food security in Isiolo County, Kenya. </w:t>
      </w:r>
      <w:r w:rsidRPr="00324BC3">
        <w:rPr>
          <w:rFonts w:ascii="Times New Roman" w:eastAsia="Times New Roman" w:hAnsi="Times New Roman" w:cs="Times New Roman"/>
          <w:i/>
          <w:iCs/>
          <w:sz w:val="24"/>
          <w:szCs w:val="24"/>
        </w:rPr>
        <w:t>Food Policy</w:t>
      </w:r>
      <w:r w:rsidRPr="00324BC3">
        <w:rPr>
          <w:rFonts w:ascii="Times New Roman" w:eastAsia="Times New Roman" w:hAnsi="Times New Roman" w:cs="Times New Roman"/>
          <w:sz w:val="24"/>
          <w:szCs w:val="24"/>
        </w:rPr>
        <w:t>, 107, 102202. https://doi.org/10.1016/j.foodpol.2022.102202</w:t>
      </w:r>
    </w:p>
    <w:p w14:paraId="173AF578"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Otieno, D. J., Chepngeno, W., &amp; Ruto, E. (2022). Gender and the impact of index-based livestock insurance on food security: Evidence from Kenya. </w:t>
      </w:r>
      <w:r w:rsidRPr="00324BC3">
        <w:rPr>
          <w:rFonts w:ascii="Times New Roman" w:eastAsia="Times New Roman" w:hAnsi="Times New Roman" w:cs="Times New Roman"/>
          <w:i/>
          <w:iCs/>
          <w:sz w:val="24"/>
          <w:szCs w:val="24"/>
        </w:rPr>
        <w:t>Agricultural and Food Economics</w:t>
      </w:r>
      <w:r w:rsidRPr="00324BC3">
        <w:rPr>
          <w:rFonts w:ascii="Times New Roman" w:eastAsia="Times New Roman" w:hAnsi="Times New Roman" w:cs="Times New Roman"/>
          <w:sz w:val="24"/>
          <w:szCs w:val="24"/>
        </w:rPr>
        <w:t>, 10, 12. https://doi.org/10.1186/s40100-022-00215-2</w:t>
      </w:r>
    </w:p>
    <w:p w14:paraId="4BE7BD1B"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Mude, A. G., Barrett, C. B., Carter, M. R., Chantarat, S., Ikegami, M., &amp; McPeak, J. G. (2009). Index-based livestock insurance for northern Kenya’s arid and semi-arid lands: The Marsabit pilot project. </w:t>
      </w:r>
      <w:r w:rsidRPr="00324BC3">
        <w:rPr>
          <w:rFonts w:ascii="Times New Roman" w:eastAsia="Times New Roman" w:hAnsi="Times New Roman" w:cs="Times New Roman"/>
          <w:i/>
          <w:iCs/>
          <w:sz w:val="24"/>
          <w:szCs w:val="24"/>
        </w:rPr>
        <w:t>Project Report</w:t>
      </w:r>
      <w:r w:rsidRPr="00324BC3">
        <w:rPr>
          <w:rFonts w:ascii="Times New Roman" w:eastAsia="Times New Roman" w:hAnsi="Times New Roman" w:cs="Times New Roman"/>
          <w:sz w:val="24"/>
          <w:szCs w:val="24"/>
        </w:rPr>
        <w:t>, ILRI.</w:t>
      </w:r>
    </w:p>
    <w:p w14:paraId="144E9DB6"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Tufa, A. H., Mulwa, R., &amp; Waithaka, M. M. (2019). The role of index-based livestock insurance in pastoralists’ climate change adaptation and food security in Ethiopia. </w:t>
      </w:r>
      <w:r w:rsidRPr="00324BC3">
        <w:rPr>
          <w:rFonts w:ascii="Times New Roman" w:eastAsia="Times New Roman" w:hAnsi="Times New Roman" w:cs="Times New Roman"/>
          <w:i/>
          <w:iCs/>
          <w:sz w:val="24"/>
          <w:szCs w:val="24"/>
        </w:rPr>
        <w:t>World Development Perspectives</w:t>
      </w:r>
      <w:r w:rsidRPr="00324BC3">
        <w:rPr>
          <w:rFonts w:ascii="Times New Roman" w:eastAsia="Times New Roman" w:hAnsi="Times New Roman" w:cs="Times New Roman"/>
          <w:sz w:val="24"/>
          <w:szCs w:val="24"/>
        </w:rPr>
        <w:t>, 13, 13–20. https://doi.org/10.1016/j.wdp.2019.02.001</w:t>
      </w:r>
    </w:p>
    <w:p w14:paraId="27050DFC"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Scoones, I. (1998). Sustainable rural livelihoods: A framework for analysis. </w:t>
      </w:r>
      <w:r w:rsidRPr="00324BC3">
        <w:rPr>
          <w:rFonts w:ascii="Times New Roman" w:eastAsia="Times New Roman" w:hAnsi="Times New Roman" w:cs="Times New Roman"/>
          <w:i/>
          <w:iCs/>
          <w:sz w:val="24"/>
          <w:szCs w:val="24"/>
        </w:rPr>
        <w:t>IDS Working Paper No. 72</w:t>
      </w:r>
      <w:r w:rsidRPr="00324BC3">
        <w:rPr>
          <w:rFonts w:ascii="Times New Roman" w:eastAsia="Times New Roman" w:hAnsi="Times New Roman" w:cs="Times New Roman"/>
          <w:sz w:val="24"/>
          <w:szCs w:val="24"/>
        </w:rPr>
        <w:t>. Institute of Development Studies.</w:t>
      </w:r>
    </w:p>
    <w:p w14:paraId="07F63F3D"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DFID. (1999). Sustainable livelihoods guidance sheets. UK Department for International Development.</w:t>
      </w:r>
    </w:p>
    <w:p w14:paraId="0CE4AD9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Ellis, F. (2000). Rural livelihoods and diversity in developing countries. Oxford University Press.</w:t>
      </w:r>
    </w:p>
    <w:p w14:paraId="3BE4A764"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FAO. (2012). Livelihoods and resilience framework. Food and Agriculture Organization of the United Nations.</w:t>
      </w:r>
    </w:p>
    <w:p w14:paraId="4DF674E1"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FAO. (2014). Guidelines for measuring household and individual dietary diversity. Food and Agriculture Organization of the United Nations.</w:t>
      </w:r>
    </w:p>
    <w:p w14:paraId="02EEB582"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Swindale, A., &amp; Bilinsky, P. (2006). Household dietary diversity score (HDDS) for measurement of household food access: Indicator guide. </w:t>
      </w:r>
      <w:r w:rsidRPr="00324BC3">
        <w:rPr>
          <w:rFonts w:ascii="Times New Roman" w:eastAsia="Times New Roman" w:hAnsi="Times New Roman" w:cs="Times New Roman"/>
          <w:i/>
          <w:iCs/>
          <w:sz w:val="24"/>
          <w:szCs w:val="24"/>
        </w:rPr>
        <w:t>FANTA III</w:t>
      </w:r>
      <w:r w:rsidRPr="00324BC3">
        <w:rPr>
          <w:rFonts w:ascii="Times New Roman" w:eastAsia="Times New Roman" w:hAnsi="Times New Roman" w:cs="Times New Roman"/>
          <w:sz w:val="24"/>
          <w:szCs w:val="24"/>
        </w:rPr>
        <w:t>. Food and Nutrition Technical Assistance Project.</w:t>
      </w:r>
    </w:p>
    <w:p w14:paraId="1AB5E092"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Carter, M. R., Little, P. D., Mogues, T., &amp; Negatu, W. (2007). Poverty traps and natural disasters in Ethiopia and Honduras. </w:t>
      </w:r>
      <w:r w:rsidRPr="00324BC3">
        <w:rPr>
          <w:rFonts w:ascii="Times New Roman" w:eastAsia="Times New Roman" w:hAnsi="Times New Roman" w:cs="Times New Roman"/>
          <w:i/>
          <w:iCs/>
          <w:sz w:val="24"/>
          <w:szCs w:val="24"/>
        </w:rPr>
        <w:t>World Development</w:t>
      </w:r>
      <w:r w:rsidRPr="00324BC3">
        <w:rPr>
          <w:rFonts w:ascii="Times New Roman" w:eastAsia="Times New Roman" w:hAnsi="Times New Roman" w:cs="Times New Roman"/>
          <w:sz w:val="24"/>
          <w:szCs w:val="24"/>
        </w:rPr>
        <w:t>, 35(5), 835–856. https://doi.org/10.1016/j.worlddev.2006.09.010</w:t>
      </w:r>
    </w:p>
    <w:p w14:paraId="4E74F830"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Arrow, K. J. (1965). Aspects of the theory of risk-bearing. Yrjö Jahnssonin Säätiö.</w:t>
      </w:r>
    </w:p>
    <w:p w14:paraId="78622E4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Knight, F. H. (1921). Risk, uncertainty and profit. Boston: Houghton Mifflin.</w:t>
      </w:r>
    </w:p>
    <w:p w14:paraId="6996B974"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Thornton, P. K., Ericksen, P. J., Herrero, M., &amp; Challinor, A. J. (2014). Climate variability and vulnerability to climate change: A review. </w:t>
      </w:r>
      <w:r w:rsidRPr="00324BC3">
        <w:rPr>
          <w:rFonts w:ascii="Times New Roman" w:eastAsia="Times New Roman" w:hAnsi="Times New Roman" w:cs="Times New Roman"/>
          <w:i/>
          <w:iCs/>
          <w:sz w:val="24"/>
          <w:szCs w:val="24"/>
        </w:rPr>
        <w:t>Global Change Biology</w:t>
      </w:r>
      <w:r w:rsidRPr="00324BC3">
        <w:rPr>
          <w:rFonts w:ascii="Times New Roman" w:eastAsia="Times New Roman" w:hAnsi="Times New Roman" w:cs="Times New Roman"/>
          <w:sz w:val="24"/>
          <w:szCs w:val="24"/>
        </w:rPr>
        <w:t>, 20(11), 3313–3328. https://doi.org/10.1111/gcb.12581</w:t>
      </w:r>
    </w:p>
    <w:p w14:paraId="5655789F"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Miranda, M. J., &amp; Farrin, K. (2012). Index insurance for developing countries. </w:t>
      </w:r>
      <w:r w:rsidRPr="00324BC3">
        <w:rPr>
          <w:rFonts w:ascii="Times New Roman" w:eastAsia="Times New Roman" w:hAnsi="Times New Roman" w:cs="Times New Roman"/>
          <w:i/>
          <w:iCs/>
          <w:sz w:val="24"/>
          <w:szCs w:val="24"/>
        </w:rPr>
        <w:t>Applied Economic Perspectives and Policy</w:t>
      </w:r>
      <w:r w:rsidRPr="00324BC3">
        <w:rPr>
          <w:rFonts w:ascii="Times New Roman" w:eastAsia="Times New Roman" w:hAnsi="Times New Roman" w:cs="Times New Roman"/>
          <w:sz w:val="24"/>
          <w:szCs w:val="24"/>
        </w:rPr>
        <w:t>, 34(3), 391–427. https://doi.org/10.1093/aepp/pps031</w:t>
      </w:r>
    </w:p>
    <w:p w14:paraId="280151AA"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Lybbert, T. J., &amp; Carter, M. R. (2015). Bundling drought tolerance and index insurance to reduce rural household vulnerability to drought. </w:t>
      </w:r>
      <w:r w:rsidRPr="00324BC3">
        <w:rPr>
          <w:rFonts w:ascii="Times New Roman" w:eastAsia="Times New Roman" w:hAnsi="Times New Roman" w:cs="Times New Roman"/>
          <w:i/>
          <w:iCs/>
          <w:sz w:val="24"/>
          <w:szCs w:val="24"/>
        </w:rPr>
        <w:t>American Journal of Agricultural Economics</w:t>
      </w:r>
      <w:r w:rsidRPr="00324BC3">
        <w:rPr>
          <w:rFonts w:ascii="Times New Roman" w:eastAsia="Times New Roman" w:hAnsi="Times New Roman" w:cs="Times New Roman"/>
          <w:sz w:val="24"/>
          <w:szCs w:val="24"/>
        </w:rPr>
        <w:t>, 97(5), 1721–1733. https://doi.org/10.1093/ajae/aav028</w:t>
      </w:r>
    </w:p>
    <w:p w14:paraId="55A6C1CB"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Janzen, S. A., Jensen, N. D., &amp; Carter, M. R. (2018). After the drought: The impact of microinsurance on consumption smoothing and asset protection. </w:t>
      </w:r>
      <w:r w:rsidRPr="00324BC3">
        <w:rPr>
          <w:rFonts w:ascii="Times New Roman" w:eastAsia="Times New Roman" w:hAnsi="Times New Roman" w:cs="Times New Roman"/>
          <w:i/>
          <w:iCs/>
          <w:sz w:val="24"/>
          <w:szCs w:val="24"/>
        </w:rPr>
        <w:t>American Journal of Agricultural Economics</w:t>
      </w:r>
      <w:r w:rsidRPr="00324BC3">
        <w:rPr>
          <w:rFonts w:ascii="Times New Roman" w:eastAsia="Times New Roman" w:hAnsi="Times New Roman" w:cs="Times New Roman"/>
          <w:sz w:val="24"/>
          <w:szCs w:val="24"/>
        </w:rPr>
        <w:t>, 100(1), 268–293. https://doi.org/10.1093/ajae/aax061</w:t>
      </w:r>
    </w:p>
    <w:p w14:paraId="79657D2E"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Carter, M. R., de Janvry, A., Sadoulet, E., &amp; Sarris, A. (2014). Index insurance for developing country agriculture: A reassessment. </w:t>
      </w:r>
      <w:r w:rsidRPr="00324BC3">
        <w:rPr>
          <w:rFonts w:ascii="Times New Roman" w:eastAsia="Times New Roman" w:hAnsi="Times New Roman" w:cs="Times New Roman"/>
          <w:i/>
          <w:iCs/>
          <w:sz w:val="24"/>
          <w:szCs w:val="24"/>
        </w:rPr>
        <w:t xml:space="preserve">Annual Review of Resource </w:t>
      </w:r>
      <w:r w:rsidRPr="00324BC3">
        <w:rPr>
          <w:rFonts w:ascii="Times New Roman" w:eastAsia="Times New Roman" w:hAnsi="Times New Roman" w:cs="Times New Roman"/>
          <w:i/>
          <w:iCs/>
          <w:sz w:val="24"/>
          <w:szCs w:val="24"/>
        </w:rPr>
        <w:lastRenderedPageBreak/>
        <w:t>Economics</w:t>
      </w:r>
      <w:r w:rsidRPr="00324BC3">
        <w:rPr>
          <w:rFonts w:ascii="Times New Roman" w:eastAsia="Times New Roman" w:hAnsi="Times New Roman" w:cs="Times New Roman"/>
          <w:sz w:val="24"/>
          <w:szCs w:val="24"/>
        </w:rPr>
        <w:t>, 6, 193–210. https://doi.org/10.1146/annurev-resource-100913-012423</w:t>
      </w:r>
    </w:p>
    <w:p w14:paraId="45805841"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Cole, S., Giné, X., Tobacman, J., Topalova, P., Townsend, R., &amp; Vickery, J. (2013). Barriers to household risk management: Evidence from India. </w:t>
      </w:r>
      <w:r w:rsidRPr="00324BC3">
        <w:rPr>
          <w:rFonts w:ascii="Times New Roman" w:eastAsia="Times New Roman" w:hAnsi="Times New Roman" w:cs="Times New Roman"/>
          <w:i/>
          <w:iCs/>
          <w:sz w:val="24"/>
          <w:szCs w:val="24"/>
        </w:rPr>
        <w:t>American Economic Journal: Applied Economics</w:t>
      </w:r>
      <w:r w:rsidRPr="00324BC3">
        <w:rPr>
          <w:rFonts w:ascii="Times New Roman" w:eastAsia="Times New Roman" w:hAnsi="Times New Roman" w:cs="Times New Roman"/>
          <w:sz w:val="24"/>
          <w:szCs w:val="24"/>
        </w:rPr>
        <w:t>, 5(1), 104–135. https://doi.org/10.1257/app.5.1.104</w:t>
      </w:r>
    </w:p>
    <w:p w14:paraId="67C689E8" w14:textId="77777777" w:rsidR="00805757" w:rsidRPr="00324BC3" w:rsidRDefault="00805757"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eastAsia="Times New Roman" w:hAnsi="Times New Roman" w:cs="Times New Roman"/>
          <w:sz w:val="24"/>
          <w:szCs w:val="24"/>
        </w:rPr>
        <w:t xml:space="preserve">Matsuda, A., Takahashi, K., Ikegami, M., &amp; Barrett, C. B. (2023). Why don’t households purchase index insurance products? A review of uptake constraints in developing countries. </w:t>
      </w:r>
      <w:r w:rsidRPr="00324BC3">
        <w:rPr>
          <w:rFonts w:ascii="Times New Roman" w:eastAsia="Times New Roman" w:hAnsi="Times New Roman" w:cs="Times New Roman"/>
          <w:i/>
          <w:iCs/>
          <w:sz w:val="24"/>
          <w:szCs w:val="24"/>
        </w:rPr>
        <w:t>World Development</w:t>
      </w:r>
      <w:r w:rsidRPr="00324BC3">
        <w:rPr>
          <w:rFonts w:ascii="Times New Roman" w:eastAsia="Times New Roman" w:hAnsi="Times New Roman" w:cs="Times New Roman"/>
          <w:sz w:val="24"/>
          <w:szCs w:val="24"/>
        </w:rPr>
        <w:t xml:space="preserve">, 165, 106212. </w:t>
      </w:r>
      <w:hyperlink r:id="rId9" w:history="1">
        <w:r w:rsidR="00DF4321" w:rsidRPr="00324BC3">
          <w:rPr>
            <w:rStyle w:val="Hyperlink"/>
            <w:rFonts w:ascii="Times New Roman" w:eastAsia="Times New Roman" w:hAnsi="Times New Roman" w:cs="Times New Roman"/>
            <w:sz w:val="24"/>
            <w:szCs w:val="24"/>
          </w:rPr>
          <w:t>https://doi.org/10.1016/j.worlddev.2023.106212</w:t>
        </w:r>
      </w:hyperlink>
    </w:p>
    <w:p w14:paraId="46A57062" w14:textId="77777777" w:rsidR="00DF4321" w:rsidRPr="00324BC3" w:rsidRDefault="00DF4321"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hAnsi="Times New Roman" w:cs="Times New Roman"/>
          <w:color w:val="222222"/>
          <w:sz w:val="24"/>
          <w:szCs w:val="24"/>
          <w:shd w:val="clear" w:color="auto" w:fill="FFFFFF"/>
        </w:rPr>
        <w:t>Muchema, B. N., Mbau, J. S., &amp; Muthama, N. J. (2025). Appraising Formal and Informal Insurance Approaches Within Pastoralist Social Networks in Northern Kenya. </w:t>
      </w:r>
      <w:r w:rsidRPr="00324BC3">
        <w:rPr>
          <w:rFonts w:ascii="Times New Roman" w:hAnsi="Times New Roman" w:cs="Times New Roman"/>
          <w:i/>
          <w:iCs/>
          <w:color w:val="222222"/>
          <w:sz w:val="24"/>
          <w:szCs w:val="24"/>
          <w:shd w:val="clear" w:color="auto" w:fill="FFFFFF"/>
        </w:rPr>
        <w:t>Rangeland Ecology &amp; Management</w:t>
      </w:r>
      <w:r w:rsidRPr="00324BC3">
        <w:rPr>
          <w:rFonts w:ascii="Times New Roman" w:hAnsi="Times New Roman" w:cs="Times New Roman"/>
          <w:color w:val="222222"/>
          <w:sz w:val="24"/>
          <w:szCs w:val="24"/>
          <w:shd w:val="clear" w:color="auto" w:fill="FFFFFF"/>
        </w:rPr>
        <w:t>, </w:t>
      </w:r>
      <w:r w:rsidRPr="00324BC3">
        <w:rPr>
          <w:rFonts w:ascii="Times New Roman" w:hAnsi="Times New Roman" w:cs="Times New Roman"/>
          <w:i/>
          <w:iCs/>
          <w:color w:val="222222"/>
          <w:sz w:val="24"/>
          <w:szCs w:val="24"/>
          <w:shd w:val="clear" w:color="auto" w:fill="FFFFFF"/>
        </w:rPr>
        <w:t>98</w:t>
      </w:r>
      <w:r w:rsidRPr="00324BC3">
        <w:rPr>
          <w:rFonts w:ascii="Times New Roman" w:hAnsi="Times New Roman" w:cs="Times New Roman"/>
          <w:color w:val="222222"/>
          <w:sz w:val="24"/>
          <w:szCs w:val="24"/>
          <w:shd w:val="clear" w:color="auto" w:fill="FFFFFF"/>
        </w:rPr>
        <w:t>, 160-169.</w:t>
      </w:r>
    </w:p>
    <w:p w14:paraId="53D5370B" w14:textId="77777777" w:rsidR="00DF4321" w:rsidRPr="00324BC3" w:rsidRDefault="00DF4321"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hAnsi="Times New Roman" w:cs="Times New Roman"/>
          <w:color w:val="222222"/>
          <w:sz w:val="24"/>
          <w:szCs w:val="24"/>
          <w:shd w:val="clear" w:color="auto" w:fill="FFFFFF"/>
        </w:rPr>
        <w:t>Jensen, N. D., Fava, F. P., Mude, A. G., Barrett, C. B., Wandera-Gache, B., Vrieling, A., ... &amp; Banerjee, R. (2024). </w:t>
      </w:r>
      <w:r w:rsidRPr="00324BC3">
        <w:rPr>
          <w:rFonts w:ascii="Times New Roman" w:hAnsi="Times New Roman" w:cs="Times New Roman"/>
          <w:i/>
          <w:iCs/>
          <w:color w:val="222222"/>
          <w:sz w:val="24"/>
          <w:szCs w:val="24"/>
          <w:shd w:val="clear" w:color="auto" w:fill="FFFFFF"/>
        </w:rPr>
        <w:t>Escaping poverty traps and unlocking prosperity in the face of climate risk: Lessons from index-based livestock insurance</w:t>
      </w:r>
      <w:r w:rsidRPr="00324BC3">
        <w:rPr>
          <w:rFonts w:ascii="Times New Roman" w:hAnsi="Times New Roman" w:cs="Times New Roman"/>
          <w:color w:val="222222"/>
          <w:sz w:val="24"/>
          <w:szCs w:val="24"/>
          <w:shd w:val="clear" w:color="auto" w:fill="FFFFFF"/>
        </w:rPr>
        <w:t>. Cambridge University Press.</w:t>
      </w:r>
    </w:p>
    <w:p w14:paraId="35AD79DD" w14:textId="77777777" w:rsidR="00DF4321" w:rsidRPr="00324BC3" w:rsidRDefault="00DF4321" w:rsidP="00A0674C">
      <w:pPr>
        <w:numPr>
          <w:ilvl w:val="0"/>
          <w:numId w:val="2"/>
        </w:numPr>
        <w:spacing w:after="100" w:afterAutospacing="1" w:line="240" w:lineRule="auto"/>
        <w:jc w:val="both"/>
        <w:rPr>
          <w:rFonts w:ascii="Times New Roman" w:eastAsia="Times New Roman" w:hAnsi="Times New Roman" w:cs="Times New Roman"/>
          <w:sz w:val="24"/>
          <w:szCs w:val="24"/>
        </w:rPr>
      </w:pPr>
      <w:r w:rsidRPr="00324BC3">
        <w:rPr>
          <w:rFonts w:ascii="Times New Roman" w:hAnsi="Times New Roman" w:cs="Times New Roman"/>
          <w:color w:val="222222"/>
          <w:sz w:val="24"/>
          <w:szCs w:val="24"/>
          <w:shd w:val="clear" w:color="auto" w:fill="FFFFFF"/>
        </w:rPr>
        <w:t>Kadyampakeni, J. (2024). The Impact of Index Based Livestock Insurance (IBLI) on Child Nutrition in Marsabit County, Kenya.</w:t>
      </w:r>
    </w:p>
    <w:p w14:paraId="5B28D718" w14:textId="77777777" w:rsidR="00986B91" w:rsidRPr="00324BC3" w:rsidRDefault="00986B91" w:rsidP="00B56BAF">
      <w:pPr>
        <w:spacing w:after="100" w:afterAutospacing="1" w:line="240" w:lineRule="auto"/>
        <w:jc w:val="both"/>
        <w:rPr>
          <w:rFonts w:ascii="Times New Roman" w:hAnsi="Times New Roman" w:cs="Times New Roman"/>
          <w:sz w:val="24"/>
          <w:szCs w:val="24"/>
        </w:rPr>
      </w:pPr>
    </w:p>
    <w:sectPr w:rsidR="00986B91" w:rsidRPr="00324BC3" w:rsidSect="00806A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51F68" w14:textId="77777777" w:rsidR="00AB7096" w:rsidRDefault="00AB7096" w:rsidP="00B84F3D">
      <w:pPr>
        <w:spacing w:after="0" w:line="240" w:lineRule="auto"/>
      </w:pPr>
      <w:r>
        <w:separator/>
      </w:r>
    </w:p>
  </w:endnote>
  <w:endnote w:type="continuationSeparator" w:id="0">
    <w:p w14:paraId="1F6FCFF4" w14:textId="77777777" w:rsidR="00AB7096" w:rsidRDefault="00AB7096" w:rsidP="00B8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3557" w14:textId="77777777" w:rsidR="009C1B2E" w:rsidRDefault="009C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CFD6" w14:textId="77777777" w:rsidR="009C1B2E" w:rsidRDefault="009C1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4BAB" w14:textId="77777777" w:rsidR="009C1B2E" w:rsidRDefault="009C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BE3DA" w14:textId="77777777" w:rsidR="00AB7096" w:rsidRDefault="00AB7096" w:rsidP="00B84F3D">
      <w:pPr>
        <w:spacing w:after="0" w:line="240" w:lineRule="auto"/>
      </w:pPr>
      <w:r>
        <w:separator/>
      </w:r>
    </w:p>
  </w:footnote>
  <w:footnote w:type="continuationSeparator" w:id="0">
    <w:p w14:paraId="68331305" w14:textId="77777777" w:rsidR="00AB7096" w:rsidRDefault="00AB7096" w:rsidP="00B8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C169" w14:textId="3BCE8594" w:rsidR="009C1B2E" w:rsidRDefault="009C1B2E">
    <w:pPr>
      <w:pStyle w:val="Header"/>
    </w:pPr>
    <w:r>
      <w:rPr>
        <w:noProof/>
      </w:rPr>
      <w:pict w14:anchorId="46B22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53360" o:spid="_x0000_s2050" type="#_x0000_t136" style="position:absolute;margin-left:0;margin-top:0;width:506.5pt;height:94.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413A" w14:textId="7B6CBAA5" w:rsidR="009C1B2E" w:rsidRDefault="009C1B2E">
    <w:pPr>
      <w:pStyle w:val="Header"/>
    </w:pPr>
    <w:r>
      <w:rPr>
        <w:noProof/>
      </w:rPr>
      <w:pict w14:anchorId="5181C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53361" o:spid="_x0000_s2051" type="#_x0000_t136" style="position:absolute;margin-left:0;margin-top:0;width:506.5pt;height:94.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7BF8" w14:textId="20FEEED0" w:rsidR="009C1B2E" w:rsidRDefault="009C1B2E">
    <w:pPr>
      <w:pStyle w:val="Header"/>
    </w:pPr>
    <w:r>
      <w:rPr>
        <w:noProof/>
      </w:rPr>
      <w:pict w14:anchorId="5B27C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53359" o:spid="_x0000_s2049" type="#_x0000_t136" style="position:absolute;margin-left:0;margin-top:0;width:506.5pt;height:94.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D1C88"/>
    <w:multiLevelType w:val="multilevel"/>
    <w:tmpl w:val="9D6A70D0"/>
    <w:lvl w:ilvl="0">
      <w:start w:val="3"/>
      <w:numFmt w:val="decimal"/>
      <w:lvlText w:val="%1"/>
      <w:lvlJc w:val="left"/>
      <w:pPr>
        <w:ind w:left="660" w:hanging="660"/>
      </w:pPr>
      <w:rPr>
        <w:rFonts w:hint="default"/>
        <w:b/>
      </w:rPr>
    </w:lvl>
    <w:lvl w:ilvl="1">
      <w:start w:val="4"/>
      <w:numFmt w:val="decimal"/>
      <w:lvlText w:val="%1.%2"/>
      <w:lvlJc w:val="left"/>
      <w:pPr>
        <w:ind w:left="780" w:hanging="660"/>
      </w:pPr>
      <w:rPr>
        <w:rFonts w:hint="default"/>
        <w:b/>
      </w:rPr>
    </w:lvl>
    <w:lvl w:ilvl="2">
      <w:start w:val="4"/>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1" w15:restartNumberingAfterBreak="0">
    <w:nsid w:val="446B723E"/>
    <w:multiLevelType w:val="multilevel"/>
    <w:tmpl w:val="F0A6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31879"/>
    <w:multiLevelType w:val="multilevel"/>
    <w:tmpl w:val="20A24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8B59D1"/>
    <w:multiLevelType w:val="multilevel"/>
    <w:tmpl w:val="FB44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68"/>
    <w:rsid w:val="00001381"/>
    <w:rsid w:val="000126E3"/>
    <w:rsid w:val="000156D9"/>
    <w:rsid w:val="0003342B"/>
    <w:rsid w:val="00062F95"/>
    <w:rsid w:val="000753C9"/>
    <w:rsid w:val="00086E66"/>
    <w:rsid w:val="0009184F"/>
    <w:rsid w:val="000929C3"/>
    <w:rsid w:val="000A74D3"/>
    <w:rsid w:val="000C1D7A"/>
    <w:rsid w:val="000C43BF"/>
    <w:rsid w:val="000E3432"/>
    <w:rsid w:val="000E56A7"/>
    <w:rsid w:val="000F6A6C"/>
    <w:rsid w:val="00115EC4"/>
    <w:rsid w:val="00117E54"/>
    <w:rsid w:val="00121A50"/>
    <w:rsid w:val="00133864"/>
    <w:rsid w:val="00140F81"/>
    <w:rsid w:val="001865CB"/>
    <w:rsid w:val="00186F49"/>
    <w:rsid w:val="0019516B"/>
    <w:rsid w:val="0019695D"/>
    <w:rsid w:val="00197F2A"/>
    <w:rsid w:val="001A048B"/>
    <w:rsid w:val="001C5414"/>
    <w:rsid w:val="001C627D"/>
    <w:rsid w:val="001D3979"/>
    <w:rsid w:val="001E3534"/>
    <w:rsid w:val="0020520B"/>
    <w:rsid w:val="00206996"/>
    <w:rsid w:val="002120B6"/>
    <w:rsid w:val="00221768"/>
    <w:rsid w:val="002242F9"/>
    <w:rsid w:val="002245FE"/>
    <w:rsid w:val="002A2D46"/>
    <w:rsid w:val="002A7C44"/>
    <w:rsid w:val="002B39D2"/>
    <w:rsid w:val="002B6E16"/>
    <w:rsid w:val="00320908"/>
    <w:rsid w:val="00324BC3"/>
    <w:rsid w:val="003366BB"/>
    <w:rsid w:val="00355AE7"/>
    <w:rsid w:val="00355E4E"/>
    <w:rsid w:val="00355F1C"/>
    <w:rsid w:val="00361491"/>
    <w:rsid w:val="003C7C88"/>
    <w:rsid w:val="003E7A9D"/>
    <w:rsid w:val="004103B0"/>
    <w:rsid w:val="004358A3"/>
    <w:rsid w:val="004553F2"/>
    <w:rsid w:val="0047356F"/>
    <w:rsid w:val="004A143B"/>
    <w:rsid w:val="004C0F8C"/>
    <w:rsid w:val="004E138D"/>
    <w:rsid w:val="005001CC"/>
    <w:rsid w:val="00525B64"/>
    <w:rsid w:val="00527756"/>
    <w:rsid w:val="00560414"/>
    <w:rsid w:val="0056250E"/>
    <w:rsid w:val="005662D9"/>
    <w:rsid w:val="005B0B77"/>
    <w:rsid w:val="005E06C7"/>
    <w:rsid w:val="005E06FD"/>
    <w:rsid w:val="005E06FE"/>
    <w:rsid w:val="005E1501"/>
    <w:rsid w:val="005E5C4D"/>
    <w:rsid w:val="005E5D87"/>
    <w:rsid w:val="0061634B"/>
    <w:rsid w:val="00642C3E"/>
    <w:rsid w:val="00651872"/>
    <w:rsid w:val="00664397"/>
    <w:rsid w:val="00696A0D"/>
    <w:rsid w:val="006B2D1A"/>
    <w:rsid w:val="006C6923"/>
    <w:rsid w:val="006E0C97"/>
    <w:rsid w:val="006F5566"/>
    <w:rsid w:val="006F77EE"/>
    <w:rsid w:val="00704385"/>
    <w:rsid w:val="00720394"/>
    <w:rsid w:val="00720418"/>
    <w:rsid w:val="007536BB"/>
    <w:rsid w:val="0079532A"/>
    <w:rsid w:val="007F2045"/>
    <w:rsid w:val="007F595C"/>
    <w:rsid w:val="00804B97"/>
    <w:rsid w:val="00805757"/>
    <w:rsid w:val="00806A13"/>
    <w:rsid w:val="00820254"/>
    <w:rsid w:val="00826F50"/>
    <w:rsid w:val="0084535C"/>
    <w:rsid w:val="008A2B44"/>
    <w:rsid w:val="008B7B1D"/>
    <w:rsid w:val="008C1D12"/>
    <w:rsid w:val="008C4A7C"/>
    <w:rsid w:val="008C72E5"/>
    <w:rsid w:val="0090417F"/>
    <w:rsid w:val="0091495A"/>
    <w:rsid w:val="00916E9D"/>
    <w:rsid w:val="0094488B"/>
    <w:rsid w:val="00963CB8"/>
    <w:rsid w:val="00974435"/>
    <w:rsid w:val="0097641A"/>
    <w:rsid w:val="00983ED1"/>
    <w:rsid w:val="00986B91"/>
    <w:rsid w:val="009C1B2E"/>
    <w:rsid w:val="009F4279"/>
    <w:rsid w:val="009F7BC2"/>
    <w:rsid w:val="00A03E8F"/>
    <w:rsid w:val="00A05115"/>
    <w:rsid w:val="00A0674C"/>
    <w:rsid w:val="00A12B8C"/>
    <w:rsid w:val="00A330DE"/>
    <w:rsid w:val="00A366C7"/>
    <w:rsid w:val="00A61580"/>
    <w:rsid w:val="00AA1022"/>
    <w:rsid w:val="00AA6890"/>
    <w:rsid w:val="00AB7096"/>
    <w:rsid w:val="00AD2A3D"/>
    <w:rsid w:val="00B221C8"/>
    <w:rsid w:val="00B23E96"/>
    <w:rsid w:val="00B45930"/>
    <w:rsid w:val="00B50ED2"/>
    <w:rsid w:val="00B54F19"/>
    <w:rsid w:val="00B56BAF"/>
    <w:rsid w:val="00B80B55"/>
    <w:rsid w:val="00B817D5"/>
    <w:rsid w:val="00B82BFC"/>
    <w:rsid w:val="00B83365"/>
    <w:rsid w:val="00B84F3D"/>
    <w:rsid w:val="00B8771F"/>
    <w:rsid w:val="00BB2E29"/>
    <w:rsid w:val="00BB3D1D"/>
    <w:rsid w:val="00BD0002"/>
    <w:rsid w:val="00BE55D8"/>
    <w:rsid w:val="00C174AD"/>
    <w:rsid w:val="00C44304"/>
    <w:rsid w:val="00CB3168"/>
    <w:rsid w:val="00CB40DC"/>
    <w:rsid w:val="00CC55A9"/>
    <w:rsid w:val="00CC68D4"/>
    <w:rsid w:val="00CC7273"/>
    <w:rsid w:val="00CF6757"/>
    <w:rsid w:val="00D16D1D"/>
    <w:rsid w:val="00D23304"/>
    <w:rsid w:val="00D428B4"/>
    <w:rsid w:val="00D5026F"/>
    <w:rsid w:val="00D64E8F"/>
    <w:rsid w:val="00D675D0"/>
    <w:rsid w:val="00D72FBB"/>
    <w:rsid w:val="00DA136B"/>
    <w:rsid w:val="00DA6E3F"/>
    <w:rsid w:val="00DB22D9"/>
    <w:rsid w:val="00DF0AD7"/>
    <w:rsid w:val="00DF4321"/>
    <w:rsid w:val="00E50A84"/>
    <w:rsid w:val="00E81887"/>
    <w:rsid w:val="00E95FB0"/>
    <w:rsid w:val="00E9743B"/>
    <w:rsid w:val="00EA170C"/>
    <w:rsid w:val="00EA574F"/>
    <w:rsid w:val="00EC0323"/>
    <w:rsid w:val="00ED73EF"/>
    <w:rsid w:val="00F05188"/>
    <w:rsid w:val="00F129D0"/>
    <w:rsid w:val="00F2724F"/>
    <w:rsid w:val="00F27BEE"/>
    <w:rsid w:val="00F667BA"/>
    <w:rsid w:val="00F770F5"/>
    <w:rsid w:val="00F8164D"/>
    <w:rsid w:val="00F8312F"/>
    <w:rsid w:val="00F94760"/>
    <w:rsid w:val="00FA30B0"/>
    <w:rsid w:val="00FB6A85"/>
    <w:rsid w:val="00FC0EA5"/>
    <w:rsid w:val="00FC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7BAED"/>
  <w15:chartTrackingRefBased/>
  <w15:docId w15:val="{FE49850F-B912-40C1-87FE-5032FCBF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2C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0C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42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279"/>
    <w:rPr>
      <w:b/>
      <w:bCs/>
    </w:rPr>
  </w:style>
  <w:style w:type="paragraph" w:styleId="ListParagraph">
    <w:name w:val="List Paragraph"/>
    <w:basedOn w:val="Normal"/>
    <w:uiPriority w:val="34"/>
    <w:qFormat/>
    <w:rsid w:val="00B83365"/>
    <w:pPr>
      <w:ind w:left="720"/>
      <w:contextualSpacing/>
    </w:pPr>
  </w:style>
  <w:style w:type="paragraph" w:styleId="Header">
    <w:name w:val="header"/>
    <w:basedOn w:val="Normal"/>
    <w:link w:val="HeaderChar"/>
    <w:uiPriority w:val="99"/>
    <w:unhideWhenUsed/>
    <w:rsid w:val="00B8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F3D"/>
  </w:style>
  <w:style w:type="paragraph" w:styleId="Footer">
    <w:name w:val="footer"/>
    <w:basedOn w:val="Normal"/>
    <w:link w:val="FooterChar"/>
    <w:uiPriority w:val="99"/>
    <w:unhideWhenUsed/>
    <w:rsid w:val="00B8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3D"/>
  </w:style>
  <w:style w:type="paragraph" w:styleId="BalloonText">
    <w:name w:val="Balloon Text"/>
    <w:basedOn w:val="Normal"/>
    <w:link w:val="BalloonTextChar"/>
    <w:uiPriority w:val="99"/>
    <w:semiHidden/>
    <w:unhideWhenUsed/>
    <w:rsid w:val="001D3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79"/>
    <w:rPr>
      <w:rFonts w:ascii="Segoe UI" w:hAnsi="Segoe UI" w:cs="Segoe UI"/>
      <w:sz w:val="18"/>
      <w:szCs w:val="18"/>
    </w:rPr>
  </w:style>
  <w:style w:type="character" w:styleId="Hyperlink">
    <w:name w:val="Hyperlink"/>
    <w:basedOn w:val="DefaultParagraphFont"/>
    <w:uiPriority w:val="99"/>
    <w:unhideWhenUsed/>
    <w:rsid w:val="00DF4321"/>
    <w:rPr>
      <w:color w:val="0563C1" w:themeColor="hyperlink"/>
      <w:u w:val="single"/>
    </w:rPr>
  </w:style>
  <w:style w:type="character" w:styleId="CommentReference">
    <w:name w:val="annotation reference"/>
    <w:basedOn w:val="DefaultParagraphFont"/>
    <w:uiPriority w:val="99"/>
    <w:semiHidden/>
    <w:unhideWhenUsed/>
    <w:rsid w:val="007536BB"/>
    <w:rPr>
      <w:sz w:val="16"/>
      <w:szCs w:val="16"/>
    </w:rPr>
  </w:style>
  <w:style w:type="paragraph" w:styleId="CommentText">
    <w:name w:val="annotation text"/>
    <w:basedOn w:val="Normal"/>
    <w:link w:val="CommentTextChar"/>
    <w:uiPriority w:val="99"/>
    <w:unhideWhenUsed/>
    <w:rsid w:val="007536BB"/>
    <w:pPr>
      <w:spacing w:line="240" w:lineRule="auto"/>
    </w:pPr>
    <w:rPr>
      <w:sz w:val="20"/>
      <w:szCs w:val="20"/>
    </w:rPr>
  </w:style>
  <w:style w:type="character" w:customStyle="1" w:styleId="CommentTextChar">
    <w:name w:val="Comment Text Char"/>
    <w:basedOn w:val="DefaultParagraphFont"/>
    <w:link w:val="CommentText"/>
    <w:uiPriority w:val="99"/>
    <w:rsid w:val="007536BB"/>
    <w:rPr>
      <w:sz w:val="20"/>
      <w:szCs w:val="20"/>
    </w:rPr>
  </w:style>
  <w:style w:type="paragraph" w:styleId="CommentSubject">
    <w:name w:val="annotation subject"/>
    <w:basedOn w:val="CommentText"/>
    <w:next w:val="CommentText"/>
    <w:link w:val="CommentSubjectChar"/>
    <w:uiPriority w:val="99"/>
    <w:semiHidden/>
    <w:unhideWhenUsed/>
    <w:rsid w:val="007536BB"/>
    <w:rPr>
      <w:b/>
      <w:bCs/>
    </w:rPr>
  </w:style>
  <w:style w:type="character" w:customStyle="1" w:styleId="CommentSubjectChar">
    <w:name w:val="Comment Subject Char"/>
    <w:basedOn w:val="CommentTextChar"/>
    <w:link w:val="CommentSubject"/>
    <w:uiPriority w:val="99"/>
    <w:semiHidden/>
    <w:rsid w:val="007536BB"/>
    <w:rPr>
      <w:b/>
      <w:bCs/>
      <w:sz w:val="20"/>
      <w:szCs w:val="20"/>
    </w:rPr>
  </w:style>
  <w:style w:type="paragraph" w:styleId="Caption">
    <w:name w:val="caption"/>
    <w:basedOn w:val="Normal"/>
    <w:next w:val="Normal"/>
    <w:uiPriority w:val="35"/>
    <w:unhideWhenUsed/>
    <w:qFormat/>
    <w:rsid w:val="006E0C97"/>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6E0C9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42C3E"/>
    <w:rPr>
      <w:rFonts w:asciiTheme="majorHAnsi" w:eastAsiaTheme="majorEastAsia" w:hAnsiTheme="majorHAnsi" w:cstheme="majorBidi"/>
      <w:color w:val="2E74B5" w:themeColor="accent1" w:themeShade="BF"/>
      <w:sz w:val="26"/>
      <w:szCs w:val="26"/>
    </w:rPr>
  </w:style>
  <w:style w:type="character" w:customStyle="1" w:styleId="mord">
    <w:name w:val="mord"/>
    <w:basedOn w:val="DefaultParagraphFont"/>
    <w:rsid w:val="00C44304"/>
  </w:style>
  <w:style w:type="character" w:customStyle="1" w:styleId="mrel">
    <w:name w:val="mrel"/>
    <w:basedOn w:val="DefaultParagraphFont"/>
    <w:rsid w:val="00C44304"/>
  </w:style>
  <w:style w:type="paragraph" w:customStyle="1" w:styleId="query-text-line">
    <w:name w:val="query-text-line"/>
    <w:basedOn w:val="Normal"/>
    <w:rsid w:val="00C4430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1332">
      <w:bodyDiv w:val="1"/>
      <w:marLeft w:val="0"/>
      <w:marRight w:val="0"/>
      <w:marTop w:val="0"/>
      <w:marBottom w:val="0"/>
      <w:divBdr>
        <w:top w:val="none" w:sz="0" w:space="0" w:color="auto"/>
        <w:left w:val="none" w:sz="0" w:space="0" w:color="auto"/>
        <w:bottom w:val="none" w:sz="0" w:space="0" w:color="auto"/>
        <w:right w:val="none" w:sz="0" w:space="0" w:color="auto"/>
      </w:divBdr>
    </w:div>
    <w:div w:id="87971319">
      <w:bodyDiv w:val="1"/>
      <w:marLeft w:val="0"/>
      <w:marRight w:val="0"/>
      <w:marTop w:val="0"/>
      <w:marBottom w:val="0"/>
      <w:divBdr>
        <w:top w:val="none" w:sz="0" w:space="0" w:color="auto"/>
        <w:left w:val="none" w:sz="0" w:space="0" w:color="auto"/>
        <w:bottom w:val="none" w:sz="0" w:space="0" w:color="auto"/>
        <w:right w:val="none" w:sz="0" w:space="0" w:color="auto"/>
      </w:divBdr>
      <w:divsChild>
        <w:div w:id="1423987007">
          <w:marLeft w:val="0"/>
          <w:marRight w:val="0"/>
          <w:marTop w:val="0"/>
          <w:marBottom w:val="0"/>
          <w:divBdr>
            <w:top w:val="none" w:sz="0" w:space="0" w:color="auto"/>
            <w:left w:val="none" w:sz="0" w:space="0" w:color="auto"/>
            <w:bottom w:val="none" w:sz="0" w:space="0" w:color="auto"/>
            <w:right w:val="none" w:sz="0" w:space="0" w:color="auto"/>
          </w:divBdr>
          <w:divsChild>
            <w:div w:id="1163157730">
              <w:marLeft w:val="0"/>
              <w:marRight w:val="0"/>
              <w:marTop w:val="0"/>
              <w:marBottom w:val="0"/>
              <w:divBdr>
                <w:top w:val="none" w:sz="0" w:space="0" w:color="auto"/>
                <w:left w:val="none" w:sz="0" w:space="0" w:color="auto"/>
                <w:bottom w:val="none" w:sz="0" w:space="0" w:color="auto"/>
                <w:right w:val="none" w:sz="0" w:space="0" w:color="auto"/>
              </w:divBdr>
            </w:div>
          </w:divsChild>
        </w:div>
        <w:div w:id="784422705">
          <w:marLeft w:val="0"/>
          <w:marRight w:val="0"/>
          <w:marTop w:val="0"/>
          <w:marBottom w:val="0"/>
          <w:divBdr>
            <w:top w:val="none" w:sz="0" w:space="0" w:color="auto"/>
            <w:left w:val="none" w:sz="0" w:space="0" w:color="auto"/>
            <w:bottom w:val="none" w:sz="0" w:space="0" w:color="auto"/>
            <w:right w:val="none" w:sz="0" w:space="0" w:color="auto"/>
          </w:divBdr>
          <w:divsChild>
            <w:div w:id="1382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015">
      <w:bodyDiv w:val="1"/>
      <w:marLeft w:val="0"/>
      <w:marRight w:val="0"/>
      <w:marTop w:val="0"/>
      <w:marBottom w:val="0"/>
      <w:divBdr>
        <w:top w:val="none" w:sz="0" w:space="0" w:color="auto"/>
        <w:left w:val="none" w:sz="0" w:space="0" w:color="auto"/>
        <w:bottom w:val="none" w:sz="0" w:space="0" w:color="auto"/>
        <w:right w:val="none" w:sz="0" w:space="0" w:color="auto"/>
      </w:divBdr>
    </w:div>
    <w:div w:id="108597507">
      <w:bodyDiv w:val="1"/>
      <w:marLeft w:val="0"/>
      <w:marRight w:val="0"/>
      <w:marTop w:val="0"/>
      <w:marBottom w:val="0"/>
      <w:divBdr>
        <w:top w:val="none" w:sz="0" w:space="0" w:color="auto"/>
        <w:left w:val="none" w:sz="0" w:space="0" w:color="auto"/>
        <w:bottom w:val="none" w:sz="0" w:space="0" w:color="auto"/>
        <w:right w:val="none" w:sz="0" w:space="0" w:color="auto"/>
      </w:divBdr>
    </w:div>
    <w:div w:id="123354015">
      <w:bodyDiv w:val="1"/>
      <w:marLeft w:val="0"/>
      <w:marRight w:val="0"/>
      <w:marTop w:val="0"/>
      <w:marBottom w:val="0"/>
      <w:divBdr>
        <w:top w:val="none" w:sz="0" w:space="0" w:color="auto"/>
        <w:left w:val="none" w:sz="0" w:space="0" w:color="auto"/>
        <w:bottom w:val="none" w:sz="0" w:space="0" w:color="auto"/>
        <w:right w:val="none" w:sz="0" w:space="0" w:color="auto"/>
      </w:divBdr>
    </w:div>
    <w:div w:id="125202170">
      <w:bodyDiv w:val="1"/>
      <w:marLeft w:val="0"/>
      <w:marRight w:val="0"/>
      <w:marTop w:val="0"/>
      <w:marBottom w:val="0"/>
      <w:divBdr>
        <w:top w:val="none" w:sz="0" w:space="0" w:color="auto"/>
        <w:left w:val="none" w:sz="0" w:space="0" w:color="auto"/>
        <w:bottom w:val="none" w:sz="0" w:space="0" w:color="auto"/>
        <w:right w:val="none" w:sz="0" w:space="0" w:color="auto"/>
      </w:divBdr>
    </w:div>
    <w:div w:id="237862775">
      <w:bodyDiv w:val="1"/>
      <w:marLeft w:val="0"/>
      <w:marRight w:val="0"/>
      <w:marTop w:val="0"/>
      <w:marBottom w:val="0"/>
      <w:divBdr>
        <w:top w:val="none" w:sz="0" w:space="0" w:color="auto"/>
        <w:left w:val="none" w:sz="0" w:space="0" w:color="auto"/>
        <w:bottom w:val="none" w:sz="0" w:space="0" w:color="auto"/>
        <w:right w:val="none" w:sz="0" w:space="0" w:color="auto"/>
      </w:divBdr>
    </w:div>
    <w:div w:id="238834550">
      <w:bodyDiv w:val="1"/>
      <w:marLeft w:val="0"/>
      <w:marRight w:val="0"/>
      <w:marTop w:val="0"/>
      <w:marBottom w:val="0"/>
      <w:divBdr>
        <w:top w:val="none" w:sz="0" w:space="0" w:color="auto"/>
        <w:left w:val="none" w:sz="0" w:space="0" w:color="auto"/>
        <w:bottom w:val="none" w:sz="0" w:space="0" w:color="auto"/>
        <w:right w:val="none" w:sz="0" w:space="0" w:color="auto"/>
      </w:divBdr>
    </w:div>
    <w:div w:id="264001406">
      <w:bodyDiv w:val="1"/>
      <w:marLeft w:val="0"/>
      <w:marRight w:val="0"/>
      <w:marTop w:val="0"/>
      <w:marBottom w:val="0"/>
      <w:divBdr>
        <w:top w:val="none" w:sz="0" w:space="0" w:color="auto"/>
        <w:left w:val="none" w:sz="0" w:space="0" w:color="auto"/>
        <w:bottom w:val="none" w:sz="0" w:space="0" w:color="auto"/>
        <w:right w:val="none" w:sz="0" w:space="0" w:color="auto"/>
      </w:divBdr>
      <w:divsChild>
        <w:div w:id="684212182">
          <w:marLeft w:val="0"/>
          <w:marRight w:val="0"/>
          <w:marTop w:val="0"/>
          <w:marBottom w:val="0"/>
          <w:divBdr>
            <w:top w:val="none" w:sz="0" w:space="0" w:color="auto"/>
            <w:left w:val="none" w:sz="0" w:space="0" w:color="auto"/>
            <w:bottom w:val="none" w:sz="0" w:space="0" w:color="auto"/>
            <w:right w:val="none" w:sz="0" w:space="0" w:color="auto"/>
          </w:divBdr>
          <w:divsChild>
            <w:div w:id="339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7590">
      <w:bodyDiv w:val="1"/>
      <w:marLeft w:val="0"/>
      <w:marRight w:val="0"/>
      <w:marTop w:val="0"/>
      <w:marBottom w:val="0"/>
      <w:divBdr>
        <w:top w:val="none" w:sz="0" w:space="0" w:color="auto"/>
        <w:left w:val="none" w:sz="0" w:space="0" w:color="auto"/>
        <w:bottom w:val="none" w:sz="0" w:space="0" w:color="auto"/>
        <w:right w:val="none" w:sz="0" w:space="0" w:color="auto"/>
      </w:divBdr>
    </w:div>
    <w:div w:id="344527447">
      <w:bodyDiv w:val="1"/>
      <w:marLeft w:val="0"/>
      <w:marRight w:val="0"/>
      <w:marTop w:val="0"/>
      <w:marBottom w:val="0"/>
      <w:divBdr>
        <w:top w:val="none" w:sz="0" w:space="0" w:color="auto"/>
        <w:left w:val="none" w:sz="0" w:space="0" w:color="auto"/>
        <w:bottom w:val="none" w:sz="0" w:space="0" w:color="auto"/>
        <w:right w:val="none" w:sz="0" w:space="0" w:color="auto"/>
      </w:divBdr>
    </w:div>
    <w:div w:id="377170779">
      <w:bodyDiv w:val="1"/>
      <w:marLeft w:val="0"/>
      <w:marRight w:val="0"/>
      <w:marTop w:val="0"/>
      <w:marBottom w:val="0"/>
      <w:divBdr>
        <w:top w:val="none" w:sz="0" w:space="0" w:color="auto"/>
        <w:left w:val="none" w:sz="0" w:space="0" w:color="auto"/>
        <w:bottom w:val="none" w:sz="0" w:space="0" w:color="auto"/>
        <w:right w:val="none" w:sz="0" w:space="0" w:color="auto"/>
      </w:divBdr>
    </w:div>
    <w:div w:id="413866362">
      <w:bodyDiv w:val="1"/>
      <w:marLeft w:val="0"/>
      <w:marRight w:val="0"/>
      <w:marTop w:val="0"/>
      <w:marBottom w:val="0"/>
      <w:divBdr>
        <w:top w:val="none" w:sz="0" w:space="0" w:color="auto"/>
        <w:left w:val="none" w:sz="0" w:space="0" w:color="auto"/>
        <w:bottom w:val="none" w:sz="0" w:space="0" w:color="auto"/>
        <w:right w:val="none" w:sz="0" w:space="0" w:color="auto"/>
      </w:divBdr>
      <w:divsChild>
        <w:div w:id="642540598">
          <w:marLeft w:val="0"/>
          <w:marRight w:val="0"/>
          <w:marTop w:val="0"/>
          <w:marBottom w:val="0"/>
          <w:divBdr>
            <w:top w:val="none" w:sz="0" w:space="0" w:color="auto"/>
            <w:left w:val="none" w:sz="0" w:space="0" w:color="auto"/>
            <w:bottom w:val="none" w:sz="0" w:space="0" w:color="auto"/>
            <w:right w:val="none" w:sz="0" w:space="0" w:color="auto"/>
          </w:divBdr>
          <w:divsChild>
            <w:div w:id="460924771">
              <w:marLeft w:val="0"/>
              <w:marRight w:val="0"/>
              <w:marTop w:val="0"/>
              <w:marBottom w:val="0"/>
              <w:divBdr>
                <w:top w:val="none" w:sz="0" w:space="0" w:color="auto"/>
                <w:left w:val="none" w:sz="0" w:space="0" w:color="auto"/>
                <w:bottom w:val="none" w:sz="0" w:space="0" w:color="auto"/>
                <w:right w:val="none" w:sz="0" w:space="0" w:color="auto"/>
              </w:divBdr>
              <w:divsChild>
                <w:div w:id="104858188">
                  <w:marLeft w:val="0"/>
                  <w:marRight w:val="0"/>
                  <w:marTop w:val="0"/>
                  <w:marBottom w:val="0"/>
                  <w:divBdr>
                    <w:top w:val="none" w:sz="0" w:space="0" w:color="auto"/>
                    <w:left w:val="none" w:sz="0" w:space="0" w:color="auto"/>
                    <w:bottom w:val="none" w:sz="0" w:space="0" w:color="auto"/>
                    <w:right w:val="none" w:sz="0" w:space="0" w:color="auto"/>
                  </w:divBdr>
                  <w:divsChild>
                    <w:div w:id="2119180614">
                      <w:marLeft w:val="0"/>
                      <w:marRight w:val="0"/>
                      <w:marTop w:val="0"/>
                      <w:marBottom w:val="0"/>
                      <w:divBdr>
                        <w:top w:val="none" w:sz="0" w:space="0" w:color="auto"/>
                        <w:left w:val="none" w:sz="0" w:space="0" w:color="auto"/>
                        <w:bottom w:val="none" w:sz="0" w:space="0" w:color="auto"/>
                        <w:right w:val="none" w:sz="0" w:space="0" w:color="auto"/>
                      </w:divBdr>
                      <w:divsChild>
                        <w:div w:id="311056957">
                          <w:marLeft w:val="0"/>
                          <w:marRight w:val="0"/>
                          <w:marTop w:val="0"/>
                          <w:marBottom w:val="0"/>
                          <w:divBdr>
                            <w:top w:val="none" w:sz="0" w:space="0" w:color="auto"/>
                            <w:left w:val="none" w:sz="0" w:space="0" w:color="auto"/>
                            <w:bottom w:val="none" w:sz="0" w:space="0" w:color="auto"/>
                            <w:right w:val="none" w:sz="0" w:space="0" w:color="auto"/>
                          </w:divBdr>
                          <w:divsChild>
                            <w:div w:id="1379012039">
                              <w:marLeft w:val="0"/>
                              <w:marRight w:val="0"/>
                              <w:marTop w:val="0"/>
                              <w:marBottom w:val="0"/>
                              <w:divBdr>
                                <w:top w:val="none" w:sz="0" w:space="0" w:color="auto"/>
                                <w:left w:val="none" w:sz="0" w:space="0" w:color="auto"/>
                                <w:bottom w:val="none" w:sz="0" w:space="0" w:color="auto"/>
                                <w:right w:val="none" w:sz="0" w:space="0" w:color="auto"/>
                              </w:divBdr>
                              <w:divsChild>
                                <w:div w:id="7825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07286">
          <w:marLeft w:val="0"/>
          <w:marRight w:val="0"/>
          <w:marTop w:val="0"/>
          <w:marBottom w:val="0"/>
          <w:divBdr>
            <w:top w:val="none" w:sz="0" w:space="0" w:color="auto"/>
            <w:left w:val="none" w:sz="0" w:space="0" w:color="auto"/>
            <w:bottom w:val="none" w:sz="0" w:space="0" w:color="auto"/>
            <w:right w:val="none" w:sz="0" w:space="0" w:color="auto"/>
          </w:divBdr>
          <w:divsChild>
            <w:div w:id="520626433">
              <w:marLeft w:val="0"/>
              <w:marRight w:val="0"/>
              <w:marTop w:val="0"/>
              <w:marBottom w:val="0"/>
              <w:divBdr>
                <w:top w:val="none" w:sz="0" w:space="0" w:color="auto"/>
                <w:left w:val="none" w:sz="0" w:space="0" w:color="auto"/>
                <w:bottom w:val="none" w:sz="0" w:space="0" w:color="auto"/>
                <w:right w:val="none" w:sz="0" w:space="0" w:color="auto"/>
              </w:divBdr>
              <w:divsChild>
                <w:div w:id="632369149">
                  <w:marLeft w:val="0"/>
                  <w:marRight w:val="0"/>
                  <w:marTop w:val="0"/>
                  <w:marBottom w:val="0"/>
                  <w:divBdr>
                    <w:top w:val="none" w:sz="0" w:space="0" w:color="auto"/>
                    <w:left w:val="none" w:sz="0" w:space="0" w:color="auto"/>
                    <w:bottom w:val="none" w:sz="0" w:space="0" w:color="auto"/>
                    <w:right w:val="none" w:sz="0" w:space="0" w:color="auto"/>
                  </w:divBdr>
                  <w:divsChild>
                    <w:div w:id="3426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129">
              <w:marLeft w:val="0"/>
              <w:marRight w:val="0"/>
              <w:marTop w:val="0"/>
              <w:marBottom w:val="0"/>
              <w:divBdr>
                <w:top w:val="none" w:sz="0" w:space="0" w:color="auto"/>
                <w:left w:val="none" w:sz="0" w:space="0" w:color="auto"/>
                <w:bottom w:val="none" w:sz="0" w:space="0" w:color="auto"/>
                <w:right w:val="none" w:sz="0" w:space="0" w:color="auto"/>
              </w:divBdr>
              <w:divsChild>
                <w:div w:id="178735741">
                  <w:marLeft w:val="0"/>
                  <w:marRight w:val="0"/>
                  <w:marTop w:val="0"/>
                  <w:marBottom w:val="0"/>
                  <w:divBdr>
                    <w:top w:val="none" w:sz="0" w:space="0" w:color="auto"/>
                    <w:left w:val="none" w:sz="0" w:space="0" w:color="auto"/>
                    <w:bottom w:val="none" w:sz="0" w:space="0" w:color="auto"/>
                    <w:right w:val="none" w:sz="0" w:space="0" w:color="auto"/>
                  </w:divBdr>
                  <w:divsChild>
                    <w:div w:id="1437016367">
                      <w:marLeft w:val="0"/>
                      <w:marRight w:val="0"/>
                      <w:marTop w:val="0"/>
                      <w:marBottom w:val="0"/>
                      <w:divBdr>
                        <w:top w:val="none" w:sz="0" w:space="0" w:color="auto"/>
                        <w:left w:val="none" w:sz="0" w:space="0" w:color="auto"/>
                        <w:bottom w:val="none" w:sz="0" w:space="0" w:color="auto"/>
                        <w:right w:val="none" w:sz="0" w:space="0" w:color="auto"/>
                      </w:divBdr>
                      <w:divsChild>
                        <w:div w:id="445390625">
                          <w:marLeft w:val="0"/>
                          <w:marRight w:val="0"/>
                          <w:marTop w:val="0"/>
                          <w:marBottom w:val="0"/>
                          <w:divBdr>
                            <w:top w:val="none" w:sz="0" w:space="0" w:color="auto"/>
                            <w:left w:val="none" w:sz="0" w:space="0" w:color="auto"/>
                            <w:bottom w:val="none" w:sz="0" w:space="0" w:color="auto"/>
                            <w:right w:val="none" w:sz="0" w:space="0" w:color="auto"/>
                          </w:divBdr>
                          <w:divsChild>
                            <w:div w:id="1618179047">
                              <w:marLeft w:val="0"/>
                              <w:marRight w:val="0"/>
                              <w:marTop w:val="0"/>
                              <w:marBottom w:val="0"/>
                              <w:divBdr>
                                <w:top w:val="none" w:sz="0" w:space="0" w:color="auto"/>
                                <w:left w:val="none" w:sz="0" w:space="0" w:color="auto"/>
                                <w:bottom w:val="none" w:sz="0" w:space="0" w:color="auto"/>
                                <w:right w:val="none" w:sz="0" w:space="0" w:color="auto"/>
                              </w:divBdr>
                              <w:divsChild>
                                <w:div w:id="10498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026914">
      <w:bodyDiv w:val="1"/>
      <w:marLeft w:val="0"/>
      <w:marRight w:val="0"/>
      <w:marTop w:val="0"/>
      <w:marBottom w:val="0"/>
      <w:divBdr>
        <w:top w:val="none" w:sz="0" w:space="0" w:color="auto"/>
        <w:left w:val="none" w:sz="0" w:space="0" w:color="auto"/>
        <w:bottom w:val="none" w:sz="0" w:space="0" w:color="auto"/>
        <w:right w:val="none" w:sz="0" w:space="0" w:color="auto"/>
      </w:divBdr>
    </w:div>
    <w:div w:id="469596642">
      <w:bodyDiv w:val="1"/>
      <w:marLeft w:val="0"/>
      <w:marRight w:val="0"/>
      <w:marTop w:val="0"/>
      <w:marBottom w:val="0"/>
      <w:divBdr>
        <w:top w:val="none" w:sz="0" w:space="0" w:color="auto"/>
        <w:left w:val="none" w:sz="0" w:space="0" w:color="auto"/>
        <w:bottom w:val="none" w:sz="0" w:space="0" w:color="auto"/>
        <w:right w:val="none" w:sz="0" w:space="0" w:color="auto"/>
      </w:divBdr>
    </w:div>
    <w:div w:id="482353678">
      <w:bodyDiv w:val="1"/>
      <w:marLeft w:val="0"/>
      <w:marRight w:val="0"/>
      <w:marTop w:val="0"/>
      <w:marBottom w:val="0"/>
      <w:divBdr>
        <w:top w:val="none" w:sz="0" w:space="0" w:color="auto"/>
        <w:left w:val="none" w:sz="0" w:space="0" w:color="auto"/>
        <w:bottom w:val="none" w:sz="0" w:space="0" w:color="auto"/>
        <w:right w:val="none" w:sz="0" w:space="0" w:color="auto"/>
      </w:divBdr>
    </w:div>
    <w:div w:id="604466149">
      <w:bodyDiv w:val="1"/>
      <w:marLeft w:val="0"/>
      <w:marRight w:val="0"/>
      <w:marTop w:val="0"/>
      <w:marBottom w:val="0"/>
      <w:divBdr>
        <w:top w:val="none" w:sz="0" w:space="0" w:color="auto"/>
        <w:left w:val="none" w:sz="0" w:space="0" w:color="auto"/>
        <w:bottom w:val="none" w:sz="0" w:space="0" w:color="auto"/>
        <w:right w:val="none" w:sz="0" w:space="0" w:color="auto"/>
      </w:divBdr>
      <w:divsChild>
        <w:div w:id="990597896">
          <w:marLeft w:val="0"/>
          <w:marRight w:val="0"/>
          <w:marTop w:val="0"/>
          <w:marBottom w:val="0"/>
          <w:divBdr>
            <w:top w:val="none" w:sz="0" w:space="0" w:color="auto"/>
            <w:left w:val="none" w:sz="0" w:space="0" w:color="auto"/>
            <w:bottom w:val="none" w:sz="0" w:space="0" w:color="auto"/>
            <w:right w:val="none" w:sz="0" w:space="0" w:color="auto"/>
          </w:divBdr>
          <w:divsChild>
            <w:div w:id="215511710">
              <w:marLeft w:val="0"/>
              <w:marRight w:val="0"/>
              <w:marTop w:val="0"/>
              <w:marBottom w:val="0"/>
              <w:divBdr>
                <w:top w:val="none" w:sz="0" w:space="0" w:color="auto"/>
                <w:left w:val="none" w:sz="0" w:space="0" w:color="auto"/>
                <w:bottom w:val="none" w:sz="0" w:space="0" w:color="auto"/>
                <w:right w:val="none" w:sz="0" w:space="0" w:color="auto"/>
              </w:divBdr>
            </w:div>
          </w:divsChild>
        </w:div>
        <w:div w:id="1787963716">
          <w:marLeft w:val="0"/>
          <w:marRight w:val="0"/>
          <w:marTop w:val="0"/>
          <w:marBottom w:val="0"/>
          <w:divBdr>
            <w:top w:val="none" w:sz="0" w:space="0" w:color="auto"/>
            <w:left w:val="none" w:sz="0" w:space="0" w:color="auto"/>
            <w:bottom w:val="none" w:sz="0" w:space="0" w:color="auto"/>
            <w:right w:val="none" w:sz="0" w:space="0" w:color="auto"/>
          </w:divBdr>
          <w:divsChild>
            <w:div w:id="8977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2004">
      <w:bodyDiv w:val="1"/>
      <w:marLeft w:val="0"/>
      <w:marRight w:val="0"/>
      <w:marTop w:val="0"/>
      <w:marBottom w:val="0"/>
      <w:divBdr>
        <w:top w:val="none" w:sz="0" w:space="0" w:color="auto"/>
        <w:left w:val="none" w:sz="0" w:space="0" w:color="auto"/>
        <w:bottom w:val="none" w:sz="0" w:space="0" w:color="auto"/>
        <w:right w:val="none" w:sz="0" w:space="0" w:color="auto"/>
      </w:divBdr>
    </w:div>
    <w:div w:id="663582930">
      <w:bodyDiv w:val="1"/>
      <w:marLeft w:val="0"/>
      <w:marRight w:val="0"/>
      <w:marTop w:val="0"/>
      <w:marBottom w:val="0"/>
      <w:divBdr>
        <w:top w:val="none" w:sz="0" w:space="0" w:color="auto"/>
        <w:left w:val="none" w:sz="0" w:space="0" w:color="auto"/>
        <w:bottom w:val="none" w:sz="0" w:space="0" w:color="auto"/>
        <w:right w:val="none" w:sz="0" w:space="0" w:color="auto"/>
      </w:divBdr>
    </w:div>
    <w:div w:id="679240083">
      <w:bodyDiv w:val="1"/>
      <w:marLeft w:val="0"/>
      <w:marRight w:val="0"/>
      <w:marTop w:val="0"/>
      <w:marBottom w:val="0"/>
      <w:divBdr>
        <w:top w:val="none" w:sz="0" w:space="0" w:color="auto"/>
        <w:left w:val="none" w:sz="0" w:space="0" w:color="auto"/>
        <w:bottom w:val="none" w:sz="0" w:space="0" w:color="auto"/>
        <w:right w:val="none" w:sz="0" w:space="0" w:color="auto"/>
      </w:divBdr>
    </w:div>
    <w:div w:id="707878962">
      <w:bodyDiv w:val="1"/>
      <w:marLeft w:val="0"/>
      <w:marRight w:val="0"/>
      <w:marTop w:val="0"/>
      <w:marBottom w:val="0"/>
      <w:divBdr>
        <w:top w:val="none" w:sz="0" w:space="0" w:color="auto"/>
        <w:left w:val="none" w:sz="0" w:space="0" w:color="auto"/>
        <w:bottom w:val="none" w:sz="0" w:space="0" w:color="auto"/>
        <w:right w:val="none" w:sz="0" w:space="0" w:color="auto"/>
      </w:divBdr>
    </w:div>
    <w:div w:id="908616655">
      <w:bodyDiv w:val="1"/>
      <w:marLeft w:val="0"/>
      <w:marRight w:val="0"/>
      <w:marTop w:val="0"/>
      <w:marBottom w:val="0"/>
      <w:divBdr>
        <w:top w:val="none" w:sz="0" w:space="0" w:color="auto"/>
        <w:left w:val="none" w:sz="0" w:space="0" w:color="auto"/>
        <w:bottom w:val="none" w:sz="0" w:space="0" w:color="auto"/>
        <w:right w:val="none" w:sz="0" w:space="0" w:color="auto"/>
      </w:divBdr>
    </w:div>
    <w:div w:id="989480815">
      <w:bodyDiv w:val="1"/>
      <w:marLeft w:val="0"/>
      <w:marRight w:val="0"/>
      <w:marTop w:val="0"/>
      <w:marBottom w:val="0"/>
      <w:divBdr>
        <w:top w:val="none" w:sz="0" w:space="0" w:color="auto"/>
        <w:left w:val="none" w:sz="0" w:space="0" w:color="auto"/>
        <w:bottom w:val="none" w:sz="0" w:space="0" w:color="auto"/>
        <w:right w:val="none" w:sz="0" w:space="0" w:color="auto"/>
      </w:divBdr>
    </w:div>
    <w:div w:id="1100376544">
      <w:bodyDiv w:val="1"/>
      <w:marLeft w:val="0"/>
      <w:marRight w:val="0"/>
      <w:marTop w:val="0"/>
      <w:marBottom w:val="0"/>
      <w:divBdr>
        <w:top w:val="none" w:sz="0" w:space="0" w:color="auto"/>
        <w:left w:val="none" w:sz="0" w:space="0" w:color="auto"/>
        <w:bottom w:val="none" w:sz="0" w:space="0" w:color="auto"/>
        <w:right w:val="none" w:sz="0" w:space="0" w:color="auto"/>
      </w:divBdr>
    </w:div>
    <w:div w:id="1165705168">
      <w:bodyDiv w:val="1"/>
      <w:marLeft w:val="0"/>
      <w:marRight w:val="0"/>
      <w:marTop w:val="0"/>
      <w:marBottom w:val="0"/>
      <w:divBdr>
        <w:top w:val="none" w:sz="0" w:space="0" w:color="auto"/>
        <w:left w:val="none" w:sz="0" w:space="0" w:color="auto"/>
        <w:bottom w:val="none" w:sz="0" w:space="0" w:color="auto"/>
        <w:right w:val="none" w:sz="0" w:space="0" w:color="auto"/>
      </w:divBdr>
    </w:div>
    <w:div w:id="11739119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364">
          <w:marLeft w:val="0"/>
          <w:marRight w:val="0"/>
          <w:marTop w:val="0"/>
          <w:marBottom w:val="0"/>
          <w:divBdr>
            <w:top w:val="none" w:sz="0" w:space="0" w:color="auto"/>
            <w:left w:val="none" w:sz="0" w:space="0" w:color="auto"/>
            <w:bottom w:val="none" w:sz="0" w:space="0" w:color="auto"/>
            <w:right w:val="none" w:sz="0" w:space="0" w:color="auto"/>
          </w:divBdr>
          <w:divsChild>
            <w:div w:id="999696092">
              <w:marLeft w:val="0"/>
              <w:marRight w:val="0"/>
              <w:marTop w:val="0"/>
              <w:marBottom w:val="0"/>
              <w:divBdr>
                <w:top w:val="none" w:sz="0" w:space="0" w:color="auto"/>
                <w:left w:val="none" w:sz="0" w:space="0" w:color="auto"/>
                <w:bottom w:val="none" w:sz="0" w:space="0" w:color="auto"/>
                <w:right w:val="none" w:sz="0" w:space="0" w:color="auto"/>
              </w:divBdr>
              <w:divsChild>
                <w:div w:id="1280188263">
                  <w:marLeft w:val="0"/>
                  <w:marRight w:val="0"/>
                  <w:marTop w:val="0"/>
                  <w:marBottom w:val="0"/>
                  <w:divBdr>
                    <w:top w:val="none" w:sz="0" w:space="0" w:color="auto"/>
                    <w:left w:val="none" w:sz="0" w:space="0" w:color="auto"/>
                    <w:bottom w:val="none" w:sz="0" w:space="0" w:color="auto"/>
                    <w:right w:val="none" w:sz="0" w:space="0" w:color="auto"/>
                  </w:divBdr>
                  <w:divsChild>
                    <w:div w:id="918443613">
                      <w:marLeft w:val="0"/>
                      <w:marRight w:val="0"/>
                      <w:marTop w:val="0"/>
                      <w:marBottom w:val="0"/>
                      <w:divBdr>
                        <w:top w:val="none" w:sz="0" w:space="0" w:color="auto"/>
                        <w:left w:val="none" w:sz="0" w:space="0" w:color="auto"/>
                        <w:bottom w:val="none" w:sz="0" w:space="0" w:color="auto"/>
                        <w:right w:val="none" w:sz="0" w:space="0" w:color="auto"/>
                      </w:divBdr>
                      <w:divsChild>
                        <w:div w:id="43068837">
                          <w:marLeft w:val="0"/>
                          <w:marRight w:val="0"/>
                          <w:marTop w:val="0"/>
                          <w:marBottom w:val="0"/>
                          <w:divBdr>
                            <w:top w:val="none" w:sz="0" w:space="0" w:color="auto"/>
                            <w:left w:val="none" w:sz="0" w:space="0" w:color="auto"/>
                            <w:bottom w:val="none" w:sz="0" w:space="0" w:color="auto"/>
                            <w:right w:val="none" w:sz="0" w:space="0" w:color="auto"/>
                          </w:divBdr>
                          <w:divsChild>
                            <w:div w:id="2055083466">
                              <w:marLeft w:val="0"/>
                              <w:marRight w:val="0"/>
                              <w:marTop w:val="0"/>
                              <w:marBottom w:val="0"/>
                              <w:divBdr>
                                <w:top w:val="none" w:sz="0" w:space="0" w:color="auto"/>
                                <w:left w:val="none" w:sz="0" w:space="0" w:color="auto"/>
                                <w:bottom w:val="none" w:sz="0" w:space="0" w:color="auto"/>
                                <w:right w:val="none" w:sz="0" w:space="0" w:color="auto"/>
                              </w:divBdr>
                              <w:divsChild>
                                <w:div w:id="887449801">
                                  <w:marLeft w:val="0"/>
                                  <w:marRight w:val="0"/>
                                  <w:marTop w:val="0"/>
                                  <w:marBottom w:val="0"/>
                                  <w:divBdr>
                                    <w:top w:val="none" w:sz="0" w:space="0" w:color="auto"/>
                                    <w:left w:val="none" w:sz="0" w:space="0" w:color="auto"/>
                                    <w:bottom w:val="none" w:sz="0" w:space="0" w:color="auto"/>
                                    <w:right w:val="none" w:sz="0" w:space="0" w:color="auto"/>
                                  </w:divBdr>
                                  <w:divsChild>
                                    <w:div w:id="2013877429">
                                      <w:marLeft w:val="0"/>
                                      <w:marRight w:val="0"/>
                                      <w:marTop w:val="0"/>
                                      <w:marBottom w:val="0"/>
                                      <w:divBdr>
                                        <w:top w:val="none" w:sz="0" w:space="0" w:color="auto"/>
                                        <w:left w:val="none" w:sz="0" w:space="0" w:color="auto"/>
                                        <w:bottom w:val="none" w:sz="0" w:space="0" w:color="auto"/>
                                        <w:right w:val="none" w:sz="0" w:space="0" w:color="auto"/>
                                      </w:divBdr>
                                      <w:divsChild>
                                        <w:div w:id="1295406109">
                                          <w:marLeft w:val="0"/>
                                          <w:marRight w:val="0"/>
                                          <w:marTop w:val="0"/>
                                          <w:marBottom w:val="0"/>
                                          <w:divBdr>
                                            <w:top w:val="none" w:sz="0" w:space="0" w:color="auto"/>
                                            <w:left w:val="none" w:sz="0" w:space="0" w:color="auto"/>
                                            <w:bottom w:val="none" w:sz="0" w:space="0" w:color="auto"/>
                                            <w:right w:val="none" w:sz="0" w:space="0" w:color="auto"/>
                                          </w:divBdr>
                                          <w:divsChild>
                                            <w:div w:id="14576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5959">
                                  <w:marLeft w:val="0"/>
                                  <w:marRight w:val="0"/>
                                  <w:marTop w:val="0"/>
                                  <w:marBottom w:val="0"/>
                                  <w:divBdr>
                                    <w:top w:val="none" w:sz="0" w:space="0" w:color="auto"/>
                                    <w:left w:val="none" w:sz="0" w:space="0" w:color="auto"/>
                                    <w:bottom w:val="none" w:sz="0" w:space="0" w:color="auto"/>
                                    <w:right w:val="none" w:sz="0" w:space="0" w:color="auto"/>
                                  </w:divBdr>
                                  <w:divsChild>
                                    <w:div w:id="20912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11749">
          <w:marLeft w:val="0"/>
          <w:marRight w:val="0"/>
          <w:marTop w:val="0"/>
          <w:marBottom w:val="0"/>
          <w:divBdr>
            <w:top w:val="none" w:sz="0" w:space="0" w:color="auto"/>
            <w:left w:val="none" w:sz="0" w:space="0" w:color="auto"/>
            <w:bottom w:val="none" w:sz="0" w:space="0" w:color="auto"/>
            <w:right w:val="none" w:sz="0" w:space="0" w:color="auto"/>
          </w:divBdr>
          <w:divsChild>
            <w:div w:id="472065048">
              <w:marLeft w:val="0"/>
              <w:marRight w:val="0"/>
              <w:marTop w:val="0"/>
              <w:marBottom w:val="0"/>
              <w:divBdr>
                <w:top w:val="none" w:sz="0" w:space="0" w:color="auto"/>
                <w:left w:val="none" w:sz="0" w:space="0" w:color="auto"/>
                <w:bottom w:val="none" w:sz="0" w:space="0" w:color="auto"/>
                <w:right w:val="none" w:sz="0" w:space="0" w:color="auto"/>
              </w:divBdr>
              <w:divsChild>
                <w:div w:id="1742173286">
                  <w:marLeft w:val="0"/>
                  <w:marRight w:val="0"/>
                  <w:marTop w:val="0"/>
                  <w:marBottom w:val="0"/>
                  <w:divBdr>
                    <w:top w:val="none" w:sz="0" w:space="0" w:color="auto"/>
                    <w:left w:val="none" w:sz="0" w:space="0" w:color="auto"/>
                    <w:bottom w:val="none" w:sz="0" w:space="0" w:color="auto"/>
                    <w:right w:val="none" w:sz="0" w:space="0" w:color="auto"/>
                  </w:divBdr>
                  <w:divsChild>
                    <w:div w:id="1707679725">
                      <w:marLeft w:val="0"/>
                      <w:marRight w:val="0"/>
                      <w:marTop w:val="0"/>
                      <w:marBottom w:val="0"/>
                      <w:divBdr>
                        <w:top w:val="none" w:sz="0" w:space="0" w:color="auto"/>
                        <w:left w:val="none" w:sz="0" w:space="0" w:color="auto"/>
                        <w:bottom w:val="none" w:sz="0" w:space="0" w:color="auto"/>
                        <w:right w:val="none" w:sz="0" w:space="0" w:color="auto"/>
                      </w:divBdr>
                      <w:divsChild>
                        <w:div w:id="839465957">
                          <w:marLeft w:val="0"/>
                          <w:marRight w:val="0"/>
                          <w:marTop w:val="0"/>
                          <w:marBottom w:val="0"/>
                          <w:divBdr>
                            <w:top w:val="none" w:sz="0" w:space="0" w:color="auto"/>
                            <w:left w:val="none" w:sz="0" w:space="0" w:color="auto"/>
                            <w:bottom w:val="none" w:sz="0" w:space="0" w:color="auto"/>
                            <w:right w:val="none" w:sz="0" w:space="0" w:color="auto"/>
                          </w:divBdr>
                          <w:divsChild>
                            <w:div w:id="406072518">
                              <w:marLeft w:val="0"/>
                              <w:marRight w:val="0"/>
                              <w:marTop w:val="0"/>
                              <w:marBottom w:val="0"/>
                              <w:divBdr>
                                <w:top w:val="none" w:sz="0" w:space="0" w:color="auto"/>
                                <w:left w:val="none" w:sz="0" w:space="0" w:color="auto"/>
                                <w:bottom w:val="none" w:sz="0" w:space="0" w:color="auto"/>
                                <w:right w:val="none" w:sz="0" w:space="0" w:color="auto"/>
                              </w:divBdr>
                              <w:divsChild>
                                <w:div w:id="1994554918">
                                  <w:marLeft w:val="0"/>
                                  <w:marRight w:val="0"/>
                                  <w:marTop w:val="0"/>
                                  <w:marBottom w:val="0"/>
                                  <w:divBdr>
                                    <w:top w:val="none" w:sz="0" w:space="0" w:color="auto"/>
                                    <w:left w:val="none" w:sz="0" w:space="0" w:color="auto"/>
                                    <w:bottom w:val="none" w:sz="0" w:space="0" w:color="auto"/>
                                    <w:right w:val="none" w:sz="0" w:space="0" w:color="auto"/>
                                  </w:divBdr>
                                  <w:divsChild>
                                    <w:div w:id="1930234590">
                                      <w:marLeft w:val="0"/>
                                      <w:marRight w:val="0"/>
                                      <w:marTop w:val="0"/>
                                      <w:marBottom w:val="0"/>
                                      <w:divBdr>
                                        <w:top w:val="none" w:sz="0" w:space="0" w:color="auto"/>
                                        <w:left w:val="none" w:sz="0" w:space="0" w:color="auto"/>
                                        <w:bottom w:val="none" w:sz="0" w:space="0" w:color="auto"/>
                                        <w:right w:val="none" w:sz="0" w:space="0" w:color="auto"/>
                                      </w:divBdr>
                                      <w:divsChild>
                                        <w:div w:id="888566702">
                                          <w:marLeft w:val="0"/>
                                          <w:marRight w:val="0"/>
                                          <w:marTop w:val="0"/>
                                          <w:marBottom w:val="0"/>
                                          <w:divBdr>
                                            <w:top w:val="none" w:sz="0" w:space="0" w:color="auto"/>
                                            <w:left w:val="none" w:sz="0" w:space="0" w:color="auto"/>
                                            <w:bottom w:val="none" w:sz="0" w:space="0" w:color="auto"/>
                                            <w:right w:val="none" w:sz="0" w:space="0" w:color="auto"/>
                                          </w:divBdr>
                                          <w:divsChild>
                                            <w:div w:id="1158839716">
                                              <w:marLeft w:val="0"/>
                                              <w:marRight w:val="0"/>
                                              <w:marTop w:val="0"/>
                                              <w:marBottom w:val="0"/>
                                              <w:divBdr>
                                                <w:top w:val="none" w:sz="0" w:space="0" w:color="auto"/>
                                                <w:left w:val="none" w:sz="0" w:space="0" w:color="auto"/>
                                                <w:bottom w:val="none" w:sz="0" w:space="0" w:color="auto"/>
                                                <w:right w:val="none" w:sz="0" w:space="0" w:color="auto"/>
                                              </w:divBdr>
                                              <w:divsChild>
                                                <w:div w:id="159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517607">
      <w:bodyDiv w:val="1"/>
      <w:marLeft w:val="0"/>
      <w:marRight w:val="0"/>
      <w:marTop w:val="0"/>
      <w:marBottom w:val="0"/>
      <w:divBdr>
        <w:top w:val="none" w:sz="0" w:space="0" w:color="auto"/>
        <w:left w:val="none" w:sz="0" w:space="0" w:color="auto"/>
        <w:bottom w:val="none" w:sz="0" w:space="0" w:color="auto"/>
        <w:right w:val="none" w:sz="0" w:space="0" w:color="auto"/>
      </w:divBdr>
      <w:divsChild>
        <w:div w:id="1941988258">
          <w:marLeft w:val="0"/>
          <w:marRight w:val="0"/>
          <w:marTop w:val="0"/>
          <w:marBottom w:val="0"/>
          <w:divBdr>
            <w:top w:val="none" w:sz="0" w:space="0" w:color="auto"/>
            <w:left w:val="none" w:sz="0" w:space="0" w:color="auto"/>
            <w:bottom w:val="none" w:sz="0" w:space="0" w:color="auto"/>
            <w:right w:val="none" w:sz="0" w:space="0" w:color="auto"/>
          </w:divBdr>
          <w:divsChild>
            <w:div w:id="1474325511">
              <w:marLeft w:val="0"/>
              <w:marRight w:val="0"/>
              <w:marTop w:val="0"/>
              <w:marBottom w:val="0"/>
              <w:divBdr>
                <w:top w:val="none" w:sz="0" w:space="0" w:color="auto"/>
                <w:left w:val="none" w:sz="0" w:space="0" w:color="auto"/>
                <w:bottom w:val="none" w:sz="0" w:space="0" w:color="auto"/>
                <w:right w:val="none" w:sz="0" w:space="0" w:color="auto"/>
              </w:divBdr>
              <w:divsChild>
                <w:div w:id="495000487">
                  <w:marLeft w:val="0"/>
                  <w:marRight w:val="0"/>
                  <w:marTop w:val="0"/>
                  <w:marBottom w:val="0"/>
                  <w:divBdr>
                    <w:top w:val="none" w:sz="0" w:space="0" w:color="auto"/>
                    <w:left w:val="none" w:sz="0" w:space="0" w:color="auto"/>
                    <w:bottom w:val="none" w:sz="0" w:space="0" w:color="auto"/>
                    <w:right w:val="none" w:sz="0" w:space="0" w:color="auto"/>
                  </w:divBdr>
                  <w:divsChild>
                    <w:div w:id="2003073870">
                      <w:marLeft w:val="0"/>
                      <w:marRight w:val="0"/>
                      <w:marTop w:val="0"/>
                      <w:marBottom w:val="0"/>
                      <w:divBdr>
                        <w:top w:val="none" w:sz="0" w:space="0" w:color="auto"/>
                        <w:left w:val="none" w:sz="0" w:space="0" w:color="auto"/>
                        <w:bottom w:val="none" w:sz="0" w:space="0" w:color="auto"/>
                        <w:right w:val="none" w:sz="0" w:space="0" w:color="auto"/>
                      </w:divBdr>
                      <w:divsChild>
                        <w:div w:id="1846285423">
                          <w:marLeft w:val="0"/>
                          <w:marRight w:val="0"/>
                          <w:marTop w:val="0"/>
                          <w:marBottom w:val="0"/>
                          <w:divBdr>
                            <w:top w:val="none" w:sz="0" w:space="0" w:color="auto"/>
                            <w:left w:val="none" w:sz="0" w:space="0" w:color="auto"/>
                            <w:bottom w:val="none" w:sz="0" w:space="0" w:color="auto"/>
                            <w:right w:val="none" w:sz="0" w:space="0" w:color="auto"/>
                          </w:divBdr>
                          <w:divsChild>
                            <w:div w:id="1224679122">
                              <w:marLeft w:val="0"/>
                              <w:marRight w:val="0"/>
                              <w:marTop w:val="0"/>
                              <w:marBottom w:val="0"/>
                              <w:divBdr>
                                <w:top w:val="none" w:sz="0" w:space="0" w:color="auto"/>
                                <w:left w:val="none" w:sz="0" w:space="0" w:color="auto"/>
                                <w:bottom w:val="none" w:sz="0" w:space="0" w:color="auto"/>
                                <w:right w:val="none" w:sz="0" w:space="0" w:color="auto"/>
                              </w:divBdr>
                              <w:divsChild>
                                <w:div w:id="1975867274">
                                  <w:marLeft w:val="0"/>
                                  <w:marRight w:val="0"/>
                                  <w:marTop w:val="0"/>
                                  <w:marBottom w:val="0"/>
                                  <w:divBdr>
                                    <w:top w:val="none" w:sz="0" w:space="0" w:color="auto"/>
                                    <w:left w:val="none" w:sz="0" w:space="0" w:color="auto"/>
                                    <w:bottom w:val="none" w:sz="0" w:space="0" w:color="auto"/>
                                    <w:right w:val="none" w:sz="0" w:space="0" w:color="auto"/>
                                  </w:divBdr>
                                  <w:divsChild>
                                    <w:div w:id="953947914">
                                      <w:marLeft w:val="0"/>
                                      <w:marRight w:val="0"/>
                                      <w:marTop w:val="0"/>
                                      <w:marBottom w:val="0"/>
                                      <w:divBdr>
                                        <w:top w:val="none" w:sz="0" w:space="0" w:color="auto"/>
                                        <w:left w:val="none" w:sz="0" w:space="0" w:color="auto"/>
                                        <w:bottom w:val="none" w:sz="0" w:space="0" w:color="auto"/>
                                        <w:right w:val="none" w:sz="0" w:space="0" w:color="auto"/>
                                      </w:divBdr>
                                      <w:divsChild>
                                        <w:div w:id="1271162265">
                                          <w:marLeft w:val="0"/>
                                          <w:marRight w:val="0"/>
                                          <w:marTop w:val="0"/>
                                          <w:marBottom w:val="0"/>
                                          <w:divBdr>
                                            <w:top w:val="none" w:sz="0" w:space="0" w:color="auto"/>
                                            <w:left w:val="none" w:sz="0" w:space="0" w:color="auto"/>
                                            <w:bottom w:val="none" w:sz="0" w:space="0" w:color="auto"/>
                                            <w:right w:val="none" w:sz="0" w:space="0" w:color="auto"/>
                                          </w:divBdr>
                                          <w:divsChild>
                                            <w:div w:id="183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393">
                                  <w:marLeft w:val="0"/>
                                  <w:marRight w:val="0"/>
                                  <w:marTop w:val="0"/>
                                  <w:marBottom w:val="0"/>
                                  <w:divBdr>
                                    <w:top w:val="none" w:sz="0" w:space="0" w:color="auto"/>
                                    <w:left w:val="none" w:sz="0" w:space="0" w:color="auto"/>
                                    <w:bottom w:val="none" w:sz="0" w:space="0" w:color="auto"/>
                                    <w:right w:val="none" w:sz="0" w:space="0" w:color="auto"/>
                                  </w:divBdr>
                                  <w:divsChild>
                                    <w:div w:id="20603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22643">
          <w:marLeft w:val="0"/>
          <w:marRight w:val="0"/>
          <w:marTop w:val="0"/>
          <w:marBottom w:val="0"/>
          <w:divBdr>
            <w:top w:val="none" w:sz="0" w:space="0" w:color="auto"/>
            <w:left w:val="none" w:sz="0" w:space="0" w:color="auto"/>
            <w:bottom w:val="none" w:sz="0" w:space="0" w:color="auto"/>
            <w:right w:val="none" w:sz="0" w:space="0" w:color="auto"/>
          </w:divBdr>
          <w:divsChild>
            <w:div w:id="416635906">
              <w:marLeft w:val="0"/>
              <w:marRight w:val="0"/>
              <w:marTop w:val="0"/>
              <w:marBottom w:val="0"/>
              <w:divBdr>
                <w:top w:val="none" w:sz="0" w:space="0" w:color="auto"/>
                <w:left w:val="none" w:sz="0" w:space="0" w:color="auto"/>
                <w:bottom w:val="none" w:sz="0" w:space="0" w:color="auto"/>
                <w:right w:val="none" w:sz="0" w:space="0" w:color="auto"/>
              </w:divBdr>
              <w:divsChild>
                <w:div w:id="372510591">
                  <w:marLeft w:val="0"/>
                  <w:marRight w:val="0"/>
                  <w:marTop w:val="0"/>
                  <w:marBottom w:val="0"/>
                  <w:divBdr>
                    <w:top w:val="none" w:sz="0" w:space="0" w:color="auto"/>
                    <w:left w:val="none" w:sz="0" w:space="0" w:color="auto"/>
                    <w:bottom w:val="none" w:sz="0" w:space="0" w:color="auto"/>
                    <w:right w:val="none" w:sz="0" w:space="0" w:color="auto"/>
                  </w:divBdr>
                  <w:divsChild>
                    <w:div w:id="1894854603">
                      <w:marLeft w:val="0"/>
                      <w:marRight w:val="0"/>
                      <w:marTop w:val="0"/>
                      <w:marBottom w:val="0"/>
                      <w:divBdr>
                        <w:top w:val="none" w:sz="0" w:space="0" w:color="auto"/>
                        <w:left w:val="none" w:sz="0" w:space="0" w:color="auto"/>
                        <w:bottom w:val="none" w:sz="0" w:space="0" w:color="auto"/>
                        <w:right w:val="none" w:sz="0" w:space="0" w:color="auto"/>
                      </w:divBdr>
                      <w:divsChild>
                        <w:div w:id="308435884">
                          <w:marLeft w:val="0"/>
                          <w:marRight w:val="0"/>
                          <w:marTop w:val="0"/>
                          <w:marBottom w:val="0"/>
                          <w:divBdr>
                            <w:top w:val="none" w:sz="0" w:space="0" w:color="auto"/>
                            <w:left w:val="none" w:sz="0" w:space="0" w:color="auto"/>
                            <w:bottom w:val="none" w:sz="0" w:space="0" w:color="auto"/>
                            <w:right w:val="none" w:sz="0" w:space="0" w:color="auto"/>
                          </w:divBdr>
                          <w:divsChild>
                            <w:div w:id="836919426">
                              <w:marLeft w:val="0"/>
                              <w:marRight w:val="0"/>
                              <w:marTop w:val="0"/>
                              <w:marBottom w:val="0"/>
                              <w:divBdr>
                                <w:top w:val="none" w:sz="0" w:space="0" w:color="auto"/>
                                <w:left w:val="none" w:sz="0" w:space="0" w:color="auto"/>
                                <w:bottom w:val="none" w:sz="0" w:space="0" w:color="auto"/>
                                <w:right w:val="none" w:sz="0" w:space="0" w:color="auto"/>
                              </w:divBdr>
                              <w:divsChild>
                                <w:div w:id="2025787698">
                                  <w:marLeft w:val="0"/>
                                  <w:marRight w:val="0"/>
                                  <w:marTop w:val="0"/>
                                  <w:marBottom w:val="0"/>
                                  <w:divBdr>
                                    <w:top w:val="none" w:sz="0" w:space="0" w:color="auto"/>
                                    <w:left w:val="none" w:sz="0" w:space="0" w:color="auto"/>
                                    <w:bottom w:val="none" w:sz="0" w:space="0" w:color="auto"/>
                                    <w:right w:val="none" w:sz="0" w:space="0" w:color="auto"/>
                                  </w:divBdr>
                                  <w:divsChild>
                                    <w:div w:id="754286380">
                                      <w:marLeft w:val="0"/>
                                      <w:marRight w:val="0"/>
                                      <w:marTop w:val="0"/>
                                      <w:marBottom w:val="0"/>
                                      <w:divBdr>
                                        <w:top w:val="none" w:sz="0" w:space="0" w:color="auto"/>
                                        <w:left w:val="none" w:sz="0" w:space="0" w:color="auto"/>
                                        <w:bottom w:val="none" w:sz="0" w:space="0" w:color="auto"/>
                                        <w:right w:val="none" w:sz="0" w:space="0" w:color="auto"/>
                                      </w:divBdr>
                                      <w:divsChild>
                                        <w:div w:id="806510893">
                                          <w:marLeft w:val="0"/>
                                          <w:marRight w:val="0"/>
                                          <w:marTop w:val="0"/>
                                          <w:marBottom w:val="0"/>
                                          <w:divBdr>
                                            <w:top w:val="none" w:sz="0" w:space="0" w:color="auto"/>
                                            <w:left w:val="none" w:sz="0" w:space="0" w:color="auto"/>
                                            <w:bottom w:val="none" w:sz="0" w:space="0" w:color="auto"/>
                                            <w:right w:val="none" w:sz="0" w:space="0" w:color="auto"/>
                                          </w:divBdr>
                                          <w:divsChild>
                                            <w:div w:id="753010116">
                                              <w:marLeft w:val="0"/>
                                              <w:marRight w:val="0"/>
                                              <w:marTop w:val="0"/>
                                              <w:marBottom w:val="0"/>
                                              <w:divBdr>
                                                <w:top w:val="none" w:sz="0" w:space="0" w:color="auto"/>
                                                <w:left w:val="none" w:sz="0" w:space="0" w:color="auto"/>
                                                <w:bottom w:val="none" w:sz="0" w:space="0" w:color="auto"/>
                                                <w:right w:val="none" w:sz="0" w:space="0" w:color="auto"/>
                                              </w:divBdr>
                                              <w:divsChild>
                                                <w:div w:id="15425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654512">
      <w:bodyDiv w:val="1"/>
      <w:marLeft w:val="0"/>
      <w:marRight w:val="0"/>
      <w:marTop w:val="0"/>
      <w:marBottom w:val="0"/>
      <w:divBdr>
        <w:top w:val="none" w:sz="0" w:space="0" w:color="auto"/>
        <w:left w:val="none" w:sz="0" w:space="0" w:color="auto"/>
        <w:bottom w:val="none" w:sz="0" w:space="0" w:color="auto"/>
        <w:right w:val="none" w:sz="0" w:space="0" w:color="auto"/>
      </w:divBdr>
      <w:divsChild>
        <w:div w:id="577331107">
          <w:marLeft w:val="0"/>
          <w:marRight w:val="0"/>
          <w:marTop w:val="0"/>
          <w:marBottom w:val="0"/>
          <w:divBdr>
            <w:top w:val="none" w:sz="0" w:space="0" w:color="auto"/>
            <w:left w:val="none" w:sz="0" w:space="0" w:color="auto"/>
            <w:bottom w:val="none" w:sz="0" w:space="0" w:color="auto"/>
            <w:right w:val="none" w:sz="0" w:space="0" w:color="auto"/>
          </w:divBdr>
          <w:divsChild>
            <w:div w:id="564410670">
              <w:marLeft w:val="0"/>
              <w:marRight w:val="0"/>
              <w:marTop w:val="0"/>
              <w:marBottom w:val="0"/>
              <w:divBdr>
                <w:top w:val="none" w:sz="0" w:space="0" w:color="auto"/>
                <w:left w:val="none" w:sz="0" w:space="0" w:color="auto"/>
                <w:bottom w:val="none" w:sz="0" w:space="0" w:color="auto"/>
                <w:right w:val="none" w:sz="0" w:space="0" w:color="auto"/>
              </w:divBdr>
            </w:div>
          </w:divsChild>
        </w:div>
        <w:div w:id="1054309788">
          <w:marLeft w:val="0"/>
          <w:marRight w:val="0"/>
          <w:marTop w:val="0"/>
          <w:marBottom w:val="0"/>
          <w:divBdr>
            <w:top w:val="none" w:sz="0" w:space="0" w:color="auto"/>
            <w:left w:val="none" w:sz="0" w:space="0" w:color="auto"/>
            <w:bottom w:val="none" w:sz="0" w:space="0" w:color="auto"/>
            <w:right w:val="none" w:sz="0" w:space="0" w:color="auto"/>
          </w:divBdr>
          <w:divsChild>
            <w:div w:id="1647467818">
              <w:marLeft w:val="0"/>
              <w:marRight w:val="0"/>
              <w:marTop w:val="0"/>
              <w:marBottom w:val="0"/>
              <w:divBdr>
                <w:top w:val="none" w:sz="0" w:space="0" w:color="auto"/>
                <w:left w:val="none" w:sz="0" w:space="0" w:color="auto"/>
                <w:bottom w:val="none" w:sz="0" w:space="0" w:color="auto"/>
                <w:right w:val="none" w:sz="0" w:space="0" w:color="auto"/>
              </w:divBdr>
            </w:div>
          </w:divsChild>
        </w:div>
        <w:div w:id="935555732">
          <w:marLeft w:val="0"/>
          <w:marRight w:val="0"/>
          <w:marTop w:val="0"/>
          <w:marBottom w:val="0"/>
          <w:divBdr>
            <w:top w:val="none" w:sz="0" w:space="0" w:color="auto"/>
            <w:left w:val="none" w:sz="0" w:space="0" w:color="auto"/>
            <w:bottom w:val="none" w:sz="0" w:space="0" w:color="auto"/>
            <w:right w:val="none" w:sz="0" w:space="0" w:color="auto"/>
          </w:divBdr>
          <w:divsChild>
            <w:div w:id="20049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963">
      <w:bodyDiv w:val="1"/>
      <w:marLeft w:val="0"/>
      <w:marRight w:val="0"/>
      <w:marTop w:val="0"/>
      <w:marBottom w:val="0"/>
      <w:divBdr>
        <w:top w:val="none" w:sz="0" w:space="0" w:color="auto"/>
        <w:left w:val="none" w:sz="0" w:space="0" w:color="auto"/>
        <w:bottom w:val="none" w:sz="0" w:space="0" w:color="auto"/>
        <w:right w:val="none" w:sz="0" w:space="0" w:color="auto"/>
      </w:divBdr>
    </w:div>
    <w:div w:id="1430084345">
      <w:bodyDiv w:val="1"/>
      <w:marLeft w:val="0"/>
      <w:marRight w:val="0"/>
      <w:marTop w:val="0"/>
      <w:marBottom w:val="0"/>
      <w:divBdr>
        <w:top w:val="none" w:sz="0" w:space="0" w:color="auto"/>
        <w:left w:val="none" w:sz="0" w:space="0" w:color="auto"/>
        <w:bottom w:val="none" w:sz="0" w:space="0" w:color="auto"/>
        <w:right w:val="none" w:sz="0" w:space="0" w:color="auto"/>
      </w:divBdr>
    </w:div>
    <w:div w:id="1519467887">
      <w:bodyDiv w:val="1"/>
      <w:marLeft w:val="0"/>
      <w:marRight w:val="0"/>
      <w:marTop w:val="0"/>
      <w:marBottom w:val="0"/>
      <w:divBdr>
        <w:top w:val="none" w:sz="0" w:space="0" w:color="auto"/>
        <w:left w:val="none" w:sz="0" w:space="0" w:color="auto"/>
        <w:bottom w:val="none" w:sz="0" w:space="0" w:color="auto"/>
        <w:right w:val="none" w:sz="0" w:space="0" w:color="auto"/>
      </w:divBdr>
    </w:div>
    <w:div w:id="1653873884">
      <w:bodyDiv w:val="1"/>
      <w:marLeft w:val="0"/>
      <w:marRight w:val="0"/>
      <w:marTop w:val="0"/>
      <w:marBottom w:val="0"/>
      <w:divBdr>
        <w:top w:val="none" w:sz="0" w:space="0" w:color="auto"/>
        <w:left w:val="none" w:sz="0" w:space="0" w:color="auto"/>
        <w:bottom w:val="none" w:sz="0" w:space="0" w:color="auto"/>
        <w:right w:val="none" w:sz="0" w:space="0" w:color="auto"/>
      </w:divBdr>
    </w:div>
    <w:div w:id="1663194457">
      <w:bodyDiv w:val="1"/>
      <w:marLeft w:val="0"/>
      <w:marRight w:val="0"/>
      <w:marTop w:val="0"/>
      <w:marBottom w:val="0"/>
      <w:divBdr>
        <w:top w:val="none" w:sz="0" w:space="0" w:color="auto"/>
        <w:left w:val="none" w:sz="0" w:space="0" w:color="auto"/>
        <w:bottom w:val="none" w:sz="0" w:space="0" w:color="auto"/>
        <w:right w:val="none" w:sz="0" w:space="0" w:color="auto"/>
      </w:divBdr>
      <w:divsChild>
        <w:div w:id="960913990">
          <w:marLeft w:val="0"/>
          <w:marRight w:val="0"/>
          <w:marTop w:val="0"/>
          <w:marBottom w:val="0"/>
          <w:divBdr>
            <w:top w:val="none" w:sz="0" w:space="0" w:color="auto"/>
            <w:left w:val="none" w:sz="0" w:space="0" w:color="auto"/>
            <w:bottom w:val="none" w:sz="0" w:space="0" w:color="auto"/>
            <w:right w:val="none" w:sz="0" w:space="0" w:color="auto"/>
          </w:divBdr>
          <w:divsChild>
            <w:div w:id="754323335">
              <w:marLeft w:val="0"/>
              <w:marRight w:val="0"/>
              <w:marTop w:val="0"/>
              <w:marBottom w:val="0"/>
              <w:divBdr>
                <w:top w:val="none" w:sz="0" w:space="0" w:color="auto"/>
                <w:left w:val="none" w:sz="0" w:space="0" w:color="auto"/>
                <w:bottom w:val="none" w:sz="0" w:space="0" w:color="auto"/>
                <w:right w:val="none" w:sz="0" w:space="0" w:color="auto"/>
              </w:divBdr>
              <w:divsChild>
                <w:div w:id="1381050956">
                  <w:marLeft w:val="0"/>
                  <w:marRight w:val="0"/>
                  <w:marTop w:val="0"/>
                  <w:marBottom w:val="0"/>
                  <w:divBdr>
                    <w:top w:val="none" w:sz="0" w:space="0" w:color="auto"/>
                    <w:left w:val="none" w:sz="0" w:space="0" w:color="auto"/>
                    <w:bottom w:val="none" w:sz="0" w:space="0" w:color="auto"/>
                    <w:right w:val="none" w:sz="0" w:space="0" w:color="auto"/>
                  </w:divBdr>
                  <w:divsChild>
                    <w:div w:id="277950006">
                      <w:marLeft w:val="0"/>
                      <w:marRight w:val="0"/>
                      <w:marTop w:val="0"/>
                      <w:marBottom w:val="0"/>
                      <w:divBdr>
                        <w:top w:val="none" w:sz="0" w:space="0" w:color="auto"/>
                        <w:left w:val="none" w:sz="0" w:space="0" w:color="auto"/>
                        <w:bottom w:val="none" w:sz="0" w:space="0" w:color="auto"/>
                        <w:right w:val="none" w:sz="0" w:space="0" w:color="auto"/>
                      </w:divBdr>
                      <w:divsChild>
                        <w:div w:id="623195861">
                          <w:marLeft w:val="0"/>
                          <w:marRight w:val="0"/>
                          <w:marTop w:val="0"/>
                          <w:marBottom w:val="0"/>
                          <w:divBdr>
                            <w:top w:val="none" w:sz="0" w:space="0" w:color="auto"/>
                            <w:left w:val="none" w:sz="0" w:space="0" w:color="auto"/>
                            <w:bottom w:val="none" w:sz="0" w:space="0" w:color="auto"/>
                            <w:right w:val="none" w:sz="0" w:space="0" w:color="auto"/>
                          </w:divBdr>
                          <w:divsChild>
                            <w:div w:id="465045272">
                              <w:marLeft w:val="0"/>
                              <w:marRight w:val="0"/>
                              <w:marTop w:val="0"/>
                              <w:marBottom w:val="0"/>
                              <w:divBdr>
                                <w:top w:val="none" w:sz="0" w:space="0" w:color="auto"/>
                                <w:left w:val="none" w:sz="0" w:space="0" w:color="auto"/>
                                <w:bottom w:val="none" w:sz="0" w:space="0" w:color="auto"/>
                                <w:right w:val="none" w:sz="0" w:space="0" w:color="auto"/>
                              </w:divBdr>
                              <w:divsChild>
                                <w:div w:id="19696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359838">
          <w:marLeft w:val="0"/>
          <w:marRight w:val="0"/>
          <w:marTop w:val="0"/>
          <w:marBottom w:val="0"/>
          <w:divBdr>
            <w:top w:val="none" w:sz="0" w:space="0" w:color="auto"/>
            <w:left w:val="none" w:sz="0" w:space="0" w:color="auto"/>
            <w:bottom w:val="none" w:sz="0" w:space="0" w:color="auto"/>
            <w:right w:val="none" w:sz="0" w:space="0" w:color="auto"/>
          </w:divBdr>
          <w:divsChild>
            <w:div w:id="2032949262">
              <w:marLeft w:val="0"/>
              <w:marRight w:val="0"/>
              <w:marTop w:val="0"/>
              <w:marBottom w:val="0"/>
              <w:divBdr>
                <w:top w:val="none" w:sz="0" w:space="0" w:color="auto"/>
                <w:left w:val="none" w:sz="0" w:space="0" w:color="auto"/>
                <w:bottom w:val="none" w:sz="0" w:space="0" w:color="auto"/>
                <w:right w:val="none" w:sz="0" w:space="0" w:color="auto"/>
              </w:divBdr>
              <w:divsChild>
                <w:div w:id="1291013212">
                  <w:marLeft w:val="0"/>
                  <w:marRight w:val="0"/>
                  <w:marTop w:val="0"/>
                  <w:marBottom w:val="0"/>
                  <w:divBdr>
                    <w:top w:val="none" w:sz="0" w:space="0" w:color="auto"/>
                    <w:left w:val="none" w:sz="0" w:space="0" w:color="auto"/>
                    <w:bottom w:val="none" w:sz="0" w:space="0" w:color="auto"/>
                    <w:right w:val="none" w:sz="0" w:space="0" w:color="auto"/>
                  </w:divBdr>
                  <w:divsChild>
                    <w:div w:id="13027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8170">
              <w:marLeft w:val="0"/>
              <w:marRight w:val="0"/>
              <w:marTop w:val="0"/>
              <w:marBottom w:val="0"/>
              <w:divBdr>
                <w:top w:val="none" w:sz="0" w:space="0" w:color="auto"/>
                <w:left w:val="none" w:sz="0" w:space="0" w:color="auto"/>
                <w:bottom w:val="none" w:sz="0" w:space="0" w:color="auto"/>
                <w:right w:val="none" w:sz="0" w:space="0" w:color="auto"/>
              </w:divBdr>
              <w:divsChild>
                <w:div w:id="2128312839">
                  <w:marLeft w:val="0"/>
                  <w:marRight w:val="0"/>
                  <w:marTop w:val="0"/>
                  <w:marBottom w:val="0"/>
                  <w:divBdr>
                    <w:top w:val="none" w:sz="0" w:space="0" w:color="auto"/>
                    <w:left w:val="none" w:sz="0" w:space="0" w:color="auto"/>
                    <w:bottom w:val="none" w:sz="0" w:space="0" w:color="auto"/>
                    <w:right w:val="none" w:sz="0" w:space="0" w:color="auto"/>
                  </w:divBdr>
                  <w:divsChild>
                    <w:div w:id="1772702225">
                      <w:marLeft w:val="0"/>
                      <w:marRight w:val="0"/>
                      <w:marTop w:val="0"/>
                      <w:marBottom w:val="0"/>
                      <w:divBdr>
                        <w:top w:val="none" w:sz="0" w:space="0" w:color="auto"/>
                        <w:left w:val="none" w:sz="0" w:space="0" w:color="auto"/>
                        <w:bottom w:val="none" w:sz="0" w:space="0" w:color="auto"/>
                        <w:right w:val="none" w:sz="0" w:space="0" w:color="auto"/>
                      </w:divBdr>
                      <w:divsChild>
                        <w:div w:id="321741100">
                          <w:marLeft w:val="0"/>
                          <w:marRight w:val="0"/>
                          <w:marTop w:val="0"/>
                          <w:marBottom w:val="0"/>
                          <w:divBdr>
                            <w:top w:val="none" w:sz="0" w:space="0" w:color="auto"/>
                            <w:left w:val="none" w:sz="0" w:space="0" w:color="auto"/>
                            <w:bottom w:val="none" w:sz="0" w:space="0" w:color="auto"/>
                            <w:right w:val="none" w:sz="0" w:space="0" w:color="auto"/>
                          </w:divBdr>
                          <w:divsChild>
                            <w:div w:id="2011256848">
                              <w:marLeft w:val="0"/>
                              <w:marRight w:val="0"/>
                              <w:marTop w:val="0"/>
                              <w:marBottom w:val="0"/>
                              <w:divBdr>
                                <w:top w:val="none" w:sz="0" w:space="0" w:color="auto"/>
                                <w:left w:val="none" w:sz="0" w:space="0" w:color="auto"/>
                                <w:bottom w:val="none" w:sz="0" w:space="0" w:color="auto"/>
                                <w:right w:val="none" w:sz="0" w:space="0" w:color="auto"/>
                              </w:divBdr>
                              <w:divsChild>
                                <w:div w:id="12873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4662">
      <w:bodyDiv w:val="1"/>
      <w:marLeft w:val="0"/>
      <w:marRight w:val="0"/>
      <w:marTop w:val="0"/>
      <w:marBottom w:val="0"/>
      <w:divBdr>
        <w:top w:val="none" w:sz="0" w:space="0" w:color="auto"/>
        <w:left w:val="none" w:sz="0" w:space="0" w:color="auto"/>
        <w:bottom w:val="none" w:sz="0" w:space="0" w:color="auto"/>
        <w:right w:val="none" w:sz="0" w:space="0" w:color="auto"/>
      </w:divBdr>
      <w:divsChild>
        <w:div w:id="1092241271">
          <w:marLeft w:val="0"/>
          <w:marRight w:val="0"/>
          <w:marTop w:val="0"/>
          <w:marBottom w:val="0"/>
          <w:divBdr>
            <w:top w:val="none" w:sz="0" w:space="0" w:color="auto"/>
            <w:left w:val="none" w:sz="0" w:space="0" w:color="auto"/>
            <w:bottom w:val="none" w:sz="0" w:space="0" w:color="auto"/>
            <w:right w:val="none" w:sz="0" w:space="0" w:color="auto"/>
          </w:divBdr>
          <w:divsChild>
            <w:div w:id="1318262193">
              <w:marLeft w:val="0"/>
              <w:marRight w:val="0"/>
              <w:marTop w:val="0"/>
              <w:marBottom w:val="0"/>
              <w:divBdr>
                <w:top w:val="none" w:sz="0" w:space="0" w:color="auto"/>
                <w:left w:val="none" w:sz="0" w:space="0" w:color="auto"/>
                <w:bottom w:val="none" w:sz="0" w:space="0" w:color="auto"/>
                <w:right w:val="none" w:sz="0" w:space="0" w:color="auto"/>
              </w:divBdr>
            </w:div>
          </w:divsChild>
        </w:div>
        <w:div w:id="284819909">
          <w:marLeft w:val="0"/>
          <w:marRight w:val="0"/>
          <w:marTop w:val="0"/>
          <w:marBottom w:val="0"/>
          <w:divBdr>
            <w:top w:val="none" w:sz="0" w:space="0" w:color="auto"/>
            <w:left w:val="none" w:sz="0" w:space="0" w:color="auto"/>
            <w:bottom w:val="none" w:sz="0" w:space="0" w:color="auto"/>
            <w:right w:val="none" w:sz="0" w:space="0" w:color="auto"/>
          </w:divBdr>
          <w:divsChild>
            <w:div w:id="1504201090">
              <w:marLeft w:val="0"/>
              <w:marRight w:val="0"/>
              <w:marTop w:val="0"/>
              <w:marBottom w:val="0"/>
              <w:divBdr>
                <w:top w:val="none" w:sz="0" w:space="0" w:color="auto"/>
                <w:left w:val="none" w:sz="0" w:space="0" w:color="auto"/>
                <w:bottom w:val="none" w:sz="0" w:space="0" w:color="auto"/>
                <w:right w:val="none" w:sz="0" w:space="0" w:color="auto"/>
              </w:divBdr>
            </w:div>
          </w:divsChild>
        </w:div>
        <w:div w:id="323702362">
          <w:marLeft w:val="0"/>
          <w:marRight w:val="0"/>
          <w:marTop w:val="0"/>
          <w:marBottom w:val="0"/>
          <w:divBdr>
            <w:top w:val="none" w:sz="0" w:space="0" w:color="auto"/>
            <w:left w:val="none" w:sz="0" w:space="0" w:color="auto"/>
            <w:bottom w:val="none" w:sz="0" w:space="0" w:color="auto"/>
            <w:right w:val="none" w:sz="0" w:space="0" w:color="auto"/>
          </w:divBdr>
          <w:divsChild>
            <w:div w:id="155807882">
              <w:marLeft w:val="0"/>
              <w:marRight w:val="0"/>
              <w:marTop w:val="0"/>
              <w:marBottom w:val="0"/>
              <w:divBdr>
                <w:top w:val="none" w:sz="0" w:space="0" w:color="auto"/>
                <w:left w:val="none" w:sz="0" w:space="0" w:color="auto"/>
                <w:bottom w:val="none" w:sz="0" w:space="0" w:color="auto"/>
                <w:right w:val="none" w:sz="0" w:space="0" w:color="auto"/>
              </w:divBdr>
            </w:div>
          </w:divsChild>
        </w:div>
        <w:div w:id="899751937">
          <w:marLeft w:val="0"/>
          <w:marRight w:val="0"/>
          <w:marTop w:val="0"/>
          <w:marBottom w:val="0"/>
          <w:divBdr>
            <w:top w:val="none" w:sz="0" w:space="0" w:color="auto"/>
            <w:left w:val="none" w:sz="0" w:space="0" w:color="auto"/>
            <w:bottom w:val="none" w:sz="0" w:space="0" w:color="auto"/>
            <w:right w:val="none" w:sz="0" w:space="0" w:color="auto"/>
          </w:divBdr>
          <w:divsChild>
            <w:div w:id="1348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988">
      <w:bodyDiv w:val="1"/>
      <w:marLeft w:val="0"/>
      <w:marRight w:val="0"/>
      <w:marTop w:val="0"/>
      <w:marBottom w:val="0"/>
      <w:divBdr>
        <w:top w:val="none" w:sz="0" w:space="0" w:color="auto"/>
        <w:left w:val="none" w:sz="0" w:space="0" w:color="auto"/>
        <w:bottom w:val="none" w:sz="0" w:space="0" w:color="auto"/>
        <w:right w:val="none" w:sz="0" w:space="0" w:color="auto"/>
      </w:divBdr>
      <w:divsChild>
        <w:div w:id="828254509">
          <w:marLeft w:val="0"/>
          <w:marRight w:val="0"/>
          <w:marTop w:val="0"/>
          <w:marBottom w:val="0"/>
          <w:divBdr>
            <w:top w:val="none" w:sz="0" w:space="0" w:color="auto"/>
            <w:left w:val="none" w:sz="0" w:space="0" w:color="auto"/>
            <w:bottom w:val="none" w:sz="0" w:space="0" w:color="auto"/>
            <w:right w:val="none" w:sz="0" w:space="0" w:color="auto"/>
          </w:divBdr>
          <w:divsChild>
            <w:div w:id="868764875">
              <w:marLeft w:val="0"/>
              <w:marRight w:val="0"/>
              <w:marTop w:val="0"/>
              <w:marBottom w:val="0"/>
              <w:divBdr>
                <w:top w:val="none" w:sz="0" w:space="0" w:color="auto"/>
                <w:left w:val="none" w:sz="0" w:space="0" w:color="auto"/>
                <w:bottom w:val="none" w:sz="0" w:space="0" w:color="auto"/>
                <w:right w:val="none" w:sz="0" w:space="0" w:color="auto"/>
              </w:divBdr>
            </w:div>
          </w:divsChild>
        </w:div>
        <w:div w:id="1426729676">
          <w:marLeft w:val="0"/>
          <w:marRight w:val="0"/>
          <w:marTop w:val="0"/>
          <w:marBottom w:val="0"/>
          <w:divBdr>
            <w:top w:val="none" w:sz="0" w:space="0" w:color="auto"/>
            <w:left w:val="none" w:sz="0" w:space="0" w:color="auto"/>
            <w:bottom w:val="none" w:sz="0" w:space="0" w:color="auto"/>
            <w:right w:val="none" w:sz="0" w:space="0" w:color="auto"/>
          </w:divBdr>
          <w:divsChild>
            <w:div w:id="491146081">
              <w:marLeft w:val="0"/>
              <w:marRight w:val="0"/>
              <w:marTop w:val="0"/>
              <w:marBottom w:val="0"/>
              <w:divBdr>
                <w:top w:val="none" w:sz="0" w:space="0" w:color="auto"/>
                <w:left w:val="none" w:sz="0" w:space="0" w:color="auto"/>
                <w:bottom w:val="none" w:sz="0" w:space="0" w:color="auto"/>
                <w:right w:val="none" w:sz="0" w:space="0" w:color="auto"/>
              </w:divBdr>
            </w:div>
          </w:divsChild>
        </w:div>
        <w:div w:id="1671984380">
          <w:marLeft w:val="0"/>
          <w:marRight w:val="0"/>
          <w:marTop w:val="0"/>
          <w:marBottom w:val="0"/>
          <w:divBdr>
            <w:top w:val="none" w:sz="0" w:space="0" w:color="auto"/>
            <w:left w:val="none" w:sz="0" w:space="0" w:color="auto"/>
            <w:bottom w:val="none" w:sz="0" w:space="0" w:color="auto"/>
            <w:right w:val="none" w:sz="0" w:space="0" w:color="auto"/>
          </w:divBdr>
          <w:divsChild>
            <w:div w:id="441539256">
              <w:marLeft w:val="0"/>
              <w:marRight w:val="0"/>
              <w:marTop w:val="0"/>
              <w:marBottom w:val="0"/>
              <w:divBdr>
                <w:top w:val="none" w:sz="0" w:space="0" w:color="auto"/>
                <w:left w:val="none" w:sz="0" w:space="0" w:color="auto"/>
                <w:bottom w:val="none" w:sz="0" w:space="0" w:color="auto"/>
                <w:right w:val="none" w:sz="0" w:space="0" w:color="auto"/>
              </w:divBdr>
            </w:div>
          </w:divsChild>
        </w:div>
        <w:div w:id="1325888131">
          <w:marLeft w:val="0"/>
          <w:marRight w:val="0"/>
          <w:marTop w:val="0"/>
          <w:marBottom w:val="0"/>
          <w:divBdr>
            <w:top w:val="none" w:sz="0" w:space="0" w:color="auto"/>
            <w:left w:val="none" w:sz="0" w:space="0" w:color="auto"/>
            <w:bottom w:val="none" w:sz="0" w:space="0" w:color="auto"/>
            <w:right w:val="none" w:sz="0" w:space="0" w:color="auto"/>
          </w:divBdr>
          <w:divsChild>
            <w:div w:id="11946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587">
      <w:bodyDiv w:val="1"/>
      <w:marLeft w:val="0"/>
      <w:marRight w:val="0"/>
      <w:marTop w:val="0"/>
      <w:marBottom w:val="0"/>
      <w:divBdr>
        <w:top w:val="none" w:sz="0" w:space="0" w:color="auto"/>
        <w:left w:val="none" w:sz="0" w:space="0" w:color="auto"/>
        <w:bottom w:val="none" w:sz="0" w:space="0" w:color="auto"/>
        <w:right w:val="none" w:sz="0" w:space="0" w:color="auto"/>
      </w:divBdr>
    </w:div>
    <w:div w:id="1996567068">
      <w:bodyDiv w:val="1"/>
      <w:marLeft w:val="0"/>
      <w:marRight w:val="0"/>
      <w:marTop w:val="0"/>
      <w:marBottom w:val="0"/>
      <w:divBdr>
        <w:top w:val="none" w:sz="0" w:space="0" w:color="auto"/>
        <w:left w:val="none" w:sz="0" w:space="0" w:color="auto"/>
        <w:bottom w:val="none" w:sz="0" w:space="0" w:color="auto"/>
        <w:right w:val="none" w:sz="0" w:space="0" w:color="auto"/>
      </w:divBdr>
    </w:div>
    <w:div w:id="20780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worlddev.2023.1062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4353-BBD8-4D79-9F42-8BAD345A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7733</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cp:revision>
  <dcterms:created xsi:type="dcterms:W3CDTF">2025-09-08T04:15:00Z</dcterms:created>
  <dcterms:modified xsi:type="dcterms:W3CDTF">2025-09-09T13:45:00Z</dcterms:modified>
</cp:coreProperties>
</file>