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348C7" w14:textId="77777777" w:rsidR="00656440" w:rsidRDefault="00F47BA8" w:rsidP="001B331C">
      <w:pPr>
        <w:jc w:val="center"/>
        <w:rPr>
          <w:rFonts w:ascii="Times New Roman" w:hAnsi="Times New Roman"/>
          <w:b/>
          <w:bCs/>
          <w:sz w:val="24"/>
          <w:szCs w:val="24"/>
        </w:rPr>
      </w:pPr>
      <w:r w:rsidRPr="00081764">
        <w:rPr>
          <w:rFonts w:ascii="Times New Roman" w:hAnsi="Times New Roman"/>
          <w:b/>
          <w:bCs/>
          <w:sz w:val="24"/>
          <w:szCs w:val="24"/>
        </w:rPr>
        <w:t>Analysis of Soybean Producers' Satisfaction with Agribusiness Cluster Services in Benin (ABC)</w:t>
      </w:r>
    </w:p>
    <w:p w14:paraId="1D5BC46F" w14:textId="587A4203" w:rsidR="007710FC" w:rsidRDefault="007710FC" w:rsidP="0035623E">
      <w:pPr>
        <w:shd w:val="clear" w:color="auto" w:fill="FFFFFF"/>
        <w:spacing w:after="0" w:line="240" w:lineRule="auto"/>
        <w:textAlignment w:val="baseline"/>
        <w:rPr>
          <w:rFonts w:ascii="Helvetica" w:eastAsia="Times New Roman" w:hAnsi="Helvetica"/>
          <w:color w:val="2A2A2A"/>
          <w:sz w:val="21"/>
          <w:szCs w:val="21"/>
          <w:lang w:val="en-GB" w:eastAsia="fr-FR"/>
        </w:rPr>
      </w:pPr>
    </w:p>
    <w:p w14:paraId="6543438E" w14:textId="77777777" w:rsidR="00760543" w:rsidRPr="0035623E" w:rsidRDefault="00760543" w:rsidP="0035623E">
      <w:pPr>
        <w:shd w:val="clear" w:color="auto" w:fill="FFFFFF"/>
        <w:spacing w:after="0" w:line="240" w:lineRule="auto"/>
        <w:textAlignment w:val="baseline"/>
        <w:rPr>
          <w:rFonts w:ascii="Helvetica" w:eastAsia="Times New Roman" w:hAnsi="Helvetica"/>
          <w:color w:val="2A2A2A"/>
          <w:sz w:val="21"/>
          <w:szCs w:val="21"/>
          <w:lang w:val="en-GB" w:eastAsia="fr-FR"/>
        </w:rPr>
      </w:pPr>
    </w:p>
    <w:p w14:paraId="648B8899" w14:textId="77777777" w:rsidR="001B331C" w:rsidRPr="001B0F9F" w:rsidRDefault="001B331C" w:rsidP="001B331C">
      <w:pPr>
        <w:rPr>
          <w:rFonts w:ascii="Arial" w:eastAsia="Times New Roman" w:hAnsi="Arial" w:cs="Arial"/>
          <w:b/>
          <w:caps/>
          <w:szCs w:val="20"/>
          <w:lang w:eastAsia="en-US"/>
        </w:rPr>
      </w:pPr>
      <w:r w:rsidRPr="001B0F9F">
        <w:rPr>
          <w:rFonts w:ascii="Arial" w:eastAsia="Times New Roman" w:hAnsi="Arial" w:cs="Arial"/>
          <w:b/>
          <w:caps/>
          <w:szCs w:val="20"/>
          <w:lang w:eastAsia="en-US"/>
        </w:rPr>
        <w:t>Abstract</w:t>
      </w:r>
    </w:p>
    <w:p w14:paraId="58045136" w14:textId="77777777" w:rsidR="00BE3A23" w:rsidRDefault="001B0F9F" w:rsidP="00817A91">
      <w:pPr>
        <w:spacing w:after="0"/>
        <w:jc w:val="both"/>
        <w:rPr>
          <w:rFonts w:ascii="Arial" w:eastAsia="Calibri" w:hAnsi="Arial" w:cs="Arial"/>
          <w:sz w:val="20"/>
          <w:lang w:eastAsia="en-US"/>
        </w:rPr>
      </w:pPr>
      <w:r w:rsidRPr="00817A91">
        <w:rPr>
          <w:rFonts w:ascii="Arial" w:eastAsia="Calibri" w:hAnsi="Arial" w:cs="Arial"/>
          <w:b/>
          <w:sz w:val="20"/>
          <w:lang w:eastAsia="en-US"/>
        </w:rPr>
        <w:t>Aims</w:t>
      </w:r>
      <w:r>
        <w:rPr>
          <w:rFonts w:ascii="Arial" w:eastAsia="Calibri" w:hAnsi="Arial" w:cs="Arial"/>
          <w:sz w:val="20"/>
          <w:lang w:eastAsia="en-US"/>
        </w:rPr>
        <w:t>:</w:t>
      </w:r>
      <w:r w:rsidR="006A6EE1">
        <w:rPr>
          <w:rFonts w:ascii="Arial" w:eastAsia="Calibri" w:hAnsi="Arial" w:cs="Arial"/>
          <w:sz w:val="20"/>
          <w:lang w:eastAsia="en-US"/>
        </w:rPr>
        <w:t xml:space="preserve"> A</w:t>
      </w:r>
      <w:r w:rsidR="00F47BA8" w:rsidRPr="001B0F9F">
        <w:rPr>
          <w:rFonts w:ascii="Arial" w:eastAsia="Calibri" w:hAnsi="Arial" w:cs="Arial"/>
          <w:sz w:val="20"/>
          <w:lang w:eastAsia="en-US"/>
        </w:rPr>
        <w:t xml:space="preserve">nalyze producers' preferences for the services offered by Agribusiness Clusters. </w:t>
      </w:r>
    </w:p>
    <w:p w14:paraId="38AC7995" w14:textId="77777777" w:rsidR="00BE3A23" w:rsidRDefault="00BE3A23" w:rsidP="00817A91">
      <w:pPr>
        <w:spacing w:after="0"/>
        <w:jc w:val="both"/>
        <w:rPr>
          <w:rFonts w:ascii="Arial" w:eastAsia="Calibri" w:hAnsi="Arial" w:cs="Arial"/>
          <w:sz w:val="20"/>
          <w:lang w:eastAsia="en-US"/>
        </w:rPr>
      </w:pPr>
      <w:r w:rsidRPr="00817A91">
        <w:rPr>
          <w:rFonts w:ascii="Arial" w:eastAsia="Calibri" w:hAnsi="Arial" w:cs="Arial"/>
          <w:sz w:val="20"/>
          <w:lang w:eastAsia="en-US"/>
        </w:rPr>
        <w:t xml:space="preserve">Study design: </w:t>
      </w:r>
      <w:r w:rsidR="00F47BA8" w:rsidRPr="001B0F9F">
        <w:rPr>
          <w:rFonts w:ascii="Arial" w:eastAsia="Calibri" w:hAnsi="Arial" w:cs="Arial"/>
          <w:sz w:val="20"/>
          <w:lang w:eastAsia="en-US"/>
        </w:rPr>
        <w:t xml:space="preserve">A structured questionnaire was administered to 360 soybean producers using the </w:t>
      </w:r>
      <w:proofErr w:type="spellStart"/>
      <w:r w:rsidR="00F47BA8" w:rsidRPr="001B0F9F">
        <w:rPr>
          <w:rFonts w:ascii="Arial" w:eastAsia="Calibri" w:hAnsi="Arial" w:cs="Arial"/>
          <w:sz w:val="20"/>
          <w:lang w:eastAsia="en-US"/>
        </w:rPr>
        <w:t>KoboCollect</w:t>
      </w:r>
      <w:proofErr w:type="spellEnd"/>
      <w:r w:rsidR="00F47BA8" w:rsidRPr="001B0F9F">
        <w:rPr>
          <w:rFonts w:ascii="Arial" w:eastAsia="Calibri" w:hAnsi="Arial" w:cs="Arial"/>
          <w:sz w:val="20"/>
          <w:lang w:eastAsia="en-US"/>
        </w:rPr>
        <w:t xml:space="preserve"> application. The questionnaire was designed using the Best-Worst Scaling (BWS) method in R software. </w:t>
      </w:r>
    </w:p>
    <w:p w14:paraId="4BC1115C" w14:textId="77777777" w:rsidR="00BE3A23" w:rsidRDefault="00BE3A23" w:rsidP="00817A91">
      <w:pPr>
        <w:spacing w:after="0"/>
        <w:jc w:val="both"/>
        <w:rPr>
          <w:rFonts w:ascii="Arial" w:eastAsia="Calibri" w:hAnsi="Arial" w:cs="Arial"/>
          <w:sz w:val="20"/>
          <w:lang w:eastAsia="en-US"/>
        </w:rPr>
      </w:pPr>
      <w:r w:rsidRPr="00817A91">
        <w:rPr>
          <w:rFonts w:ascii="Arial" w:eastAsia="Calibri" w:hAnsi="Arial" w:cs="Arial"/>
          <w:b/>
          <w:sz w:val="20"/>
          <w:lang w:eastAsia="en-US"/>
        </w:rPr>
        <w:t>Methodology</w:t>
      </w:r>
      <w:r>
        <w:rPr>
          <w:rFonts w:ascii="Arial" w:eastAsia="Calibri" w:hAnsi="Arial" w:cs="Arial"/>
          <w:sz w:val="20"/>
          <w:lang w:eastAsia="en-US"/>
        </w:rPr>
        <w:t xml:space="preserve">: </w:t>
      </w:r>
      <w:r w:rsidR="00F47BA8" w:rsidRPr="001B0F9F">
        <w:rPr>
          <w:rFonts w:ascii="Arial" w:eastAsia="Calibri" w:hAnsi="Arial" w:cs="Arial"/>
          <w:sz w:val="20"/>
          <w:lang w:eastAsia="en-US"/>
        </w:rPr>
        <w:t xml:space="preserve">A Mixed Multinomial Logit model was used to analyze the field data, also employing BWS modeling. </w:t>
      </w:r>
    </w:p>
    <w:p w14:paraId="48C3D428" w14:textId="77777777" w:rsidR="00D635BD" w:rsidRDefault="00BE3A23" w:rsidP="00817A91">
      <w:pPr>
        <w:spacing w:after="0"/>
        <w:jc w:val="both"/>
        <w:rPr>
          <w:rFonts w:ascii="Arial" w:eastAsia="Calibri" w:hAnsi="Arial" w:cs="Arial"/>
          <w:sz w:val="20"/>
          <w:lang w:eastAsia="en-US"/>
        </w:rPr>
      </w:pPr>
      <w:r w:rsidRPr="00817A91">
        <w:rPr>
          <w:rFonts w:ascii="Arial" w:eastAsia="Calibri" w:hAnsi="Arial" w:cs="Arial"/>
          <w:b/>
          <w:sz w:val="20"/>
          <w:lang w:eastAsia="en-US"/>
        </w:rPr>
        <w:t>Results</w:t>
      </w:r>
      <w:r>
        <w:rPr>
          <w:rFonts w:ascii="Arial" w:eastAsia="Calibri" w:hAnsi="Arial" w:cs="Arial"/>
          <w:sz w:val="20"/>
          <w:lang w:eastAsia="en-US"/>
        </w:rPr>
        <w:t xml:space="preserve">: </w:t>
      </w:r>
      <w:r w:rsidR="00F47BA8" w:rsidRPr="001B0F9F">
        <w:rPr>
          <w:rFonts w:ascii="Arial" w:eastAsia="Calibri" w:hAnsi="Arial" w:cs="Arial"/>
          <w:sz w:val="20"/>
          <w:lang w:eastAsia="en-US"/>
        </w:rPr>
        <w:t xml:space="preserve">The results indicated that credit, machinery, technical support, training, and seeds are the services most preferred by producers, while the provision of inputs was less favored. The analyses also revealed that technical training held the largest market share of services, followed by agricultural machinery, technical support, and agricultural credit. Finally, a random effect was observed among producers regarding certain service options, such as initial training and agricultural credit. These findings could inform the implementation and scaling up of Agribusiness Clusters by prioritizing service options like technical support, training, and facilitating access to agricultural credit. </w:t>
      </w:r>
    </w:p>
    <w:p w14:paraId="1BAEE54A" w14:textId="77777777" w:rsidR="00656440" w:rsidRPr="001B0F9F" w:rsidRDefault="00D635BD" w:rsidP="00AC5E8D">
      <w:pPr>
        <w:jc w:val="both"/>
        <w:rPr>
          <w:rFonts w:ascii="Arial" w:eastAsia="Calibri" w:hAnsi="Arial" w:cs="Arial"/>
          <w:sz w:val="20"/>
          <w:lang w:eastAsia="en-US"/>
        </w:rPr>
      </w:pPr>
      <w:r w:rsidRPr="00817A91">
        <w:rPr>
          <w:rFonts w:ascii="Arial" w:eastAsia="Calibri" w:hAnsi="Arial" w:cs="Arial"/>
          <w:b/>
          <w:sz w:val="20"/>
          <w:lang w:eastAsia="en-US"/>
        </w:rPr>
        <w:t>Conclusion</w:t>
      </w:r>
      <w:r w:rsidRPr="00817A91">
        <w:rPr>
          <w:rFonts w:ascii="Arial" w:eastAsia="Calibri" w:hAnsi="Arial" w:cs="Arial"/>
          <w:sz w:val="20"/>
          <w:lang w:eastAsia="en-US"/>
        </w:rPr>
        <w:t xml:space="preserve">: </w:t>
      </w:r>
      <w:r w:rsidR="00F47BA8" w:rsidRPr="001B0F9F">
        <w:rPr>
          <w:rFonts w:ascii="Arial" w:eastAsia="Calibri" w:hAnsi="Arial" w:cs="Arial"/>
          <w:sz w:val="20"/>
          <w:lang w:eastAsia="en-US"/>
        </w:rPr>
        <w:t>Policymakers should also consider de-emphasizing agricultural inputs, specifically chemical fertilizers and plant protection products. The ultimate recommendation is for policymakers to better structure the market for producer</w:t>
      </w:r>
      <w:r w:rsidR="007F1CA8" w:rsidRPr="001B0F9F">
        <w:rPr>
          <w:rFonts w:ascii="Arial" w:eastAsia="Calibri" w:hAnsi="Arial" w:cs="Arial"/>
          <w:sz w:val="20"/>
          <w:lang w:eastAsia="en-US"/>
        </w:rPr>
        <w:t>s within Agribusiness Clusters.</w:t>
      </w:r>
    </w:p>
    <w:p w14:paraId="1F9F0ACC" w14:textId="77777777" w:rsidR="00656440" w:rsidRPr="00475F99" w:rsidRDefault="00F47BA8" w:rsidP="00475F99">
      <w:pPr>
        <w:rPr>
          <w:rFonts w:ascii="Arial" w:eastAsia="Calibri" w:hAnsi="Arial" w:cs="Arial"/>
          <w:sz w:val="20"/>
          <w:lang w:eastAsia="en-US"/>
        </w:rPr>
      </w:pPr>
      <w:r w:rsidRPr="00475F99">
        <w:rPr>
          <w:rFonts w:ascii="Arial" w:eastAsia="Times New Roman" w:hAnsi="Arial" w:cs="Arial"/>
          <w:b/>
          <w:caps/>
          <w:szCs w:val="20"/>
          <w:lang w:eastAsia="en-US"/>
        </w:rPr>
        <w:t>Keywords</w:t>
      </w:r>
      <w:r w:rsidRPr="00081764">
        <w:rPr>
          <w:rFonts w:ascii="Times New Roman" w:hAnsi="Times New Roman"/>
          <w:b/>
          <w:bCs/>
          <w:sz w:val="24"/>
          <w:szCs w:val="24"/>
        </w:rPr>
        <w:t>:</w:t>
      </w:r>
      <w:r w:rsidRPr="00081764">
        <w:rPr>
          <w:rFonts w:ascii="Times New Roman" w:hAnsi="Times New Roman"/>
          <w:sz w:val="24"/>
          <w:szCs w:val="24"/>
        </w:rPr>
        <w:t xml:space="preserve"> </w:t>
      </w:r>
      <w:r w:rsidRPr="00475F99">
        <w:rPr>
          <w:rFonts w:ascii="Arial" w:eastAsia="Calibri" w:hAnsi="Arial" w:cs="Arial"/>
          <w:sz w:val="20"/>
          <w:lang w:eastAsia="en-US"/>
        </w:rPr>
        <w:t>Perception; Satisfaction; Agribusiness Cluster (ABC); Best Worst Scaling (BWS), and Benin</w:t>
      </w:r>
    </w:p>
    <w:p w14:paraId="336DEF74" w14:textId="77777777" w:rsidR="00656440" w:rsidRPr="004A6BF6" w:rsidRDefault="005F233C"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Introduction</w:t>
      </w:r>
    </w:p>
    <w:p w14:paraId="1B880996"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Agricultural marketing cooperatives offer one avenue for farmers to market their products. The success of cooperatives </w:t>
      </w:r>
      <w:proofErr w:type="gramStart"/>
      <w:r w:rsidRPr="004A3693">
        <w:rPr>
          <w:rFonts w:ascii="Arial" w:eastAsia="Calibri" w:hAnsi="Arial" w:cs="Arial"/>
          <w:sz w:val="20"/>
          <w:lang w:eastAsia="en-US"/>
        </w:rPr>
        <w:t>hinges</w:t>
      </w:r>
      <w:proofErr w:type="gramEnd"/>
      <w:r w:rsidRPr="004A3693">
        <w:rPr>
          <w:rFonts w:ascii="Arial" w:eastAsia="Calibri" w:hAnsi="Arial" w:cs="Arial"/>
          <w:sz w:val="20"/>
          <w:lang w:eastAsia="en-US"/>
        </w:rPr>
        <w:t xml:space="preserve"> on their ability to compete for farmers' satisfaction and support (Hernández-</w:t>
      </w:r>
      <w:proofErr w:type="spellStart"/>
      <w:r w:rsidRPr="004A3693">
        <w:rPr>
          <w:rFonts w:ascii="Arial" w:eastAsia="Calibri" w:hAnsi="Arial" w:cs="Arial"/>
          <w:sz w:val="20"/>
          <w:lang w:eastAsia="en-US"/>
        </w:rPr>
        <w:t>Espallardo</w:t>
      </w:r>
      <w:proofErr w:type="spellEnd"/>
      <w:r w:rsidRPr="004A3693">
        <w:rPr>
          <w:rFonts w:ascii="Arial" w:eastAsia="Calibri" w:hAnsi="Arial" w:cs="Arial"/>
          <w:sz w:val="20"/>
          <w:lang w:eastAsia="en-US"/>
        </w:rPr>
        <w:t xml:space="preserve"> et al., 2009). Service quality and product quality are key factors in enhancing satisfaction (</w:t>
      </w:r>
      <w:proofErr w:type="spellStart"/>
      <w:r w:rsidRPr="004A3693">
        <w:rPr>
          <w:rFonts w:ascii="Arial" w:eastAsia="Calibri" w:hAnsi="Arial" w:cs="Arial"/>
          <w:sz w:val="20"/>
          <w:lang w:eastAsia="en-US"/>
        </w:rPr>
        <w:t>Seopela</w:t>
      </w:r>
      <w:proofErr w:type="spellEnd"/>
      <w:r w:rsidRPr="004A3693">
        <w:rPr>
          <w:rFonts w:ascii="Arial" w:eastAsia="Calibri" w:hAnsi="Arial" w:cs="Arial"/>
          <w:sz w:val="20"/>
          <w:lang w:eastAsia="en-US"/>
        </w:rPr>
        <w:t xml:space="preserve"> &amp; Zulu, 2022). The sustainability of agricultural contracts relies on producers' satisfaction with the services provided by aggregators (Arouna et al., 2015, 2017).</w:t>
      </w:r>
    </w:p>
    <w:p w14:paraId="4CE48E2B"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Despite the benefits of higher yields and incomes for smallholder producers, many express </w:t>
      </w:r>
      <w:proofErr w:type="gramStart"/>
      <w:r w:rsidRPr="004A3693">
        <w:rPr>
          <w:rFonts w:ascii="Arial" w:eastAsia="Calibri" w:hAnsi="Arial" w:cs="Arial"/>
          <w:sz w:val="20"/>
          <w:lang w:eastAsia="en-US"/>
        </w:rPr>
        <w:t>regret</w:t>
      </w:r>
      <w:proofErr w:type="gramEnd"/>
      <w:r w:rsidRPr="004A3693">
        <w:rPr>
          <w:rFonts w:ascii="Arial" w:eastAsia="Calibri" w:hAnsi="Arial" w:cs="Arial"/>
          <w:sz w:val="20"/>
          <w:lang w:eastAsia="en-US"/>
        </w:rPr>
        <w:t xml:space="preserve"> about participating in these programs and would prefer to exit the contracts. Contract farming provides many farmers with access to high-value crop markets, mitigating the risk of price fluctuations. However, a common perception is that the legal framework for contract farming is weak, often leading to the manipulation of farmers. Households involved in contract farming express dissatisfaction with the system's performance, often feeling disillusioned (Ruml &amp; Qaim, 2021). Key areas of dissatisfaction include delayed payments, lack of training, strained relationships between farmers and agribusiness representatives, and lower incomes for contract farmers compared to non-contract farmers. Other issues also cont</w:t>
      </w:r>
      <w:r w:rsidR="00671C86" w:rsidRPr="004A3693">
        <w:rPr>
          <w:rFonts w:ascii="Arial" w:eastAsia="Calibri" w:hAnsi="Arial" w:cs="Arial"/>
          <w:sz w:val="20"/>
          <w:lang w:eastAsia="en-US"/>
        </w:rPr>
        <w:t>ribute to this dissatisfaction.</w:t>
      </w:r>
    </w:p>
    <w:p w14:paraId="772ED6D1"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The concept of spatial clusters has gained prominence in economic development research and policy, particularly after Porter's influential work (1990). The primary goal is to enhance agricultural production and alleviate poverty through a socio-economic approach that empowers local farming families (Karki et al., 2021). Contract farming is often presented as a solution to the challenge of limited production resources. In this arrangement, producers and aggregators pre-arrange the exchange of the harvest, with aggregators </w:t>
      </w:r>
      <w:r w:rsidRPr="004A3693">
        <w:rPr>
          <w:rFonts w:ascii="Arial" w:eastAsia="Calibri" w:hAnsi="Arial" w:cs="Arial"/>
          <w:sz w:val="20"/>
          <w:lang w:eastAsia="en-US"/>
        </w:rPr>
        <w:lastRenderedPageBreak/>
        <w:t>potentially providing credit, monitoring, inputs, or even direct involvement in the production process (Arouna et al., 2015, 2017). Project partners often facilitate these contracts through various activities, such as workshops, meetings, field days, and the provision of loans, materials, and equipment. Contract farming is viewed as an economically viable practice that supports resource-constrained and socially disadvantaged smallholder farmers and forest owners in their agricultural endeavors (Karki et al., 2021).</w:t>
      </w:r>
    </w:p>
    <w:p w14:paraId="5AF40FE7"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However, despite the documented benefits of contract farming, the question of whether it truly satisfies smallholder farmers remains a subject of debate (Ruml &amp; Qaim, 2021). Measuring the importance or satisfaction of various factors is a common research task, often presenting challenges for researchers. Methods like the Likert scale, ranking, evaluation, and ordering are frequently employed to assess these aspects."</w:t>
      </w:r>
    </w:p>
    <w:p w14:paraId="1082C5B4" w14:textId="77777777" w:rsidR="00766016" w:rsidRDefault="00766016" w:rsidP="004A6BF6">
      <w:pPr>
        <w:rPr>
          <w:rFonts w:ascii="Arial" w:eastAsia="Times New Roman" w:hAnsi="Arial" w:cs="Arial"/>
          <w:b/>
          <w:caps/>
          <w:szCs w:val="20"/>
          <w:lang w:eastAsia="en-US"/>
        </w:rPr>
      </w:pPr>
    </w:p>
    <w:p w14:paraId="6012F40C" w14:textId="30C4FF4C" w:rsidR="00656440" w:rsidRPr="004A6BF6" w:rsidRDefault="00AE6EC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2.</w:t>
      </w:r>
      <w:r w:rsidR="009813B9" w:rsidRPr="004A6BF6">
        <w:rPr>
          <w:rFonts w:ascii="Arial" w:eastAsia="Times New Roman" w:hAnsi="Arial" w:cs="Arial"/>
          <w:b/>
          <w:caps/>
          <w:szCs w:val="20"/>
          <w:lang w:eastAsia="en-US"/>
        </w:rPr>
        <w:t xml:space="preserve"> </w:t>
      </w:r>
      <w:r w:rsidR="00F47BA8" w:rsidRPr="004A6BF6">
        <w:rPr>
          <w:rFonts w:ascii="Arial" w:eastAsia="Times New Roman" w:hAnsi="Arial" w:cs="Arial"/>
          <w:b/>
          <w:caps/>
          <w:szCs w:val="20"/>
          <w:lang w:eastAsia="en-US"/>
        </w:rPr>
        <w:t>Methodology</w:t>
      </w:r>
    </w:p>
    <w:p w14:paraId="5229561C" w14:textId="77777777" w:rsidR="00656440" w:rsidRPr="004A6BF6" w:rsidRDefault="00AE6EC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2.</w:t>
      </w:r>
      <w:r w:rsidR="009813B9" w:rsidRPr="004A6BF6">
        <w:rPr>
          <w:rFonts w:ascii="Arial" w:eastAsia="Times New Roman" w:hAnsi="Arial" w:cs="Arial"/>
          <w:b/>
          <w:caps/>
          <w:szCs w:val="20"/>
          <w:lang w:eastAsia="en-US"/>
        </w:rPr>
        <w:t xml:space="preserve">1 </w:t>
      </w:r>
      <w:r w:rsidR="00F47BA8" w:rsidRPr="004A6BF6">
        <w:rPr>
          <w:rFonts w:ascii="Arial" w:eastAsia="Times New Roman" w:hAnsi="Arial" w:cs="Arial"/>
          <w:b/>
          <w:caps/>
          <w:szCs w:val="20"/>
          <w:lang w:eastAsia="en-US"/>
        </w:rPr>
        <w:t>Study Setting</w:t>
      </w:r>
    </w:p>
    <w:p w14:paraId="16D963A4"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Following the exploratory phase, three municipalities with soybean clusters were selected for this study. These three municipalities were chosen based on their level of soybean production: a larger soybean-producing municipality, a community with average soybean production for the country, and a smaller soybean-producing municipality. It should be noted that each of these three communities has soybean agribusiness clusters.</w:t>
      </w:r>
    </w:p>
    <w:p w14:paraId="2CD03A89"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Therefore, the communities of Nikki, Kandi, and </w:t>
      </w:r>
      <w:proofErr w:type="spellStart"/>
      <w:r w:rsidRPr="004A3693">
        <w:rPr>
          <w:rFonts w:ascii="Arial" w:eastAsia="Calibri" w:hAnsi="Arial" w:cs="Arial"/>
          <w:sz w:val="20"/>
          <w:lang w:eastAsia="en-US"/>
        </w:rPr>
        <w:t>Copargo</w:t>
      </w:r>
      <w:proofErr w:type="spellEnd"/>
      <w:r w:rsidRPr="004A3693">
        <w:rPr>
          <w:rFonts w:ascii="Arial" w:eastAsia="Calibri" w:hAnsi="Arial" w:cs="Arial"/>
          <w:sz w:val="20"/>
          <w:lang w:eastAsia="en-US"/>
        </w:rPr>
        <w:t xml:space="preserve"> were identified for this study based on the criteria listed above. Two villages with soybean clusters and one village without soybean clusters were selected for this study in each of these three municipalities.</w:t>
      </w:r>
    </w:p>
    <w:p w14:paraId="4B6256D6"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Specifically, regarding the villages, Biro i</w:t>
      </w:r>
      <w:r w:rsidR="00F47043" w:rsidRPr="004A3693">
        <w:rPr>
          <w:rFonts w:ascii="Arial" w:eastAsia="Calibri" w:hAnsi="Arial" w:cs="Arial"/>
          <w:sz w:val="20"/>
          <w:lang w:eastAsia="en-US"/>
        </w:rPr>
        <w:t xml:space="preserve">s the village without clusters </w:t>
      </w:r>
      <w:r w:rsidRPr="004A3693">
        <w:rPr>
          <w:rFonts w:ascii="Arial" w:eastAsia="Calibri" w:hAnsi="Arial" w:cs="Arial"/>
          <w:sz w:val="20"/>
          <w:lang w:eastAsia="en-US"/>
        </w:rPr>
        <w:t xml:space="preserve">while Nikki Center and </w:t>
      </w:r>
      <w:proofErr w:type="spellStart"/>
      <w:r w:rsidRPr="004A3693">
        <w:rPr>
          <w:rFonts w:ascii="Arial" w:eastAsia="Calibri" w:hAnsi="Arial" w:cs="Arial"/>
          <w:sz w:val="20"/>
          <w:lang w:eastAsia="en-US"/>
        </w:rPr>
        <w:t>Danri</w:t>
      </w:r>
      <w:proofErr w:type="spellEnd"/>
      <w:r w:rsidRPr="004A3693">
        <w:rPr>
          <w:rFonts w:ascii="Arial" w:eastAsia="Calibri" w:hAnsi="Arial" w:cs="Arial"/>
          <w:sz w:val="20"/>
          <w:lang w:eastAsia="en-US"/>
        </w:rPr>
        <w:t xml:space="preserve"> are the localities with clusters in the Nikki municipality. Sam and </w:t>
      </w:r>
      <w:proofErr w:type="spellStart"/>
      <w:r w:rsidRPr="004A3693">
        <w:rPr>
          <w:rFonts w:ascii="Arial" w:eastAsia="Calibri" w:hAnsi="Arial" w:cs="Arial"/>
          <w:sz w:val="20"/>
          <w:lang w:eastAsia="en-US"/>
        </w:rPr>
        <w:t>Kassakou</w:t>
      </w:r>
      <w:proofErr w:type="spellEnd"/>
      <w:r w:rsidRPr="004A3693">
        <w:rPr>
          <w:rFonts w:ascii="Arial" w:eastAsia="Calibri" w:hAnsi="Arial" w:cs="Arial"/>
          <w:sz w:val="20"/>
          <w:lang w:eastAsia="en-US"/>
        </w:rPr>
        <w:t xml:space="preserve"> are the cluster villages in Kandi commune, while </w:t>
      </w:r>
      <w:proofErr w:type="spellStart"/>
      <w:r w:rsidRPr="004A3693">
        <w:rPr>
          <w:rFonts w:ascii="Arial" w:eastAsia="Calibri" w:hAnsi="Arial" w:cs="Arial"/>
          <w:sz w:val="20"/>
          <w:lang w:eastAsia="en-US"/>
        </w:rPr>
        <w:t>Sonsororo</w:t>
      </w:r>
      <w:proofErr w:type="spellEnd"/>
      <w:r w:rsidRPr="004A3693">
        <w:rPr>
          <w:rFonts w:ascii="Arial" w:eastAsia="Calibri" w:hAnsi="Arial" w:cs="Arial"/>
          <w:sz w:val="20"/>
          <w:lang w:eastAsia="en-US"/>
        </w:rPr>
        <w:t xml:space="preserve"> is the non-agribusiness cluster village. Finally, in </w:t>
      </w:r>
      <w:proofErr w:type="spellStart"/>
      <w:r w:rsidRPr="004A3693">
        <w:rPr>
          <w:rFonts w:ascii="Arial" w:eastAsia="Calibri" w:hAnsi="Arial" w:cs="Arial"/>
          <w:sz w:val="20"/>
          <w:lang w:eastAsia="en-US"/>
        </w:rPr>
        <w:t>Copargo</w:t>
      </w:r>
      <w:proofErr w:type="spellEnd"/>
      <w:r w:rsidRPr="004A3693">
        <w:rPr>
          <w:rFonts w:ascii="Arial" w:eastAsia="Calibri" w:hAnsi="Arial" w:cs="Arial"/>
          <w:sz w:val="20"/>
          <w:lang w:eastAsia="en-US"/>
        </w:rPr>
        <w:t xml:space="preserve"> commune, soybean agricultural clusters are located in the villages of Cana and </w:t>
      </w:r>
      <w:proofErr w:type="spellStart"/>
      <w:r w:rsidRPr="004A3693">
        <w:rPr>
          <w:rFonts w:ascii="Arial" w:eastAsia="Calibri" w:hAnsi="Arial" w:cs="Arial"/>
          <w:sz w:val="20"/>
          <w:lang w:eastAsia="en-US"/>
        </w:rPr>
        <w:t>Anandana</w:t>
      </w:r>
      <w:proofErr w:type="spellEnd"/>
      <w:r w:rsidRPr="004A3693">
        <w:rPr>
          <w:rFonts w:ascii="Arial" w:eastAsia="Calibri" w:hAnsi="Arial" w:cs="Arial"/>
          <w:sz w:val="20"/>
          <w:lang w:eastAsia="en-US"/>
        </w:rPr>
        <w:t xml:space="preserve">; </w:t>
      </w:r>
      <w:proofErr w:type="spellStart"/>
      <w:r w:rsidRPr="004A3693">
        <w:rPr>
          <w:rFonts w:ascii="Arial" w:eastAsia="Calibri" w:hAnsi="Arial" w:cs="Arial"/>
          <w:sz w:val="20"/>
          <w:lang w:eastAsia="en-US"/>
        </w:rPr>
        <w:t>Pabégou</w:t>
      </w:r>
      <w:proofErr w:type="spellEnd"/>
      <w:r w:rsidRPr="004A3693">
        <w:rPr>
          <w:rFonts w:ascii="Arial" w:eastAsia="Calibri" w:hAnsi="Arial" w:cs="Arial"/>
          <w:sz w:val="20"/>
          <w:lang w:eastAsia="en-US"/>
        </w:rPr>
        <w:t xml:space="preserve"> is the only village in </w:t>
      </w:r>
      <w:proofErr w:type="spellStart"/>
      <w:r w:rsidRPr="004A3693">
        <w:rPr>
          <w:rFonts w:ascii="Arial" w:eastAsia="Calibri" w:hAnsi="Arial" w:cs="Arial"/>
          <w:sz w:val="20"/>
          <w:lang w:eastAsia="en-US"/>
        </w:rPr>
        <w:t>Copargo</w:t>
      </w:r>
      <w:proofErr w:type="spellEnd"/>
      <w:r w:rsidRPr="004A3693">
        <w:rPr>
          <w:rFonts w:ascii="Arial" w:eastAsia="Calibri" w:hAnsi="Arial" w:cs="Arial"/>
          <w:sz w:val="20"/>
          <w:lang w:eastAsia="en-US"/>
        </w:rPr>
        <w:t xml:space="preserve"> commune that does not have a soybean cluster.</w:t>
      </w:r>
    </w:p>
    <w:p w14:paraId="16AA2B02" w14:textId="77777777" w:rsidR="004A3693" w:rsidRDefault="004A3693">
      <w:pPr>
        <w:spacing w:after="0" w:line="240" w:lineRule="auto"/>
        <w:rPr>
          <w:rFonts w:ascii="Times New Roman" w:hAnsi="Times New Roman"/>
          <w:sz w:val="24"/>
          <w:szCs w:val="24"/>
        </w:rPr>
      </w:pPr>
      <w:r>
        <w:rPr>
          <w:rFonts w:ascii="Times New Roman" w:hAnsi="Times New Roman"/>
          <w:sz w:val="24"/>
          <w:szCs w:val="24"/>
        </w:rPr>
        <w:br w:type="page"/>
      </w:r>
    </w:p>
    <w:p w14:paraId="1940A859" w14:textId="77777777" w:rsidR="00873ED0" w:rsidRPr="00081764" w:rsidRDefault="00873ED0" w:rsidP="007F1CA8">
      <w:pPr>
        <w:jc w:val="both"/>
        <w:rPr>
          <w:rFonts w:ascii="Times New Roman" w:hAnsi="Times New Roman"/>
          <w:sz w:val="24"/>
          <w:szCs w:val="24"/>
        </w:rPr>
      </w:pPr>
    </w:p>
    <w:p w14:paraId="60870FC8" w14:textId="77777777" w:rsidR="00873ED0" w:rsidRPr="00081764" w:rsidRDefault="00873ED0" w:rsidP="007F1CA8">
      <w:pPr>
        <w:jc w:val="both"/>
        <w:rPr>
          <w:rFonts w:ascii="Times New Roman" w:hAnsi="Times New Roman"/>
          <w:sz w:val="24"/>
          <w:szCs w:val="24"/>
        </w:rPr>
      </w:pPr>
    </w:p>
    <w:p w14:paraId="3875675D" w14:textId="77777777" w:rsidR="00873ED0" w:rsidRPr="00081764" w:rsidRDefault="00306D81" w:rsidP="007F1CA8">
      <w:pPr>
        <w:jc w:val="both"/>
        <w:rPr>
          <w:rFonts w:ascii="Times New Roman" w:hAnsi="Times New Roman"/>
          <w:sz w:val="24"/>
          <w:szCs w:val="24"/>
        </w:rPr>
      </w:pPr>
      <w:r>
        <w:rPr>
          <w:rFonts w:ascii="Times New Roman" w:hAnsi="Times New Roman"/>
          <w:noProof/>
          <w:sz w:val="24"/>
          <w:szCs w:val="24"/>
          <w:lang w:val="fr-FR" w:eastAsia="fr-FR"/>
        </w:rPr>
        <w:drawing>
          <wp:anchor distT="0" distB="0" distL="114300" distR="114300" simplePos="0" relativeHeight="251657216" behindDoc="0" locked="0" layoutInCell="1" allowOverlap="1" wp14:anchorId="628B6B74" wp14:editId="19A62626">
            <wp:simplePos x="0" y="0"/>
            <wp:positionH relativeFrom="column">
              <wp:posOffset>163195</wp:posOffset>
            </wp:positionH>
            <wp:positionV relativeFrom="paragraph">
              <wp:posOffset>-382905</wp:posOffset>
            </wp:positionV>
            <wp:extent cx="5676265" cy="3351530"/>
            <wp:effectExtent l="0" t="0" r="63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265" cy="3351530"/>
                    </a:xfrm>
                    <a:prstGeom prst="rect">
                      <a:avLst/>
                    </a:prstGeom>
                    <a:noFill/>
                  </pic:spPr>
                </pic:pic>
              </a:graphicData>
            </a:graphic>
            <wp14:sizeRelH relativeFrom="page">
              <wp14:pctWidth>0</wp14:pctWidth>
            </wp14:sizeRelH>
            <wp14:sizeRelV relativeFrom="page">
              <wp14:pctHeight>0</wp14:pctHeight>
            </wp14:sizeRelV>
          </wp:anchor>
        </w:drawing>
      </w:r>
    </w:p>
    <w:p w14:paraId="0B0B305B" w14:textId="77777777" w:rsidR="00873ED0" w:rsidRPr="00081764" w:rsidRDefault="00873ED0" w:rsidP="007F1CA8">
      <w:pPr>
        <w:jc w:val="both"/>
        <w:rPr>
          <w:rFonts w:ascii="Times New Roman" w:hAnsi="Times New Roman"/>
          <w:sz w:val="24"/>
          <w:szCs w:val="24"/>
        </w:rPr>
      </w:pPr>
    </w:p>
    <w:p w14:paraId="474AD72B" w14:textId="77777777" w:rsidR="00873ED0" w:rsidRPr="00081764" w:rsidRDefault="00873ED0" w:rsidP="007F1CA8">
      <w:pPr>
        <w:jc w:val="both"/>
        <w:rPr>
          <w:rFonts w:ascii="Times New Roman" w:hAnsi="Times New Roman"/>
          <w:sz w:val="24"/>
          <w:szCs w:val="24"/>
        </w:rPr>
      </w:pPr>
    </w:p>
    <w:p w14:paraId="1D2D6ABC" w14:textId="77777777" w:rsidR="00873ED0" w:rsidRPr="00081764" w:rsidRDefault="00873ED0" w:rsidP="007F1CA8">
      <w:pPr>
        <w:jc w:val="both"/>
        <w:rPr>
          <w:rFonts w:ascii="Times New Roman" w:hAnsi="Times New Roman"/>
          <w:sz w:val="24"/>
          <w:szCs w:val="24"/>
        </w:rPr>
      </w:pPr>
    </w:p>
    <w:p w14:paraId="7264672A" w14:textId="77777777" w:rsidR="00AC5E8D" w:rsidRPr="00081764" w:rsidRDefault="00AC5E8D" w:rsidP="007F1CA8">
      <w:pPr>
        <w:jc w:val="both"/>
        <w:rPr>
          <w:rFonts w:ascii="Times New Roman" w:hAnsi="Times New Roman"/>
          <w:sz w:val="24"/>
          <w:szCs w:val="24"/>
        </w:rPr>
      </w:pPr>
    </w:p>
    <w:p w14:paraId="10D6B14B" w14:textId="77777777" w:rsidR="00AC5E8D" w:rsidRPr="00081764" w:rsidRDefault="00AC5E8D" w:rsidP="007F1CA8">
      <w:pPr>
        <w:jc w:val="both"/>
        <w:rPr>
          <w:rFonts w:ascii="Times New Roman" w:hAnsi="Times New Roman"/>
          <w:sz w:val="24"/>
          <w:szCs w:val="24"/>
        </w:rPr>
      </w:pPr>
    </w:p>
    <w:p w14:paraId="175C479D" w14:textId="77777777" w:rsidR="00873ED0" w:rsidRPr="00081764" w:rsidRDefault="00873ED0" w:rsidP="007F1CA8">
      <w:pPr>
        <w:jc w:val="both"/>
        <w:rPr>
          <w:rFonts w:ascii="Times New Roman" w:hAnsi="Times New Roman"/>
          <w:sz w:val="24"/>
          <w:szCs w:val="24"/>
        </w:rPr>
      </w:pPr>
    </w:p>
    <w:p w14:paraId="4A3422CF" w14:textId="77777777" w:rsidR="00873ED0" w:rsidRPr="00081764" w:rsidRDefault="00873ED0" w:rsidP="007F1CA8">
      <w:pPr>
        <w:jc w:val="both"/>
        <w:rPr>
          <w:rFonts w:ascii="Times New Roman" w:hAnsi="Times New Roman"/>
          <w:sz w:val="24"/>
          <w:szCs w:val="24"/>
        </w:rPr>
      </w:pPr>
    </w:p>
    <w:p w14:paraId="4D2831B2" w14:textId="77777777" w:rsidR="00AC5E8D" w:rsidRPr="00081764" w:rsidRDefault="00AC5E8D" w:rsidP="00873ED0">
      <w:pPr>
        <w:jc w:val="both"/>
        <w:rPr>
          <w:rFonts w:ascii="Times New Roman" w:hAnsi="Times New Roman"/>
          <w:b/>
          <w:bCs/>
          <w:sz w:val="24"/>
          <w:szCs w:val="24"/>
        </w:rPr>
      </w:pPr>
    </w:p>
    <w:p w14:paraId="1A0752FB" w14:textId="77777777" w:rsidR="00656440" w:rsidRPr="00081764" w:rsidRDefault="00F47BA8" w:rsidP="00873ED0">
      <w:pPr>
        <w:jc w:val="both"/>
        <w:rPr>
          <w:rFonts w:ascii="Times New Roman" w:hAnsi="Times New Roman"/>
          <w:sz w:val="24"/>
          <w:szCs w:val="24"/>
        </w:rPr>
      </w:pPr>
      <w:r w:rsidRPr="00081764">
        <w:rPr>
          <w:rFonts w:ascii="Times New Roman" w:hAnsi="Times New Roman"/>
          <w:b/>
          <w:bCs/>
          <w:sz w:val="24"/>
          <w:szCs w:val="24"/>
        </w:rPr>
        <w:t>Figure 1:</w:t>
      </w:r>
      <w:r w:rsidRPr="00081764">
        <w:rPr>
          <w:rFonts w:ascii="Times New Roman" w:hAnsi="Times New Roman"/>
          <w:sz w:val="24"/>
          <w:szCs w:val="24"/>
        </w:rPr>
        <w:t xml:space="preserve"> Map of the study area</w:t>
      </w:r>
    </w:p>
    <w:p w14:paraId="26072E71" w14:textId="77777777" w:rsidR="00656440" w:rsidRPr="004A6BF6" w:rsidRDefault="00AE6EC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2.</w:t>
      </w:r>
      <w:r w:rsidR="00873ED0" w:rsidRPr="004A6BF6">
        <w:rPr>
          <w:rFonts w:ascii="Arial" w:eastAsia="Times New Roman" w:hAnsi="Arial" w:cs="Arial"/>
          <w:b/>
          <w:caps/>
          <w:szCs w:val="20"/>
          <w:lang w:eastAsia="en-US"/>
        </w:rPr>
        <w:t xml:space="preserve">2 </w:t>
      </w:r>
      <w:r w:rsidR="00F47BA8" w:rsidRPr="004A6BF6">
        <w:rPr>
          <w:rFonts w:ascii="Arial" w:eastAsia="Times New Roman" w:hAnsi="Arial" w:cs="Arial"/>
          <w:b/>
          <w:caps/>
          <w:szCs w:val="20"/>
          <w:lang w:eastAsia="en-US"/>
        </w:rPr>
        <w:t>Sampling</w:t>
      </w:r>
    </w:p>
    <w:p w14:paraId="7C8D74EC"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xml:space="preserve">Similar to Mathenge et al. (2020) and </w:t>
      </w:r>
      <w:proofErr w:type="spellStart"/>
      <w:r w:rsidRPr="004A3693">
        <w:rPr>
          <w:rFonts w:ascii="Arial" w:eastAsia="Calibri" w:hAnsi="Arial" w:cs="Arial"/>
          <w:sz w:val="20"/>
          <w:lang w:eastAsia="en-US"/>
        </w:rPr>
        <w:t>Hirpesa</w:t>
      </w:r>
      <w:proofErr w:type="spellEnd"/>
      <w:r w:rsidRPr="004A3693">
        <w:rPr>
          <w:rFonts w:ascii="Arial" w:eastAsia="Calibri" w:hAnsi="Arial" w:cs="Arial"/>
          <w:sz w:val="20"/>
          <w:lang w:eastAsia="en-US"/>
        </w:rPr>
        <w:t xml:space="preserve"> et al. (2021), and earlier, Cochran's (1997) formula was used to determine the sample size (Eq. 1):</w:t>
      </w:r>
    </w:p>
    <w:p w14:paraId="59CB73B3" w14:textId="77777777" w:rsidR="00656440" w:rsidRPr="004A3693" w:rsidRDefault="00873ED0" w:rsidP="004A3693">
      <w:pPr>
        <w:spacing w:line="360" w:lineRule="auto"/>
        <w:jc w:val="center"/>
        <w:rPr>
          <w:rFonts w:ascii="Arial" w:eastAsia="Calibri" w:hAnsi="Arial" w:cs="Arial"/>
          <w:sz w:val="20"/>
          <w:lang w:eastAsia="en-US"/>
        </w:rPr>
      </w:pPr>
      <m:oMath>
        <m:r>
          <w:rPr>
            <w:rFonts w:ascii="Cambria Math" w:eastAsia="Calibri" w:hAnsi="Cambria Math" w:cs="Arial"/>
            <w:sz w:val="20"/>
            <w:lang w:eastAsia="en-US"/>
          </w:rPr>
          <m:t>n</m:t>
        </m:r>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r>
              <w:rPr>
                <w:rFonts w:ascii="Cambria Math" w:eastAsia="Calibri" w:hAnsi="Cambria Math" w:cs="Arial"/>
                <w:sz w:val="20"/>
                <w:lang w:eastAsia="en-US"/>
              </w:rPr>
              <m:t>t</m:t>
            </m:r>
            <m:r>
              <m:rPr>
                <m:sty m:val="p"/>
              </m:rPr>
              <w:rPr>
                <w:rFonts w:ascii="Cambria Math" w:eastAsia="Calibri" w:hAnsi="Cambria Math" w:cs="Arial"/>
                <w:sz w:val="20"/>
                <w:lang w:eastAsia="en-US"/>
              </w:rPr>
              <m:t>²</m:t>
            </m:r>
            <m:r>
              <w:rPr>
                <w:rFonts w:ascii="Cambria Math" w:eastAsia="Calibri" w:hAnsi="Cambria Math" w:cs="Arial"/>
                <w:sz w:val="20"/>
                <w:lang w:eastAsia="en-US"/>
              </w:rPr>
              <m:t>p</m:t>
            </m:r>
            <m:r>
              <m:rPr>
                <m:sty m:val="p"/>
              </m:rPr>
              <w:rPr>
                <w:rFonts w:ascii="Cambria Math" w:eastAsia="Calibri" w:hAnsi="Cambria Math" w:cs="Arial"/>
                <w:sz w:val="20"/>
                <w:lang w:eastAsia="en-US"/>
              </w:rPr>
              <m:t>(1-</m:t>
            </m:r>
            <m:r>
              <w:rPr>
                <w:rFonts w:ascii="Cambria Math" w:eastAsia="Calibri" w:hAnsi="Cambria Math" w:cs="Arial"/>
                <w:sz w:val="20"/>
                <w:lang w:eastAsia="en-US"/>
              </w:rPr>
              <m:t>p</m:t>
            </m:r>
            <m:r>
              <m:rPr>
                <m:sty m:val="p"/>
              </m:rPr>
              <w:rPr>
                <w:rFonts w:ascii="Cambria Math" w:eastAsia="Calibri" w:hAnsi="Cambria Math" w:cs="Arial"/>
                <w:sz w:val="20"/>
                <w:lang w:eastAsia="en-US"/>
              </w:rPr>
              <m:t>)</m:t>
            </m:r>
          </m:num>
          <m:den>
            <m:r>
              <w:rPr>
                <w:rFonts w:ascii="Cambria Math" w:eastAsia="Calibri" w:hAnsi="Cambria Math" w:cs="Arial"/>
                <w:sz w:val="20"/>
                <w:lang w:eastAsia="en-US"/>
              </w:rPr>
              <m:t>m</m:t>
            </m:r>
            <m:r>
              <m:rPr>
                <m:sty m:val="p"/>
              </m:rPr>
              <w:rPr>
                <w:rFonts w:ascii="Cambria Math" w:eastAsia="Calibri" w:hAnsi="Cambria Math" w:cs="Arial"/>
                <w:sz w:val="20"/>
                <w:lang w:eastAsia="en-US"/>
              </w:rPr>
              <m:t>²</m:t>
            </m:r>
          </m:den>
        </m:f>
      </m:oMath>
      <w:r w:rsidRPr="004A3693">
        <w:rPr>
          <w:rFonts w:ascii="Arial" w:eastAsia="Calibri" w:hAnsi="Arial" w:cs="Arial"/>
          <w:sz w:val="20"/>
          <w:lang w:eastAsia="en-US"/>
        </w:rPr>
        <w:t xml:space="preserve"> </w:t>
      </w:r>
      <w:r w:rsidRPr="004A3693">
        <w:rPr>
          <w:rFonts w:ascii="Arial" w:eastAsia="Calibri" w:hAnsi="Arial" w:cs="Arial"/>
          <w:sz w:val="20"/>
          <w:lang w:eastAsia="en-US"/>
        </w:rPr>
        <w:tab/>
        <w:t>(Eq. 1)</w:t>
      </w:r>
      <w:r w:rsidR="00F47BA8" w:rsidRPr="004A3693">
        <w:rPr>
          <w:rFonts w:ascii="Arial" w:eastAsia="Calibri" w:hAnsi="Arial" w:cs="Arial"/>
          <w:sz w:val="20"/>
          <w:lang w:eastAsia="en-US"/>
        </w:rPr>
        <w:t xml:space="preserve"> Where:</w:t>
      </w:r>
    </w:p>
    <w:p w14:paraId="6D227E81"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n: Minimum sample size required to produce significant results</w:t>
      </w:r>
    </w:p>
    <w:p w14:paraId="5F5C0AF4"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t: Confidence level (the value corresponding to a 95% confidence level is 1.96)</w:t>
      </w:r>
    </w:p>
    <w:p w14:paraId="691D28A7"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p: Estimated percentage of the population that belongs to an ABC (when unknown, p = 0.5 is used, which corresponds to the worst-case scenario, or the widest dispersion).</w:t>
      </w:r>
    </w:p>
    <w:p w14:paraId="1EAD6BBB"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m: Tolerable margin of error (e.g., we want to know the true proportion to approximately 5%).</w:t>
      </w:r>
    </w:p>
    <w:p w14:paraId="7E0AAF55"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The study sample size was determined with a 95% confidence level and a 5% margin of error.</w:t>
      </w:r>
    </w:p>
    <w:p w14:paraId="7AF55E3D" w14:textId="77777777" w:rsidR="00656440" w:rsidRPr="004A3693" w:rsidRDefault="00306D81" w:rsidP="00873ED0">
      <w:pPr>
        <w:spacing w:after="160" w:line="360" w:lineRule="auto"/>
        <w:jc w:val="both"/>
        <w:rPr>
          <w:rFonts w:ascii="Arial" w:eastAsia="Calibri" w:hAnsi="Arial" w:cs="Arial"/>
          <w:sz w:val="20"/>
          <w:lang w:eastAsia="en-US"/>
        </w:rPr>
      </w:pPr>
      <m:oMath>
        <m:r>
          <w:rPr>
            <w:rFonts w:ascii="Cambria Math" w:eastAsia="Calibri" w:hAnsi="Cambria Math" w:cs="Arial"/>
            <w:sz w:val="20"/>
            <w:lang w:eastAsia="en-US"/>
          </w:rPr>
          <m:t>n</m:t>
        </m:r>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r>
              <m:rPr>
                <m:sty m:val="p"/>
              </m:rPr>
              <w:rPr>
                <w:rFonts w:ascii="Cambria Math" w:eastAsia="Calibri" w:hAnsi="Cambria Math" w:cs="Arial"/>
                <w:sz w:val="20"/>
                <w:lang w:eastAsia="en-US"/>
              </w:rPr>
              <m:t>(1,96)²(0,5)(1-0,5)</m:t>
            </m:r>
          </m:num>
          <m:den>
            <m:r>
              <m:rPr>
                <m:sty m:val="p"/>
              </m:rPr>
              <w:rPr>
                <w:rFonts w:ascii="Cambria Math" w:eastAsia="Calibri" w:hAnsi="Cambria Math" w:cs="Arial"/>
                <w:sz w:val="20"/>
                <w:lang w:eastAsia="en-US"/>
              </w:rPr>
              <m:t>(0,05)²</m:t>
            </m:r>
          </m:den>
        </m:f>
      </m:oMath>
      <w:r w:rsidR="00873ED0" w:rsidRPr="004A3693">
        <w:rPr>
          <w:rFonts w:ascii="Arial" w:eastAsia="Calibri" w:hAnsi="Arial" w:cs="Arial"/>
          <w:sz w:val="20"/>
          <w:lang w:eastAsia="en-US"/>
        </w:rPr>
        <w:t xml:space="preserve"> =384. </w:t>
      </w:r>
    </w:p>
    <w:p w14:paraId="322D4EDC" w14:textId="77777777" w:rsidR="00656440" w:rsidRPr="004A3693" w:rsidRDefault="006F094C" w:rsidP="007F1CA8">
      <w:pPr>
        <w:jc w:val="both"/>
        <w:rPr>
          <w:rFonts w:ascii="Arial" w:eastAsia="Calibri" w:hAnsi="Arial" w:cs="Arial"/>
          <w:sz w:val="20"/>
          <w:lang w:eastAsia="en-US"/>
        </w:rPr>
      </w:pPr>
      <w:r w:rsidRPr="004A3693">
        <w:rPr>
          <w:rFonts w:ascii="Arial" w:eastAsia="Calibri" w:hAnsi="Arial" w:cs="Arial"/>
          <w:sz w:val="20"/>
          <w:lang w:eastAsia="en-US"/>
        </w:rPr>
        <w:t xml:space="preserve">I got this </w:t>
      </w:r>
      <w:r w:rsidR="001B70C0" w:rsidRPr="004A3693">
        <w:rPr>
          <w:rFonts w:ascii="Arial" w:eastAsia="Calibri" w:hAnsi="Arial" w:cs="Arial"/>
          <w:sz w:val="20"/>
          <w:lang w:eastAsia="en-US"/>
        </w:rPr>
        <w:t>result</w:t>
      </w:r>
      <w:r w:rsidR="00F47BA8" w:rsidRPr="004A3693">
        <w:rPr>
          <w:rFonts w:ascii="Arial" w:eastAsia="Calibri" w:hAnsi="Arial" w:cs="Arial"/>
          <w:sz w:val="20"/>
          <w:lang w:eastAsia="en-US"/>
        </w:rPr>
        <w:t xml:space="preserve"> in a sample size of 384 producers. This study was conducted among 360 soybean producers, of which 184 had contracts with aggregators and 176 did not. Data loss and non-response were</w:t>
      </w:r>
      <w:r w:rsidRPr="004A3693">
        <w:rPr>
          <w:rFonts w:ascii="Arial" w:eastAsia="Calibri" w:hAnsi="Arial" w:cs="Arial"/>
          <w:sz w:val="20"/>
          <w:lang w:eastAsia="en-US"/>
        </w:rPr>
        <w:t xml:space="preserve"> a factor</w:t>
      </w:r>
      <w:r w:rsidR="00F47BA8" w:rsidRPr="004A3693">
        <w:rPr>
          <w:rFonts w:ascii="Arial" w:eastAsia="Calibri" w:hAnsi="Arial" w:cs="Arial"/>
          <w:sz w:val="20"/>
          <w:lang w:eastAsia="en-US"/>
        </w:rPr>
        <w:t>.</w:t>
      </w:r>
    </w:p>
    <w:p w14:paraId="0F371BC7"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lastRenderedPageBreak/>
        <w:t>The unit of observation in this study is the soybean farm, regardless of whether it belongs to an agribusiness cluster. In the municipalities of the study area, 59 to 75 producers belonging to an agribusiness cluster were randomly identified. Similarly, 45 to 61 soybean producers not participating in an agribusiness cluster were sampled.</w:t>
      </w:r>
    </w:p>
    <w:p w14:paraId="50314A34" w14:textId="77777777" w:rsidR="00656440" w:rsidRPr="004A6BF6" w:rsidRDefault="00456322"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 xml:space="preserve">2.3 </w:t>
      </w:r>
      <w:r w:rsidR="00F47BA8" w:rsidRPr="004A6BF6">
        <w:rPr>
          <w:rFonts w:ascii="Arial" w:eastAsia="Times New Roman" w:hAnsi="Arial" w:cs="Arial"/>
          <w:b/>
          <w:caps/>
          <w:szCs w:val="20"/>
          <w:lang w:eastAsia="en-US"/>
        </w:rPr>
        <w:t>Data</w:t>
      </w:r>
    </w:p>
    <w:p w14:paraId="0DF88D7A" w14:textId="77777777" w:rsidR="00656440" w:rsidRPr="004A3693" w:rsidRDefault="00F47BA8" w:rsidP="00456322">
      <w:pPr>
        <w:jc w:val="both"/>
        <w:rPr>
          <w:rFonts w:ascii="Arial" w:eastAsia="Calibri" w:hAnsi="Arial" w:cs="Arial"/>
          <w:sz w:val="20"/>
          <w:lang w:eastAsia="en-US"/>
        </w:rPr>
      </w:pPr>
      <w:r w:rsidRPr="004A3693">
        <w:rPr>
          <w:rFonts w:ascii="Arial" w:eastAsia="Calibri" w:hAnsi="Arial" w:cs="Arial"/>
          <w:sz w:val="20"/>
          <w:lang w:eastAsia="en-US"/>
        </w:rPr>
        <w:t>Two methods are used to obtain data for the Best-Worst Scaling method: the two-level orthogonal main-effect design (OMED) and the balanced incomplete block design (BIBD). In this research, the balanced incomplete block design was used to obtain the data.</w:t>
      </w:r>
    </w:p>
    <w:p w14:paraId="135839F8" w14:textId="77777777" w:rsidR="00656440" w:rsidRPr="004A3693" w:rsidRDefault="00F47BA8" w:rsidP="00456322">
      <w:pPr>
        <w:jc w:val="both"/>
        <w:rPr>
          <w:rFonts w:ascii="Arial" w:eastAsia="Calibri" w:hAnsi="Arial" w:cs="Arial"/>
          <w:sz w:val="20"/>
          <w:lang w:eastAsia="en-US"/>
        </w:rPr>
      </w:pPr>
      <w:r w:rsidRPr="004A3693">
        <w:rPr>
          <w:rFonts w:ascii="Arial" w:eastAsia="Calibri" w:hAnsi="Arial" w:cs="Arial"/>
          <w:sz w:val="20"/>
          <w:lang w:eastAsia="en-US"/>
        </w:rPr>
        <w:t>Data collection was carried out in two stages. First, an exploratory phase allowed for the identification of villages and farmers who would participate in this study. This primary data was collected using a struct</w:t>
      </w:r>
      <w:r w:rsidR="00504C28">
        <w:rPr>
          <w:rFonts w:ascii="Arial" w:eastAsia="Calibri" w:hAnsi="Arial" w:cs="Arial"/>
          <w:sz w:val="20"/>
          <w:lang w:eastAsia="en-US"/>
        </w:rPr>
        <w:t xml:space="preserve">ured questionnaire via the </w:t>
      </w:r>
      <w:proofErr w:type="spellStart"/>
      <w:r w:rsidR="00504C28">
        <w:rPr>
          <w:rFonts w:ascii="Arial" w:eastAsia="Calibri" w:hAnsi="Arial" w:cs="Arial"/>
          <w:sz w:val="20"/>
          <w:lang w:eastAsia="en-US"/>
        </w:rPr>
        <w:t>KoboC</w:t>
      </w:r>
      <w:r w:rsidRPr="004A3693">
        <w:rPr>
          <w:rFonts w:ascii="Arial" w:eastAsia="Calibri" w:hAnsi="Arial" w:cs="Arial"/>
          <w:sz w:val="20"/>
          <w:lang w:eastAsia="en-US"/>
        </w:rPr>
        <w:t>ollect</w:t>
      </w:r>
      <w:proofErr w:type="spellEnd"/>
      <w:r w:rsidRPr="004A3693">
        <w:rPr>
          <w:rFonts w:ascii="Arial" w:eastAsia="Calibri" w:hAnsi="Arial" w:cs="Arial"/>
          <w:sz w:val="20"/>
          <w:lang w:eastAsia="en-US"/>
        </w:rPr>
        <w:t xml:space="preserve"> application from the producers selected for this study. A total of 360 producers were included. The face-to-face interviews lasted 30 to 50 minutes per producer and were conducted over three weeks between February and March 2023. It should be noted that the vast majority of interviews were conducted in the local language, which facilitated effective information gathering. The first part of the questionnaire concerned the socio-economic characteristics of the producers, while the second part focused on the producers' preferences for the services offered by the ABC. Thus, data was collected from soybean producers who belong to an ABC and those who do not.</w:t>
      </w:r>
      <w:r w:rsidR="004A3693">
        <w:rPr>
          <w:rFonts w:ascii="Arial" w:eastAsia="Calibri" w:hAnsi="Arial" w:cs="Arial"/>
          <w:sz w:val="20"/>
          <w:lang w:eastAsia="en-US"/>
        </w:rPr>
        <w:t xml:space="preserve"> </w:t>
      </w:r>
      <w:r w:rsidRPr="004A3693">
        <w:rPr>
          <w:rFonts w:ascii="Arial" w:eastAsia="Calibri" w:hAnsi="Arial" w:cs="Arial"/>
          <w:sz w:val="20"/>
          <w:lang w:eastAsia="en-US"/>
        </w:rPr>
        <w:t xml:space="preserve">The questionnaire used seven (7) balanced blocks, each comprising three (3) items. Note that the blocks are balanced in relation to the lines and options, which were randomly repeated the same number of times in the questionnaire to maintain the principle of likelihood. After the exploratory phase, seven (7) items were therefore identified by the producers and some technicians who implement the ABC. Using the software, the questionnaire was generated, comprising 7 blocks of 3 items each. This questionnaire was then digitized on the </w:t>
      </w:r>
      <w:proofErr w:type="spellStart"/>
      <w:r w:rsidRPr="004A3693">
        <w:rPr>
          <w:rFonts w:ascii="Arial" w:eastAsia="Calibri" w:hAnsi="Arial" w:cs="Arial"/>
          <w:sz w:val="20"/>
          <w:lang w:eastAsia="en-US"/>
        </w:rPr>
        <w:t>Kobocollect</w:t>
      </w:r>
      <w:proofErr w:type="spellEnd"/>
      <w:r w:rsidRPr="004A3693">
        <w:rPr>
          <w:rFonts w:ascii="Arial" w:eastAsia="Calibri" w:hAnsi="Arial" w:cs="Arial"/>
          <w:sz w:val="20"/>
          <w:lang w:eastAsia="en-US"/>
        </w:rPr>
        <w:t xml:space="preserve"> application to avoid errors. Of the seven questions that constitute the blocks, each producer surveyed was asked to choose the most and least important of the three items presented per question.</w:t>
      </w:r>
    </w:p>
    <w:p w14:paraId="3AB49EDC" w14:textId="77777777" w:rsidR="00656440" w:rsidRPr="00081764" w:rsidRDefault="00F47BA8" w:rsidP="00AC5E8D">
      <w:pPr>
        <w:jc w:val="both"/>
        <w:rPr>
          <w:rFonts w:ascii="Times New Roman" w:hAnsi="Times New Roman"/>
          <w:b/>
          <w:bCs/>
          <w:sz w:val="24"/>
          <w:szCs w:val="24"/>
        </w:rPr>
      </w:pPr>
      <w:r w:rsidRPr="00081764">
        <w:rPr>
          <w:rFonts w:ascii="Times New Roman" w:hAnsi="Times New Roman"/>
          <w:b/>
          <w:bCs/>
          <w:sz w:val="24"/>
          <w:szCs w:val="24"/>
        </w:rPr>
        <w:t>Table 1: Example of a question on the criterion for choosing services offered by the ABC</w:t>
      </w:r>
    </w:p>
    <w:tbl>
      <w:tblPr>
        <w:tblW w:w="8723" w:type="dxa"/>
        <w:tblCellMar>
          <w:top w:w="7" w:type="dxa"/>
          <w:right w:w="74" w:type="dxa"/>
        </w:tblCellMar>
        <w:tblLook w:val="04A0" w:firstRow="1" w:lastRow="0" w:firstColumn="1" w:lastColumn="0" w:noHBand="0" w:noVBand="1"/>
      </w:tblPr>
      <w:tblGrid>
        <w:gridCol w:w="2191"/>
        <w:gridCol w:w="3980"/>
        <w:gridCol w:w="2552"/>
      </w:tblGrid>
      <w:tr w:rsidR="005706B5" w:rsidRPr="005706B5" w14:paraId="3F02AE69" w14:textId="77777777" w:rsidTr="00081764">
        <w:trPr>
          <w:trHeight w:val="274"/>
        </w:trPr>
        <w:tc>
          <w:tcPr>
            <w:tcW w:w="2191" w:type="dxa"/>
            <w:tcBorders>
              <w:top w:val="single" w:sz="4" w:space="0" w:color="000000"/>
              <w:left w:val="single" w:sz="4" w:space="0" w:color="000000"/>
              <w:bottom w:val="single" w:sz="4" w:space="0" w:color="000000"/>
              <w:right w:val="single" w:sz="4" w:space="0" w:color="000000"/>
            </w:tcBorders>
          </w:tcPr>
          <w:p w14:paraId="3E3F2780" w14:textId="77777777" w:rsidR="005706B5" w:rsidRPr="004A3693" w:rsidRDefault="00E132BD" w:rsidP="004A3693">
            <w:pPr>
              <w:jc w:val="both"/>
              <w:rPr>
                <w:rFonts w:ascii="Arial" w:eastAsia="Calibri" w:hAnsi="Arial" w:cs="Arial"/>
                <w:sz w:val="20"/>
                <w:lang w:eastAsia="en-US"/>
              </w:rPr>
            </w:pPr>
            <w:r w:rsidRPr="004A3693">
              <w:rPr>
                <w:rFonts w:ascii="Arial" w:eastAsia="Calibri" w:hAnsi="Arial" w:cs="Arial"/>
                <w:sz w:val="20"/>
                <w:lang w:eastAsia="en-US"/>
              </w:rPr>
              <w:t>More</w:t>
            </w:r>
            <w:r w:rsidR="005706B5" w:rsidRPr="004A3693">
              <w:rPr>
                <w:rFonts w:ascii="Arial" w:eastAsia="Calibri" w:hAnsi="Arial" w:cs="Arial"/>
                <w:sz w:val="20"/>
                <w:lang w:eastAsia="en-US"/>
              </w:rPr>
              <w:t xml:space="preserve"> important </w:t>
            </w:r>
          </w:p>
        </w:tc>
        <w:tc>
          <w:tcPr>
            <w:tcW w:w="3980" w:type="dxa"/>
            <w:tcBorders>
              <w:top w:val="single" w:sz="4" w:space="0" w:color="000000"/>
              <w:left w:val="single" w:sz="4" w:space="0" w:color="000000"/>
              <w:bottom w:val="single" w:sz="4" w:space="0" w:color="000000"/>
              <w:right w:val="single" w:sz="4" w:space="0" w:color="000000"/>
            </w:tcBorders>
          </w:tcPr>
          <w:p w14:paraId="17DB4194"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Question 1 </w:t>
            </w:r>
          </w:p>
        </w:tc>
        <w:tc>
          <w:tcPr>
            <w:tcW w:w="2552" w:type="dxa"/>
            <w:tcBorders>
              <w:top w:val="single" w:sz="4" w:space="0" w:color="000000"/>
              <w:left w:val="single" w:sz="4" w:space="0" w:color="000000"/>
              <w:bottom w:val="single" w:sz="4" w:space="0" w:color="000000"/>
              <w:right w:val="single" w:sz="4" w:space="0" w:color="000000"/>
            </w:tcBorders>
          </w:tcPr>
          <w:p w14:paraId="516F89B4" w14:textId="77777777" w:rsidR="005706B5" w:rsidRPr="004A3693" w:rsidRDefault="00E132BD"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Less</w:t>
            </w:r>
            <w:r w:rsidR="005706B5" w:rsidRPr="004A3693">
              <w:rPr>
                <w:rFonts w:ascii="Arial" w:eastAsia="Calibri" w:hAnsi="Arial" w:cs="Arial"/>
                <w:sz w:val="20"/>
                <w:lang w:eastAsia="en-US"/>
              </w:rPr>
              <w:t xml:space="preserve"> important </w:t>
            </w:r>
          </w:p>
        </w:tc>
      </w:tr>
      <w:tr w:rsidR="005706B5" w:rsidRPr="005706B5" w14:paraId="738B5916" w14:textId="77777777" w:rsidTr="00081764">
        <w:trPr>
          <w:trHeight w:val="269"/>
        </w:trPr>
        <w:tc>
          <w:tcPr>
            <w:tcW w:w="2191" w:type="dxa"/>
            <w:tcBorders>
              <w:top w:val="single" w:sz="4" w:space="0" w:color="000000"/>
              <w:left w:val="single" w:sz="4" w:space="0" w:color="000000"/>
              <w:bottom w:val="single" w:sz="4" w:space="0" w:color="000000"/>
              <w:right w:val="single" w:sz="4" w:space="0" w:color="000000"/>
            </w:tcBorders>
          </w:tcPr>
          <w:p w14:paraId="64E9BAD3"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c>
          <w:tcPr>
            <w:tcW w:w="3980" w:type="dxa"/>
            <w:tcBorders>
              <w:top w:val="single" w:sz="4" w:space="0" w:color="000000"/>
              <w:left w:val="single" w:sz="4" w:space="0" w:color="000000"/>
              <w:bottom w:val="single" w:sz="4" w:space="0" w:color="000000"/>
              <w:right w:val="single" w:sz="4" w:space="0" w:color="000000"/>
            </w:tcBorders>
          </w:tcPr>
          <w:p w14:paraId="75B111D5" w14:textId="77777777" w:rsidR="005706B5" w:rsidRPr="004A3693" w:rsidRDefault="00E132BD"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all technical support </w:t>
            </w:r>
          </w:p>
        </w:tc>
        <w:tc>
          <w:tcPr>
            <w:tcW w:w="2552" w:type="dxa"/>
            <w:tcBorders>
              <w:top w:val="single" w:sz="4" w:space="0" w:color="000000"/>
              <w:left w:val="single" w:sz="4" w:space="0" w:color="000000"/>
              <w:bottom w:val="single" w:sz="4" w:space="0" w:color="000000"/>
              <w:right w:val="single" w:sz="4" w:space="0" w:color="000000"/>
            </w:tcBorders>
          </w:tcPr>
          <w:p w14:paraId="250608C6"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r>
      <w:tr w:rsidR="005706B5" w:rsidRPr="005706B5" w14:paraId="5897D178" w14:textId="77777777" w:rsidTr="00081764">
        <w:trPr>
          <w:trHeight w:val="274"/>
        </w:trPr>
        <w:tc>
          <w:tcPr>
            <w:tcW w:w="2191" w:type="dxa"/>
            <w:tcBorders>
              <w:top w:val="single" w:sz="4" w:space="0" w:color="000000"/>
              <w:left w:val="single" w:sz="4" w:space="0" w:color="000000"/>
              <w:bottom w:val="single" w:sz="4" w:space="0" w:color="000000"/>
              <w:right w:val="single" w:sz="4" w:space="0" w:color="000000"/>
            </w:tcBorders>
          </w:tcPr>
          <w:p w14:paraId="43E593EF"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c>
          <w:tcPr>
            <w:tcW w:w="3980" w:type="dxa"/>
            <w:tcBorders>
              <w:top w:val="single" w:sz="4" w:space="0" w:color="000000"/>
              <w:left w:val="single" w:sz="4" w:space="0" w:color="000000"/>
              <w:bottom w:val="single" w:sz="4" w:space="0" w:color="000000"/>
              <w:right w:val="single" w:sz="4" w:space="0" w:color="000000"/>
            </w:tcBorders>
          </w:tcPr>
          <w:p w14:paraId="596903E0" w14:textId="77777777" w:rsidR="005706B5" w:rsidRPr="004A3693" w:rsidRDefault="00637782"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Access to agricultural credit</w:t>
            </w:r>
          </w:p>
        </w:tc>
        <w:tc>
          <w:tcPr>
            <w:tcW w:w="2552" w:type="dxa"/>
            <w:tcBorders>
              <w:top w:val="single" w:sz="4" w:space="0" w:color="000000"/>
              <w:left w:val="single" w:sz="4" w:space="0" w:color="000000"/>
              <w:bottom w:val="single" w:sz="4" w:space="0" w:color="000000"/>
              <w:right w:val="single" w:sz="4" w:space="0" w:color="000000"/>
            </w:tcBorders>
          </w:tcPr>
          <w:p w14:paraId="2CC6903A"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r>
      <w:tr w:rsidR="005706B5" w:rsidRPr="005706B5" w14:paraId="73D7C56D" w14:textId="77777777" w:rsidTr="00081764">
        <w:trPr>
          <w:trHeight w:val="269"/>
        </w:trPr>
        <w:tc>
          <w:tcPr>
            <w:tcW w:w="2191" w:type="dxa"/>
            <w:tcBorders>
              <w:top w:val="single" w:sz="4" w:space="0" w:color="000000"/>
              <w:left w:val="single" w:sz="4" w:space="0" w:color="000000"/>
              <w:bottom w:val="single" w:sz="4" w:space="0" w:color="000000"/>
              <w:right w:val="single" w:sz="4" w:space="0" w:color="000000"/>
            </w:tcBorders>
          </w:tcPr>
          <w:p w14:paraId="534BBE9C"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c>
          <w:tcPr>
            <w:tcW w:w="3980" w:type="dxa"/>
            <w:tcBorders>
              <w:top w:val="single" w:sz="4" w:space="0" w:color="000000"/>
              <w:left w:val="single" w:sz="4" w:space="0" w:color="000000"/>
              <w:bottom w:val="single" w:sz="4" w:space="0" w:color="000000"/>
              <w:right w:val="single" w:sz="4" w:space="0" w:color="000000"/>
            </w:tcBorders>
          </w:tcPr>
          <w:p w14:paraId="1BDC5498" w14:textId="77777777" w:rsidR="005706B5" w:rsidRPr="004A3693" w:rsidRDefault="00637782"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Access to certified seed </w:t>
            </w:r>
          </w:p>
        </w:tc>
        <w:tc>
          <w:tcPr>
            <w:tcW w:w="2552" w:type="dxa"/>
            <w:tcBorders>
              <w:top w:val="single" w:sz="4" w:space="0" w:color="000000"/>
              <w:left w:val="single" w:sz="4" w:space="0" w:color="000000"/>
              <w:bottom w:val="single" w:sz="4" w:space="0" w:color="000000"/>
              <w:right w:val="single" w:sz="4" w:space="0" w:color="000000"/>
            </w:tcBorders>
          </w:tcPr>
          <w:p w14:paraId="6EA6109A"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r>
    </w:tbl>
    <w:p w14:paraId="37BDCC93" w14:textId="77777777" w:rsidR="005706B5" w:rsidRPr="00081764" w:rsidRDefault="005706B5" w:rsidP="007F1CA8">
      <w:pPr>
        <w:jc w:val="both"/>
        <w:rPr>
          <w:rFonts w:ascii="Times New Roman" w:hAnsi="Times New Roman"/>
          <w:sz w:val="24"/>
          <w:szCs w:val="24"/>
        </w:rPr>
      </w:pPr>
    </w:p>
    <w:p w14:paraId="075E057D" w14:textId="77777777" w:rsidR="00656440" w:rsidRPr="004A6BF6" w:rsidRDefault="008908B3"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 xml:space="preserve">2.4 </w:t>
      </w:r>
      <w:r w:rsidR="00F47BA8" w:rsidRPr="004A6BF6">
        <w:rPr>
          <w:rFonts w:ascii="Arial" w:eastAsia="Times New Roman" w:hAnsi="Arial" w:cs="Arial"/>
          <w:b/>
          <w:caps/>
          <w:szCs w:val="20"/>
          <w:lang w:eastAsia="en-US"/>
        </w:rPr>
        <w:t>Best-Worst Scaling Conceptual Framework</w:t>
      </w:r>
    </w:p>
    <w:p w14:paraId="3D0536F8" w14:textId="77777777" w:rsidR="00656440" w:rsidRPr="004A3693" w:rsidRDefault="00F47BA8" w:rsidP="004304C6">
      <w:pPr>
        <w:jc w:val="both"/>
        <w:rPr>
          <w:rFonts w:ascii="Arial" w:eastAsia="Calibri" w:hAnsi="Arial" w:cs="Arial"/>
          <w:sz w:val="20"/>
          <w:lang w:eastAsia="en-US"/>
        </w:rPr>
      </w:pPr>
      <w:r w:rsidRPr="004A3693">
        <w:rPr>
          <w:rFonts w:ascii="Arial" w:eastAsia="Calibri" w:hAnsi="Arial" w:cs="Arial"/>
          <w:sz w:val="20"/>
          <w:lang w:eastAsia="en-US"/>
        </w:rPr>
        <w:t xml:space="preserve">The Best-Worst Scaling (BWS) method, also known as maximum difference scaling, is an experimental economics technique used to assess the relative importance of individual preferences for attributes within a product, good, or service (Finn &amp; Louviere, 1992). Widely applied in consumer behavior studies, BWS aligns with random utility theory. Originating in 1987 at the University of Alberta, the method is credited to Jordan Louviere. Louviere suggests that BWS offers advantages over traditional rating or ranking methods by enabling respondents to make comparative judgments without discrimination (RABE et al., 2018). Its versatility makes it applicable across various research domains, including agri-food, medical, and environmental studies. This research leverages BWS to understand producer satisfaction with services </w:t>
      </w:r>
      <w:r w:rsidRPr="004A3693">
        <w:rPr>
          <w:rFonts w:ascii="Arial" w:eastAsia="Calibri" w:hAnsi="Arial" w:cs="Arial"/>
          <w:sz w:val="20"/>
          <w:lang w:eastAsia="en-US"/>
        </w:rPr>
        <w:lastRenderedPageBreak/>
        <w:t>offered by their agribusiness clusters. While several modeling approaches can be applied to analyze respondent choices, mixed logit models are frequently used due to their ability to accommodate diverse producer behaviors. Modeling producer preferences in this way is crucial for the effective implementation of cluster tools, offering insights into how these tools can be optimized.</w:t>
      </w:r>
    </w:p>
    <w:p w14:paraId="0C1AA888" w14:textId="77777777" w:rsidR="00656440" w:rsidRDefault="00F47BA8" w:rsidP="005813CF">
      <w:pPr>
        <w:jc w:val="both"/>
        <w:rPr>
          <w:rFonts w:ascii="Arial" w:eastAsia="Calibri" w:hAnsi="Arial" w:cs="Arial"/>
          <w:sz w:val="20"/>
          <w:lang w:eastAsia="en-US"/>
        </w:rPr>
      </w:pPr>
      <w:r w:rsidRPr="004A3693">
        <w:rPr>
          <w:rFonts w:ascii="Arial" w:eastAsia="Calibri" w:hAnsi="Arial" w:cs="Arial"/>
          <w:sz w:val="20"/>
          <w:lang w:eastAsia="en-US"/>
        </w:rPr>
        <w:t>The analysis of choice question responses is based on the random utility framework proposed by (McFadden, 1974). This framework divides the utility function into two components: a systematic part, which is assumed to be dependent on attributes, and a stochastic part, which captures unobserved preferences (Train, 2009).</w:t>
      </w:r>
    </w:p>
    <w:p w14:paraId="10749AC6" w14:textId="77777777" w:rsidR="005C3C07" w:rsidRPr="005C3C07" w:rsidRDefault="005C3C07" w:rsidP="005813CF">
      <w:pPr>
        <w:jc w:val="both"/>
        <w:rPr>
          <w:rFonts w:ascii="Arial" w:eastAsia="Calibri" w:hAnsi="Arial" w:cs="Arial"/>
          <w:b/>
          <w:bCs/>
          <w:sz w:val="20"/>
          <w:lang w:eastAsia="en-US"/>
        </w:rPr>
      </w:pPr>
    </w:p>
    <w:p w14:paraId="2DDF11AA" w14:textId="2C2BC837" w:rsidR="005C3C07" w:rsidRPr="005C3C07" w:rsidRDefault="005C3C07" w:rsidP="005813CF">
      <w:pPr>
        <w:jc w:val="both"/>
        <w:rPr>
          <w:rFonts w:ascii="Arial" w:eastAsia="Calibri" w:hAnsi="Arial" w:cs="Arial"/>
          <w:b/>
          <w:bCs/>
          <w:sz w:val="20"/>
          <w:lang w:eastAsia="en-US"/>
        </w:rPr>
      </w:pPr>
      <w:r w:rsidRPr="005C3C07">
        <w:rPr>
          <w:rFonts w:ascii="Arial" w:eastAsia="Calibri" w:hAnsi="Arial" w:cs="Arial"/>
          <w:b/>
          <w:bCs/>
          <w:sz w:val="20"/>
          <w:lang w:eastAsia="en-US"/>
        </w:rPr>
        <w:t>RESULTS AND DISCUSSION</w:t>
      </w:r>
    </w:p>
    <w:p w14:paraId="75C0141D" w14:textId="77777777" w:rsidR="00656440" w:rsidRPr="004A6BF6" w:rsidRDefault="005813CF"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 xml:space="preserve">2.5 </w:t>
      </w:r>
      <w:r w:rsidR="00F47BA8" w:rsidRPr="004A6BF6">
        <w:rPr>
          <w:rFonts w:ascii="Arial" w:eastAsia="Times New Roman" w:hAnsi="Arial" w:cs="Arial"/>
          <w:b/>
          <w:caps/>
          <w:szCs w:val="20"/>
          <w:lang w:eastAsia="en-US"/>
        </w:rPr>
        <w:t>Data Analysis</w:t>
      </w:r>
    </w:p>
    <w:p w14:paraId="64D08AE7" w14:textId="77777777" w:rsidR="00656440" w:rsidRPr="004A3693" w:rsidRDefault="00F47BA8" w:rsidP="00E64272">
      <w:pPr>
        <w:jc w:val="both"/>
        <w:rPr>
          <w:rFonts w:ascii="Arial" w:eastAsia="Calibri" w:hAnsi="Arial" w:cs="Arial"/>
          <w:sz w:val="20"/>
          <w:lang w:eastAsia="en-US"/>
        </w:rPr>
      </w:pPr>
      <w:r w:rsidRPr="004A3693">
        <w:rPr>
          <w:rFonts w:ascii="Arial" w:eastAsia="Calibri" w:hAnsi="Arial" w:cs="Arial"/>
          <w:sz w:val="20"/>
          <w:lang w:eastAsia="en-US"/>
        </w:rPr>
        <w:t xml:space="preserve">This study employs satisfaction analysis using the Best-Worst Scaling (BWS) method to identify the preferred services of soybean producers. The goal is to enhance these services or eliminate those that are less important or satisfactory to producers. According to Amadou (2014) and RABE et al. (2018), a set of *k* elements yields *k*(k-1) possible combinations. Selecting the most and least important options from these *k*(k-1) combinations corresponds to a maximum distribution of the difference in proposed choices. </w:t>
      </w:r>
      <w:proofErr w:type="spellStart"/>
      <w:r w:rsidRPr="004A3693">
        <w:rPr>
          <w:rFonts w:ascii="Arial" w:eastAsia="Calibri" w:hAnsi="Arial" w:cs="Arial"/>
          <w:sz w:val="20"/>
          <w:lang w:eastAsia="en-US"/>
        </w:rPr>
        <w:t>Βk</w:t>
      </w:r>
      <w:proofErr w:type="spellEnd"/>
      <w:r w:rsidRPr="004A3693">
        <w:rPr>
          <w:rFonts w:ascii="Arial" w:eastAsia="Calibri" w:hAnsi="Arial" w:cs="Arial"/>
          <w:sz w:val="20"/>
          <w:lang w:eastAsia="en-US"/>
        </w:rPr>
        <w:t xml:space="preserve"> represents the position of value *k* on the specific importance scale. Therefore, an unobserved level of importance for individual *</w:t>
      </w:r>
      <w:proofErr w:type="spellStart"/>
      <w:r w:rsidRPr="004A3693">
        <w:rPr>
          <w:rFonts w:ascii="Arial" w:eastAsia="Calibri" w:hAnsi="Arial" w:cs="Arial"/>
          <w:sz w:val="20"/>
          <w:lang w:eastAsia="en-US"/>
        </w:rPr>
        <w:t>i</w:t>
      </w:r>
      <w:proofErr w:type="spellEnd"/>
      <w:r w:rsidRPr="004A3693">
        <w:rPr>
          <w:rFonts w:ascii="Arial" w:eastAsia="Calibri" w:hAnsi="Arial" w:cs="Arial"/>
          <w:sz w:val="20"/>
          <w:lang w:eastAsia="en-US"/>
        </w:rPr>
        <w:t>* can be expressed as</w:t>
      </w:r>
      <w:r w:rsidR="00E64272" w:rsidRPr="004A3693">
        <w:rPr>
          <w:rFonts w:ascii="Arial" w:eastAsia="Calibri" w:hAnsi="Arial" w:cs="Arial"/>
          <w:sz w:val="20"/>
          <w:lang w:eastAsia="en-US"/>
        </w:rPr>
        <w:t xml:space="preserve"> follow</w:t>
      </w:r>
      <w:r w:rsidRPr="004A3693">
        <w:rPr>
          <w:rFonts w:ascii="Arial" w:eastAsia="Calibri" w:hAnsi="Arial" w:cs="Arial"/>
          <w:sz w:val="20"/>
          <w:lang w:eastAsia="en-US"/>
        </w:rPr>
        <w:t>:</w:t>
      </w:r>
    </w:p>
    <w:p w14:paraId="2F6DAF30" w14:textId="77777777" w:rsidR="00656440" w:rsidRPr="004A3693" w:rsidRDefault="00E603C7" w:rsidP="003C13A5">
      <w:pPr>
        <w:jc w:val="both"/>
        <w:rPr>
          <w:rFonts w:ascii="Arial" w:eastAsia="Calibri" w:hAnsi="Arial" w:cs="Arial"/>
          <w:sz w:val="20"/>
          <w:lang w:eastAsia="en-US"/>
        </w:rPr>
      </w:pPr>
      <m:oMath>
        <m:sSub>
          <m:sSubPr>
            <m:ctrlPr>
              <w:rPr>
                <w:rFonts w:ascii="Cambria Math" w:eastAsia="Calibri" w:hAnsi="Cambria Math" w:cs="Arial"/>
                <w:sz w:val="20"/>
                <w:lang w:eastAsia="en-US"/>
              </w:rPr>
            </m:ctrlPr>
          </m:sSubPr>
          <m:e>
            <m:r>
              <w:rPr>
                <w:rFonts w:ascii="Cambria Math" w:eastAsia="Calibri" w:hAnsi="Cambria Math" w:cs="Arial"/>
                <w:sz w:val="20"/>
                <w:lang w:eastAsia="en-US"/>
              </w:rPr>
              <m:t>P</m:t>
            </m:r>
          </m:e>
          <m:sub>
            <m:r>
              <w:rPr>
                <w:rFonts w:ascii="Cambria Math" w:eastAsia="Calibri" w:hAnsi="Cambria Math" w:cs="Arial"/>
                <w:sz w:val="20"/>
                <w:lang w:eastAsia="en-US"/>
              </w:rPr>
              <m:t>ik</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β</m:t>
            </m:r>
          </m:e>
          <m:sub>
            <m:r>
              <w:rPr>
                <w:rFonts w:ascii="Cambria Math" w:eastAsia="Calibri" w:hAnsi="Cambria Math" w:cs="Arial"/>
                <w:sz w:val="20"/>
                <w:lang w:eastAsia="en-US"/>
              </w:rPr>
              <m:t>k</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ε</m:t>
            </m:r>
          </m:e>
          <m:sub>
            <m:r>
              <w:rPr>
                <w:rFonts w:ascii="Cambria Math" w:eastAsia="Calibri" w:hAnsi="Cambria Math" w:cs="Arial"/>
                <w:sz w:val="20"/>
                <w:lang w:eastAsia="en-US"/>
              </w:rPr>
              <m:t>ik</m:t>
            </m:r>
          </m:sub>
        </m:sSub>
      </m:oMath>
      <w:r w:rsidR="00E64272" w:rsidRPr="004A3693">
        <w:rPr>
          <w:rFonts w:ascii="Arial" w:eastAsia="Calibri" w:hAnsi="Arial" w:cs="Arial"/>
          <w:sz w:val="20"/>
          <w:lang w:eastAsia="en-US"/>
        </w:rPr>
        <w:t xml:space="preserve">, </w:t>
      </w:r>
      <w:proofErr w:type="gramStart"/>
      <w:r w:rsidR="00F47BA8" w:rsidRPr="004A3693">
        <w:rPr>
          <w:rFonts w:ascii="Arial" w:eastAsia="Calibri" w:hAnsi="Arial" w:cs="Arial"/>
          <w:sz w:val="20"/>
          <w:lang w:eastAsia="en-US"/>
        </w:rPr>
        <w:t xml:space="preserve">where </w:t>
      </w:r>
      <w:r w:rsidR="00BC188A" w:rsidRPr="004A3693">
        <w:rPr>
          <w:rFonts w:ascii="Arial" w:eastAsia="Calibri" w:hAnsi="Arial" w:cs="Arial"/>
          <w:sz w:val="20"/>
          <w:lang w:eastAsia="en-US"/>
        </w:rPr>
        <w:t xml:space="preserve"> </w:t>
      </w:r>
      <w:r w:rsidR="001D2AD6" w:rsidRPr="004A3693">
        <w:rPr>
          <w:rFonts w:ascii="Arial" w:eastAsia="Calibri" w:hAnsi="Arial" w:cs="Arial"/>
          <w:sz w:val="20"/>
          <w:lang w:eastAsia="en-US"/>
        </w:rPr>
        <w:t>Pik</w:t>
      </w:r>
      <w:proofErr w:type="gramEnd"/>
      <w:r w:rsidR="00F47BA8" w:rsidRPr="004A3693">
        <w:rPr>
          <w:rFonts w:ascii="Arial" w:eastAsia="Calibri" w:hAnsi="Arial" w:cs="Arial"/>
          <w:sz w:val="20"/>
          <w:lang w:eastAsia="en-US"/>
        </w:rPr>
        <w:t xml:space="preserve"> </w:t>
      </w:r>
      <w:r w:rsidR="00BC188A" w:rsidRPr="004A3693">
        <w:rPr>
          <w:rFonts w:ascii="Arial" w:eastAsia="Calibri" w:hAnsi="Arial" w:cs="Arial"/>
          <w:sz w:val="20"/>
          <w:lang w:eastAsia="en-US"/>
        </w:rPr>
        <w:t xml:space="preserve">  </w:t>
      </w:r>
      <w:r w:rsidR="00F47BA8" w:rsidRPr="004A3693">
        <w:rPr>
          <w:rFonts w:ascii="Arial" w:eastAsia="Calibri" w:hAnsi="Arial" w:cs="Arial"/>
          <w:sz w:val="20"/>
          <w:lang w:eastAsia="en-US"/>
        </w:rPr>
        <w:t>is the true level of importance for individual *</w:t>
      </w:r>
      <w:proofErr w:type="spellStart"/>
      <w:r w:rsidR="00F47BA8" w:rsidRPr="004A3693">
        <w:rPr>
          <w:rFonts w:ascii="Arial" w:eastAsia="Calibri" w:hAnsi="Arial" w:cs="Arial"/>
          <w:sz w:val="20"/>
          <w:lang w:eastAsia="en-US"/>
        </w:rPr>
        <w:t>i</w:t>
      </w:r>
      <w:proofErr w:type="spellEnd"/>
      <w:r w:rsidR="00F47BA8" w:rsidRPr="004A3693">
        <w:rPr>
          <w:rFonts w:ascii="Arial" w:eastAsia="Calibri" w:hAnsi="Arial" w:cs="Arial"/>
          <w:sz w:val="20"/>
          <w:lang w:eastAsia="en-US"/>
        </w:rPr>
        <w:t xml:space="preserve">*, and </w:t>
      </w:r>
      <w:proofErr w:type="spellStart"/>
      <w:r w:rsidR="00F47BA8" w:rsidRPr="004A3693">
        <w:rPr>
          <w:rFonts w:ascii="Arial" w:eastAsia="Calibri" w:hAnsi="Arial" w:cs="Arial"/>
          <w:sz w:val="20"/>
          <w:lang w:eastAsia="en-US"/>
        </w:rPr>
        <w:t>εik</w:t>
      </w:r>
      <w:proofErr w:type="spellEnd"/>
      <w:r w:rsidR="00F47BA8" w:rsidRPr="004A3693">
        <w:rPr>
          <w:rFonts w:ascii="Arial" w:eastAsia="Calibri" w:hAnsi="Arial" w:cs="Arial"/>
          <w:sz w:val="20"/>
          <w:lang w:eastAsia="en-US"/>
        </w:rPr>
        <w:t xml:space="preserve"> is an error term accounting for unobserved factors.</w:t>
      </w:r>
      <w:r w:rsidR="00BC188A" w:rsidRPr="004A3693">
        <w:rPr>
          <w:rFonts w:ascii="Arial" w:eastAsia="Calibri" w:hAnsi="Arial" w:cs="Arial"/>
          <w:sz w:val="20"/>
          <w:lang w:eastAsia="en-US"/>
        </w:rPr>
        <w:t xml:space="preserve"> </w:t>
      </w:r>
    </w:p>
    <w:p w14:paraId="1DE6942A" w14:textId="77777777" w:rsidR="00656440" w:rsidRPr="004A3693" w:rsidRDefault="00306D81" w:rsidP="007F1CA8">
      <w:pPr>
        <w:jc w:val="both"/>
        <w:rPr>
          <w:rFonts w:ascii="Arial" w:eastAsia="Calibri" w:hAnsi="Arial" w:cs="Arial"/>
          <w:sz w:val="20"/>
          <w:lang w:eastAsia="en-US"/>
        </w:rPr>
      </w:pPr>
      <m:oMath>
        <m:r>
          <m:rPr>
            <m:sty m:val="p"/>
          </m:rPr>
          <w:rPr>
            <w:rFonts w:ascii="Cambria Math" w:eastAsia="Calibri" w:hAnsi="Cambria Math" w:cs="Cambria Math"/>
            <w:sz w:val="20"/>
            <w:lang w:eastAsia="en-US"/>
          </w:rPr>
          <m:t>Prob</m:t>
        </m:r>
        <m:d>
          <m:dPr>
            <m:ctrlPr>
              <w:rPr>
                <w:rFonts w:ascii="Cambria Math" w:eastAsia="Calibri" w:hAnsi="Cambria Math" w:cs="Arial"/>
                <w:sz w:val="20"/>
                <w:lang w:eastAsia="en-US"/>
              </w:rPr>
            </m:ctrlPr>
          </m:dPr>
          <m:e>
            <m:r>
              <m:rPr>
                <m:sty m:val="p"/>
              </m:rPr>
              <w:rPr>
                <w:rFonts w:ascii="Cambria Math" w:eastAsia="Calibri" w:hAnsi="Cambria Math" w:cs="Cambria Math"/>
                <w:sz w:val="20"/>
                <w:lang w:eastAsia="en-US"/>
              </w:rPr>
              <m:t>k</m:t>
            </m:r>
            <m:r>
              <m:rPr>
                <m:sty m:val="p"/>
              </m:rPr>
              <w:rPr>
                <w:rFonts w:ascii="Cambria Math" w:eastAsia="Calibri" w:hAnsi="Cambria Math" w:cs="Arial"/>
                <w:sz w:val="20"/>
                <w:lang w:eastAsia="en-US"/>
              </w:rPr>
              <m:t xml:space="preserve"> </m:t>
            </m:r>
            <m:r>
              <m:rPr>
                <m:sty m:val="p"/>
              </m:rPr>
              <w:rPr>
                <w:rFonts w:ascii="Cambria Math" w:eastAsia="Calibri" w:hAnsi="Cambria Math" w:cs="Cambria Math"/>
                <w:sz w:val="20"/>
                <w:lang w:eastAsia="en-US"/>
              </w:rPr>
              <m:t>more important</m:t>
            </m:r>
            <m:r>
              <m:rPr>
                <m:sty m:val="p"/>
              </m:rPr>
              <w:rPr>
                <w:rFonts w:ascii="Cambria Math" w:eastAsia="Calibri" w:hAnsi="Cambria Math" w:cs="Arial"/>
                <w:sz w:val="20"/>
                <w:lang w:eastAsia="en-US"/>
              </w:rPr>
              <m:t>,</m:t>
            </m:r>
            <m:r>
              <m:rPr>
                <m:sty m:val="p"/>
              </m:rPr>
              <w:rPr>
                <w:rFonts w:ascii="Cambria Math" w:eastAsia="Calibri" w:hAnsi="Cambria Math" w:cs="Cambria Math"/>
                <w:sz w:val="20"/>
                <w:lang w:eastAsia="en-US"/>
              </w:rPr>
              <m:t>j</m:t>
            </m:r>
            <m:r>
              <m:rPr>
                <m:sty m:val="p"/>
              </m:rPr>
              <w:rPr>
                <w:rFonts w:ascii="Cambria Math" w:eastAsia="Calibri" w:hAnsi="Cambria Math" w:cs="Arial"/>
                <w:sz w:val="20"/>
                <w:lang w:eastAsia="en-US"/>
              </w:rPr>
              <m:t xml:space="preserve"> less </m:t>
            </m:r>
            <m:r>
              <m:rPr>
                <m:sty m:val="p"/>
              </m:rPr>
              <w:rPr>
                <w:rFonts w:ascii="Cambria Math" w:eastAsia="Calibri" w:hAnsi="Cambria Math" w:cs="Cambria Math"/>
                <w:sz w:val="20"/>
                <w:lang w:eastAsia="en-US"/>
              </w:rPr>
              <m:t>important</m:t>
            </m:r>
            <m:r>
              <m:rPr>
                <m:sty m:val="p"/>
              </m:rPr>
              <w:rPr>
                <w:rFonts w:ascii="Cambria Math" w:eastAsia="Calibri" w:hAnsi="Cambria Math" w:cs="Arial"/>
                <w:sz w:val="20"/>
                <w:lang w:eastAsia="en-US"/>
              </w:rPr>
              <m:t xml:space="preserve"> </m:t>
            </m:r>
            <m:r>
              <m:rPr>
                <m:sty m:val="p"/>
              </m:rPr>
              <w:rPr>
                <w:rFonts w:ascii="Cambria Math" w:eastAsia="Calibri" w:hAnsi="Cambria Math" w:cs="Cambria Math"/>
                <w:sz w:val="20"/>
                <w:lang w:eastAsia="en-US"/>
              </w:rPr>
              <m:t>choice</m:t>
            </m:r>
          </m:e>
        </m:d>
        <m:r>
          <m:rPr>
            <m:sty m:val="p"/>
          </m:rPr>
          <w:rPr>
            <w:rFonts w:ascii="Cambria Math" w:eastAsia="Calibri" w:hAnsi="Arial" w:cs="Arial"/>
            <w:sz w:val="20"/>
            <w:lang w:eastAsia="en-US"/>
          </w:rPr>
          <m:t>=</m:t>
        </m:r>
        <m:f>
          <m:fPr>
            <m:ctrlPr>
              <w:rPr>
                <w:rFonts w:ascii="Cambria Math" w:eastAsia="Calibri" w:hAnsi="Cambria Math" w:cs="Arial"/>
                <w:sz w:val="20"/>
                <w:lang w:eastAsia="en-US"/>
              </w:rPr>
            </m:ctrlPr>
          </m:fPr>
          <m:num>
            <m:sSup>
              <m:sSupPr>
                <m:ctrlPr>
                  <w:rPr>
                    <w:rFonts w:ascii="Cambria Math" w:eastAsia="Calibri" w:hAnsi="Cambria Math" w:cs="Arial"/>
                    <w:sz w:val="20"/>
                    <w:lang w:eastAsia="en-US"/>
                  </w:rPr>
                </m:ctrlPr>
              </m:sSupPr>
              <m:e>
                <m:r>
                  <w:rPr>
                    <w:rFonts w:ascii="Cambria Math" w:eastAsia="Calibri" w:hAnsi="Arial" w:cs="Arial"/>
                    <w:sz w:val="20"/>
                    <w:lang w:eastAsia="en-US"/>
                  </w:rPr>
                  <m:t>exp</m:t>
                </m:r>
              </m:e>
              <m:sup>
                <m:r>
                  <m:rPr>
                    <m:sty m:val="p"/>
                  </m:rPr>
                  <w:rPr>
                    <w:rFonts w:ascii="Cambria Math" w:eastAsia="Calibri" w:hAnsi="Arial"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k</m:t>
                    </m:r>
                  </m:sub>
                </m:sSub>
                <m:r>
                  <m:rPr>
                    <m:sty m:val="p"/>
                  </m:rPr>
                  <w:rPr>
                    <w:rFonts w:ascii="Cambria Math" w:eastAsia="Calibri" w:hAnsi="Arial"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j</m:t>
                    </m:r>
                  </m:sub>
                </m:sSub>
                <m:r>
                  <m:rPr>
                    <m:sty m:val="p"/>
                  </m:rPr>
                  <w:rPr>
                    <w:rFonts w:ascii="Cambria Math" w:eastAsia="Calibri" w:hAnsi="Arial" w:cs="Arial"/>
                    <w:sz w:val="20"/>
                    <w:lang w:eastAsia="en-US"/>
                  </w:rPr>
                  <m:t>)</m:t>
                </m:r>
              </m:sup>
            </m:sSup>
          </m:num>
          <m:den>
            <m:nary>
              <m:naryPr>
                <m:chr m:val="∑"/>
                <m:limLoc m:val="subSup"/>
                <m:ctrlPr>
                  <w:rPr>
                    <w:rFonts w:ascii="Cambria Math" w:eastAsia="Calibri" w:hAnsi="Cambria Math" w:cs="Arial"/>
                    <w:sz w:val="20"/>
                    <w:lang w:eastAsia="en-US"/>
                  </w:rPr>
                </m:ctrlPr>
              </m:naryPr>
              <m:sub>
                <m:r>
                  <w:rPr>
                    <w:rFonts w:ascii="Cambria Math" w:eastAsia="Calibri" w:hAnsi="Arial" w:cs="Arial"/>
                    <w:sz w:val="20"/>
                    <w:lang w:eastAsia="en-US"/>
                  </w:rPr>
                  <m:t>l</m:t>
                </m:r>
                <m:r>
                  <m:rPr>
                    <m:sty m:val="p"/>
                  </m:rPr>
                  <w:rPr>
                    <w:rFonts w:ascii="Cambria Math" w:eastAsia="Calibri" w:hAnsi="Arial" w:cs="Arial"/>
                    <w:sz w:val="20"/>
                    <w:lang w:eastAsia="en-US"/>
                  </w:rPr>
                  <m:t>=1</m:t>
                </m:r>
              </m:sub>
              <m:sup>
                <m:r>
                  <w:rPr>
                    <w:rFonts w:ascii="Cambria Math" w:eastAsia="Calibri" w:hAnsi="Arial" w:cs="Arial"/>
                    <w:sz w:val="20"/>
                    <w:lang w:eastAsia="en-US"/>
                  </w:rPr>
                  <m:t>k</m:t>
                </m:r>
              </m:sup>
              <m:e>
                <m:nary>
                  <m:naryPr>
                    <m:chr m:val="∑"/>
                    <m:limLoc m:val="subSup"/>
                    <m:ctrlPr>
                      <w:rPr>
                        <w:rFonts w:ascii="Cambria Math" w:eastAsia="Calibri" w:hAnsi="Cambria Math" w:cs="Arial"/>
                        <w:sz w:val="20"/>
                        <w:lang w:eastAsia="en-US"/>
                      </w:rPr>
                    </m:ctrlPr>
                  </m:naryPr>
                  <m:sub>
                    <m:r>
                      <w:rPr>
                        <w:rFonts w:ascii="Cambria Math" w:eastAsia="Calibri" w:hAnsi="Arial" w:cs="Arial"/>
                        <w:sz w:val="20"/>
                        <w:lang w:eastAsia="en-US"/>
                      </w:rPr>
                      <m:t>m</m:t>
                    </m:r>
                    <m:r>
                      <m:rPr>
                        <m:sty m:val="p"/>
                      </m:rPr>
                      <w:rPr>
                        <w:rFonts w:ascii="Cambria Math" w:eastAsia="Calibri" w:hAnsi="Arial" w:cs="Arial"/>
                        <w:sz w:val="20"/>
                        <w:lang w:eastAsia="en-US"/>
                      </w:rPr>
                      <m:t>=1</m:t>
                    </m:r>
                  </m:sub>
                  <m:sup>
                    <m:r>
                      <w:rPr>
                        <w:rFonts w:ascii="Cambria Math" w:eastAsia="Calibri" w:hAnsi="Arial" w:cs="Arial"/>
                        <w:sz w:val="20"/>
                        <w:lang w:eastAsia="en-US"/>
                      </w:rPr>
                      <m:t>j</m:t>
                    </m:r>
                  </m:sup>
                  <m:e>
                    <m:sSup>
                      <m:sSupPr>
                        <m:ctrlPr>
                          <w:rPr>
                            <w:rFonts w:ascii="Cambria Math" w:eastAsia="Calibri" w:hAnsi="Cambria Math" w:cs="Arial"/>
                            <w:sz w:val="20"/>
                            <w:lang w:eastAsia="en-US"/>
                          </w:rPr>
                        </m:ctrlPr>
                      </m:sSupPr>
                      <m:e>
                        <m:r>
                          <w:rPr>
                            <w:rFonts w:ascii="Cambria Math" w:eastAsia="Calibri" w:hAnsi="Arial" w:cs="Arial"/>
                            <w:sz w:val="20"/>
                            <w:lang w:eastAsia="en-US"/>
                          </w:rPr>
                          <m:t>exp</m:t>
                        </m:r>
                      </m:e>
                      <m:sup>
                        <m:d>
                          <m:dPr>
                            <m:ctrlPr>
                              <w:rPr>
                                <w:rFonts w:ascii="Cambria Math" w:eastAsia="Calibri" w:hAnsi="Cambria Math" w:cs="Arial"/>
                                <w:sz w:val="20"/>
                                <w:lang w:eastAsia="en-US"/>
                              </w:rPr>
                            </m:ctrlPr>
                          </m:dPr>
                          <m:e>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l</m:t>
                                </m:r>
                              </m:sub>
                            </m:sSub>
                            <m:r>
                              <m:rPr>
                                <m:sty m:val="p"/>
                              </m:rPr>
                              <w:rPr>
                                <w:rFonts w:ascii="Cambria Math" w:eastAsia="Calibri" w:hAnsi="Arial"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m</m:t>
                                </m:r>
                              </m:sub>
                            </m:sSub>
                          </m:e>
                        </m:d>
                        <m:r>
                          <m:rPr>
                            <m:sty m:val="p"/>
                          </m:rPr>
                          <w:rPr>
                            <w:rFonts w:ascii="Cambria Math" w:eastAsia="Calibri" w:hAnsi="Arial" w:cs="Arial"/>
                            <w:sz w:val="20"/>
                            <w:lang w:eastAsia="en-US"/>
                          </w:rPr>
                          <m:t>-</m:t>
                        </m:r>
                        <m:r>
                          <w:rPr>
                            <w:rFonts w:ascii="Cambria Math" w:eastAsia="Calibri" w:hAnsi="Arial" w:cs="Arial"/>
                            <w:sz w:val="20"/>
                            <w:lang w:eastAsia="en-US"/>
                          </w:rPr>
                          <m:t>k</m:t>
                        </m:r>
                      </m:sup>
                    </m:sSup>
                  </m:e>
                </m:nary>
              </m:e>
            </m:nary>
          </m:den>
        </m:f>
      </m:oMath>
      <w:r w:rsidR="00F47BA8" w:rsidRPr="004A3693">
        <w:rPr>
          <w:rFonts w:ascii="Arial" w:eastAsia="Calibri" w:hAnsi="Arial" w:cs="Arial"/>
          <w:sz w:val="20"/>
          <w:lang w:eastAsia="en-US"/>
        </w:rPr>
        <w:t xml:space="preserve">The probability of choosing *k* and *j* as the most and least important choices, respectively, across all available choices, equals the probability that the difference between probabilities </w:t>
      </w:r>
      <w:proofErr w:type="spellStart"/>
      <w:r w:rsidR="00F47BA8" w:rsidRPr="004A3693">
        <w:rPr>
          <w:rFonts w:ascii="Arial" w:eastAsia="Calibri" w:hAnsi="Arial" w:cs="Arial"/>
          <w:sz w:val="20"/>
          <w:lang w:eastAsia="en-US"/>
        </w:rPr>
        <w:t>Pik</w:t>
      </w:r>
      <w:proofErr w:type="spellEnd"/>
      <w:r w:rsidR="00F47BA8" w:rsidRPr="004A3693">
        <w:rPr>
          <w:rFonts w:ascii="Arial" w:eastAsia="Calibri" w:hAnsi="Arial" w:cs="Arial"/>
          <w:sz w:val="20"/>
          <w:lang w:eastAsia="en-US"/>
        </w:rPr>
        <w:t xml:space="preserve"> and </w:t>
      </w:r>
      <w:proofErr w:type="spellStart"/>
      <w:r w:rsidR="00F47BA8" w:rsidRPr="004A3693">
        <w:rPr>
          <w:rFonts w:ascii="Arial" w:eastAsia="Calibri" w:hAnsi="Arial" w:cs="Arial"/>
          <w:sz w:val="20"/>
          <w:lang w:eastAsia="en-US"/>
        </w:rPr>
        <w:t>Pij</w:t>
      </w:r>
      <w:proofErr w:type="spellEnd"/>
      <w:r w:rsidR="00F47BA8" w:rsidRPr="004A3693">
        <w:rPr>
          <w:rFonts w:ascii="Arial" w:eastAsia="Calibri" w:hAnsi="Arial" w:cs="Arial"/>
          <w:sz w:val="20"/>
          <w:lang w:eastAsia="en-US"/>
        </w:rPr>
        <w:t xml:space="preserve"> exceeds all other option combinations (*k*-1)-1 within the set of options. Assuming the error term is independent and identically distributed, the multinomial logit model can then be used to model the probability, which will be mathematically expressed as follows:</w:t>
      </w:r>
    </w:p>
    <w:p w14:paraId="31CECCED" w14:textId="77777777" w:rsidR="00656440" w:rsidRPr="007313FE" w:rsidRDefault="00F47BA8" w:rsidP="001D2AD6">
      <w:pPr>
        <w:jc w:val="both"/>
        <w:rPr>
          <w:rFonts w:ascii="Arial" w:eastAsia="Calibri" w:hAnsi="Arial" w:cs="Arial"/>
          <w:sz w:val="20"/>
          <w:lang w:eastAsia="en-US"/>
        </w:rPr>
      </w:pPr>
      <w:r w:rsidRPr="007313FE">
        <w:rPr>
          <w:rFonts w:ascii="Arial" w:eastAsia="Calibri" w:hAnsi="Arial" w:cs="Arial"/>
          <w:sz w:val="20"/>
          <w:lang w:eastAsia="en-US"/>
        </w:rPr>
        <w:t>This regression analysis was employed to determine the relationships between several pairs of variables and to identify the impact of changes in one variable on another. Estimating the model allows us to determine which attributes are most and least preferred. This regression will determine the relationship between the two choices (most important and least important). This model also enabled the determination of the most and least preferred services by soybean producers in the study area. The choice of services was ranked in order of preference using the following equation:</w:t>
      </w:r>
    </w:p>
    <w:p w14:paraId="65986661" w14:textId="77777777" w:rsidR="007D3585" w:rsidRPr="007313FE" w:rsidRDefault="00306D81" w:rsidP="007D3585">
      <w:pPr>
        <w:jc w:val="both"/>
        <w:rPr>
          <w:rFonts w:ascii="Arial" w:eastAsia="Calibri" w:hAnsi="Arial" w:cs="Arial"/>
          <w:sz w:val="20"/>
          <w:lang w:eastAsia="en-US"/>
        </w:rPr>
      </w:pPr>
      <m:oMathPara>
        <m:oMath>
          <m:r>
            <m:rPr>
              <m:sty m:val="p"/>
            </m:rPr>
            <w:rPr>
              <w:rFonts w:ascii="Cambria Math" w:eastAsia="Calibri" w:hAnsi="Cambria Math" w:cs="Arial"/>
              <w:sz w:val="20"/>
              <w:lang w:eastAsia="en-US"/>
            </w:rPr>
            <m:t>Prob</m:t>
          </m:r>
          <m:d>
            <m:dPr>
              <m:ctrlPr>
                <w:rPr>
                  <w:rFonts w:ascii="Cambria Math" w:eastAsia="Calibri" w:hAnsi="Cambria Math" w:cs="Arial"/>
                  <w:sz w:val="20"/>
                  <w:lang w:eastAsia="en-US"/>
                </w:rPr>
              </m:ctrlPr>
            </m:dPr>
            <m:e>
              <m:r>
                <m:rPr>
                  <m:sty m:val="p"/>
                </m:rPr>
                <w:rPr>
                  <w:rFonts w:ascii="Cambria Math" w:eastAsia="Calibri" w:hAnsi="Cambria Math" w:cs="Arial"/>
                  <w:sz w:val="20"/>
                  <w:lang w:eastAsia="en-US"/>
                </w:rPr>
                <m:t xml:space="preserve">choice of j service </m:t>
              </m:r>
            </m:e>
          </m:d>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sSup>
                <m:sSupPr>
                  <m:ctrlPr>
                    <w:rPr>
                      <w:rFonts w:ascii="Cambria Math" w:eastAsia="Calibri" w:hAnsi="Cambria Math" w:cs="Arial"/>
                      <w:sz w:val="20"/>
                      <w:lang w:eastAsia="en-US"/>
                    </w:rPr>
                  </m:ctrlPr>
                </m:sSupPr>
                <m:e>
                  <m:r>
                    <w:rPr>
                      <w:rFonts w:ascii="Cambria Math" w:eastAsia="Calibri" w:hAnsi="Cambria Math" w:cs="Arial"/>
                      <w:sz w:val="20"/>
                      <w:lang w:eastAsia="en-US"/>
                    </w:rPr>
                    <m:t>e</m:t>
                  </m:r>
                </m:e>
                <m:sup>
                  <m:sSub>
                    <m:sSubPr>
                      <m:ctrlPr>
                        <w:rPr>
                          <w:rFonts w:ascii="Cambria Math" w:eastAsia="Calibri" w:hAnsi="Cambria Math" w:cs="Arial"/>
                          <w:sz w:val="20"/>
                          <w:lang w:eastAsia="en-US"/>
                        </w:rPr>
                      </m:ctrlPr>
                    </m:sSubPr>
                    <m:e>
                      <m:r>
                        <w:rPr>
                          <w:rFonts w:ascii="Cambria Math" w:eastAsia="Calibri" w:hAnsi="Cambria Math" w:cs="Arial"/>
                          <w:sz w:val="20"/>
                          <w:lang w:eastAsia="en-US"/>
                        </w:rPr>
                        <m:t>X</m:t>
                      </m:r>
                    </m:e>
                    <m:sub>
                      <m:r>
                        <w:rPr>
                          <w:rFonts w:ascii="Cambria Math" w:eastAsia="Calibri" w:hAnsi="Cambria Math" w:cs="Arial"/>
                          <w:sz w:val="20"/>
                          <w:lang w:eastAsia="en-US"/>
                        </w:rPr>
                        <m:t>δj</m:t>
                      </m:r>
                    </m:sub>
                  </m:sSub>
                </m:sup>
              </m:sSup>
            </m:num>
            <m:den>
              <m:nary>
                <m:naryPr>
                  <m:chr m:val="∑"/>
                  <m:limLoc m:val="undOvr"/>
                  <m:ctrlPr>
                    <w:rPr>
                      <w:rFonts w:ascii="Cambria Math" w:eastAsia="Calibri" w:hAnsi="Cambria Math" w:cs="Arial"/>
                      <w:sz w:val="20"/>
                      <w:lang w:eastAsia="en-US"/>
                    </w:rPr>
                  </m:ctrlPr>
                </m:naryPr>
                <m:sub>
                  <m:r>
                    <w:rPr>
                      <w:rFonts w:ascii="Cambria Math" w:eastAsia="Calibri" w:hAnsi="Cambria Math" w:cs="Arial"/>
                      <w:sz w:val="20"/>
                      <w:lang w:eastAsia="en-US"/>
                    </w:rPr>
                    <m:t>l</m:t>
                  </m:r>
                  <m:r>
                    <m:rPr>
                      <m:sty m:val="p"/>
                    </m:rPr>
                    <w:rPr>
                      <w:rFonts w:ascii="Cambria Math" w:eastAsia="Calibri" w:hAnsi="Cambria Math" w:cs="Arial"/>
                      <w:sz w:val="20"/>
                      <w:lang w:eastAsia="en-US"/>
                    </w:rPr>
                    <m:t>=1</m:t>
                  </m:r>
                </m:sub>
                <m:sup>
                  <m:r>
                    <w:rPr>
                      <w:rFonts w:ascii="Cambria Math" w:eastAsia="Calibri" w:hAnsi="Cambria Math" w:cs="Arial"/>
                      <w:sz w:val="20"/>
                      <w:lang w:eastAsia="en-US"/>
                    </w:rPr>
                    <m:t>k</m:t>
                  </m:r>
                </m:sup>
                <m:e>
                  <m:sSup>
                    <m:sSupPr>
                      <m:ctrlPr>
                        <w:rPr>
                          <w:rFonts w:ascii="Cambria Math" w:eastAsia="Calibri" w:hAnsi="Cambria Math" w:cs="Arial"/>
                          <w:sz w:val="20"/>
                          <w:lang w:eastAsia="en-US"/>
                        </w:rPr>
                      </m:ctrlPr>
                    </m:sSupPr>
                    <m:e>
                      <m:r>
                        <w:rPr>
                          <w:rFonts w:ascii="Cambria Math" w:eastAsia="Calibri" w:hAnsi="Cambria Math" w:cs="Arial"/>
                          <w:sz w:val="20"/>
                          <w:lang w:eastAsia="en-US"/>
                        </w:rPr>
                        <m:t>e</m:t>
                      </m:r>
                    </m:e>
                    <m:sup>
                      <m:sSub>
                        <m:sSubPr>
                          <m:ctrlPr>
                            <w:rPr>
                              <w:rFonts w:ascii="Cambria Math" w:eastAsia="Calibri" w:hAnsi="Cambria Math" w:cs="Arial"/>
                              <w:sz w:val="20"/>
                              <w:lang w:eastAsia="en-US"/>
                            </w:rPr>
                          </m:ctrlPr>
                        </m:sSubPr>
                        <m:e>
                          <m:r>
                            <w:rPr>
                              <w:rFonts w:ascii="Cambria Math" w:eastAsia="Calibri" w:hAnsi="Cambria Math" w:cs="Arial"/>
                              <w:sz w:val="20"/>
                              <w:lang w:eastAsia="en-US"/>
                            </w:rPr>
                            <m:t>X</m:t>
                          </m:r>
                        </m:e>
                        <m:sub>
                          <m:r>
                            <w:rPr>
                              <w:rFonts w:ascii="Cambria Math" w:eastAsia="Calibri" w:hAnsi="Cambria Math" w:cs="Arial"/>
                              <w:sz w:val="20"/>
                              <w:lang w:eastAsia="en-US"/>
                            </w:rPr>
                            <m:t>δk</m:t>
                          </m:r>
                        </m:sub>
                      </m:sSub>
                    </m:sup>
                  </m:sSup>
                </m:e>
              </m:nary>
            </m:den>
          </m:f>
        </m:oMath>
      </m:oMathPara>
    </w:p>
    <w:p w14:paraId="229C7F9E" w14:textId="77777777" w:rsidR="00656440" w:rsidRPr="007313FE" w:rsidRDefault="00C76ED0" w:rsidP="00A90234">
      <w:pPr>
        <w:jc w:val="both"/>
        <w:rPr>
          <w:rFonts w:ascii="Arial" w:eastAsia="Calibri" w:hAnsi="Arial" w:cs="Arial"/>
          <w:sz w:val="20"/>
          <w:lang w:eastAsia="en-US"/>
        </w:rPr>
      </w:pPr>
      <w:r w:rsidRPr="007313FE">
        <w:rPr>
          <w:rFonts w:ascii="Arial" w:eastAsia="Calibri" w:hAnsi="Arial" w:cs="Arial"/>
          <w:sz w:val="20"/>
          <w:lang w:eastAsia="en-US"/>
        </w:rPr>
        <w:t xml:space="preserve">Where </w:t>
      </w:r>
      <w:proofErr w:type="spellStart"/>
      <w:r w:rsidRPr="007313FE">
        <w:rPr>
          <w:rFonts w:ascii="Arial" w:eastAsia="Calibri" w:hAnsi="Arial" w:cs="Arial"/>
          <w:sz w:val="20"/>
          <w:lang w:eastAsia="en-US"/>
        </w:rPr>
        <w:t>Xδi</w:t>
      </w:r>
      <w:proofErr w:type="spellEnd"/>
      <w:r w:rsidRPr="007313FE">
        <w:rPr>
          <w:rFonts w:ascii="Arial" w:eastAsia="Calibri" w:hAnsi="Arial" w:cs="Arial"/>
          <w:sz w:val="20"/>
          <w:lang w:eastAsia="en-US"/>
        </w:rPr>
        <w:t xml:space="preserve"> is the utility of choosing service j and Xβk is the utility provided by choosing service k.</w:t>
      </w:r>
      <w:r w:rsidRPr="007313FE">
        <w:rPr>
          <w:rFonts w:ascii="Arial" w:eastAsia="Calibri" w:hAnsi="Arial" w:cs="Arial"/>
          <w:sz w:val="20"/>
          <w:cs/>
          <w:lang w:eastAsia="en-US"/>
        </w:rPr>
        <w:t>‎</w:t>
      </w:r>
    </w:p>
    <w:p w14:paraId="556D585D"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 xml:space="preserve">Table 2 summarizes the most and least preferred choices for each service offered by the agricultural cluster. This table indicates that the total number of repeated choices is 5040. Technical support for soybean producers is the most preferred choice among respondents. Following this are initial training for producers </w:t>
      </w:r>
      <w:r w:rsidRPr="007313FE">
        <w:rPr>
          <w:rFonts w:ascii="Arial" w:eastAsia="Calibri" w:hAnsi="Arial" w:cs="Arial"/>
          <w:sz w:val="20"/>
          <w:lang w:eastAsia="en-US"/>
        </w:rPr>
        <w:lastRenderedPageBreak/>
        <w:t>and the provision of machinery to producers. The least preferred services, according to this descriptive summary table, are agricultural credit, seeds, market availability, and agricultural inputs, respectively.</w:t>
      </w:r>
    </w:p>
    <w:p w14:paraId="5EE3D853" w14:textId="77777777" w:rsidR="00656440" w:rsidRPr="007313FE" w:rsidRDefault="00F47BA8" w:rsidP="007F1CA8">
      <w:pPr>
        <w:jc w:val="both"/>
        <w:rPr>
          <w:rFonts w:ascii="Arial" w:eastAsia="Calibri" w:hAnsi="Arial" w:cs="Arial"/>
          <w:sz w:val="20"/>
          <w:lang w:eastAsia="en-US"/>
        </w:rPr>
      </w:pPr>
      <w:r w:rsidRPr="00081764">
        <w:rPr>
          <w:rFonts w:ascii="Times New Roman" w:hAnsi="Times New Roman"/>
          <w:b/>
          <w:bCs/>
          <w:sz w:val="24"/>
          <w:szCs w:val="24"/>
        </w:rPr>
        <w:t>Table 2:</w:t>
      </w:r>
      <w:r w:rsidRPr="00081764">
        <w:rPr>
          <w:rFonts w:ascii="Times New Roman" w:hAnsi="Times New Roman"/>
          <w:sz w:val="24"/>
          <w:szCs w:val="24"/>
        </w:rPr>
        <w:t xml:space="preserve"> </w:t>
      </w:r>
      <w:r w:rsidRPr="007313FE">
        <w:rPr>
          <w:rFonts w:ascii="Arial" w:eastAsia="Calibri" w:hAnsi="Arial" w:cs="Arial"/>
          <w:sz w:val="20"/>
          <w:lang w:eastAsia="en-US"/>
        </w:rPr>
        <w:t>Descriptive Statistics of Producers' Choices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425"/>
        <w:gridCol w:w="1341"/>
        <w:gridCol w:w="1343"/>
        <w:gridCol w:w="1507"/>
        <w:gridCol w:w="1560"/>
      </w:tblGrid>
      <w:tr w:rsidR="00C76ED0" w:rsidRPr="007313FE" w14:paraId="32ED1B3B" w14:textId="77777777" w:rsidTr="00081764">
        <w:trPr>
          <w:trHeight w:val="290"/>
        </w:trPr>
        <w:tc>
          <w:tcPr>
            <w:tcW w:w="1163" w:type="pct"/>
            <w:noWrap/>
            <w:hideMark/>
          </w:tcPr>
          <w:p w14:paraId="65EEE19C" w14:textId="77777777" w:rsidR="00C76ED0" w:rsidRPr="007313FE" w:rsidRDefault="00C76ED0" w:rsidP="007313FE">
            <w:pPr>
              <w:jc w:val="both"/>
              <w:rPr>
                <w:rFonts w:ascii="Arial" w:eastAsia="Calibri" w:hAnsi="Arial" w:cs="Arial"/>
                <w:sz w:val="20"/>
                <w:lang w:eastAsia="en-US"/>
              </w:rPr>
            </w:pPr>
          </w:p>
        </w:tc>
        <w:tc>
          <w:tcPr>
            <w:tcW w:w="762" w:type="pct"/>
            <w:noWrap/>
            <w:hideMark/>
          </w:tcPr>
          <w:p w14:paraId="1852085F"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best</w:t>
            </w:r>
          </w:p>
        </w:tc>
        <w:tc>
          <w:tcPr>
            <w:tcW w:w="717" w:type="pct"/>
          </w:tcPr>
          <w:p w14:paraId="1E17F12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 xml:space="preserve">% </w:t>
            </w:r>
            <w:r w:rsidR="0069289A" w:rsidRPr="007313FE">
              <w:rPr>
                <w:rFonts w:ascii="Arial" w:eastAsia="Calibri" w:hAnsi="Arial" w:cs="Arial"/>
                <w:sz w:val="20"/>
                <w:lang w:eastAsia="en-US"/>
              </w:rPr>
              <w:t>best</w:t>
            </w:r>
          </w:p>
        </w:tc>
        <w:tc>
          <w:tcPr>
            <w:tcW w:w="718" w:type="pct"/>
            <w:noWrap/>
            <w:hideMark/>
          </w:tcPr>
          <w:p w14:paraId="178BAB22"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worse</w:t>
            </w:r>
          </w:p>
        </w:tc>
        <w:tc>
          <w:tcPr>
            <w:tcW w:w="806" w:type="pct"/>
          </w:tcPr>
          <w:p w14:paraId="6430E6C7"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 xml:space="preserve">% </w:t>
            </w:r>
            <w:r w:rsidR="0069289A" w:rsidRPr="007313FE">
              <w:rPr>
                <w:rFonts w:ascii="Arial" w:eastAsia="Calibri" w:hAnsi="Arial" w:cs="Arial"/>
                <w:sz w:val="20"/>
                <w:lang w:eastAsia="en-US"/>
              </w:rPr>
              <w:t>worse</w:t>
            </w:r>
          </w:p>
        </w:tc>
        <w:tc>
          <w:tcPr>
            <w:tcW w:w="834" w:type="pct"/>
            <w:noWrap/>
            <w:hideMark/>
          </w:tcPr>
          <w:p w14:paraId="43125FAC"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Diffe</w:t>
            </w:r>
            <w:r w:rsidR="00C76ED0" w:rsidRPr="007313FE">
              <w:rPr>
                <w:rFonts w:ascii="Arial" w:eastAsia="Calibri" w:hAnsi="Arial" w:cs="Arial"/>
                <w:sz w:val="20"/>
                <w:lang w:eastAsia="en-US"/>
              </w:rPr>
              <w:t>rence</w:t>
            </w:r>
          </w:p>
        </w:tc>
      </w:tr>
      <w:tr w:rsidR="00C76ED0" w:rsidRPr="007313FE" w14:paraId="7F2DBC84" w14:textId="77777777" w:rsidTr="00081764">
        <w:trPr>
          <w:trHeight w:val="290"/>
        </w:trPr>
        <w:tc>
          <w:tcPr>
            <w:tcW w:w="1163" w:type="pct"/>
            <w:noWrap/>
            <w:hideMark/>
          </w:tcPr>
          <w:p w14:paraId="4D3A86C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Credit</w:t>
            </w:r>
          </w:p>
        </w:tc>
        <w:tc>
          <w:tcPr>
            <w:tcW w:w="762" w:type="pct"/>
            <w:noWrap/>
            <w:hideMark/>
          </w:tcPr>
          <w:p w14:paraId="5951E3D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351</w:t>
            </w:r>
          </w:p>
        </w:tc>
        <w:tc>
          <w:tcPr>
            <w:tcW w:w="717" w:type="pct"/>
            <w:vAlign w:val="center"/>
          </w:tcPr>
          <w:p w14:paraId="359EEE5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13.93</w:t>
            </w:r>
          </w:p>
        </w:tc>
        <w:tc>
          <w:tcPr>
            <w:tcW w:w="718" w:type="pct"/>
            <w:noWrap/>
            <w:hideMark/>
          </w:tcPr>
          <w:p w14:paraId="2D29AE9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263</w:t>
            </w:r>
          </w:p>
        </w:tc>
        <w:tc>
          <w:tcPr>
            <w:tcW w:w="806" w:type="pct"/>
            <w:vAlign w:val="center"/>
          </w:tcPr>
          <w:p w14:paraId="331C62F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10.44</w:t>
            </w:r>
          </w:p>
        </w:tc>
        <w:tc>
          <w:tcPr>
            <w:tcW w:w="834" w:type="pct"/>
            <w:noWrap/>
            <w:hideMark/>
          </w:tcPr>
          <w:p w14:paraId="630CDAAB"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88</w:t>
            </w:r>
          </w:p>
        </w:tc>
      </w:tr>
      <w:tr w:rsidR="00C76ED0" w:rsidRPr="007313FE" w14:paraId="56AEBD92" w14:textId="77777777" w:rsidTr="00081764">
        <w:trPr>
          <w:trHeight w:val="290"/>
        </w:trPr>
        <w:tc>
          <w:tcPr>
            <w:tcW w:w="1163" w:type="pct"/>
            <w:noWrap/>
            <w:hideMark/>
          </w:tcPr>
          <w:p w14:paraId="18A61176"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Machine</w:t>
            </w:r>
          </w:p>
        </w:tc>
        <w:tc>
          <w:tcPr>
            <w:tcW w:w="762" w:type="pct"/>
            <w:noWrap/>
            <w:hideMark/>
          </w:tcPr>
          <w:p w14:paraId="35F898E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406</w:t>
            </w:r>
          </w:p>
        </w:tc>
        <w:tc>
          <w:tcPr>
            <w:tcW w:w="717" w:type="pct"/>
            <w:vAlign w:val="center"/>
          </w:tcPr>
          <w:p w14:paraId="1D0FE417"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16.11</w:t>
            </w:r>
          </w:p>
        </w:tc>
        <w:tc>
          <w:tcPr>
            <w:tcW w:w="718" w:type="pct"/>
            <w:noWrap/>
            <w:hideMark/>
          </w:tcPr>
          <w:p w14:paraId="05AE02F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252</w:t>
            </w:r>
          </w:p>
        </w:tc>
        <w:tc>
          <w:tcPr>
            <w:tcW w:w="806" w:type="pct"/>
            <w:vAlign w:val="center"/>
          </w:tcPr>
          <w:p w14:paraId="7FB4E24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10.00</w:t>
            </w:r>
          </w:p>
        </w:tc>
        <w:tc>
          <w:tcPr>
            <w:tcW w:w="834" w:type="pct"/>
            <w:noWrap/>
            <w:hideMark/>
          </w:tcPr>
          <w:p w14:paraId="59596CC6"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154</w:t>
            </w:r>
          </w:p>
        </w:tc>
      </w:tr>
      <w:tr w:rsidR="00C76ED0" w:rsidRPr="007313FE" w14:paraId="682409DF" w14:textId="77777777" w:rsidTr="00081764">
        <w:trPr>
          <w:trHeight w:val="290"/>
        </w:trPr>
        <w:tc>
          <w:tcPr>
            <w:tcW w:w="1163" w:type="pct"/>
            <w:noWrap/>
            <w:hideMark/>
          </w:tcPr>
          <w:p w14:paraId="08AB7B7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Seed</w:t>
            </w:r>
          </w:p>
        </w:tc>
        <w:tc>
          <w:tcPr>
            <w:tcW w:w="762" w:type="pct"/>
            <w:noWrap/>
            <w:hideMark/>
          </w:tcPr>
          <w:p w14:paraId="35ACF7A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326</w:t>
            </w:r>
          </w:p>
        </w:tc>
        <w:tc>
          <w:tcPr>
            <w:tcW w:w="717" w:type="pct"/>
            <w:vAlign w:val="center"/>
          </w:tcPr>
          <w:p w14:paraId="47A66118"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12.94</w:t>
            </w:r>
          </w:p>
        </w:tc>
        <w:tc>
          <w:tcPr>
            <w:tcW w:w="718" w:type="pct"/>
            <w:noWrap/>
            <w:hideMark/>
          </w:tcPr>
          <w:p w14:paraId="54E7A6DD"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332</w:t>
            </w:r>
          </w:p>
        </w:tc>
        <w:tc>
          <w:tcPr>
            <w:tcW w:w="806" w:type="pct"/>
            <w:vAlign w:val="center"/>
          </w:tcPr>
          <w:p w14:paraId="55F9619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13.17</w:t>
            </w:r>
          </w:p>
        </w:tc>
        <w:tc>
          <w:tcPr>
            <w:tcW w:w="834" w:type="pct"/>
            <w:noWrap/>
            <w:hideMark/>
          </w:tcPr>
          <w:p w14:paraId="5B22FBD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-6</w:t>
            </w:r>
          </w:p>
        </w:tc>
      </w:tr>
      <w:tr w:rsidR="00C76ED0" w:rsidRPr="007313FE" w14:paraId="513F04FA" w14:textId="77777777" w:rsidTr="00081764">
        <w:trPr>
          <w:trHeight w:val="290"/>
        </w:trPr>
        <w:tc>
          <w:tcPr>
            <w:tcW w:w="1163" w:type="pct"/>
            <w:noWrap/>
            <w:hideMark/>
          </w:tcPr>
          <w:p w14:paraId="499B94A4"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Intrant</w:t>
            </w:r>
          </w:p>
        </w:tc>
        <w:tc>
          <w:tcPr>
            <w:tcW w:w="762" w:type="pct"/>
            <w:noWrap/>
            <w:hideMark/>
          </w:tcPr>
          <w:p w14:paraId="70A22F3E"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169</w:t>
            </w:r>
          </w:p>
        </w:tc>
        <w:tc>
          <w:tcPr>
            <w:tcW w:w="717" w:type="pct"/>
            <w:vAlign w:val="center"/>
          </w:tcPr>
          <w:p w14:paraId="18FB4B4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6.71</w:t>
            </w:r>
          </w:p>
        </w:tc>
        <w:tc>
          <w:tcPr>
            <w:tcW w:w="718" w:type="pct"/>
            <w:noWrap/>
            <w:hideMark/>
          </w:tcPr>
          <w:p w14:paraId="7B845A21"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505</w:t>
            </w:r>
          </w:p>
        </w:tc>
        <w:tc>
          <w:tcPr>
            <w:tcW w:w="806" w:type="pct"/>
            <w:vAlign w:val="center"/>
          </w:tcPr>
          <w:p w14:paraId="1F8294A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20.04</w:t>
            </w:r>
          </w:p>
        </w:tc>
        <w:tc>
          <w:tcPr>
            <w:tcW w:w="834" w:type="pct"/>
            <w:noWrap/>
            <w:hideMark/>
          </w:tcPr>
          <w:p w14:paraId="6F8EB83E"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-336</w:t>
            </w:r>
          </w:p>
        </w:tc>
      </w:tr>
      <w:tr w:rsidR="00C76ED0" w:rsidRPr="007313FE" w14:paraId="42F1713D" w14:textId="77777777" w:rsidTr="00081764">
        <w:trPr>
          <w:trHeight w:val="290"/>
        </w:trPr>
        <w:tc>
          <w:tcPr>
            <w:tcW w:w="1163" w:type="pct"/>
            <w:noWrap/>
            <w:hideMark/>
          </w:tcPr>
          <w:p w14:paraId="79AEDEBB"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Marche</w:t>
            </w:r>
          </w:p>
        </w:tc>
        <w:tc>
          <w:tcPr>
            <w:tcW w:w="762" w:type="pct"/>
            <w:noWrap/>
            <w:hideMark/>
          </w:tcPr>
          <w:p w14:paraId="44A3AC10"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283</w:t>
            </w:r>
          </w:p>
        </w:tc>
        <w:tc>
          <w:tcPr>
            <w:tcW w:w="717" w:type="pct"/>
            <w:vAlign w:val="center"/>
          </w:tcPr>
          <w:p w14:paraId="560CACA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11.23</w:t>
            </w:r>
          </w:p>
        </w:tc>
        <w:tc>
          <w:tcPr>
            <w:tcW w:w="718" w:type="pct"/>
            <w:noWrap/>
            <w:hideMark/>
          </w:tcPr>
          <w:p w14:paraId="3F48E13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481</w:t>
            </w:r>
          </w:p>
        </w:tc>
        <w:tc>
          <w:tcPr>
            <w:tcW w:w="806" w:type="pct"/>
            <w:vAlign w:val="center"/>
          </w:tcPr>
          <w:p w14:paraId="69F473D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19.09</w:t>
            </w:r>
          </w:p>
        </w:tc>
        <w:tc>
          <w:tcPr>
            <w:tcW w:w="834" w:type="pct"/>
            <w:noWrap/>
            <w:hideMark/>
          </w:tcPr>
          <w:p w14:paraId="620DB54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-198</w:t>
            </w:r>
          </w:p>
        </w:tc>
      </w:tr>
      <w:tr w:rsidR="00C76ED0" w:rsidRPr="007313FE" w14:paraId="0C89600A" w14:textId="77777777" w:rsidTr="00081764">
        <w:trPr>
          <w:trHeight w:val="290"/>
        </w:trPr>
        <w:tc>
          <w:tcPr>
            <w:tcW w:w="1163" w:type="pct"/>
            <w:noWrap/>
            <w:hideMark/>
          </w:tcPr>
          <w:p w14:paraId="43920D52"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Training</w:t>
            </w:r>
          </w:p>
        </w:tc>
        <w:tc>
          <w:tcPr>
            <w:tcW w:w="762" w:type="pct"/>
            <w:noWrap/>
            <w:hideMark/>
          </w:tcPr>
          <w:p w14:paraId="5515ECA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460</w:t>
            </w:r>
          </w:p>
        </w:tc>
        <w:tc>
          <w:tcPr>
            <w:tcW w:w="717" w:type="pct"/>
            <w:vAlign w:val="center"/>
          </w:tcPr>
          <w:p w14:paraId="4525027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18.25</w:t>
            </w:r>
          </w:p>
        </w:tc>
        <w:tc>
          <w:tcPr>
            <w:tcW w:w="718" w:type="pct"/>
            <w:noWrap/>
            <w:hideMark/>
          </w:tcPr>
          <w:p w14:paraId="37DD28E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306</w:t>
            </w:r>
          </w:p>
        </w:tc>
        <w:tc>
          <w:tcPr>
            <w:tcW w:w="806" w:type="pct"/>
            <w:vAlign w:val="center"/>
          </w:tcPr>
          <w:p w14:paraId="3A765E2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12.14</w:t>
            </w:r>
          </w:p>
        </w:tc>
        <w:tc>
          <w:tcPr>
            <w:tcW w:w="834" w:type="pct"/>
            <w:noWrap/>
            <w:hideMark/>
          </w:tcPr>
          <w:p w14:paraId="6A063E1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154</w:t>
            </w:r>
          </w:p>
        </w:tc>
      </w:tr>
      <w:tr w:rsidR="00C76ED0" w:rsidRPr="007313FE" w14:paraId="318622E8" w14:textId="77777777" w:rsidTr="00081764">
        <w:trPr>
          <w:trHeight w:val="290"/>
        </w:trPr>
        <w:tc>
          <w:tcPr>
            <w:tcW w:w="1163" w:type="pct"/>
            <w:noWrap/>
            <w:hideMark/>
          </w:tcPr>
          <w:p w14:paraId="0D360507"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Support</w:t>
            </w:r>
          </w:p>
        </w:tc>
        <w:tc>
          <w:tcPr>
            <w:tcW w:w="762" w:type="pct"/>
            <w:noWrap/>
            <w:hideMark/>
          </w:tcPr>
          <w:p w14:paraId="6C6B8328"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525</w:t>
            </w:r>
          </w:p>
        </w:tc>
        <w:tc>
          <w:tcPr>
            <w:tcW w:w="717" w:type="pct"/>
            <w:vAlign w:val="center"/>
          </w:tcPr>
          <w:p w14:paraId="7393766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20.83</w:t>
            </w:r>
          </w:p>
        </w:tc>
        <w:tc>
          <w:tcPr>
            <w:tcW w:w="718" w:type="pct"/>
            <w:noWrap/>
            <w:hideMark/>
          </w:tcPr>
          <w:p w14:paraId="7B32951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381</w:t>
            </w:r>
          </w:p>
        </w:tc>
        <w:tc>
          <w:tcPr>
            <w:tcW w:w="806" w:type="pct"/>
            <w:vAlign w:val="center"/>
          </w:tcPr>
          <w:p w14:paraId="5E8EE321"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15.12</w:t>
            </w:r>
          </w:p>
        </w:tc>
        <w:tc>
          <w:tcPr>
            <w:tcW w:w="834" w:type="pct"/>
            <w:noWrap/>
            <w:hideMark/>
          </w:tcPr>
          <w:p w14:paraId="2AAC5D5B"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144</w:t>
            </w:r>
          </w:p>
        </w:tc>
      </w:tr>
      <w:tr w:rsidR="00C76ED0" w:rsidRPr="007313FE" w14:paraId="29719E6F" w14:textId="77777777" w:rsidTr="00081764">
        <w:trPr>
          <w:trHeight w:val="290"/>
        </w:trPr>
        <w:tc>
          <w:tcPr>
            <w:tcW w:w="1163" w:type="pct"/>
            <w:noWrap/>
          </w:tcPr>
          <w:p w14:paraId="01F5F6A0"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Total</w:t>
            </w:r>
          </w:p>
        </w:tc>
        <w:tc>
          <w:tcPr>
            <w:tcW w:w="762" w:type="pct"/>
            <w:noWrap/>
          </w:tcPr>
          <w:p w14:paraId="5403118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fldChar w:fldCharType="begin"/>
            </w:r>
            <w:r w:rsidRPr="007313FE">
              <w:rPr>
                <w:rFonts w:ascii="Arial" w:eastAsia="Calibri" w:hAnsi="Arial" w:cs="Arial"/>
                <w:sz w:val="20"/>
                <w:lang w:eastAsia="en-US"/>
              </w:rPr>
              <w:instrText xml:space="preserve"> =SUM(ABOVE) </w:instrText>
            </w:r>
            <w:r w:rsidRPr="007313FE">
              <w:rPr>
                <w:rFonts w:ascii="Arial" w:eastAsia="Calibri" w:hAnsi="Arial" w:cs="Arial"/>
                <w:sz w:val="20"/>
                <w:lang w:eastAsia="en-US"/>
              </w:rPr>
              <w:fldChar w:fldCharType="separate"/>
            </w:r>
            <w:r w:rsidRPr="007313FE">
              <w:rPr>
                <w:rFonts w:ascii="Arial" w:eastAsia="Calibri" w:hAnsi="Arial" w:cs="Arial"/>
                <w:sz w:val="20"/>
                <w:lang w:eastAsia="en-US"/>
              </w:rPr>
              <w:t>2520</w:t>
            </w:r>
            <w:r w:rsidRPr="007313FE">
              <w:rPr>
                <w:rFonts w:ascii="Arial" w:eastAsia="Calibri" w:hAnsi="Arial" w:cs="Arial"/>
                <w:sz w:val="20"/>
                <w:lang w:eastAsia="en-US"/>
              </w:rPr>
              <w:fldChar w:fldCharType="end"/>
            </w:r>
          </w:p>
        </w:tc>
        <w:tc>
          <w:tcPr>
            <w:tcW w:w="717" w:type="pct"/>
          </w:tcPr>
          <w:p w14:paraId="14C3FA68"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100</w:t>
            </w:r>
          </w:p>
        </w:tc>
        <w:tc>
          <w:tcPr>
            <w:tcW w:w="718" w:type="pct"/>
            <w:noWrap/>
          </w:tcPr>
          <w:p w14:paraId="3D6A1F27"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fldChar w:fldCharType="begin"/>
            </w:r>
            <w:r w:rsidRPr="007313FE">
              <w:rPr>
                <w:rFonts w:ascii="Arial" w:eastAsia="Calibri" w:hAnsi="Arial" w:cs="Arial"/>
                <w:sz w:val="20"/>
                <w:lang w:eastAsia="en-US"/>
              </w:rPr>
              <w:instrText xml:space="preserve"> =SUM(ABOVE) </w:instrText>
            </w:r>
            <w:r w:rsidRPr="007313FE">
              <w:rPr>
                <w:rFonts w:ascii="Arial" w:eastAsia="Calibri" w:hAnsi="Arial" w:cs="Arial"/>
                <w:sz w:val="20"/>
                <w:lang w:eastAsia="en-US"/>
              </w:rPr>
              <w:fldChar w:fldCharType="separate"/>
            </w:r>
            <w:r w:rsidRPr="007313FE">
              <w:rPr>
                <w:rFonts w:ascii="Arial" w:eastAsia="Calibri" w:hAnsi="Arial" w:cs="Arial"/>
                <w:sz w:val="20"/>
                <w:lang w:eastAsia="en-US"/>
              </w:rPr>
              <w:t>2520</w:t>
            </w:r>
            <w:r w:rsidRPr="007313FE">
              <w:rPr>
                <w:rFonts w:ascii="Arial" w:eastAsia="Calibri" w:hAnsi="Arial" w:cs="Arial"/>
                <w:sz w:val="20"/>
                <w:lang w:eastAsia="en-US"/>
              </w:rPr>
              <w:fldChar w:fldCharType="end"/>
            </w:r>
          </w:p>
        </w:tc>
        <w:tc>
          <w:tcPr>
            <w:tcW w:w="806" w:type="pct"/>
            <w:vAlign w:val="center"/>
          </w:tcPr>
          <w:p w14:paraId="2B39FDED"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100</w:t>
            </w:r>
          </w:p>
        </w:tc>
        <w:tc>
          <w:tcPr>
            <w:tcW w:w="834" w:type="pct"/>
            <w:noWrap/>
          </w:tcPr>
          <w:p w14:paraId="6ACF3002"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fldChar w:fldCharType="begin"/>
            </w:r>
            <w:r w:rsidRPr="007313FE">
              <w:rPr>
                <w:rFonts w:ascii="Arial" w:eastAsia="Calibri" w:hAnsi="Arial" w:cs="Arial"/>
                <w:sz w:val="20"/>
                <w:lang w:eastAsia="en-US"/>
              </w:rPr>
              <w:instrText xml:space="preserve"> =SUM(ABOVE) </w:instrText>
            </w:r>
            <w:r w:rsidRPr="007313FE">
              <w:rPr>
                <w:rFonts w:ascii="Arial" w:eastAsia="Calibri" w:hAnsi="Arial" w:cs="Arial"/>
                <w:sz w:val="20"/>
                <w:lang w:eastAsia="en-US"/>
              </w:rPr>
              <w:fldChar w:fldCharType="separate"/>
            </w:r>
            <w:r w:rsidRPr="007313FE">
              <w:rPr>
                <w:rFonts w:ascii="Arial" w:eastAsia="Calibri" w:hAnsi="Arial" w:cs="Arial"/>
                <w:sz w:val="20"/>
                <w:lang w:eastAsia="en-US"/>
              </w:rPr>
              <w:t>0</w:t>
            </w:r>
            <w:r w:rsidRPr="007313FE">
              <w:rPr>
                <w:rFonts w:ascii="Arial" w:eastAsia="Calibri" w:hAnsi="Arial" w:cs="Arial"/>
                <w:sz w:val="20"/>
                <w:lang w:eastAsia="en-US"/>
              </w:rPr>
              <w:fldChar w:fldCharType="end"/>
            </w:r>
          </w:p>
        </w:tc>
      </w:tr>
    </w:tbl>
    <w:p w14:paraId="06D7DCC6"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 xml:space="preserve">Table 3 presents the parameter estimations of the mixed Logit model using the Best-Worst Scaling method. Initially, a reference was selected from the choices to be included in the model for comparison. In this instance, market availability was chosen as the baseline because, according to Table 2, access to agricultural credit and market availability are the least preferred choices. Furthermore, field observations indicate that while credit may be sought elsewhere, producers within the cluster prefer to sell at market prices after harvests, which are higher than those offered by the ABC. These findings are consistent with those of Arouna et al. (2015, 2017), who state that producers strongly prefer agricultural credit. Similarly, Arumugam &amp; Shamsudin (2013) highlight that access to credit is an advantage of agricultural contracting. Harish &amp; </w:t>
      </w:r>
      <w:proofErr w:type="spellStart"/>
      <w:r w:rsidRPr="007313FE">
        <w:rPr>
          <w:rFonts w:ascii="Arial" w:eastAsia="Calibri" w:hAnsi="Arial" w:cs="Arial"/>
          <w:sz w:val="20"/>
          <w:lang w:eastAsia="en-US"/>
        </w:rPr>
        <w:t>Kadrolkar</w:t>
      </w:r>
      <w:proofErr w:type="spellEnd"/>
      <w:r w:rsidRPr="007313FE">
        <w:rPr>
          <w:rFonts w:ascii="Arial" w:eastAsia="Calibri" w:hAnsi="Arial" w:cs="Arial"/>
          <w:sz w:val="20"/>
          <w:lang w:eastAsia="en-US"/>
        </w:rPr>
        <w:t xml:space="preserve"> (2016), Ray et al. (2020), and </w:t>
      </w:r>
      <w:proofErr w:type="spellStart"/>
      <w:r w:rsidRPr="007313FE">
        <w:rPr>
          <w:rFonts w:ascii="Arial" w:eastAsia="Calibri" w:hAnsi="Arial" w:cs="Arial"/>
          <w:sz w:val="20"/>
          <w:lang w:eastAsia="en-US"/>
        </w:rPr>
        <w:t>Sarkhel</w:t>
      </w:r>
      <w:proofErr w:type="spellEnd"/>
      <w:r w:rsidRPr="007313FE">
        <w:rPr>
          <w:rFonts w:ascii="Arial" w:eastAsia="Calibri" w:hAnsi="Arial" w:cs="Arial"/>
          <w:sz w:val="20"/>
          <w:lang w:eastAsia="en-US"/>
        </w:rPr>
        <w:t xml:space="preserve"> (2020) also note that market access, training, and technical support, which enhance production knowledge, are services that producers find satisfactory and from which they derive greater benefit.</w:t>
      </w:r>
    </w:p>
    <w:p w14:paraId="223D403E"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Choices with a positive and significant sign are preferred compared to the reference, which is market availability. Conversely, significant choices with a negative sign are the least preferred, again considering market availability as the reference for producers. The significance of the standard deviation for each option indicates that the option has a random effect within the population.</w:t>
      </w:r>
    </w:p>
    <w:p w14:paraId="22D659BA"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Therefore, services such as credit, machinery, technical support, initial training, and seeds are the preferred factors compared to market availability, according to soybean producers in the study area. These factors—credit, machinery, seeds, technical support, and initial training—are significant at the 1% level, indicating they are the most preferred in the study area. Only the input supply option is significant at 5% and has a negative sign, suggesting that inputs are less preferred than market availability. According to Abebe et al. (2013), producers are willing to participate in agricultural contracts if the contract includes seed supply and technical assistance. However, these results contradict their findings, where inputs were preferred by producers.</w:t>
      </w:r>
    </w:p>
    <w:p w14:paraId="143CE7D3"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lastRenderedPageBreak/>
        <w:t>The explanation for these results is that at the beginning of the agricultural season, producers require agricultural credit to start their businesses due to a lack of funds. They also need machinery to plow their fields at the outset. The importance of seeds is evident, as producers, particularly soybean producers, are beginning to recognize the productivity benefits of improved soybean seeds. Training and technical support are also crucial, as producers learn new techniques and technologies through close monitoring and training, such as in farmer field schools. The lower preference for inputs is understandable, as soybeans are not a crop that heavily relies on agricultural inputs like fertilizers, herbicides, pesticides, and insecticides.</w:t>
      </w:r>
    </w:p>
    <w:p w14:paraId="7F96466A"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Concerning standard deviations, only agricultural credit and initial training are significant, and this is at the 1% level. This indicates that the services provided by agricultural credit and the delivery of initial training exhibit a random effect. In simpler terms, the effect is not fixed within the study population and is therefore not homogeneous. These results confirm those of Arouna et al. (2015, 2017), who found that the preferences of rice producers in Benin for agricultural contracts are heterogeneous.</w:t>
      </w:r>
    </w:p>
    <w:p w14:paraId="43185CA0" w14:textId="77777777" w:rsidR="00656440" w:rsidRPr="007313FE" w:rsidRDefault="00F47BA8" w:rsidP="007F1CA8">
      <w:pPr>
        <w:jc w:val="both"/>
        <w:rPr>
          <w:rFonts w:ascii="Arial" w:eastAsia="Calibri" w:hAnsi="Arial" w:cs="Arial"/>
          <w:sz w:val="20"/>
          <w:lang w:eastAsia="en-US"/>
        </w:rPr>
      </w:pPr>
      <w:r w:rsidRPr="00081764">
        <w:rPr>
          <w:rFonts w:ascii="Times New Roman" w:hAnsi="Times New Roman"/>
          <w:b/>
          <w:bCs/>
          <w:sz w:val="24"/>
          <w:szCs w:val="24"/>
        </w:rPr>
        <w:t>Table 3:</w:t>
      </w:r>
      <w:r w:rsidRPr="00081764">
        <w:rPr>
          <w:rFonts w:ascii="Times New Roman" w:hAnsi="Times New Roman"/>
          <w:sz w:val="24"/>
          <w:szCs w:val="24"/>
        </w:rPr>
        <w:t xml:space="preserve"> </w:t>
      </w:r>
      <w:r w:rsidRPr="007313FE">
        <w:rPr>
          <w:rFonts w:ascii="Arial" w:eastAsia="Calibri" w:hAnsi="Arial" w:cs="Arial"/>
          <w:sz w:val="20"/>
          <w:lang w:eastAsia="en-US"/>
        </w:rPr>
        <w:t>Parameter estimates of the mixed logit model on the best and worst attributes</w:t>
      </w:r>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3500"/>
        <w:gridCol w:w="1509"/>
        <w:gridCol w:w="2011"/>
        <w:gridCol w:w="2340"/>
      </w:tblGrid>
      <w:tr w:rsidR="006D19F3" w:rsidRPr="007313FE" w14:paraId="6C9D925B" w14:textId="77777777" w:rsidTr="00081764">
        <w:trPr>
          <w:trHeight w:val="290"/>
        </w:trPr>
        <w:tc>
          <w:tcPr>
            <w:tcW w:w="1870" w:type="pct"/>
            <w:noWrap/>
          </w:tcPr>
          <w:p w14:paraId="18A63361"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Choix</w:t>
            </w:r>
          </w:p>
        </w:tc>
        <w:tc>
          <w:tcPr>
            <w:tcW w:w="806" w:type="pct"/>
            <w:noWrap/>
          </w:tcPr>
          <w:p w14:paraId="3B0DCE21"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Coefficient</w:t>
            </w:r>
          </w:p>
        </w:tc>
        <w:tc>
          <w:tcPr>
            <w:tcW w:w="1074" w:type="pct"/>
            <w:noWrap/>
          </w:tcPr>
          <w:p w14:paraId="1BA9A32E"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Erreur Standard</w:t>
            </w:r>
          </w:p>
        </w:tc>
        <w:tc>
          <w:tcPr>
            <w:tcW w:w="1250" w:type="pct"/>
            <w:noWrap/>
          </w:tcPr>
          <w:p w14:paraId="55E5D15C"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Significativité</w:t>
            </w:r>
          </w:p>
        </w:tc>
      </w:tr>
      <w:tr w:rsidR="006D19F3" w:rsidRPr="007313FE" w14:paraId="11C6F2A8" w14:textId="77777777" w:rsidTr="00081764">
        <w:trPr>
          <w:trHeight w:val="290"/>
        </w:trPr>
        <w:tc>
          <w:tcPr>
            <w:tcW w:w="1870" w:type="pct"/>
            <w:shd w:val="clear" w:color="auto" w:fill="CCCCCC"/>
            <w:noWrap/>
            <w:hideMark/>
          </w:tcPr>
          <w:p w14:paraId="7404A863"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Crédit</w:t>
            </w:r>
          </w:p>
        </w:tc>
        <w:tc>
          <w:tcPr>
            <w:tcW w:w="806" w:type="pct"/>
            <w:shd w:val="clear" w:color="auto" w:fill="CCCCCC"/>
            <w:noWrap/>
            <w:hideMark/>
          </w:tcPr>
          <w:p w14:paraId="71BCDD9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0.3861</w:t>
            </w:r>
          </w:p>
        </w:tc>
        <w:tc>
          <w:tcPr>
            <w:tcW w:w="1074" w:type="pct"/>
            <w:shd w:val="clear" w:color="auto" w:fill="CCCCCC"/>
            <w:noWrap/>
            <w:hideMark/>
          </w:tcPr>
          <w:p w14:paraId="758CEA66"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0.0621</w:t>
            </w:r>
          </w:p>
        </w:tc>
        <w:tc>
          <w:tcPr>
            <w:tcW w:w="1250" w:type="pct"/>
            <w:shd w:val="clear" w:color="auto" w:fill="CCCCCC"/>
            <w:noWrap/>
            <w:hideMark/>
          </w:tcPr>
          <w:p w14:paraId="3A094C7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0EDD4712" w14:textId="77777777" w:rsidTr="00081764">
        <w:trPr>
          <w:trHeight w:val="290"/>
        </w:trPr>
        <w:tc>
          <w:tcPr>
            <w:tcW w:w="1870" w:type="pct"/>
            <w:noWrap/>
          </w:tcPr>
          <w:p w14:paraId="1857DBD1"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Credit</w:t>
            </w:r>
          </w:p>
        </w:tc>
        <w:tc>
          <w:tcPr>
            <w:tcW w:w="806" w:type="pct"/>
            <w:noWrap/>
          </w:tcPr>
          <w:p w14:paraId="7D98B10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0.6267</w:t>
            </w:r>
          </w:p>
        </w:tc>
        <w:tc>
          <w:tcPr>
            <w:tcW w:w="1074" w:type="pct"/>
            <w:noWrap/>
          </w:tcPr>
          <w:p w14:paraId="65CC13A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0.0992</w:t>
            </w:r>
          </w:p>
        </w:tc>
        <w:tc>
          <w:tcPr>
            <w:tcW w:w="1250" w:type="pct"/>
            <w:noWrap/>
          </w:tcPr>
          <w:p w14:paraId="611C1EFA"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13A4E7FA" w14:textId="77777777" w:rsidTr="00081764">
        <w:trPr>
          <w:trHeight w:val="290"/>
        </w:trPr>
        <w:tc>
          <w:tcPr>
            <w:tcW w:w="1870" w:type="pct"/>
            <w:shd w:val="clear" w:color="auto" w:fill="CCCCCC"/>
            <w:noWrap/>
            <w:hideMark/>
          </w:tcPr>
          <w:p w14:paraId="59FC46BE"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Machine</w:t>
            </w:r>
          </w:p>
        </w:tc>
        <w:tc>
          <w:tcPr>
            <w:tcW w:w="806" w:type="pct"/>
            <w:shd w:val="clear" w:color="auto" w:fill="CCCCCC"/>
            <w:noWrap/>
            <w:hideMark/>
          </w:tcPr>
          <w:p w14:paraId="3E32D29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0.4516</w:t>
            </w:r>
          </w:p>
        </w:tc>
        <w:tc>
          <w:tcPr>
            <w:tcW w:w="1074" w:type="pct"/>
            <w:shd w:val="clear" w:color="auto" w:fill="CCCCCC"/>
            <w:noWrap/>
            <w:hideMark/>
          </w:tcPr>
          <w:p w14:paraId="3EC6F14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0.0529</w:t>
            </w:r>
          </w:p>
        </w:tc>
        <w:tc>
          <w:tcPr>
            <w:tcW w:w="1250" w:type="pct"/>
            <w:shd w:val="clear" w:color="auto" w:fill="CCCCCC"/>
            <w:noWrap/>
            <w:hideMark/>
          </w:tcPr>
          <w:p w14:paraId="71242B7A"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4329FCBD" w14:textId="77777777" w:rsidTr="00081764">
        <w:trPr>
          <w:trHeight w:val="290"/>
        </w:trPr>
        <w:tc>
          <w:tcPr>
            <w:tcW w:w="1870" w:type="pct"/>
            <w:noWrap/>
          </w:tcPr>
          <w:p w14:paraId="386410A7"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Machine </w:t>
            </w:r>
          </w:p>
        </w:tc>
        <w:tc>
          <w:tcPr>
            <w:tcW w:w="806" w:type="pct"/>
            <w:noWrap/>
          </w:tcPr>
          <w:p w14:paraId="71DF9E4C"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-0.0021</w:t>
            </w:r>
          </w:p>
        </w:tc>
        <w:tc>
          <w:tcPr>
            <w:tcW w:w="1074" w:type="pct"/>
            <w:noWrap/>
          </w:tcPr>
          <w:p w14:paraId="2AC8BC54"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0.7313</w:t>
            </w:r>
          </w:p>
        </w:tc>
        <w:tc>
          <w:tcPr>
            <w:tcW w:w="1250" w:type="pct"/>
            <w:noWrap/>
          </w:tcPr>
          <w:p w14:paraId="71ED9996"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4C00C434" w14:textId="77777777" w:rsidTr="00081764">
        <w:trPr>
          <w:trHeight w:val="290"/>
        </w:trPr>
        <w:tc>
          <w:tcPr>
            <w:tcW w:w="1870" w:type="pct"/>
            <w:shd w:val="clear" w:color="auto" w:fill="CCCCCC"/>
            <w:noWrap/>
            <w:hideMark/>
          </w:tcPr>
          <w:p w14:paraId="3CD1B235"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Support</w:t>
            </w:r>
          </w:p>
        </w:tc>
        <w:tc>
          <w:tcPr>
            <w:tcW w:w="806" w:type="pct"/>
            <w:shd w:val="clear" w:color="auto" w:fill="CCCCCC"/>
            <w:noWrap/>
            <w:hideMark/>
          </w:tcPr>
          <w:p w14:paraId="53AE6309"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0.4386</w:t>
            </w:r>
          </w:p>
        </w:tc>
        <w:tc>
          <w:tcPr>
            <w:tcW w:w="1074" w:type="pct"/>
            <w:shd w:val="clear" w:color="auto" w:fill="CCCCCC"/>
            <w:noWrap/>
            <w:hideMark/>
          </w:tcPr>
          <w:p w14:paraId="641A2A8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0.0490</w:t>
            </w:r>
          </w:p>
        </w:tc>
        <w:tc>
          <w:tcPr>
            <w:tcW w:w="1250" w:type="pct"/>
            <w:shd w:val="clear" w:color="auto" w:fill="CCCCCC"/>
            <w:noWrap/>
            <w:hideMark/>
          </w:tcPr>
          <w:p w14:paraId="5ADF851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6F72533D" w14:textId="77777777" w:rsidTr="00081764">
        <w:trPr>
          <w:trHeight w:val="290"/>
        </w:trPr>
        <w:tc>
          <w:tcPr>
            <w:tcW w:w="1870" w:type="pct"/>
            <w:noWrap/>
          </w:tcPr>
          <w:p w14:paraId="5473CF5D"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support</w:t>
            </w:r>
          </w:p>
        </w:tc>
        <w:tc>
          <w:tcPr>
            <w:tcW w:w="806" w:type="pct"/>
            <w:noWrap/>
          </w:tcPr>
          <w:p w14:paraId="79E6FFC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-0.0371</w:t>
            </w:r>
          </w:p>
        </w:tc>
        <w:tc>
          <w:tcPr>
            <w:tcW w:w="1074" w:type="pct"/>
            <w:noWrap/>
          </w:tcPr>
          <w:p w14:paraId="2DEF125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0.4992</w:t>
            </w:r>
          </w:p>
        </w:tc>
        <w:tc>
          <w:tcPr>
            <w:tcW w:w="1250" w:type="pct"/>
            <w:noWrap/>
          </w:tcPr>
          <w:p w14:paraId="47A065E8"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33A0A8C3" w14:textId="77777777" w:rsidTr="00081764">
        <w:trPr>
          <w:trHeight w:val="290"/>
        </w:trPr>
        <w:tc>
          <w:tcPr>
            <w:tcW w:w="1870" w:type="pct"/>
            <w:shd w:val="clear" w:color="auto" w:fill="CCCCCC"/>
            <w:noWrap/>
            <w:hideMark/>
          </w:tcPr>
          <w:p w14:paraId="0FF042D3"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Intrant</w:t>
            </w:r>
          </w:p>
        </w:tc>
        <w:tc>
          <w:tcPr>
            <w:tcW w:w="806" w:type="pct"/>
            <w:shd w:val="clear" w:color="auto" w:fill="CCCCCC"/>
            <w:noWrap/>
            <w:hideMark/>
          </w:tcPr>
          <w:p w14:paraId="0F404F47"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-0.1838</w:t>
            </w:r>
          </w:p>
        </w:tc>
        <w:tc>
          <w:tcPr>
            <w:tcW w:w="1074" w:type="pct"/>
            <w:shd w:val="clear" w:color="auto" w:fill="CCCCCC"/>
            <w:noWrap/>
            <w:hideMark/>
          </w:tcPr>
          <w:p w14:paraId="312E1A3B"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0.0559</w:t>
            </w:r>
          </w:p>
        </w:tc>
        <w:tc>
          <w:tcPr>
            <w:tcW w:w="1250" w:type="pct"/>
            <w:shd w:val="clear" w:color="auto" w:fill="CCCCCC"/>
            <w:noWrap/>
            <w:hideMark/>
          </w:tcPr>
          <w:p w14:paraId="50B10F3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3B6D30D6" w14:textId="77777777" w:rsidTr="00081764">
        <w:trPr>
          <w:trHeight w:val="290"/>
        </w:trPr>
        <w:tc>
          <w:tcPr>
            <w:tcW w:w="1870" w:type="pct"/>
            <w:noWrap/>
          </w:tcPr>
          <w:p w14:paraId="35771223"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w:t>
            </w:r>
            <w:proofErr w:type="spellStart"/>
            <w:r w:rsidRPr="007313FE">
              <w:rPr>
                <w:rFonts w:ascii="Arial" w:eastAsia="Calibri" w:hAnsi="Arial" w:cs="Arial"/>
                <w:sz w:val="20"/>
                <w:lang w:eastAsia="en-US"/>
              </w:rPr>
              <w:t>intrant</w:t>
            </w:r>
            <w:proofErr w:type="spellEnd"/>
          </w:p>
        </w:tc>
        <w:tc>
          <w:tcPr>
            <w:tcW w:w="806" w:type="pct"/>
            <w:noWrap/>
          </w:tcPr>
          <w:p w14:paraId="33FFA5A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0.0122</w:t>
            </w:r>
          </w:p>
        </w:tc>
        <w:tc>
          <w:tcPr>
            <w:tcW w:w="1074" w:type="pct"/>
            <w:noWrap/>
          </w:tcPr>
          <w:p w14:paraId="7181CDF4"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0.7067</w:t>
            </w:r>
          </w:p>
        </w:tc>
        <w:tc>
          <w:tcPr>
            <w:tcW w:w="1250" w:type="pct"/>
            <w:noWrap/>
          </w:tcPr>
          <w:p w14:paraId="1BC6F9E3"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00032342" w14:textId="77777777" w:rsidTr="00081764">
        <w:trPr>
          <w:trHeight w:val="290"/>
        </w:trPr>
        <w:tc>
          <w:tcPr>
            <w:tcW w:w="1870" w:type="pct"/>
            <w:shd w:val="clear" w:color="auto" w:fill="CCCCCC"/>
            <w:noWrap/>
            <w:hideMark/>
          </w:tcPr>
          <w:p w14:paraId="66F7647F"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Training</w:t>
            </w:r>
          </w:p>
        </w:tc>
        <w:tc>
          <w:tcPr>
            <w:tcW w:w="806" w:type="pct"/>
            <w:shd w:val="clear" w:color="auto" w:fill="CCCCCC"/>
            <w:noWrap/>
            <w:hideMark/>
          </w:tcPr>
          <w:p w14:paraId="3BD74569"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0.4772</w:t>
            </w:r>
          </w:p>
        </w:tc>
        <w:tc>
          <w:tcPr>
            <w:tcW w:w="1074" w:type="pct"/>
            <w:shd w:val="clear" w:color="auto" w:fill="CCCCCC"/>
            <w:noWrap/>
            <w:hideMark/>
          </w:tcPr>
          <w:p w14:paraId="4C8EAEDA"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0.0582</w:t>
            </w:r>
          </w:p>
        </w:tc>
        <w:tc>
          <w:tcPr>
            <w:tcW w:w="1250" w:type="pct"/>
            <w:shd w:val="clear" w:color="auto" w:fill="CCCCCC"/>
            <w:noWrap/>
            <w:hideMark/>
          </w:tcPr>
          <w:p w14:paraId="18D6B5A4"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445771E5" w14:textId="77777777" w:rsidTr="00081764">
        <w:trPr>
          <w:trHeight w:val="290"/>
        </w:trPr>
        <w:tc>
          <w:tcPr>
            <w:tcW w:w="1870" w:type="pct"/>
            <w:noWrap/>
          </w:tcPr>
          <w:p w14:paraId="136C43D1"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training</w:t>
            </w:r>
          </w:p>
        </w:tc>
        <w:tc>
          <w:tcPr>
            <w:tcW w:w="806" w:type="pct"/>
            <w:noWrap/>
          </w:tcPr>
          <w:p w14:paraId="3B725C2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0.5528</w:t>
            </w:r>
          </w:p>
        </w:tc>
        <w:tc>
          <w:tcPr>
            <w:tcW w:w="1074" w:type="pct"/>
            <w:noWrap/>
          </w:tcPr>
          <w:p w14:paraId="2D471B4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0.0990</w:t>
            </w:r>
          </w:p>
        </w:tc>
        <w:tc>
          <w:tcPr>
            <w:tcW w:w="1250" w:type="pct"/>
            <w:noWrap/>
          </w:tcPr>
          <w:p w14:paraId="1BEF3F2D"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39E7EF0C" w14:textId="77777777" w:rsidTr="00081764">
        <w:trPr>
          <w:trHeight w:val="290"/>
        </w:trPr>
        <w:tc>
          <w:tcPr>
            <w:tcW w:w="1870" w:type="pct"/>
            <w:shd w:val="clear" w:color="auto" w:fill="CCCCCC"/>
            <w:noWrap/>
            <w:hideMark/>
          </w:tcPr>
          <w:p w14:paraId="69B94225"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Seed</w:t>
            </w:r>
          </w:p>
        </w:tc>
        <w:tc>
          <w:tcPr>
            <w:tcW w:w="806" w:type="pct"/>
            <w:shd w:val="clear" w:color="auto" w:fill="CCCCCC"/>
            <w:noWrap/>
            <w:hideMark/>
          </w:tcPr>
          <w:p w14:paraId="032B6B20"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0.2463</w:t>
            </w:r>
          </w:p>
        </w:tc>
        <w:tc>
          <w:tcPr>
            <w:tcW w:w="1074" w:type="pct"/>
            <w:shd w:val="clear" w:color="auto" w:fill="CCCCCC"/>
            <w:noWrap/>
            <w:hideMark/>
          </w:tcPr>
          <w:p w14:paraId="33B94A6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0.0489</w:t>
            </w:r>
          </w:p>
        </w:tc>
        <w:tc>
          <w:tcPr>
            <w:tcW w:w="1250" w:type="pct"/>
            <w:shd w:val="clear" w:color="auto" w:fill="CCCCCC"/>
            <w:noWrap/>
            <w:hideMark/>
          </w:tcPr>
          <w:p w14:paraId="6667DF2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38B6810A" w14:textId="77777777" w:rsidTr="00081764">
        <w:trPr>
          <w:trHeight w:val="290"/>
        </w:trPr>
        <w:tc>
          <w:tcPr>
            <w:tcW w:w="1870" w:type="pct"/>
            <w:noWrap/>
          </w:tcPr>
          <w:p w14:paraId="11CA7515"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seed</w:t>
            </w:r>
          </w:p>
        </w:tc>
        <w:tc>
          <w:tcPr>
            <w:tcW w:w="806" w:type="pct"/>
            <w:noWrap/>
          </w:tcPr>
          <w:p w14:paraId="1EFA5250"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-0.1442</w:t>
            </w:r>
          </w:p>
        </w:tc>
        <w:tc>
          <w:tcPr>
            <w:tcW w:w="1074" w:type="pct"/>
            <w:noWrap/>
          </w:tcPr>
          <w:p w14:paraId="04349CE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0.1959</w:t>
            </w:r>
          </w:p>
        </w:tc>
        <w:tc>
          <w:tcPr>
            <w:tcW w:w="1250" w:type="pct"/>
            <w:noWrap/>
          </w:tcPr>
          <w:p w14:paraId="71753671"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5829DC6E" w14:textId="77777777" w:rsidTr="00081764">
        <w:trPr>
          <w:trHeight w:val="290"/>
        </w:trPr>
        <w:tc>
          <w:tcPr>
            <w:tcW w:w="1870" w:type="pct"/>
            <w:shd w:val="clear" w:color="auto" w:fill="CCCCCC"/>
            <w:noWrap/>
          </w:tcPr>
          <w:p w14:paraId="4C813D5D"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Gateman</w:t>
            </w:r>
          </w:p>
        </w:tc>
        <w:tc>
          <w:tcPr>
            <w:tcW w:w="806" w:type="pct"/>
            <w:shd w:val="clear" w:color="auto" w:fill="CCCCCC"/>
            <w:noWrap/>
          </w:tcPr>
          <w:p w14:paraId="151C05BC"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1.16*107</w:t>
            </w:r>
          </w:p>
        </w:tc>
        <w:tc>
          <w:tcPr>
            <w:tcW w:w="1074" w:type="pct"/>
            <w:shd w:val="clear" w:color="auto" w:fill="CCCCCC"/>
            <w:noWrap/>
          </w:tcPr>
          <w:p w14:paraId="6F14B4D1"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shd w:val="clear" w:color="auto" w:fill="CCCCCC"/>
            <w:noWrap/>
          </w:tcPr>
          <w:p w14:paraId="0869A69F"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477E417F" w14:textId="77777777" w:rsidTr="00081764">
        <w:trPr>
          <w:trHeight w:val="290"/>
        </w:trPr>
        <w:tc>
          <w:tcPr>
            <w:tcW w:w="1870" w:type="pct"/>
            <w:noWrap/>
          </w:tcPr>
          <w:p w14:paraId="58FA4A6A"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 xml:space="preserve">Nombre de répondant </w:t>
            </w:r>
          </w:p>
        </w:tc>
        <w:tc>
          <w:tcPr>
            <w:tcW w:w="806" w:type="pct"/>
            <w:noWrap/>
          </w:tcPr>
          <w:p w14:paraId="1505B846"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360</w:t>
            </w:r>
          </w:p>
        </w:tc>
        <w:tc>
          <w:tcPr>
            <w:tcW w:w="1074" w:type="pct"/>
            <w:noWrap/>
          </w:tcPr>
          <w:p w14:paraId="177B2143"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noWrap/>
          </w:tcPr>
          <w:p w14:paraId="69B7B3EC"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25AE0873" w14:textId="77777777" w:rsidTr="00081764">
        <w:trPr>
          <w:trHeight w:val="290"/>
        </w:trPr>
        <w:tc>
          <w:tcPr>
            <w:tcW w:w="1870" w:type="pct"/>
            <w:shd w:val="clear" w:color="auto" w:fill="CCCCCC"/>
            <w:noWrap/>
          </w:tcPr>
          <w:p w14:paraId="51A37A08"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Observation number</w:t>
            </w:r>
          </w:p>
        </w:tc>
        <w:tc>
          <w:tcPr>
            <w:tcW w:w="806" w:type="pct"/>
            <w:shd w:val="clear" w:color="auto" w:fill="CCCCCC"/>
            <w:noWrap/>
          </w:tcPr>
          <w:p w14:paraId="078D5708"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5040</w:t>
            </w:r>
          </w:p>
        </w:tc>
        <w:tc>
          <w:tcPr>
            <w:tcW w:w="1074" w:type="pct"/>
            <w:shd w:val="clear" w:color="auto" w:fill="CCCCCC"/>
            <w:noWrap/>
          </w:tcPr>
          <w:p w14:paraId="54508461"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shd w:val="clear" w:color="auto" w:fill="CCCCCC"/>
            <w:noWrap/>
          </w:tcPr>
          <w:p w14:paraId="2FF3591A"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39F0CD1C" w14:textId="77777777" w:rsidTr="00081764">
        <w:trPr>
          <w:trHeight w:val="290"/>
        </w:trPr>
        <w:tc>
          <w:tcPr>
            <w:tcW w:w="1870" w:type="pct"/>
            <w:noWrap/>
          </w:tcPr>
          <w:p w14:paraId="2086DAA1"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Log-Likelihood</w:t>
            </w:r>
          </w:p>
        </w:tc>
        <w:tc>
          <w:tcPr>
            <w:tcW w:w="806" w:type="pct"/>
            <w:noWrap/>
          </w:tcPr>
          <w:p w14:paraId="707E0476"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-4343,2</w:t>
            </w:r>
          </w:p>
        </w:tc>
        <w:tc>
          <w:tcPr>
            <w:tcW w:w="1074" w:type="pct"/>
            <w:noWrap/>
          </w:tcPr>
          <w:p w14:paraId="2D7E28FE"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noWrap/>
          </w:tcPr>
          <w:p w14:paraId="5BF75125" w14:textId="77777777" w:rsidR="006D19F3" w:rsidRPr="007313FE" w:rsidRDefault="006D19F3" w:rsidP="00081764">
            <w:pPr>
              <w:spacing w:after="0" w:line="240" w:lineRule="auto"/>
              <w:jc w:val="right"/>
              <w:rPr>
                <w:rFonts w:ascii="Arial" w:eastAsia="Calibri" w:hAnsi="Arial" w:cs="Arial"/>
                <w:sz w:val="20"/>
                <w:lang w:eastAsia="en-US"/>
              </w:rPr>
            </w:pPr>
          </w:p>
        </w:tc>
      </w:tr>
    </w:tbl>
    <w:p w14:paraId="65F98EC0"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Significant at 1% **: Significant at 5% *: Significant at 10%</w:t>
      </w:r>
    </w:p>
    <w:p w14:paraId="31E644F3"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Table 4 presents the market share of each service within the study population. The table indicates that technical training has the largest market share, followed by the provision of agricultural machinery, technical support, credit, and seeds. Similar to the analysis in Table 3, inputs account for the smallest market share at 4.96%.</w:t>
      </w:r>
    </w:p>
    <w:p w14:paraId="69EFF903"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Table 4: Estimated market share of each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6535B8" w:rsidRPr="007313FE" w14:paraId="5C5C099E" w14:textId="77777777" w:rsidTr="00081764">
        <w:trPr>
          <w:trHeight w:val="300"/>
        </w:trPr>
        <w:tc>
          <w:tcPr>
            <w:tcW w:w="1667" w:type="pct"/>
            <w:noWrap/>
          </w:tcPr>
          <w:p w14:paraId="3630E705"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Choice</w:t>
            </w:r>
            <w:r w:rsidR="006535B8" w:rsidRPr="007313FE">
              <w:rPr>
                <w:rFonts w:ascii="Arial" w:eastAsia="Calibri" w:hAnsi="Arial" w:cs="Arial"/>
                <w:sz w:val="20"/>
                <w:lang w:eastAsia="en-US"/>
              </w:rPr>
              <w:t xml:space="preserve"> </w:t>
            </w:r>
          </w:p>
        </w:tc>
        <w:tc>
          <w:tcPr>
            <w:tcW w:w="1667" w:type="pct"/>
          </w:tcPr>
          <w:p w14:paraId="0D1B791F"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 xml:space="preserve">Market </w:t>
            </w:r>
            <w:r w:rsidR="006535B8" w:rsidRPr="007313FE">
              <w:rPr>
                <w:rFonts w:ascii="Arial" w:eastAsia="Calibri" w:hAnsi="Arial" w:cs="Arial"/>
                <w:sz w:val="20"/>
                <w:lang w:eastAsia="en-US"/>
              </w:rPr>
              <w:t xml:space="preserve">Part </w:t>
            </w:r>
          </w:p>
        </w:tc>
        <w:tc>
          <w:tcPr>
            <w:tcW w:w="1666" w:type="pct"/>
          </w:tcPr>
          <w:p w14:paraId="7202469E"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Rang</w:t>
            </w:r>
          </w:p>
        </w:tc>
      </w:tr>
      <w:tr w:rsidR="006535B8" w:rsidRPr="007313FE" w14:paraId="13643512" w14:textId="77777777" w:rsidTr="00081764">
        <w:trPr>
          <w:trHeight w:val="300"/>
        </w:trPr>
        <w:tc>
          <w:tcPr>
            <w:tcW w:w="1667" w:type="pct"/>
            <w:noWrap/>
          </w:tcPr>
          <w:p w14:paraId="51E9D3BB"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Cre</w:t>
            </w:r>
            <w:r w:rsidR="006535B8" w:rsidRPr="007313FE">
              <w:rPr>
                <w:rFonts w:ascii="Arial" w:eastAsia="Calibri" w:hAnsi="Arial" w:cs="Arial"/>
                <w:sz w:val="20"/>
                <w:lang w:eastAsia="en-US"/>
              </w:rPr>
              <w:t>dit</w:t>
            </w:r>
          </w:p>
        </w:tc>
        <w:tc>
          <w:tcPr>
            <w:tcW w:w="1667" w:type="pct"/>
          </w:tcPr>
          <w:p w14:paraId="126C84E7"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8.</w:t>
            </w:r>
            <w:r w:rsidR="006535B8" w:rsidRPr="007313FE">
              <w:rPr>
                <w:rFonts w:ascii="Arial" w:eastAsia="Calibri" w:hAnsi="Arial" w:cs="Arial"/>
                <w:sz w:val="20"/>
                <w:lang w:eastAsia="en-US"/>
              </w:rPr>
              <w:t>78%</w:t>
            </w:r>
          </w:p>
        </w:tc>
        <w:tc>
          <w:tcPr>
            <w:tcW w:w="1666" w:type="pct"/>
          </w:tcPr>
          <w:p w14:paraId="68334ED5"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4</w:t>
            </w:r>
            <w:r w:rsidR="000130A5" w:rsidRPr="007313FE">
              <w:rPr>
                <w:rFonts w:ascii="Arial" w:eastAsia="Calibri" w:hAnsi="Arial" w:cs="Arial"/>
                <w:sz w:val="20"/>
                <w:lang w:eastAsia="en-US"/>
              </w:rPr>
              <w:t>th</w:t>
            </w:r>
          </w:p>
        </w:tc>
      </w:tr>
      <w:tr w:rsidR="006535B8" w:rsidRPr="007313FE" w14:paraId="6DC44DCB" w14:textId="77777777" w:rsidTr="00081764">
        <w:trPr>
          <w:trHeight w:val="300"/>
        </w:trPr>
        <w:tc>
          <w:tcPr>
            <w:tcW w:w="1667" w:type="pct"/>
            <w:noWrap/>
            <w:hideMark/>
          </w:tcPr>
          <w:p w14:paraId="0654B867"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lastRenderedPageBreak/>
              <w:t>Machine</w:t>
            </w:r>
          </w:p>
        </w:tc>
        <w:tc>
          <w:tcPr>
            <w:tcW w:w="1667" w:type="pct"/>
          </w:tcPr>
          <w:p w14:paraId="7B32F81E"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9.</w:t>
            </w:r>
            <w:r w:rsidR="006535B8" w:rsidRPr="007313FE">
              <w:rPr>
                <w:rFonts w:ascii="Arial" w:eastAsia="Calibri" w:hAnsi="Arial" w:cs="Arial"/>
                <w:sz w:val="20"/>
                <w:lang w:eastAsia="en-US"/>
              </w:rPr>
              <w:t>37%</w:t>
            </w:r>
          </w:p>
        </w:tc>
        <w:tc>
          <w:tcPr>
            <w:tcW w:w="1666" w:type="pct"/>
          </w:tcPr>
          <w:p w14:paraId="6D6599A5"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2</w:t>
            </w:r>
            <w:r w:rsidR="000130A5" w:rsidRPr="007313FE">
              <w:rPr>
                <w:rFonts w:ascii="Arial" w:eastAsia="Calibri" w:hAnsi="Arial" w:cs="Arial"/>
                <w:sz w:val="20"/>
                <w:lang w:eastAsia="en-US"/>
              </w:rPr>
              <w:t>sd</w:t>
            </w:r>
            <w:r w:rsidRPr="007313FE">
              <w:rPr>
                <w:rFonts w:ascii="Arial" w:eastAsia="Calibri" w:hAnsi="Arial" w:cs="Arial"/>
                <w:sz w:val="20"/>
                <w:lang w:eastAsia="en-US"/>
              </w:rPr>
              <w:t xml:space="preserve"> </w:t>
            </w:r>
          </w:p>
        </w:tc>
      </w:tr>
      <w:tr w:rsidR="006535B8" w:rsidRPr="007313FE" w14:paraId="22D4645C" w14:textId="77777777" w:rsidTr="00081764">
        <w:trPr>
          <w:trHeight w:val="300"/>
        </w:trPr>
        <w:tc>
          <w:tcPr>
            <w:tcW w:w="1667" w:type="pct"/>
            <w:noWrap/>
            <w:hideMark/>
          </w:tcPr>
          <w:p w14:paraId="1EE95285"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support</w:t>
            </w:r>
          </w:p>
        </w:tc>
        <w:tc>
          <w:tcPr>
            <w:tcW w:w="1667" w:type="pct"/>
          </w:tcPr>
          <w:p w14:paraId="780F6FD6"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9.</w:t>
            </w:r>
            <w:r w:rsidR="006535B8" w:rsidRPr="007313FE">
              <w:rPr>
                <w:rFonts w:ascii="Arial" w:eastAsia="Calibri" w:hAnsi="Arial" w:cs="Arial"/>
                <w:sz w:val="20"/>
                <w:lang w:eastAsia="en-US"/>
              </w:rPr>
              <w:t>25%</w:t>
            </w:r>
          </w:p>
        </w:tc>
        <w:tc>
          <w:tcPr>
            <w:tcW w:w="1666" w:type="pct"/>
          </w:tcPr>
          <w:p w14:paraId="03425570"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3</w:t>
            </w:r>
            <w:r w:rsidR="000130A5" w:rsidRPr="007313FE">
              <w:rPr>
                <w:rFonts w:ascii="Arial" w:eastAsia="Calibri" w:hAnsi="Arial" w:cs="Arial"/>
                <w:sz w:val="20"/>
                <w:lang w:eastAsia="en-US"/>
              </w:rPr>
              <w:t>rd</w:t>
            </w:r>
            <w:r w:rsidRPr="007313FE">
              <w:rPr>
                <w:rFonts w:ascii="Arial" w:eastAsia="Calibri" w:hAnsi="Arial" w:cs="Arial"/>
                <w:sz w:val="20"/>
                <w:lang w:eastAsia="en-US"/>
              </w:rPr>
              <w:t xml:space="preserve"> </w:t>
            </w:r>
          </w:p>
        </w:tc>
      </w:tr>
      <w:tr w:rsidR="006535B8" w:rsidRPr="007313FE" w14:paraId="663203D8" w14:textId="77777777" w:rsidTr="00081764">
        <w:trPr>
          <w:trHeight w:val="300"/>
        </w:trPr>
        <w:tc>
          <w:tcPr>
            <w:tcW w:w="1667" w:type="pct"/>
            <w:noWrap/>
            <w:hideMark/>
          </w:tcPr>
          <w:p w14:paraId="491AD984"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Intrant</w:t>
            </w:r>
          </w:p>
        </w:tc>
        <w:tc>
          <w:tcPr>
            <w:tcW w:w="1667" w:type="pct"/>
          </w:tcPr>
          <w:p w14:paraId="2617815C"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4.</w:t>
            </w:r>
            <w:r w:rsidR="006535B8" w:rsidRPr="007313FE">
              <w:rPr>
                <w:rFonts w:ascii="Arial" w:eastAsia="Calibri" w:hAnsi="Arial" w:cs="Arial"/>
                <w:sz w:val="20"/>
                <w:lang w:eastAsia="en-US"/>
              </w:rPr>
              <w:t>96%</w:t>
            </w:r>
          </w:p>
        </w:tc>
        <w:tc>
          <w:tcPr>
            <w:tcW w:w="1666" w:type="pct"/>
          </w:tcPr>
          <w:p w14:paraId="6ECA692E"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6</w:t>
            </w:r>
            <w:r w:rsidR="000130A5" w:rsidRPr="007313FE">
              <w:rPr>
                <w:rFonts w:ascii="Arial" w:eastAsia="Calibri" w:hAnsi="Arial" w:cs="Arial"/>
                <w:sz w:val="20"/>
                <w:lang w:eastAsia="en-US"/>
              </w:rPr>
              <w:t>th</w:t>
            </w:r>
            <w:r w:rsidRPr="007313FE">
              <w:rPr>
                <w:rFonts w:ascii="Arial" w:eastAsia="Calibri" w:hAnsi="Arial" w:cs="Arial"/>
                <w:sz w:val="20"/>
                <w:lang w:eastAsia="en-US"/>
              </w:rPr>
              <w:t xml:space="preserve"> </w:t>
            </w:r>
          </w:p>
        </w:tc>
      </w:tr>
      <w:tr w:rsidR="006535B8" w:rsidRPr="007313FE" w14:paraId="41200841" w14:textId="77777777" w:rsidTr="00081764">
        <w:trPr>
          <w:trHeight w:val="300"/>
        </w:trPr>
        <w:tc>
          <w:tcPr>
            <w:tcW w:w="1667" w:type="pct"/>
            <w:noWrap/>
            <w:hideMark/>
          </w:tcPr>
          <w:p w14:paraId="27CA524F"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training</w:t>
            </w:r>
          </w:p>
        </w:tc>
        <w:tc>
          <w:tcPr>
            <w:tcW w:w="1667" w:type="pct"/>
          </w:tcPr>
          <w:p w14:paraId="17C45633"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9.</w:t>
            </w:r>
            <w:r w:rsidR="006535B8" w:rsidRPr="007313FE">
              <w:rPr>
                <w:rFonts w:ascii="Arial" w:eastAsia="Calibri" w:hAnsi="Arial" w:cs="Arial"/>
                <w:sz w:val="20"/>
                <w:lang w:eastAsia="en-US"/>
              </w:rPr>
              <w:t>61%</w:t>
            </w:r>
          </w:p>
        </w:tc>
        <w:tc>
          <w:tcPr>
            <w:tcW w:w="1666" w:type="pct"/>
          </w:tcPr>
          <w:p w14:paraId="622BB087"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1</w:t>
            </w:r>
            <w:r w:rsidR="000130A5" w:rsidRPr="007313FE">
              <w:rPr>
                <w:rFonts w:ascii="Arial" w:eastAsia="Calibri" w:hAnsi="Arial" w:cs="Arial"/>
                <w:sz w:val="20"/>
                <w:lang w:eastAsia="en-US"/>
              </w:rPr>
              <w:t>st</w:t>
            </w:r>
          </w:p>
        </w:tc>
      </w:tr>
      <w:tr w:rsidR="006535B8" w:rsidRPr="007313FE" w14:paraId="14F514D0" w14:textId="77777777" w:rsidTr="00081764">
        <w:trPr>
          <w:trHeight w:val="290"/>
        </w:trPr>
        <w:tc>
          <w:tcPr>
            <w:tcW w:w="1667" w:type="pct"/>
            <w:noWrap/>
            <w:hideMark/>
          </w:tcPr>
          <w:p w14:paraId="04E97DF5"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Seed</w:t>
            </w:r>
          </w:p>
        </w:tc>
        <w:tc>
          <w:tcPr>
            <w:tcW w:w="1667" w:type="pct"/>
          </w:tcPr>
          <w:p w14:paraId="0C91D967"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7.</w:t>
            </w:r>
            <w:r w:rsidR="006535B8" w:rsidRPr="007313FE">
              <w:rPr>
                <w:rFonts w:ascii="Arial" w:eastAsia="Calibri" w:hAnsi="Arial" w:cs="Arial"/>
                <w:sz w:val="20"/>
                <w:lang w:eastAsia="en-US"/>
              </w:rPr>
              <w:t>63%</w:t>
            </w:r>
          </w:p>
        </w:tc>
        <w:tc>
          <w:tcPr>
            <w:tcW w:w="1666" w:type="pct"/>
          </w:tcPr>
          <w:p w14:paraId="524DFD23"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5</w:t>
            </w:r>
            <w:r w:rsidR="000130A5" w:rsidRPr="007313FE">
              <w:rPr>
                <w:rFonts w:ascii="Arial" w:eastAsia="Calibri" w:hAnsi="Arial" w:cs="Arial"/>
                <w:sz w:val="20"/>
                <w:lang w:eastAsia="en-US"/>
              </w:rPr>
              <w:t>th</w:t>
            </w:r>
            <w:r w:rsidRPr="007313FE">
              <w:rPr>
                <w:rFonts w:ascii="Arial" w:eastAsia="Calibri" w:hAnsi="Arial" w:cs="Arial"/>
                <w:sz w:val="20"/>
                <w:lang w:eastAsia="en-US"/>
              </w:rPr>
              <w:t xml:space="preserve"> </w:t>
            </w:r>
          </w:p>
        </w:tc>
      </w:tr>
    </w:tbl>
    <w:p w14:paraId="192C3506" w14:textId="77777777" w:rsidR="00656440" w:rsidRPr="004A6BF6" w:rsidRDefault="006535B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Conclusion</w:t>
      </w:r>
    </w:p>
    <w:p w14:paraId="4FFAE944" w14:textId="77777777" w:rsidR="00AE6EC8" w:rsidRPr="007313FE" w:rsidRDefault="00F47BA8" w:rsidP="00081764">
      <w:pPr>
        <w:jc w:val="both"/>
        <w:rPr>
          <w:rFonts w:ascii="Arial" w:eastAsia="Calibri" w:hAnsi="Arial" w:cs="Arial"/>
          <w:sz w:val="20"/>
          <w:lang w:eastAsia="en-US"/>
        </w:rPr>
      </w:pPr>
      <w:r w:rsidRPr="007313FE">
        <w:rPr>
          <w:rFonts w:ascii="Arial" w:eastAsia="Calibri" w:hAnsi="Arial" w:cs="Arial"/>
          <w:sz w:val="20"/>
          <w:lang w:eastAsia="en-US"/>
        </w:rPr>
        <w:t>This study aimed to analyze the preferences of soybean producers, both within and outside Agribusiness Clusters (ABCs), regarding the services offered by these agricultural clusters. The results indicated that, firstly, certain services have heterogeneous effects. Secondly, the analyses revealed that choices such as credit, machinery, technical support, training, and seeds are the options most preferred by producers. However, the provision of inputs is less preferred by producers. The results also showed that technical training has the largest market share. Subsequently, the choices of machinery, technical support, credit, and seeds follow this training choice, respectively. Inputs, as demonstrated in the results above, have the lowest market share and are therefore the least appreciated of the available options.</w:t>
      </w:r>
      <w:r w:rsidR="007313FE">
        <w:rPr>
          <w:rFonts w:ascii="Arial" w:eastAsia="Calibri" w:hAnsi="Arial" w:cs="Arial"/>
          <w:sz w:val="20"/>
          <w:lang w:eastAsia="en-US"/>
        </w:rPr>
        <w:t xml:space="preserve"> </w:t>
      </w:r>
      <w:r w:rsidRPr="007313FE">
        <w:rPr>
          <w:rFonts w:ascii="Arial" w:eastAsia="Calibri" w:hAnsi="Arial" w:cs="Arial"/>
          <w:sz w:val="20"/>
          <w:lang w:eastAsia="en-US"/>
        </w:rPr>
        <w:t>Policies can better focus their efforts on the services most preferred by producers to enhance the effectiveness and efficiency of Agribusiness Clusters.</w:t>
      </w:r>
      <w:r w:rsidR="009F4826">
        <w:rPr>
          <w:rFonts w:ascii="Arial" w:eastAsia="Calibri" w:hAnsi="Arial" w:cs="Arial"/>
          <w:sz w:val="20"/>
          <w:lang w:eastAsia="en-US"/>
        </w:rPr>
        <w:t xml:space="preserve"> </w:t>
      </w:r>
    </w:p>
    <w:p w14:paraId="187B80FA" w14:textId="77777777" w:rsidR="008D77D4" w:rsidRPr="009F4826" w:rsidRDefault="008D77D4" w:rsidP="008D77D4">
      <w:pPr>
        <w:pStyle w:val="NoSpacing"/>
        <w:jc w:val="both"/>
        <w:rPr>
          <w:rFonts w:ascii="Arial" w:eastAsia="Calibri" w:hAnsi="Arial" w:cs="Arial"/>
          <w:sz w:val="20"/>
          <w:lang w:eastAsia="en-US"/>
        </w:rPr>
      </w:pPr>
      <w:bookmarkStart w:id="0" w:name="_GoBack"/>
      <w:bookmarkEnd w:id="0"/>
    </w:p>
    <w:p w14:paraId="550FB310" w14:textId="77777777" w:rsidR="00504C28" w:rsidRDefault="00504C28" w:rsidP="00504C28">
      <w:pPr>
        <w:pStyle w:val="AcknHead"/>
        <w:spacing w:after="0"/>
        <w:jc w:val="both"/>
      </w:pPr>
      <w:r w:rsidRPr="00504C28">
        <w:rPr>
          <w:rFonts w:ascii="Arial" w:hAnsi="Arial" w:cs="Arial"/>
        </w:rPr>
        <w:t>Consent</w:t>
      </w:r>
    </w:p>
    <w:p w14:paraId="56554826" w14:textId="77777777" w:rsidR="00504C28" w:rsidRDefault="00504C28" w:rsidP="00504C28">
      <w:pPr>
        <w:jc w:val="both"/>
        <w:rPr>
          <w:rFonts w:ascii="Arial" w:eastAsia="Calibri" w:hAnsi="Arial" w:cs="Arial"/>
          <w:sz w:val="20"/>
          <w:lang w:eastAsia="en-US"/>
        </w:rPr>
      </w:pPr>
      <w:r>
        <w:rPr>
          <w:rFonts w:ascii="Arial" w:eastAsia="Calibri" w:hAnsi="Arial" w:cs="Arial"/>
          <w:sz w:val="20"/>
          <w:lang w:eastAsia="en-US"/>
        </w:rPr>
        <w:t xml:space="preserve">All authors declare that </w:t>
      </w:r>
      <w:r w:rsidRPr="00504C28">
        <w:rPr>
          <w:rFonts w:ascii="Arial" w:eastAsia="Calibri" w:hAnsi="Arial" w:cs="Arial"/>
          <w:sz w:val="20"/>
          <w:lang w:eastAsia="en-US"/>
        </w:rPr>
        <w:t>written informed consen</w:t>
      </w:r>
      <w:r>
        <w:rPr>
          <w:rFonts w:ascii="Arial" w:eastAsia="Calibri" w:hAnsi="Arial" w:cs="Arial"/>
          <w:sz w:val="20"/>
          <w:lang w:eastAsia="en-US"/>
        </w:rPr>
        <w:t>t was obtained from the patient</w:t>
      </w:r>
      <w:r w:rsidRPr="00504C28">
        <w:rPr>
          <w:rFonts w:ascii="Arial" w:eastAsia="Calibri" w:hAnsi="Arial" w:cs="Arial"/>
          <w:sz w:val="20"/>
          <w:lang w:eastAsia="en-US"/>
        </w:rPr>
        <w:t xml:space="preserve"> for publication of this case report and accompanying images. A copy of the written consent is availab</w:t>
      </w:r>
      <w:r>
        <w:rPr>
          <w:rFonts w:ascii="Arial" w:eastAsia="Calibri" w:hAnsi="Arial" w:cs="Arial"/>
          <w:sz w:val="20"/>
          <w:lang w:eastAsia="en-US"/>
        </w:rPr>
        <w:t>le for review by the Editorial O</w:t>
      </w:r>
      <w:r w:rsidRPr="00504C28">
        <w:rPr>
          <w:rFonts w:ascii="Arial" w:eastAsia="Calibri" w:hAnsi="Arial" w:cs="Arial"/>
          <w:sz w:val="20"/>
          <w:lang w:eastAsia="en-US"/>
        </w:rPr>
        <w:t>ffice/Chief Editor/Editorial Board members of this journal</w:t>
      </w:r>
    </w:p>
    <w:p w14:paraId="5044FD1F" w14:textId="77777777" w:rsidR="006B70E8" w:rsidRDefault="006B70E8" w:rsidP="00504C28">
      <w:pPr>
        <w:jc w:val="both"/>
        <w:rPr>
          <w:rFonts w:ascii="Arial" w:eastAsia="Calibri" w:hAnsi="Arial" w:cs="Arial"/>
          <w:sz w:val="20"/>
          <w:lang w:eastAsia="en-US"/>
        </w:rPr>
      </w:pPr>
    </w:p>
    <w:p w14:paraId="108C1AFD" w14:textId="77777777" w:rsidR="006B70E8" w:rsidRPr="006B70E8" w:rsidRDefault="006B70E8" w:rsidP="006B70E8">
      <w:pPr>
        <w:jc w:val="both"/>
        <w:rPr>
          <w:rFonts w:ascii="Arial" w:eastAsia="Calibri" w:hAnsi="Arial" w:cs="Arial"/>
          <w:sz w:val="20"/>
          <w:lang w:eastAsia="en-US"/>
        </w:rPr>
      </w:pPr>
      <w:r w:rsidRPr="006B70E8">
        <w:rPr>
          <w:rFonts w:ascii="Arial" w:eastAsia="Calibri" w:hAnsi="Arial" w:cs="Arial"/>
          <w:sz w:val="20"/>
          <w:lang w:eastAsia="en-US"/>
        </w:rPr>
        <w:t>COMPETING INTERESTS DISCLAIMER:</w:t>
      </w:r>
    </w:p>
    <w:p w14:paraId="424A92D5" w14:textId="69F408F1" w:rsidR="006B70E8" w:rsidRDefault="006B70E8" w:rsidP="006B70E8">
      <w:pPr>
        <w:jc w:val="both"/>
        <w:rPr>
          <w:rFonts w:ascii="Arial" w:eastAsia="Calibri" w:hAnsi="Arial" w:cs="Arial"/>
          <w:sz w:val="20"/>
          <w:lang w:eastAsia="en-US"/>
        </w:rPr>
      </w:pPr>
      <w:r w:rsidRPr="006B70E8">
        <w:rPr>
          <w:rFonts w:ascii="Arial" w:eastAsia="Calibri" w:hAnsi="Arial" w:cs="Arial"/>
          <w:sz w:val="20"/>
          <w:lang w:eastAsia="en-US"/>
        </w:rPr>
        <w:t>Authors have declared that they have no known competing financial interests OR non-financial interests OR personal relationships that could have appeared to influence the work reported in this paper.</w:t>
      </w:r>
    </w:p>
    <w:p w14:paraId="26AE6E60" w14:textId="77777777" w:rsidR="006B70E8" w:rsidRDefault="006B70E8" w:rsidP="00504C28">
      <w:pPr>
        <w:jc w:val="both"/>
        <w:rPr>
          <w:rFonts w:ascii="Arial" w:eastAsia="Calibri" w:hAnsi="Arial" w:cs="Arial"/>
          <w:sz w:val="20"/>
          <w:lang w:eastAsia="en-US"/>
        </w:rPr>
      </w:pPr>
    </w:p>
    <w:p w14:paraId="35423D9F" w14:textId="77777777" w:rsidR="006B70E8" w:rsidRDefault="006B70E8" w:rsidP="00504C28">
      <w:pPr>
        <w:jc w:val="both"/>
        <w:rPr>
          <w:rFonts w:ascii="Arial" w:eastAsia="Calibri" w:hAnsi="Arial" w:cs="Arial"/>
          <w:sz w:val="20"/>
          <w:lang w:eastAsia="en-US"/>
        </w:rPr>
      </w:pPr>
    </w:p>
    <w:p w14:paraId="23272F84" w14:textId="77777777" w:rsidR="006B70E8" w:rsidRPr="00504C28" w:rsidRDefault="006B70E8" w:rsidP="00504C28">
      <w:pPr>
        <w:jc w:val="both"/>
        <w:rPr>
          <w:rFonts w:ascii="Arial" w:eastAsia="Calibri" w:hAnsi="Arial" w:cs="Arial"/>
          <w:sz w:val="20"/>
          <w:lang w:eastAsia="en-US"/>
        </w:rPr>
      </w:pPr>
    </w:p>
    <w:p w14:paraId="20BDC3C1" w14:textId="77777777" w:rsidR="00656440" w:rsidRPr="004A6BF6" w:rsidRDefault="00AE6EC8" w:rsidP="009E46BB">
      <w:pPr>
        <w:pStyle w:val="AcknHead"/>
        <w:spacing w:after="0"/>
        <w:jc w:val="both"/>
        <w:rPr>
          <w:rFonts w:ascii="Arial" w:hAnsi="Arial" w:cs="Arial"/>
          <w:b w:val="0"/>
          <w:caps w:val="0"/>
        </w:rPr>
      </w:pPr>
      <w:r w:rsidRPr="004A6BF6">
        <w:rPr>
          <w:rFonts w:ascii="Arial" w:hAnsi="Arial" w:cs="Arial"/>
        </w:rPr>
        <w:t xml:space="preserve">References </w:t>
      </w:r>
    </w:p>
    <w:p w14:paraId="2B0B96CF"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Abebe, G. K., </w:t>
      </w:r>
      <w:proofErr w:type="spellStart"/>
      <w:r w:rsidRPr="00EE6203">
        <w:rPr>
          <w:rFonts w:ascii="Arial" w:eastAsia="Times New Roman" w:hAnsi="Arial" w:cs="Arial"/>
          <w:sz w:val="20"/>
          <w:szCs w:val="20"/>
          <w:lang w:eastAsia="en-US"/>
        </w:rPr>
        <w:t>Bijman</w:t>
      </w:r>
      <w:proofErr w:type="spellEnd"/>
      <w:r w:rsidRPr="00EE6203">
        <w:rPr>
          <w:rFonts w:ascii="Arial" w:eastAsia="Times New Roman" w:hAnsi="Arial" w:cs="Arial"/>
          <w:sz w:val="20"/>
          <w:szCs w:val="20"/>
          <w:lang w:eastAsia="en-US"/>
        </w:rPr>
        <w:t xml:space="preserve">, J., Kemp, R., </w:t>
      </w:r>
      <w:proofErr w:type="spellStart"/>
      <w:r w:rsidRPr="00EE6203">
        <w:rPr>
          <w:rFonts w:ascii="Arial" w:eastAsia="Times New Roman" w:hAnsi="Arial" w:cs="Arial"/>
          <w:sz w:val="20"/>
          <w:szCs w:val="20"/>
          <w:lang w:eastAsia="en-US"/>
        </w:rPr>
        <w:t>Omta</w:t>
      </w:r>
      <w:proofErr w:type="spellEnd"/>
      <w:r w:rsidRPr="00EE6203">
        <w:rPr>
          <w:rFonts w:ascii="Arial" w:eastAsia="Times New Roman" w:hAnsi="Arial" w:cs="Arial"/>
          <w:sz w:val="20"/>
          <w:szCs w:val="20"/>
          <w:lang w:eastAsia="en-US"/>
        </w:rPr>
        <w:t xml:space="preserve">, O., &amp; Tsegaye, A. (2013). Contract farming </w:t>
      </w:r>
      <w:proofErr w:type="gramStart"/>
      <w:r w:rsidRPr="00EE6203">
        <w:rPr>
          <w:rFonts w:ascii="Arial" w:eastAsia="Times New Roman" w:hAnsi="Arial" w:cs="Arial"/>
          <w:sz w:val="20"/>
          <w:szCs w:val="20"/>
          <w:lang w:eastAsia="en-US"/>
        </w:rPr>
        <w:t>configuration :</w:t>
      </w:r>
      <w:proofErr w:type="gramEnd"/>
      <w:r w:rsidRPr="00EE6203">
        <w:rPr>
          <w:rFonts w:ascii="Arial" w:eastAsia="Times New Roman" w:hAnsi="Arial" w:cs="Arial"/>
          <w:sz w:val="20"/>
          <w:szCs w:val="20"/>
          <w:lang w:eastAsia="en-US"/>
        </w:rPr>
        <w:t xml:space="preserve"> Smallholders’ preferences for contract design attributes. Food Policy, 40, 14</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24.</w:t>
      </w:r>
    </w:p>
    <w:p w14:paraId="76A558EA"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Amadou, Z. (2014). Consumers’ preferences for quality and safety attributes of milk </w:t>
      </w:r>
      <w:proofErr w:type="gramStart"/>
      <w:r w:rsidRPr="00EE6203">
        <w:rPr>
          <w:rFonts w:ascii="Arial" w:eastAsia="Times New Roman" w:hAnsi="Arial" w:cs="Arial"/>
          <w:sz w:val="20"/>
          <w:szCs w:val="20"/>
          <w:lang w:eastAsia="en-US"/>
        </w:rPr>
        <w:t>products’</w:t>
      </w:r>
      <w:proofErr w:type="gramEnd"/>
      <w:r w:rsidRPr="00EE6203">
        <w:rPr>
          <w:rFonts w:ascii="Arial" w:eastAsia="Times New Roman" w:hAnsi="Arial" w:cs="Arial"/>
          <w:sz w:val="20"/>
          <w:szCs w:val="20"/>
          <w:lang w:eastAsia="en-US"/>
        </w:rPr>
        <w:t>. Article Presented at the Conference of CORAF Held, Niamey, 16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20.</w:t>
      </w:r>
    </w:p>
    <w:p w14:paraId="4051016B" w14:textId="77777777" w:rsidR="00656440" w:rsidRPr="00EE6203" w:rsidRDefault="00EE6203" w:rsidP="00AE6EC8">
      <w:pPr>
        <w:spacing w:line="240" w:lineRule="auto"/>
        <w:ind w:left="720" w:hanging="720"/>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Amadou, Z., &amp; </w:t>
      </w:r>
      <w:proofErr w:type="spellStart"/>
      <w:r>
        <w:rPr>
          <w:rFonts w:ascii="Arial" w:eastAsia="Times New Roman" w:hAnsi="Arial" w:cs="Arial"/>
          <w:sz w:val="20"/>
          <w:szCs w:val="20"/>
          <w:lang w:eastAsia="en-US"/>
        </w:rPr>
        <w:t>Baggnian</w:t>
      </w:r>
      <w:proofErr w:type="spellEnd"/>
      <w:r>
        <w:rPr>
          <w:rFonts w:ascii="Arial" w:eastAsia="Times New Roman" w:hAnsi="Arial" w:cs="Arial"/>
          <w:sz w:val="20"/>
          <w:szCs w:val="20"/>
          <w:lang w:eastAsia="en-US"/>
        </w:rPr>
        <w:t>, I. (2020</w:t>
      </w:r>
      <w:r w:rsidR="00F47BA8" w:rsidRPr="00EE6203">
        <w:rPr>
          <w:rFonts w:ascii="Arial" w:eastAsia="Times New Roman" w:hAnsi="Arial" w:cs="Arial"/>
          <w:sz w:val="20"/>
          <w:szCs w:val="20"/>
          <w:lang w:eastAsia="en-US"/>
        </w:rPr>
        <w:t xml:space="preserve">). Modeling </w:t>
      </w:r>
      <w:proofErr w:type="spellStart"/>
      <w:r w:rsidR="00F47BA8" w:rsidRPr="00EE6203">
        <w:rPr>
          <w:rFonts w:ascii="Arial" w:eastAsia="Times New Roman" w:hAnsi="Arial" w:cs="Arial"/>
          <w:sz w:val="20"/>
          <w:szCs w:val="20"/>
          <w:lang w:eastAsia="en-US"/>
        </w:rPr>
        <w:t>Agro</w:t>
      </w:r>
      <w:proofErr w:type="spellEnd"/>
      <w:r w:rsidR="00F47BA8" w:rsidRPr="00EE6203">
        <w:rPr>
          <w:rFonts w:ascii="Arial" w:eastAsia="Times New Roman" w:hAnsi="Arial" w:cs="Arial"/>
          <w:sz w:val="20"/>
          <w:szCs w:val="20"/>
          <w:lang w:eastAsia="en-US"/>
        </w:rPr>
        <w:t xml:space="preserve">-pastoralists’ Preferences for endogenous and exogenous climate change adaptation strategies in </w:t>
      </w:r>
      <w:proofErr w:type="spellStart"/>
      <w:r w:rsidR="00F47BA8" w:rsidRPr="00EE6203">
        <w:rPr>
          <w:rFonts w:ascii="Arial" w:eastAsia="Times New Roman" w:hAnsi="Arial" w:cs="Arial"/>
          <w:sz w:val="20"/>
          <w:szCs w:val="20"/>
          <w:lang w:eastAsia="en-US"/>
        </w:rPr>
        <w:t>Ibecetan</w:t>
      </w:r>
      <w:proofErr w:type="spellEnd"/>
      <w:r w:rsidR="00F47BA8" w:rsidRPr="00EE6203">
        <w:rPr>
          <w:rFonts w:ascii="Arial" w:eastAsia="Times New Roman" w:hAnsi="Arial" w:cs="Arial"/>
          <w:sz w:val="20"/>
          <w:szCs w:val="20"/>
          <w:lang w:eastAsia="en-US"/>
        </w:rPr>
        <w:t xml:space="preserve"> Ranch, Niger Republic.</w:t>
      </w:r>
    </w:p>
    <w:p w14:paraId="7EB03BCF"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lastRenderedPageBreak/>
        <w:t xml:space="preserve">Amadou, Z., &amp; </w:t>
      </w:r>
      <w:proofErr w:type="spellStart"/>
      <w:r w:rsidRPr="00EE6203">
        <w:rPr>
          <w:rFonts w:ascii="Arial" w:eastAsia="Times New Roman" w:hAnsi="Arial" w:cs="Arial"/>
          <w:sz w:val="20"/>
          <w:szCs w:val="20"/>
          <w:lang w:eastAsia="en-US"/>
        </w:rPr>
        <w:t>Youssoufou</w:t>
      </w:r>
      <w:proofErr w:type="spellEnd"/>
      <w:r w:rsidRPr="00EE6203">
        <w:rPr>
          <w:rFonts w:ascii="Arial" w:eastAsia="Times New Roman" w:hAnsi="Arial" w:cs="Arial"/>
          <w:sz w:val="20"/>
          <w:szCs w:val="20"/>
          <w:lang w:eastAsia="en-US"/>
        </w:rPr>
        <w:t xml:space="preserve">, H. D. (2020). Climate Change Adaptation Option Research with Big </w:t>
      </w:r>
      <w:proofErr w:type="gramStart"/>
      <w:r w:rsidRPr="00EE6203">
        <w:rPr>
          <w:rFonts w:ascii="Arial" w:eastAsia="Times New Roman" w:hAnsi="Arial" w:cs="Arial"/>
          <w:sz w:val="20"/>
          <w:szCs w:val="20"/>
          <w:lang w:eastAsia="en-US"/>
        </w:rPr>
        <w:t>Data :</w:t>
      </w:r>
      <w:proofErr w:type="gramEnd"/>
      <w:r w:rsidRPr="00EE6203">
        <w:rPr>
          <w:rFonts w:ascii="Arial" w:eastAsia="Times New Roman" w:hAnsi="Arial" w:cs="Arial"/>
          <w:sz w:val="20"/>
          <w:szCs w:val="20"/>
          <w:lang w:eastAsia="en-US"/>
        </w:rPr>
        <w:t xml:space="preserve"> Results from a Choice Experiment Conducted in Tahoua State, Niger Republic. Handbook of Climate Change Management: Research, Leadership, Transformation, 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17.</w:t>
      </w:r>
    </w:p>
    <w:p w14:paraId="49F38184"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Arouna, A., Adegbola, P. Y., Raphael, B., &amp; Diagne, A. (2015). Contract farming preferences by smallholder rice producers in </w:t>
      </w:r>
      <w:proofErr w:type="gramStart"/>
      <w:r w:rsidRPr="00EE6203">
        <w:rPr>
          <w:rFonts w:ascii="Arial" w:eastAsia="Times New Roman" w:hAnsi="Arial" w:cs="Arial"/>
          <w:sz w:val="20"/>
          <w:szCs w:val="20"/>
          <w:lang w:eastAsia="en-US"/>
        </w:rPr>
        <w:t>Africa :</w:t>
      </w:r>
      <w:proofErr w:type="gramEnd"/>
      <w:r w:rsidRPr="00EE6203">
        <w:rPr>
          <w:rFonts w:ascii="Arial" w:eastAsia="Times New Roman" w:hAnsi="Arial" w:cs="Arial"/>
          <w:sz w:val="20"/>
          <w:szCs w:val="20"/>
          <w:lang w:eastAsia="en-US"/>
        </w:rPr>
        <w:t xml:space="preserve"> A stated choice model using mixed logic.</w:t>
      </w:r>
    </w:p>
    <w:p w14:paraId="1DBC6E9C"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Arouna, A., Adegbola, P. Y., </w:t>
      </w:r>
      <w:proofErr w:type="spellStart"/>
      <w:r w:rsidRPr="00EE6203">
        <w:rPr>
          <w:rFonts w:ascii="Arial" w:eastAsia="Times New Roman" w:hAnsi="Arial" w:cs="Arial"/>
          <w:sz w:val="20"/>
          <w:szCs w:val="20"/>
          <w:lang w:eastAsia="en-US"/>
        </w:rPr>
        <w:t>Zossou</w:t>
      </w:r>
      <w:proofErr w:type="spellEnd"/>
      <w:r w:rsidRPr="00EE6203">
        <w:rPr>
          <w:rFonts w:ascii="Arial" w:eastAsia="Times New Roman" w:hAnsi="Arial" w:cs="Arial"/>
          <w:sz w:val="20"/>
          <w:szCs w:val="20"/>
          <w:lang w:eastAsia="en-US"/>
        </w:rPr>
        <w:t xml:space="preserve">, R. C., Babatunde, R., &amp; Diagne, A. (2017). Contract Farming Preferences of Smallholder Rice Producers in </w:t>
      </w:r>
      <w:proofErr w:type="gramStart"/>
      <w:r w:rsidRPr="00EE6203">
        <w:rPr>
          <w:rFonts w:ascii="Arial" w:eastAsia="Times New Roman" w:hAnsi="Arial" w:cs="Arial"/>
          <w:sz w:val="20"/>
          <w:szCs w:val="20"/>
          <w:lang w:eastAsia="en-US"/>
        </w:rPr>
        <w:t>Benin :</w:t>
      </w:r>
      <w:proofErr w:type="gramEnd"/>
      <w:r w:rsidRPr="00EE6203">
        <w:rPr>
          <w:rFonts w:ascii="Arial" w:eastAsia="Times New Roman" w:hAnsi="Arial" w:cs="Arial"/>
          <w:sz w:val="20"/>
          <w:szCs w:val="20"/>
          <w:lang w:eastAsia="en-US"/>
        </w:rPr>
        <w:t xml:space="preserve"> A Stated Choice Model Using Mixed Logit. </w:t>
      </w:r>
      <w:proofErr w:type="spellStart"/>
      <w:r w:rsidRPr="00EE6203">
        <w:rPr>
          <w:rFonts w:ascii="Arial" w:eastAsia="Times New Roman" w:hAnsi="Arial" w:cs="Arial"/>
          <w:sz w:val="20"/>
          <w:szCs w:val="20"/>
          <w:lang w:eastAsia="en-US"/>
        </w:rPr>
        <w:t>Tropicultura</w:t>
      </w:r>
      <w:proofErr w:type="spellEnd"/>
      <w:r w:rsidRPr="00EE6203">
        <w:rPr>
          <w:rFonts w:ascii="Arial" w:eastAsia="Times New Roman" w:hAnsi="Arial" w:cs="Arial"/>
          <w:sz w:val="20"/>
          <w:szCs w:val="20"/>
          <w:lang w:eastAsia="en-US"/>
        </w:rPr>
        <w:t>, 35(4).</w:t>
      </w:r>
    </w:p>
    <w:p w14:paraId="60EC1F5A"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Arumugam, N., &amp; Shamsudin, M. A. B. (2013). Attitudes of rock melon </w:t>
      </w:r>
      <w:proofErr w:type="gramStart"/>
      <w:r w:rsidRPr="00EE6203">
        <w:rPr>
          <w:rFonts w:ascii="Arial" w:eastAsia="Times New Roman" w:hAnsi="Arial" w:cs="Arial"/>
          <w:sz w:val="20"/>
          <w:szCs w:val="20"/>
          <w:lang w:eastAsia="en-US"/>
        </w:rPr>
        <w:t>growers’</w:t>
      </w:r>
      <w:proofErr w:type="gramEnd"/>
      <w:r w:rsidRPr="00EE6203">
        <w:rPr>
          <w:rFonts w:ascii="Arial" w:eastAsia="Times New Roman" w:hAnsi="Arial" w:cs="Arial"/>
          <w:sz w:val="20"/>
          <w:szCs w:val="20"/>
          <w:lang w:eastAsia="en-US"/>
        </w:rPr>
        <w:t xml:space="preserve"> towards contract farming practices. Proceeding of the International Conference on Social Science Research, ICSSR, 4</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5.</w:t>
      </w:r>
    </w:p>
    <w:p w14:paraId="5D7BA0E0"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Bati Fedi, G., Dereje Asefa, F., &amp; </w:t>
      </w:r>
      <w:proofErr w:type="spellStart"/>
      <w:r w:rsidRPr="00EE6203">
        <w:rPr>
          <w:rFonts w:ascii="Arial" w:eastAsia="Times New Roman" w:hAnsi="Arial" w:cs="Arial"/>
          <w:sz w:val="20"/>
          <w:szCs w:val="20"/>
          <w:lang w:eastAsia="en-US"/>
        </w:rPr>
        <w:t>Tafa</w:t>
      </w:r>
      <w:proofErr w:type="spellEnd"/>
      <w:r w:rsidRPr="00EE6203">
        <w:rPr>
          <w:rFonts w:ascii="Arial" w:eastAsia="Times New Roman" w:hAnsi="Arial" w:cs="Arial"/>
          <w:sz w:val="20"/>
          <w:szCs w:val="20"/>
          <w:lang w:eastAsia="en-US"/>
        </w:rPr>
        <w:t xml:space="preserve"> </w:t>
      </w:r>
      <w:proofErr w:type="spellStart"/>
      <w:r w:rsidRPr="00EE6203">
        <w:rPr>
          <w:rFonts w:ascii="Arial" w:eastAsia="Times New Roman" w:hAnsi="Arial" w:cs="Arial"/>
          <w:sz w:val="20"/>
          <w:szCs w:val="20"/>
          <w:lang w:eastAsia="en-US"/>
        </w:rPr>
        <w:t>Waktole</w:t>
      </w:r>
      <w:proofErr w:type="spellEnd"/>
      <w:r w:rsidRPr="00EE6203">
        <w:rPr>
          <w:rFonts w:ascii="Arial" w:eastAsia="Times New Roman" w:hAnsi="Arial" w:cs="Arial"/>
          <w:sz w:val="20"/>
          <w:szCs w:val="20"/>
          <w:lang w:eastAsia="en-US"/>
        </w:rPr>
        <w:t xml:space="preserve">, A. (2022). Farm households’ perception about sugarcane </w:t>
      </w:r>
      <w:proofErr w:type="spellStart"/>
      <w:r w:rsidRPr="00EE6203">
        <w:rPr>
          <w:rFonts w:ascii="Arial" w:eastAsia="Times New Roman" w:hAnsi="Arial" w:cs="Arial"/>
          <w:sz w:val="20"/>
          <w:szCs w:val="20"/>
          <w:lang w:eastAsia="en-US"/>
        </w:rPr>
        <w:t>outgrowers</w:t>
      </w:r>
      <w:proofErr w:type="spellEnd"/>
      <w:r w:rsidRPr="00EE6203">
        <w:rPr>
          <w:rFonts w:ascii="Arial" w:eastAsia="Times New Roman" w:hAnsi="Arial" w:cs="Arial"/>
          <w:sz w:val="20"/>
          <w:szCs w:val="20"/>
          <w:lang w:eastAsia="en-US"/>
        </w:rPr>
        <w:t xml:space="preserve">’ </w:t>
      </w:r>
      <w:proofErr w:type="gramStart"/>
      <w:r w:rsidRPr="00EE6203">
        <w:rPr>
          <w:rFonts w:ascii="Arial" w:eastAsia="Times New Roman" w:hAnsi="Arial" w:cs="Arial"/>
          <w:sz w:val="20"/>
          <w:szCs w:val="20"/>
          <w:lang w:eastAsia="en-US"/>
        </w:rPr>
        <w:t>scheme :</w:t>
      </w:r>
      <w:proofErr w:type="gramEnd"/>
      <w:r w:rsidRPr="00EE6203">
        <w:rPr>
          <w:rFonts w:ascii="Arial" w:eastAsia="Times New Roman" w:hAnsi="Arial" w:cs="Arial"/>
          <w:sz w:val="20"/>
          <w:szCs w:val="20"/>
          <w:lang w:eastAsia="en-US"/>
        </w:rPr>
        <w:t xml:space="preserve"> Empirical evidence around </w:t>
      </w:r>
      <w:proofErr w:type="spellStart"/>
      <w:r w:rsidRPr="00EE6203">
        <w:rPr>
          <w:rFonts w:ascii="Arial" w:eastAsia="Times New Roman" w:hAnsi="Arial" w:cs="Arial"/>
          <w:sz w:val="20"/>
          <w:szCs w:val="20"/>
          <w:lang w:eastAsia="en-US"/>
        </w:rPr>
        <w:t>Wonji</w:t>
      </w:r>
      <w:proofErr w:type="spellEnd"/>
      <w:r w:rsidRPr="00EE6203">
        <w:rPr>
          <w:rFonts w:ascii="Arial" w:eastAsia="Times New Roman" w:hAnsi="Arial" w:cs="Arial"/>
          <w:sz w:val="20"/>
          <w:szCs w:val="20"/>
          <w:lang w:eastAsia="en-US"/>
        </w:rPr>
        <w:t>/</w:t>
      </w:r>
      <w:proofErr w:type="spellStart"/>
      <w:r w:rsidRPr="00EE6203">
        <w:rPr>
          <w:rFonts w:ascii="Arial" w:eastAsia="Times New Roman" w:hAnsi="Arial" w:cs="Arial"/>
          <w:sz w:val="20"/>
          <w:szCs w:val="20"/>
          <w:lang w:eastAsia="en-US"/>
        </w:rPr>
        <w:t>Shoa</w:t>
      </w:r>
      <w:proofErr w:type="spellEnd"/>
      <w:r w:rsidRPr="00EE6203">
        <w:rPr>
          <w:rFonts w:ascii="Arial" w:eastAsia="Times New Roman" w:hAnsi="Arial" w:cs="Arial"/>
          <w:sz w:val="20"/>
          <w:szCs w:val="20"/>
          <w:lang w:eastAsia="en-US"/>
        </w:rPr>
        <w:t xml:space="preserve"> Sugar Factory. Cogent Economics &amp; Finance, 10(1), 2009664.</w:t>
      </w:r>
    </w:p>
    <w:p w14:paraId="6AD7A1C4"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Finn, A., &amp; Louviere, J. J. (1992). Determining the appropriate response to evidence of public </w:t>
      </w:r>
      <w:proofErr w:type="gramStart"/>
      <w:r w:rsidRPr="00EE6203">
        <w:rPr>
          <w:rFonts w:ascii="Arial" w:eastAsia="Times New Roman" w:hAnsi="Arial" w:cs="Arial"/>
          <w:sz w:val="20"/>
          <w:szCs w:val="20"/>
          <w:lang w:eastAsia="en-US"/>
        </w:rPr>
        <w:t>concern :</w:t>
      </w:r>
      <w:proofErr w:type="gramEnd"/>
      <w:r w:rsidRPr="00EE6203">
        <w:rPr>
          <w:rFonts w:ascii="Arial" w:eastAsia="Times New Roman" w:hAnsi="Arial" w:cs="Arial"/>
          <w:sz w:val="20"/>
          <w:szCs w:val="20"/>
          <w:lang w:eastAsia="en-US"/>
        </w:rPr>
        <w:t xml:space="preserve"> The case of food safety. Journal of Public Policy &amp; Marketing, 11(2), 12</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25.</w:t>
      </w:r>
    </w:p>
    <w:p w14:paraId="6D65C7B9"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Harish, N., &amp; </w:t>
      </w:r>
      <w:proofErr w:type="spellStart"/>
      <w:r w:rsidRPr="00EE6203">
        <w:rPr>
          <w:rFonts w:ascii="Arial" w:eastAsia="Times New Roman" w:hAnsi="Arial" w:cs="Arial"/>
          <w:sz w:val="20"/>
          <w:szCs w:val="20"/>
          <w:lang w:eastAsia="en-US"/>
        </w:rPr>
        <w:t>Kadrolkar</w:t>
      </w:r>
      <w:proofErr w:type="spellEnd"/>
      <w:r w:rsidRPr="00EE6203">
        <w:rPr>
          <w:rFonts w:ascii="Arial" w:eastAsia="Times New Roman" w:hAnsi="Arial" w:cs="Arial"/>
          <w:sz w:val="20"/>
          <w:szCs w:val="20"/>
          <w:lang w:eastAsia="en-US"/>
        </w:rPr>
        <w:t>, D. V. M. (2016). An Empirical Study on Contract Farming in India. PARIPEX—Indian J. Res, 5, 41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44.</w:t>
      </w:r>
    </w:p>
    <w:p w14:paraId="74ABF738"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Hernández-</w:t>
      </w:r>
      <w:proofErr w:type="spellStart"/>
      <w:r w:rsidRPr="00EE6203">
        <w:rPr>
          <w:rFonts w:ascii="Arial" w:eastAsia="Times New Roman" w:hAnsi="Arial" w:cs="Arial"/>
          <w:sz w:val="20"/>
          <w:szCs w:val="20"/>
          <w:lang w:eastAsia="en-US"/>
        </w:rPr>
        <w:t>Espallardo</w:t>
      </w:r>
      <w:proofErr w:type="spellEnd"/>
      <w:r w:rsidRPr="00EE6203">
        <w:rPr>
          <w:rFonts w:ascii="Arial" w:eastAsia="Times New Roman" w:hAnsi="Arial" w:cs="Arial"/>
          <w:sz w:val="20"/>
          <w:szCs w:val="20"/>
          <w:lang w:eastAsia="en-US"/>
        </w:rPr>
        <w:t xml:space="preserve">, M., </w:t>
      </w:r>
      <w:proofErr w:type="spellStart"/>
      <w:r w:rsidRPr="00EE6203">
        <w:rPr>
          <w:rFonts w:ascii="Arial" w:eastAsia="Times New Roman" w:hAnsi="Arial" w:cs="Arial"/>
          <w:sz w:val="20"/>
          <w:szCs w:val="20"/>
          <w:lang w:eastAsia="en-US"/>
        </w:rPr>
        <w:t>Arcas</w:t>
      </w:r>
      <w:proofErr w:type="spellEnd"/>
      <w:r w:rsidRPr="00EE6203">
        <w:rPr>
          <w:rFonts w:ascii="Arial" w:eastAsia="Times New Roman" w:hAnsi="Arial" w:cs="Arial"/>
          <w:sz w:val="20"/>
          <w:szCs w:val="20"/>
          <w:lang w:eastAsia="en-US"/>
        </w:rPr>
        <w:t xml:space="preserve">-Lario, N., &amp; </w:t>
      </w:r>
      <w:proofErr w:type="spellStart"/>
      <w:r w:rsidRPr="00EE6203">
        <w:rPr>
          <w:rFonts w:ascii="Arial" w:eastAsia="Times New Roman" w:hAnsi="Arial" w:cs="Arial"/>
          <w:sz w:val="20"/>
          <w:szCs w:val="20"/>
          <w:lang w:eastAsia="en-US"/>
        </w:rPr>
        <w:t>Tantius</w:t>
      </w:r>
      <w:proofErr w:type="spellEnd"/>
      <w:r w:rsidRPr="00EE6203">
        <w:rPr>
          <w:rFonts w:ascii="Arial" w:eastAsia="Times New Roman" w:hAnsi="Arial" w:cs="Arial"/>
          <w:sz w:val="20"/>
          <w:szCs w:val="20"/>
          <w:lang w:eastAsia="en-US"/>
        </w:rPr>
        <w:t>, P. H. (2009). Farmers’ satisfaction and intention to continue as members of agricultural marketing co-</w:t>
      </w:r>
      <w:proofErr w:type="gramStart"/>
      <w:r w:rsidRPr="00EE6203">
        <w:rPr>
          <w:rFonts w:ascii="Arial" w:eastAsia="Times New Roman" w:hAnsi="Arial" w:cs="Arial"/>
          <w:sz w:val="20"/>
          <w:szCs w:val="20"/>
          <w:lang w:eastAsia="en-US"/>
        </w:rPr>
        <w:t>operatives :</w:t>
      </w:r>
      <w:proofErr w:type="gramEnd"/>
      <w:r w:rsidRPr="00EE6203">
        <w:rPr>
          <w:rFonts w:ascii="Arial" w:eastAsia="Times New Roman" w:hAnsi="Arial" w:cs="Arial"/>
          <w:sz w:val="20"/>
          <w:szCs w:val="20"/>
          <w:lang w:eastAsia="en-US"/>
        </w:rPr>
        <w:t xml:space="preserve"> A test of the neoclassical and transaction costs theories.</w:t>
      </w:r>
    </w:p>
    <w:p w14:paraId="043818A8"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Hirpesa</w:t>
      </w:r>
      <w:proofErr w:type="spellEnd"/>
      <w:r w:rsidRPr="00EE6203">
        <w:rPr>
          <w:rFonts w:ascii="Arial" w:eastAsia="Times New Roman" w:hAnsi="Arial" w:cs="Arial"/>
          <w:sz w:val="20"/>
          <w:szCs w:val="20"/>
          <w:lang w:eastAsia="en-US"/>
        </w:rPr>
        <w:t xml:space="preserve">, M., Legesse, B., Haji, J., &amp; Bekele, K. (2020). Determinants of participation in contract farming among smallholder dairy </w:t>
      </w:r>
      <w:proofErr w:type="gramStart"/>
      <w:r w:rsidRPr="00EE6203">
        <w:rPr>
          <w:rFonts w:ascii="Arial" w:eastAsia="Times New Roman" w:hAnsi="Arial" w:cs="Arial"/>
          <w:sz w:val="20"/>
          <w:szCs w:val="20"/>
          <w:lang w:eastAsia="en-US"/>
        </w:rPr>
        <w:t>farmers :</w:t>
      </w:r>
      <w:proofErr w:type="gramEnd"/>
      <w:r w:rsidRPr="00EE6203">
        <w:rPr>
          <w:rFonts w:ascii="Arial" w:eastAsia="Times New Roman" w:hAnsi="Arial" w:cs="Arial"/>
          <w:sz w:val="20"/>
          <w:szCs w:val="20"/>
          <w:lang w:eastAsia="en-US"/>
        </w:rPr>
        <w:t xml:space="preserve"> The case of North Shewa Zone of Oromia National Regional State, Ethiopia. Sustainable Agriculture Research, 10(1), 10</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19.</w:t>
      </w:r>
    </w:p>
    <w:p w14:paraId="77169B80"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Hirpesa</w:t>
      </w:r>
      <w:proofErr w:type="spellEnd"/>
      <w:r w:rsidRPr="00EE6203">
        <w:rPr>
          <w:rFonts w:ascii="Arial" w:eastAsia="Times New Roman" w:hAnsi="Arial" w:cs="Arial"/>
          <w:sz w:val="20"/>
          <w:szCs w:val="20"/>
          <w:lang w:eastAsia="en-US"/>
        </w:rPr>
        <w:t xml:space="preserve">, M., Legesse, B., Haji, J., &amp; Bekele, K. (2021). Determinants of Participation in Contract Farming Among Smallholder Dairy </w:t>
      </w:r>
      <w:proofErr w:type="gramStart"/>
      <w:r w:rsidRPr="00EE6203">
        <w:rPr>
          <w:rFonts w:ascii="Arial" w:eastAsia="Times New Roman" w:hAnsi="Arial" w:cs="Arial"/>
          <w:sz w:val="20"/>
          <w:szCs w:val="20"/>
          <w:lang w:eastAsia="en-US"/>
        </w:rPr>
        <w:t>Farmers :</w:t>
      </w:r>
      <w:proofErr w:type="gramEnd"/>
      <w:r w:rsidRPr="00EE6203">
        <w:rPr>
          <w:rFonts w:ascii="Arial" w:eastAsia="Times New Roman" w:hAnsi="Arial" w:cs="Arial"/>
          <w:sz w:val="20"/>
          <w:szCs w:val="20"/>
          <w:lang w:eastAsia="en-US"/>
        </w:rPr>
        <w:t xml:space="preserve"> The Case of North Shewa Zone of Oromia National Regional State, Ethiopia. Sustainable Agriculture Research, 10(1), 10</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19. https://doi.org/10.22004/ag.econ.309795</w:t>
      </w:r>
    </w:p>
    <w:p w14:paraId="39587FBA"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Karki, L., Shange, R., Hill, W. A., </w:t>
      </w:r>
      <w:proofErr w:type="spellStart"/>
      <w:r w:rsidRPr="00EE6203">
        <w:rPr>
          <w:rFonts w:ascii="Arial" w:eastAsia="Times New Roman" w:hAnsi="Arial" w:cs="Arial"/>
          <w:sz w:val="20"/>
          <w:szCs w:val="20"/>
          <w:lang w:eastAsia="en-US"/>
        </w:rPr>
        <w:t>Bonsi</w:t>
      </w:r>
      <w:proofErr w:type="spellEnd"/>
      <w:r w:rsidRPr="00EE6203">
        <w:rPr>
          <w:rFonts w:ascii="Arial" w:eastAsia="Times New Roman" w:hAnsi="Arial" w:cs="Arial"/>
          <w:sz w:val="20"/>
          <w:szCs w:val="20"/>
          <w:lang w:eastAsia="en-US"/>
        </w:rPr>
        <w:t xml:space="preserve">, C., English, H., </w:t>
      </w:r>
      <w:proofErr w:type="spellStart"/>
      <w:r w:rsidRPr="00EE6203">
        <w:rPr>
          <w:rFonts w:ascii="Arial" w:eastAsia="Times New Roman" w:hAnsi="Arial" w:cs="Arial"/>
          <w:sz w:val="20"/>
          <w:szCs w:val="20"/>
          <w:lang w:eastAsia="en-US"/>
        </w:rPr>
        <w:t>Agbodjan</w:t>
      </w:r>
      <w:proofErr w:type="spellEnd"/>
      <w:r w:rsidRPr="00EE6203">
        <w:rPr>
          <w:rFonts w:ascii="Arial" w:eastAsia="Times New Roman" w:hAnsi="Arial" w:cs="Arial"/>
          <w:sz w:val="20"/>
          <w:szCs w:val="20"/>
          <w:lang w:eastAsia="en-US"/>
        </w:rPr>
        <w:t xml:space="preserve">, E., Stewart, M., Chukwuma, F., Patin, D. M., &amp; </w:t>
      </w:r>
      <w:proofErr w:type="spellStart"/>
      <w:r w:rsidRPr="00EE6203">
        <w:rPr>
          <w:rFonts w:ascii="Arial" w:eastAsia="Times New Roman" w:hAnsi="Arial" w:cs="Arial"/>
          <w:sz w:val="20"/>
          <w:szCs w:val="20"/>
          <w:lang w:eastAsia="en-US"/>
        </w:rPr>
        <w:t>Idassi</w:t>
      </w:r>
      <w:proofErr w:type="spellEnd"/>
      <w:r w:rsidRPr="00EE6203">
        <w:rPr>
          <w:rFonts w:ascii="Arial" w:eastAsia="Times New Roman" w:hAnsi="Arial" w:cs="Arial"/>
          <w:sz w:val="20"/>
          <w:szCs w:val="20"/>
          <w:lang w:eastAsia="en-US"/>
        </w:rPr>
        <w:t xml:space="preserve">, J. (2021). Assessing the impact of cluster farming initiatives on small and socially disadvantaged farmers, ranchers, and forestland </w:t>
      </w:r>
      <w:proofErr w:type="gramStart"/>
      <w:r w:rsidRPr="00EE6203">
        <w:rPr>
          <w:rFonts w:ascii="Arial" w:eastAsia="Times New Roman" w:hAnsi="Arial" w:cs="Arial"/>
          <w:sz w:val="20"/>
          <w:szCs w:val="20"/>
          <w:lang w:eastAsia="en-US"/>
        </w:rPr>
        <w:t>owners :</w:t>
      </w:r>
      <w:proofErr w:type="gramEnd"/>
      <w:r w:rsidRPr="00EE6203">
        <w:rPr>
          <w:rFonts w:ascii="Arial" w:eastAsia="Times New Roman" w:hAnsi="Arial" w:cs="Arial"/>
          <w:sz w:val="20"/>
          <w:szCs w:val="20"/>
          <w:lang w:eastAsia="en-US"/>
        </w:rPr>
        <w:t xml:space="preserve"> A case of the southeastern region of the United States. Professional Agricultural Workers Journal (PAWJ), 7(174-2021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1215), 26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41.</w:t>
      </w:r>
    </w:p>
    <w:p w14:paraId="1328D0B9"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Mathenge, M., </w:t>
      </w:r>
      <w:proofErr w:type="spellStart"/>
      <w:r w:rsidRPr="00EE6203">
        <w:rPr>
          <w:rFonts w:ascii="Arial" w:eastAsia="Times New Roman" w:hAnsi="Arial" w:cs="Arial"/>
          <w:sz w:val="20"/>
          <w:szCs w:val="20"/>
          <w:lang w:eastAsia="en-US"/>
        </w:rPr>
        <w:t>Sonneveld</w:t>
      </w:r>
      <w:proofErr w:type="spellEnd"/>
      <w:r w:rsidRPr="00EE6203">
        <w:rPr>
          <w:rFonts w:ascii="Arial" w:eastAsia="Times New Roman" w:hAnsi="Arial" w:cs="Arial"/>
          <w:sz w:val="20"/>
          <w:szCs w:val="20"/>
          <w:lang w:eastAsia="en-US"/>
        </w:rPr>
        <w:t xml:space="preserve">, B. G., &amp; </w:t>
      </w:r>
      <w:proofErr w:type="spellStart"/>
      <w:r w:rsidRPr="00EE6203">
        <w:rPr>
          <w:rFonts w:ascii="Arial" w:eastAsia="Times New Roman" w:hAnsi="Arial" w:cs="Arial"/>
          <w:sz w:val="20"/>
          <w:szCs w:val="20"/>
          <w:lang w:eastAsia="en-US"/>
        </w:rPr>
        <w:t>Broerse</w:t>
      </w:r>
      <w:proofErr w:type="spellEnd"/>
      <w:r w:rsidRPr="00EE6203">
        <w:rPr>
          <w:rFonts w:ascii="Arial" w:eastAsia="Times New Roman" w:hAnsi="Arial" w:cs="Arial"/>
          <w:sz w:val="20"/>
          <w:szCs w:val="20"/>
          <w:lang w:eastAsia="en-US"/>
        </w:rPr>
        <w:t xml:space="preserve">, J. E. (2020). A spatially explicit approach for targeting resource-poor smallholders to improve their participation in </w:t>
      </w:r>
      <w:proofErr w:type="gramStart"/>
      <w:r w:rsidRPr="00EE6203">
        <w:rPr>
          <w:rFonts w:ascii="Arial" w:eastAsia="Times New Roman" w:hAnsi="Arial" w:cs="Arial"/>
          <w:sz w:val="20"/>
          <w:szCs w:val="20"/>
          <w:lang w:eastAsia="en-US"/>
        </w:rPr>
        <w:t>agribusiness :</w:t>
      </w:r>
      <w:proofErr w:type="gramEnd"/>
      <w:r w:rsidRPr="00EE6203">
        <w:rPr>
          <w:rFonts w:ascii="Arial" w:eastAsia="Times New Roman" w:hAnsi="Arial" w:cs="Arial"/>
          <w:sz w:val="20"/>
          <w:szCs w:val="20"/>
          <w:lang w:eastAsia="en-US"/>
        </w:rPr>
        <w:t xml:space="preserve"> A case of </w:t>
      </w:r>
      <w:proofErr w:type="spellStart"/>
      <w:r w:rsidRPr="00EE6203">
        <w:rPr>
          <w:rFonts w:ascii="Arial" w:eastAsia="Times New Roman" w:hAnsi="Arial" w:cs="Arial"/>
          <w:sz w:val="20"/>
          <w:szCs w:val="20"/>
          <w:lang w:eastAsia="en-US"/>
        </w:rPr>
        <w:t>nyando</w:t>
      </w:r>
      <w:proofErr w:type="spellEnd"/>
      <w:r w:rsidRPr="00EE6203">
        <w:rPr>
          <w:rFonts w:ascii="Arial" w:eastAsia="Times New Roman" w:hAnsi="Arial" w:cs="Arial"/>
          <w:sz w:val="20"/>
          <w:szCs w:val="20"/>
          <w:lang w:eastAsia="en-US"/>
        </w:rPr>
        <w:t xml:space="preserve"> and </w:t>
      </w:r>
      <w:proofErr w:type="spellStart"/>
      <w:r w:rsidRPr="00EE6203">
        <w:rPr>
          <w:rFonts w:ascii="Arial" w:eastAsia="Times New Roman" w:hAnsi="Arial" w:cs="Arial"/>
          <w:sz w:val="20"/>
          <w:szCs w:val="20"/>
          <w:lang w:eastAsia="en-US"/>
        </w:rPr>
        <w:t>vihiga</w:t>
      </w:r>
      <w:proofErr w:type="spellEnd"/>
      <w:r w:rsidRPr="00EE6203">
        <w:rPr>
          <w:rFonts w:ascii="Arial" w:eastAsia="Times New Roman" w:hAnsi="Arial" w:cs="Arial"/>
          <w:sz w:val="20"/>
          <w:szCs w:val="20"/>
          <w:lang w:eastAsia="en-US"/>
        </w:rPr>
        <w:t xml:space="preserve"> county in Western Kenya. ISPRS International Journal of Geo-Information, 9(10), 612.</w:t>
      </w:r>
    </w:p>
    <w:p w14:paraId="1FDC0DFE"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McFadden, D. (1974). Conditional Logit Analysis of Qualitative Choice Behavior</w:t>
      </w:r>
      <w:proofErr w:type="gramStart"/>
      <w:r w:rsidRPr="00EE6203">
        <w:rPr>
          <w:rFonts w:ascii="Arial" w:eastAsia="Times New Roman" w:hAnsi="Arial" w:cs="Arial"/>
          <w:sz w:val="20"/>
          <w:szCs w:val="20"/>
          <w:lang w:eastAsia="en-US"/>
        </w:rPr>
        <w:t>. :</w:t>
      </w:r>
      <w:proofErr w:type="gramEnd"/>
      <w:r w:rsidRPr="00EE6203">
        <w:rPr>
          <w:rFonts w:ascii="Arial" w:eastAsia="Times New Roman" w:hAnsi="Arial" w:cs="Arial"/>
          <w:sz w:val="20"/>
          <w:szCs w:val="20"/>
          <w:lang w:eastAsia="en-US"/>
        </w:rPr>
        <w:t xml:space="preserve"> Frontiers in Econometrics. Edited by P. </w:t>
      </w:r>
      <w:proofErr w:type="spellStart"/>
      <w:r w:rsidRPr="00EE6203">
        <w:rPr>
          <w:rFonts w:ascii="Arial" w:eastAsia="Times New Roman" w:hAnsi="Arial" w:cs="Arial"/>
          <w:sz w:val="20"/>
          <w:szCs w:val="20"/>
          <w:lang w:eastAsia="en-US"/>
        </w:rPr>
        <w:t>Zarembka</w:t>
      </w:r>
      <w:proofErr w:type="spellEnd"/>
      <w:r w:rsidRPr="00EE6203">
        <w:rPr>
          <w:rFonts w:ascii="Arial" w:eastAsia="Times New Roman" w:hAnsi="Arial" w:cs="Arial"/>
          <w:sz w:val="20"/>
          <w:szCs w:val="20"/>
          <w:lang w:eastAsia="en-US"/>
        </w:rPr>
        <w:t>, New York: Academic Press.</w:t>
      </w:r>
    </w:p>
    <w:p w14:paraId="5811995F"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Ncube, D. (2020). The importance of contract farming to small-scale farmers in Africa and the implications for </w:t>
      </w:r>
      <w:proofErr w:type="gramStart"/>
      <w:r w:rsidRPr="00EE6203">
        <w:rPr>
          <w:rFonts w:ascii="Arial" w:eastAsia="Times New Roman" w:hAnsi="Arial" w:cs="Arial"/>
          <w:sz w:val="20"/>
          <w:szCs w:val="20"/>
          <w:lang w:eastAsia="en-US"/>
        </w:rPr>
        <w:t>policy :</w:t>
      </w:r>
      <w:proofErr w:type="gramEnd"/>
      <w:r w:rsidRPr="00EE6203">
        <w:rPr>
          <w:rFonts w:ascii="Arial" w:eastAsia="Times New Roman" w:hAnsi="Arial" w:cs="Arial"/>
          <w:sz w:val="20"/>
          <w:szCs w:val="20"/>
          <w:lang w:eastAsia="en-US"/>
        </w:rPr>
        <w:t xml:space="preserve"> A review scenario. The Open Agriculture Journal, 14(1).</w:t>
      </w:r>
    </w:p>
    <w:p w14:paraId="3635B205" w14:textId="77777777" w:rsidR="00656440" w:rsidRPr="00EE6203" w:rsidRDefault="00EE6203"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val="fr-FR" w:eastAsia="en-US"/>
        </w:rPr>
        <w:t xml:space="preserve">Rabe, M. M., Amadou, Z., </w:t>
      </w:r>
      <w:proofErr w:type="spellStart"/>
      <w:r w:rsidRPr="00EE6203">
        <w:rPr>
          <w:rFonts w:ascii="Arial" w:eastAsia="Times New Roman" w:hAnsi="Arial" w:cs="Arial"/>
          <w:sz w:val="20"/>
          <w:szCs w:val="20"/>
          <w:lang w:val="fr-FR" w:eastAsia="en-US"/>
        </w:rPr>
        <w:t>Baoua</w:t>
      </w:r>
      <w:proofErr w:type="spellEnd"/>
      <w:r w:rsidRPr="00EE6203">
        <w:rPr>
          <w:rFonts w:ascii="Arial" w:eastAsia="Times New Roman" w:hAnsi="Arial" w:cs="Arial"/>
          <w:sz w:val="20"/>
          <w:szCs w:val="20"/>
          <w:lang w:val="fr-FR" w:eastAsia="en-US"/>
        </w:rPr>
        <w:t xml:space="preserve">, I., &amp; </w:t>
      </w:r>
      <w:proofErr w:type="spellStart"/>
      <w:r w:rsidRPr="00EE6203">
        <w:rPr>
          <w:rFonts w:ascii="Arial" w:eastAsia="Times New Roman" w:hAnsi="Arial" w:cs="Arial"/>
          <w:sz w:val="20"/>
          <w:szCs w:val="20"/>
          <w:lang w:val="fr-FR" w:eastAsia="en-US"/>
        </w:rPr>
        <w:t>Sitou</w:t>
      </w:r>
      <w:proofErr w:type="spellEnd"/>
      <w:r w:rsidR="00F47BA8" w:rsidRPr="00EE6203">
        <w:rPr>
          <w:rFonts w:ascii="Arial" w:eastAsia="Times New Roman" w:hAnsi="Arial" w:cs="Arial"/>
          <w:sz w:val="20"/>
          <w:szCs w:val="20"/>
          <w:lang w:val="fr-FR" w:eastAsia="en-US"/>
        </w:rPr>
        <w:t xml:space="preserve">, L. (2018). </w:t>
      </w:r>
      <w:proofErr w:type="spellStart"/>
      <w:r w:rsidR="00F47BA8" w:rsidRPr="00EE6203">
        <w:rPr>
          <w:rFonts w:ascii="Arial" w:eastAsia="Times New Roman" w:hAnsi="Arial" w:cs="Arial"/>
          <w:sz w:val="20"/>
          <w:szCs w:val="20"/>
          <w:lang w:eastAsia="en-US"/>
        </w:rPr>
        <w:t>Évaluation</w:t>
      </w:r>
      <w:proofErr w:type="spellEnd"/>
      <w:r w:rsidR="00F47BA8" w:rsidRPr="00EE6203">
        <w:rPr>
          <w:rFonts w:ascii="Arial" w:eastAsia="Times New Roman" w:hAnsi="Arial" w:cs="Arial"/>
          <w:sz w:val="20"/>
          <w:szCs w:val="20"/>
          <w:lang w:eastAsia="en-US"/>
        </w:rPr>
        <w:t xml:space="preserve"> des </w:t>
      </w:r>
      <w:proofErr w:type="spellStart"/>
      <w:r w:rsidR="00F47BA8" w:rsidRPr="00EE6203">
        <w:rPr>
          <w:rFonts w:ascii="Arial" w:eastAsia="Times New Roman" w:hAnsi="Arial" w:cs="Arial"/>
          <w:sz w:val="20"/>
          <w:szCs w:val="20"/>
          <w:lang w:eastAsia="en-US"/>
        </w:rPr>
        <w:t>attributs</w:t>
      </w:r>
      <w:proofErr w:type="spellEnd"/>
      <w:r w:rsidR="00F47BA8" w:rsidRPr="00EE6203">
        <w:rPr>
          <w:rFonts w:ascii="Arial" w:eastAsia="Times New Roman" w:hAnsi="Arial" w:cs="Arial"/>
          <w:sz w:val="20"/>
          <w:szCs w:val="20"/>
          <w:lang w:eastAsia="en-US"/>
        </w:rPr>
        <w:t xml:space="preserve"> des semences </w:t>
      </w:r>
      <w:proofErr w:type="gramStart"/>
      <w:r w:rsidR="00F47BA8" w:rsidRPr="00EE6203">
        <w:rPr>
          <w:rFonts w:ascii="Arial" w:eastAsia="Times New Roman" w:hAnsi="Arial" w:cs="Arial"/>
          <w:sz w:val="20"/>
          <w:szCs w:val="20"/>
          <w:lang w:eastAsia="en-US"/>
        </w:rPr>
        <w:t>améliorées :</w:t>
      </w:r>
      <w:proofErr w:type="gramEnd"/>
      <w:r w:rsidR="00F47BA8" w:rsidRPr="00EE6203">
        <w:rPr>
          <w:rFonts w:ascii="Arial" w:eastAsia="Times New Roman" w:hAnsi="Arial" w:cs="Arial"/>
          <w:sz w:val="20"/>
          <w:szCs w:val="20"/>
          <w:lang w:eastAsia="en-US"/>
        </w:rPr>
        <w:t xml:space="preserve"> Cas des variétés du niébé dans la zone agricole centre sud du Niger. Afrique SCIENCE, 14(4), 225</w:t>
      </w:r>
      <w:r w:rsidR="00F47BA8" w:rsidRPr="00EE6203">
        <w:rPr>
          <w:rFonts w:ascii="Cambria Math" w:eastAsia="Times New Roman" w:hAnsi="Cambria Math" w:cs="Cambria Math"/>
          <w:sz w:val="20"/>
          <w:szCs w:val="20"/>
          <w:lang w:eastAsia="en-US"/>
        </w:rPr>
        <w:t>‑</w:t>
      </w:r>
      <w:r w:rsidR="00F47BA8" w:rsidRPr="00EE6203">
        <w:rPr>
          <w:rFonts w:ascii="Arial" w:eastAsia="Times New Roman" w:hAnsi="Arial" w:cs="Arial"/>
          <w:sz w:val="20"/>
          <w:szCs w:val="20"/>
          <w:lang w:eastAsia="en-US"/>
        </w:rPr>
        <w:t>234.</w:t>
      </w:r>
    </w:p>
    <w:p w14:paraId="44FB41DB"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lastRenderedPageBreak/>
        <w:t>Ray, R. K., Kumari, M., Sinha, P., Umrao, A., &amp; Nayak, S. (2020). Problem and Prospect of contract Farming in India. Food Sci. Rep, 1, 63</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68.</w:t>
      </w:r>
    </w:p>
    <w:p w14:paraId="761A58CE"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Ruml, A., &amp; Qaim, M. (2021). Smallholder farmers’ dissatisfaction with contract schemes in spite of economic </w:t>
      </w:r>
      <w:proofErr w:type="gramStart"/>
      <w:r w:rsidRPr="00EE6203">
        <w:rPr>
          <w:rFonts w:ascii="Arial" w:eastAsia="Times New Roman" w:hAnsi="Arial" w:cs="Arial"/>
          <w:sz w:val="20"/>
          <w:szCs w:val="20"/>
          <w:lang w:eastAsia="en-US"/>
        </w:rPr>
        <w:t>benefits :</w:t>
      </w:r>
      <w:proofErr w:type="gramEnd"/>
      <w:r w:rsidRPr="00EE6203">
        <w:rPr>
          <w:rFonts w:ascii="Arial" w:eastAsia="Times New Roman" w:hAnsi="Arial" w:cs="Arial"/>
          <w:sz w:val="20"/>
          <w:szCs w:val="20"/>
          <w:lang w:eastAsia="en-US"/>
        </w:rPr>
        <w:t xml:space="preserve"> Issues of mistrust and lack of transparency. The Journal of Development Studies, 57(7), 1106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1119.</w:t>
      </w:r>
    </w:p>
    <w:p w14:paraId="6BCDC667"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Sarkhel</w:t>
      </w:r>
      <w:proofErr w:type="spellEnd"/>
      <w:r w:rsidRPr="00EE6203">
        <w:rPr>
          <w:rFonts w:ascii="Arial" w:eastAsia="Times New Roman" w:hAnsi="Arial" w:cs="Arial"/>
          <w:sz w:val="20"/>
          <w:szCs w:val="20"/>
          <w:lang w:eastAsia="en-US"/>
        </w:rPr>
        <w:t>, J. (2020). Problems and Prospects of Contract Farming in India. Economy Polity Environment: An International Peer-reviewed Journal of Social Studies, 2(2), 106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111.</w:t>
      </w:r>
    </w:p>
    <w:p w14:paraId="50414917"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Seerp</w:t>
      </w:r>
      <w:proofErr w:type="spellEnd"/>
      <w:r w:rsidRPr="00EE6203">
        <w:rPr>
          <w:rFonts w:ascii="Arial" w:eastAsia="Times New Roman" w:hAnsi="Arial" w:cs="Arial"/>
          <w:sz w:val="20"/>
          <w:szCs w:val="20"/>
          <w:lang w:eastAsia="en-US"/>
        </w:rPr>
        <w:t xml:space="preserve">, W. (2018). Income Intervention Quick </w:t>
      </w:r>
      <w:proofErr w:type="gramStart"/>
      <w:r w:rsidRPr="00EE6203">
        <w:rPr>
          <w:rFonts w:ascii="Arial" w:eastAsia="Times New Roman" w:hAnsi="Arial" w:cs="Arial"/>
          <w:sz w:val="20"/>
          <w:szCs w:val="20"/>
          <w:lang w:eastAsia="en-US"/>
        </w:rPr>
        <w:t>Scan :</w:t>
      </w:r>
      <w:proofErr w:type="gramEnd"/>
      <w:r w:rsidRPr="00EE6203">
        <w:rPr>
          <w:rFonts w:ascii="Arial" w:eastAsia="Times New Roman" w:hAnsi="Arial" w:cs="Arial"/>
          <w:sz w:val="20"/>
          <w:szCs w:val="20"/>
          <w:lang w:eastAsia="en-US"/>
        </w:rPr>
        <w:t xml:space="preserve"> </w:t>
      </w:r>
      <w:proofErr w:type="spellStart"/>
      <w:r w:rsidRPr="00EE6203">
        <w:rPr>
          <w:rFonts w:ascii="Arial" w:eastAsia="Times New Roman" w:hAnsi="Arial" w:cs="Arial"/>
          <w:sz w:val="20"/>
          <w:szCs w:val="20"/>
          <w:lang w:eastAsia="en-US"/>
        </w:rPr>
        <w:t>Outgrower</w:t>
      </w:r>
      <w:proofErr w:type="spellEnd"/>
      <w:r w:rsidRPr="00EE6203">
        <w:rPr>
          <w:rFonts w:ascii="Arial" w:eastAsia="Times New Roman" w:hAnsi="Arial" w:cs="Arial"/>
          <w:sz w:val="20"/>
          <w:szCs w:val="20"/>
          <w:lang w:eastAsia="en-US"/>
        </w:rPr>
        <w:t xml:space="preserve"> Schemes and Contract farming; Farmer Income Lab Intervention Quick Scan. Wageningen Centre for Development Innovation, Wageningen University ….</w:t>
      </w:r>
    </w:p>
    <w:p w14:paraId="739DD1F1"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Seopela</w:t>
      </w:r>
      <w:proofErr w:type="spellEnd"/>
      <w:r w:rsidRPr="00EE6203">
        <w:rPr>
          <w:rFonts w:ascii="Arial" w:eastAsia="Times New Roman" w:hAnsi="Arial" w:cs="Arial"/>
          <w:sz w:val="20"/>
          <w:szCs w:val="20"/>
          <w:lang w:eastAsia="en-US"/>
        </w:rPr>
        <w:t>, L., &amp; Zulu, V. (2022). Consumer perceptions on satisfaction and word of mouth in smallholder horticultural stores in an emerging economy. Management Science Letters, 12(1), 21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34.</w:t>
      </w:r>
    </w:p>
    <w:p w14:paraId="088BFB8C"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Tabbo</w:t>
      </w:r>
      <w:proofErr w:type="spellEnd"/>
      <w:r w:rsidRPr="00EE6203">
        <w:rPr>
          <w:rFonts w:ascii="Arial" w:eastAsia="Times New Roman" w:hAnsi="Arial" w:cs="Arial"/>
          <w:sz w:val="20"/>
          <w:szCs w:val="20"/>
          <w:lang w:eastAsia="en-US"/>
        </w:rPr>
        <w:t xml:space="preserve">, A. M., &amp; Amadou, Z. (2017). Assessing newly introduced climate change adaptation strategy packages among rural </w:t>
      </w:r>
      <w:proofErr w:type="gramStart"/>
      <w:r w:rsidRPr="00EE6203">
        <w:rPr>
          <w:rFonts w:ascii="Arial" w:eastAsia="Times New Roman" w:hAnsi="Arial" w:cs="Arial"/>
          <w:sz w:val="20"/>
          <w:szCs w:val="20"/>
          <w:lang w:eastAsia="en-US"/>
        </w:rPr>
        <w:t>households :</w:t>
      </w:r>
      <w:proofErr w:type="gramEnd"/>
      <w:r w:rsidRPr="00EE6203">
        <w:rPr>
          <w:rFonts w:ascii="Arial" w:eastAsia="Times New Roman" w:hAnsi="Arial" w:cs="Arial"/>
          <w:sz w:val="20"/>
          <w:szCs w:val="20"/>
          <w:lang w:eastAsia="en-US"/>
        </w:rPr>
        <w:t xml:space="preserve"> Evidence from Kaou local government area, Tahoua State, Niger Republic. </w:t>
      </w:r>
      <w:proofErr w:type="spellStart"/>
      <w:r w:rsidRPr="00EE6203">
        <w:rPr>
          <w:rFonts w:ascii="Arial" w:eastAsia="Times New Roman" w:hAnsi="Arial" w:cs="Arial"/>
          <w:sz w:val="20"/>
          <w:szCs w:val="20"/>
          <w:lang w:eastAsia="en-US"/>
        </w:rPr>
        <w:t>Jàmbá</w:t>
      </w:r>
      <w:proofErr w:type="spellEnd"/>
      <w:r w:rsidRPr="00EE6203">
        <w:rPr>
          <w:rFonts w:ascii="Arial" w:eastAsia="Times New Roman" w:hAnsi="Arial" w:cs="Arial"/>
          <w:sz w:val="20"/>
          <w:szCs w:val="20"/>
          <w:lang w:eastAsia="en-US"/>
        </w:rPr>
        <w:t>: Journal of Disaster Risk Studies, 9(1), 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7.</w:t>
      </w:r>
    </w:p>
    <w:p w14:paraId="7D3DDA09"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Train, K. E. (2009). Discrete choice methods with simulation. Cambridge university press.</w:t>
      </w:r>
    </w:p>
    <w:p w14:paraId="48E2839B"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Veettil</w:t>
      </w:r>
      <w:proofErr w:type="spellEnd"/>
      <w:r w:rsidRPr="00EE6203">
        <w:rPr>
          <w:rFonts w:ascii="Arial" w:eastAsia="Times New Roman" w:hAnsi="Arial" w:cs="Arial"/>
          <w:sz w:val="20"/>
          <w:szCs w:val="20"/>
          <w:lang w:eastAsia="en-US"/>
        </w:rPr>
        <w:t xml:space="preserve">, P. C., Yashodha, &amp; Johny, J. (2021). Group contracts and </w:t>
      </w:r>
      <w:proofErr w:type="gramStart"/>
      <w:r w:rsidRPr="00EE6203">
        <w:rPr>
          <w:rFonts w:ascii="Arial" w:eastAsia="Times New Roman" w:hAnsi="Arial" w:cs="Arial"/>
          <w:sz w:val="20"/>
          <w:szCs w:val="20"/>
          <w:lang w:eastAsia="en-US"/>
        </w:rPr>
        <w:t>sustainability :</w:t>
      </w:r>
      <w:proofErr w:type="gramEnd"/>
      <w:r w:rsidRPr="00EE6203">
        <w:rPr>
          <w:rFonts w:ascii="Arial" w:eastAsia="Times New Roman" w:hAnsi="Arial" w:cs="Arial"/>
          <w:sz w:val="20"/>
          <w:szCs w:val="20"/>
          <w:lang w:eastAsia="en-US"/>
        </w:rPr>
        <w:t xml:space="preserve"> Experimental evidence from smallholder seed production. </w:t>
      </w:r>
      <w:proofErr w:type="spellStart"/>
      <w:r w:rsidRPr="00EE6203">
        <w:rPr>
          <w:rFonts w:ascii="Arial" w:eastAsia="Times New Roman" w:hAnsi="Arial" w:cs="Arial"/>
          <w:sz w:val="20"/>
          <w:szCs w:val="20"/>
          <w:lang w:eastAsia="en-US"/>
        </w:rPr>
        <w:t>Plos</w:t>
      </w:r>
      <w:proofErr w:type="spellEnd"/>
      <w:r w:rsidRPr="00EE6203">
        <w:rPr>
          <w:rFonts w:ascii="Arial" w:eastAsia="Times New Roman" w:hAnsi="Arial" w:cs="Arial"/>
          <w:sz w:val="20"/>
          <w:szCs w:val="20"/>
          <w:lang w:eastAsia="en-US"/>
        </w:rPr>
        <w:t xml:space="preserve"> one, 16(8), e0255176.</w:t>
      </w:r>
    </w:p>
    <w:p w14:paraId="34DFA05C" w14:textId="77777777" w:rsidR="00656440" w:rsidRDefault="00656440"/>
    <w:p w14:paraId="0217B51B" w14:textId="77777777" w:rsidR="00656440" w:rsidRDefault="00656440"/>
    <w:sectPr w:rsidR="006564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E7D1E" w14:textId="77777777" w:rsidR="00E603C7" w:rsidRDefault="00E603C7" w:rsidP="00081764">
      <w:pPr>
        <w:spacing w:after="0" w:line="240" w:lineRule="auto"/>
      </w:pPr>
      <w:r>
        <w:separator/>
      </w:r>
    </w:p>
  </w:endnote>
  <w:endnote w:type="continuationSeparator" w:id="0">
    <w:p w14:paraId="4AD8F8FC" w14:textId="77777777" w:rsidR="00E603C7" w:rsidRDefault="00E603C7" w:rsidP="0008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FD7C" w14:textId="77777777" w:rsidR="00760543" w:rsidRDefault="00760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A0A7" w14:textId="77777777" w:rsidR="00081764" w:rsidRDefault="00081764">
    <w:pPr>
      <w:pStyle w:val="Footer"/>
      <w:jc w:val="right"/>
    </w:pPr>
    <w:r>
      <w:fldChar w:fldCharType="begin"/>
    </w:r>
    <w:r>
      <w:instrText>PAGE   \* MERGEFORMAT</w:instrText>
    </w:r>
    <w:r>
      <w:fldChar w:fldCharType="separate"/>
    </w:r>
    <w:r w:rsidR="00EE51E4" w:rsidRPr="00EE51E4">
      <w:rPr>
        <w:noProof/>
        <w:lang w:val="fr-FR"/>
      </w:rPr>
      <w:t>10</w:t>
    </w:r>
    <w:r>
      <w:fldChar w:fldCharType="end"/>
    </w:r>
  </w:p>
  <w:p w14:paraId="7ADCFBC9" w14:textId="77777777" w:rsidR="00081764" w:rsidRDefault="00081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0FA6" w14:textId="77777777" w:rsidR="00760543" w:rsidRDefault="00760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983A9" w14:textId="77777777" w:rsidR="00E603C7" w:rsidRDefault="00E603C7" w:rsidP="00081764">
      <w:pPr>
        <w:spacing w:after="0" w:line="240" w:lineRule="auto"/>
      </w:pPr>
      <w:r>
        <w:separator/>
      </w:r>
    </w:p>
  </w:footnote>
  <w:footnote w:type="continuationSeparator" w:id="0">
    <w:p w14:paraId="4793CE89" w14:textId="77777777" w:rsidR="00E603C7" w:rsidRDefault="00E603C7" w:rsidP="00081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E7B1" w14:textId="5BB02765" w:rsidR="00760543" w:rsidRDefault="00760543">
    <w:pPr>
      <w:pStyle w:val="Header"/>
    </w:pPr>
    <w:r>
      <w:rPr>
        <w:noProof/>
      </w:rPr>
      <w:pict w14:anchorId="5001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5AD9" w14:textId="769713CD" w:rsidR="00760543" w:rsidRDefault="00760543">
    <w:pPr>
      <w:pStyle w:val="Header"/>
    </w:pPr>
    <w:r>
      <w:rPr>
        <w:noProof/>
      </w:rPr>
      <w:pict w14:anchorId="12B6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51E0" w14:textId="1E678C55" w:rsidR="00760543" w:rsidRDefault="00760543">
    <w:pPr>
      <w:pStyle w:val="Header"/>
    </w:pPr>
    <w:r>
      <w:rPr>
        <w:noProof/>
      </w:rPr>
      <w:pict w14:anchorId="454FB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hyphenationZone w:val="425"/>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40"/>
    <w:rsid w:val="000130A5"/>
    <w:rsid w:val="00026D23"/>
    <w:rsid w:val="00081764"/>
    <w:rsid w:val="00163C23"/>
    <w:rsid w:val="001B0F9F"/>
    <w:rsid w:val="001B331C"/>
    <w:rsid w:val="001B70C0"/>
    <w:rsid w:val="001D2AD6"/>
    <w:rsid w:val="001D4ED3"/>
    <w:rsid w:val="0025318A"/>
    <w:rsid w:val="00306D81"/>
    <w:rsid w:val="0035623E"/>
    <w:rsid w:val="00364FAE"/>
    <w:rsid w:val="003C13A5"/>
    <w:rsid w:val="004304C6"/>
    <w:rsid w:val="00432474"/>
    <w:rsid w:val="00456322"/>
    <w:rsid w:val="00475F99"/>
    <w:rsid w:val="004A3693"/>
    <w:rsid w:val="004A6BF6"/>
    <w:rsid w:val="00504C28"/>
    <w:rsid w:val="0053083E"/>
    <w:rsid w:val="005706B5"/>
    <w:rsid w:val="00576E58"/>
    <w:rsid w:val="005813CF"/>
    <w:rsid w:val="005C3C07"/>
    <w:rsid w:val="005F233C"/>
    <w:rsid w:val="00637782"/>
    <w:rsid w:val="00651A08"/>
    <w:rsid w:val="006535B8"/>
    <w:rsid w:val="00656440"/>
    <w:rsid w:val="00671C86"/>
    <w:rsid w:val="0069289A"/>
    <w:rsid w:val="00695583"/>
    <w:rsid w:val="006A1994"/>
    <w:rsid w:val="006A6EE1"/>
    <w:rsid w:val="006B70E8"/>
    <w:rsid w:val="006D19F3"/>
    <w:rsid w:val="006E3EC7"/>
    <w:rsid w:val="006F094C"/>
    <w:rsid w:val="007313FE"/>
    <w:rsid w:val="00760543"/>
    <w:rsid w:val="00766016"/>
    <w:rsid w:val="007710FC"/>
    <w:rsid w:val="007C0229"/>
    <w:rsid w:val="007D3585"/>
    <w:rsid w:val="007F1CA8"/>
    <w:rsid w:val="00807BAF"/>
    <w:rsid w:val="00817A91"/>
    <w:rsid w:val="008328E1"/>
    <w:rsid w:val="00844A1A"/>
    <w:rsid w:val="008704C4"/>
    <w:rsid w:val="00873ED0"/>
    <w:rsid w:val="008748A5"/>
    <w:rsid w:val="008804D1"/>
    <w:rsid w:val="008908B3"/>
    <w:rsid w:val="008D77D4"/>
    <w:rsid w:val="009813B9"/>
    <w:rsid w:val="009E1349"/>
    <w:rsid w:val="009E46BB"/>
    <w:rsid w:val="009F4826"/>
    <w:rsid w:val="00A90234"/>
    <w:rsid w:val="00AC5E8D"/>
    <w:rsid w:val="00AE6EC8"/>
    <w:rsid w:val="00B23198"/>
    <w:rsid w:val="00B60760"/>
    <w:rsid w:val="00BC188A"/>
    <w:rsid w:val="00BE3A23"/>
    <w:rsid w:val="00C76ED0"/>
    <w:rsid w:val="00D635BD"/>
    <w:rsid w:val="00D754E0"/>
    <w:rsid w:val="00DC7E3E"/>
    <w:rsid w:val="00E132BD"/>
    <w:rsid w:val="00E56FA2"/>
    <w:rsid w:val="00E603C7"/>
    <w:rsid w:val="00E64272"/>
    <w:rsid w:val="00EE51E4"/>
    <w:rsid w:val="00EE6203"/>
    <w:rsid w:val="00F47043"/>
    <w:rsid w:val="00F47B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7E7707A"/>
  <w15:docId w15:val="{7A87E26E-5452-4CE9-A7AF-20F4991F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7710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06B5"/>
    <w:rPr>
      <w:rFonts w:eastAsia="Times New Roman" w:cs="Arial"/>
      <w:sz w:val="22"/>
      <w:szCs w:val="22"/>
    </w:rPr>
    <w:tblPr>
      <w:tblCellMar>
        <w:top w:w="0" w:type="dxa"/>
        <w:left w:w="0" w:type="dxa"/>
        <w:bottom w:w="0" w:type="dxa"/>
        <w:right w:w="0" w:type="dxa"/>
      </w:tblCellMar>
    </w:tblPr>
  </w:style>
  <w:style w:type="table" w:customStyle="1" w:styleId="Grilledutableau1">
    <w:name w:val="Grille du tableau1"/>
    <w:basedOn w:val="TableNormal"/>
    <w:next w:val="TableGrid0"/>
    <w:uiPriority w:val="39"/>
    <w:rsid w:val="00C76ED0"/>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C7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21">
    <w:name w:val="Tableau Liste 21"/>
    <w:basedOn w:val="TableNormal"/>
    <w:next w:val="ListTable2"/>
    <w:uiPriority w:val="47"/>
    <w:rsid w:val="006D19F3"/>
    <w:rPr>
      <w:rFonts w:eastAsia="Calibri" w:cs="Arial"/>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6D19F3"/>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081764"/>
    <w:pPr>
      <w:tabs>
        <w:tab w:val="center" w:pos="4536"/>
        <w:tab w:val="right" w:pos="9072"/>
      </w:tabs>
    </w:pPr>
  </w:style>
  <w:style w:type="character" w:customStyle="1" w:styleId="HeaderChar">
    <w:name w:val="Header Char"/>
    <w:link w:val="Header"/>
    <w:uiPriority w:val="99"/>
    <w:rsid w:val="00081764"/>
    <w:rPr>
      <w:sz w:val="22"/>
      <w:szCs w:val="22"/>
    </w:rPr>
  </w:style>
  <w:style w:type="paragraph" w:styleId="Footer">
    <w:name w:val="footer"/>
    <w:basedOn w:val="Normal"/>
    <w:link w:val="FooterChar"/>
    <w:uiPriority w:val="99"/>
    <w:unhideWhenUsed/>
    <w:rsid w:val="00081764"/>
    <w:pPr>
      <w:tabs>
        <w:tab w:val="center" w:pos="4536"/>
        <w:tab w:val="right" w:pos="9072"/>
      </w:tabs>
    </w:pPr>
  </w:style>
  <w:style w:type="character" w:customStyle="1" w:styleId="FooterChar">
    <w:name w:val="Footer Char"/>
    <w:link w:val="Footer"/>
    <w:uiPriority w:val="99"/>
    <w:rsid w:val="00081764"/>
    <w:rPr>
      <w:sz w:val="22"/>
      <w:szCs w:val="22"/>
    </w:rPr>
  </w:style>
  <w:style w:type="character" w:customStyle="1" w:styleId="Heading1Char">
    <w:name w:val="Heading 1 Char"/>
    <w:basedOn w:val="DefaultParagraphFont"/>
    <w:link w:val="Heading1"/>
    <w:uiPriority w:val="9"/>
    <w:rsid w:val="007710FC"/>
    <w:rPr>
      <w:rFonts w:asciiTheme="majorHAnsi" w:eastAsiaTheme="majorEastAsia" w:hAnsiTheme="majorHAnsi" w:cstheme="majorBidi"/>
      <w:color w:val="365F91" w:themeColor="accent1" w:themeShade="BF"/>
      <w:sz w:val="32"/>
      <w:szCs w:val="32"/>
      <w:lang w:val="en-US" w:eastAsia="zh-CN"/>
    </w:rPr>
  </w:style>
  <w:style w:type="paragraph" w:customStyle="1" w:styleId="AcknHead">
    <w:name w:val="Ackn Head"/>
    <w:basedOn w:val="Normal"/>
    <w:rsid w:val="00576E58"/>
    <w:pPr>
      <w:keepNext/>
      <w:spacing w:after="240" w:line="240" w:lineRule="auto"/>
    </w:pPr>
    <w:rPr>
      <w:rFonts w:ascii="Helvetica" w:eastAsia="Times New Roman" w:hAnsi="Helvetica"/>
      <w:b/>
      <w:caps/>
      <w:szCs w:val="20"/>
      <w:lang w:eastAsia="en-US"/>
    </w:rPr>
  </w:style>
  <w:style w:type="paragraph" w:customStyle="1" w:styleId="ReferHead">
    <w:name w:val="Refer Head"/>
    <w:basedOn w:val="Normal"/>
    <w:rsid w:val="00432474"/>
    <w:pPr>
      <w:keepNext/>
      <w:spacing w:after="240" w:line="240" w:lineRule="auto"/>
    </w:pPr>
    <w:rPr>
      <w:rFonts w:ascii="Helvetica" w:eastAsia="Times New Roman" w:hAnsi="Helvetica"/>
      <w:b/>
      <w:caps/>
      <w:szCs w:val="20"/>
      <w:lang w:eastAsia="en-US"/>
    </w:rPr>
  </w:style>
  <w:style w:type="paragraph" w:styleId="NoSpacing">
    <w:name w:val="No Spacing"/>
    <w:uiPriority w:val="1"/>
    <w:qFormat/>
    <w:rsid w:val="00432474"/>
    <w:rPr>
      <w:sz w:val="22"/>
      <w:szCs w:val="22"/>
      <w:lang w:val="en-US" w:eastAsia="zh-CN"/>
    </w:rPr>
  </w:style>
  <w:style w:type="character" w:styleId="Hyperlink">
    <w:name w:val="Hyperlink"/>
    <w:basedOn w:val="DefaultParagraphFont"/>
    <w:uiPriority w:val="99"/>
    <w:unhideWhenUsed/>
    <w:rsid w:val="007C0229"/>
    <w:rPr>
      <w:color w:val="0000FF" w:themeColor="hyperlink"/>
      <w:u w:val="single"/>
    </w:rPr>
  </w:style>
  <w:style w:type="character" w:styleId="UnresolvedMention">
    <w:name w:val="Unresolved Mention"/>
    <w:basedOn w:val="DefaultParagraphFont"/>
    <w:uiPriority w:val="99"/>
    <w:semiHidden/>
    <w:unhideWhenUsed/>
    <w:rsid w:val="007C0229"/>
    <w:rPr>
      <w:color w:val="605E5C"/>
      <w:shd w:val="clear" w:color="auto" w:fill="E1DFDD"/>
    </w:rPr>
  </w:style>
  <w:style w:type="paragraph" w:styleId="ListParagraph">
    <w:name w:val="List Paragraph"/>
    <w:basedOn w:val="Normal"/>
    <w:uiPriority w:val="34"/>
    <w:qFormat/>
    <w:rsid w:val="006B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2998">
      <w:bodyDiv w:val="1"/>
      <w:marLeft w:val="0"/>
      <w:marRight w:val="0"/>
      <w:marTop w:val="0"/>
      <w:marBottom w:val="0"/>
      <w:divBdr>
        <w:top w:val="none" w:sz="0" w:space="0" w:color="auto"/>
        <w:left w:val="none" w:sz="0" w:space="0" w:color="auto"/>
        <w:bottom w:val="none" w:sz="0" w:space="0" w:color="auto"/>
        <w:right w:val="none" w:sz="0" w:space="0" w:color="auto"/>
      </w:divBdr>
    </w:div>
    <w:div w:id="943999656">
      <w:bodyDiv w:val="1"/>
      <w:marLeft w:val="0"/>
      <w:marRight w:val="0"/>
      <w:marTop w:val="0"/>
      <w:marBottom w:val="0"/>
      <w:divBdr>
        <w:top w:val="none" w:sz="0" w:space="0" w:color="auto"/>
        <w:left w:val="none" w:sz="0" w:space="0" w:color="auto"/>
        <w:bottom w:val="none" w:sz="0" w:space="0" w:color="auto"/>
        <w:right w:val="none" w:sz="0" w:space="0" w:color="auto"/>
      </w:divBdr>
    </w:div>
    <w:div w:id="1194348183">
      <w:bodyDiv w:val="1"/>
      <w:marLeft w:val="0"/>
      <w:marRight w:val="0"/>
      <w:marTop w:val="0"/>
      <w:marBottom w:val="0"/>
      <w:divBdr>
        <w:top w:val="none" w:sz="0" w:space="0" w:color="auto"/>
        <w:left w:val="none" w:sz="0" w:space="0" w:color="auto"/>
        <w:bottom w:val="none" w:sz="0" w:space="0" w:color="auto"/>
        <w:right w:val="none" w:sz="0" w:space="0" w:color="auto"/>
      </w:divBdr>
      <w:divsChild>
        <w:div w:id="1893342624">
          <w:marLeft w:val="0"/>
          <w:marRight w:val="0"/>
          <w:marTop w:val="0"/>
          <w:marBottom w:val="0"/>
          <w:divBdr>
            <w:top w:val="none" w:sz="0" w:space="0" w:color="auto"/>
            <w:left w:val="none" w:sz="0" w:space="0" w:color="auto"/>
            <w:bottom w:val="none" w:sz="0" w:space="0" w:color="auto"/>
            <w:right w:val="none" w:sz="0" w:space="0" w:color="auto"/>
          </w:divBdr>
        </w:div>
        <w:div w:id="1356102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3802</Words>
  <Characters>21676</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BD2p</dc:creator>
  <cp:lastModifiedBy>SDI 1084</cp:lastModifiedBy>
  <cp:revision>42</cp:revision>
  <dcterms:created xsi:type="dcterms:W3CDTF">2025-07-29T22:23:00Z</dcterms:created>
  <dcterms:modified xsi:type="dcterms:W3CDTF">2025-08-09T10:23:00Z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fd017973f6054ee8914c8e7e1c8594c8</vt:lpwstr>
  </property>
  <property fmtid="{D5CDD505-2E9C-101B-9397-08002B2CF9AE}" pid="3" name="GrammarlyDocumentId">
    <vt:lpwstr>86972e06-8dac-40cd-91c6-5a28cb52eade</vt:lpwstr>
  </property>
</Properties>
</file>