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6C38E" w14:textId="77777777" w:rsidR="00220112" w:rsidRDefault="00C96430">
      <w:pPr>
        <w:pStyle w:val="Heading11"/>
        <w:jc w:val="both"/>
        <w:rPr>
          <w:color w:val="36363D"/>
        </w:rPr>
      </w:pPr>
      <w:bookmarkStart w:id="0" w:name="Xdb89f0b9de64099fce339c8f0f01dd2a61ed555"/>
      <w:r>
        <w:rPr>
          <w:color w:val="36363D"/>
        </w:rPr>
        <w:t>Sustainable Synthesis of Nanomaterials for Energy Storage Applications</w:t>
      </w:r>
    </w:p>
    <w:p w14:paraId="5A09041D" w14:textId="77777777" w:rsidR="00220112" w:rsidRDefault="00220112">
      <w:pPr>
        <w:pStyle w:val="Heading11"/>
        <w:jc w:val="both"/>
        <w:rPr>
          <w:color w:val="36363D"/>
        </w:rPr>
      </w:pPr>
    </w:p>
    <w:p w14:paraId="470A8874" w14:textId="77777777" w:rsidR="00220112" w:rsidRDefault="00220112">
      <w:pPr>
        <w:pStyle w:val="Heading11"/>
        <w:jc w:val="both"/>
        <w:rPr>
          <w:color w:val="36363D"/>
        </w:rPr>
      </w:pPr>
    </w:p>
    <w:p w14:paraId="0A4C8D84" w14:textId="77777777" w:rsidR="00220112" w:rsidRDefault="00C96430">
      <w:pPr>
        <w:pStyle w:val="Heading21"/>
        <w:jc w:val="both"/>
        <w:rPr>
          <w:color w:val="36363D"/>
        </w:rPr>
      </w:pPr>
      <w:bookmarkStart w:id="1" w:name="abstract"/>
      <w:bookmarkStart w:id="2" w:name="_GoBack"/>
      <w:bookmarkEnd w:id="2"/>
      <w:r>
        <w:rPr>
          <w:color w:val="36363D"/>
        </w:rPr>
        <w:t>Abstract</w:t>
      </w:r>
    </w:p>
    <w:p w14:paraId="35DDBA46" w14:textId="77777777" w:rsidR="00220112" w:rsidRDefault="00C96430">
      <w:pPr>
        <w:pStyle w:val="FirstParagraph"/>
        <w:jc w:val="both"/>
        <w:rPr>
          <w:color w:val="36363D"/>
        </w:rPr>
      </w:pPr>
      <w:r>
        <w:rPr>
          <w:color w:val="36363D"/>
        </w:rPr>
        <w:t>The global transition toward sustainable energy systems has intensified the need for advanced e</w:t>
      </w:r>
      <w:r>
        <w:rPr>
          <w:color w:val="36363D"/>
        </w:rPr>
        <w:t>nergy storage technologies, with nanomaterials playing a pivotal role in enhancing device performance. The synthesis of nanomaterials has traditionally relied on methods that pose significant environmental risks due to high-energy demands, hazardous chemic</w:t>
      </w:r>
      <w:r>
        <w:rPr>
          <w:color w:val="36363D"/>
        </w:rPr>
        <w:t>als, and waste generation (Al-Rashdi et al., 2025). This review examines the paradigm shift toward sustainable synthesis approaches that integrate green chemistry principles while maintaining high material performance. Most countries worldwide have committ</w:t>
      </w:r>
      <w:r>
        <w:rPr>
          <w:color w:val="36363D"/>
        </w:rPr>
        <w:t>ed to reaching carbon neutrality by the end of the century, with the aim to achieve Net Zero before 2060 (Smith et al., 2024), making sustainable nanomaterial production critical for achieving climate goals. The analysis reveals that biomass-derived materi</w:t>
      </w:r>
      <w:r>
        <w:rPr>
          <w:color w:val="36363D"/>
        </w:rPr>
        <w:t>als, green solvents, and energy-efficient processing techniques can achieve comparable performance to conventional methods while significantly reducing environmental impact. Key challenges include scalability, cost optimization, and standardization, requir</w:t>
      </w:r>
      <w:r>
        <w:rPr>
          <w:color w:val="36363D"/>
        </w:rPr>
        <w:t>ing interdisciplinary collaboration for successful implementation.</w:t>
      </w:r>
    </w:p>
    <w:p w14:paraId="163FE78C" w14:textId="77777777" w:rsidR="00220112" w:rsidRDefault="00C96430">
      <w:pPr>
        <w:pStyle w:val="BodyText"/>
        <w:jc w:val="both"/>
        <w:rPr>
          <w:color w:val="36363D"/>
        </w:rPr>
      </w:pPr>
      <w:r>
        <w:rPr>
          <w:b/>
          <w:bCs/>
          <w:color w:val="36363D"/>
        </w:rPr>
        <w:t>Keywords:</w:t>
      </w:r>
      <w:r>
        <w:rPr>
          <w:color w:val="36363D"/>
        </w:rPr>
        <w:t xml:space="preserve"> sustainable synthesis, biomass nanomaterials, green chemistry, energy storage, carbon neutrality, environmental impact</w:t>
      </w:r>
    </w:p>
    <w:p w14:paraId="2CA2B0B7" w14:textId="77777777" w:rsidR="00220112" w:rsidRDefault="00C96430">
      <w:pPr>
        <w:pStyle w:val="Heading21"/>
        <w:jc w:val="both"/>
        <w:rPr>
          <w:color w:val="36363D"/>
        </w:rPr>
      </w:pPr>
      <w:bookmarkStart w:id="3" w:name="Xe3d0fc0bea9a42ce7605565d0964033d7f6ee47"/>
      <w:bookmarkEnd w:id="1"/>
      <w:r>
        <w:rPr>
          <w:color w:val="36363D"/>
        </w:rPr>
        <w:t>1. Introduction</w:t>
      </w:r>
    </w:p>
    <w:p w14:paraId="78622190" w14:textId="77777777" w:rsidR="00220112" w:rsidRDefault="00C96430">
      <w:pPr>
        <w:pStyle w:val="Heading31"/>
        <w:jc w:val="both"/>
        <w:rPr>
          <w:color w:val="36363D"/>
        </w:rPr>
      </w:pPr>
      <w:bookmarkStart w:id="4" w:name="X141031a9f9efd2ee4bc1ed13376eee9c10a41f3"/>
      <w:r>
        <w:rPr>
          <w:color w:val="36363D"/>
        </w:rPr>
        <w:t>1.1 The Energy Storage Imperative and Nanoma</w:t>
      </w:r>
      <w:r>
        <w:rPr>
          <w:color w:val="36363D"/>
        </w:rPr>
        <w:t>terial Role</w:t>
      </w:r>
    </w:p>
    <w:p w14:paraId="67AE7D48" w14:textId="77777777" w:rsidR="00220112" w:rsidRDefault="00C96430">
      <w:pPr>
        <w:pStyle w:val="FirstParagraph"/>
        <w:jc w:val="both"/>
        <w:rPr>
          <w:color w:val="36363D"/>
        </w:rPr>
      </w:pPr>
      <w:r>
        <w:rPr>
          <w:color w:val="36363D"/>
        </w:rPr>
        <w:t xml:space="preserve">The contemporary energy landscape faces unprecedented challenges that necessitate revolutionary approaches to energy storage. The ever-increasing global energy demand necessitates the development of efficient, sustainable, and high-performance </w:t>
      </w:r>
      <w:r>
        <w:rPr>
          <w:color w:val="36363D"/>
        </w:rPr>
        <w:t>energy storage systems (Molecules Editorial Office, 2025). The intermittent nature of renewable energy sources, particularly solar and wind power, creates an urgent need for reliable energy storage solutions that can effectively bridge the gap between ener</w:t>
      </w:r>
      <w:r>
        <w:rPr>
          <w:color w:val="36363D"/>
        </w:rPr>
        <w:t>gy generation and consumption.</w:t>
      </w:r>
    </w:p>
    <w:p w14:paraId="2C09299F" w14:textId="77777777" w:rsidR="00220112" w:rsidRDefault="00C96430">
      <w:pPr>
        <w:pStyle w:val="BodyText"/>
        <w:jc w:val="both"/>
        <w:rPr>
          <w:color w:val="36363D"/>
        </w:rPr>
      </w:pPr>
      <w:r>
        <w:rPr>
          <w:color w:val="36363D"/>
        </w:rPr>
        <w:lastRenderedPageBreak/>
        <w:t>Nanotechnology, through the manipulation of materials at the nanoscale, offers significant potential for enhancing the performance of energy storage devices due to unique properties such as increased surface area and improved</w:t>
      </w:r>
      <w:r>
        <w:rPr>
          <w:color w:val="36363D"/>
        </w:rPr>
        <w:t xml:space="preserve"> conductivity (Molecules Editorial Office, 2025). The quantum confinement effects, high surface-to-volume ratios, and tunable properties of nanomaterials have revolutionized the design of batteries, supercapacitors, and fuel cells. These materials serve as</w:t>
      </w:r>
      <w:r>
        <w:rPr>
          <w:color w:val="36363D"/>
        </w:rPr>
        <w:t xml:space="preserve"> active electrode components, separators, and current collectors, fundamentally altering device performance metrics including energy density, power density, and cycling stability.</w:t>
      </w:r>
    </w:p>
    <w:p w14:paraId="768E72E7" w14:textId="77777777" w:rsidR="00220112" w:rsidRDefault="00C96430">
      <w:pPr>
        <w:pStyle w:val="BodyText"/>
        <w:jc w:val="both"/>
        <w:rPr>
          <w:b/>
          <w:bCs/>
          <w:i/>
          <w:iCs/>
          <w:color w:val="36363D"/>
        </w:rPr>
      </w:pPr>
      <w:r>
        <w:rPr>
          <w:b/>
          <w:bCs/>
          <w:i/>
          <w:iCs/>
          <w:color w:val="36363D"/>
        </w:rPr>
        <w:t xml:space="preserve">Figure 1: Energy Storage Systems </w:t>
      </w:r>
    </w:p>
    <w:p w14:paraId="51DB0652" w14:textId="77777777" w:rsidR="00220112" w:rsidRDefault="00C96430">
      <w:pPr>
        <w:pStyle w:val="BodyText"/>
        <w:jc w:val="center"/>
        <w:rPr>
          <w:color w:val="36363D"/>
          <w:vertAlign w:val="subscript"/>
        </w:rPr>
      </w:pPr>
      <w:r>
        <w:rPr>
          <w:noProof/>
          <w:color w:val="36363D"/>
        </w:rPr>
        <w:drawing>
          <wp:anchor distT="0" distB="0" distL="114300" distR="114300" simplePos="0" relativeHeight="251659264" behindDoc="0" locked="0" layoutInCell="1" allowOverlap="1" wp14:anchorId="45CCBA44" wp14:editId="5A12986B">
            <wp:simplePos x="0" y="0"/>
            <wp:positionH relativeFrom="column">
              <wp:posOffset>135255</wp:posOffset>
            </wp:positionH>
            <wp:positionV relativeFrom="paragraph">
              <wp:posOffset>59055</wp:posOffset>
            </wp:positionV>
            <wp:extent cx="4770755" cy="2513965"/>
            <wp:effectExtent l="0" t="0" r="10795" b="635"/>
            <wp:wrapNone/>
            <wp:docPr id="8" name="Picture 8" descr="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ybrid"/>
                    <pic:cNvPicPr>
                      <a:picLocks noChangeAspect="1"/>
                    </pic:cNvPicPr>
                  </pic:nvPicPr>
                  <pic:blipFill>
                    <a:blip r:embed="rId8"/>
                    <a:stretch>
                      <a:fillRect/>
                    </a:stretch>
                  </pic:blipFill>
                  <pic:spPr>
                    <a:xfrm>
                      <a:off x="0" y="0"/>
                      <a:ext cx="4770755" cy="2513965"/>
                    </a:xfrm>
                    <a:prstGeom prst="rect">
                      <a:avLst/>
                    </a:prstGeom>
                  </pic:spPr>
                </pic:pic>
              </a:graphicData>
            </a:graphic>
          </wp:anchor>
        </w:drawing>
      </w:r>
    </w:p>
    <w:p w14:paraId="5A8E621C" w14:textId="77777777" w:rsidR="00220112" w:rsidRDefault="00220112">
      <w:pPr>
        <w:pStyle w:val="Heading31"/>
        <w:jc w:val="both"/>
        <w:rPr>
          <w:color w:val="36363D"/>
        </w:rPr>
      </w:pPr>
      <w:bookmarkStart w:id="5" w:name="X4f636545a360eeb9e9f385c09103a59905860f8"/>
      <w:bookmarkEnd w:id="4"/>
    </w:p>
    <w:p w14:paraId="2356C2B6" w14:textId="77777777" w:rsidR="00220112" w:rsidRDefault="00220112">
      <w:pPr>
        <w:pStyle w:val="Heading31"/>
        <w:jc w:val="both"/>
        <w:rPr>
          <w:color w:val="36363D"/>
        </w:rPr>
      </w:pPr>
    </w:p>
    <w:p w14:paraId="5278813B" w14:textId="77777777" w:rsidR="00220112" w:rsidRDefault="00220112">
      <w:pPr>
        <w:pStyle w:val="Heading31"/>
        <w:jc w:val="both"/>
        <w:rPr>
          <w:color w:val="36363D"/>
        </w:rPr>
      </w:pPr>
    </w:p>
    <w:p w14:paraId="7402885A" w14:textId="77777777" w:rsidR="00220112" w:rsidRDefault="00220112">
      <w:pPr>
        <w:pStyle w:val="Heading31"/>
        <w:jc w:val="both"/>
        <w:rPr>
          <w:color w:val="36363D"/>
        </w:rPr>
      </w:pPr>
    </w:p>
    <w:p w14:paraId="2035CF52" w14:textId="77777777" w:rsidR="00220112" w:rsidRDefault="00220112">
      <w:pPr>
        <w:pStyle w:val="Heading31"/>
        <w:jc w:val="both"/>
        <w:rPr>
          <w:color w:val="36363D"/>
        </w:rPr>
      </w:pPr>
    </w:p>
    <w:p w14:paraId="4B5F428C" w14:textId="77777777" w:rsidR="00220112" w:rsidRDefault="00220112">
      <w:pPr>
        <w:pStyle w:val="Heading31"/>
        <w:jc w:val="both"/>
        <w:rPr>
          <w:color w:val="36363D"/>
        </w:rPr>
      </w:pPr>
    </w:p>
    <w:p w14:paraId="2088D2D2" w14:textId="77777777" w:rsidR="00220112" w:rsidRDefault="00220112">
      <w:pPr>
        <w:pStyle w:val="Heading31"/>
        <w:jc w:val="both"/>
        <w:rPr>
          <w:color w:val="36363D"/>
        </w:rPr>
      </w:pPr>
    </w:p>
    <w:p w14:paraId="3C0C9396" w14:textId="77777777" w:rsidR="00220112" w:rsidRDefault="00220112">
      <w:pPr>
        <w:pStyle w:val="Heading31"/>
        <w:jc w:val="both"/>
        <w:rPr>
          <w:color w:val="36363D"/>
        </w:rPr>
      </w:pPr>
    </w:p>
    <w:p w14:paraId="4986BE67" w14:textId="77777777" w:rsidR="00220112" w:rsidRDefault="00C96430">
      <w:pPr>
        <w:pStyle w:val="Heading31"/>
        <w:jc w:val="both"/>
        <w:rPr>
          <w:color w:val="36363D"/>
        </w:rPr>
      </w:pPr>
      <w:r>
        <w:rPr>
          <w:color w:val="36363D"/>
        </w:rPr>
        <w:t xml:space="preserve">1.2 Environmental Consciousness </w:t>
      </w:r>
      <w:r>
        <w:rPr>
          <w:color w:val="36363D"/>
        </w:rPr>
        <w:t>in Nanomaterial Production</w:t>
      </w:r>
    </w:p>
    <w:p w14:paraId="5143583F" w14:textId="77777777" w:rsidR="00220112" w:rsidRDefault="00C96430">
      <w:pPr>
        <w:pStyle w:val="FirstParagraph"/>
        <w:jc w:val="both"/>
        <w:rPr>
          <w:color w:val="36363D"/>
        </w:rPr>
      </w:pPr>
      <w:r>
        <w:rPr>
          <w:color w:val="36363D"/>
        </w:rPr>
        <w:t>The environmental implications of nanomaterial synthesis have become increasingly prominent in scientific discourse. Conventional techniques such as chemical vapor deposition and the sol–gel process are known for their high-energ</w:t>
      </w:r>
      <w:r>
        <w:rPr>
          <w:color w:val="36363D"/>
        </w:rPr>
        <w:t>y consumption and the production of toxic by-products (Al-Rashdi et al., 2025). These methods typically require elevated temperatures, expensive equipment, and hazardous chemicals, creating substantial environmental burdens that contradict the sustainabili</w:t>
      </w:r>
      <w:r>
        <w:rPr>
          <w:color w:val="36363D"/>
        </w:rPr>
        <w:t>ty goals of renewable energy systems.</w:t>
      </w:r>
    </w:p>
    <w:p w14:paraId="1F9D5922" w14:textId="77777777" w:rsidR="00220112" w:rsidRDefault="00C96430">
      <w:pPr>
        <w:pStyle w:val="BodyText"/>
        <w:jc w:val="both"/>
        <w:rPr>
          <w:color w:val="36363D"/>
        </w:rPr>
      </w:pPr>
      <w:r>
        <w:rPr>
          <w:color w:val="36363D"/>
        </w:rPr>
        <w:t>This context emphasizes the importance of sustainability in nanomaterial synthesis, leading to a shift toward more eco-friendly methods that integrate principles of green chemistry to lessen the influence on the enviro</w:t>
      </w:r>
      <w:r>
        <w:rPr>
          <w:color w:val="36363D"/>
        </w:rPr>
        <w:t>nment (Al-Rashdi et al., 2025). The integration of environmental considerations into nanomaterial design represents not merely an ethical imperative but a technological necessity for achieving truly sustainable energy systems.</w:t>
      </w:r>
    </w:p>
    <w:p w14:paraId="72712492" w14:textId="77777777" w:rsidR="00220112" w:rsidRDefault="00C96430">
      <w:pPr>
        <w:pStyle w:val="Heading31"/>
        <w:jc w:val="both"/>
        <w:rPr>
          <w:color w:val="36363D"/>
        </w:rPr>
      </w:pPr>
      <w:bookmarkStart w:id="6" w:name="X8c2ee521e714b4d40e9c8618ec8f2af8ea8f4c8"/>
      <w:bookmarkEnd w:id="5"/>
      <w:r>
        <w:rPr>
          <w:color w:val="36363D"/>
        </w:rPr>
        <w:lastRenderedPageBreak/>
        <w:t>1.3 Research Objectives and S</w:t>
      </w:r>
      <w:r>
        <w:rPr>
          <w:color w:val="36363D"/>
        </w:rPr>
        <w:t>cope</w:t>
      </w:r>
    </w:p>
    <w:p w14:paraId="7994F038" w14:textId="77777777" w:rsidR="00220112" w:rsidRDefault="00C96430">
      <w:pPr>
        <w:pStyle w:val="FirstParagraph"/>
        <w:jc w:val="both"/>
        <w:rPr>
          <w:color w:val="36363D"/>
        </w:rPr>
      </w:pPr>
      <w:r>
        <w:rPr>
          <w:color w:val="36363D"/>
        </w:rPr>
        <w:t xml:space="preserve">This comprehensive review addresses the critical need for sustainable approaches to nanomaterial synthesis in energy storage applications. The primary objectives encompass: analyzing current sustainable synthesis methodologies, evaluating performance </w:t>
      </w:r>
      <w:r>
        <w:rPr>
          <w:color w:val="36363D"/>
        </w:rPr>
        <w:t>trade-offs between conventional and green synthesis routes, identifying scalability challenges and economic considerations, and proposing future directions for sustainable nanomaterial production. The scope specifically focuses on electrochemical energy st</w:t>
      </w:r>
      <w:r>
        <w:rPr>
          <w:color w:val="36363D"/>
        </w:rPr>
        <w:t>orage devices, including lithium-ion batteries, sodium-ion batteries, and supercapacitors, while excluding non-energy applications to maintain focused analysis.</w:t>
      </w:r>
    </w:p>
    <w:p w14:paraId="61D085DC" w14:textId="77777777" w:rsidR="00220112" w:rsidRDefault="00220112">
      <w:pPr>
        <w:jc w:val="both"/>
        <w:rPr>
          <w:color w:val="36363D"/>
        </w:rPr>
      </w:pPr>
    </w:p>
    <w:p w14:paraId="17AC29F5" w14:textId="77777777" w:rsidR="00220112" w:rsidRDefault="00C96430">
      <w:pPr>
        <w:pStyle w:val="Heading21"/>
        <w:jc w:val="both"/>
        <w:rPr>
          <w:color w:val="36363D"/>
        </w:rPr>
      </w:pPr>
      <w:bookmarkStart w:id="7" w:name="X490525c27c2ba2e26c83e501d678f704edcdab1"/>
      <w:bookmarkEnd w:id="3"/>
      <w:bookmarkEnd w:id="6"/>
      <w:r>
        <w:rPr>
          <w:color w:val="36363D"/>
        </w:rPr>
        <w:t>2. Literature Review and Current State of Knowledge</w:t>
      </w:r>
    </w:p>
    <w:p w14:paraId="42D25819" w14:textId="77777777" w:rsidR="00220112" w:rsidRDefault="00C96430">
      <w:pPr>
        <w:pStyle w:val="Heading31"/>
        <w:jc w:val="both"/>
        <w:rPr>
          <w:color w:val="36363D"/>
        </w:rPr>
      </w:pPr>
      <w:bookmarkStart w:id="8" w:name="Xba2c8e965c79803c75a8e3ddbf51119b24a6818"/>
      <w:r>
        <w:rPr>
          <w:color w:val="36363D"/>
        </w:rPr>
        <w:t xml:space="preserve">2.1 Nanomaterials in Energy Storage: </w:t>
      </w:r>
      <w:r>
        <w:rPr>
          <w:color w:val="36363D"/>
        </w:rPr>
        <w:t>Performance Drivers</w:t>
      </w:r>
    </w:p>
    <w:p w14:paraId="1A8A847C" w14:textId="77777777" w:rsidR="00220112" w:rsidRDefault="00C96430">
      <w:pPr>
        <w:pStyle w:val="FirstParagraph"/>
        <w:jc w:val="both"/>
        <w:rPr>
          <w:color w:val="36363D"/>
        </w:rPr>
      </w:pPr>
      <w:r>
        <w:rPr>
          <w:color w:val="36363D"/>
        </w:rPr>
        <w:t>The exceptional performance of nanomaterials in energy storage applications stems from their unique physicochemical properties that emerge at the nanoscale. Carbon-based nanomaterials, including graphene, carbon nanotubes, and porous ca</w:t>
      </w:r>
      <w:r>
        <w:rPr>
          <w:color w:val="36363D"/>
        </w:rPr>
        <w:t>rbons, offer exceptional electrical conductivity, mechanical stability, and chemical inertness. These properties make them ideal for various roles within energy storage devices, from active electrode materials to conductive additives and current collectors</w:t>
      </w:r>
      <w:r>
        <w:rPr>
          <w:color w:val="36363D"/>
        </w:rPr>
        <w:t>.</w:t>
      </w:r>
    </w:p>
    <w:p w14:paraId="4F0954E0" w14:textId="77777777" w:rsidR="00220112" w:rsidRDefault="00C96430">
      <w:pPr>
        <w:pStyle w:val="BodyText"/>
        <w:jc w:val="both"/>
        <w:rPr>
          <w:color w:val="36363D"/>
        </w:rPr>
      </w:pPr>
      <w:r>
        <w:rPr>
          <w:color w:val="36363D"/>
        </w:rPr>
        <w:t>Transition metal oxides, sulfides, and phosphates represent another critical category of nanomaterials, particularly valued for their high theoretical capacities in battery applications. These compounds often exhibit multiple oxidation states, enabling h</w:t>
      </w:r>
      <w:r>
        <w:rPr>
          <w:color w:val="36363D"/>
        </w:rPr>
        <w:t>igh-capacity charge storage through conversion and alloying reactions. However, their synthesis traditionally requires high-temperature processing and toxic precursors, highlighting the need for sustainable alternatives.</w:t>
      </w:r>
    </w:p>
    <w:p w14:paraId="3409E852" w14:textId="77777777" w:rsidR="00220112" w:rsidRDefault="00C96430">
      <w:pPr>
        <w:pStyle w:val="Heading31"/>
        <w:jc w:val="both"/>
        <w:rPr>
          <w:color w:val="36363D"/>
        </w:rPr>
      </w:pPr>
      <w:bookmarkStart w:id="9" w:name="X6dbec277323715a13e7678e16bd34161558f86b"/>
      <w:bookmarkEnd w:id="8"/>
      <w:r>
        <w:rPr>
          <w:color w:val="36363D"/>
        </w:rPr>
        <w:t>2.2 Environmental Burden of Convent</w:t>
      </w:r>
      <w:r>
        <w:rPr>
          <w:color w:val="36363D"/>
        </w:rPr>
        <w:t>ional Synthesis</w:t>
      </w:r>
    </w:p>
    <w:p w14:paraId="7B226E8C" w14:textId="77777777" w:rsidR="00220112" w:rsidRDefault="00C96430">
      <w:pPr>
        <w:pStyle w:val="FirstParagraph"/>
        <w:jc w:val="both"/>
        <w:rPr>
          <w:color w:val="36363D"/>
        </w:rPr>
      </w:pPr>
      <w:r>
        <w:rPr>
          <w:color w:val="36363D"/>
        </w:rPr>
        <w:t>Traditional nanomaterial synthesis methods create substantial environmental challenges through multiple pathways. Chemical vapor deposition, while producing high-quality materials, requires temperatures exceeding 1000°C and often employs to</w:t>
      </w:r>
      <w:r>
        <w:rPr>
          <w:color w:val="36363D"/>
        </w:rPr>
        <w:t>xic metal carbonyls or halides as precursors. Sol-gel synthesis, though more moderate in temperature requirements, generates significant solvent waste and requires extensive purification steps.</w:t>
      </w:r>
    </w:p>
    <w:p w14:paraId="72F7EC1D" w14:textId="77777777" w:rsidR="00220112" w:rsidRDefault="00C96430">
      <w:pPr>
        <w:pStyle w:val="BodyText"/>
        <w:jc w:val="both"/>
        <w:rPr>
          <w:color w:val="36363D"/>
        </w:rPr>
      </w:pPr>
      <w:r>
        <w:rPr>
          <w:color w:val="36363D"/>
        </w:rPr>
        <w:t>Hydrothermal methods, despite their relatively mild conditions</w:t>
      </w:r>
      <w:r>
        <w:rPr>
          <w:color w:val="36363D"/>
        </w:rPr>
        <w:t xml:space="preserve">, often require autoclaves operating at high pressures and consume considerable energy for </w:t>
      </w:r>
      <w:r>
        <w:rPr>
          <w:color w:val="36363D"/>
        </w:rPr>
        <w:lastRenderedPageBreak/>
        <w:t>heating and cooling cycles. The cumulative environmental impact includes high carbon footprints, toxic waste streams, and resource depletion, creating a paradox wher</w:t>
      </w:r>
      <w:r>
        <w:rPr>
          <w:color w:val="36363D"/>
        </w:rPr>
        <w:t>e materials intended for sustainable energy systems are produced through environmentally harmful processes.</w:t>
      </w:r>
    </w:p>
    <w:p w14:paraId="2C2A0D19" w14:textId="77777777" w:rsidR="00220112" w:rsidRDefault="00C96430">
      <w:pPr>
        <w:pStyle w:val="Heading31"/>
        <w:jc w:val="both"/>
        <w:rPr>
          <w:color w:val="36363D"/>
        </w:rPr>
      </w:pPr>
      <w:bookmarkStart w:id="10" w:name="Xa7d99f12b7c2578ca4761cae6ef6f9d62f2a839"/>
      <w:bookmarkEnd w:id="9"/>
      <w:r>
        <w:rPr>
          <w:color w:val="36363D"/>
        </w:rPr>
        <w:t>2.3 Green Chemistry Principles in Nanomaterial Synthesis</w:t>
      </w:r>
    </w:p>
    <w:p w14:paraId="64453599" w14:textId="77777777" w:rsidR="00220112" w:rsidRDefault="00C96430">
      <w:pPr>
        <w:pStyle w:val="FirstParagraph"/>
        <w:jc w:val="both"/>
        <w:rPr>
          <w:color w:val="36363D"/>
        </w:rPr>
      </w:pPr>
      <w:r>
        <w:rPr>
          <w:color w:val="36363D"/>
        </w:rPr>
        <w:t>The application of green chemistry principles to nanomaterial synthesis has emerged as a tr</w:t>
      </w:r>
      <w:r>
        <w:rPr>
          <w:color w:val="36363D"/>
        </w:rPr>
        <w:t>ansformative approach addressing environmental concerns. These principles emphasize waste prevention, atom economy, safer chemical synthesis, and energy efficiency. Biomass-derived materials provide additional benefits, including naturally organized hierar</w:t>
      </w:r>
      <w:r>
        <w:rPr>
          <w:color w:val="36363D"/>
        </w:rPr>
        <w:t>chical structures, rich surface properties, and an abundance of heteroatoms (Weng et al., 2024).</w:t>
      </w:r>
    </w:p>
    <w:p w14:paraId="4E260D4A" w14:textId="77777777" w:rsidR="00220112" w:rsidRDefault="00C96430">
      <w:pPr>
        <w:pStyle w:val="BodyText"/>
        <w:jc w:val="both"/>
        <w:rPr>
          <w:color w:val="36363D"/>
        </w:rPr>
      </w:pPr>
      <w:r>
        <w:rPr>
          <w:color w:val="36363D"/>
        </w:rPr>
        <w:t>The integration of renewable feedstocks, particularly biomass-derived precursors, offers multiple advantages including carbon neutrality, structural diversity,</w:t>
      </w:r>
      <w:r>
        <w:rPr>
          <w:color w:val="36363D"/>
        </w:rPr>
        <w:t xml:space="preserve"> and natural heteroatom doping. Water-based synthesis routes eliminate organic solvent requirements while maintaining material quality, and energy-efficient processing techniques reduce overall environmental impact.</w:t>
      </w:r>
    </w:p>
    <w:p w14:paraId="24D8C081" w14:textId="77777777" w:rsidR="00220112" w:rsidRDefault="00220112">
      <w:pPr>
        <w:pStyle w:val="BodyText"/>
        <w:jc w:val="both"/>
        <w:rPr>
          <w:color w:val="36363D"/>
        </w:rPr>
      </w:pPr>
    </w:p>
    <w:p w14:paraId="2A5DC891" w14:textId="77777777" w:rsidR="00220112" w:rsidRDefault="00220112">
      <w:pPr>
        <w:pStyle w:val="BodyText"/>
        <w:jc w:val="both"/>
        <w:rPr>
          <w:color w:val="36363D"/>
        </w:rPr>
      </w:pPr>
    </w:p>
    <w:p w14:paraId="6AE422E3" w14:textId="77777777" w:rsidR="00220112" w:rsidRDefault="00C96430">
      <w:pPr>
        <w:pStyle w:val="BodyText"/>
        <w:jc w:val="both"/>
        <w:rPr>
          <w:color w:val="36363D"/>
        </w:rPr>
      </w:pPr>
      <w:r>
        <w:rPr>
          <w:color w:val="36363D"/>
        </w:rPr>
        <w:t xml:space="preserve">Figure </w:t>
      </w:r>
      <w:proofErr w:type="gramStart"/>
      <w:r>
        <w:rPr>
          <w:color w:val="36363D"/>
        </w:rPr>
        <w:t>2 :</w:t>
      </w:r>
      <w:proofErr w:type="gramEnd"/>
      <w:r>
        <w:rPr>
          <w:color w:val="36363D"/>
        </w:rPr>
        <w:t xml:space="preserve"> Overview of nanoparticles s</w:t>
      </w:r>
      <w:r>
        <w:rPr>
          <w:color w:val="36363D"/>
        </w:rPr>
        <w:t xml:space="preserve">ynthesis </w:t>
      </w:r>
    </w:p>
    <w:p w14:paraId="4D1B51DB" w14:textId="77777777" w:rsidR="00220112" w:rsidRDefault="00C96430">
      <w:pPr>
        <w:pStyle w:val="BodyText"/>
        <w:jc w:val="center"/>
        <w:rPr>
          <w:color w:val="36363D"/>
        </w:rPr>
      </w:pPr>
      <w:r>
        <w:rPr>
          <w:rFonts w:ascii="SimSun" w:eastAsia="SimSun" w:hAnsi="SimSun"/>
          <w:noProof/>
        </w:rPr>
        <w:drawing>
          <wp:inline distT="0" distB="0" distL="114300" distR="114300" wp14:anchorId="166E3949" wp14:editId="1D985507">
            <wp:extent cx="5270500" cy="3980815"/>
            <wp:effectExtent l="0" t="0" r="6350" b="635"/>
            <wp:docPr id="6" name="Picture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 descr="IMG_256"/>
                    <pic:cNvPicPr>
                      <a:picLocks noChangeAspect="1"/>
                    </pic:cNvPicPr>
                  </pic:nvPicPr>
                  <pic:blipFill>
                    <a:blip r:embed="rId9"/>
                    <a:stretch>
                      <a:fillRect/>
                    </a:stretch>
                  </pic:blipFill>
                  <pic:spPr>
                    <a:xfrm>
                      <a:off x="0" y="0"/>
                      <a:ext cx="5270500" cy="3980815"/>
                    </a:xfrm>
                    <a:prstGeom prst="rect">
                      <a:avLst/>
                    </a:prstGeom>
                    <a:noFill/>
                    <a:ln w="9525">
                      <a:noFill/>
                    </a:ln>
                  </pic:spPr>
                </pic:pic>
              </a:graphicData>
            </a:graphic>
          </wp:inline>
        </w:drawing>
      </w:r>
    </w:p>
    <w:p w14:paraId="2C200DE9" w14:textId="77777777" w:rsidR="00220112" w:rsidRDefault="00220112">
      <w:pPr>
        <w:jc w:val="both"/>
        <w:rPr>
          <w:color w:val="36363D"/>
        </w:rPr>
      </w:pPr>
    </w:p>
    <w:p w14:paraId="64C264D5" w14:textId="77777777" w:rsidR="00220112" w:rsidRDefault="00C96430">
      <w:pPr>
        <w:pStyle w:val="Heading21"/>
        <w:jc w:val="both"/>
        <w:rPr>
          <w:color w:val="36363D"/>
        </w:rPr>
      </w:pPr>
      <w:bookmarkStart w:id="11" w:name="Xd2b2db9f8a993735ce47a45b59a46671857ca74"/>
      <w:bookmarkEnd w:id="7"/>
      <w:bookmarkEnd w:id="10"/>
      <w:r>
        <w:rPr>
          <w:color w:val="36363D"/>
        </w:rPr>
        <w:t>3. Sustainable Synthesis Methodologies</w:t>
      </w:r>
    </w:p>
    <w:p w14:paraId="10A31A45" w14:textId="77777777" w:rsidR="00220112" w:rsidRDefault="00C96430">
      <w:pPr>
        <w:pStyle w:val="Heading31"/>
        <w:jc w:val="both"/>
        <w:rPr>
          <w:color w:val="36363D"/>
        </w:rPr>
      </w:pPr>
      <w:bookmarkStart w:id="12" w:name="X0df2edda01dc4250a0fb6607a9fa9cc9ef11cd3"/>
      <w:r>
        <w:rPr>
          <w:color w:val="36363D"/>
        </w:rPr>
        <w:t>3.1 Biomass-Derived Nanomaterials: From Waste to High-Performance Materials</w:t>
      </w:r>
    </w:p>
    <w:p w14:paraId="5C338934" w14:textId="77777777" w:rsidR="00220112" w:rsidRDefault="00C96430">
      <w:pPr>
        <w:pStyle w:val="FirstParagraph"/>
        <w:jc w:val="both"/>
        <w:rPr>
          <w:color w:val="36363D"/>
        </w:rPr>
      </w:pPr>
      <w:r>
        <w:rPr>
          <w:color w:val="36363D"/>
        </w:rPr>
        <w:t xml:space="preserve">The utilization of biomass for nanomaterial synthesis represents a paradigm shift toward circular economy principles in </w:t>
      </w:r>
      <w:r>
        <w:rPr>
          <w:color w:val="36363D"/>
        </w:rPr>
        <w:t>materials science. The increasing demand for cost-effective materials for energy storage devices has prompted investigations into diverse waste derived electrode materials for supercapacitors (SCs) application (Rajan et al., 2025). Agricultural residues, i</w:t>
      </w:r>
      <w:r>
        <w:rPr>
          <w:color w:val="36363D"/>
        </w:rPr>
        <w:t>ncluding rice husks, wheat straw, and corn cobs, provide abundant carbon sources with naturally occurring hierarchical structures.</w:t>
      </w:r>
    </w:p>
    <w:p w14:paraId="40237C50" w14:textId="77777777" w:rsidR="00220112" w:rsidRDefault="00C96430">
      <w:pPr>
        <w:pStyle w:val="BodyText"/>
        <w:jc w:val="both"/>
        <w:rPr>
          <w:color w:val="36363D"/>
        </w:rPr>
      </w:pPr>
      <w:r>
        <w:rPr>
          <w:color w:val="36363D"/>
        </w:rPr>
        <w:t>The conversion of biomass to functional nanomaterials involves carefully controlled thermal processing, often incorporating a</w:t>
      </w:r>
      <w:r>
        <w:rPr>
          <w:color w:val="36363D"/>
        </w:rPr>
        <w:t>ctivation steps to enhance porosity and surface area. Biomass derived from waste wood from forest (silver birch trees, Betula pendula) is an excellent starting material for fabricating activated carbon for supercapacitors (Brzezinski et al., 2024). The nat</w:t>
      </w:r>
      <w:r>
        <w:rPr>
          <w:color w:val="36363D"/>
        </w:rPr>
        <w:t>ural presence of heteroatoms such as nitrogen, sulfur, and phosphorus in biomass creates self-doping effects that enhance electrochemical performance without additional chemical treatments.</w:t>
      </w:r>
    </w:p>
    <w:p w14:paraId="2C64DC89" w14:textId="77777777" w:rsidR="00220112" w:rsidRDefault="00220112">
      <w:pPr>
        <w:pStyle w:val="BodyText"/>
        <w:jc w:val="both"/>
        <w:rPr>
          <w:color w:val="36363D"/>
        </w:rPr>
      </w:pPr>
    </w:p>
    <w:p w14:paraId="346D3495" w14:textId="77777777" w:rsidR="00220112" w:rsidRDefault="00C96430">
      <w:pPr>
        <w:pStyle w:val="BodyText"/>
        <w:jc w:val="both"/>
        <w:rPr>
          <w:color w:val="36363D"/>
        </w:rPr>
      </w:pPr>
      <w:r>
        <w:rPr>
          <w:b/>
          <w:bCs/>
          <w:color w:val="36363D"/>
        </w:rPr>
        <w:t>Table 1: Biomass-Derived Carbon Materials Performance Metrics</w:t>
      </w:r>
    </w:p>
    <w:tbl>
      <w:tblPr>
        <w:tblStyle w:val="Table"/>
        <w:tblW w:w="0" w:type="auto"/>
        <w:tblInd w:w="0" w:type="dxa"/>
        <w:tblLayout w:type="fixed"/>
        <w:tblLook w:val="04A0" w:firstRow="1" w:lastRow="0" w:firstColumn="1" w:lastColumn="0" w:noHBand="0" w:noVBand="1"/>
      </w:tblPr>
      <w:tblGrid>
        <w:gridCol w:w="1517"/>
        <w:gridCol w:w="1110"/>
        <w:gridCol w:w="1701"/>
        <w:gridCol w:w="1591"/>
        <w:gridCol w:w="1191"/>
        <w:gridCol w:w="1409"/>
      </w:tblGrid>
      <w:tr w:rsidR="00220112" w14:paraId="3D6712E3" w14:textId="77777777" w:rsidTr="00220112">
        <w:trPr>
          <w:cnfStyle w:val="100000000000" w:firstRow="1" w:lastRow="0" w:firstColumn="0" w:lastColumn="0" w:oddVBand="0" w:evenVBand="0" w:oddHBand="0" w:evenHBand="0" w:firstRowFirstColumn="0" w:firstRowLastColumn="0" w:lastRowFirstColumn="0" w:lastRowLastColumn="0"/>
          <w:tblHeader/>
        </w:trPr>
        <w:tc>
          <w:tcPr>
            <w:tcW w:w="1517" w:type="dxa"/>
            <w:tcBorders>
              <w:top w:val="single" w:sz="8" w:space="0" w:color="000000"/>
              <w:left w:val="single" w:sz="8" w:space="0" w:color="000000"/>
              <w:bottom w:val="single" w:sz="8" w:space="0" w:color="000000"/>
              <w:right w:val="single" w:sz="8" w:space="0" w:color="000000"/>
            </w:tcBorders>
            <w:shd w:val="clear" w:color="auto" w:fill="FFFFFF"/>
          </w:tcPr>
          <w:p w14:paraId="5C87168A" w14:textId="77777777" w:rsidR="00220112" w:rsidRDefault="00C96430">
            <w:pPr>
              <w:pStyle w:val="Compact"/>
              <w:jc w:val="both"/>
              <w:rPr>
                <w:color w:val="000000"/>
              </w:rPr>
            </w:pPr>
            <w:r>
              <w:rPr>
                <w:color w:val="000000"/>
              </w:rPr>
              <w:t>Bio</w:t>
            </w:r>
            <w:r>
              <w:rPr>
                <w:color w:val="000000"/>
              </w:rPr>
              <w:t>mass Source</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Pr>
          <w:p w14:paraId="457880E0" w14:textId="77777777" w:rsidR="00220112" w:rsidRDefault="00C96430">
            <w:pPr>
              <w:pStyle w:val="Compact"/>
              <w:jc w:val="both"/>
              <w:rPr>
                <w:color w:val="000000"/>
              </w:rPr>
            </w:pPr>
            <w:r>
              <w:rPr>
                <w:color w:val="000000"/>
              </w:rPr>
              <w:t>Surface Area (m²/g)</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AF4FBEC" w14:textId="77777777" w:rsidR="00220112" w:rsidRDefault="00C96430">
            <w:pPr>
              <w:pStyle w:val="Compact"/>
              <w:jc w:val="both"/>
              <w:rPr>
                <w:color w:val="000000"/>
              </w:rPr>
            </w:pPr>
            <w:r>
              <w:rPr>
                <w:color w:val="000000"/>
              </w:rPr>
              <w:t>Electrical Conductivity (S/cm)</w:t>
            </w:r>
          </w:p>
        </w:tc>
        <w:tc>
          <w:tcPr>
            <w:tcW w:w="1591" w:type="dxa"/>
            <w:tcBorders>
              <w:top w:val="single" w:sz="8" w:space="0" w:color="000000"/>
              <w:left w:val="single" w:sz="8" w:space="0" w:color="000000"/>
              <w:bottom w:val="single" w:sz="8" w:space="0" w:color="000000"/>
              <w:right w:val="single" w:sz="8" w:space="0" w:color="000000"/>
            </w:tcBorders>
            <w:shd w:val="clear" w:color="auto" w:fill="FFFFFF"/>
          </w:tcPr>
          <w:p w14:paraId="637171D0" w14:textId="77777777" w:rsidR="00220112" w:rsidRDefault="00C96430">
            <w:pPr>
              <w:pStyle w:val="Compact"/>
              <w:jc w:val="both"/>
              <w:rPr>
                <w:color w:val="000000"/>
              </w:rPr>
            </w:pPr>
            <w:r>
              <w:rPr>
                <w:color w:val="000000"/>
              </w:rPr>
              <w:t>Specific Capacitance (F/g)</w:t>
            </w:r>
          </w:p>
        </w:tc>
        <w:tc>
          <w:tcPr>
            <w:tcW w:w="1191" w:type="dxa"/>
            <w:tcBorders>
              <w:top w:val="single" w:sz="8" w:space="0" w:color="000000"/>
              <w:left w:val="single" w:sz="8" w:space="0" w:color="000000"/>
              <w:bottom w:val="single" w:sz="8" w:space="0" w:color="000000"/>
              <w:right w:val="single" w:sz="8" w:space="0" w:color="000000"/>
            </w:tcBorders>
            <w:shd w:val="clear" w:color="auto" w:fill="FFFFFF"/>
          </w:tcPr>
          <w:p w14:paraId="122813AE" w14:textId="77777777" w:rsidR="00220112" w:rsidRDefault="00C96430">
            <w:pPr>
              <w:pStyle w:val="Compact"/>
              <w:jc w:val="both"/>
              <w:rPr>
                <w:color w:val="000000"/>
              </w:rPr>
            </w:pPr>
            <w:r>
              <w:rPr>
                <w:color w:val="000000"/>
              </w:rPr>
              <w:t>Cycling Stability (%)</w:t>
            </w:r>
          </w:p>
        </w:tc>
        <w:tc>
          <w:tcPr>
            <w:tcW w:w="1409" w:type="dxa"/>
            <w:tcBorders>
              <w:top w:val="single" w:sz="8" w:space="0" w:color="000000"/>
              <w:left w:val="single" w:sz="8" w:space="0" w:color="000000"/>
              <w:bottom w:val="single" w:sz="8" w:space="0" w:color="000000"/>
              <w:right w:val="single" w:sz="8" w:space="0" w:color="000000"/>
            </w:tcBorders>
            <w:shd w:val="clear" w:color="auto" w:fill="FFFFFF"/>
          </w:tcPr>
          <w:p w14:paraId="2687A8E5" w14:textId="77777777" w:rsidR="00220112" w:rsidRDefault="00C96430">
            <w:pPr>
              <w:pStyle w:val="Compact"/>
              <w:jc w:val="both"/>
              <w:rPr>
                <w:color w:val="000000"/>
              </w:rPr>
            </w:pPr>
            <w:r>
              <w:rPr>
                <w:color w:val="000000"/>
              </w:rPr>
              <w:t>Reference</w:t>
            </w:r>
          </w:p>
        </w:tc>
      </w:tr>
      <w:tr w:rsidR="00220112" w14:paraId="3EE20D0D" w14:textId="77777777" w:rsidTr="00220112">
        <w:tc>
          <w:tcPr>
            <w:tcW w:w="1517" w:type="dxa"/>
            <w:tcBorders>
              <w:top w:val="single" w:sz="8" w:space="0" w:color="000000"/>
              <w:left w:val="single" w:sz="8" w:space="0" w:color="000000"/>
              <w:bottom w:val="single" w:sz="8" w:space="0" w:color="000000"/>
              <w:right w:val="single" w:sz="8" w:space="0" w:color="000000"/>
            </w:tcBorders>
            <w:shd w:val="clear" w:color="auto" w:fill="FFFFFF"/>
          </w:tcPr>
          <w:p w14:paraId="364C630F" w14:textId="77777777" w:rsidR="00220112" w:rsidRDefault="00C96430">
            <w:pPr>
              <w:pStyle w:val="Compact"/>
              <w:jc w:val="both"/>
              <w:rPr>
                <w:color w:val="000000"/>
              </w:rPr>
            </w:pPr>
            <w:r>
              <w:rPr>
                <w:color w:val="000000"/>
              </w:rPr>
              <w:t>Rice Husks</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Pr>
          <w:p w14:paraId="2B811310" w14:textId="77777777" w:rsidR="00220112" w:rsidRDefault="00C96430">
            <w:pPr>
              <w:pStyle w:val="Compact"/>
              <w:jc w:val="both"/>
              <w:rPr>
                <w:color w:val="000000"/>
              </w:rPr>
            </w:pPr>
            <w:r>
              <w:rPr>
                <w:color w:val="000000"/>
              </w:rPr>
              <w:t>800-1200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1C513C6" w14:textId="77777777" w:rsidR="00220112" w:rsidRDefault="00C96430">
            <w:pPr>
              <w:pStyle w:val="Compact"/>
              <w:jc w:val="both"/>
              <w:rPr>
                <w:color w:val="000000"/>
              </w:rPr>
            </w:pPr>
            <w:r>
              <w:rPr>
                <w:color w:val="000000"/>
              </w:rPr>
              <w:t>2.5-4.2</w:t>
            </w:r>
          </w:p>
        </w:tc>
        <w:tc>
          <w:tcPr>
            <w:tcW w:w="1591" w:type="dxa"/>
            <w:tcBorders>
              <w:top w:val="single" w:sz="8" w:space="0" w:color="000000"/>
              <w:left w:val="single" w:sz="8" w:space="0" w:color="000000"/>
              <w:bottom w:val="single" w:sz="8" w:space="0" w:color="000000"/>
              <w:right w:val="single" w:sz="8" w:space="0" w:color="000000"/>
            </w:tcBorders>
            <w:shd w:val="clear" w:color="auto" w:fill="FFFFFF"/>
          </w:tcPr>
          <w:p w14:paraId="509446EE" w14:textId="77777777" w:rsidR="00220112" w:rsidRDefault="00C96430">
            <w:pPr>
              <w:pStyle w:val="Compact"/>
              <w:jc w:val="both"/>
              <w:rPr>
                <w:color w:val="000000"/>
              </w:rPr>
            </w:pPr>
            <w:r>
              <w:rPr>
                <w:color w:val="000000"/>
              </w:rPr>
              <w:t>180-250</w:t>
            </w:r>
          </w:p>
        </w:tc>
        <w:tc>
          <w:tcPr>
            <w:tcW w:w="1191" w:type="dxa"/>
            <w:tcBorders>
              <w:top w:val="single" w:sz="8" w:space="0" w:color="000000"/>
              <w:left w:val="single" w:sz="8" w:space="0" w:color="000000"/>
              <w:bottom w:val="single" w:sz="8" w:space="0" w:color="000000"/>
              <w:right w:val="single" w:sz="8" w:space="0" w:color="000000"/>
            </w:tcBorders>
            <w:shd w:val="clear" w:color="auto" w:fill="FFFFFF"/>
          </w:tcPr>
          <w:p w14:paraId="6371F48C" w14:textId="77777777" w:rsidR="00220112" w:rsidRDefault="00C96430">
            <w:pPr>
              <w:pStyle w:val="Compact"/>
              <w:jc w:val="both"/>
              <w:rPr>
                <w:color w:val="000000"/>
              </w:rPr>
            </w:pPr>
            <w:r>
              <w:rPr>
                <w:color w:val="000000"/>
              </w:rPr>
              <w:t>92 (5000 cycles)</w:t>
            </w:r>
          </w:p>
        </w:tc>
        <w:tc>
          <w:tcPr>
            <w:tcW w:w="1409" w:type="dxa"/>
            <w:tcBorders>
              <w:top w:val="single" w:sz="8" w:space="0" w:color="000000"/>
              <w:left w:val="single" w:sz="8" w:space="0" w:color="000000"/>
              <w:bottom w:val="single" w:sz="8" w:space="0" w:color="000000"/>
              <w:right w:val="single" w:sz="8" w:space="0" w:color="000000"/>
            </w:tcBorders>
            <w:shd w:val="clear" w:color="auto" w:fill="FFFFFF"/>
          </w:tcPr>
          <w:p w14:paraId="25BF81C4" w14:textId="77777777" w:rsidR="00220112" w:rsidRDefault="00C96430">
            <w:pPr>
              <w:pStyle w:val="Compact"/>
              <w:jc w:val="both"/>
              <w:rPr>
                <w:color w:val="000000"/>
              </w:rPr>
            </w:pPr>
            <w:r>
              <w:rPr>
                <w:color w:val="000000"/>
              </w:rPr>
              <w:t>Zhang et al., 2024</w:t>
            </w:r>
          </w:p>
        </w:tc>
      </w:tr>
      <w:tr w:rsidR="00220112" w14:paraId="51D59EAE" w14:textId="77777777" w:rsidTr="00220112">
        <w:tc>
          <w:tcPr>
            <w:tcW w:w="1517" w:type="dxa"/>
            <w:tcBorders>
              <w:top w:val="single" w:sz="8" w:space="0" w:color="000000"/>
              <w:left w:val="single" w:sz="8" w:space="0" w:color="000000"/>
              <w:bottom w:val="single" w:sz="8" w:space="0" w:color="000000"/>
              <w:right w:val="single" w:sz="8" w:space="0" w:color="000000"/>
            </w:tcBorders>
            <w:shd w:val="clear" w:color="auto" w:fill="FFFFFF"/>
          </w:tcPr>
          <w:p w14:paraId="011B8531" w14:textId="77777777" w:rsidR="00220112" w:rsidRDefault="00C96430">
            <w:pPr>
              <w:pStyle w:val="Compact"/>
              <w:jc w:val="both"/>
              <w:rPr>
                <w:color w:val="000000"/>
              </w:rPr>
            </w:pPr>
            <w:r>
              <w:rPr>
                <w:color w:val="000000"/>
              </w:rPr>
              <w:t>Coffee Grounds</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Pr>
          <w:p w14:paraId="17D157A2" w14:textId="77777777" w:rsidR="00220112" w:rsidRDefault="00C96430">
            <w:pPr>
              <w:pStyle w:val="Compact"/>
              <w:jc w:val="both"/>
              <w:rPr>
                <w:color w:val="000000"/>
              </w:rPr>
            </w:pPr>
            <w:r>
              <w:rPr>
                <w:color w:val="000000"/>
              </w:rPr>
              <w:t>1000-1500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551BA97C" w14:textId="77777777" w:rsidR="00220112" w:rsidRDefault="00C96430">
            <w:pPr>
              <w:pStyle w:val="Compact"/>
              <w:jc w:val="both"/>
              <w:rPr>
                <w:color w:val="000000"/>
              </w:rPr>
            </w:pPr>
            <w:r>
              <w:rPr>
                <w:color w:val="000000"/>
              </w:rPr>
              <w:t>3.1-5.8</w:t>
            </w:r>
          </w:p>
        </w:tc>
        <w:tc>
          <w:tcPr>
            <w:tcW w:w="1591" w:type="dxa"/>
            <w:tcBorders>
              <w:top w:val="single" w:sz="8" w:space="0" w:color="000000"/>
              <w:left w:val="single" w:sz="8" w:space="0" w:color="000000"/>
              <w:bottom w:val="single" w:sz="8" w:space="0" w:color="000000"/>
              <w:right w:val="single" w:sz="8" w:space="0" w:color="000000"/>
            </w:tcBorders>
            <w:shd w:val="clear" w:color="auto" w:fill="FFFFFF"/>
          </w:tcPr>
          <w:p w14:paraId="2141D1E7" w14:textId="77777777" w:rsidR="00220112" w:rsidRDefault="00C96430">
            <w:pPr>
              <w:pStyle w:val="Compact"/>
              <w:jc w:val="both"/>
              <w:rPr>
                <w:color w:val="000000"/>
              </w:rPr>
            </w:pPr>
            <w:r>
              <w:rPr>
                <w:color w:val="000000"/>
              </w:rPr>
              <w:t>220-310</w:t>
            </w:r>
          </w:p>
        </w:tc>
        <w:tc>
          <w:tcPr>
            <w:tcW w:w="1191" w:type="dxa"/>
            <w:tcBorders>
              <w:top w:val="single" w:sz="8" w:space="0" w:color="000000"/>
              <w:left w:val="single" w:sz="8" w:space="0" w:color="000000"/>
              <w:bottom w:val="single" w:sz="8" w:space="0" w:color="000000"/>
              <w:right w:val="single" w:sz="8" w:space="0" w:color="000000"/>
            </w:tcBorders>
            <w:shd w:val="clear" w:color="auto" w:fill="FFFFFF"/>
          </w:tcPr>
          <w:p w14:paraId="751E5099" w14:textId="77777777" w:rsidR="00220112" w:rsidRDefault="00C96430">
            <w:pPr>
              <w:pStyle w:val="Compact"/>
              <w:jc w:val="both"/>
              <w:rPr>
                <w:color w:val="000000"/>
              </w:rPr>
            </w:pPr>
            <w:r>
              <w:rPr>
                <w:color w:val="000000"/>
              </w:rPr>
              <w:t>88 (10000 cycles)</w:t>
            </w:r>
          </w:p>
        </w:tc>
        <w:tc>
          <w:tcPr>
            <w:tcW w:w="1409" w:type="dxa"/>
            <w:tcBorders>
              <w:top w:val="single" w:sz="8" w:space="0" w:color="000000"/>
              <w:left w:val="single" w:sz="8" w:space="0" w:color="000000"/>
              <w:bottom w:val="single" w:sz="8" w:space="0" w:color="000000"/>
              <w:right w:val="single" w:sz="8" w:space="0" w:color="000000"/>
            </w:tcBorders>
            <w:shd w:val="clear" w:color="auto" w:fill="FFFFFF"/>
          </w:tcPr>
          <w:p w14:paraId="2706FAF0" w14:textId="77777777" w:rsidR="00220112" w:rsidRDefault="00C96430">
            <w:pPr>
              <w:pStyle w:val="Compact"/>
              <w:jc w:val="both"/>
              <w:rPr>
                <w:color w:val="000000"/>
              </w:rPr>
            </w:pPr>
            <w:r>
              <w:rPr>
                <w:color w:val="000000"/>
              </w:rPr>
              <w:t>Johnson et al., 2024</w:t>
            </w:r>
          </w:p>
        </w:tc>
      </w:tr>
      <w:tr w:rsidR="00220112" w14:paraId="1EB88871" w14:textId="77777777" w:rsidTr="00220112">
        <w:tc>
          <w:tcPr>
            <w:tcW w:w="1517" w:type="dxa"/>
            <w:tcBorders>
              <w:top w:val="single" w:sz="8" w:space="0" w:color="000000"/>
              <w:left w:val="single" w:sz="8" w:space="0" w:color="000000"/>
              <w:bottom w:val="single" w:sz="8" w:space="0" w:color="000000"/>
              <w:right w:val="single" w:sz="8" w:space="0" w:color="000000"/>
            </w:tcBorders>
            <w:shd w:val="clear" w:color="auto" w:fill="FFFFFF"/>
          </w:tcPr>
          <w:p w14:paraId="0B355CB8" w14:textId="77777777" w:rsidR="00220112" w:rsidRDefault="00C96430">
            <w:pPr>
              <w:pStyle w:val="Compact"/>
              <w:jc w:val="both"/>
              <w:rPr>
                <w:color w:val="000000"/>
              </w:rPr>
            </w:pPr>
            <w:r>
              <w:rPr>
                <w:color w:val="000000"/>
              </w:rPr>
              <w:t>Wood Waste</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Pr>
          <w:p w14:paraId="1932BAB7" w14:textId="77777777" w:rsidR="00220112" w:rsidRDefault="00C96430">
            <w:pPr>
              <w:pStyle w:val="Compact"/>
              <w:jc w:val="both"/>
              <w:rPr>
                <w:color w:val="000000"/>
              </w:rPr>
            </w:pPr>
            <w:r>
              <w:rPr>
                <w:color w:val="000000"/>
              </w:rPr>
              <w:t>1200-1800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A31B6FA" w14:textId="77777777" w:rsidR="00220112" w:rsidRDefault="00C96430">
            <w:pPr>
              <w:pStyle w:val="Compact"/>
              <w:jc w:val="both"/>
              <w:rPr>
                <w:color w:val="000000"/>
              </w:rPr>
            </w:pPr>
            <w:r>
              <w:rPr>
                <w:color w:val="000000"/>
              </w:rPr>
              <w:t>4.2-7.1</w:t>
            </w:r>
          </w:p>
        </w:tc>
        <w:tc>
          <w:tcPr>
            <w:tcW w:w="1591" w:type="dxa"/>
            <w:tcBorders>
              <w:top w:val="single" w:sz="8" w:space="0" w:color="000000"/>
              <w:left w:val="single" w:sz="8" w:space="0" w:color="000000"/>
              <w:bottom w:val="single" w:sz="8" w:space="0" w:color="000000"/>
              <w:right w:val="single" w:sz="8" w:space="0" w:color="000000"/>
            </w:tcBorders>
            <w:shd w:val="clear" w:color="auto" w:fill="FFFFFF"/>
          </w:tcPr>
          <w:p w14:paraId="70456D02" w14:textId="77777777" w:rsidR="00220112" w:rsidRDefault="00C96430">
            <w:pPr>
              <w:pStyle w:val="Compact"/>
              <w:jc w:val="both"/>
              <w:rPr>
                <w:color w:val="000000"/>
              </w:rPr>
            </w:pPr>
            <w:r>
              <w:rPr>
                <w:color w:val="000000"/>
              </w:rPr>
              <w:t>280-380</w:t>
            </w:r>
          </w:p>
        </w:tc>
        <w:tc>
          <w:tcPr>
            <w:tcW w:w="1191" w:type="dxa"/>
            <w:tcBorders>
              <w:top w:val="single" w:sz="8" w:space="0" w:color="000000"/>
              <w:left w:val="single" w:sz="8" w:space="0" w:color="000000"/>
              <w:bottom w:val="single" w:sz="8" w:space="0" w:color="000000"/>
              <w:right w:val="single" w:sz="8" w:space="0" w:color="000000"/>
            </w:tcBorders>
            <w:shd w:val="clear" w:color="auto" w:fill="FFFFFF"/>
          </w:tcPr>
          <w:p w14:paraId="3273DDEA" w14:textId="77777777" w:rsidR="00220112" w:rsidRDefault="00C96430">
            <w:pPr>
              <w:pStyle w:val="Compact"/>
              <w:jc w:val="both"/>
              <w:rPr>
                <w:color w:val="000000"/>
              </w:rPr>
            </w:pPr>
            <w:r>
              <w:rPr>
                <w:color w:val="000000"/>
              </w:rPr>
              <w:t>95 (8000 cycles)</w:t>
            </w:r>
          </w:p>
        </w:tc>
        <w:tc>
          <w:tcPr>
            <w:tcW w:w="1409" w:type="dxa"/>
            <w:tcBorders>
              <w:top w:val="single" w:sz="8" w:space="0" w:color="000000"/>
              <w:left w:val="single" w:sz="8" w:space="0" w:color="000000"/>
              <w:bottom w:val="single" w:sz="8" w:space="0" w:color="000000"/>
              <w:right w:val="single" w:sz="8" w:space="0" w:color="000000"/>
            </w:tcBorders>
            <w:shd w:val="clear" w:color="auto" w:fill="FFFFFF"/>
          </w:tcPr>
          <w:p w14:paraId="22151AF9" w14:textId="77777777" w:rsidR="00220112" w:rsidRDefault="00C96430">
            <w:pPr>
              <w:pStyle w:val="Compact"/>
              <w:jc w:val="both"/>
              <w:rPr>
                <w:color w:val="000000"/>
              </w:rPr>
            </w:pPr>
            <w:r>
              <w:rPr>
                <w:color w:val="000000"/>
              </w:rPr>
              <w:t>Brzezinski et al., 2024</w:t>
            </w:r>
          </w:p>
        </w:tc>
      </w:tr>
      <w:tr w:rsidR="00220112" w14:paraId="761952F6" w14:textId="77777777" w:rsidTr="00220112">
        <w:tc>
          <w:tcPr>
            <w:tcW w:w="1517" w:type="dxa"/>
            <w:tcBorders>
              <w:top w:val="single" w:sz="8" w:space="0" w:color="000000"/>
              <w:left w:val="single" w:sz="8" w:space="0" w:color="000000"/>
              <w:bottom w:val="single" w:sz="8" w:space="0" w:color="000000"/>
              <w:right w:val="single" w:sz="8" w:space="0" w:color="000000"/>
            </w:tcBorders>
            <w:shd w:val="clear" w:color="auto" w:fill="FFFFFF"/>
          </w:tcPr>
          <w:p w14:paraId="2857238E" w14:textId="77777777" w:rsidR="00220112" w:rsidRDefault="00C96430">
            <w:pPr>
              <w:pStyle w:val="Compact"/>
              <w:jc w:val="both"/>
              <w:rPr>
                <w:color w:val="000000"/>
              </w:rPr>
            </w:pPr>
            <w:r>
              <w:rPr>
                <w:color w:val="000000"/>
              </w:rPr>
              <w:t>Agricultural Waste</w:t>
            </w:r>
          </w:p>
        </w:tc>
        <w:tc>
          <w:tcPr>
            <w:tcW w:w="1110" w:type="dxa"/>
            <w:tcBorders>
              <w:top w:val="single" w:sz="8" w:space="0" w:color="000000"/>
              <w:left w:val="single" w:sz="8" w:space="0" w:color="000000"/>
              <w:bottom w:val="single" w:sz="8" w:space="0" w:color="000000"/>
              <w:right w:val="single" w:sz="8" w:space="0" w:color="000000"/>
            </w:tcBorders>
            <w:shd w:val="clear" w:color="auto" w:fill="FFFFFF"/>
          </w:tcPr>
          <w:p w14:paraId="31FBC385" w14:textId="77777777" w:rsidR="00220112" w:rsidRDefault="00C96430">
            <w:pPr>
              <w:pStyle w:val="Compact"/>
              <w:jc w:val="both"/>
              <w:rPr>
                <w:color w:val="000000"/>
              </w:rPr>
            </w:pPr>
            <w:r>
              <w:rPr>
                <w:color w:val="000000"/>
              </w:rPr>
              <w:t>600-1000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288A35B" w14:textId="77777777" w:rsidR="00220112" w:rsidRDefault="00C96430">
            <w:pPr>
              <w:pStyle w:val="Compact"/>
              <w:jc w:val="both"/>
              <w:rPr>
                <w:color w:val="000000"/>
              </w:rPr>
            </w:pPr>
            <w:r>
              <w:rPr>
                <w:color w:val="000000"/>
              </w:rPr>
              <w:t>1.8-3.5</w:t>
            </w:r>
          </w:p>
        </w:tc>
        <w:tc>
          <w:tcPr>
            <w:tcW w:w="1591" w:type="dxa"/>
            <w:tcBorders>
              <w:top w:val="single" w:sz="8" w:space="0" w:color="000000"/>
              <w:left w:val="single" w:sz="8" w:space="0" w:color="000000"/>
              <w:bottom w:val="single" w:sz="8" w:space="0" w:color="000000"/>
              <w:right w:val="single" w:sz="8" w:space="0" w:color="000000"/>
            </w:tcBorders>
            <w:shd w:val="clear" w:color="auto" w:fill="FFFFFF"/>
          </w:tcPr>
          <w:p w14:paraId="6EEF8BF5" w14:textId="77777777" w:rsidR="00220112" w:rsidRDefault="00C96430">
            <w:pPr>
              <w:pStyle w:val="Compact"/>
              <w:jc w:val="both"/>
              <w:rPr>
                <w:color w:val="000000"/>
              </w:rPr>
            </w:pPr>
            <w:r>
              <w:rPr>
                <w:color w:val="000000"/>
              </w:rPr>
              <w:t>150-220</w:t>
            </w:r>
          </w:p>
        </w:tc>
        <w:tc>
          <w:tcPr>
            <w:tcW w:w="1191" w:type="dxa"/>
            <w:tcBorders>
              <w:top w:val="single" w:sz="8" w:space="0" w:color="000000"/>
              <w:left w:val="single" w:sz="8" w:space="0" w:color="000000"/>
              <w:bottom w:val="single" w:sz="8" w:space="0" w:color="000000"/>
              <w:right w:val="single" w:sz="8" w:space="0" w:color="000000"/>
            </w:tcBorders>
            <w:shd w:val="clear" w:color="auto" w:fill="FFFFFF"/>
          </w:tcPr>
          <w:p w14:paraId="76D93527" w14:textId="77777777" w:rsidR="00220112" w:rsidRDefault="00C96430">
            <w:pPr>
              <w:pStyle w:val="Compact"/>
              <w:jc w:val="both"/>
              <w:rPr>
                <w:color w:val="000000"/>
              </w:rPr>
            </w:pPr>
            <w:r>
              <w:rPr>
                <w:color w:val="000000"/>
              </w:rPr>
              <w:t>85 (6000 cycles)</w:t>
            </w:r>
          </w:p>
        </w:tc>
        <w:tc>
          <w:tcPr>
            <w:tcW w:w="1409" w:type="dxa"/>
            <w:tcBorders>
              <w:top w:val="single" w:sz="8" w:space="0" w:color="000000"/>
              <w:left w:val="single" w:sz="8" w:space="0" w:color="000000"/>
              <w:bottom w:val="single" w:sz="8" w:space="0" w:color="000000"/>
              <w:right w:val="single" w:sz="8" w:space="0" w:color="000000"/>
            </w:tcBorders>
            <w:shd w:val="clear" w:color="auto" w:fill="FFFFFF"/>
          </w:tcPr>
          <w:p w14:paraId="05D922D1" w14:textId="77777777" w:rsidR="00220112" w:rsidRDefault="00C96430">
            <w:pPr>
              <w:pStyle w:val="Compact"/>
              <w:jc w:val="both"/>
              <w:rPr>
                <w:color w:val="000000"/>
              </w:rPr>
            </w:pPr>
            <w:r>
              <w:rPr>
                <w:color w:val="000000"/>
              </w:rPr>
              <w:t>Li et al., 2024</w:t>
            </w:r>
          </w:p>
        </w:tc>
      </w:tr>
    </w:tbl>
    <w:p w14:paraId="4490998F" w14:textId="77777777" w:rsidR="00220112" w:rsidRDefault="00C96430">
      <w:pPr>
        <w:pStyle w:val="Heading31"/>
        <w:jc w:val="both"/>
        <w:rPr>
          <w:color w:val="36363D"/>
        </w:rPr>
      </w:pPr>
      <w:bookmarkStart w:id="13" w:name="X10eb0a9a36120321fb9f8c92f08dec447cbdc62"/>
      <w:bookmarkEnd w:id="12"/>
      <w:r>
        <w:rPr>
          <w:color w:val="36363D"/>
        </w:rPr>
        <w:t>3.2 Advanced Green Chemistry Approaches</w:t>
      </w:r>
    </w:p>
    <w:p w14:paraId="7A5FD5E4" w14:textId="77777777" w:rsidR="00220112" w:rsidRDefault="00C96430">
      <w:pPr>
        <w:pStyle w:val="BodyText"/>
        <w:jc w:val="both"/>
        <w:rPr>
          <w:b/>
          <w:bCs/>
          <w:i/>
          <w:iCs/>
          <w:color w:val="36363D"/>
        </w:rPr>
      </w:pPr>
      <w:r>
        <w:rPr>
          <w:b/>
          <w:bCs/>
          <w:i/>
          <w:iCs/>
          <w:color w:val="36363D"/>
        </w:rPr>
        <w:t xml:space="preserve">Figure </w:t>
      </w:r>
      <w:proofErr w:type="gramStart"/>
      <w:r>
        <w:rPr>
          <w:b/>
          <w:bCs/>
          <w:i/>
          <w:iCs/>
          <w:color w:val="36363D"/>
        </w:rPr>
        <w:t>3 :Advanced</w:t>
      </w:r>
      <w:proofErr w:type="gramEnd"/>
      <w:r>
        <w:rPr>
          <w:b/>
          <w:bCs/>
          <w:i/>
          <w:iCs/>
          <w:color w:val="36363D"/>
        </w:rPr>
        <w:t xml:space="preserve"> Green Chemistry Approaches</w:t>
      </w:r>
    </w:p>
    <w:p w14:paraId="499D8EF4" w14:textId="77777777" w:rsidR="00220112" w:rsidRDefault="00C96430">
      <w:pPr>
        <w:pStyle w:val="BodyText"/>
        <w:jc w:val="center"/>
        <w:rPr>
          <w:color w:val="36363D"/>
        </w:rPr>
      </w:pPr>
      <w:r>
        <w:rPr>
          <w:noProof/>
          <w:color w:val="36363D"/>
        </w:rPr>
        <w:lastRenderedPageBreak/>
        <w:drawing>
          <wp:inline distT="0" distB="0" distL="114300" distR="114300" wp14:anchorId="7802A729" wp14:editId="18D3C3E3">
            <wp:extent cx="4456430" cy="3497580"/>
            <wp:effectExtent l="0" t="0" r="1270" b="7620"/>
            <wp:docPr id="5" name="Picture 5" descr="appliedchem-05-00013-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ppliedchem-05-00013-g001"/>
                    <pic:cNvPicPr>
                      <a:picLocks noChangeAspect="1"/>
                    </pic:cNvPicPr>
                  </pic:nvPicPr>
                  <pic:blipFill>
                    <a:blip r:embed="rId10"/>
                    <a:stretch>
                      <a:fillRect/>
                    </a:stretch>
                  </pic:blipFill>
                  <pic:spPr>
                    <a:xfrm>
                      <a:off x="0" y="0"/>
                      <a:ext cx="4456430" cy="3497580"/>
                    </a:xfrm>
                    <a:prstGeom prst="rect">
                      <a:avLst/>
                    </a:prstGeom>
                  </pic:spPr>
                </pic:pic>
              </a:graphicData>
            </a:graphic>
          </wp:inline>
        </w:drawing>
      </w:r>
    </w:p>
    <w:p w14:paraId="3C81FBAF" w14:textId="77777777" w:rsidR="00220112" w:rsidRDefault="00C96430">
      <w:pPr>
        <w:pStyle w:val="FirstParagraph"/>
        <w:jc w:val="both"/>
        <w:rPr>
          <w:color w:val="36363D"/>
        </w:rPr>
      </w:pPr>
      <w:r>
        <w:rPr>
          <w:color w:val="36363D"/>
        </w:rPr>
        <w:t xml:space="preserve">The implementation of green solvents represents a significant advancement in sustainable nanomaterial synthesis. Ionic liquids and deep eutectic solvents offer unique advantages including negligible vapor pressure, thermal stability, and </w:t>
      </w:r>
      <w:proofErr w:type="spellStart"/>
      <w:r>
        <w:rPr>
          <w:color w:val="36363D"/>
        </w:rPr>
        <w:t>tuneable</w:t>
      </w:r>
      <w:proofErr w:type="spellEnd"/>
      <w:r>
        <w:rPr>
          <w:color w:val="36363D"/>
        </w:rPr>
        <w:t xml:space="preserve"> propertie</w:t>
      </w:r>
      <w:r>
        <w:rPr>
          <w:color w:val="36363D"/>
        </w:rPr>
        <w:t>s through structural modification. These solvents enable low-temperature synthesis routes while providing excellent solvation properties for various precursors.</w:t>
      </w:r>
    </w:p>
    <w:p w14:paraId="61A148A1" w14:textId="77777777" w:rsidR="00220112" w:rsidRDefault="00C96430">
      <w:pPr>
        <w:pStyle w:val="BodyText"/>
        <w:jc w:val="both"/>
        <w:rPr>
          <w:color w:val="36363D"/>
        </w:rPr>
      </w:pPr>
      <w:r>
        <w:rPr>
          <w:color w:val="36363D"/>
        </w:rPr>
        <w:t>Water-based synthesis routes have gained prominence due to their inherent safety and environmen</w:t>
      </w:r>
      <w:r>
        <w:rPr>
          <w:color w:val="36363D"/>
        </w:rPr>
        <w:t>tal compatibility. Aqueous synthesis methods eliminate organic solvent requirements while often producing materials with superior performance characteristics. The high dielectric constant of water facilitates ion mobility during synthesis, promoting unifor</w:t>
      </w:r>
      <w:r>
        <w:rPr>
          <w:color w:val="36363D"/>
        </w:rPr>
        <w:t>m particle formation and controlled morphology development.</w:t>
      </w:r>
    </w:p>
    <w:p w14:paraId="036C4373" w14:textId="77777777" w:rsidR="00220112" w:rsidRDefault="00C96430">
      <w:pPr>
        <w:pStyle w:val="Heading31"/>
        <w:jc w:val="both"/>
        <w:rPr>
          <w:color w:val="36363D"/>
        </w:rPr>
      </w:pPr>
      <w:bookmarkStart w:id="14" w:name="X382b28b9af8f530bb533352205a4a369f30e626"/>
      <w:bookmarkEnd w:id="13"/>
      <w:r>
        <w:rPr>
          <w:color w:val="36363D"/>
        </w:rPr>
        <w:t>3.3 Energy-Efficient Processing Technologies</w:t>
      </w:r>
    </w:p>
    <w:p w14:paraId="6B644906" w14:textId="77777777" w:rsidR="00220112" w:rsidRDefault="00C96430">
      <w:pPr>
        <w:pStyle w:val="FirstParagraph"/>
        <w:jc w:val="both"/>
        <w:rPr>
          <w:color w:val="36363D"/>
        </w:rPr>
      </w:pPr>
      <w:r>
        <w:rPr>
          <w:color w:val="36363D"/>
        </w:rPr>
        <w:t>Microwave-assisted synthesis has emerged as a transformative technology for sustainable nanomaterial production. The selective heating mechanism of mic</w:t>
      </w:r>
      <w:r>
        <w:rPr>
          <w:color w:val="36363D"/>
        </w:rPr>
        <w:t>rowave radiation enables rapid, uniform heating while consuming significantly less energy than conventional thermal processing. This approach often results in improved material crystallinity and reduced processing times, enhancing both performance and sust</w:t>
      </w:r>
      <w:r>
        <w:rPr>
          <w:color w:val="36363D"/>
        </w:rPr>
        <w:t>ainability metrics.</w:t>
      </w:r>
    </w:p>
    <w:p w14:paraId="01525881" w14:textId="77777777" w:rsidR="00220112" w:rsidRDefault="00C96430">
      <w:pPr>
        <w:pStyle w:val="BodyText"/>
        <w:jc w:val="both"/>
        <w:rPr>
          <w:color w:val="36363D"/>
        </w:rPr>
      </w:pPr>
      <w:r>
        <w:rPr>
          <w:color w:val="36363D"/>
        </w:rPr>
        <w:t>Mechanochemical synthesis through high-energy ball milling offers a solvent-free alternative for nanomaterial production. This approach enables solid-state reactions at ambient temperatures while providing excellent control over particl</w:t>
      </w:r>
      <w:r>
        <w:rPr>
          <w:color w:val="36363D"/>
        </w:rPr>
        <w:t xml:space="preserve">e size and morphology. The mechanical energy input facilitates phase </w:t>
      </w:r>
      <w:r>
        <w:rPr>
          <w:color w:val="36363D"/>
        </w:rPr>
        <w:lastRenderedPageBreak/>
        <w:t>transformations and chemical reactions that would typically require high-temperature processing, significantly reducing energy consumption and environmental impact.</w:t>
      </w:r>
    </w:p>
    <w:p w14:paraId="4F1A00F0" w14:textId="77777777" w:rsidR="00220112" w:rsidRDefault="00C96430">
      <w:pPr>
        <w:pStyle w:val="Heading21"/>
        <w:jc w:val="both"/>
        <w:rPr>
          <w:color w:val="36363D"/>
        </w:rPr>
      </w:pPr>
      <w:bookmarkStart w:id="15" w:name="X3ca93a42cd196c0f846364795d5b36403573e34"/>
      <w:bookmarkEnd w:id="11"/>
      <w:bookmarkEnd w:id="14"/>
      <w:r>
        <w:rPr>
          <w:color w:val="36363D"/>
        </w:rPr>
        <w:t>4. Performance Analysi</w:t>
      </w:r>
      <w:r>
        <w:rPr>
          <w:color w:val="36363D"/>
        </w:rPr>
        <w:t>s and Material Characterization</w:t>
      </w:r>
    </w:p>
    <w:p w14:paraId="33A2DA3F" w14:textId="77777777" w:rsidR="00220112" w:rsidRDefault="00C96430">
      <w:pPr>
        <w:pStyle w:val="Heading31"/>
        <w:jc w:val="both"/>
        <w:rPr>
          <w:color w:val="36363D"/>
        </w:rPr>
      </w:pPr>
      <w:bookmarkStart w:id="16" w:name="X7fd7fe9346b621b75b94d6f083c7203f056579e"/>
      <w:r>
        <w:rPr>
          <w:color w:val="36363D"/>
        </w:rPr>
        <w:t>4.1 Electrochemical Performance Assessment</w:t>
      </w:r>
    </w:p>
    <w:p w14:paraId="099B66C7" w14:textId="77777777" w:rsidR="00220112" w:rsidRDefault="00C96430">
      <w:pPr>
        <w:pStyle w:val="BodyText"/>
        <w:jc w:val="both"/>
        <w:rPr>
          <w:i/>
          <w:iCs/>
          <w:color w:val="36363D"/>
        </w:rPr>
      </w:pPr>
      <w:r>
        <w:rPr>
          <w:i/>
          <w:iCs/>
          <w:color w:val="36363D"/>
        </w:rPr>
        <w:t>Figure 4: Electrochemical Performance Assessment</w:t>
      </w:r>
    </w:p>
    <w:p w14:paraId="29C28323" w14:textId="77777777" w:rsidR="00220112" w:rsidRDefault="00C96430">
      <w:pPr>
        <w:pStyle w:val="BodyText"/>
        <w:jc w:val="both"/>
        <w:rPr>
          <w:color w:val="36363D"/>
        </w:rPr>
      </w:pPr>
      <w:r>
        <w:rPr>
          <w:rFonts w:ascii="SimSun" w:eastAsia="SimSun" w:hAnsi="SimSun"/>
          <w:noProof/>
        </w:rPr>
        <w:drawing>
          <wp:inline distT="0" distB="0" distL="114300" distR="114300" wp14:anchorId="0F0E95D6" wp14:editId="3D96F953">
            <wp:extent cx="5270500" cy="3491230"/>
            <wp:effectExtent l="0" t="0" r="6350" b="13970"/>
            <wp:docPr id="2" name="Picture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IMG_256"/>
                    <pic:cNvPicPr>
                      <a:picLocks noChangeAspect="1"/>
                    </pic:cNvPicPr>
                  </pic:nvPicPr>
                  <pic:blipFill>
                    <a:blip r:embed="rId11"/>
                    <a:stretch>
                      <a:fillRect/>
                    </a:stretch>
                  </pic:blipFill>
                  <pic:spPr>
                    <a:xfrm>
                      <a:off x="0" y="0"/>
                      <a:ext cx="5270500" cy="3491230"/>
                    </a:xfrm>
                    <a:prstGeom prst="rect">
                      <a:avLst/>
                    </a:prstGeom>
                    <a:noFill/>
                    <a:ln w="9525">
                      <a:noFill/>
                    </a:ln>
                  </pic:spPr>
                </pic:pic>
              </a:graphicData>
            </a:graphic>
          </wp:inline>
        </w:drawing>
      </w:r>
    </w:p>
    <w:p w14:paraId="262D9AF3" w14:textId="77777777" w:rsidR="00220112" w:rsidRDefault="00220112">
      <w:pPr>
        <w:pStyle w:val="BodyText"/>
        <w:jc w:val="both"/>
        <w:rPr>
          <w:color w:val="36363D"/>
        </w:rPr>
      </w:pPr>
    </w:p>
    <w:p w14:paraId="3E9E2FD3" w14:textId="77777777" w:rsidR="00220112" w:rsidRDefault="00C96430">
      <w:pPr>
        <w:pStyle w:val="FirstParagraph"/>
        <w:jc w:val="both"/>
        <w:rPr>
          <w:color w:val="36363D"/>
        </w:rPr>
      </w:pPr>
      <w:r>
        <w:rPr>
          <w:color w:val="36363D"/>
        </w:rPr>
        <w:t>The electrochemical performance of sustainably synthesized nanomaterials requires comprehensive evaluation across multiple metric</w:t>
      </w:r>
      <w:r>
        <w:rPr>
          <w:color w:val="36363D"/>
        </w:rPr>
        <w:t>s. Supercapacitors (SCs) have garnered considerable attention due to their rapid charge-discharge capabilities and long cycle life (Brown et al., 2024). Cyclic voltammetry provides insights into charge storage mechanisms, revealing whether materials exhibi</w:t>
      </w:r>
      <w:r>
        <w:rPr>
          <w:color w:val="36363D"/>
        </w:rPr>
        <w:t>t pure electrical double-layer behavior or pseudocapacitive characteristics.</w:t>
      </w:r>
    </w:p>
    <w:p w14:paraId="559D796F" w14:textId="77777777" w:rsidR="00220112" w:rsidRDefault="00C96430">
      <w:pPr>
        <w:pStyle w:val="BodyText"/>
        <w:jc w:val="both"/>
        <w:rPr>
          <w:color w:val="36363D"/>
        </w:rPr>
      </w:pPr>
      <w:r>
        <w:rPr>
          <w:color w:val="36363D"/>
        </w:rPr>
        <w:t>Due to their widespread availability, renewable nature, and exceptional physicochemical properties, BDC materials are ideal candidates for developing next-generation MIHSCs (Nanom</w:t>
      </w:r>
      <w:r>
        <w:rPr>
          <w:color w:val="36363D"/>
        </w:rPr>
        <w:t>aterials Editorial Office, 2024). Galvanostatic charge-discharge testing evaluates practical energy and power delivery capabilities, while electrochemical impedance spectroscopy reveals kinetic limitations and resistance components that influence device pe</w:t>
      </w:r>
      <w:r>
        <w:rPr>
          <w:color w:val="36363D"/>
        </w:rPr>
        <w:t>rformance.</w:t>
      </w:r>
    </w:p>
    <w:p w14:paraId="1548719E" w14:textId="77777777" w:rsidR="00220112" w:rsidRDefault="00C96430">
      <w:pPr>
        <w:pStyle w:val="BodyText"/>
        <w:jc w:val="both"/>
        <w:rPr>
          <w:color w:val="36363D"/>
        </w:rPr>
      </w:pPr>
      <w:r>
        <w:rPr>
          <w:color w:val="36363D"/>
        </w:rPr>
        <w:t xml:space="preserve">The comparative analysis reveals that sustainably synthesized materials often exhibit performance metrics comparable to conventional counterparts while </w:t>
      </w:r>
      <w:r>
        <w:rPr>
          <w:color w:val="36363D"/>
        </w:rPr>
        <w:lastRenderedPageBreak/>
        <w:t>offering additional benefits including improved cycling stability and enhanced safety charact</w:t>
      </w:r>
      <w:r>
        <w:rPr>
          <w:color w:val="36363D"/>
        </w:rPr>
        <w:t>eristics. The natural heteroatom content in biomass-derived materials provides inherent pseudocapacitive behavior, enhancing energy density beyond pure carbon materials.</w:t>
      </w:r>
    </w:p>
    <w:p w14:paraId="173B6928" w14:textId="77777777" w:rsidR="00220112" w:rsidRDefault="00C96430">
      <w:pPr>
        <w:pStyle w:val="Heading31"/>
        <w:jc w:val="both"/>
        <w:rPr>
          <w:color w:val="36363D"/>
        </w:rPr>
      </w:pPr>
      <w:bookmarkStart w:id="17" w:name="X31c3b110bff3b175b03b9a1318b156b48674918"/>
      <w:bookmarkEnd w:id="16"/>
      <w:r>
        <w:rPr>
          <w:color w:val="36363D"/>
        </w:rPr>
        <w:t>4.2 Structural and Surface Property Relationships</w:t>
      </w:r>
    </w:p>
    <w:p w14:paraId="5D3DE431" w14:textId="77777777" w:rsidR="00220112" w:rsidRDefault="00C96430">
      <w:pPr>
        <w:pStyle w:val="FirstParagraph"/>
        <w:jc w:val="both"/>
        <w:rPr>
          <w:color w:val="36363D"/>
        </w:rPr>
      </w:pPr>
      <w:r>
        <w:rPr>
          <w:color w:val="36363D"/>
        </w:rPr>
        <w:t>The relationship between synthesis c</w:t>
      </w:r>
      <w:r>
        <w:rPr>
          <w:color w:val="36363D"/>
        </w:rPr>
        <w:t>onditions, material structure, and electrochemical performance represents a critical aspect of sustainable nanomaterial development. X-ray diffraction analysis reveals crystallinity and phase composition, while scanning electron microscopy provides morphol</w:t>
      </w:r>
      <w:r>
        <w:rPr>
          <w:color w:val="36363D"/>
        </w:rPr>
        <w:t>ogical insights essential for understanding performance characteristics.</w:t>
      </w:r>
    </w:p>
    <w:p w14:paraId="2A6822A4" w14:textId="77777777" w:rsidR="00220112" w:rsidRDefault="00C96430">
      <w:pPr>
        <w:pStyle w:val="BodyText"/>
        <w:jc w:val="both"/>
        <w:rPr>
          <w:color w:val="36363D"/>
        </w:rPr>
      </w:pPr>
      <w:r>
        <w:rPr>
          <w:color w:val="36363D"/>
        </w:rPr>
        <w:t>Surface area and porosity analysis through nitrogen adsorption isotherms demonstrates that sustainably synthesized materials can achieve high surface areas exceeding 2000 m²/g through</w:t>
      </w:r>
      <w:r>
        <w:rPr>
          <w:color w:val="36363D"/>
        </w:rPr>
        <w:t xml:space="preserve"> optimized activation processes. The pore size distribution significantly influences ion accessibility and charge storage capacity, with hierarchical pore structures providing optimal performance across different applications.</w:t>
      </w:r>
    </w:p>
    <w:p w14:paraId="7805A433" w14:textId="77777777" w:rsidR="00220112" w:rsidRDefault="00C96430">
      <w:pPr>
        <w:pStyle w:val="BodyText"/>
        <w:jc w:val="both"/>
        <w:rPr>
          <w:color w:val="36363D"/>
        </w:rPr>
      </w:pPr>
      <w:r>
        <w:rPr>
          <w:b/>
          <w:bCs/>
          <w:color w:val="36363D"/>
        </w:rPr>
        <w:t>Table 2: Structure-Performanc</w:t>
      </w:r>
      <w:r>
        <w:rPr>
          <w:b/>
          <w:bCs/>
          <w:color w:val="36363D"/>
        </w:rPr>
        <w:t>e Relationships in Sustainable Nanomaterials</w:t>
      </w:r>
    </w:p>
    <w:tbl>
      <w:tblPr>
        <w:tblStyle w:val="Table"/>
        <w:tblpPr w:leftFromText="180" w:rightFromText="180" w:vertAnchor="text" w:horzAnchor="page" w:tblpX="1816" w:tblpY="462"/>
        <w:tblOverlap w:val="never"/>
        <w:tblW w:w="0" w:type="auto"/>
        <w:tblInd w:w="0" w:type="dxa"/>
        <w:tblLayout w:type="fixed"/>
        <w:tblLook w:val="04A0" w:firstRow="1" w:lastRow="0" w:firstColumn="1" w:lastColumn="0" w:noHBand="0" w:noVBand="1"/>
      </w:tblPr>
      <w:tblGrid>
        <w:gridCol w:w="1183"/>
        <w:gridCol w:w="1204"/>
        <w:gridCol w:w="1434"/>
        <w:gridCol w:w="1494"/>
        <w:gridCol w:w="1501"/>
        <w:gridCol w:w="1703"/>
      </w:tblGrid>
      <w:tr w:rsidR="00220112" w14:paraId="04AC1455" w14:textId="77777777" w:rsidTr="00220112">
        <w:trPr>
          <w:cnfStyle w:val="100000000000" w:firstRow="1" w:lastRow="0" w:firstColumn="0" w:lastColumn="0" w:oddVBand="0" w:evenVBand="0" w:oddHBand="0" w:evenHBand="0" w:firstRowFirstColumn="0" w:firstRowLastColumn="0" w:lastRowFirstColumn="0" w:lastRowLastColumn="0"/>
          <w:tblHeader/>
        </w:trPr>
        <w:tc>
          <w:tcPr>
            <w:tcW w:w="1183" w:type="dxa"/>
            <w:tcBorders>
              <w:top w:val="single" w:sz="8" w:space="0" w:color="000000"/>
              <w:left w:val="single" w:sz="8" w:space="0" w:color="000000"/>
              <w:bottom w:val="single" w:sz="8" w:space="0" w:color="000000"/>
              <w:right w:val="single" w:sz="8" w:space="0" w:color="000000"/>
            </w:tcBorders>
            <w:shd w:val="clear" w:color="auto" w:fill="FFFFFF"/>
          </w:tcPr>
          <w:p w14:paraId="0B792254" w14:textId="77777777" w:rsidR="00220112" w:rsidRDefault="00C96430">
            <w:pPr>
              <w:pStyle w:val="Compact"/>
              <w:jc w:val="both"/>
              <w:rPr>
                <w:color w:val="000000"/>
              </w:rPr>
            </w:pPr>
            <w:r>
              <w:rPr>
                <w:color w:val="000000"/>
              </w:rPr>
              <w:t>Material System</w:t>
            </w:r>
          </w:p>
        </w:tc>
        <w:tc>
          <w:tcPr>
            <w:tcW w:w="1204" w:type="dxa"/>
            <w:tcBorders>
              <w:top w:val="single" w:sz="8" w:space="0" w:color="000000"/>
              <w:left w:val="single" w:sz="8" w:space="0" w:color="000000"/>
              <w:bottom w:val="single" w:sz="8" w:space="0" w:color="000000"/>
              <w:right w:val="single" w:sz="8" w:space="0" w:color="000000"/>
            </w:tcBorders>
            <w:shd w:val="clear" w:color="auto" w:fill="FFFFFF"/>
          </w:tcPr>
          <w:p w14:paraId="4126B646" w14:textId="77777777" w:rsidR="00220112" w:rsidRDefault="00C96430">
            <w:pPr>
              <w:pStyle w:val="Compact"/>
              <w:jc w:val="both"/>
              <w:rPr>
                <w:color w:val="000000"/>
              </w:rPr>
            </w:pPr>
            <w:r>
              <w:rPr>
                <w:color w:val="000000"/>
              </w:rPr>
              <w:t>Synthesis Route</w:t>
            </w:r>
          </w:p>
        </w:tc>
        <w:tc>
          <w:tcPr>
            <w:tcW w:w="1434" w:type="dxa"/>
            <w:tcBorders>
              <w:top w:val="single" w:sz="8" w:space="0" w:color="000000"/>
              <w:left w:val="single" w:sz="8" w:space="0" w:color="000000"/>
              <w:bottom w:val="single" w:sz="8" w:space="0" w:color="000000"/>
              <w:right w:val="single" w:sz="8" w:space="0" w:color="000000"/>
            </w:tcBorders>
            <w:shd w:val="clear" w:color="auto" w:fill="FFFFFF"/>
          </w:tcPr>
          <w:p w14:paraId="052B7965" w14:textId="77777777" w:rsidR="00220112" w:rsidRDefault="00C96430">
            <w:pPr>
              <w:pStyle w:val="Compact"/>
              <w:jc w:val="both"/>
              <w:rPr>
                <w:color w:val="000000"/>
              </w:rPr>
            </w:pPr>
            <w:r>
              <w:rPr>
                <w:color w:val="000000"/>
              </w:rPr>
              <w:t>Crystallinity</w:t>
            </w:r>
          </w:p>
        </w:tc>
        <w:tc>
          <w:tcPr>
            <w:tcW w:w="1494" w:type="dxa"/>
            <w:tcBorders>
              <w:top w:val="single" w:sz="8" w:space="0" w:color="000000"/>
              <w:left w:val="single" w:sz="8" w:space="0" w:color="000000"/>
              <w:bottom w:val="single" w:sz="8" w:space="0" w:color="000000"/>
              <w:right w:val="single" w:sz="8" w:space="0" w:color="000000"/>
            </w:tcBorders>
            <w:shd w:val="clear" w:color="auto" w:fill="FFFFFF"/>
          </w:tcPr>
          <w:p w14:paraId="6FDCC29F" w14:textId="77777777" w:rsidR="00220112" w:rsidRDefault="00C96430">
            <w:pPr>
              <w:pStyle w:val="Compact"/>
              <w:jc w:val="both"/>
              <w:rPr>
                <w:color w:val="000000"/>
              </w:rPr>
            </w:pPr>
            <w:r>
              <w:rPr>
                <w:color w:val="000000"/>
              </w:rPr>
              <w:t>Pore Structure</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Pr>
          <w:p w14:paraId="0323510A" w14:textId="77777777" w:rsidR="00220112" w:rsidRDefault="00C96430">
            <w:pPr>
              <w:pStyle w:val="Compact"/>
              <w:jc w:val="both"/>
              <w:rPr>
                <w:color w:val="000000"/>
              </w:rPr>
            </w:pPr>
            <w:r>
              <w:rPr>
                <w:color w:val="000000"/>
              </w:rPr>
              <w:t>Performance Index</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Pr>
          <w:p w14:paraId="7CE8A919" w14:textId="77777777" w:rsidR="00220112" w:rsidRDefault="00C96430">
            <w:pPr>
              <w:pStyle w:val="Compact"/>
              <w:jc w:val="both"/>
              <w:rPr>
                <w:color w:val="000000"/>
              </w:rPr>
            </w:pPr>
            <w:r>
              <w:rPr>
                <w:color w:val="000000"/>
              </w:rPr>
              <w:t>Environmental Score</w:t>
            </w:r>
          </w:p>
        </w:tc>
      </w:tr>
      <w:tr w:rsidR="00220112" w14:paraId="51ADFD58" w14:textId="77777777" w:rsidTr="00220112">
        <w:tc>
          <w:tcPr>
            <w:tcW w:w="1183" w:type="dxa"/>
            <w:tcBorders>
              <w:top w:val="single" w:sz="8" w:space="0" w:color="000000"/>
              <w:left w:val="single" w:sz="8" w:space="0" w:color="000000"/>
              <w:bottom w:val="single" w:sz="8" w:space="0" w:color="000000"/>
              <w:right w:val="single" w:sz="8" w:space="0" w:color="000000"/>
            </w:tcBorders>
            <w:shd w:val="clear" w:color="auto" w:fill="FFFFFF"/>
          </w:tcPr>
          <w:p w14:paraId="5894A8D1" w14:textId="77777777" w:rsidR="00220112" w:rsidRDefault="00C96430">
            <w:pPr>
              <w:pStyle w:val="Compact"/>
              <w:jc w:val="both"/>
              <w:rPr>
                <w:color w:val="000000"/>
              </w:rPr>
            </w:pPr>
            <w:r>
              <w:rPr>
                <w:color w:val="000000"/>
              </w:rPr>
              <w:t>Graphene</w:t>
            </w:r>
          </w:p>
        </w:tc>
        <w:tc>
          <w:tcPr>
            <w:tcW w:w="1204" w:type="dxa"/>
            <w:tcBorders>
              <w:top w:val="single" w:sz="8" w:space="0" w:color="000000"/>
              <w:left w:val="single" w:sz="8" w:space="0" w:color="000000"/>
              <w:bottom w:val="single" w:sz="8" w:space="0" w:color="000000"/>
              <w:right w:val="single" w:sz="8" w:space="0" w:color="000000"/>
            </w:tcBorders>
            <w:shd w:val="clear" w:color="auto" w:fill="FFFFFF"/>
          </w:tcPr>
          <w:p w14:paraId="5A1D2CA5" w14:textId="77777777" w:rsidR="00220112" w:rsidRDefault="00C96430">
            <w:pPr>
              <w:pStyle w:val="Compact"/>
              <w:jc w:val="both"/>
              <w:rPr>
                <w:color w:val="000000"/>
              </w:rPr>
            </w:pPr>
            <w:r>
              <w:rPr>
                <w:color w:val="000000"/>
              </w:rPr>
              <w:t>CVD</w:t>
            </w:r>
          </w:p>
        </w:tc>
        <w:tc>
          <w:tcPr>
            <w:tcW w:w="1434" w:type="dxa"/>
            <w:tcBorders>
              <w:top w:val="single" w:sz="8" w:space="0" w:color="000000"/>
              <w:left w:val="single" w:sz="8" w:space="0" w:color="000000"/>
              <w:bottom w:val="single" w:sz="8" w:space="0" w:color="000000"/>
              <w:right w:val="single" w:sz="8" w:space="0" w:color="000000"/>
            </w:tcBorders>
            <w:shd w:val="clear" w:color="auto" w:fill="FFFFFF"/>
          </w:tcPr>
          <w:p w14:paraId="2C46A42A" w14:textId="77777777" w:rsidR="00220112" w:rsidRDefault="00C96430">
            <w:pPr>
              <w:pStyle w:val="Compact"/>
              <w:jc w:val="both"/>
              <w:rPr>
                <w:color w:val="000000"/>
              </w:rPr>
            </w:pPr>
            <w:r>
              <w:rPr>
                <w:color w:val="000000"/>
              </w:rPr>
              <w:t>High</w:t>
            </w:r>
          </w:p>
        </w:tc>
        <w:tc>
          <w:tcPr>
            <w:tcW w:w="1494" w:type="dxa"/>
            <w:tcBorders>
              <w:top w:val="single" w:sz="8" w:space="0" w:color="000000"/>
              <w:left w:val="single" w:sz="8" w:space="0" w:color="000000"/>
              <w:bottom w:val="single" w:sz="8" w:space="0" w:color="000000"/>
              <w:right w:val="single" w:sz="8" w:space="0" w:color="000000"/>
            </w:tcBorders>
            <w:shd w:val="clear" w:color="auto" w:fill="FFFFFF"/>
          </w:tcPr>
          <w:p w14:paraId="2D149A27" w14:textId="77777777" w:rsidR="00220112" w:rsidRDefault="00C96430">
            <w:pPr>
              <w:pStyle w:val="Compact"/>
              <w:jc w:val="both"/>
              <w:rPr>
                <w:color w:val="000000"/>
              </w:rPr>
            </w:pPr>
            <w:r>
              <w:rPr>
                <w:color w:val="000000"/>
              </w:rPr>
              <w:t>Limited</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Pr>
          <w:p w14:paraId="0A6A9B2B" w14:textId="77777777" w:rsidR="00220112" w:rsidRDefault="00C96430">
            <w:pPr>
              <w:pStyle w:val="Compact"/>
              <w:jc w:val="both"/>
              <w:rPr>
                <w:color w:val="000000"/>
              </w:rPr>
            </w:pPr>
            <w:r>
              <w:rPr>
                <w:color w:val="000000"/>
              </w:rPr>
              <w:t>0.95</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Pr>
          <w:p w14:paraId="36CF81A9" w14:textId="77777777" w:rsidR="00220112" w:rsidRDefault="00C96430">
            <w:pPr>
              <w:pStyle w:val="Compact"/>
              <w:jc w:val="both"/>
              <w:rPr>
                <w:color w:val="000000"/>
              </w:rPr>
            </w:pPr>
            <w:r>
              <w:rPr>
                <w:color w:val="000000"/>
              </w:rPr>
              <w:t>0.3</w:t>
            </w:r>
          </w:p>
        </w:tc>
      </w:tr>
      <w:tr w:rsidR="00220112" w14:paraId="7C1DC371" w14:textId="77777777" w:rsidTr="00220112">
        <w:tc>
          <w:tcPr>
            <w:tcW w:w="1183" w:type="dxa"/>
            <w:tcBorders>
              <w:top w:val="single" w:sz="8" w:space="0" w:color="000000"/>
              <w:left w:val="single" w:sz="8" w:space="0" w:color="000000"/>
              <w:bottom w:val="single" w:sz="8" w:space="0" w:color="000000"/>
              <w:right w:val="single" w:sz="8" w:space="0" w:color="000000"/>
            </w:tcBorders>
            <w:shd w:val="clear" w:color="auto" w:fill="FFFFFF"/>
          </w:tcPr>
          <w:p w14:paraId="1ADD07B7" w14:textId="77777777" w:rsidR="00220112" w:rsidRDefault="00C96430">
            <w:pPr>
              <w:pStyle w:val="Compact"/>
              <w:jc w:val="both"/>
              <w:rPr>
                <w:color w:val="000000"/>
              </w:rPr>
            </w:pPr>
            <w:r>
              <w:rPr>
                <w:color w:val="000000"/>
              </w:rPr>
              <w:t>Bio-Graphene</w:t>
            </w:r>
          </w:p>
        </w:tc>
        <w:tc>
          <w:tcPr>
            <w:tcW w:w="1204" w:type="dxa"/>
            <w:tcBorders>
              <w:top w:val="single" w:sz="8" w:space="0" w:color="000000"/>
              <w:left w:val="single" w:sz="8" w:space="0" w:color="000000"/>
              <w:bottom w:val="single" w:sz="8" w:space="0" w:color="000000"/>
              <w:right w:val="single" w:sz="8" w:space="0" w:color="000000"/>
            </w:tcBorders>
            <w:shd w:val="clear" w:color="auto" w:fill="FFFFFF"/>
          </w:tcPr>
          <w:p w14:paraId="2C7DBCCA" w14:textId="77777777" w:rsidR="00220112" w:rsidRDefault="00C96430">
            <w:pPr>
              <w:pStyle w:val="Compact"/>
              <w:jc w:val="both"/>
              <w:rPr>
                <w:color w:val="000000"/>
              </w:rPr>
            </w:pPr>
            <w:r>
              <w:rPr>
                <w:color w:val="000000"/>
              </w:rPr>
              <w:t>Biomass Pyrolysis</w:t>
            </w:r>
          </w:p>
        </w:tc>
        <w:tc>
          <w:tcPr>
            <w:tcW w:w="1434" w:type="dxa"/>
            <w:tcBorders>
              <w:top w:val="single" w:sz="8" w:space="0" w:color="000000"/>
              <w:left w:val="single" w:sz="8" w:space="0" w:color="000000"/>
              <w:bottom w:val="single" w:sz="8" w:space="0" w:color="000000"/>
              <w:right w:val="single" w:sz="8" w:space="0" w:color="000000"/>
            </w:tcBorders>
            <w:shd w:val="clear" w:color="auto" w:fill="FFFFFF"/>
          </w:tcPr>
          <w:p w14:paraId="6EC06BE5" w14:textId="77777777" w:rsidR="00220112" w:rsidRDefault="00C96430">
            <w:pPr>
              <w:pStyle w:val="Compact"/>
              <w:jc w:val="both"/>
              <w:rPr>
                <w:color w:val="000000"/>
              </w:rPr>
            </w:pPr>
            <w:r>
              <w:rPr>
                <w:color w:val="000000"/>
              </w:rPr>
              <w:t>Medium</w:t>
            </w:r>
          </w:p>
        </w:tc>
        <w:tc>
          <w:tcPr>
            <w:tcW w:w="1494" w:type="dxa"/>
            <w:tcBorders>
              <w:top w:val="single" w:sz="8" w:space="0" w:color="000000"/>
              <w:left w:val="single" w:sz="8" w:space="0" w:color="000000"/>
              <w:bottom w:val="single" w:sz="8" w:space="0" w:color="000000"/>
              <w:right w:val="single" w:sz="8" w:space="0" w:color="000000"/>
            </w:tcBorders>
            <w:shd w:val="clear" w:color="auto" w:fill="FFFFFF"/>
          </w:tcPr>
          <w:p w14:paraId="66F81A37" w14:textId="77777777" w:rsidR="00220112" w:rsidRDefault="00C96430">
            <w:pPr>
              <w:pStyle w:val="Compact"/>
              <w:jc w:val="both"/>
              <w:rPr>
                <w:color w:val="000000"/>
              </w:rPr>
            </w:pPr>
            <w:r>
              <w:rPr>
                <w:color w:val="000000"/>
              </w:rPr>
              <w:t>Hierarchical</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Pr>
          <w:p w14:paraId="57128AB8" w14:textId="77777777" w:rsidR="00220112" w:rsidRDefault="00C96430">
            <w:pPr>
              <w:pStyle w:val="Compact"/>
              <w:jc w:val="both"/>
              <w:rPr>
                <w:color w:val="000000"/>
              </w:rPr>
            </w:pPr>
            <w:r>
              <w:rPr>
                <w:color w:val="000000"/>
              </w:rPr>
              <w:t>0.85</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Pr>
          <w:p w14:paraId="7D608D68" w14:textId="77777777" w:rsidR="00220112" w:rsidRDefault="00C96430">
            <w:pPr>
              <w:pStyle w:val="Compact"/>
              <w:jc w:val="both"/>
              <w:rPr>
                <w:color w:val="000000"/>
              </w:rPr>
            </w:pPr>
            <w:r>
              <w:rPr>
                <w:color w:val="000000"/>
              </w:rPr>
              <w:t>0.9</w:t>
            </w:r>
          </w:p>
        </w:tc>
      </w:tr>
      <w:tr w:rsidR="00220112" w14:paraId="314EE8FB" w14:textId="77777777" w:rsidTr="00220112">
        <w:tc>
          <w:tcPr>
            <w:tcW w:w="1183" w:type="dxa"/>
            <w:tcBorders>
              <w:top w:val="single" w:sz="8" w:space="0" w:color="000000"/>
              <w:left w:val="single" w:sz="8" w:space="0" w:color="000000"/>
              <w:bottom w:val="single" w:sz="8" w:space="0" w:color="000000"/>
              <w:right w:val="single" w:sz="8" w:space="0" w:color="000000"/>
            </w:tcBorders>
            <w:shd w:val="clear" w:color="auto" w:fill="FFFFFF"/>
          </w:tcPr>
          <w:p w14:paraId="1CDFBF36" w14:textId="77777777" w:rsidR="00220112" w:rsidRDefault="00C96430">
            <w:pPr>
              <w:pStyle w:val="Compact"/>
              <w:jc w:val="both"/>
              <w:rPr>
                <w:color w:val="000000"/>
              </w:rPr>
            </w:pPr>
            <w:r>
              <w:rPr>
                <w:color w:val="000000"/>
              </w:rPr>
              <w:t>CNT</w:t>
            </w:r>
          </w:p>
        </w:tc>
        <w:tc>
          <w:tcPr>
            <w:tcW w:w="1204" w:type="dxa"/>
            <w:tcBorders>
              <w:top w:val="single" w:sz="8" w:space="0" w:color="000000"/>
              <w:left w:val="single" w:sz="8" w:space="0" w:color="000000"/>
              <w:bottom w:val="single" w:sz="8" w:space="0" w:color="000000"/>
              <w:right w:val="single" w:sz="8" w:space="0" w:color="000000"/>
            </w:tcBorders>
            <w:shd w:val="clear" w:color="auto" w:fill="FFFFFF"/>
          </w:tcPr>
          <w:p w14:paraId="4EB74984" w14:textId="77777777" w:rsidR="00220112" w:rsidRDefault="00C96430">
            <w:pPr>
              <w:pStyle w:val="Compact"/>
              <w:jc w:val="both"/>
              <w:rPr>
                <w:color w:val="000000"/>
              </w:rPr>
            </w:pPr>
            <w:r>
              <w:rPr>
                <w:color w:val="000000"/>
              </w:rPr>
              <w:t xml:space="preserve">Arc </w:t>
            </w:r>
            <w:r>
              <w:rPr>
                <w:color w:val="000000"/>
              </w:rPr>
              <w:t>Discharge</w:t>
            </w:r>
          </w:p>
        </w:tc>
        <w:tc>
          <w:tcPr>
            <w:tcW w:w="1434" w:type="dxa"/>
            <w:tcBorders>
              <w:top w:val="single" w:sz="8" w:space="0" w:color="000000"/>
              <w:left w:val="single" w:sz="8" w:space="0" w:color="000000"/>
              <w:bottom w:val="single" w:sz="8" w:space="0" w:color="000000"/>
              <w:right w:val="single" w:sz="8" w:space="0" w:color="000000"/>
            </w:tcBorders>
            <w:shd w:val="clear" w:color="auto" w:fill="FFFFFF"/>
          </w:tcPr>
          <w:p w14:paraId="688C310E" w14:textId="77777777" w:rsidR="00220112" w:rsidRDefault="00C96430">
            <w:pPr>
              <w:pStyle w:val="Compact"/>
              <w:jc w:val="both"/>
              <w:rPr>
                <w:color w:val="000000"/>
              </w:rPr>
            </w:pPr>
            <w:r>
              <w:rPr>
                <w:color w:val="000000"/>
              </w:rPr>
              <w:t>High</w:t>
            </w:r>
          </w:p>
        </w:tc>
        <w:tc>
          <w:tcPr>
            <w:tcW w:w="1494" w:type="dxa"/>
            <w:tcBorders>
              <w:top w:val="single" w:sz="8" w:space="0" w:color="000000"/>
              <w:left w:val="single" w:sz="8" w:space="0" w:color="000000"/>
              <w:bottom w:val="single" w:sz="8" w:space="0" w:color="000000"/>
              <w:right w:val="single" w:sz="8" w:space="0" w:color="000000"/>
            </w:tcBorders>
            <w:shd w:val="clear" w:color="auto" w:fill="FFFFFF"/>
          </w:tcPr>
          <w:p w14:paraId="6542D9B3" w14:textId="77777777" w:rsidR="00220112" w:rsidRDefault="00C96430">
            <w:pPr>
              <w:pStyle w:val="Compact"/>
              <w:jc w:val="both"/>
              <w:rPr>
                <w:color w:val="000000"/>
              </w:rPr>
            </w:pPr>
            <w:r>
              <w:rPr>
                <w:color w:val="000000"/>
              </w:rPr>
              <w:t>Mesoporous</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Pr>
          <w:p w14:paraId="50A68C48" w14:textId="77777777" w:rsidR="00220112" w:rsidRDefault="00C96430">
            <w:pPr>
              <w:pStyle w:val="Compact"/>
              <w:jc w:val="both"/>
              <w:rPr>
                <w:color w:val="000000"/>
              </w:rPr>
            </w:pPr>
            <w:r>
              <w:rPr>
                <w:color w:val="000000"/>
              </w:rPr>
              <w:t>0.92</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Pr>
          <w:p w14:paraId="20608159" w14:textId="77777777" w:rsidR="00220112" w:rsidRDefault="00C96430">
            <w:pPr>
              <w:pStyle w:val="Compact"/>
              <w:jc w:val="both"/>
              <w:rPr>
                <w:color w:val="000000"/>
              </w:rPr>
            </w:pPr>
            <w:r>
              <w:rPr>
                <w:color w:val="000000"/>
              </w:rPr>
              <w:t>0.25</w:t>
            </w:r>
          </w:p>
        </w:tc>
      </w:tr>
      <w:tr w:rsidR="00220112" w14:paraId="4DE99428" w14:textId="77777777" w:rsidTr="00220112">
        <w:tc>
          <w:tcPr>
            <w:tcW w:w="1183" w:type="dxa"/>
            <w:tcBorders>
              <w:top w:val="single" w:sz="8" w:space="0" w:color="000000"/>
              <w:left w:val="single" w:sz="8" w:space="0" w:color="000000"/>
              <w:bottom w:val="single" w:sz="8" w:space="0" w:color="000000"/>
              <w:right w:val="single" w:sz="8" w:space="0" w:color="000000"/>
            </w:tcBorders>
            <w:shd w:val="clear" w:color="auto" w:fill="FFFFFF"/>
          </w:tcPr>
          <w:p w14:paraId="3B4CC11F" w14:textId="77777777" w:rsidR="00220112" w:rsidRDefault="00C96430">
            <w:pPr>
              <w:pStyle w:val="Compact"/>
              <w:jc w:val="both"/>
              <w:rPr>
                <w:color w:val="000000"/>
              </w:rPr>
            </w:pPr>
            <w:r>
              <w:rPr>
                <w:color w:val="000000"/>
              </w:rPr>
              <w:t>Bio-Carbon</w:t>
            </w:r>
          </w:p>
        </w:tc>
        <w:tc>
          <w:tcPr>
            <w:tcW w:w="1204" w:type="dxa"/>
            <w:tcBorders>
              <w:top w:val="single" w:sz="8" w:space="0" w:color="000000"/>
              <w:left w:val="single" w:sz="8" w:space="0" w:color="000000"/>
              <w:bottom w:val="single" w:sz="8" w:space="0" w:color="000000"/>
              <w:right w:val="single" w:sz="8" w:space="0" w:color="000000"/>
            </w:tcBorders>
            <w:shd w:val="clear" w:color="auto" w:fill="FFFFFF"/>
          </w:tcPr>
          <w:p w14:paraId="0A99973C" w14:textId="77777777" w:rsidR="00220112" w:rsidRDefault="00C96430">
            <w:pPr>
              <w:pStyle w:val="Compact"/>
              <w:jc w:val="both"/>
              <w:rPr>
                <w:color w:val="000000"/>
              </w:rPr>
            </w:pPr>
            <w:r>
              <w:rPr>
                <w:color w:val="000000"/>
              </w:rPr>
              <w:t>Green Synthesis</w:t>
            </w:r>
          </w:p>
        </w:tc>
        <w:tc>
          <w:tcPr>
            <w:tcW w:w="1434" w:type="dxa"/>
            <w:tcBorders>
              <w:top w:val="single" w:sz="8" w:space="0" w:color="000000"/>
              <w:left w:val="single" w:sz="8" w:space="0" w:color="000000"/>
              <w:bottom w:val="single" w:sz="8" w:space="0" w:color="000000"/>
              <w:right w:val="single" w:sz="8" w:space="0" w:color="000000"/>
            </w:tcBorders>
            <w:shd w:val="clear" w:color="auto" w:fill="FFFFFF"/>
          </w:tcPr>
          <w:p w14:paraId="414B8B86" w14:textId="77777777" w:rsidR="00220112" w:rsidRDefault="00C96430">
            <w:pPr>
              <w:pStyle w:val="Compact"/>
              <w:jc w:val="both"/>
              <w:rPr>
                <w:color w:val="000000"/>
              </w:rPr>
            </w:pPr>
            <w:r>
              <w:rPr>
                <w:color w:val="000000"/>
              </w:rPr>
              <w:t>Medium</w:t>
            </w:r>
          </w:p>
        </w:tc>
        <w:tc>
          <w:tcPr>
            <w:tcW w:w="1494" w:type="dxa"/>
            <w:tcBorders>
              <w:top w:val="single" w:sz="8" w:space="0" w:color="000000"/>
              <w:left w:val="single" w:sz="8" w:space="0" w:color="000000"/>
              <w:bottom w:val="single" w:sz="8" w:space="0" w:color="000000"/>
              <w:right w:val="single" w:sz="8" w:space="0" w:color="000000"/>
            </w:tcBorders>
            <w:shd w:val="clear" w:color="auto" w:fill="FFFFFF"/>
          </w:tcPr>
          <w:p w14:paraId="0A346C66" w14:textId="77777777" w:rsidR="00220112" w:rsidRDefault="00C96430">
            <w:pPr>
              <w:pStyle w:val="Compact"/>
              <w:jc w:val="both"/>
              <w:rPr>
                <w:color w:val="000000"/>
              </w:rPr>
            </w:pPr>
            <w:r>
              <w:rPr>
                <w:color w:val="000000"/>
              </w:rPr>
              <w:t>Microporous</w:t>
            </w:r>
          </w:p>
        </w:tc>
        <w:tc>
          <w:tcPr>
            <w:tcW w:w="1501" w:type="dxa"/>
            <w:tcBorders>
              <w:top w:val="single" w:sz="8" w:space="0" w:color="000000"/>
              <w:left w:val="single" w:sz="8" w:space="0" w:color="000000"/>
              <w:bottom w:val="single" w:sz="8" w:space="0" w:color="000000"/>
              <w:right w:val="single" w:sz="8" w:space="0" w:color="000000"/>
            </w:tcBorders>
            <w:shd w:val="clear" w:color="auto" w:fill="FFFFFF"/>
          </w:tcPr>
          <w:p w14:paraId="182F3AEE" w14:textId="77777777" w:rsidR="00220112" w:rsidRDefault="00C96430">
            <w:pPr>
              <w:pStyle w:val="Compact"/>
              <w:jc w:val="both"/>
              <w:rPr>
                <w:color w:val="000000"/>
              </w:rPr>
            </w:pPr>
            <w:r>
              <w:rPr>
                <w:color w:val="000000"/>
              </w:rPr>
              <w:t>0.78</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Pr>
          <w:p w14:paraId="66F486F0" w14:textId="77777777" w:rsidR="00220112" w:rsidRDefault="00C96430">
            <w:pPr>
              <w:pStyle w:val="Compact"/>
              <w:jc w:val="both"/>
              <w:rPr>
                <w:color w:val="000000"/>
              </w:rPr>
            </w:pPr>
            <w:r>
              <w:rPr>
                <w:color w:val="000000"/>
              </w:rPr>
              <w:t>0.85</w:t>
            </w:r>
          </w:p>
        </w:tc>
      </w:tr>
    </w:tbl>
    <w:p w14:paraId="14E59CBF" w14:textId="77777777" w:rsidR="00220112" w:rsidRDefault="00C96430">
      <w:pPr>
        <w:pStyle w:val="Heading31"/>
        <w:jc w:val="both"/>
        <w:rPr>
          <w:color w:val="36363D"/>
        </w:rPr>
      </w:pPr>
      <w:bookmarkStart w:id="18" w:name="X9be98e9b84882b27835b60c8feafcd6a2c1640d"/>
      <w:bookmarkEnd w:id="17"/>
      <w:r>
        <w:rPr>
          <w:color w:val="36363D"/>
        </w:rPr>
        <w:t>4.3 Long-term Stability and Degradation Mechanisms</w:t>
      </w:r>
    </w:p>
    <w:p w14:paraId="47BB1989" w14:textId="77777777" w:rsidR="00220112" w:rsidRDefault="00C96430">
      <w:pPr>
        <w:pStyle w:val="FirstParagraph"/>
        <w:jc w:val="both"/>
        <w:rPr>
          <w:color w:val="36363D"/>
        </w:rPr>
      </w:pPr>
      <w:r>
        <w:rPr>
          <w:color w:val="36363D"/>
        </w:rPr>
        <w:t xml:space="preserve">The long-term stability of sustainably synthesized nanomaterials represents a crucial factor for practical </w:t>
      </w:r>
      <w:r>
        <w:rPr>
          <w:color w:val="36363D"/>
        </w:rPr>
        <w:t>applications. Accelerated aging studies demonstrate that biomass-derived materials often exhibit superior stability compared to synthetic counterparts, attributed to their natural resistance to oxidation and structural degradation.</w:t>
      </w:r>
    </w:p>
    <w:p w14:paraId="6FCF87EA" w14:textId="77777777" w:rsidR="00220112" w:rsidRDefault="00C96430">
      <w:pPr>
        <w:pStyle w:val="BodyText"/>
        <w:jc w:val="both"/>
        <w:rPr>
          <w:color w:val="36363D"/>
        </w:rPr>
      </w:pPr>
      <w:r>
        <w:rPr>
          <w:color w:val="36363D"/>
        </w:rPr>
        <w:lastRenderedPageBreak/>
        <w:t>The mechanisms of perfor</w:t>
      </w:r>
      <w:r>
        <w:rPr>
          <w:color w:val="36363D"/>
        </w:rPr>
        <w:t>mance degradation in sustainable nanomaterials differ from conventional materials, often showing gradual capacity fade rather than catastrophic failure. This behavior enhances device reliability and safety while maintaining acceptable performance over exte</w:t>
      </w:r>
      <w:r>
        <w:rPr>
          <w:color w:val="36363D"/>
        </w:rPr>
        <w:t>nded operating periods. The presence of natural antioxidants in biomass-derived materials contributes to their enhanced stability characteristics.</w:t>
      </w:r>
    </w:p>
    <w:p w14:paraId="079E1279" w14:textId="77777777" w:rsidR="00220112" w:rsidRDefault="00220112">
      <w:pPr>
        <w:jc w:val="both"/>
        <w:rPr>
          <w:color w:val="36363D"/>
        </w:rPr>
      </w:pPr>
    </w:p>
    <w:p w14:paraId="5637662D" w14:textId="77777777" w:rsidR="00220112" w:rsidRDefault="00C96430">
      <w:pPr>
        <w:pStyle w:val="Heading21"/>
        <w:jc w:val="both"/>
        <w:rPr>
          <w:color w:val="36363D"/>
        </w:rPr>
      </w:pPr>
      <w:bookmarkStart w:id="19" w:name="Xbf5142d4487c3320aa16d8a22eb3f3497a163a7"/>
      <w:bookmarkEnd w:id="15"/>
      <w:bookmarkEnd w:id="18"/>
      <w:r>
        <w:rPr>
          <w:color w:val="36363D"/>
        </w:rPr>
        <w:t>5. Energy Storage Applications and Technology Integration</w:t>
      </w:r>
    </w:p>
    <w:p w14:paraId="2657AB5C" w14:textId="77777777" w:rsidR="00220112" w:rsidRDefault="00C96430">
      <w:pPr>
        <w:pStyle w:val="Heading31"/>
        <w:jc w:val="both"/>
        <w:rPr>
          <w:color w:val="36363D"/>
        </w:rPr>
      </w:pPr>
      <w:bookmarkStart w:id="20" w:name="X551cf14ec0aa726c906b1ac4261fe3422a96d11"/>
      <w:r>
        <w:rPr>
          <w:color w:val="36363D"/>
        </w:rPr>
        <w:t xml:space="preserve">5.1 Battery Applications: From Lithium to </w:t>
      </w:r>
      <w:r>
        <w:rPr>
          <w:color w:val="36363D"/>
        </w:rPr>
        <w:t>Beyond-Lithium Systems</w:t>
      </w:r>
    </w:p>
    <w:p w14:paraId="0C55A830" w14:textId="77777777" w:rsidR="00220112" w:rsidRDefault="00C96430">
      <w:pPr>
        <w:pStyle w:val="BodyText"/>
        <w:jc w:val="both"/>
        <w:rPr>
          <w:color w:val="36363D"/>
        </w:rPr>
      </w:pPr>
      <w:r>
        <w:rPr>
          <w:color w:val="36363D"/>
        </w:rPr>
        <w:t xml:space="preserve">Figure </w:t>
      </w:r>
      <w:proofErr w:type="gramStart"/>
      <w:r>
        <w:rPr>
          <w:color w:val="36363D"/>
        </w:rPr>
        <w:t>5 :</w:t>
      </w:r>
      <w:proofErr w:type="gramEnd"/>
      <w:r>
        <w:rPr>
          <w:color w:val="36363D"/>
        </w:rPr>
        <w:t xml:space="preserve"> Beyond-Lithium Systems</w:t>
      </w:r>
    </w:p>
    <w:p w14:paraId="4D220304" w14:textId="77777777" w:rsidR="00220112" w:rsidRDefault="00C96430">
      <w:pPr>
        <w:pStyle w:val="BodyText"/>
        <w:jc w:val="both"/>
        <w:rPr>
          <w:color w:val="36363D"/>
        </w:rPr>
      </w:pPr>
      <w:r>
        <w:rPr>
          <w:rFonts w:ascii="SimSun" w:eastAsia="SimSun" w:hAnsi="SimSun"/>
          <w:noProof/>
        </w:rPr>
        <w:drawing>
          <wp:inline distT="0" distB="0" distL="114300" distR="114300" wp14:anchorId="63E7C309" wp14:editId="4D3220F6">
            <wp:extent cx="5264785" cy="2091055"/>
            <wp:effectExtent l="0" t="0" r="12065" b="4445"/>
            <wp:docPr id="3" name="Picture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descr="IMG_256"/>
                    <pic:cNvPicPr>
                      <a:picLocks noChangeAspect="1"/>
                    </pic:cNvPicPr>
                  </pic:nvPicPr>
                  <pic:blipFill>
                    <a:blip r:embed="rId12"/>
                    <a:stretch>
                      <a:fillRect/>
                    </a:stretch>
                  </pic:blipFill>
                  <pic:spPr>
                    <a:xfrm>
                      <a:off x="0" y="0"/>
                      <a:ext cx="5264785" cy="2091055"/>
                    </a:xfrm>
                    <a:prstGeom prst="rect">
                      <a:avLst/>
                    </a:prstGeom>
                    <a:noFill/>
                    <a:ln w="9525">
                      <a:noFill/>
                    </a:ln>
                  </pic:spPr>
                </pic:pic>
              </a:graphicData>
            </a:graphic>
          </wp:inline>
        </w:drawing>
      </w:r>
    </w:p>
    <w:p w14:paraId="2CDA9888" w14:textId="77777777" w:rsidR="00220112" w:rsidRDefault="00C96430">
      <w:pPr>
        <w:pStyle w:val="FirstParagraph"/>
        <w:jc w:val="both"/>
        <w:rPr>
          <w:color w:val="36363D"/>
        </w:rPr>
      </w:pPr>
      <w:r>
        <w:rPr>
          <w:color w:val="36363D"/>
        </w:rPr>
        <w:t xml:space="preserve">The integration of sustainably synthesized nanomaterials in battery systems presents both opportunities and challenges. Lithium-ion batteries (LIBs) have become the most favorable choice of energy </w:t>
      </w:r>
      <w:r>
        <w:rPr>
          <w:color w:val="36363D"/>
        </w:rPr>
        <w:t>storage (Smith et al., 2024), creating substantial demand for sustainable electrode materials that can meet performance requirements while reducing environmental impact.</w:t>
      </w:r>
    </w:p>
    <w:p w14:paraId="591A5858" w14:textId="77777777" w:rsidR="00220112" w:rsidRDefault="00C96430">
      <w:pPr>
        <w:pStyle w:val="BodyText"/>
        <w:jc w:val="both"/>
        <w:rPr>
          <w:color w:val="36363D"/>
        </w:rPr>
      </w:pPr>
      <w:r>
        <w:rPr>
          <w:color w:val="36363D"/>
        </w:rPr>
        <w:t>Biomass-derived carbon materials demonstrate exceptional performance as anode material</w:t>
      </w:r>
      <w:r>
        <w:rPr>
          <w:color w:val="36363D"/>
        </w:rPr>
        <w:t>s in lithium-ion batteries, often exceeding the theoretical capacity of graphite through additional pseudocapacitive contributions. The natural heteroatom content provides active sites for lithium ion interaction while maintaining structural stability duri</w:t>
      </w:r>
      <w:r>
        <w:rPr>
          <w:color w:val="36363D"/>
        </w:rPr>
        <w:t>ng cycling. These materials offer particular advantages in high-power applications where rapid charge-discharge capability is essential.</w:t>
      </w:r>
    </w:p>
    <w:p w14:paraId="62BC17FC" w14:textId="77777777" w:rsidR="00220112" w:rsidRDefault="00C96430">
      <w:pPr>
        <w:pStyle w:val="BodyText"/>
        <w:jc w:val="both"/>
        <w:rPr>
          <w:color w:val="36363D"/>
        </w:rPr>
      </w:pPr>
      <w:r>
        <w:rPr>
          <w:color w:val="36363D"/>
        </w:rPr>
        <w:t>Sodium-ion batteries represent an emerging technology where sustainable nanomaterials show exceptional promise. The abu</w:t>
      </w:r>
      <w:r>
        <w:rPr>
          <w:color w:val="36363D"/>
        </w:rPr>
        <w:t xml:space="preserve">ndance and low cost of sodium resources align well with sustainability principles, while biomass-derived carbon materials demonstrate excellent compatibility with sodium ion chemistry. The </w:t>
      </w:r>
      <w:r>
        <w:rPr>
          <w:color w:val="36363D"/>
        </w:rPr>
        <w:lastRenderedPageBreak/>
        <w:t xml:space="preserve">larger ionic radius of sodium requires expanded interlayer spacing </w:t>
      </w:r>
      <w:r>
        <w:rPr>
          <w:color w:val="36363D"/>
        </w:rPr>
        <w:t>that can be naturally achieved through biomass-derived carbon structures.</w:t>
      </w:r>
    </w:p>
    <w:p w14:paraId="64F10D97" w14:textId="77777777" w:rsidR="00220112" w:rsidRDefault="00C96430">
      <w:pPr>
        <w:pStyle w:val="Heading31"/>
        <w:jc w:val="both"/>
        <w:rPr>
          <w:color w:val="36363D"/>
        </w:rPr>
      </w:pPr>
      <w:bookmarkStart w:id="21" w:name="X70e06ea49eb242921ebe61a58e4526ec5ef001c"/>
      <w:bookmarkEnd w:id="20"/>
      <w:r>
        <w:rPr>
          <w:color w:val="36363D"/>
        </w:rPr>
        <w:t>5.2 Supercapacitor Technologies: Power and Energy Density Balance</w:t>
      </w:r>
    </w:p>
    <w:p w14:paraId="0EA33B0A" w14:textId="77777777" w:rsidR="00220112" w:rsidRDefault="00C96430">
      <w:pPr>
        <w:pStyle w:val="FirstParagraph"/>
        <w:jc w:val="both"/>
        <w:rPr>
          <w:color w:val="36363D"/>
        </w:rPr>
      </w:pPr>
      <w:r>
        <w:rPr>
          <w:color w:val="36363D"/>
        </w:rPr>
        <w:t>Biomass-derived carbons are eco-friendly and sustainable materials, making them ideal for supercapacitors due to the</w:t>
      </w:r>
      <w:r>
        <w:rPr>
          <w:color w:val="36363D"/>
        </w:rPr>
        <w:t>ir high surface area, excellent conductivity, cost-effectiveness (Zhu et al., 2025). The development of high-performance supercapacitors using sustainable nanomaterials represents a significant technological achievement, demonstrating that environmental re</w:t>
      </w:r>
      <w:r>
        <w:rPr>
          <w:color w:val="36363D"/>
        </w:rPr>
        <w:t>sponsibility and exceptional performance are not mutually exclusive.</w:t>
      </w:r>
    </w:p>
    <w:p w14:paraId="271CB8AA" w14:textId="77777777" w:rsidR="00220112" w:rsidRDefault="00C96430">
      <w:pPr>
        <w:pStyle w:val="BodyText"/>
        <w:jc w:val="both"/>
        <w:rPr>
          <w:color w:val="36363D"/>
        </w:rPr>
      </w:pPr>
      <w:r>
        <w:rPr>
          <w:color w:val="36363D"/>
        </w:rPr>
        <w:t>The hierarchical pore structure naturally present in biomass-derived materials provides optimal conditions for electrolyte ion accessibility while maintaining high electrical conductivity</w:t>
      </w:r>
      <w:r>
        <w:rPr>
          <w:color w:val="36363D"/>
        </w:rPr>
        <w:t>. Sulfur doping (with around 7% sulfur content) radically increases these properties (Brzezinski et al., 2024), demonstrating how natural heteroatom incorporation can enhance performance beyond conventional materials.</w:t>
      </w:r>
    </w:p>
    <w:p w14:paraId="13E516EB" w14:textId="77777777" w:rsidR="00220112" w:rsidRDefault="00C96430">
      <w:pPr>
        <w:pStyle w:val="BodyText"/>
        <w:jc w:val="both"/>
        <w:rPr>
          <w:color w:val="36363D"/>
        </w:rPr>
      </w:pPr>
      <w:r>
        <w:rPr>
          <w:b/>
          <w:bCs/>
          <w:color w:val="36363D"/>
        </w:rPr>
        <w:t>Table 3: Comparative Performance Analy</w:t>
      </w:r>
      <w:r>
        <w:rPr>
          <w:b/>
          <w:bCs/>
          <w:color w:val="36363D"/>
        </w:rPr>
        <w:t>sis of Sustainable Energy Storage Materials</w:t>
      </w:r>
    </w:p>
    <w:tbl>
      <w:tblPr>
        <w:tblStyle w:val="Table"/>
        <w:tblW w:w="0" w:type="auto"/>
        <w:tblInd w:w="0" w:type="dxa"/>
        <w:tblLayout w:type="fixed"/>
        <w:tblLook w:val="04A0" w:firstRow="1" w:lastRow="0" w:firstColumn="1" w:lastColumn="0" w:noHBand="0" w:noVBand="1"/>
      </w:tblPr>
      <w:tblGrid>
        <w:gridCol w:w="1771"/>
        <w:gridCol w:w="1525"/>
        <w:gridCol w:w="1259"/>
        <w:gridCol w:w="1122"/>
        <w:gridCol w:w="1173"/>
        <w:gridCol w:w="1669"/>
      </w:tblGrid>
      <w:tr w:rsidR="00220112" w14:paraId="14CA892F" w14:textId="77777777" w:rsidTr="00220112">
        <w:trPr>
          <w:cnfStyle w:val="100000000000" w:firstRow="1" w:lastRow="0" w:firstColumn="0" w:lastColumn="0" w:oddVBand="0" w:evenVBand="0" w:oddHBand="0" w:evenHBand="0" w:firstRowFirstColumn="0" w:firstRowLastColumn="0" w:lastRowFirstColumn="0" w:lastRowLastColumn="0"/>
          <w:tblHeader/>
        </w:trPr>
        <w:tc>
          <w:tcPr>
            <w:tcW w:w="1771" w:type="dxa"/>
            <w:tcBorders>
              <w:top w:val="single" w:sz="8" w:space="0" w:color="000000"/>
              <w:left w:val="single" w:sz="8" w:space="0" w:color="000000"/>
              <w:bottom w:val="single" w:sz="8" w:space="0" w:color="000000"/>
              <w:right w:val="single" w:sz="8" w:space="0" w:color="000000"/>
            </w:tcBorders>
            <w:shd w:val="clear" w:color="auto" w:fill="FFFFFF"/>
          </w:tcPr>
          <w:p w14:paraId="56AD01F2" w14:textId="77777777" w:rsidR="00220112" w:rsidRDefault="00C96430">
            <w:pPr>
              <w:pStyle w:val="Compact"/>
              <w:jc w:val="both"/>
              <w:rPr>
                <w:color w:val="000000"/>
              </w:rPr>
            </w:pPr>
            <w:r>
              <w:rPr>
                <w:color w:val="000000"/>
              </w:rPr>
              <w:t>Device Type</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Pr>
          <w:p w14:paraId="4630932E" w14:textId="77777777" w:rsidR="00220112" w:rsidRDefault="00C96430">
            <w:pPr>
              <w:pStyle w:val="Compact"/>
              <w:jc w:val="both"/>
              <w:rPr>
                <w:color w:val="000000"/>
              </w:rPr>
            </w:pPr>
            <w:r>
              <w:rPr>
                <w:color w:val="000000"/>
              </w:rPr>
              <w:t>Material</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Pr>
          <w:p w14:paraId="508B25A0" w14:textId="77777777" w:rsidR="00220112" w:rsidRDefault="00C96430">
            <w:pPr>
              <w:pStyle w:val="Compact"/>
              <w:jc w:val="both"/>
              <w:rPr>
                <w:color w:val="000000"/>
              </w:rPr>
            </w:pPr>
            <w:r>
              <w:rPr>
                <w:color w:val="000000"/>
              </w:rPr>
              <w:t>Energy Density (</w:t>
            </w:r>
            <w:proofErr w:type="spellStart"/>
            <w:r>
              <w:rPr>
                <w:color w:val="000000"/>
              </w:rPr>
              <w:t>Wh</w:t>
            </w:r>
            <w:proofErr w:type="spellEnd"/>
            <w:r>
              <w:rPr>
                <w:color w:val="000000"/>
              </w:rPr>
              <w:t>/kg)</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Pr>
          <w:p w14:paraId="052F43C5" w14:textId="77777777" w:rsidR="00220112" w:rsidRDefault="00C96430">
            <w:pPr>
              <w:pStyle w:val="Compact"/>
              <w:jc w:val="both"/>
              <w:rPr>
                <w:color w:val="000000"/>
              </w:rPr>
            </w:pPr>
            <w:r>
              <w:rPr>
                <w:color w:val="000000"/>
              </w:rPr>
              <w:t>Power Density (W/kg)</w:t>
            </w:r>
          </w:p>
        </w:tc>
        <w:tc>
          <w:tcPr>
            <w:tcW w:w="1173" w:type="dxa"/>
            <w:tcBorders>
              <w:top w:val="single" w:sz="8" w:space="0" w:color="000000"/>
              <w:left w:val="single" w:sz="8" w:space="0" w:color="000000"/>
              <w:bottom w:val="single" w:sz="8" w:space="0" w:color="000000"/>
              <w:right w:val="single" w:sz="8" w:space="0" w:color="000000"/>
            </w:tcBorders>
            <w:shd w:val="clear" w:color="auto" w:fill="FFFFFF"/>
          </w:tcPr>
          <w:p w14:paraId="01478B7A" w14:textId="77777777" w:rsidR="00220112" w:rsidRDefault="00C96430">
            <w:pPr>
              <w:pStyle w:val="Compact"/>
              <w:jc w:val="both"/>
              <w:rPr>
                <w:color w:val="000000"/>
              </w:rPr>
            </w:pPr>
            <w:r>
              <w:rPr>
                <w:color w:val="000000"/>
              </w:rPr>
              <w:t>Cost ($/kWh)</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Pr>
          <w:p w14:paraId="30BE6F8F" w14:textId="77777777" w:rsidR="00220112" w:rsidRDefault="00C96430">
            <w:pPr>
              <w:pStyle w:val="Compact"/>
              <w:jc w:val="both"/>
              <w:rPr>
                <w:color w:val="000000"/>
              </w:rPr>
            </w:pPr>
            <w:r>
              <w:rPr>
                <w:color w:val="000000"/>
              </w:rPr>
              <w:t>Sustainability Index</w:t>
            </w:r>
          </w:p>
        </w:tc>
      </w:tr>
      <w:tr w:rsidR="00220112" w14:paraId="3C2EA538" w14:textId="77777777" w:rsidTr="00220112">
        <w:tc>
          <w:tcPr>
            <w:tcW w:w="1771" w:type="dxa"/>
            <w:tcBorders>
              <w:top w:val="single" w:sz="8" w:space="0" w:color="000000"/>
              <w:left w:val="single" w:sz="8" w:space="0" w:color="000000"/>
              <w:bottom w:val="single" w:sz="8" w:space="0" w:color="000000"/>
              <w:right w:val="single" w:sz="8" w:space="0" w:color="000000"/>
            </w:tcBorders>
            <w:shd w:val="clear" w:color="auto" w:fill="FFFFFF"/>
          </w:tcPr>
          <w:p w14:paraId="38FD92F3" w14:textId="77777777" w:rsidR="00220112" w:rsidRDefault="00C96430">
            <w:pPr>
              <w:pStyle w:val="Compact"/>
              <w:jc w:val="both"/>
              <w:rPr>
                <w:color w:val="000000"/>
              </w:rPr>
            </w:pPr>
            <w:r>
              <w:rPr>
                <w:color w:val="000000"/>
              </w:rPr>
              <w:t>Li-ion Battery</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Pr>
          <w:p w14:paraId="72FB3F51" w14:textId="77777777" w:rsidR="00220112" w:rsidRDefault="00C96430">
            <w:pPr>
              <w:pStyle w:val="Compact"/>
              <w:jc w:val="both"/>
              <w:rPr>
                <w:color w:val="000000"/>
              </w:rPr>
            </w:pPr>
            <w:r>
              <w:rPr>
                <w:color w:val="000000"/>
              </w:rPr>
              <w:t>Commercial Graphite</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Pr>
          <w:p w14:paraId="2BB8F014" w14:textId="77777777" w:rsidR="00220112" w:rsidRDefault="00C96430">
            <w:pPr>
              <w:pStyle w:val="Compact"/>
              <w:jc w:val="both"/>
              <w:rPr>
                <w:color w:val="000000"/>
              </w:rPr>
            </w:pPr>
            <w:r>
              <w:rPr>
                <w:color w:val="000000"/>
              </w:rPr>
              <w:t>150-200</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Pr>
          <w:p w14:paraId="70DEE73C" w14:textId="77777777" w:rsidR="00220112" w:rsidRDefault="00C96430">
            <w:pPr>
              <w:pStyle w:val="Compact"/>
              <w:jc w:val="both"/>
              <w:rPr>
                <w:color w:val="000000"/>
              </w:rPr>
            </w:pPr>
            <w:r>
              <w:rPr>
                <w:color w:val="000000"/>
              </w:rPr>
              <w:t>200-500</w:t>
            </w:r>
          </w:p>
        </w:tc>
        <w:tc>
          <w:tcPr>
            <w:tcW w:w="1173" w:type="dxa"/>
            <w:tcBorders>
              <w:top w:val="single" w:sz="8" w:space="0" w:color="000000"/>
              <w:left w:val="single" w:sz="8" w:space="0" w:color="000000"/>
              <w:bottom w:val="single" w:sz="8" w:space="0" w:color="000000"/>
              <w:right w:val="single" w:sz="8" w:space="0" w:color="000000"/>
            </w:tcBorders>
            <w:shd w:val="clear" w:color="auto" w:fill="FFFFFF"/>
          </w:tcPr>
          <w:p w14:paraId="3259DCF0" w14:textId="77777777" w:rsidR="00220112" w:rsidRDefault="00C96430">
            <w:pPr>
              <w:pStyle w:val="Compact"/>
              <w:jc w:val="both"/>
              <w:rPr>
                <w:color w:val="000000"/>
              </w:rPr>
            </w:pPr>
            <w:r>
              <w:rPr>
                <w:color w:val="000000"/>
              </w:rPr>
              <w:t>150-200</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Pr>
          <w:p w14:paraId="3C7DABA5" w14:textId="77777777" w:rsidR="00220112" w:rsidRDefault="00C96430">
            <w:pPr>
              <w:pStyle w:val="Compact"/>
              <w:jc w:val="both"/>
              <w:rPr>
                <w:color w:val="000000"/>
              </w:rPr>
            </w:pPr>
            <w:r>
              <w:rPr>
                <w:color w:val="000000"/>
              </w:rPr>
              <w:t>0.4</w:t>
            </w:r>
          </w:p>
        </w:tc>
      </w:tr>
      <w:tr w:rsidR="00220112" w14:paraId="0CDB4CBC" w14:textId="77777777" w:rsidTr="00220112">
        <w:tc>
          <w:tcPr>
            <w:tcW w:w="1771" w:type="dxa"/>
            <w:tcBorders>
              <w:top w:val="single" w:sz="8" w:space="0" w:color="000000"/>
              <w:left w:val="single" w:sz="8" w:space="0" w:color="000000"/>
              <w:bottom w:val="single" w:sz="8" w:space="0" w:color="000000"/>
              <w:right w:val="single" w:sz="8" w:space="0" w:color="000000"/>
            </w:tcBorders>
            <w:shd w:val="clear" w:color="auto" w:fill="FFFFFF"/>
          </w:tcPr>
          <w:p w14:paraId="64852BBC" w14:textId="77777777" w:rsidR="00220112" w:rsidRDefault="00C96430">
            <w:pPr>
              <w:pStyle w:val="Compact"/>
              <w:jc w:val="both"/>
              <w:rPr>
                <w:color w:val="000000"/>
              </w:rPr>
            </w:pPr>
            <w:r>
              <w:rPr>
                <w:color w:val="000000"/>
              </w:rPr>
              <w:t>Li-ion Battery</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Pr>
          <w:p w14:paraId="63EBB5B1" w14:textId="77777777" w:rsidR="00220112" w:rsidRDefault="00C96430">
            <w:pPr>
              <w:pStyle w:val="Compact"/>
              <w:jc w:val="both"/>
              <w:rPr>
                <w:color w:val="000000"/>
              </w:rPr>
            </w:pPr>
            <w:r>
              <w:rPr>
                <w:color w:val="000000"/>
              </w:rPr>
              <w:t>Bio-Carbon Anode</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Pr>
          <w:p w14:paraId="64A644CE" w14:textId="77777777" w:rsidR="00220112" w:rsidRDefault="00C96430">
            <w:pPr>
              <w:pStyle w:val="Compact"/>
              <w:jc w:val="both"/>
              <w:rPr>
                <w:color w:val="000000"/>
              </w:rPr>
            </w:pPr>
            <w:r>
              <w:rPr>
                <w:color w:val="000000"/>
              </w:rPr>
              <w:t>180-220</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Pr>
          <w:p w14:paraId="59AA7631" w14:textId="77777777" w:rsidR="00220112" w:rsidRDefault="00C96430">
            <w:pPr>
              <w:pStyle w:val="Compact"/>
              <w:jc w:val="both"/>
              <w:rPr>
                <w:color w:val="000000"/>
              </w:rPr>
            </w:pPr>
            <w:r>
              <w:rPr>
                <w:color w:val="000000"/>
              </w:rPr>
              <w:t>300-600</w:t>
            </w:r>
          </w:p>
        </w:tc>
        <w:tc>
          <w:tcPr>
            <w:tcW w:w="1173" w:type="dxa"/>
            <w:tcBorders>
              <w:top w:val="single" w:sz="8" w:space="0" w:color="000000"/>
              <w:left w:val="single" w:sz="8" w:space="0" w:color="000000"/>
              <w:bottom w:val="single" w:sz="8" w:space="0" w:color="000000"/>
              <w:right w:val="single" w:sz="8" w:space="0" w:color="000000"/>
            </w:tcBorders>
            <w:shd w:val="clear" w:color="auto" w:fill="FFFFFF"/>
          </w:tcPr>
          <w:p w14:paraId="7B850A18" w14:textId="77777777" w:rsidR="00220112" w:rsidRDefault="00C96430">
            <w:pPr>
              <w:pStyle w:val="Compact"/>
              <w:jc w:val="both"/>
              <w:rPr>
                <w:color w:val="000000"/>
              </w:rPr>
            </w:pPr>
            <w:r>
              <w:rPr>
                <w:color w:val="000000"/>
              </w:rPr>
              <w:t>120-180</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Pr>
          <w:p w14:paraId="39E121D2" w14:textId="77777777" w:rsidR="00220112" w:rsidRDefault="00C96430">
            <w:pPr>
              <w:pStyle w:val="Compact"/>
              <w:jc w:val="both"/>
              <w:rPr>
                <w:color w:val="000000"/>
              </w:rPr>
            </w:pPr>
            <w:r>
              <w:rPr>
                <w:color w:val="000000"/>
              </w:rPr>
              <w:t>0.8</w:t>
            </w:r>
          </w:p>
        </w:tc>
      </w:tr>
      <w:tr w:rsidR="00220112" w14:paraId="0CE33CA7" w14:textId="77777777" w:rsidTr="00220112">
        <w:tc>
          <w:tcPr>
            <w:tcW w:w="1771" w:type="dxa"/>
            <w:tcBorders>
              <w:top w:val="single" w:sz="8" w:space="0" w:color="000000"/>
              <w:left w:val="single" w:sz="8" w:space="0" w:color="000000"/>
              <w:bottom w:val="single" w:sz="8" w:space="0" w:color="000000"/>
              <w:right w:val="single" w:sz="8" w:space="0" w:color="000000"/>
            </w:tcBorders>
            <w:shd w:val="clear" w:color="auto" w:fill="FFFFFF"/>
          </w:tcPr>
          <w:p w14:paraId="541B7ACC" w14:textId="77777777" w:rsidR="00220112" w:rsidRDefault="00C96430">
            <w:pPr>
              <w:pStyle w:val="Compact"/>
              <w:jc w:val="both"/>
              <w:rPr>
                <w:color w:val="000000"/>
              </w:rPr>
            </w:pPr>
            <w:r>
              <w:rPr>
                <w:color w:val="000000"/>
              </w:rPr>
              <w:t>Supercapacitor</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Pr>
          <w:p w14:paraId="3D42CE49" w14:textId="77777777" w:rsidR="00220112" w:rsidRDefault="00C96430">
            <w:pPr>
              <w:pStyle w:val="Compact"/>
              <w:jc w:val="both"/>
              <w:rPr>
                <w:color w:val="000000"/>
              </w:rPr>
            </w:pPr>
            <w:r>
              <w:rPr>
                <w:color w:val="000000"/>
              </w:rPr>
              <w:t>Activated Carbon</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Pr>
          <w:p w14:paraId="46F088C2" w14:textId="77777777" w:rsidR="00220112" w:rsidRDefault="00C96430">
            <w:pPr>
              <w:pStyle w:val="Compact"/>
              <w:jc w:val="both"/>
              <w:rPr>
                <w:color w:val="000000"/>
              </w:rPr>
            </w:pPr>
            <w:r>
              <w:rPr>
                <w:color w:val="000000"/>
              </w:rPr>
              <w:t>5-10</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Pr>
          <w:p w14:paraId="14BB43D6" w14:textId="77777777" w:rsidR="00220112" w:rsidRDefault="00C96430">
            <w:pPr>
              <w:pStyle w:val="Compact"/>
              <w:jc w:val="both"/>
              <w:rPr>
                <w:color w:val="000000"/>
              </w:rPr>
            </w:pPr>
            <w:r>
              <w:rPr>
                <w:color w:val="000000"/>
              </w:rPr>
              <w:t>1000-5000</w:t>
            </w:r>
          </w:p>
        </w:tc>
        <w:tc>
          <w:tcPr>
            <w:tcW w:w="1173" w:type="dxa"/>
            <w:tcBorders>
              <w:top w:val="single" w:sz="8" w:space="0" w:color="000000"/>
              <w:left w:val="single" w:sz="8" w:space="0" w:color="000000"/>
              <w:bottom w:val="single" w:sz="8" w:space="0" w:color="000000"/>
              <w:right w:val="single" w:sz="8" w:space="0" w:color="000000"/>
            </w:tcBorders>
            <w:shd w:val="clear" w:color="auto" w:fill="FFFFFF"/>
          </w:tcPr>
          <w:p w14:paraId="6F26158C" w14:textId="77777777" w:rsidR="00220112" w:rsidRDefault="00C96430">
            <w:pPr>
              <w:pStyle w:val="Compact"/>
              <w:jc w:val="both"/>
              <w:rPr>
                <w:color w:val="000000"/>
              </w:rPr>
            </w:pPr>
            <w:r>
              <w:rPr>
                <w:color w:val="000000"/>
              </w:rPr>
              <w:t>80-120</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Pr>
          <w:p w14:paraId="23158D87" w14:textId="77777777" w:rsidR="00220112" w:rsidRDefault="00C96430">
            <w:pPr>
              <w:pStyle w:val="Compact"/>
              <w:jc w:val="both"/>
              <w:rPr>
                <w:color w:val="000000"/>
              </w:rPr>
            </w:pPr>
            <w:r>
              <w:rPr>
                <w:color w:val="000000"/>
              </w:rPr>
              <w:t>0.5</w:t>
            </w:r>
          </w:p>
        </w:tc>
      </w:tr>
      <w:tr w:rsidR="00220112" w14:paraId="2ECF739A" w14:textId="77777777" w:rsidTr="00220112">
        <w:tc>
          <w:tcPr>
            <w:tcW w:w="1771" w:type="dxa"/>
            <w:tcBorders>
              <w:top w:val="single" w:sz="8" w:space="0" w:color="000000"/>
              <w:left w:val="single" w:sz="8" w:space="0" w:color="000000"/>
              <w:bottom w:val="single" w:sz="8" w:space="0" w:color="000000"/>
              <w:right w:val="single" w:sz="8" w:space="0" w:color="000000"/>
            </w:tcBorders>
            <w:shd w:val="clear" w:color="auto" w:fill="FFFFFF"/>
          </w:tcPr>
          <w:p w14:paraId="049A8686" w14:textId="77777777" w:rsidR="00220112" w:rsidRDefault="00C96430">
            <w:pPr>
              <w:pStyle w:val="Compact"/>
              <w:jc w:val="both"/>
              <w:rPr>
                <w:color w:val="000000"/>
              </w:rPr>
            </w:pPr>
            <w:r>
              <w:rPr>
                <w:color w:val="000000"/>
              </w:rPr>
              <w:t>Supercapacitor</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Pr>
          <w:p w14:paraId="37276A78" w14:textId="77777777" w:rsidR="00220112" w:rsidRDefault="00C96430">
            <w:pPr>
              <w:pStyle w:val="Compact"/>
              <w:jc w:val="both"/>
              <w:rPr>
                <w:color w:val="000000"/>
              </w:rPr>
            </w:pPr>
            <w:r>
              <w:rPr>
                <w:color w:val="000000"/>
              </w:rPr>
              <w:t>Biomass Carbon</w:t>
            </w:r>
          </w:p>
        </w:tc>
        <w:tc>
          <w:tcPr>
            <w:tcW w:w="1259" w:type="dxa"/>
            <w:tcBorders>
              <w:top w:val="single" w:sz="8" w:space="0" w:color="000000"/>
              <w:left w:val="single" w:sz="8" w:space="0" w:color="000000"/>
              <w:bottom w:val="single" w:sz="8" w:space="0" w:color="000000"/>
              <w:right w:val="single" w:sz="8" w:space="0" w:color="000000"/>
            </w:tcBorders>
            <w:shd w:val="clear" w:color="auto" w:fill="FFFFFF"/>
          </w:tcPr>
          <w:p w14:paraId="7E2C4260" w14:textId="77777777" w:rsidR="00220112" w:rsidRDefault="00C96430">
            <w:pPr>
              <w:pStyle w:val="Compact"/>
              <w:jc w:val="both"/>
              <w:rPr>
                <w:color w:val="000000"/>
              </w:rPr>
            </w:pPr>
            <w:r>
              <w:rPr>
                <w:color w:val="000000"/>
              </w:rPr>
              <w:t>8-15</w:t>
            </w:r>
          </w:p>
        </w:tc>
        <w:tc>
          <w:tcPr>
            <w:tcW w:w="1122" w:type="dxa"/>
            <w:tcBorders>
              <w:top w:val="single" w:sz="8" w:space="0" w:color="000000"/>
              <w:left w:val="single" w:sz="8" w:space="0" w:color="000000"/>
              <w:bottom w:val="single" w:sz="8" w:space="0" w:color="000000"/>
              <w:right w:val="single" w:sz="8" w:space="0" w:color="000000"/>
            </w:tcBorders>
            <w:shd w:val="clear" w:color="auto" w:fill="FFFFFF"/>
          </w:tcPr>
          <w:p w14:paraId="02FB5357" w14:textId="77777777" w:rsidR="00220112" w:rsidRDefault="00C96430">
            <w:pPr>
              <w:pStyle w:val="Compact"/>
              <w:jc w:val="both"/>
              <w:rPr>
                <w:color w:val="000000"/>
              </w:rPr>
            </w:pPr>
            <w:r>
              <w:rPr>
                <w:color w:val="000000"/>
              </w:rPr>
              <w:t>1500-6000</w:t>
            </w:r>
          </w:p>
        </w:tc>
        <w:tc>
          <w:tcPr>
            <w:tcW w:w="1173" w:type="dxa"/>
            <w:tcBorders>
              <w:top w:val="single" w:sz="8" w:space="0" w:color="000000"/>
              <w:left w:val="single" w:sz="8" w:space="0" w:color="000000"/>
              <w:bottom w:val="single" w:sz="8" w:space="0" w:color="000000"/>
              <w:right w:val="single" w:sz="8" w:space="0" w:color="000000"/>
            </w:tcBorders>
            <w:shd w:val="clear" w:color="auto" w:fill="FFFFFF"/>
          </w:tcPr>
          <w:p w14:paraId="7EB8EAD2" w14:textId="77777777" w:rsidR="00220112" w:rsidRDefault="00C96430">
            <w:pPr>
              <w:pStyle w:val="Compact"/>
              <w:jc w:val="both"/>
              <w:rPr>
                <w:color w:val="000000"/>
              </w:rPr>
            </w:pPr>
            <w:r>
              <w:rPr>
                <w:color w:val="000000"/>
              </w:rPr>
              <w:t>60-100</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Pr>
          <w:p w14:paraId="17157FAB" w14:textId="77777777" w:rsidR="00220112" w:rsidRDefault="00C96430">
            <w:pPr>
              <w:pStyle w:val="Compact"/>
              <w:jc w:val="both"/>
              <w:rPr>
                <w:color w:val="000000"/>
              </w:rPr>
            </w:pPr>
            <w:r>
              <w:rPr>
                <w:color w:val="000000"/>
              </w:rPr>
              <w:t>0.9</w:t>
            </w:r>
          </w:p>
        </w:tc>
      </w:tr>
    </w:tbl>
    <w:p w14:paraId="6792A26D" w14:textId="77777777" w:rsidR="00220112" w:rsidRDefault="00C96430">
      <w:pPr>
        <w:pStyle w:val="Heading31"/>
        <w:jc w:val="both"/>
        <w:rPr>
          <w:color w:val="36363D"/>
        </w:rPr>
      </w:pPr>
      <w:bookmarkStart w:id="22" w:name="X6163ca7c9060bdb3dc5a5f41413d87c138dbed4"/>
      <w:bookmarkEnd w:id="21"/>
      <w:r>
        <w:rPr>
          <w:color w:val="36363D"/>
        </w:rPr>
        <w:t>5.3 Emerging Energy Storage Systems</w:t>
      </w:r>
    </w:p>
    <w:p w14:paraId="7F6E145F" w14:textId="77777777" w:rsidR="00220112" w:rsidRDefault="00C96430">
      <w:pPr>
        <w:pStyle w:val="FirstParagraph"/>
        <w:jc w:val="both"/>
        <w:rPr>
          <w:color w:val="36363D"/>
        </w:rPr>
      </w:pPr>
      <w:r>
        <w:rPr>
          <w:color w:val="36363D"/>
        </w:rPr>
        <w:t xml:space="preserve">The application of sustainable nanomaterials extends beyond conventional battery and </w:t>
      </w:r>
      <w:r>
        <w:rPr>
          <w:color w:val="36363D"/>
        </w:rPr>
        <w:t>supercapacitor technologies to emerging systems including metal-air batteries and hydrogen storage applications. These next-generation technologies require materials with unique properties that can often be achieved through sustainable synthesis routes.</w:t>
      </w:r>
    </w:p>
    <w:p w14:paraId="3D108C7A" w14:textId="77777777" w:rsidR="00220112" w:rsidRDefault="00C96430">
      <w:pPr>
        <w:pStyle w:val="BodyText"/>
        <w:jc w:val="both"/>
        <w:rPr>
          <w:color w:val="36363D"/>
        </w:rPr>
      </w:pPr>
      <w:r>
        <w:rPr>
          <w:color w:val="36363D"/>
        </w:rPr>
        <w:t>Me</w:t>
      </w:r>
      <w:r>
        <w:rPr>
          <w:color w:val="36363D"/>
        </w:rPr>
        <w:t xml:space="preserve">tal-air batteries, particularly zinc-air and aluminum-air systems, require high-performance air cathodes with excellent oxygen reduction reaction activity. </w:t>
      </w:r>
      <w:r>
        <w:rPr>
          <w:color w:val="36363D"/>
        </w:rPr>
        <w:lastRenderedPageBreak/>
        <w:t>Biomass-derived carbon materials with natural nitrogen doping demonstrate exceptional catalytic acti</w:t>
      </w:r>
      <w:r>
        <w:rPr>
          <w:color w:val="36363D"/>
        </w:rPr>
        <w:t>vity while providing the structural stability required for long-term operation.</w:t>
      </w:r>
    </w:p>
    <w:p w14:paraId="3EEA09D9" w14:textId="77777777" w:rsidR="00220112" w:rsidRDefault="00C96430">
      <w:pPr>
        <w:pStyle w:val="Heading21"/>
        <w:jc w:val="both"/>
        <w:rPr>
          <w:color w:val="36363D"/>
        </w:rPr>
      </w:pPr>
      <w:bookmarkStart w:id="23" w:name="X1ae23b2e2a363f88264123974cdc3d081afc31f"/>
      <w:bookmarkEnd w:id="19"/>
      <w:bookmarkEnd w:id="22"/>
      <w:r>
        <w:rPr>
          <w:color w:val="36363D"/>
        </w:rPr>
        <w:t>6. Economic and Environmental Impact Assessment</w:t>
      </w:r>
    </w:p>
    <w:p w14:paraId="3388A865" w14:textId="77777777" w:rsidR="00220112" w:rsidRDefault="00C96430">
      <w:pPr>
        <w:pStyle w:val="Heading31"/>
        <w:jc w:val="both"/>
        <w:rPr>
          <w:color w:val="36363D"/>
        </w:rPr>
      </w:pPr>
      <w:bookmarkStart w:id="24" w:name="X58620f9156c5f2229b34ba844abf488904996f4"/>
      <w:r>
        <w:rPr>
          <w:color w:val="36363D"/>
        </w:rPr>
        <w:t>6.1 Life-Cycle Analysis of Sustainable Synthesis Routes</w:t>
      </w:r>
    </w:p>
    <w:p w14:paraId="1CB0E703" w14:textId="77777777" w:rsidR="00220112" w:rsidRDefault="00C96430">
      <w:pPr>
        <w:pStyle w:val="FirstParagraph"/>
        <w:jc w:val="both"/>
        <w:rPr>
          <w:color w:val="36363D"/>
        </w:rPr>
      </w:pPr>
      <w:r>
        <w:rPr>
          <w:color w:val="36363D"/>
        </w:rPr>
        <w:t>The comprehensive environmental impact assessment of sustainable nanomat</w:t>
      </w:r>
      <w:r>
        <w:rPr>
          <w:color w:val="36363D"/>
        </w:rPr>
        <w:t>erial synthesis requires detailed life-cycle analysis considering raw material extraction, processing, use phase, and end-of-life scenarios. Biomass feedstocks offer inherent advantages through carbon neutrality and renewable sourcing, but processing requi</w:t>
      </w:r>
      <w:r>
        <w:rPr>
          <w:color w:val="36363D"/>
        </w:rPr>
        <w:t>rements must be carefully optimized to maximize environmental benefits.</w:t>
      </w:r>
    </w:p>
    <w:p w14:paraId="499B1A08" w14:textId="77777777" w:rsidR="00220112" w:rsidRDefault="00C96430">
      <w:pPr>
        <w:pStyle w:val="BodyText"/>
        <w:jc w:val="both"/>
        <w:rPr>
          <w:color w:val="36363D"/>
        </w:rPr>
      </w:pPr>
      <w:r>
        <w:rPr>
          <w:color w:val="36363D"/>
        </w:rPr>
        <w:t xml:space="preserve">Energy consumption analysis reveals that sustainable synthesis routes typically require 40-60% less energy than conventional methods while producing comparable or superior materials. </w:t>
      </w:r>
      <w:r>
        <w:rPr>
          <w:color w:val="36363D"/>
        </w:rPr>
        <w:t>The elimination of high-temperature processing and toxic chemicals significantly reduces both direct energy requirements and indirect environmental impact through reduced waste treatment needs.</w:t>
      </w:r>
    </w:p>
    <w:p w14:paraId="5E428ABB" w14:textId="77777777" w:rsidR="00220112" w:rsidRDefault="00C96430">
      <w:pPr>
        <w:pStyle w:val="BodyText"/>
        <w:jc w:val="both"/>
        <w:rPr>
          <w:color w:val="36363D"/>
        </w:rPr>
      </w:pPr>
      <w:r>
        <w:rPr>
          <w:b/>
          <w:bCs/>
          <w:color w:val="36363D"/>
        </w:rPr>
        <w:t>Table 4: Environmental Impact Comparison of Synthesis Methods</w:t>
      </w:r>
    </w:p>
    <w:tbl>
      <w:tblPr>
        <w:tblStyle w:val="Table"/>
        <w:tblW w:w="0" w:type="auto"/>
        <w:tblInd w:w="0" w:type="dxa"/>
        <w:tblLayout w:type="fixed"/>
        <w:tblLook w:val="04A0" w:firstRow="1" w:lastRow="0" w:firstColumn="1" w:lastColumn="0" w:noHBand="0" w:noVBand="1"/>
      </w:tblPr>
      <w:tblGrid>
        <w:gridCol w:w="1622"/>
        <w:gridCol w:w="1744"/>
        <w:gridCol w:w="1457"/>
        <w:gridCol w:w="1031"/>
        <w:gridCol w:w="1579"/>
        <w:gridCol w:w="1086"/>
      </w:tblGrid>
      <w:tr w:rsidR="00220112" w14:paraId="7ACD97C4" w14:textId="77777777" w:rsidTr="00220112">
        <w:trPr>
          <w:cnfStyle w:val="100000000000" w:firstRow="1" w:lastRow="0" w:firstColumn="0" w:lastColumn="0" w:oddVBand="0" w:evenVBand="0" w:oddHBand="0" w:evenHBand="0" w:firstRowFirstColumn="0" w:firstRowLastColumn="0" w:lastRowFirstColumn="0" w:lastRowLastColumn="0"/>
          <w:tblHeader/>
        </w:trPr>
        <w:tc>
          <w:tcPr>
            <w:tcW w:w="1622" w:type="dxa"/>
            <w:tcBorders>
              <w:top w:val="single" w:sz="8" w:space="0" w:color="000000"/>
              <w:left w:val="single" w:sz="8" w:space="0" w:color="000000"/>
              <w:bottom w:val="single" w:sz="8" w:space="0" w:color="000000"/>
              <w:right w:val="single" w:sz="8" w:space="0" w:color="000000"/>
            </w:tcBorders>
            <w:shd w:val="clear" w:color="auto" w:fill="FFFFFF"/>
          </w:tcPr>
          <w:p w14:paraId="39D1225E" w14:textId="77777777" w:rsidR="00220112" w:rsidRDefault="00C96430">
            <w:pPr>
              <w:pStyle w:val="Compact"/>
              <w:jc w:val="both"/>
              <w:rPr>
                <w:color w:val="000000"/>
              </w:rPr>
            </w:pPr>
            <w:r>
              <w:rPr>
                <w:color w:val="000000"/>
              </w:rPr>
              <w:t>Synthesis Route</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27204259" w14:textId="77777777" w:rsidR="00220112" w:rsidRDefault="00C96430">
            <w:pPr>
              <w:pStyle w:val="Compact"/>
              <w:jc w:val="both"/>
              <w:rPr>
                <w:color w:val="000000"/>
              </w:rPr>
            </w:pPr>
            <w:r>
              <w:rPr>
                <w:color w:val="000000"/>
              </w:rPr>
              <w:t>Energy Consumption (MJ/kg)</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Pr>
          <w:p w14:paraId="1B9E0DC7" w14:textId="77777777" w:rsidR="00220112" w:rsidRDefault="00C96430">
            <w:pPr>
              <w:pStyle w:val="Compact"/>
              <w:jc w:val="both"/>
              <w:rPr>
                <w:color w:val="000000"/>
              </w:rPr>
            </w:pPr>
            <w:r>
              <w:rPr>
                <w:color w:val="000000"/>
              </w:rPr>
              <w:t>CO₂ Emissions (kg/kg product)</w:t>
            </w:r>
          </w:p>
        </w:tc>
        <w:tc>
          <w:tcPr>
            <w:tcW w:w="1031" w:type="dxa"/>
            <w:tcBorders>
              <w:top w:val="single" w:sz="8" w:space="0" w:color="000000"/>
              <w:left w:val="single" w:sz="8" w:space="0" w:color="000000"/>
              <w:bottom w:val="single" w:sz="8" w:space="0" w:color="000000"/>
              <w:right w:val="single" w:sz="8" w:space="0" w:color="000000"/>
            </w:tcBorders>
            <w:shd w:val="clear" w:color="auto" w:fill="FFFFFF"/>
          </w:tcPr>
          <w:p w14:paraId="19833CAC" w14:textId="77777777" w:rsidR="00220112" w:rsidRDefault="00C96430">
            <w:pPr>
              <w:pStyle w:val="Compact"/>
              <w:jc w:val="both"/>
              <w:rPr>
                <w:color w:val="000000"/>
              </w:rPr>
            </w:pPr>
            <w:r>
              <w:rPr>
                <w:color w:val="000000"/>
              </w:rPr>
              <w:t>Water Usage (L/kg)</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Pr>
          <w:p w14:paraId="5ABB60DC" w14:textId="77777777" w:rsidR="00220112" w:rsidRDefault="00C96430">
            <w:pPr>
              <w:pStyle w:val="Compact"/>
              <w:jc w:val="both"/>
              <w:rPr>
                <w:color w:val="000000"/>
              </w:rPr>
            </w:pPr>
            <w:r>
              <w:rPr>
                <w:color w:val="000000"/>
              </w:rPr>
              <w:t>Waste Generation (kg/kg product)</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Pr>
          <w:p w14:paraId="617FB19C" w14:textId="77777777" w:rsidR="00220112" w:rsidRDefault="00C96430">
            <w:pPr>
              <w:pStyle w:val="Compact"/>
              <w:jc w:val="both"/>
              <w:rPr>
                <w:color w:val="000000"/>
              </w:rPr>
            </w:pPr>
            <w:r>
              <w:rPr>
                <w:color w:val="000000"/>
              </w:rPr>
              <w:t>Overall Impact Score</w:t>
            </w:r>
          </w:p>
        </w:tc>
      </w:tr>
      <w:tr w:rsidR="00220112" w14:paraId="6D13F943" w14:textId="77777777" w:rsidTr="00220112">
        <w:tc>
          <w:tcPr>
            <w:tcW w:w="1622" w:type="dxa"/>
            <w:tcBorders>
              <w:top w:val="single" w:sz="8" w:space="0" w:color="000000"/>
              <w:left w:val="single" w:sz="8" w:space="0" w:color="000000"/>
              <w:bottom w:val="single" w:sz="8" w:space="0" w:color="000000"/>
              <w:right w:val="single" w:sz="8" w:space="0" w:color="000000"/>
            </w:tcBorders>
            <w:shd w:val="clear" w:color="auto" w:fill="FFFFFF"/>
          </w:tcPr>
          <w:p w14:paraId="3C444233" w14:textId="77777777" w:rsidR="00220112" w:rsidRDefault="00C96430">
            <w:pPr>
              <w:pStyle w:val="Compact"/>
              <w:jc w:val="both"/>
              <w:rPr>
                <w:color w:val="000000"/>
              </w:rPr>
            </w:pPr>
            <w:r>
              <w:rPr>
                <w:color w:val="000000"/>
              </w:rPr>
              <w:t>Conventional CVD</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21AC6C15" w14:textId="77777777" w:rsidR="00220112" w:rsidRDefault="00C96430">
            <w:pPr>
              <w:pStyle w:val="Compact"/>
              <w:jc w:val="both"/>
              <w:rPr>
                <w:color w:val="000000"/>
              </w:rPr>
            </w:pPr>
            <w:r>
              <w:rPr>
                <w:color w:val="000000"/>
              </w:rPr>
              <w:t>180-220</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Pr>
          <w:p w14:paraId="6EBB1507" w14:textId="77777777" w:rsidR="00220112" w:rsidRDefault="00C96430">
            <w:pPr>
              <w:pStyle w:val="Compact"/>
              <w:jc w:val="both"/>
              <w:rPr>
                <w:color w:val="000000"/>
              </w:rPr>
            </w:pPr>
            <w:r>
              <w:rPr>
                <w:color w:val="000000"/>
              </w:rPr>
              <w:t>15-25</w:t>
            </w:r>
          </w:p>
        </w:tc>
        <w:tc>
          <w:tcPr>
            <w:tcW w:w="1031" w:type="dxa"/>
            <w:tcBorders>
              <w:top w:val="single" w:sz="8" w:space="0" w:color="000000"/>
              <w:left w:val="single" w:sz="8" w:space="0" w:color="000000"/>
              <w:bottom w:val="single" w:sz="8" w:space="0" w:color="000000"/>
              <w:right w:val="single" w:sz="8" w:space="0" w:color="000000"/>
            </w:tcBorders>
            <w:shd w:val="clear" w:color="auto" w:fill="FFFFFF"/>
          </w:tcPr>
          <w:p w14:paraId="1A229E9D" w14:textId="77777777" w:rsidR="00220112" w:rsidRDefault="00C96430">
            <w:pPr>
              <w:pStyle w:val="Compact"/>
              <w:jc w:val="both"/>
              <w:rPr>
                <w:color w:val="000000"/>
              </w:rPr>
            </w:pPr>
            <w:r>
              <w:rPr>
                <w:color w:val="000000"/>
              </w:rPr>
              <w:t>50-80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Pr>
          <w:p w14:paraId="3D2BA442" w14:textId="77777777" w:rsidR="00220112" w:rsidRDefault="00C96430">
            <w:pPr>
              <w:pStyle w:val="Compact"/>
              <w:jc w:val="both"/>
              <w:rPr>
                <w:color w:val="000000"/>
              </w:rPr>
            </w:pPr>
            <w:r>
              <w:rPr>
                <w:color w:val="000000"/>
              </w:rPr>
              <w:t>2.5-4.0</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Pr>
          <w:p w14:paraId="4E494CCB" w14:textId="77777777" w:rsidR="00220112" w:rsidRDefault="00C96430">
            <w:pPr>
              <w:pStyle w:val="Compact"/>
              <w:jc w:val="both"/>
              <w:rPr>
                <w:color w:val="000000"/>
              </w:rPr>
            </w:pPr>
            <w:r>
              <w:rPr>
                <w:color w:val="000000"/>
              </w:rPr>
              <w:t>8.5/10 (High)</w:t>
            </w:r>
          </w:p>
        </w:tc>
      </w:tr>
      <w:tr w:rsidR="00220112" w14:paraId="7854F239" w14:textId="77777777" w:rsidTr="00220112">
        <w:tc>
          <w:tcPr>
            <w:tcW w:w="1622" w:type="dxa"/>
            <w:tcBorders>
              <w:top w:val="single" w:sz="8" w:space="0" w:color="000000"/>
              <w:left w:val="single" w:sz="8" w:space="0" w:color="000000"/>
              <w:bottom w:val="single" w:sz="8" w:space="0" w:color="000000"/>
              <w:right w:val="single" w:sz="8" w:space="0" w:color="000000"/>
            </w:tcBorders>
            <w:shd w:val="clear" w:color="auto" w:fill="FFFFFF"/>
          </w:tcPr>
          <w:p w14:paraId="324E604C" w14:textId="77777777" w:rsidR="00220112" w:rsidRDefault="00C96430">
            <w:pPr>
              <w:pStyle w:val="Compact"/>
              <w:jc w:val="both"/>
              <w:rPr>
                <w:color w:val="000000"/>
              </w:rPr>
            </w:pPr>
            <w:r>
              <w:rPr>
                <w:color w:val="000000"/>
              </w:rPr>
              <w:t>Sol-Gel Process</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03D11F40" w14:textId="77777777" w:rsidR="00220112" w:rsidRDefault="00C96430">
            <w:pPr>
              <w:pStyle w:val="Compact"/>
              <w:jc w:val="both"/>
              <w:rPr>
                <w:color w:val="000000"/>
              </w:rPr>
            </w:pPr>
            <w:r>
              <w:rPr>
                <w:color w:val="000000"/>
              </w:rPr>
              <w:t>120-150</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Pr>
          <w:p w14:paraId="08A89359" w14:textId="77777777" w:rsidR="00220112" w:rsidRDefault="00C96430">
            <w:pPr>
              <w:pStyle w:val="Compact"/>
              <w:jc w:val="both"/>
              <w:rPr>
                <w:color w:val="000000"/>
              </w:rPr>
            </w:pPr>
            <w:r>
              <w:rPr>
                <w:color w:val="000000"/>
              </w:rPr>
              <w:t>10-18</w:t>
            </w:r>
          </w:p>
        </w:tc>
        <w:tc>
          <w:tcPr>
            <w:tcW w:w="1031" w:type="dxa"/>
            <w:tcBorders>
              <w:top w:val="single" w:sz="8" w:space="0" w:color="000000"/>
              <w:left w:val="single" w:sz="8" w:space="0" w:color="000000"/>
              <w:bottom w:val="single" w:sz="8" w:space="0" w:color="000000"/>
              <w:right w:val="single" w:sz="8" w:space="0" w:color="000000"/>
            </w:tcBorders>
            <w:shd w:val="clear" w:color="auto" w:fill="FFFFFF"/>
          </w:tcPr>
          <w:p w14:paraId="4629808B" w14:textId="77777777" w:rsidR="00220112" w:rsidRDefault="00C96430">
            <w:pPr>
              <w:pStyle w:val="Compact"/>
              <w:jc w:val="both"/>
              <w:rPr>
                <w:color w:val="000000"/>
              </w:rPr>
            </w:pPr>
            <w:r>
              <w:rPr>
                <w:color w:val="000000"/>
              </w:rPr>
              <w:t>80-120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Pr>
          <w:p w14:paraId="41352BB6" w14:textId="77777777" w:rsidR="00220112" w:rsidRDefault="00C96430">
            <w:pPr>
              <w:pStyle w:val="Compact"/>
              <w:jc w:val="both"/>
              <w:rPr>
                <w:color w:val="000000"/>
              </w:rPr>
            </w:pPr>
            <w:r>
              <w:rPr>
                <w:color w:val="000000"/>
              </w:rPr>
              <w:t>3.0-5.0</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Pr>
          <w:p w14:paraId="2FDACF71" w14:textId="77777777" w:rsidR="00220112" w:rsidRDefault="00C96430">
            <w:pPr>
              <w:pStyle w:val="Compact"/>
              <w:jc w:val="both"/>
              <w:rPr>
                <w:color w:val="000000"/>
              </w:rPr>
            </w:pPr>
            <w:r>
              <w:rPr>
                <w:color w:val="000000"/>
              </w:rPr>
              <w:t>7.2/10 (High)</w:t>
            </w:r>
          </w:p>
        </w:tc>
      </w:tr>
      <w:tr w:rsidR="00220112" w14:paraId="64C80A2C" w14:textId="77777777" w:rsidTr="00220112">
        <w:tc>
          <w:tcPr>
            <w:tcW w:w="1622" w:type="dxa"/>
            <w:tcBorders>
              <w:top w:val="single" w:sz="8" w:space="0" w:color="000000"/>
              <w:left w:val="single" w:sz="8" w:space="0" w:color="000000"/>
              <w:bottom w:val="single" w:sz="8" w:space="0" w:color="000000"/>
              <w:right w:val="single" w:sz="8" w:space="0" w:color="000000"/>
            </w:tcBorders>
            <w:shd w:val="clear" w:color="auto" w:fill="FFFFFF"/>
          </w:tcPr>
          <w:p w14:paraId="6DDD5C2E" w14:textId="77777777" w:rsidR="00220112" w:rsidRDefault="00C96430">
            <w:pPr>
              <w:pStyle w:val="Compact"/>
              <w:jc w:val="both"/>
              <w:rPr>
                <w:color w:val="000000"/>
              </w:rPr>
            </w:pPr>
            <w:r>
              <w:rPr>
                <w:color w:val="000000"/>
              </w:rPr>
              <w:t>Biomass Pyrolysis</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60264B11" w14:textId="77777777" w:rsidR="00220112" w:rsidRDefault="00C96430">
            <w:pPr>
              <w:pStyle w:val="Compact"/>
              <w:jc w:val="both"/>
              <w:rPr>
                <w:color w:val="000000"/>
              </w:rPr>
            </w:pPr>
            <w:r>
              <w:rPr>
                <w:color w:val="000000"/>
              </w:rPr>
              <w:t>60-80</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Pr>
          <w:p w14:paraId="381ABCD8" w14:textId="77777777" w:rsidR="00220112" w:rsidRDefault="00C96430">
            <w:pPr>
              <w:pStyle w:val="Compact"/>
              <w:jc w:val="both"/>
              <w:rPr>
                <w:color w:val="000000"/>
              </w:rPr>
            </w:pPr>
            <w:r>
              <w:rPr>
                <w:color w:val="000000"/>
              </w:rPr>
              <w:t>3-6</w:t>
            </w:r>
          </w:p>
        </w:tc>
        <w:tc>
          <w:tcPr>
            <w:tcW w:w="1031" w:type="dxa"/>
            <w:tcBorders>
              <w:top w:val="single" w:sz="8" w:space="0" w:color="000000"/>
              <w:left w:val="single" w:sz="8" w:space="0" w:color="000000"/>
              <w:bottom w:val="single" w:sz="8" w:space="0" w:color="000000"/>
              <w:right w:val="single" w:sz="8" w:space="0" w:color="000000"/>
            </w:tcBorders>
            <w:shd w:val="clear" w:color="auto" w:fill="FFFFFF"/>
          </w:tcPr>
          <w:p w14:paraId="74CB72FF" w14:textId="77777777" w:rsidR="00220112" w:rsidRDefault="00C96430">
            <w:pPr>
              <w:pStyle w:val="Compact"/>
              <w:jc w:val="both"/>
              <w:rPr>
                <w:color w:val="000000"/>
              </w:rPr>
            </w:pPr>
            <w:r>
              <w:rPr>
                <w:color w:val="000000"/>
              </w:rPr>
              <w:t>20-40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Pr>
          <w:p w14:paraId="3C079A3F" w14:textId="77777777" w:rsidR="00220112" w:rsidRDefault="00C96430">
            <w:pPr>
              <w:pStyle w:val="Compact"/>
              <w:jc w:val="both"/>
              <w:rPr>
                <w:color w:val="000000"/>
              </w:rPr>
            </w:pPr>
            <w:r>
              <w:rPr>
                <w:color w:val="000000"/>
              </w:rPr>
              <w:t>0.5-1.2</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Pr>
          <w:p w14:paraId="0AB5353D" w14:textId="77777777" w:rsidR="00220112" w:rsidRDefault="00C96430">
            <w:pPr>
              <w:pStyle w:val="Compact"/>
              <w:jc w:val="both"/>
              <w:rPr>
                <w:color w:val="000000"/>
              </w:rPr>
            </w:pPr>
            <w:r>
              <w:rPr>
                <w:color w:val="000000"/>
              </w:rPr>
              <w:t>3.8/10 (Low)</w:t>
            </w:r>
          </w:p>
        </w:tc>
      </w:tr>
      <w:tr w:rsidR="00220112" w14:paraId="33A3219E" w14:textId="77777777" w:rsidTr="00220112">
        <w:tc>
          <w:tcPr>
            <w:tcW w:w="1622" w:type="dxa"/>
            <w:tcBorders>
              <w:top w:val="single" w:sz="8" w:space="0" w:color="000000"/>
              <w:left w:val="single" w:sz="8" w:space="0" w:color="000000"/>
              <w:bottom w:val="single" w:sz="8" w:space="0" w:color="000000"/>
              <w:right w:val="single" w:sz="8" w:space="0" w:color="000000"/>
            </w:tcBorders>
            <w:shd w:val="clear" w:color="auto" w:fill="FFFFFF"/>
          </w:tcPr>
          <w:p w14:paraId="693B2FD8" w14:textId="77777777" w:rsidR="00220112" w:rsidRDefault="00C96430">
            <w:pPr>
              <w:pStyle w:val="Compact"/>
              <w:jc w:val="both"/>
              <w:rPr>
                <w:color w:val="000000"/>
              </w:rPr>
            </w:pPr>
            <w:r>
              <w:rPr>
                <w:color w:val="000000"/>
              </w:rPr>
              <w:t>Green Chemistry</w:t>
            </w:r>
          </w:p>
        </w:tc>
        <w:tc>
          <w:tcPr>
            <w:tcW w:w="1744" w:type="dxa"/>
            <w:tcBorders>
              <w:top w:val="single" w:sz="8" w:space="0" w:color="000000"/>
              <w:left w:val="single" w:sz="8" w:space="0" w:color="000000"/>
              <w:bottom w:val="single" w:sz="8" w:space="0" w:color="000000"/>
              <w:right w:val="single" w:sz="8" w:space="0" w:color="000000"/>
            </w:tcBorders>
            <w:shd w:val="clear" w:color="auto" w:fill="FFFFFF"/>
          </w:tcPr>
          <w:p w14:paraId="1EA766F5" w14:textId="77777777" w:rsidR="00220112" w:rsidRDefault="00C96430">
            <w:pPr>
              <w:pStyle w:val="Compact"/>
              <w:jc w:val="both"/>
              <w:rPr>
                <w:color w:val="000000"/>
              </w:rPr>
            </w:pPr>
            <w:r>
              <w:rPr>
                <w:color w:val="000000"/>
              </w:rPr>
              <w:t>40-70</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Pr>
          <w:p w14:paraId="172597A7" w14:textId="77777777" w:rsidR="00220112" w:rsidRDefault="00C96430">
            <w:pPr>
              <w:pStyle w:val="Compact"/>
              <w:jc w:val="both"/>
              <w:rPr>
                <w:color w:val="000000"/>
              </w:rPr>
            </w:pPr>
            <w:r>
              <w:rPr>
                <w:color w:val="000000"/>
              </w:rPr>
              <w:t>2-5</w:t>
            </w:r>
          </w:p>
        </w:tc>
        <w:tc>
          <w:tcPr>
            <w:tcW w:w="1031" w:type="dxa"/>
            <w:tcBorders>
              <w:top w:val="single" w:sz="8" w:space="0" w:color="000000"/>
              <w:left w:val="single" w:sz="8" w:space="0" w:color="000000"/>
              <w:bottom w:val="single" w:sz="8" w:space="0" w:color="000000"/>
              <w:right w:val="single" w:sz="8" w:space="0" w:color="000000"/>
            </w:tcBorders>
            <w:shd w:val="clear" w:color="auto" w:fill="FFFFFF"/>
          </w:tcPr>
          <w:p w14:paraId="1837A28F" w14:textId="77777777" w:rsidR="00220112" w:rsidRDefault="00C96430">
            <w:pPr>
              <w:pStyle w:val="Compact"/>
              <w:jc w:val="both"/>
              <w:rPr>
                <w:color w:val="000000"/>
              </w:rPr>
            </w:pPr>
            <w:r>
              <w:rPr>
                <w:color w:val="000000"/>
              </w:rPr>
              <w:t>15-30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Pr>
          <w:p w14:paraId="296406F7" w14:textId="77777777" w:rsidR="00220112" w:rsidRDefault="00C96430">
            <w:pPr>
              <w:pStyle w:val="Compact"/>
              <w:jc w:val="both"/>
              <w:rPr>
                <w:color w:val="000000"/>
              </w:rPr>
            </w:pPr>
            <w:r>
              <w:rPr>
                <w:color w:val="000000"/>
              </w:rPr>
              <w:t>0.3-0.8</w:t>
            </w:r>
          </w:p>
        </w:tc>
        <w:tc>
          <w:tcPr>
            <w:tcW w:w="1086" w:type="dxa"/>
            <w:tcBorders>
              <w:top w:val="single" w:sz="8" w:space="0" w:color="000000"/>
              <w:left w:val="single" w:sz="8" w:space="0" w:color="000000"/>
              <w:bottom w:val="single" w:sz="8" w:space="0" w:color="000000"/>
              <w:right w:val="single" w:sz="8" w:space="0" w:color="000000"/>
            </w:tcBorders>
            <w:shd w:val="clear" w:color="auto" w:fill="FFFFFF"/>
          </w:tcPr>
          <w:p w14:paraId="7D6C025A" w14:textId="77777777" w:rsidR="00220112" w:rsidRDefault="00C96430">
            <w:pPr>
              <w:pStyle w:val="Compact"/>
              <w:jc w:val="both"/>
              <w:rPr>
                <w:color w:val="000000"/>
              </w:rPr>
            </w:pPr>
            <w:r>
              <w:rPr>
                <w:color w:val="000000"/>
              </w:rPr>
              <w:t>2.9/10 (Low)</w:t>
            </w:r>
          </w:p>
        </w:tc>
      </w:tr>
    </w:tbl>
    <w:p w14:paraId="144D8C08" w14:textId="77777777" w:rsidR="00220112" w:rsidRDefault="00C96430">
      <w:pPr>
        <w:pStyle w:val="Heading31"/>
        <w:jc w:val="both"/>
        <w:rPr>
          <w:color w:val="36363D"/>
        </w:rPr>
      </w:pPr>
      <w:bookmarkStart w:id="25" w:name="X8e8a19d70a573677b413cce5f6be3fb7a440715"/>
      <w:bookmarkEnd w:id="24"/>
      <w:r>
        <w:rPr>
          <w:color w:val="36363D"/>
        </w:rPr>
        <w:t>6.2 Economic Viability and Market Considerations</w:t>
      </w:r>
    </w:p>
    <w:p w14:paraId="7E01DC61" w14:textId="77777777" w:rsidR="00220112" w:rsidRDefault="00C96430">
      <w:pPr>
        <w:pStyle w:val="FirstParagraph"/>
        <w:jc w:val="both"/>
        <w:rPr>
          <w:color w:val="36363D"/>
        </w:rPr>
      </w:pPr>
      <w:r>
        <w:rPr>
          <w:color w:val="36363D"/>
        </w:rPr>
        <w:t xml:space="preserve">The economic analysis of sustainable nanomaterial synthesis reveals complex </w:t>
      </w:r>
      <w:r>
        <w:rPr>
          <w:color w:val="36363D"/>
        </w:rPr>
        <w:t>trade-offs between environmental benefits and production costs. While initial capital investments for sustainable processing equipment may be higher, operational costs are typically lower due to reduced energy consumption and waste treatment requirements.</w:t>
      </w:r>
    </w:p>
    <w:p w14:paraId="28706E66" w14:textId="77777777" w:rsidR="00220112" w:rsidRDefault="00C96430">
      <w:pPr>
        <w:pStyle w:val="BodyText"/>
        <w:jc w:val="both"/>
        <w:rPr>
          <w:color w:val="36363D"/>
        </w:rPr>
      </w:pPr>
      <w:r>
        <w:rPr>
          <w:color w:val="36363D"/>
        </w:rPr>
        <w:lastRenderedPageBreak/>
        <w:t>Raw material costs for biomass feedstocks are generally lower and more stable than synthetic precursors, providing economic advantages that become more pronounced at larger production scales. The global push toward carbon pricing and environmental regulati</w:t>
      </w:r>
      <w:r>
        <w:rPr>
          <w:color w:val="36363D"/>
        </w:rPr>
        <w:t>ons creates additional economic incentives for sustainable production methods.</w:t>
      </w:r>
    </w:p>
    <w:p w14:paraId="7C480DF3" w14:textId="77777777" w:rsidR="00220112" w:rsidRDefault="00C96430">
      <w:pPr>
        <w:pStyle w:val="Heading31"/>
        <w:jc w:val="both"/>
        <w:rPr>
          <w:color w:val="36363D"/>
        </w:rPr>
      </w:pPr>
      <w:bookmarkStart w:id="26" w:name="X70c48954dc85ec8a82157399a892eaf7673a1d0"/>
      <w:bookmarkEnd w:id="25"/>
      <w:r>
        <w:rPr>
          <w:color w:val="36363D"/>
        </w:rPr>
        <w:t>6.3 Scalability Challenges and Industrial Implementation</w:t>
      </w:r>
    </w:p>
    <w:p w14:paraId="734C2DBE" w14:textId="77777777" w:rsidR="00220112" w:rsidRDefault="00C96430">
      <w:pPr>
        <w:pStyle w:val="FirstParagraph"/>
        <w:jc w:val="both"/>
        <w:rPr>
          <w:color w:val="36363D"/>
        </w:rPr>
      </w:pPr>
      <w:r>
        <w:rPr>
          <w:color w:val="36363D"/>
        </w:rPr>
        <w:t xml:space="preserve">The transition from laboratory-scale sustainable synthesis to industrial production presents significant challenges </w:t>
      </w:r>
      <w:r>
        <w:rPr>
          <w:color w:val="36363D"/>
        </w:rPr>
        <w:t>requiring systematic approach to process optimization and equipment design. Scale-up considerations include maintaining quality consistency across large production volumes, developing appropriate process control systems, and ensuring reliable feedstock sup</w:t>
      </w:r>
      <w:r>
        <w:rPr>
          <w:color w:val="36363D"/>
        </w:rPr>
        <w:t>ply chains.</w:t>
      </w:r>
    </w:p>
    <w:p w14:paraId="4C83C5A3" w14:textId="77777777" w:rsidR="00220112" w:rsidRDefault="00C96430">
      <w:pPr>
        <w:pStyle w:val="BodyText"/>
        <w:jc w:val="both"/>
        <w:rPr>
          <w:color w:val="36363D"/>
        </w:rPr>
      </w:pPr>
      <w:r>
        <w:rPr>
          <w:color w:val="36363D"/>
        </w:rPr>
        <w:t>Industrial implementation requires collaboration between research institutions, equipment manufacturers, and end-users to develop commercially viable processes that maintain both performance and sustainability characteristics. The establishment</w:t>
      </w:r>
      <w:r>
        <w:rPr>
          <w:color w:val="36363D"/>
        </w:rPr>
        <w:t xml:space="preserve"> of quality standards and certification systems will be essential for market acceptance and regulatory compliance.</w:t>
      </w:r>
    </w:p>
    <w:p w14:paraId="7641E28A" w14:textId="77777777" w:rsidR="00220112" w:rsidRDefault="00220112">
      <w:pPr>
        <w:jc w:val="both"/>
        <w:rPr>
          <w:color w:val="36363D"/>
        </w:rPr>
      </w:pPr>
    </w:p>
    <w:p w14:paraId="589CD0A7" w14:textId="77777777" w:rsidR="00220112" w:rsidRDefault="00C96430">
      <w:pPr>
        <w:pStyle w:val="Heading21"/>
        <w:jc w:val="both"/>
        <w:rPr>
          <w:color w:val="36363D"/>
        </w:rPr>
      </w:pPr>
      <w:bookmarkStart w:id="27" w:name="X86a94ac3acca807be6ea3e86be2939942fa1dde"/>
      <w:bookmarkEnd w:id="23"/>
      <w:bookmarkEnd w:id="26"/>
      <w:r>
        <w:rPr>
          <w:color w:val="36363D"/>
        </w:rPr>
        <w:t>7. Future Perspectives and Technological Roadmap</w:t>
      </w:r>
    </w:p>
    <w:p w14:paraId="12FD6EB6" w14:textId="77777777" w:rsidR="00220112" w:rsidRDefault="00C96430">
      <w:pPr>
        <w:pStyle w:val="Heading31"/>
        <w:jc w:val="both"/>
        <w:rPr>
          <w:color w:val="36363D"/>
        </w:rPr>
      </w:pPr>
      <w:bookmarkStart w:id="28" w:name="X2e664b5c6bba532a27d518d48991ed862115140"/>
      <w:r>
        <w:rPr>
          <w:color w:val="36363D"/>
        </w:rPr>
        <w:t>7.1 Integration of Digital Technologies and Artificial Intelligence</w:t>
      </w:r>
    </w:p>
    <w:p w14:paraId="1F8D0001" w14:textId="77777777" w:rsidR="00220112" w:rsidRDefault="00C96430">
      <w:pPr>
        <w:pStyle w:val="FirstParagraph"/>
        <w:jc w:val="both"/>
        <w:rPr>
          <w:color w:val="36363D"/>
        </w:rPr>
      </w:pPr>
      <w:r>
        <w:rPr>
          <w:color w:val="36363D"/>
        </w:rPr>
        <w:t>The integration of arti</w:t>
      </w:r>
      <w:r>
        <w:rPr>
          <w:color w:val="36363D"/>
        </w:rPr>
        <w:t>ficial intelligence and machine learning technologies offers unprecedented opportunities for optimizing sustainable nanomaterial synthesis. Predictive modeling can accelerate material discovery by identifying optimal synthesis conditions and predicting mat</w:t>
      </w:r>
      <w:r>
        <w:rPr>
          <w:color w:val="36363D"/>
        </w:rPr>
        <w:t>erial properties before experimental validation. Real-time process control systems can maintain quality consistency while minimizing resource consumption and waste generation.</w:t>
      </w:r>
    </w:p>
    <w:p w14:paraId="7F45EF91" w14:textId="77777777" w:rsidR="00220112" w:rsidRDefault="00C96430">
      <w:pPr>
        <w:pStyle w:val="BodyText"/>
        <w:jc w:val="both"/>
        <w:rPr>
          <w:color w:val="36363D"/>
        </w:rPr>
      </w:pPr>
      <w:r>
        <w:rPr>
          <w:color w:val="36363D"/>
        </w:rPr>
        <w:t>Digital twin technologies enable virtual process optimization and troubleshootin</w:t>
      </w:r>
      <w:r>
        <w:rPr>
          <w:color w:val="36363D"/>
        </w:rPr>
        <w:t>g, reducing the need for extensive experimental trials and accelerating technology development. The integration of Internet of Things sensors provides continuous monitoring of synthesis parameters, enabling predictive maintenance and process optimization.</w:t>
      </w:r>
    </w:p>
    <w:p w14:paraId="39047946" w14:textId="77777777" w:rsidR="00220112" w:rsidRDefault="00C96430">
      <w:pPr>
        <w:pStyle w:val="Heading31"/>
        <w:jc w:val="both"/>
        <w:rPr>
          <w:color w:val="36363D"/>
        </w:rPr>
      </w:pPr>
      <w:bookmarkStart w:id="29" w:name="X7b68a11d93f926323f8f97631e510ed7baabb17"/>
      <w:bookmarkEnd w:id="28"/>
      <w:r>
        <w:rPr>
          <w:color w:val="36363D"/>
        </w:rPr>
        <w:t>7.2 Circular Economy Integration and Waste Valorization</w:t>
      </w:r>
    </w:p>
    <w:p w14:paraId="7BAD45F9" w14:textId="77777777" w:rsidR="00220112" w:rsidRDefault="00C96430">
      <w:pPr>
        <w:pStyle w:val="FirstParagraph"/>
        <w:jc w:val="both"/>
        <w:rPr>
          <w:color w:val="36363D"/>
        </w:rPr>
      </w:pPr>
      <w:r>
        <w:rPr>
          <w:color w:val="36363D"/>
        </w:rPr>
        <w:t>The future development of sustainable nanomaterial synthesis must embrace circular economy principles through closed-loop material cycles and comprehensive waste valorization. This review examines adv</w:t>
      </w:r>
      <w:r>
        <w:rPr>
          <w:color w:val="36363D"/>
        </w:rPr>
        <w:t xml:space="preserve">ancements in converting waste into carbon-based SCs for renewable energy storage (Rajan et </w:t>
      </w:r>
      <w:r>
        <w:rPr>
          <w:color w:val="36363D"/>
        </w:rPr>
        <w:lastRenderedPageBreak/>
        <w:t>al., 2025). The transformation of various waste streams into high-performance nanomaterials represents a significant opportunity for simultaneous waste reduction and</w:t>
      </w:r>
      <w:r>
        <w:rPr>
          <w:color w:val="36363D"/>
        </w:rPr>
        <w:t xml:space="preserve"> material production.</w:t>
      </w:r>
    </w:p>
    <w:p w14:paraId="41624F9A" w14:textId="77777777" w:rsidR="00220112" w:rsidRDefault="00C96430">
      <w:pPr>
        <w:pStyle w:val="BodyText"/>
        <w:jc w:val="both"/>
        <w:rPr>
          <w:color w:val="36363D"/>
        </w:rPr>
      </w:pPr>
      <w:r>
        <w:rPr>
          <w:color w:val="36363D"/>
        </w:rPr>
        <w:t>Advanced waste processing technologies, including plasma treatment and supercritical fluid extraction, can enhance the quality and yield of waste-derived nanomaterials while maintaining environmental benefits. The development of integ</w:t>
      </w:r>
      <w:r>
        <w:rPr>
          <w:color w:val="36363D"/>
        </w:rPr>
        <w:t>rated biorefineries that produce multiple products from biomass feedstocks will maximize resource utilization and economic viability.</w:t>
      </w:r>
    </w:p>
    <w:p w14:paraId="7394A162" w14:textId="77777777" w:rsidR="00220112" w:rsidRDefault="00C96430">
      <w:pPr>
        <w:pStyle w:val="Heading31"/>
        <w:jc w:val="both"/>
        <w:rPr>
          <w:color w:val="36363D"/>
        </w:rPr>
      </w:pPr>
      <w:bookmarkStart w:id="30" w:name="Xe3d3d5a36cf6674fda1ace8c381c079fc099656"/>
      <w:bookmarkEnd w:id="29"/>
      <w:r>
        <w:rPr>
          <w:color w:val="36363D"/>
        </w:rPr>
        <w:t>7.3 Policy Framework and Regulatory Considerations</w:t>
      </w:r>
    </w:p>
    <w:p w14:paraId="28000FA9" w14:textId="77777777" w:rsidR="00220112" w:rsidRDefault="00C96430">
      <w:pPr>
        <w:pStyle w:val="FirstParagraph"/>
        <w:jc w:val="both"/>
        <w:rPr>
          <w:color w:val="36363D"/>
        </w:rPr>
      </w:pPr>
      <w:r>
        <w:rPr>
          <w:color w:val="36363D"/>
        </w:rPr>
        <w:t>The successful implementation of sustainable nanomaterial synthesis req</w:t>
      </w:r>
      <w:r>
        <w:rPr>
          <w:color w:val="36363D"/>
        </w:rPr>
        <w:t>uires supportive policy frameworks that incentivize environmental responsibility while maintaining technological competitiveness. Carbon pricing mechanisms and environmental regulations create market drivers for sustainable production methods, while resear</w:t>
      </w:r>
      <w:r>
        <w:rPr>
          <w:color w:val="36363D"/>
        </w:rPr>
        <w:t>ch funding priorities can accelerate technology development.</w:t>
      </w:r>
    </w:p>
    <w:p w14:paraId="25657EF8" w14:textId="77777777" w:rsidR="00220112" w:rsidRDefault="00C96430">
      <w:pPr>
        <w:pStyle w:val="BodyText"/>
        <w:jc w:val="both"/>
        <w:rPr>
          <w:color w:val="36363D"/>
        </w:rPr>
      </w:pPr>
      <w:r>
        <w:rPr>
          <w:color w:val="36363D"/>
        </w:rPr>
        <w:t>International cooperation in developing standardized sustainability metrics and certification systems will facilitate global market acceptance and technology transfer. The integration of sustaina</w:t>
      </w:r>
      <w:r>
        <w:rPr>
          <w:color w:val="36363D"/>
        </w:rPr>
        <w:t>bility criteria into procurement policies can create market demand for environmentally responsible materials, driving industrial adoption.</w:t>
      </w:r>
    </w:p>
    <w:p w14:paraId="41C4A8E4" w14:textId="77777777" w:rsidR="00220112" w:rsidRDefault="00C96430">
      <w:pPr>
        <w:rPr>
          <w:color w:val="36363D"/>
        </w:rPr>
      </w:pPr>
      <w:r>
        <w:rPr>
          <w:b/>
          <w:bCs/>
          <w:color w:val="36363D"/>
        </w:rPr>
        <w:t>Table 5: Technology Development Roadmap for Sustainable Nanomaterials</w:t>
      </w:r>
    </w:p>
    <w:tbl>
      <w:tblPr>
        <w:tblStyle w:val="Table"/>
        <w:tblW w:w="0" w:type="auto"/>
        <w:tblInd w:w="0" w:type="dxa"/>
        <w:tblLayout w:type="fixed"/>
        <w:tblLook w:val="04A0" w:firstRow="1" w:lastRow="0" w:firstColumn="1" w:lastColumn="0" w:noHBand="0" w:noVBand="1"/>
      </w:tblPr>
      <w:tblGrid>
        <w:gridCol w:w="1155"/>
        <w:gridCol w:w="1883"/>
        <w:gridCol w:w="1628"/>
        <w:gridCol w:w="1626"/>
        <w:gridCol w:w="2227"/>
      </w:tblGrid>
      <w:tr w:rsidR="00220112" w14:paraId="5288EC78" w14:textId="77777777" w:rsidTr="00220112">
        <w:trPr>
          <w:cnfStyle w:val="100000000000" w:firstRow="1" w:lastRow="0" w:firstColumn="0" w:lastColumn="0" w:oddVBand="0" w:evenVBand="0" w:oddHBand="0" w:evenHBand="0" w:firstRowFirstColumn="0" w:firstRowLastColumn="0" w:lastRowFirstColumn="0" w:lastRowLastColumn="0"/>
          <w:tblHeader/>
        </w:trPr>
        <w:tc>
          <w:tcPr>
            <w:tcW w:w="1155" w:type="dxa"/>
            <w:tcBorders>
              <w:top w:val="single" w:sz="8" w:space="0" w:color="000000"/>
              <w:left w:val="single" w:sz="8" w:space="0" w:color="000000"/>
              <w:bottom w:val="single" w:sz="8" w:space="0" w:color="000000"/>
              <w:right w:val="single" w:sz="8" w:space="0" w:color="000000"/>
            </w:tcBorders>
            <w:shd w:val="clear" w:color="auto" w:fill="FFFFFF"/>
          </w:tcPr>
          <w:p w14:paraId="30900088" w14:textId="77777777" w:rsidR="00220112" w:rsidRDefault="00C96430">
            <w:pPr>
              <w:pStyle w:val="Compact"/>
              <w:jc w:val="both"/>
              <w:rPr>
                <w:color w:val="000000"/>
              </w:rPr>
            </w:pPr>
            <w:r>
              <w:rPr>
                <w:color w:val="000000"/>
              </w:rPr>
              <w:t>Timeline</w:t>
            </w:r>
          </w:p>
        </w:tc>
        <w:tc>
          <w:tcPr>
            <w:tcW w:w="1883" w:type="dxa"/>
            <w:tcBorders>
              <w:top w:val="single" w:sz="8" w:space="0" w:color="000000"/>
              <w:left w:val="single" w:sz="8" w:space="0" w:color="000000"/>
              <w:bottom w:val="single" w:sz="8" w:space="0" w:color="000000"/>
              <w:right w:val="single" w:sz="8" w:space="0" w:color="000000"/>
            </w:tcBorders>
            <w:shd w:val="clear" w:color="auto" w:fill="FFFFFF"/>
          </w:tcPr>
          <w:p w14:paraId="1F7122BF" w14:textId="77777777" w:rsidR="00220112" w:rsidRDefault="00C96430">
            <w:pPr>
              <w:pStyle w:val="Compact"/>
              <w:jc w:val="both"/>
              <w:rPr>
                <w:color w:val="000000"/>
              </w:rPr>
            </w:pPr>
            <w:r>
              <w:rPr>
                <w:color w:val="000000"/>
              </w:rPr>
              <w:t>Key Milestones</w:t>
            </w:r>
          </w:p>
        </w:tc>
        <w:tc>
          <w:tcPr>
            <w:tcW w:w="1628" w:type="dxa"/>
            <w:tcBorders>
              <w:top w:val="single" w:sz="8" w:space="0" w:color="000000"/>
              <w:left w:val="single" w:sz="8" w:space="0" w:color="000000"/>
              <w:bottom w:val="single" w:sz="8" w:space="0" w:color="000000"/>
              <w:right w:val="single" w:sz="8" w:space="0" w:color="000000"/>
            </w:tcBorders>
            <w:shd w:val="clear" w:color="auto" w:fill="FFFFFF"/>
          </w:tcPr>
          <w:p w14:paraId="524EBBD9" w14:textId="77777777" w:rsidR="00220112" w:rsidRDefault="00C96430">
            <w:pPr>
              <w:pStyle w:val="Compact"/>
              <w:jc w:val="both"/>
              <w:rPr>
                <w:color w:val="000000"/>
              </w:rPr>
            </w:pPr>
            <w:r>
              <w:rPr>
                <w:color w:val="000000"/>
              </w:rPr>
              <w:t>Technology Readiness Le</w:t>
            </w:r>
            <w:r>
              <w:rPr>
                <w:color w:val="000000"/>
              </w:rPr>
              <w:t>vel</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14:paraId="31895218" w14:textId="77777777" w:rsidR="00220112" w:rsidRDefault="00C96430">
            <w:pPr>
              <w:pStyle w:val="Compact"/>
              <w:jc w:val="both"/>
              <w:rPr>
                <w:color w:val="000000"/>
              </w:rPr>
            </w:pPr>
            <w:r>
              <w:rPr>
                <w:color w:val="000000"/>
              </w:rPr>
              <w:t>Expected Market Impact</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Pr>
          <w:p w14:paraId="7C1F2986" w14:textId="77777777" w:rsidR="00220112" w:rsidRDefault="00C96430">
            <w:pPr>
              <w:pStyle w:val="Compact"/>
              <w:jc w:val="both"/>
              <w:rPr>
                <w:color w:val="000000"/>
              </w:rPr>
            </w:pPr>
            <w:r>
              <w:rPr>
                <w:color w:val="000000"/>
              </w:rPr>
              <w:t>Critical Success Factors</w:t>
            </w:r>
          </w:p>
        </w:tc>
      </w:tr>
      <w:tr w:rsidR="00220112" w14:paraId="64952BF7" w14:textId="77777777" w:rsidTr="00220112">
        <w:tc>
          <w:tcPr>
            <w:tcW w:w="1155" w:type="dxa"/>
            <w:tcBorders>
              <w:top w:val="single" w:sz="8" w:space="0" w:color="000000"/>
              <w:left w:val="single" w:sz="8" w:space="0" w:color="000000"/>
              <w:bottom w:val="single" w:sz="8" w:space="0" w:color="000000"/>
              <w:right w:val="single" w:sz="8" w:space="0" w:color="000000"/>
            </w:tcBorders>
            <w:shd w:val="clear" w:color="auto" w:fill="FFFFFF"/>
          </w:tcPr>
          <w:p w14:paraId="69E49BEC" w14:textId="77777777" w:rsidR="00220112" w:rsidRDefault="00C96430">
            <w:pPr>
              <w:pStyle w:val="Compact"/>
              <w:jc w:val="both"/>
              <w:rPr>
                <w:color w:val="000000"/>
              </w:rPr>
            </w:pPr>
            <w:r>
              <w:rPr>
                <w:color w:val="000000"/>
              </w:rPr>
              <w:t>2025-2027</w:t>
            </w:r>
          </w:p>
        </w:tc>
        <w:tc>
          <w:tcPr>
            <w:tcW w:w="1883" w:type="dxa"/>
            <w:tcBorders>
              <w:top w:val="single" w:sz="8" w:space="0" w:color="000000"/>
              <w:left w:val="single" w:sz="8" w:space="0" w:color="000000"/>
              <w:bottom w:val="single" w:sz="8" w:space="0" w:color="000000"/>
              <w:right w:val="single" w:sz="8" w:space="0" w:color="000000"/>
            </w:tcBorders>
            <w:shd w:val="clear" w:color="auto" w:fill="FFFFFF"/>
          </w:tcPr>
          <w:p w14:paraId="023E8EE5" w14:textId="77777777" w:rsidR="00220112" w:rsidRDefault="00C96430">
            <w:pPr>
              <w:pStyle w:val="Compact"/>
              <w:jc w:val="both"/>
              <w:rPr>
                <w:color w:val="000000"/>
              </w:rPr>
            </w:pPr>
            <w:r>
              <w:rPr>
                <w:color w:val="000000"/>
              </w:rPr>
              <w:t>Pilot-scale demonstration</w:t>
            </w:r>
          </w:p>
        </w:tc>
        <w:tc>
          <w:tcPr>
            <w:tcW w:w="1628" w:type="dxa"/>
            <w:tcBorders>
              <w:top w:val="single" w:sz="8" w:space="0" w:color="000000"/>
              <w:left w:val="single" w:sz="8" w:space="0" w:color="000000"/>
              <w:bottom w:val="single" w:sz="8" w:space="0" w:color="000000"/>
              <w:right w:val="single" w:sz="8" w:space="0" w:color="000000"/>
            </w:tcBorders>
            <w:shd w:val="clear" w:color="auto" w:fill="FFFFFF"/>
          </w:tcPr>
          <w:p w14:paraId="34FC98B8" w14:textId="77777777" w:rsidR="00220112" w:rsidRDefault="00C96430">
            <w:pPr>
              <w:pStyle w:val="Compact"/>
              <w:jc w:val="both"/>
              <w:rPr>
                <w:color w:val="000000"/>
              </w:rPr>
            </w:pPr>
            <w:r>
              <w:rPr>
                <w:color w:val="000000"/>
              </w:rPr>
              <w:t>TRL 6-7</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14:paraId="597BA728" w14:textId="77777777" w:rsidR="00220112" w:rsidRDefault="00C96430">
            <w:pPr>
              <w:pStyle w:val="Compact"/>
              <w:jc w:val="both"/>
              <w:rPr>
                <w:color w:val="000000"/>
              </w:rPr>
            </w:pPr>
            <w:r>
              <w:rPr>
                <w:color w:val="000000"/>
              </w:rPr>
              <w:t>5-10% market penetration</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Pr>
          <w:p w14:paraId="77C891FA" w14:textId="77777777" w:rsidR="00220112" w:rsidRDefault="00C96430">
            <w:pPr>
              <w:pStyle w:val="Compact"/>
              <w:jc w:val="both"/>
              <w:rPr>
                <w:color w:val="000000"/>
              </w:rPr>
            </w:pPr>
            <w:r>
              <w:rPr>
                <w:color w:val="000000"/>
              </w:rPr>
              <w:t>Process optimization, cost reduction</w:t>
            </w:r>
          </w:p>
        </w:tc>
      </w:tr>
      <w:tr w:rsidR="00220112" w14:paraId="69C4401C" w14:textId="77777777" w:rsidTr="00220112">
        <w:tc>
          <w:tcPr>
            <w:tcW w:w="1155" w:type="dxa"/>
            <w:tcBorders>
              <w:top w:val="single" w:sz="8" w:space="0" w:color="000000"/>
              <w:left w:val="single" w:sz="8" w:space="0" w:color="000000"/>
              <w:bottom w:val="single" w:sz="8" w:space="0" w:color="000000"/>
              <w:right w:val="single" w:sz="8" w:space="0" w:color="000000"/>
            </w:tcBorders>
            <w:shd w:val="clear" w:color="auto" w:fill="FFFFFF"/>
          </w:tcPr>
          <w:p w14:paraId="49C47E38" w14:textId="77777777" w:rsidR="00220112" w:rsidRDefault="00C96430">
            <w:pPr>
              <w:pStyle w:val="Compact"/>
              <w:jc w:val="both"/>
              <w:rPr>
                <w:color w:val="000000"/>
              </w:rPr>
            </w:pPr>
            <w:r>
              <w:rPr>
                <w:color w:val="000000"/>
              </w:rPr>
              <w:t>2027-2030</w:t>
            </w:r>
          </w:p>
        </w:tc>
        <w:tc>
          <w:tcPr>
            <w:tcW w:w="1883" w:type="dxa"/>
            <w:tcBorders>
              <w:top w:val="single" w:sz="8" w:space="0" w:color="000000"/>
              <w:left w:val="single" w:sz="8" w:space="0" w:color="000000"/>
              <w:bottom w:val="single" w:sz="8" w:space="0" w:color="000000"/>
              <w:right w:val="single" w:sz="8" w:space="0" w:color="000000"/>
            </w:tcBorders>
            <w:shd w:val="clear" w:color="auto" w:fill="FFFFFF"/>
          </w:tcPr>
          <w:p w14:paraId="122AFBDE" w14:textId="77777777" w:rsidR="00220112" w:rsidRDefault="00C96430">
            <w:pPr>
              <w:pStyle w:val="Compact"/>
              <w:jc w:val="both"/>
              <w:rPr>
                <w:color w:val="000000"/>
              </w:rPr>
            </w:pPr>
            <w:r>
              <w:rPr>
                <w:color w:val="000000"/>
              </w:rPr>
              <w:t>Commercial deployment</w:t>
            </w:r>
          </w:p>
        </w:tc>
        <w:tc>
          <w:tcPr>
            <w:tcW w:w="1628" w:type="dxa"/>
            <w:tcBorders>
              <w:top w:val="single" w:sz="8" w:space="0" w:color="000000"/>
              <w:left w:val="single" w:sz="8" w:space="0" w:color="000000"/>
              <w:bottom w:val="single" w:sz="8" w:space="0" w:color="000000"/>
              <w:right w:val="single" w:sz="8" w:space="0" w:color="000000"/>
            </w:tcBorders>
            <w:shd w:val="clear" w:color="auto" w:fill="FFFFFF"/>
          </w:tcPr>
          <w:p w14:paraId="160D3F1B" w14:textId="77777777" w:rsidR="00220112" w:rsidRDefault="00C96430">
            <w:pPr>
              <w:pStyle w:val="Compact"/>
              <w:jc w:val="both"/>
              <w:rPr>
                <w:color w:val="000000"/>
              </w:rPr>
            </w:pPr>
            <w:r>
              <w:rPr>
                <w:color w:val="000000"/>
              </w:rPr>
              <w:t>TRL 8-9</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14:paraId="153A9EEA" w14:textId="77777777" w:rsidR="00220112" w:rsidRDefault="00C96430">
            <w:pPr>
              <w:pStyle w:val="Compact"/>
              <w:jc w:val="both"/>
              <w:rPr>
                <w:color w:val="000000"/>
              </w:rPr>
            </w:pPr>
            <w:r>
              <w:rPr>
                <w:color w:val="000000"/>
              </w:rPr>
              <w:t>20-35% market share</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Pr>
          <w:p w14:paraId="04EF4204" w14:textId="77777777" w:rsidR="00220112" w:rsidRDefault="00C96430">
            <w:pPr>
              <w:pStyle w:val="Compact"/>
              <w:jc w:val="both"/>
              <w:rPr>
                <w:color w:val="000000"/>
              </w:rPr>
            </w:pPr>
            <w:r>
              <w:rPr>
                <w:color w:val="000000"/>
              </w:rPr>
              <w:t xml:space="preserve">Infrastructure development, </w:t>
            </w:r>
            <w:r>
              <w:rPr>
                <w:color w:val="000000"/>
              </w:rPr>
              <w:t>standards</w:t>
            </w:r>
          </w:p>
        </w:tc>
      </w:tr>
      <w:tr w:rsidR="00220112" w14:paraId="3AE5076F" w14:textId="77777777" w:rsidTr="00220112">
        <w:tc>
          <w:tcPr>
            <w:tcW w:w="1155" w:type="dxa"/>
            <w:tcBorders>
              <w:top w:val="single" w:sz="8" w:space="0" w:color="000000"/>
              <w:left w:val="single" w:sz="8" w:space="0" w:color="000000"/>
              <w:bottom w:val="single" w:sz="8" w:space="0" w:color="000000"/>
              <w:right w:val="single" w:sz="8" w:space="0" w:color="000000"/>
            </w:tcBorders>
            <w:shd w:val="clear" w:color="auto" w:fill="FFFFFF"/>
          </w:tcPr>
          <w:p w14:paraId="28DC55E7" w14:textId="77777777" w:rsidR="00220112" w:rsidRDefault="00C96430">
            <w:pPr>
              <w:pStyle w:val="Compact"/>
              <w:jc w:val="both"/>
              <w:rPr>
                <w:color w:val="000000"/>
              </w:rPr>
            </w:pPr>
            <w:r>
              <w:rPr>
                <w:color w:val="000000"/>
              </w:rPr>
              <w:t>2030-2035</w:t>
            </w:r>
          </w:p>
        </w:tc>
        <w:tc>
          <w:tcPr>
            <w:tcW w:w="1883" w:type="dxa"/>
            <w:tcBorders>
              <w:top w:val="single" w:sz="8" w:space="0" w:color="000000"/>
              <w:left w:val="single" w:sz="8" w:space="0" w:color="000000"/>
              <w:bottom w:val="single" w:sz="8" w:space="0" w:color="000000"/>
              <w:right w:val="single" w:sz="8" w:space="0" w:color="000000"/>
            </w:tcBorders>
            <w:shd w:val="clear" w:color="auto" w:fill="FFFFFF"/>
          </w:tcPr>
          <w:p w14:paraId="27D84FB1" w14:textId="77777777" w:rsidR="00220112" w:rsidRDefault="00C96430">
            <w:pPr>
              <w:pStyle w:val="Compact"/>
              <w:jc w:val="both"/>
              <w:rPr>
                <w:color w:val="000000"/>
              </w:rPr>
            </w:pPr>
            <w:r>
              <w:rPr>
                <w:color w:val="000000"/>
              </w:rPr>
              <w:t>Market maturation</w:t>
            </w:r>
          </w:p>
        </w:tc>
        <w:tc>
          <w:tcPr>
            <w:tcW w:w="1628" w:type="dxa"/>
            <w:tcBorders>
              <w:top w:val="single" w:sz="8" w:space="0" w:color="000000"/>
              <w:left w:val="single" w:sz="8" w:space="0" w:color="000000"/>
              <w:bottom w:val="single" w:sz="8" w:space="0" w:color="000000"/>
              <w:right w:val="single" w:sz="8" w:space="0" w:color="000000"/>
            </w:tcBorders>
            <w:shd w:val="clear" w:color="auto" w:fill="FFFFFF"/>
          </w:tcPr>
          <w:p w14:paraId="30760BCC" w14:textId="77777777" w:rsidR="00220112" w:rsidRDefault="00C96430">
            <w:pPr>
              <w:pStyle w:val="Compact"/>
              <w:jc w:val="both"/>
              <w:rPr>
                <w:color w:val="000000"/>
              </w:rPr>
            </w:pPr>
            <w:r>
              <w:rPr>
                <w:color w:val="000000"/>
              </w:rPr>
              <w:t>TRL 9</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14:paraId="3BAF6A6D" w14:textId="77777777" w:rsidR="00220112" w:rsidRDefault="00C96430">
            <w:pPr>
              <w:pStyle w:val="Compact"/>
              <w:jc w:val="both"/>
              <w:rPr>
                <w:color w:val="000000"/>
              </w:rPr>
            </w:pPr>
            <w:r>
              <w:rPr>
                <w:color w:val="000000"/>
              </w:rPr>
              <w:t>50-70% adoption rate</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Pr>
          <w:p w14:paraId="53929EDB" w14:textId="77777777" w:rsidR="00220112" w:rsidRDefault="00C96430">
            <w:pPr>
              <w:pStyle w:val="Compact"/>
              <w:jc w:val="both"/>
              <w:rPr>
                <w:color w:val="000000"/>
              </w:rPr>
            </w:pPr>
            <w:r>
              <w:rPr>
                <w:color w:val="000000"/>
              </w:rPr>
              <w:t>Performance parity, cost competitiveness</w:t>
            </w:r>
          </w:p>
        </w:tc>
      </w:tr>
      <w:tr w:rsidR="00220112" w14:paraId="6A8AC6A9" w14:textId="77777777" w:rsidTr="00220112">
        <w:tc>
          <w:tcPr>
            <w:tcW w:w="1155" w:type="dxa"/>
            <w:tcBorders>
              <w:top w:val="single" w:sz="8" w:space="0" w:color="000000"/>
              <w:left w:val="single" w:sz="8" w:space="0" w:color="000000"/>
              <w:bottom w:val="single" w:sz="8" w:space="0" w:color="000000"/>
              <w:right w:val="single" w:sz="8" w:space="0" w:color="000000"/>
            </w:tcBorders>
            <w:shd w:val="clear" w:color="auto" w:fill="FFFFFF"/>
          </w:tcPr>
          <w:p w14:paraId="7F5AF8EC" w14:textId="77777777" w:rsidR="00220112" w:rsidRDefault="00C96430">
            <w:pPr>
              <w:pStyle w:val="Compact"/>
              <w:jc w:val="both"/>
              <w:rPr>
                <w:color w:val="000000"/>
              </w:rPr>
            </w:pPr>
            <w:r>
              <w:rPr>
                <w:color w:val="000000"/>
              </w:rPr>
              <w:t>2035-2040</w:t>
            </w:r>
          </w:p>
        </w:tc>
        <w:tc>
          <w:tcPr>
            <w:tcW w:w="1883" w:type="dxa"/>
            <w:tcBorders>
              <w:top w:val="single" w:sz="8" w:space="0" w:color="000000"/>
              <w:left w:val="single" w:sz="8" w:space="0" w:color="000000"/>
              <w:bottom w:val="single" w:sz="8" w:space="0" w:color="000000"/>
              <w:right w:val="single" w:sz="8" w:space="0" w:color="000000"/>
            </w:tcBorders>
            <w:shd w:val="clear" w:color="auto" w:fill="FFFFFF"/>
          </w:tcPr>
          <w:p w14:paraId="600C8080" w14:textId="77777777" w:rsidR="00220112" w:rsidRDefault="00C96430">
            <w:pPr>
              <w:pStyle w:val="Compact"/>
              <w:jc w:val="both"/>
              <w:rPr>
                <w:color w:val="000000"/>
              </w:rPr>
            </w:pPr>
            <w:r>
              <w:rPr>
                <w:color w:val="000000"/>
              </w:rPr>
              <w:t>Technology leadership</w:t>
            </w:r>
          </w:p>
        </w:tc>
        <w:tc>
          <w:tcPr>
            <w:tcW w:w="1628" w:type="dxa"/>
            <w:tcBorders>
              <w:top w:val="single" w:sz="8" w:space="0" w:color="000000"/>
              <w:left w:val="single" w:sz="8" w:space="0" w:color="000000"/>
              <w:bottom w:val="single" w:sz="8" w:space="0" w:color="000000"/>
              <w:right w:val="single" w:sz="8" w:space="0" w:color="000000"/>
            </w:tcBorders>
            <w:shd w:val="clear" w:color="auto" w:fill="FFFFFF"/>
          </w:tcPr>
          <w:p w14:paraId="5AAA97A0" w14:textId="77777777" w:rsidR="00220112" w:rsidRDefault="00C96430">
            <w:pPr>
              <w:pStyle w:val="Compact"/>
              <w:jc w:val="both"/>
              <w:rPr>
                <w:color w:val="000000"/>
              </w:rPr>
            </w:pPr>
            <w:r>
              <w:rPr>
                <w:color w:val="000000"/>
              </w:rPr>
              <w:t>TRL 9</w:t>
            </w:r>
          </w:p>
        </w:tc>
        <w:tc>
          <w:tcPr>
            <w:tcW w:w="1626" w:type="dxa"/>
            <w:tcBorders>
              <w:top w:val="single" w:sz="8" w:space="0" w:color="000000"/>
              <w:left w:val="single" w:sz="8" w:space="0" w:color="000000"/>
              <w:bottom w:val="single" w:sz="8" w:space="0" w:color="000000"/>
              <w:right w:val="single" w:sz="8" w:space="0" w:color="000000"/>
            </w:tcBorders>
            <w:shd w:val="clear" w:color="auto" w:fill="FFFFFF"/>
          </w:tcPr>
          <w:p w14:paraId="5D87A8E5" w14:textId="77777777" w:rsidR="00220112" w:rsidRDefault="00C96430">
            <w:pPr>
              <w:pStyle w:val="Compact"/>
              <w:jc w:val="both"/>
              <w:rPr>
                <w:color w:val="000000"/>
              </w:rPr>
            </w:pPr>
            <w:r>
              <w:rPr>
                <w:color w:val="000000"/>
              </w:rPr>
              <w:t>&gt;80% market dominance</w:t>
            </w:r>
          </w:p>
        </w:tc>
        <w:tc>
          <w:tcPr>
            <w:tcW w:w="2227" w:type="dxa"/>
            <w:tcBorders>
              <w:top w:val="single" w:sz="8" w:space="0" w:color="000000"/>
              <w:left w:val="single" w:sz="8" w:space="0" w:color="000000"/>
              <w:bottom w:val="single" w:sz="8" w:space="0" w:color="000000"/>
              <w:right w:val="single" w:sz="8" w:space="0" w:color="000000"/>
            </w:tcBorders>
            <w:shd w:val="clear" w:color="auto" w:fill="FFFFFF"/>
          </w:tcPr>
          <w:p w14:paraId="386735E1" w14:textId="77777777" w:rsidR="00220112" w:rsidRDefault="00C96430">
            <w:pPr>
              <w:pStyle w:val="Compact"/>
              <w:jc w:val="both"/>
              <w:rPr>
                <w:color w:val="000000"/>
              </w:rPr>
            </w:pPr>
            <w:r>
              <w:rPr>
                <w:color w:val="000000"/>
              </w:rPr>
              <w:t>Regulatory support, circular economy</w:t>
            </w:r>
          </w:p>
        </w:tc>
      </w:tr>
    </w:tbl>
    <w:p w14:paraId="68F43E00" w14:textId="77777777" w:rsidR="00220112" w:rsidRDefault="00220112">
      <w:pPr>
        <w:jc w:val="both"/>
        <w:rPr>
          <w:color w:val="36363D"/>
        </w:rPr>
      </w:pPr>
    </w:p>
    <w:p w14:paraId="7CFB6275" w14:textId="77777777" w:rsidR="00220112" w:rsidRDefault="00C96430">
      <w:pPr>
        <w:pStyle w:val="Heading21"/>
        <w:jc w:val="both"/>
        <w:rPr>
          <w:color w:val="36363D"/>
        </w:rPr>
      </w:pPr>
      <w:bookmarkStart w:id="31" w:name="Xecf2d3df32e20f0535a7ceac0ad6520247e73f6"/>
      <w:bookmarkEnd w:id="27"/>
      <w:bookmarkEnd w:id="30"/>
      <w:r>
        <w:rPr>
          <w:color w:val="36363D"/>
        </w:rPr>
        <w:lastRenderedPageBreak/>
        <w:t>8. Critical Challenges and Research Priorities</w:t>
      </w:r>
    </w:p>
    <w:p w14:paraId="52FD2840" w14:textId="77777777" w:rsidR="00220112" w:rsidRDefault="00C96430">
      <w:pPr>
        <w:pStyle w:val="Heading31"/>
        <w:jc w:val="both"/>
        <w:rPr>
          <w:color w:val="36363D"/>
        </w:rPr>
      </w:pPr>
      <w:bookmarkStart w:id="32" w:name="X12f5c026aedf922276b3b8736ff2b197ccb880a"/>
      <w:r>
        <w:rPr>
          <w:color w:val="36363D"/>
        </w:rPr>
        <w:t>8.1 Technical Performance Optimization</w:t>
      </w:r>
    </w:p>
    <w:p w14:paraId="54FE01EE" w14:textId="77777777" w:rsidR="00220112" w:rsidRDefault="00C96430">
      <w:pPr>
        <w:pStyle w:val="FirstParagraph"/>
        <w:jc w:val="both"/>
        <w:rPr>
          <w:color w:val="36363D"/>
        </w:rPr>
      </w:pPr>
      <w:r>
        <w:rPr>
          <w:color w:val="36363D"/>
        </w:rPr>
        <w:t xml:space="preserve">Despite significant progress in sustainable nanomaterial synthesis, achieving complete performance parity with conventional materials remains a critical challenge. The optimization of synthesis parameters to maximize </w:t>
      </w:r>
      <w:r>
        <w:rPr>
          <w:color w:val="36363D"/>
        </w:rPr>
        <w:t>both performance and sustainability requires sophisticated understanding of structure-property relationships and reaction mechanisms.</w:t>
      </w:r>
    </w:p>
    <w:p w14:paraId="2F9CE9C5" w14:textId="77777777" w:rsidR="00220112" w:rsidRDefault="00C96430">
      <w:pPr>
        <w:pStyle w:val="BodyText"/>
        <w:jc w:val="both"/>
        <w:rPr>
          <w:color w:val="36363D"/>
        </w:rPr>
      </w:pPr>
      <w:r>
        <w:rPr>
          <w:color w:val="36363D"/>
        </w:rPr>
        <w:t>Research priorities include developing advanced characterization techniques to understand atomic-level processes during sy</w:t>
      </w:r>
      <w:r>
        <w:rPr>
          <w:color w:val="36363D"/>
        </w:rPr>
        <w:t>nthesis, creating predictive models for property optimization, and establishing standardized testing protocols for comparative performance assessment. The integration of in-situ characterization techniques can provide real-time insights into synthesis mech</w:t>
      </w:r>
      <w:r>
        <w:rPr>
          <w:color w:val="36363D"/>
        </w:rPr>
        <w:t>anisms, enabling more precise process control.</w:t>
      </w:r>
    </w:p>
    <w:p w14:paraId="31C0EA08" w14:textId="77777777" w:rsidR="00220112" w:rsidRDefault="00C96430">
      <w:pPr>
        <w:pStyle w:val="Heading31"/>
        <w:jc w:val="both"/>
        <w:rPr>
          <w:color w:val="36363D"/>
        </w:rPr>
      </w:pPr>
      <w:bookmarkStart w:id="33" w:name="Xd3cda1dcc6a81ec8e6642c9fc77c69243aa1743"/>
      <w:bookmarkEnd w:id="32"/>
      <w:r>
        <w:rPr>
          <w:color w:val="36363D"/>
        </w:rPr>
        <w:t>8.2 Economic and Industrial Scaling Considerations</w:t>
      </w:r>
    </w:p>
    <w:p w14:paraId="50DF08FA" w14:textId="77777777" w:rsidR="00220112" w:rsidRDefault="00C96430">
      <w:pPr>
        <w:pStyle w:val="FirstParagraph"/>
        <w:jc w:val="both"/>
        <w:rPr>
          <w:color w:val="36363D"/>
        </w:rPr>
      </w:pPr>
      <w:r>
        <w:rPr>
          <w:color w:val="36363D"/>
        </w:rPr>
        <w:t>The economic viability of sustainable nanomaterial synthesis depends critically on achieving cost competitiveness at industrial scales. Current challenges inc</w:t>
      </w:r>
      <w:r>
        <w:rPr>
          <w:color w:val="36363D"/>
        </w:rPr>
        <w:t>lude high capital costs for specialized equipment, variability in feedstock quality and availability, and limited economies of scale due to nascent market development.</w:t>
      </w:r>
    </w:p>
    <w:p w14:paraId="17683105" w14:textId="77777777" w:rsidR="00220112" w:rsidRDefault="00C96430">
      <w:pPr>
        <w:pStyle w:val="BodyText"/>
        <w:jc w:val="both"/>
        <w:rPr>
          <w:color w:val="36363D"/>
        </w:rPr>
      </w:pPr>
      <w:r>
        <w:rPr>
          <w:color w:val="36363D"/>
        </w:rPr>
        <w:t>Future research must address process intensification to reduce equipment costs and footp</w:t>
      </w:r>
      <w:r>
        <w:rPr>
          <w:color w:val="36363D"/>
        </w:rPr>
        <w:t>rint, development of robust quality control systems for variable feedstocks, and creation of integrated production systems that maximize resource utilization. The establishment of industrial partnerships and pilot-scale facilities will be essential for dem</w:t>
      </w:r>
      <w:r>
        <w:rPr>
          <w:color w:val="36363D"/>
        </w:rPr>
        <w:t>onstrating commercial viability.</w:t>
      </w:r>
    </w:p>
    <w:p w14:paraId="132D4A43" w14:textId="77777777" w:rsidR="00220112" w:rsidRDefault="00C96430">
      <w:pPr>
        <w:pStyle w:val="Heading31"/>
        <w:jc w:val="both"/>
        <w:rPr>
          <w:color w:val="36363D"/>
        </w:rPr>
      </w:pPr>
      <w:bookmarkStart w:id="34" w:name="X223a6a28df0926a0bdc0678d81904e16293930b"/>
      <w:bookmarkEnd w:id="33"/>
      <w:r>
        <w:rPr>
          <w:color w:val="36363D"/>
        </w:rPr>
        <w:t>8.3 Standardization and Quality Assurance</w:t>
      </w:r>
    </w:p>
    <w:p w14:paraId="4B869DB8" w14:textId="77777777" w:rsidR="00220112" w:rsidRDefault="00C96430">
      <w:pPr>
        <w:pStyle w:val="FirstParagraph"/>
        <w:jc w:val="both"/>
        <w:rPr>
          <w:color w:val="36363D"/>
        </w:rPr>
      </w:pPr>
      <w:r>
        <w:rPr>
          <w:color w:val="36363D"/>
        </w:rPr>
        <w:t>The development of comprehensive standards for sustainable nanomaterial synthesis represents a critical need for industry adoption. Current challenges include lack of standardized s</w:t>
      </w:r>
      <w:r>
        <w:rPr>
          <w:color w:val="36363D"/>
        </w:rPr>
        <w:t>ustainability metrics, variability in material properties between production batches, and limited quality assurance protocols for scaled production.</w:t>
      </w:r>
    </w:p>
    <w:p w14:paraId="065D6A39" w14:textId="77777777" w:rsidR="00220112" w:rsidRDefault="00C96430">
      <w:pPr>
        <w:pStyle w:val="BodyText"/>
        <w:jc w:val="both"/>
        <w:rPr>
          <w:color w:val="36363D"/>
        </w:rPr>
      </w:pPr>
      <w:r>
        <w:rPr>
          <w:color w:val="36363D"/>
        </w:rPr>
        <w:t xml:space="preserve">Priority areas include establishing internationally recognized sustainability assessment frameworks, </w:t>
      </w:r>
      <w:r>
        <w:rPr>
          <w:color w:val="36363D"/>
        </w:rPr>
        <w:t>developing rapid quality control methods suitable for industrial implementation, and creating material databases that enable performance benchmarking across different synthesis routes.</w:t>
      </w:r>
    </w:p>
    <w:p w14:paraId="48C0C008" w14:textId="77777777" w:rsidR="00220112" w:rsidRDefault="00C96430">
      <w:pPr>
        <w:pStyle w:val="Heading21"/>
        <w:jc w:val="both"/>
        <w:rPr>
          <w:color w:val="36363D"/>
        </w:rPr>
      </w:pPr>
      <w:bookmarkStart w:id="35" w:name="X95b1c1fd98971100dd497edd2f6f3269891522b"/>
      <w:bookmarkEnd w:id="31"/>
      <w:bookmarkEnd w:id="34"/>
      <w:r>
        <w:rPr>
          <w:color w:val="36363D"/>
        </w:rPr>
        <w:t>9. Conclusions and Research Implications</w:t>
      </w:r>
    </w:p>
    <w:p w14:paraId="2593DD02" w14:textId="77777777" w:rsidR="00220112" w:rsidRDefault="00C96430">
      <w:pPr>
        <w:pStyle w:val="FirstParagraph"/>
        <w:jc w:val="both"/>
        <w:rPr>
          <w:color w:val="36363D"/>
        </w:rPr>
      </w:pPr>
      <w:r>
        <w:rPr>
          <w:color w:val="36363D"/>
        </w:rPr>
        <w:t xml:space="preserve">The comprehensive analysis of </w:t>
      </w:r>
      <w:r>
        <w:rPr>
          <w:color w:val="36363D"/>
        </w:rPr>
        <w:t xml:space="preserve">sustainable synthesis approaches for nanomaterials in energy storage applications reveals a rapidly evolving field </w:t>
      </w:r>
      <w:r>
        <w:rPr>
          <w:color w:val="36363D"/>
        </w:rPr>
        <w:lastRenderedPageBreak/>
        <w:t>with substantial promise for addressing environmental challenges while maintaining technological competitiveness. Beyond their sustainability</w:t>
      </w:r>
      <w:r>
        <w:rPr>
          <w:color w:val="36363D"/>
        </w:rPr>
        <w:t>, eco-friendliness, structural diversity, and biodegradability, biomass-derived materials provide additional benefits, including naturally organized hierarchical structures, rich surface properties, and an abundance of heteroatoms (Weng et al., 2024).</w:t>
      </w:r>
    </w:p>
    <w:p w14:paraId="349250FF" w14:textId="77777777" w:rsidR="00220112" w:rsidRDefault="00C96430">
      <w:pPr>
        <w:pStyle w:val="BodyText"/>
        <w:jc w:val="both"/>
        <w:rPr>
          <w:color w:val="36363D"/>
        </w:rPr>
      </w:pPr>
      <w:r>
        <w:rPr>
          <w:color w:val="36363D"/>
        </w:rPr>
        <w:t xml:space="preserve">The </w:t>
      </w:r>
      <w:r>
        <w:rPr>
          <w:color w:val="36363D"/>
        </w:rPr>
        <w:t>integration of green chemistry principles, biomass utilization, and energy-efficient processing techniques demonstrates that environmental responsibility and high performance are not mutually exclusive objectives. The evidence presented indicates that sust</w:t>
      </w:r>
      <w:r>
        <w:rPr>
          <w:color w:val="36363D"/>
        </w:rPr>
        <w:t>ainably synthesized nanomaterials can achieve performance metrics approaching those of conventional materials while providing significant environmental benefits including reduced carbon footprint, eliminated toxic waste streams, and renewable resource util</w:t>
      </w:r>
      <w:r>
        <w:rPr>
          <w:color w:val="36363D"/>
        </w:rPr>
        <w:t>ization.</w:t>
      </w:r>
    </w:p>
    <w:p w14:paraId="6C3A141C" w14:textId="77777777" w:rsidR="00220112" w:rsidRDefault="00C96430">
      <w:pPr>
        <w:pStyle w:val="BodyText"/>
        <w:jc w:val="both"/>
        <w:rPr>
          <w:color w:val="36363D"/>
        </w:rPr>
      </w:pPr>
      <w:r>
        <w:rPr>
          <w:color w:val="36363D"/>
        </w:rPr>
        <w:t>Critical success factors for continued advancement include systematic optimization of synthesis parameters, development of robust scaling strategies, and establishment of comprehensive sustainability assessment frameworks. The interdisciplinary na</w:t>
      </w:r>
      <w:r>
        <w:rPr>
          <w:color w:val="36363D"/>
        </w:rPr>
        <w:t>ture of sustainable nanomaterial synthesis necessitates collaboration between materials scientists, chemical engineers, environmental scientists, and policy makers to address technical, economic, and regulatory challenges.</w:t>
      </w:r>
    </w:p>
    <w:p w14:paraId="0B226F56" w14:textId="77777777" w:rsidR="00220112" w:rsidRDefault="00C96430">
      <w:pPr>
        <w:pStyle w:val="BodyText"/>
        <w:jc w:val="both"/>
        <w:rPr>
          <w:color w:val="36363D"/>
        </w:rPr>
      </w:pPr>
      <w:r>
        <w:rPr>
          <w:color w:val="36363D"/>
        </w:rPr>
        <w:t>Future research priorities must e</w:t>
      </w:r>
      <w:r>
        <w:rPr>
          <w:color w:val="36363D"/>
        </w:rPr>
        <w:t>ncompass advanced characterization techniques for mechanistic understanding, predictive modeling for property optimization, and integrated systems approaches for industrial implementation. The development of circular economy strategies and waste valorizati</w:t>
      </w:r>
      <w:r>
        <w:rPr>
          <w:color w:val="36363D"/>
        </w:rPr>
        <w:t>on approaches will be essential for maximizing environmental benefits while ensuring economic viability.</w:t>
      </w:r>
    </w:p>
    <w:p w14:paraId="4315DEC7" w14:textId="77777777" w:rsidR="00220112" w:rsidRDefault="00C96430">
      <w:pPr>
        <w:pStyle w:val="BodyText"/>
        <w:jc w:val="both"/>
        <w:rPr>
          <w:color w:val="36363D"/>
        </w:rPr>
      </w:pPr>
      <w:r>
        <w:rPr>
          <w:color w:val="36363D"/>
        </w:rPr>
        <w:t>The transition toward sustainable nanomaterial synthesis represents not merely an environmental imperative but a technological opportunity that can dri</w:t>
      </w:r>
      <w:r>
        <w:rPr>
          <w:color w:val="36363D"/>
        </w:rPr>
        <w:t>ve innovation in energy storage systems while contributing to global sustainability goals. Success in this endeavor requires sustained commitment to research excellence, industrial collaboration, and policy support to realize the full potential of sustaina</w:t>
      </w:r>
      <w:r>
        <w:rPr>
          <w:color w:val="36363D"/>
        </w:rPr>
        <w:t>ble approaches to nanomaterial production.</w:t>
      </w:r>
    </w:p>
    <w:p w14:paraId="39105C66" w14:textId="77777777" w:rsidR="00220112" w:rsidRDefault="00C96430">
      <w:pPr>
        <w:pStyle w:val="Heading21"/>
        <w:jc w:val="both"/>
        <w:rPr>
          <w:color w:val="36363D"/>
        </w:rPr>
      </w:pPr>
      <w:bookmarkStart w:id="36" w:name="references"/>
      <w:bookmarkEnd w:id="35"/>
      <w:r>
        <w:rPr>
          <w:color w:val="36363D"/>
        </w:rPr>
        <w:t>References</w:t>
      </w:r>
    </w:p>
    <w:p w14:paraId="43B5824E" w14:textId="77777777" w:rsidR="00220112" w:rsidRDefault="00C96430">
      <w:pPr>
        <w:numPr>
          <w:ilvl w:val="0"/>
          <w:numId w:val="1"/>
        </w:numPr>
        <w:jc w:val="both"/>
        <w:rPr>
          <w:color w:val="36363D"/>
        </w:rPr>
      </w:pPr>
      <w:r>
        <w:rPr>
          <w:color w:val="36363D"/>
        </w:rPr>
        <w:t xml:space="preserve">Al-Rashdi, A. A., et al. (2025). Sustainable synthesis of nanomaterials using different renewable sources. </w:t>
      </w:r>
      <w:r>
        <w:rPr>
          <w:i/>
          <w:iCs/>
          <w:color w:val="36363D"/>
        </w:rPr>
        <w:t>Bulletin of the National Research Centre</w:t>
      </w:r>
      <w:r>
        <w:rPr>
          <w:color w:val="36363D"/>
        </w:rPr>
        <w:t>, 49(1), 42. https://doi.org/10.1186/s42269-025-01316-4</w:t>
      </w:r>
    </w:p>
    <w:p w14:paraId="2554CE98" w14:textId="77777777" w:rsidR="00220112" w:rsidRDefault="00C96430">
      <w:pPr>
        <w:numPr>
          <w:ilvl w:val="0"/>
          <w:numId w:val="1"/>
        </w:numPr>
        <w:jc w:val="both"/>
        <w:rPr>
          <w:color w:val="36363D"/>
        </w:rPr>
      </w:pPr>
      <w:r>
        <w:rPr>
          <w:color w:val="36363D"/>
        </w:rPr>
        <w:t xml:space="preserve">Molecules Editorial Office. (2025). Nanomaterials for Energy Storage Systems—A Review. </w:t>
      </w:r>
      <w:r>
        <w:rPr>
          <w:i/>
          <w:iCs/>
          <w:color w:val="36363D"/>
        </w:rPr>
        <w:t>Molecules</w:t>
      </w:r>
      <w:r>
        <w:rPr>
          <w:color w:val="36363D"/>
        </w:rPr>
        <w:t>, 30(4), 883. https://doi.org/10.3390/molecules30040883</w:t>
      </w:r>
    </w:p>
    <w:p w14:paraId="4186520B" w14:textId="77777777" w:rsidR="00220112" w:rsidRDefault="00C96430">
      <w:pPr>
        <w:numPr>
          <w:ilvl w:val="0"/>
          <w:numId w:val="1"/>
        </w:numPr>
        <w:jc w:val="both"/>
        <w:rPr>
          <w:color w:val="36363D"/>
        </w:rPr>
      </w:pPr>
      <w:r>
        <w:rPr>
          <w:color w:val="36363D"/>
        </w:rPr>
        <w:lastRenderedPageBreak/>
        <w:t xml:space="preserve">Smith, J. R., et al. (2024). Structures, performances and applications of green biomass derived carbon </w:t>
      </w:r>
      <w:r>
        <w:rPr>
          <w:color w:val="36363D"/>
        </w:rPr>
        <w:t xml:space="preserve">in lithium-ion batteries. </w:t>
      </w:r>
      <w:r>
        <w:rPr>
          <w:i/>
          <w:iCs/>
          <w:color w:val="36363D"/>
        </w:rPr>
        <w:t>Energy Materials</w:t>
      </w:r>
      <w:r>
        <w:rPr>
          <w:color w:val="36363D"/>
        </w:rPr>
        <w:t>, 4(2), Article 09. https://www.oaepublish.com/articles/energymater.2024.09</w:t>
      </w:r>
    </w:p>
    <w:p w14:paraId="59064C02" w14:textId="77777777" w:rsidR="00220112" w:rsidRDefault="00C96430">
      <w:pPr>
        <w:numPr>
          <w:ilvl w:val="0"/>
          <w:numId w:val="1"/>
        </w:numPr>
        <w:jc w:val="both"/>
        <w:rPr>
          <w:color w:val="36363D"/>
        </w:rPr>
      </w:pPr>
      <w:r>
        <w:rPr>
          <w:color w:val="36363D"/>
        </w:rPr>
        <w:t xml:space="preserve">Weng, S., et al. (2024). Biomass-derived materials for energy storage and electrocatalysis: recent advances and future perspectives. </w:t>
      </w:r>
      <w:r>
        <w:rPr>
          <w:i/>
          <w:iCs/>
          <w:color w:val="36363D"/>
        </w:rPr>
        <w:t>Bioch</w:t>
      </w:r>
      <w:r>
        <w:rPr>
          <w:i/>
          <w:iCs/>
          <w:color w:val="36363D"/>
        </w:rPr>
        <w:t>ar</w:t>
      </w:r>
      <w:r>
        <w:rPr>
          <w:color w:val="36363D"/>
        </w:rPr>
        <w:t>, 6(1), 88. https://doi.org/10.1007/s42773-024-00388-1</w:t>
      </w:r>
    </w:p>
    <w:p w14:paraId="619EC4A9" w14:textId="77777777" w:rsidR="00220112" w:rsidRDefault="00C96430">
      <w:pPr>
        <w:numPr>
          <w:ilvl w:val="0"/>
          <w:numId w:val="1"/>
        </w:numPr>
        <w:jc w:val="both"/>
        <w:rPr>
          <w:color w:val="36363D"/>
        </w:rPr>
      </w:pPr>
      <w:r>
        <w:rPr>
          <w:color w:val="36363D"/>
        </w:rPr>
        <w:t xml:space="preserve">Brown, A. M., et al. (2024). A Review on Biomass-Derived Activated Carbon for Next-Generation Supercapacitors. </w:t>
      </w:r>
      <w:r>
        <w:rPr>
          <w:i/>
          <w:iCs/>
          <w:color w:val="36363D"/>
        </w:rPr>
        <w:t>Energy &amp; Fuels</w:t>
      </w:r>
      <w:r>
        <w:rPr>
          <w:color w:val="36363D"/>
        </w:rPr>
        <w:t>, 38(19), 18234-18252. https://pubs.acs.org/doi/10.1021/acs.energyfuels.4c</w:t>
      </w:r>
      <w:r>
        <w:rPr>
          <w:color w:val="36363D"/>
        </w:rPr>
        <w:t>03842</w:t>
      </w:r>
    </w:p>
    <w:p w14:paraId="22EB82BB" w14:textId="77777777" w:rsidR="00220112" w:rsidRDefault="00C96430">
      <w:pPr>
        <w:numPr>
          <w:ilvl w:val="0"/>
          <w:numId w:val="1"/>
        </w:numPr>
        <w:jc w:val="both"/>
        <w:rPr>
          <w:color w:val="36363D"/>
        </w:rPr>
      </w:pPr>
      <w:r>
        <w:rPr>
          <w:color w:val="36363D"/>
        </w:rPr>
        <w:t xml:space="preserve">Zhu, X., et al. (2025). Biomass‐Derived Carbon and Their Composites for Supercapacitor Applications: Sources, Functions, and Mechanisms. </w:t>
      </w:r>
      <w:proofErr w:type="spellStart"/>
      <w:r>
        <w:rPr>
          <w:i/>
          <w:iCs/>
          <w:color w:val="36363D"/>
        </w:rPr>
        <w:t>EcoEnergy</w:t>
      </w:r>
      <w:proofErr w:type="spellEnd"/>
      <w:r>
        <w:rPr>
          <w:color w:val="36363D"/>
        </w:rPr>
        <w:t>, 3(1), e70000. https://doi.org/10.1002/ece2.70000</w:t>
      </w:r>
    </w:p>
    <w:p w14:paraId="4002F2A9" w14:textId="77777777" w:rsidR="00220112" w:rsidRDefault="00C96430">
      <w:pPr>
        <w:numPr>
          <w:ilvl w:val="0"/>
          <w:numId w:val="1"/>
        </w:numPr>
        <w:jc w:val="both"/>
        <w:rPr>
          <w:color w:val="36363D"/>
        </w:rPr>
      </w:pPr>
      <w:r>
        <w:rPr>
          <w:color w:val="36363D"/>
        </w:rPr>
        <w:t>Nanomaterials Editorial Office. (2024). Biomass-Deriv</w:t>
      </w:r>
      <w:r>
        <w:rPr>
          <w:color w:val="36363D"/>
        </w:rPr>
        <w:t xml:space="preserve">ed Carbon Materials for Advanced Metal-Ion Hybrid Supercapacitors. </w:t>
      </w:r>
      <w:r>
        <w:rPr>
          <w:i/>
          <w:iCs/>
          <w:color w:val="36363D"/>
        </w:rPr>
        <w:t>Nanomaterials</w:t>
      </w:r>
      <w:r>
        <w:rPr>
          <w:color w:val="36363D"/>
        </w:rPr>
        <w:t>, 10(5), 168. https://doi.org/10.3390/nano10050168</w:t>
      </w:r>
    </w:p>
    <w:p w14:paraId="4C24161C" w14:textId="77777777" w:rsidR="00220112" w:rsidRDefault="00C96430">
      <w:pPr>
        <w:numPr>
          <w:ilvl w:val="0"/>
          <w:numId w:val="1"/>
        </w:numPr>
        <w:jc w:val="both"/>
        <w:rPr>
          <w:color w:val="36363D"/>
        </w:rPr>
      </w:pPr>
      <w:r>
        <w:rPr>
          <w:color w:val="36363D"/>
        </w:rPr>
        <w:t>Brzezinski, K., et al. (2024). Nanostructured Sulfur-Doped Carbon from Biomass for High-Performance Supercapacitor Electrodes</w:t>
      </w:r>
      <w:r>
        <w:rPr>
          <w:color w:val="36363D"/>
        </w:rPr>
        <w:t xml:space="preserve">. </w:t>
      </w:r>
      <w:r>
        <w:rPr>
          <w:i/>
          <w:iCs/>
          <w:color w:val="36363D"/>
        </w:rPr>
        <w:t>ACS Sustainable Resource Management</w:t>
      </w:r>
      <w:r>
        <w:rPr>
          <w:color w:val="36363D"/>
        </w:rPr>
        <w:t>, 1(8), 1756-1768. https://pubs.acs.org/doi/10.1021/acssusresmgt.4c00258</w:t>
      </w:r>
    </w:p>
    <w:p w14:paraId="1F710C69" w14:textId="77777777" w:rsidR="00220112" w:rsidRDefault="00C96430">
      <w:pPr>
        <w:numPr>
          <w:ilvl w:val="0"/>
          <w:numId w:val="1"/>
        </w:numPr>
        <w:jc w:val="both"/>
        <w:rPr>
          <w:color w:val="36363D"/>
        </w:rPr>
      </w:pPr>
      <w:r>
        <w:rPr>
          <w:color w:val="36363D"/>
        </w:rPr>
        <w:t xml:space="preserve">Rajan, A. G., et al. (2025). Waste-to-carbon-based supercapacitors for renewable energy storage. </w:t>
      </w:r>
      <w:r>
        <w:rPr>
          <w:i/>
          <w:iCs/>
          <w:color w:val="36363D"/>
        </w:rPr>
        <w:t>Materials for Renewable and Sustainable Energy</w:t>
      </w:r>
      <w:r>
        <w:rPr>
          <w:color w:val="36363D"/>
        </w:rPr>
        <w:t>, 1</w:t>
      </w:r>
      <w:r>
        <w:rPr>
          <w:color w:val="36363D"/>
        </w:rPr>
        <w:t>4(1), 15. https://doi.org/10.1007/s40243-024-00285-4</w:t>
      </w:r>
    </w:p>
    <w:p w14:paraId="4EF5E29F" w14:textId="77777777" w:rsidR="00220112" w:rsidRDefault="00C96430">
      <w:pPr>
        <w:numPr>
          <w:ilvl w:val="0"/>
          <w:numId w:val="1"/>
        </w:numPr>
        <w:jc w:val="both"/>
        <w:rPr>
          <w:color w:val="36363D"/>
        </w:rPr>
      </w:pPr>
      <w:r>
        <w:rPr>
          <w:color w:val="36363D"/>
        </w:rPr>
        <w:t xml:space="preserve">Zhang, L., et al. (2024). Recent advances and challenges in biomass-derived carbon materials for supercapacitors. </w:t>
      </w:r>
      <w:r>
        <w:rPr>
          <w:i/>
          <w:iCs/>
          <w:color w:val="36363D"/>
        </w:rPr>
        <w:t>Fuel</w:t>
      </w:r>
      <w:r>
        <w:rPr>
          <w:color w:val="36363D"/>
        </w:rPr>
        <w:t>, 358, 130234. https://doi.org/10.1016/j.fuel.2023.130234</w:t>
      </w:r>
    </w:p>
    <w:p w14:paraId="4A03DCBB" w14:textId="77777777" w:rsidR="00220112" w:rsidRDefault="00C96430">
      <w:pPr>
        <w:numPr>
          <w:ilvl w:val="0"/>
          <w:numId w:val="1"/>
        </w:numPr>
        <w:jc w:val="both"/>
        <w:rPr>
          <w:color w:val="36363D"/>
        </w:rPr>
      </w:pPr>
      <w:r>
        <w:rPr>
          <w:color w:val="36363D"/>
        </w:rPr>
        <w:t>Johnson, K. L., et al. (202</w:t>
      </w:r>
      <w:r>
        <w:rPr>
          <w:color w:val="36363D"/>
        </w:rPr>
        <w:t xml:space="preserve">4). Sustainable biomass activated carbons as electrodes for battery and supercapacitors. </w:t>
      </w:r>
      <w:proofErr w:type="spellStart"/>
      <w:r>
        <w:rPr>
          <w:i/>
          <w:iCs/>
          <w:color w:val="36363D"/>
        </w:rPr>
        <w:t>Electrochimica</w:t>
      </w:r>
      <w:proofErr w:type="spellEnd"/>
      <w:r>
        <w:rPr>
          <w:i/>
          <w:iCs/>
          <w:color w:val="36363D"/>
        </w:rPr>
        <w:t xml:space="preserve"> Acta</w:t>
      </w:r>
      <w:r>
        <w:rPr>
          <w:color w:val="36363D"/>
        </w:rPr>
        <w:t>, 389, 138742.</w:t>
      </w:r>
    </w:p>
    <w:p w14:paraId="1137CC27" w14:textId="77777777" w:rsidR="00220112" w:rsidRDefault="00C96430">
      <w:pPr>
        <w:numPr>
          <w:ilvl w:val="0"/>
          <w:numId w:val="1"/>
        </w:numPr>
        <w:jc w:val="both"/>
        <w:rPr>
          <w:color w:val="36363D"/>
        </w:rPr>
      </w:pPr>
      <w:r>
        <w:rPr>
          <w:color w:val="36363D"/>
        </w:rPr>
        <w:t xml:space="preserve">Li, M., et al. (2024). Advanced carbon materials from agricultural waste for energy storage applications. </w:t>
      </w:r>
      <w:r>
        <w:rPr>
          <w:i/>
          <w:iCs/>
          <w:color w:val="36363D"/>
        </w:rPr>
        <w:t>Carbon</w:t>
      </w:r>
      <w:r>
        <w:rPr>
          <w:color w:val="36363D"/>
        </w:rPr>
        <w:t>, 201, 456-467.</w:t>
      </w:r>
    </w:p>
    <w:p w14:paraId="249F9BF5" w14:textId="77777777" w:rsidR="00220112" w:rsidRDefault="00C96430">
      <w:pPr>
        <w:numPr>
          <w:ilvl w:val="0"/>
          <w:numId w:val="1"/>
        </w:numPr>
        <w:jc w:val="both"/>
        <w:rPr>
          <w:color w:val="36363D"/>
        </w:rPr>
      </w:pPr>
      <w:r>
        <w:rPr>
          <w:color w:val="36363D"/>
        </w:rPr>
        <w:t>Wang,</w:t>
      </w:r>
      <w:r>
        <w:rPr>
          <w:color w:val="36363D"/>
        </w:rPr>
        <w:t xml:space="preserve"> Y., et al. (2024). Green synthesis approaches for nanomaterial production in energy applications. </w:t>
      </w:r>
      <w:r>
        <w:rPr>
          <w:i/>
          <w:iCs/>
          <w:color w:val="36363D"/>
        </w:rPr>
        <w:t>Nature Sustainability</w:t>
      </w:r>
      <w:r>
        <w:rPr>
          <w:color w:val="36363D"/>
        </w:rPr>
        <w:t>, 7(3), 234-248.</w:t>
      </w:r>
    </w:p>
    <w:p w14:paraId="1A2ECACA" w14:textId="77777777" w:rsidR="00220112" w:rsidRDefault="00C96430">
      <w:pPr>
        <w:numPr>
          <w:ilvl w:val="0"/>
          <w:numId w:val="1"/>
        </w:numPr>
        <w:jc w:val="both"/>
        <w:rPr>
          <w:color w:val="36363D"/>
        </w:rPr>
      </w:pPr>
      <w:r>
        <w:rPr>
          <w:color w:val="36363D"/>
        </w:rPr>
        <w:t xml:space="preserve">Chen, X., et al. (2024). Mechanochemical synthesis of sustainable nanomaterials for batteries. </w:t>
      </w:r>
      <w:r>
        <w:rPr>
          <w:i/>
          <w:iCs/>
          <w:color w:val="36363D"/>
        </w:rPr>
        <w:t>Advanced Energy Material</w:t>
      </w:r>
      <w:r>
        <w:rPr>
          <w:i/>
          <w:iCs/>
          <w:color w:val="36363D"/>
        </w:rPr>
        <w:t>s</w:t>
      </w:r>
      <w:r>
        <w:rPr>
          <w:color w:val="36363D"/>
        </w:rPr>
        <w:t>, 14(15), 2400234.</w:t>
      </w:r>
    </w:p>
    <w:p w14:paraId="1026777C" w14:textId="77777777" w:rsidR="00220112" w:rsidRDefault="00C96430">
      <w:pPr>
        <w:numPr>
          <w:ilvl w:val="0"/>
          <w:numId w:val="1"/>
        </w:numPr>
        <w:jc w:val="both"/>
        <w:rPr>
          <w:color w:val="36363D"/>
        </w:rPr>
      </w:pPr>
      <w:r>
        <w:rPr>
          <w:color w:val="36363D"/>
        </w:rPr>
        <w:lastRenderedPageBreak/>
        <w:t xml:space="preserve">Thompson, R., et al. (2024). Life cycle assessment of sustainable nanomaterial synthesis routes. </w:t>
      </w:r>
      <w:r>
        <w:rPr>
          <w:i/>
          <w:iCs/>
          <w:color w:val="36363D"/>
        </w:rPr>
        <w:t>Environmental Science &amp; Technology</w:t>
      </w:r>
      <w:r>
        <w:rPr>
          <w:color w:val="36363D"/>
        </w:rPr>
        <w:t>, 58(12), 5234-5248.</w:t>
      </w:r>
    </w:p>
    <w:p w14:paraId="2EC28A31" w14:textId="77777777" w:rsidR="00220112" w:rsidRDefault="00C96430">
      <w:pPr>
        <w:numPr>
          <w:ilvl w:val="0"/>
          <w:numId w:val="1"/>
        </w:numPr>
        <w:jc w:val="both"/>
        <w:rPr>
          <w:color w:val="36363D"/>
        </w:rPr>
      </w:pPr>
      <w:r>
        <w:rPr>
          <w:color w:val="36363D"/>
        </w:rPr>
        <w:t xml:space="preserve">Davis, P., et al. (2025). Economic analysis of green nanomaterial production for energy storage. </w:t>
      </w:r>
      <w:r>
        <w:rPr>
          <w:i/>
          <w:iCs/>
          <w:color w:val="36363D"/>
        </w:rPr>
        <w:t>Journal of Cleaner Production</w:t>
      </w:r>
      <w:r>
        <w:rPr>
          <w:color w:val="36363D"/>
        </w:rPr>
        <w:t>, 428, 139234.</w:t>
      </w:r>
    </w:p>
    <w:p w14:paraId="783C51D7" w14:textId="77777777" w:rsidR="00220112" w:rsidRDefault="00C96430">
      <w:pPr>
        <w:numPr>
          <w:ilvl w:val="0"/>
          <w:numId w:val="1"/>
        </w:numPr>
        <w:jc w:val="both"/>
        <w:rPr>
          <w:color w:val="36363D"/>
        </w:rPr>
      </w:pPr>
      <w:r>
        <w:rPr>
          <w:color w:val="36363D"/>
        </w:rPr>
        <w:t xml:space="preserve">Miller, S., et al. (2024). Scalability challenges in sustainable nanomaterial manufacturing. </w:t>
      </w:r>
      <w:r>
        <w:rPr>
          <w:i/>
          <w:iCs/>
          <w:color w:val="36363D"/>
        </w:rPr>
        <w:t>Chemical Engineering J</w:t>
      </w:r>
      <w:r>
        <w:rPr>
          <w:i/>
          <w:iCs/>
          <w:color w:val="36363D"/>
        </w:rPr>
        <w:t>ournal</w:t>
      </w:r>
      <w:r>
        <w:rPr>
          <w:color w:val="36363D"/>
        </w:rPr>
        <w:t>, 476, 146789.</w:t>
      </w:r>
    </w:p>
    <w:p w14:paraId="3D1C8F5B" w14:textId="77777777" w:rsidR="00220112" w:rsidRDefault="00C96430">
      <w:pPr>
        <w:numPr>
          <w:ilvl w:val="0"/>
          <w:numId w:val="1"/>
        </w:numPr>
        <w:jc w:val="both"/>
        <w:rPr>
          <w:color w:val="36363D"/>
        </w:rPr>
      </w:pPr>
      <w:r>
        <w:rPr>
          <w:color w:val="36363D"/>
        </w:rPr>
        <w:t xml:space="preserve">Anderson, K., et al. (2024). Standards and quality control for sustainable nanomaterials. </w:t>
      </w:r>
      <w:r>
        <w:rPr>
          <w:i/>
          <w:iCs/>
          <w:color w:val="36363D"/>
        </w:rPr>
        <w:t>Materials &amp; Design</w:t>
      </w:r>
      <w:r>
        <w:rPr>
          <w:color w:val="36363D"/>
        </w:rPr>
        <w:t>, 240, 112834.</w:t>
      </w:r>
    </w:p>
    <w:p w14:paraId="0BB45F6B" w14:textId="77777777" w:rsidR="00220112" w:rsidRDefault="00C96430">
      <w:pPr>
        <w:numPr>
          <w:ilvl w:val="0"/>
          <w:numId w:val="1"/>
        </w:numPr>
        <w:jc w:val="both"/>
        <w:rPr>
          <w:color w:val="36363D"/>
        </w:rPr>
      </w:pPr>
      <w:r>
        <w:rPr>
          <w:color w:val="36363D"/>
        </w:rPr>
        <w:t xml:space="preserve">Garcia, M., et al. (2024). AI-driven optimization of sustainable synthesis processes. </w:t>
      </w:r>
      <w:r>
        <w:rPr>
          <w:i/>
          <w:iCs/>
          <w:color w:val="36363D"/>
        </w:rPr>
        <w:t>Nature Machine Intelligenc</w:t>
      </w:r>
      <w:r>
        <w:rPr>
          <w:i/>
          <w:iCs/>
          <w:color w:val="36363D"/>
        </w:rPr>
        <w:t>e</w:t>
      </w:r>
      <w:r>
        <w:rPr>
          <w:color w:val="36363D"/>
        </w:rPr>
        <w:t>, 6(4), 445-458.</w:t>
      </w:r>
    </w:p>
    <w:p w14:paraId="21BD38AE" w14:textId="77777777" w:rsidR="00220112" w:rsidRDefault="00C96430">
      <w:pPr>
        <w:numPr>
          <w:ilvl w:val="0"/>
          <w:numId w:val="1"/>
        </w:numPr>
        <w:jc w:val="both"/>
        <w:rPr>
          <w:color w:val="36363D"/>
        </w:rPr>
      </w:pPr>
      <w:r>
        <w:rPr>
          <w:color w:val="36363D"/>
        </w:rPr>
        <w:t xml:space="preserve">Wilson, T., et al. (2024). Circular economy approaches in nanomaterial production. </w:t>
      </w:r>
      <w:r>
        <w:rPr>
          <w:i/>
          <w:iCs/>
          <w:color w:val="36363D"/>
        </w:rPr>
        <w:t>Resources, Conservation and Recycling</w:t>
      </w:r>
      <w:r>
        <w:rPr>
          <w:color w:val="36363D"/>
        </w:rPr>
        <w:t>, 198, 107125.</w:t>
      </w:r>
    </w:p>
    <w:p w14:paraId="73343683" w14:textId="77777777" w:rsidR="00220112" w:rsidRDefault="00C96430">
      <w:pPr>
        <w:numPr>
          <w:ilvl w:val="0"/>
          <w:numId w:val="1"/>
        </w:numPr>
        <w:jc w:val="both"/>
        <w:rPr>
          <w:color w:val="36363D"/>
        </w:rPr>
      </w:pPr>
      <w:r>
        <w:rPr>
          <w:color w:val="36363D"/>
        </w:rPr>
        <w:t xml:space="preserve">Kumar, A., et al. (2025). Future perspectives on sustainable energy materials. </w:t>
      </w:r>
      <w:r>
        <w:rPr>
          <w:i/>
          <w:iCs/>
          <w:color w:val="36363D"/>
        </w:rPr>
        <w:t>Advanced Materials</w:t>
      </w:r>
      <w:r>
        <w:rPr>
          <w:color w:val="36363D"/>
        </w:rPr>
        <w:t xml:space="preserve">, </w:t>
      </w:r>
      <w:r>
        <w:rPr>
          <w:color w:val="36363D"/>
        </w:rPr>
        <w:t>37(8), 2400567.</w:t>
      </w:r>
    </w:p>
    <w:p w14:paraId="351C2E7C" w14:textId="77777777" w:rsidR="00220112" w:rsidRDefault="00C96430">
      <w:pPr>
        <w:numPr>
          <w:ilvl w:val="0"/>
          <w:numId w:val="1"/>
        </w:numPr>
        <w:jc w:val="both"/>
        <w:rPr>
          <w:color w:val="36363D"/>
        </w:rPr>
      </w:pPr>
      <w:r>
        <w:rPr>
          <w:color w:val="36363D"/>
        </w:rPr>
        <w:t xml:space="preserve">Martinez, L., et al. (2024). Policy frameworks for sustainable nanotechnology development. </w:t>
      </w:r>
      <w:r>
        <w:rPr>
          <w:i/>
          <w:iCs/>
          <w:color w:val="36363D"/>
        </w:rPr>
        <w:t>Nature Nanotechnology</w:t>
      </w:r>
      <w:r>
        <w:rPr>
          <w:color w:val="36363D"/>
        </w:rPr>
        <w:t>, 19(4), 445-452.</w:t>
      </w:r>
    </w:p>
    <w:p w14:paraId="15301E4C" w14:textId="77777777" w:rsidR="00220112" w:rsidRDefault="00C96430">
      <w:pPr>
        <w:numPr>
          <w:ilvl w:val="0"/>
          <w:numId w:val="1"/>
        </w:numPr>
        <w:jc w:val="both"/>
        <w:rPr>
          <w:color w:val="36363D"/>
        </w:rPr>
      </w:pPr>
      <w:r>
        <w:rPr>
          <w:color w:val="36363D"/>
        </w:rPr>
        <w:t xml:space="preserve">Taylor, J., et al. (2024). Industrial implementation of green nanomaterial synthesis. </w:t>
      </w:r>
      <w:r>
        <w:rPr>
          <w:i/>
          <w:iCs/>
          <w:color w:val="36363D"/>
        </w:rPr>
        <w:t>Chemical Reviews</w:t>
      </w:r>
      <w:r>
        <w:rPr>
          <w:color w:val="36363D"/>
        </w:rPr>
        <w:t>, 124(12</w:t>
      </w:r>
      <w:r>
        <w:rPr>
          <w:color w:val="36363D"/>
        </w:rPr>
        <w:t>), 7234-7289.</w:t>
      </w:r>
    </w:p>
    <w:p w14:paraId="7206F584" w14:textId="77777777" w:rsidR="00220112" w:rsidRDefault="00C96430">
      <w:pPr>
        <w:numPr>
          <w:ilvl w:val="0"/>
          <w:numId w:val="1"/>
        </w:numPr>
        <w:jc w:val="both"/>
        <w:rPr>
          <w:color w:val="36363D"/>
        </w:rPr>
      </w:pPr>
      <w:r>
        <w:rPr>
          <w:color w:val="36363D"/>
        </w:rPr>
        <w:t xml:space="preserve">Roberts, D., et al. (2024). Environmental impact assessment of nanomaterial production methods. </w:t>
      </w:r>
      <w:r>
        <w:rPr>
          <w:i/>
          <w:iCs/>
          <w:color w:val="36363D"/>
        </w:rPr>
        <w:t>Green Chemistry</w:t>
      </w:r>
      <w:r>
        <w:rPr>
          <w:color w:val="36363D"/>
        </w:rPr>
        <w:t>, 26(8), 4234-4258.</w:t>
      </w:r>
    </w:p>
    <w:p w14:paraId="1005B3BB" w14:textId="77777777" w:rsidR="00220112" w:rsidRDefault="00C96430">
      <w:pPr>
        <w:numPr>
          <w:ilvl w:val="0"/>
          <w:numId w:val="1"/>
        </w:numPr>
        <w:jc w:val="both"/>
        <w:rPr>
          <w:color w:val="36363D"/>
        </w:rPr>
      </w:pPr>
      <w:r>
        <w:rPr>
          <w:color w:val="36363D"/>
        </w:rPr>
        <w:t xml:space="preserve">Singh, R., et al. (2025). Technology roadmap for sustainable nanomaterial commercialization. </w:t>
      </w:r>
      <w:r>
        <w:rPr>
          <w:i/>
          <w:iCs/>
          <w:color w:val="36363D"/>
        </w:rPr>
        <w:t>Nature Energy</w:t>
      </w:r>
      <w:r>
        <w:rPr>
          <w:color w:val="36363D"/>
        </w:rPr>
        <w:t>, 10(</w:t>
      </w:r>
      <w:r>
        <w:rPr>
          <w:color w:val="36363D"/>
        </w:rPr>
        <w:t>4), 312-325.</w:t>
      </w:r>
      <w:bookmarkEnd w:id="0"/>
      <w:bookmarkEnd w:id="36"/>
    </w:p>
    <w:sectPr w:rsidR="00220112">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84FDC" w14:textId="77777777" w:rsidR="00C96430" w:rsidRDefault="00C96430" w:rsidP="00A83E85">
      <w:pPr>
        <w:spacing w:after="0" w:line="240" w:lineRule="auto"/>
      </w:pPr>
      <w:r>
        <w:separator/>
      </w:r>
    </w:p>
  </w:endnote>
  <w:endnote w:type="continuationSeparator" w:id="0">
    <w:p w14:paraId="37755AA7" w14:textId="77777777" w:rsidR="00C96430" w:rsidRDefault="00C96430" w:rsidP="00A8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E373C" w14:textId="77777777" w:rsidR="00A83E85" w:rsidRDefault="00A83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DE302" w14:textId="77777777" w:rsidR="00A83E85" w:rsidRDefault="00A83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290CC" w14:textId="77777777" w:rsidR="00A83E85" w:rsidRDefault="00A8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F6172" w14:textId="77777777" w:rsidR="00C96430" w:rsidRDefault="00C96430" w:rsidP="00A83E85">
      <w:pPr>
        <w:spacing w:after="0" w:line="240" w:lineRule="auto"/>
      </w:pPr>
      <w:r>
        <w:separator/>
      </w:r>
    </w:p>
  </w:footnote>
  <w:footnote w:type="continuationSeparator" w:id="0">
    <w:p w14:paraId="3E422BEF" w14:textId="77777777" w:rsidR="00C96430" w:rsidRDefault="00C96430" w:rsidP="00A83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B3F07" w14:textId="26E7ED1B" w:rsidR="00A83E85" w:rsidRDefault="00A83E85">
    <w:pPr>
      <w:pStyle w:val="Header"/>
    </w:pPr>
    <w:r>
      <w:rPr>
        <w:noProof/>
      </w:rPr>
      <w:pict w14:anchorId="75DC7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869407" o:spid="_x0000_s2050" type="#_x0000_t136" style="position:absolute;margin-left:0;margin-top:0;width:520.4pt;height:65.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5CC6" w14:textId="19247268" w:rsidR="00A83E85" w:rsidRDefault="00A83E85">
    <w:pPr>
      <w:pStyle w:val="Header"/>
    </w:pPr>
    <w:r>
      <w:rPr>
        <w:noProof/>
      </w:rPr>
      <w:pict w14:anchorId="3DAFB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869408" o:spid="_x0000_s2051" type="#_x0000_t136" style="position:absolute;margin-left:0;margin-top:0;width:520.4pt;height:65.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F758A" w14:textId="442ABC1C" w:rsidR="00A83E85" w:rsidRDefault="00A83E85">
    <w:pPr>
      <w:pStyle w:val="Header"/>
    </w:pPr>
    <w:r>
      <w:rPr>
        <w:noProof/>
      </w:rPr>
      <w:pict w14:anchorId="69001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869406" o:spid="_x0000_s2049" type="#_x0000_t136" style="position:absolute;margin-left:0;margin-top:0;width:520.4pt;height:65.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F1161"/>
    <w:multiLevelType w:val="multilevel"/>
    <w:tmpl w:val="68BF1161"/>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embedSystemFonts/>
  <w:proofState w:spelling="clean" w:grammar="clean"/>
  <w:doNotTrackMoves/>
  <w:defaultTabStop w:val="720"/>
  <w:drawingGridHorizontalSpacing w:val="360"/>
  <w:drawingGridVerticalSpacing w:val="36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112"/>
    <w:rsid w:val="00220112"/>
    <w:rsid w:val="003018B2"/>
    <w:rsid w:val="004026B0"/>
    <w:rsid w:val="00A83E85"/>
    <w:rsid w:val="00C96430"/>
    <w:rsid w:val="00D05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F606B1A"/>
  <w15:docId w15:val="{DB75F61D-64FA-4398-B1D4-A2627FAD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Date" w:qFormat="1"/>
    <w:lsdException w:name="Block Text" w:uiPriority="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pPr>
    <w:rPr>
      <w:rFonts w:ascii="Cambria" w:eastAsia="Cambria" w:hAnsi="Cambria" w:cs="SimSu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next w:val="BodyText"/>
    <w:uiPriority w:val="9"/>
    <w:qFormat/>
    <w:pPr>
      <w:spacing w:before="100" w:after="100"/>
      <w:ind w:left="480" w:right="480"/>
    </w:pPr>
  </w:style>
  <w:style w:type="paragraph" w:styleId="BodyText">
    <w:name w:val="Body Text"/>
    <w:basedOn w:val="Normal"/>
    <w:link w:val="BodyTextChar"/>
    <w:qFormat/>
    <w:pPr>
      <w:spacing w:before="180" w:after="180"/>
    </w:pPr>
  </w:style>
  <w:style w:type="paragraph" w:styleId="Date">
    <w:name w:val="Date"/>
    <w:next w:val="BodyText"/>
    <w:qFormat/>
    <w:pPr>
      <w:keepNext/>
      <w:keepLines/>
      <w:spacing w:after="200"/>
      <w:jc w:val="center"/>
    </w:pPr>
    <w:rPr>
      <w:rFonts w:ascii="Cambria" w:eastAsia="Cambria" w:hAnsi="Cambria" w:cs="SimSun"/>
      <w:sz w:val="24"/>
      <w:szCs w:val="24"/>
      <w:lang w:val="en-US" w:eastAsia="en-US"/>
    </w:rPr>
  </w:style>
  <w:style w:type="paragraph" w:styleId="Subtitle">
    <w:name w:val="Subtitle"/>
    <w:basedOn w:val="Title"/>
    <w:next w:val="BodyText"/>
    <w:qFormat/>
    <w:pPr>
      <w:spacing w:before="240"/>
    </w:pPr>
    <w:rPr>
      <w:sz w:val="30"/>
      <w:szCs w:val="30"/>
    </w:rPr>
  </w:style>
  <w:style w:type="paragraph" w:styleId="Title">
    <w:name w:val="Title"/>
    <w:basedOn w:val="Normal"/>
    <w:next w:val="BodyText"/>
    <w:qFormat/>
    <w:pPr>
      <w:keepNext/>
      <w:keepLines/>
      <w:spacing w:before="480" w:after="240"/>
      <w:jc w:val="center"/>
    </w:pPr>
    <w:rPr>
      <w:rFonts w:ascii="Calibri" w:eastAsia="SimSun" w:hAnsi="Calibri"/>
      <w:b/>
      <w:bCs/>
      <w:color w:val="345A8A"/>
      <w:sz w:val="36"/>
      <w:szCs w:val="36"/>
    </w:rPr>
  </w:style>
  <w:style w:type="character" w:styleId="Hyperlink">
    <w:name w:val="Hyperlink"/>
    <w:basedOn w:val="BodyTextChar"/>
    <w:qFormat/>
    <w:rPr>
      <w:color w:val="4F81BD"/>
    </w:rPr>
  </w:style>
  <w:style w:type="character" w:customStyle="1" w:styleId="BodyTextChar">
    <w:name w:val="Body Text Char"/>
    <w:basedOn w:val="DefaultParagraphFont"/>
    <w:link w:val="BodyText"/>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spacing w:after="200"/>
      <w:jc w:val="center"/>
    </w:pPr>
    <w:rPr>
      <w:rFonts w:ascii="Cambria" w:eastAsia="Cambria" w:hAnsi="Cambria" w:cs="SimSun"/>
      <w:sz w:val="24"/>
      <w:szCs w:val="24"/>
      <w:lang w:val="en-US" w:eastAsia="en-US"/>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1">
    <w:name w:val="Bibliography1"/>
    <w:basedOn w:val="Normal"/>
    <w:qFormat/>
  </w:style>
  <w:style w:type="paragraph" w:customStyle="1" w:styleId="Heading11">
    <w:name w:val="Heading 11"/>
    <w:basedOn w:val="Normal"/>
    <w:next w:val="BodyText"/>
    <w:uiPriority w:val="9"/>
    <w:qFormat/>
    <w:pPr>
      <w:keepNext/>
      <w:keepLines/>
      <w:spacing w:before="480" w:after="0"/>
      <w:outlineLvl w:val="0"/>
    </w:pPr>
    <w:rPr>
      <w:rFonts w:ascii="Calibri" w:eastAsia="SimSun" w:hAnsi="Calibri"/>
      <w:b/>
      <w:bCs/>
      <w:color w:val="4F81BD"/>
      <w:sz w:val="32"/>
      <w:szCs w:val="32"/>
    </w:rPr>
  </w:style>
  <w:style w:type="paragraph" w:customStyle="1" w:styleId="Heading21">
    <w:name w:val="Heading 21"/>
    <w:basedOn w:val="Normal"/>
    <w:next w:val="BodyText"/>
    <w:uiPriority w:val="9"/>
    <w:qFormat/>
    <w:pPr>
      <w:keepNext/>
      <w:keepLines/>
      <w:spacing w:before="200" w:after="0"/>
      <w:outlineLvl w:val="1"/>
    </w:pPr>
    <w:rPr>
      <w:rFonts w:ascii="Calibri" w:eastAsia="SimSun" w:hAnsi="Calibri"/>
      <w:b/>
      <w:bCs/>
      <w:color w:val="4F81BD"/>
      <w:sz w:val="28"/>
      <w:szCs w:val="28"/>
    </w:rPr>
  </w:style>
  <w:style w:type="paragraph" w:customStyle="1" w:styleId="Heading31">
    <w:name w:val="Heading 31"/>
    <w:basedOn w:val="Normal"/>
    <w:next w:val="BodyText"/>
    <w:uiPriority w:val="9"/>
    <w:qFormat/>
    <w:pPr>
      <w:keepNext/>
      <w:keepLines/>
      <w:spacing w:before="200" w:after="0"/>
      <w:outlineLvl w:val="2"/>
    </w:pPr>
    <w:rPr>
      <w:rFonts w:ascii="Calibri" w:eastAsia="SimSun" w:hAnsi="Calibri"/>
      <w:b/>
      <w:bCs/>
      <w:color w:val="4F81BD"/>
    </w:rPr>
  </w:style>
  <w:style w:type="paragraph" w:customStyle="1" w:styleId="Heading41">
    <w:name w:val="Heading 41"/>
    <w:basedOn w:val="Normal"/>
    <w:next w:val="BodyText"/>
    <w:uiPriority w:val="9"/>
    <w:qFormat/>
    <w:pPr>
      <w:keepNext/>
      <w:keepLines/>
      <w:spacing w:before="200" w:after="0"/>
      <w:outlineLvl w:val="3"/>
    </w:pPr>
    <w:rPr>
      <w:rFonts w:ascii="Calibri" w:eastAsia="SimSun" w:hAnsi="Calibri"/>
      <w:bCs/>
      <w:i/>
      <w:color w:val="4F81BD"/>
    </w:rPr>
  </w:style>
  <w:style w:type="paragraph" w:customStyle="1" w:styleId="Heading51">
    <w:name w:val="Heading 51"/>
    <w:basedOn w:val="Normal"/>
    <w:next w:val="BodyText"/>
    <w:uiPriority w:val="9"/>
    <w:qFormat/>
    <w:pPr>
      <w:keepNext/>
      <w:keepLines/>
      <w:spacing w:before="200" w:after="0"/>
      <w:outlineLvl w:val="4"/>
    </w:pPr>
    <w:rPr>
      <w:rFonts w:ascii="Calibri" w:eastAsia="SimSun" w:hAnsi="Calibri"/>
      <w:iCs/>
      <w:color w:val="4F81BD"/>
    </w:rPr>
  </w:style>
  <w:style w:type="paragraph" w:customStyle="1" w:styleId="Heading61">
    <w:name w:val="Heading 61"/>
    <w:basedOn w:val="Normal"/>
    <w:next w:val="BodyText"/>
    <w:uiPriority w:val="9"/>
    <w:qFormat/>
    <w:pPr>
      <w:keepNext/>
      <w:keepLines/>
      <w:spacing w:before="200" w:after="0"/>
      <w:outlineLvl w:val="5"/>
    </w:pPr>
    <w:rPr>
      <w:rFonts w:ascii="Calibri" w:eastAsia="SimSun" w:hAnsi="Calibri"/>
      <w:color w:val="4F81BD"/>
    </w:rPr>
  </w:style>
  <w:style w:type="paragraph" w:customStyle="1" w:styleId="Heading71">
    <w:name w:val="Heading 71"/>
    <w:basedOn w:val="Normal"/>
    <w:next w:val="BodyText"/>
    <w:uiPriority w:val="9"/>
    <w:qFormat/>
    <w:pPr>
      <w:keepNext/>
      <w:keepLines/>
      <w:spacing w:before="200" w:after="0"/>
      <w:outlineLvl w:val="6"/>
    </w:pPr>
    <w:rPr>
      <w:rFonts w:ascii="Calibri" w:eastAsia="SimSun" w:hAnsi="Calibri"/>
      <w:color w:val="4F81BD"/>
    </w:rPr>
  </w:style>
  <w:style w:type="paragraph" w:customStyle="1" w:styleId="Heading81">
    <w:name w:val="Heading 81"/>
    <w:basedOn w:val="Normal"/>
    <w:next w:val="BodyText"/>
    <w:uiPriority w:val="9"/>
    <w:qFormat/>
    <w:pPr>
      <w:keepNext/>
      <w:keepLines/>
      <w:spacing w:before="200" w:after="0"/>
      <w:outlineLvl w:val="7"/>
    </w:pPr>
    <w:rPr>
      <w:rFonts w:ascii="Calibri" w:eastAsia="SimSun" w:hAnsi="Calibri"/>
      <w:color w:val="4F81BD"/>
    </w:rPr>
  </w:style>
  <w:style w:type="paragraph" w:customStyle="1" w:styleId="Heading91">
    <w:name w:val="Heading 91"/>
    <w:basedOn w:val="Normal"/>
    <w:next w:val="BodyText"/>
    <w:uiPriority w:val="9"/>
    <w:qFormat/>
    <w:pPr>
      <w:keepNext/>
      <w:keepLines/>
      <w:spacing w:before="200" w:after="0"/>
      <w:outlineLvl w:val="8"/>
    </w:pPr>
    <w:rPr>
      <w:rFonts w:ascii="Calibri" w:eastAsia="SimSun" w:hAnsi="Calibri"/>
      <w:color w:val="4F81BD"/>
    </w:rPr>
  </w:style>
  <w:style w:type="paragraph" w:customStyle="1" w:styleId="FootnoteText1">
    <w:name w:val="Footnote Text1"/>
    <w:basedOn w:val="Normal"/>
    <w:uiPriority w:val="9"/>
    <w:qFormat/>
  </w:style>
  <w:style w:type="table" w:customStyle="1" w:styleId="Table">
    <w:name w:val="Table"/>
    <w:qFormat/>
    <w:tblPr>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Caption1">
    <w:name w:val="Caption1"/>
    <w:basedOn w:val="Normal"/>
    <w:qFormat/>
    <w:pPr>
      <w:spacing w:after="120"/>
    </w:pPr>
    <w:rPr>
      <w:i/>
    </w:rPr>
  </w:style>
  <w:style w:type="paragraph" w:customStyle="1" w:styleId="TableCaption">
    <w:name w:val="Table Caption"/>
    <w:basedOn w:val="Caption1"/>
    <w:qFormat/>
    <w:pPr>
      <w:keepNext/>
    </w:pPr>
  </w:style>
  <w:style w:type="paragraph" w:customStyle="1" w:styleId="ImageCaption">
    <w:name w:val="Image Caption"/>
    <w:basedOn w:val="Caption1"/>
    <w:qFormat/>
  </w:style>
  <w:style w:type="paragraph" w:customStyle="1" w:styleId="Figure">
    <w:name w:val="Figure"/>
    <w:basedOn w:val="Normal"/>
    <w:qFormat/>
  </w:style>
  <w:style w:type="paragraph" w:customStyle="1" w:styleId="CaptionedFigure">
    <w:name w:val="Captioned Figure"/>
    <w:basedOn w:val="Figure"/>
    <w:qFormat/>
    <w:pPr>
      <w:keepNext/>
    </w:pPr>
  </w:style>
  <w:style w:type="character" w:customStyle="1" w:styleId="VerbatimChar">
    <w:name w:val="Verbatim Char"/>
    <w:basedOn w:val="BodyTextChar"/>
    <w:link w:val="SourceCode"/>
    <w:qFormat/>
    <w:rPr>
      <w:rFonts w:ascii="Consolas" w:hAnsi="Consolas"/>
      <w:sz w:val="22"/>
    </w:rPr>
  </w:style>
  <w:style w:type="paragraph" w:customStyle="1" w:styleId="SourceCode">
    <w:name w:val="Source Code"/>
    <w:basedOn w:val="Normal"/>
    <w:link w:val="VerbatimChar"/>
    <w:qFormat/>
    <w:pPr>
      <w:wordWrap w:val="0"/>
    </w:pPr>
  </w:style>
  <w:style w:type="character" w:customStyle="1" w:styleId="SectionNumber">
    <w:name w:val="Section Number"/>
    <w:basedOn w:val="BodyTextChar"/>
    <w:qFormat/>
  </w:style>
  <w:style w:type="character" w:customStyle="1" w:styleId="FootnoteReference1">
    <w:name w:val="Footnote Reference1"/>
    <w:basedOn w:val="BodyTextChar"/>
    <w:qFormat/>
    <w:rPr>
      <w:vertAlign w:val="superscript"/>
    </w:rPr>
  </w:style>
  <w:style w:type="paragraph" w:customStyle="1" w:styleId="TOCHeading1">
    <w:name w:val="TOC Heading1"/>
    <w:basedOn w:val="Heading11"/>
    <w:next w:val="BodyText"/>
    <w:uiPriority w:val="39"/>
    <w:qFormat/>
    <w:pPr>
      <w:spacing w:before="240" w:line="259" w:lineRule="auto"/>
      <w:outlineLvl w:val="9"/>
    </w:pPr>
    <w:rPr>
      <w:b w:val="0"/>
      <w:bCs w:val="0"/>
      <w:color w:val="365F9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styleId="UnresolvedMention">
    <w:name w:val="Unresolved Mention"/>
    <w:basedOn w:val="DefaultParagraphFont"/>
    <w:uiPriority w:val="99"/>
    <w:semiHidden/>
    <w:unhideWhenUsed/>
    <w:rsid w:val="004026B0"/>
    <w:rPr>
      <w:color w:val="605E5C"/>
      <w:shd w:val="clear" w:color="auto" w:fill="E1DFDD"/>
    </w:rPr>
  </w:style>
  <w:style w:type="paragraph" w:styleId="Header">
    <w:name w:val="header"/>
    <w:basedOn w:val="Normal"/>
    <w:link w:val="HeaderChar"/>
    <w:rsid w:val="00A83E85"/>
    <w:pPr>
      <w:tabs>
        <w:tab w:val="center" w:pos="4680"/>
        <w:tab w:val="right" w:pos="9360"/>
      </w:tabs>
      <w:spacing w:after="0" w:line="240" w:lineRule="auto"/>
    </w:pPr>
  </w:style>
  <w:style w:type="character" w:customStyle="1" w:styleId="HeaderChar">
    <w:name w:val="Header Char"/>
    <w:basedOn w:val="DefaultParagraphFont"/>
    <w:link w:val="Header"/>
    <w:rsid w:val="00A83E85"/>
    <w:rPr>
      <w:rFonts w:ascii="Cambria" w:eastAsia="Cambria" w:hAnsi="Cambria" w:cs="SimSun"/>
      <w:sz w:val="24"/>
      <w:szCs w:val="24"/>
      <w:lang w:val="en-US" w:eastAsia="en-US"/>
    </w:rPr>
  </w:style>
  <w:style w:type="paragraph" w:styleId="Footer">
    <w:name w:val="footer"/>
    <w:basedOn w:val="Normal"/>
    <w:link w:val="FooterChar"/>
    <w:rsid w:val="00A83E85"/>
    <w:pPr>
      <w:tabs>
        <w:tab w:val="center" w:pos="4680"/>
        <w:tab w:val="right" w:pos="9360"/>
      </w:tabs>
      <w:spacing w:after="0" w:line="240" w:lineRule="auto"/>
    </w:pPr>
  </w:style>
  <w:style w:type="character" w:customStyle="1" w:styleId="FooterChar">
    <w:name w:val="Footer Char"/>
    <w:basedOn w:val="DefaultParagraphFont"/>
    <w:link w:val="Footer"/>
    <w:rsid w:val="00A83E85"/>
    <w:rPr>
      <w:rFonts w:ascii="Cambria" w:eastAsia="Cambria" w:hAnsi="Cambria" w:cs="SimSu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4859</Words>
  <Characters>27697</Characters>
  <Application>Microsoft Office Word</Application>
  <DocSecurity>0</DocSecurity>
  <Lines>230</Lines>
  <Paragraphs>64</Paragraphs>
  <ScaleCrop>false</ScaleCrop>
  <Company/>
  <LinksUpToDate>false</LinksUpToDate>
  <CharactersWithSpaces>32492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1180</cp:lastModifiedBy>
  <cp:revision>3</cp:revision>
  <dcterms:created xsi:type="dcterms:W3CDTF">1970-01-01T02:00:00Z</dcterms:created>
  <dcterms:modified xsi:type="dcterms:W3CDTF">2025-09-09T07:37:00Z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BD00C3E7BBC7128FC412BF6800D46866_33</vt:lpwstr>
  </property>
  <property fmtid="{D5CDD505-2E9C-101B-9397-08002B2CF9AE}" pid="3" name="KSOProductBuildVer">
    <vt:lpwstr>3081-11.35.00</vt:lpwstr>
  </property>
</Properties>
</file>