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AB1D" w14:textId="77777777" w:rsidR="00862424" w:rsidRDefault="00DD7026">
      <w:pPr>
        <w:jc w:val="center"/>
      </w:pPr>
      <w:r>
        <w:rPr>
          <w:b/>
          <w:sz w:val="32"/>
        </w:rPr>
        <w:t xml:space="preserve">Optimizing the Laboratory’s Role in Monitoring Vitamin K Antagonist Therapy: A Cross-Analysis at </w:t>
      </w:r>
      <w:proofErr w:type="spellStart"/>
      <w:r>
        <w:rPr>
          <w:b/>
          <w:sz w:val="32"/>
        </w:rPr>
        <w:t>Hôpital</w:t>
      </w:r>
      <w:proofErr w:type="spellEnd"/>
      <w:r>
        <w:rPr>
          <w:b/>
          <w:sz w:val="32"/>
        </w:rPr>
        <w:t xml:space="preserve"> de la </w:t>
      </w:r>
      <w:proofErr w:type="spellStart"/>
      <w:r>
        <w:rPr>
          <w:b/>
          <w:sz w:val="32"/>
        </w:rPr>
        <w:t>Paix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Ziguinchor</w:t>
      </w:r>
      <w:proofErr w:type="spellEnd"/>
    </w:p>
    <w:p w14:paraId="007C9DC6" w14:textId="77777777" w:rsidR="0056438D" w:rsidRDefault="0056438D">
      <w:pPr>
        <w:rPr>
          <w:b/>
          <w:sz w:val="24"/>
        </w:rPr>
      </w:pPr>
    </w:p>
    <w:p w14:paraId="496F230A" w14:textId="77777777" w:rsidR="0056438D" w:rsidRDefault="0056438D">
      <w:pPr>
        <w:rPr>
          <w:b/>
          <w:sz w:val="24"/>
        </w:rPr>
      </w:pPr>
    </w:p>
    <w:p w14:paraId="2743E16F" w14:textId="47BD6F99" w:rsidR="00862424" w:rsidRDefault="00DD7026">
      <w:r>
        <w:rPr>
          <w:b/>
          <w:sz w:val="24"/>
        </w:rPr>
        <w:t>ABSTRACT</w:t>
      </w:r>
    </w:p>
    <w:p w14:paraId="722C24A1" w14:textId="77777777" w:rsidR="00862424" w:rsidRDefault="00DD7026" w:rsidP="00692B2C">
      <w:r w:rsidRPr="00692B2C">
        <w:rPr>
          <w:b/>
          <w:bCs/>
          <w:sz w:val="22"/>
        </w:rPr>
        <w:t>Aims</w:t>
      </w:r>
      <w:r>
        <w:rPr>
          <w:sz w:val="22"/>
        </w:rPr>
        <w:t xml:space="preserve">: To evaluate how the clinical laboratory supports safe and effective monitoring of patients on vitamin K antagonists (VKAs) at </w:t>
      </w:r>
      <w:proofErr w:type="spellStart"/>
      <w:r>
        <w:rPr>
          <w:sz w:val="22"/>
        </w:rPr>
        <w:t>Hôpital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Paix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 xml:space="preserve"> (HPZ), through analysis of patient INR profiles, laboratory practices, and prescribers’ perceptions.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>Study Design:</w:t>
      </w:r>
      <w:r>
        <w:rPr>
          <w:sz w:val="22"/>
        </w:rPr>
        <w:t xml:space="preserve"> Monocentric, mixed-methods, descriptive cross-sectional study.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>Place and Duration of Study</w:t>
      </w:r>
      <w:r>
        <w:rPr>
          <w:sz w:val="22"/>
        </w:rPr>
        <w:t xml:space="preserve">: Clinical Laboratory, HPZ, 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 xml:space="preserve"> (Senegal); November 2024 to January 2025.</w:t>
      </w:r>
      <w:r>
        <w:rPr>
          <w:sz w:val="22"/>
        </w:rPr>
        <w:br/>
      </w:r>
      <w:r>
        <w:rPr>
          <w:sz w:val="22"/>
        </w:rPr>
        <w:br/>
        <w:t>M</w:t>
      </w:r>
      <w:r w:rsidRPr="00692B2C">
        <w:rPr>
          <w:b/>
          <w:bCs/>
          <w:sz w:val="22"/>
        </w:rPr>
        <w:t>ethodology</w:t>
      </w:r>
      <w:r>
        <w:rPr>
          <w:sz w:val="22"/>
        </w:rPr>
        <w:t>: Thirty-three cardiology outpatients on VKAs (N=33) were analyzed with two sequential INR measurements (INR1, INR2). Associations with demographics used χ² tests; paired comparisons used paired t-test and Wilcoxon. Structured questionnaires captured laboratory staff practices (n=9) and prescribers’ perceptions (n=13).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 xml:space="preserve">Results: </w:t>
      </w:r>
      <w:r>
        <w:rPr>
          <w:sz w:val="22"/>
        </w:rPr>
        <w:t>The cohort was predominantly female (57.6%); mean age 50.0 ± 20.0 years (16–79). From INR1 to INR2, subtherapeutic results decreased (14→10) while supratherapeutic results increased (11→16). No significant paired difference overall (t-test p=0.2403; Wilcoxon p=0.3775). No significant association between INR status and age group or sex (p=0.0737; p=0.0934). Staff highlighted pre-analytical vulnerabilities and training needs; clinicians prioritized faster reporting, clearer interpretive comments, and stronger communication.</w:t>
      </w:r>
      <w:r>
        <w:rPr>
          <w:sz w:val="22"/>
        </w:rPr>
        <w:br/>
      </w:r>
      <w:r>
        <w:rPr>
          <w:sz w:val="22"/>
        </w:rPr>
        <w:br/>
        <w:t>C</w:t>
      </w:r>
      <w:r w:rsidRPr="00692B2C">
        <w:rPr>
          <w:b/>
          <w:bCs/>
          <w:sz w:val="22"/>
        </w:rPr>
        <w:t xml:space="preserve">onclusion: </w:t>
      </w:r>
      <w:r>
        <w:rPr>
          <w:sz w:val="22"/>
        </w:rPr>
        <w:t>VKA monitoring at HPZ shows partial short-term stabilization with a sizeable supratherapeutic fraction. Priorities include tightening pre-analytical control, securing reagent/analyzer continuity, upskilling staff, and codifying rapid critical-INR communication to increase time in therapeutic range and reduce adverse events.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>Keywords</w:t>
      </w:r>
      <w:r>
        <w:rPr>
          <w:sz w:val="22"/>
        </w:rPr>
        <w:t xml:space="preserve">: Vitamin K antagonists;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; INR; anticoagulation quality; laboratory practice; 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>.</w:t>
      </w:r>
    </w:p>
    <w:p w14:paraId="2286355E" w14:textId="77777777" w:rsidR="00862424" w:rsidRDefault="00DD7026">
      <w:r>
        <w:rPr>
          <w:b/>
          <w:sz w:val="24"/>
        </w:rPr>
        <w:t>1. INTRODUCTION</w:t>
      </w:r>
    </w:p>
    <w:p w14:paraId="11BA1AD0" w14:textId="77777777" w:rsidR="00862424" w:rsidRDefault="00DD7026" w:rsidP="00692B2C">
      <w:r>
        <w:rPr>
          <w:sz w:val="22"/>
        </w:rPr>
        <w:t>Vitamin K antagonists (VKAs) remain essential for the prevention of thromboembolism but have a narrow therapeutic index that requires structured monitoring to minimize hemorrhagic and thrombotic risks [5]. Prothrombin time (PT) standardization via the International Normalized Ratio (INR) enables consistent dose adjustment across thromboplastins and laboratories [1,2]. International guidance emphasizes pre-analytical integrity (citrate concentration and fill ratio, mixing, avoidance of hemolysis, transport time/temperature) and rigorous verification/standardization for PT/INR methods [1,2]. In parallel, post-analytical requirements in ISO 15189:2022 and CLSI GP47 mandate documented, urgent notification of critical-risk results, including INRs that imply imminent bleeding risk [3,4].</w:t>
      </w:r>
      <w:r>
        <w:rPr>
          <w:sz w:val="22"/>
        </w:rPr>
        <w:br/>
      </w:r>
      <w:r>
        <w:rPr>
          <w:sz w:val="22"/>
        </w:rPr>
        <w:br/>
        <w:t xml:space="preserve">Across sub-Saharan Africa, anticoagulation quality—often measured as time in therapeutic range (TTR)—is frequently lower than in European and US systems due to access, supply chain, and organizational constraints [13]. Drug choice may further influence stability: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>, widely used in Francophone settings, has a shorter half-life than warfarin, predisposing to faster INR fluctuations if clinic processes and patient self-management are not tightly controlled [14,15]. Within this context, we assessed patient-level INR outcomes, laboratory practices, and prescriber perceptions at HPZ to identify pragmatic levers for improvement.</w:t>
      </w:r>
    </w:p>
    <w:p w14:paraId="2BA351DD" w14:textId="77777777" w:rsidR="00862424" w:rsidRDefault="00DD7026">
      <w:r>
        <w:rPr>
          <w:b/>
          <w:sz w:val="24"/>
        </w:rPr>
        <w:t>2. MATERIALS AND METHODS</w:t>
      </w:r>
    </w:p>
    <w:p w14:paraId="33885CE2" w14:textId="77777777" w:rsidR="00862424" w:rsidRDefault="00DD7026">
      <w:r>
        <w:rPr>
          <w:b/>
          <w:sz w:val="24"/>
        </w:rPr>
        <w:t>2.1 Study design, setting, and period</w:t>
      </w:r>
    </w:p>
    <w:p w14:paraId="11601C87" w14:textId="77777777" w:rsidR="00862424" w:rsidRDefault="00DD7026">
      <w:pPr>
        <w:jc w:val="both"/>
      </w:pPr>
      <w:r>
        <w:rPr>
          <w:sz w:val="22"/>
        </w:rPr>
        <w:t>Descriptive cross-sectional, mixed-methods, monocentric study conducted in the HPZ Clinical Laboratory (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>, Senegal) between November 2024 and January 2025.</w:t>
      </w:r>
    </w:p>
    <w:p w14:paraId="2F331307" w14:textId="77777777" w:rsidR="00862424" w:rsidRDefault="00DD7026">
      <w:r>
        <w:rPr>
          <w:b/>
          <w:sz w:val="24"/>
        </w:rPr>
        <w:lastRenderedPageBreak/>
        <w:t>2.2 Participants and eligibility</w:t>
      </w:r>
    </w:p>
    <w:p w14:paraId="556DBEEB" w14:textId="77777777" w:rsidR="00862424" w:rsidRDefault="00DD7026">
      <w:pPr>
        <w:jc w:val="both"/>
      </w:pPr>
      <w:r>
        <w:rPr>
          <w:sz w:val="22"/>
        </w:rPr>
        <w:t>Inclusion: cardiology outpatients on VKA therapy monitored by HPZ. Exclusion: inpatients; individuals not biologically monitored by HPZ.</w:t>
      </w:r>
    </w:p>
    <w:p w14:paraId="6E42333B" w14:textId="77777777" w:rsidR="00862424" w:rsidRDefault="00DD7026">
      <w:r>
        <w:rPr>
          <w:b/>
          <w:sz w:val="24"/>
        </w:rPr>
        <w:t>2.3 Data sources and variables</w:t>
      </w:r>
    </w:p>
    <w:p w14:paraId="7CB453EB" w14:textId="77777777" w:rsidR="00862424" w:rsidRDefault="00DD7026">
      <w:pPr>
        <w:jc w:val="both"/>
      </w:pPr>
      <w:r>
        <w:rPr>
          <w:sz w:val="22"/>
        </w:rPr>
        <w:t>Clinical–biological dataset: two sequential INR values (INR1, INR2) per patient; age and sex; VKA molecule.</w:t>
      </w:r>
    </w:p>
    <w:p w14:paraId="2D045762" w14:textId="77777777" w:rsidR="00862424" w:rsidRDefault="00DD7026">
      <w:pPr>
        <w:jc w:val="both"/>
      </w:pPr>
      <w:r>
        <w:rPr>
          <w:sz w:val="22"/>
        </w:rPr>
        <w:t>Laboratory practices: structured questionnaire for laboratory staff (n=9) covering pre-analytical handling, internal quality control (IQC), equipment/stock continuity, training, and SOPs.</w:t>
      </w:r>
    </w:p>
    <w:p w14:paraId="1A990B91" w14:textId="77777777" w:rsidR="00862424" w:rsidRDefault="00DD7026">
      <w:pPr>
        <w:jc w:val="both"/>
      </w:pPr>
      <w:r>
        <w:rPr>
          <w:sz w:val="22"/>
        </w:rPr>
        <w:t>Prescribers’ perceptions: structured questionnaire for clinicians (n=13) addressing reliability, timeliness, communication, and priority improvements.</w:t>
      </w:r>
    </w:p>
    <w:p w14:paraId="7C5D7FA8" w14:textId="77777777" w:rsidR="00862424" w:rsidRDefault="00DD7026">
      <w:r>
        <w:rPr>
          <w:b/>
          <w:sz w:val="24"/>
        </w:rPr>
        <w:t>2.4 Laboratory methods and quality framework</w:t>
      </w:r>
    </w:p>
    <w:p w14:paraId="29F742E6" w14:textId="77777777" w:rsidR="00862424" w:rsidRDefault="00DD7026">
      <w:pPr>
        <w:jc w:val="both"/>
      </w:pPr>
      <w:r>
        <w:rPr>
          <w:sz w:val="22"/>
        </w:rPr>
        <w:t>PT/INR was measured on semi-automated coagulation analyzers under internal SOPs aligned with good practice for pre-analytical integrity and method performance. Critical-risk results triggered urgent communication to prescribers per local policy.</w:t>
      </w:r>
    </w:p>
    <w:p w14:paraId="0DCE3691" w14:textId="77777777" w:rsidR="00862424" w:rsidRDefault="00DD7026">
      <w:r>
        <w:rPr>
          <w:b/>
          <w:sz w:val="24"/>
        </w:rPr>
        <w:t>2.5 Statistical analysis</w:t>
      </w:r>
    </w:p>
    <w:p w14:paraId="3B101751" w14:textId="77777777" w:rsidR="00862424" w:rsidRDefault="00DD7026">
      <w:pPr>
        <w:jc w:val="both"/>
      </w:pPr>
      <w:r>
        <w:rPr>
          <w:sz w:val="22"/>
        </w:rPr>
        <w:t>Descriptive statistics summarized demographics and INR distributions. χ² tests evaluated associations between INR status (subtherapeutic/target/supratherapeutic) and demographics. Paired t-test and Wilcoxon signed-rank test assessed INR1→INR2 changes (two-sided α=0.05).</w:t>
      </w:r>
    </w:p>
    <w:p w14:paraId="735B5291" w14:textId="77777777" w:rsidR="00862424" w:rsidRDefault="00DD7026">
      <w:r>
        <w:rPr>
          <w:b/>
          <w:sz w:val="24"/>
        </w:rPr>
        <w:t>2.6 Ethics</w:t>
      </w:r>
    </w:p>
    <w:p w14:paraId="117B8435" w14:textId="77777777" w:rsidR="00862424" w:rsidRDefault="00DD7026">
      <w:pPr>
        <w:jc w:val="both"/>
      </w:pPr>
      <w:r>
        <w:rPr>
          <w:sz w:val="22"/>
        </w:rPr>
        <w:t>[Insert the name of the institutional review board/ethics committee with approval number and date, or a waiver statement, per journal requirements.]</w:t>
      </w:r>
    </w:p>
    <w:p w14:paraId="4A8B9E93" w14:textId="1E699173" w:rsidR="00862424" w:rsidRDefault="00DD7026">
      <w:r>
        <w:rPr>
          <w:b/>
          <w:sz w:val="24"/>
        </w:rPr>
        <w:t>3. RESULTS</w:t>
      </w:r>
      <w:r w:rsidR="00024F92">
        <w:rPr>
          <w:b/>
          <w:sz w:val="24"/>
        </w:rPr>
        <w:t xml:space="preserve"> &amp; </w:t>
      </w:r>
      <w:r w:rsidR="00024F92" w:rsidRPr="00024F92">
        <w:rPr>
          <w:b/>
          <w:sz w:val="24"/>
        </w:rPr>
        <w:t>DISCUSSION</w:t>
      </w:r>
    </w:p>
    <w:p w14:paraId="694F4584" w14:textId="77777777" w:rsidR="00862424" w:rsidRDefault="00DD7026">
      <w:r>
        <w:rPr>
          <w:b/>
          <w:sz w:val="24"/>
        </w:rPr>
        <w:t>I. Sociodemographic characteristics</w:t>
      </w:r>
    </w:p>
    <w:p w14:paraId="212ACA2C" w14:textId="77777777" w:rsidR="00862424" w:rsidRDefault="00DD7026">
      <w:pPr>
        <w:jc w:val="both"/>
      </w:pPr>
      <w:r>
        <w:rPr>
          <w:sz w:val="22"/>
        </w:rPr>
        <w:t>Table 1. Sociodemographic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2424" w14:paraId="3E0410D4" w14:textId="77777777">
        <w:tc>
          <w:tcPr>
            <w:tcW w:w="5400" w:type="dxa"/>
          </w:tcPr>
          <w:p w14:paraId="019ABF13" w14:textId="77777777" w:rsidR="00862424" w:rsidRDefault="00DD7026">
            <w:r>
              <w:rPr>
                <w:sz w:val="20"/>
              </w:rPr>
              <w:t>Indicators</w:t>
            </w:r>
          </w:p>
        </w:tc>
        <w:tc>
          <w:tcPr>
            <w:tcW w:w="5400" w:type="dxa"/>
          </w:tcPr>
          <w:p w14:paraId="28A0DB26" w14:textId="77777777" w:rsidR="00862424" w:rsidRDefault="00DD7026">
            <w:r>
              <w:rPr>
                <w:sz w:val="20"/>
              </w:rPr>
              <w:t>Values</w:t>
            </w:r>
          </w:p>
        </w:tc>
      </w:tr>
      <w:tr w:rsidR="00862424" w14:paraId="623E8C69" w14:textId="77777777">
        <w:tc>
          <w:tcPr>
            <w:tcW w:w="5400" w:type="dxa"/>
          </w:tcPr>
          <w:p w14:paraId="3D067A0F" w14:textId="77777777" w:rsidR="00862424" w:rsidRDefault="00DD7026">
            <w:r>
              <w:rPr>
                <w:sz w:val="20"/>
              </w:rPr>
              <w:t>Total sample</w:t>
            </w:r>
          </w:p>
        </w:tc>
        <w:tc>
          <w:tcPr>
            <w:tcW w:w="5400" w:type="dxa"/>
          </w:tcPr>
          <w:p w14:paraId="3C8555EF" w14:textId="77777777" w:rsidR="00862424" w:rsidRDefault="00DD7026">
            <w:r>
              <w:rPr>
                <w:sz w:val="20"/>
              </w:rPr>
              <w:t>33</w:t>
            </w:r>
          </w:p>
        </w:tc>
      </w:tr>
      <w:tr w:rsidR="00862424" w14:paraId="549BE7F2" w14:textId="77777777">
        <w:tc>
          <w:tcPr>
            <w:tcW w:w="5400" w:type="dxa"/>
          </w:tcPr>
          <w:p w14:paraId="149D8924" w14:textId="77777777" w:rsidR="00862424" w:rsidRDefault="00DD7026">
            <w:r>
              <w:rPr>
                <w:sz w:val="20"/>
              </w:rPr>
              <w:t>Mean age ± SD</w:t>
            </w:r>
          </w:p>
        </w:tc>
        <w:tc>
          <w:tcPr>
            <w:tcW w:w="5400" w:type="dxa"/>
          </w:tcPr>
          <w:p w14:paraId="7AA2DA41" w14:textId="77777777" w:rsidR="00862424" w:rsidRDefault="00DD7026">
            <w:r>
              <w:rPr>
                <w:sz w:val="20"/>
              </w:rPr>
              <w:t>50.0 ± 20.0 years</w:t>
            </w:r>
          </w:p>
        </w:tc>
      </w:tr>
      <w:tr w:rsidR="00862424" w14:paraId="6B8A4D64" w14:textId="77777777">
        <w:tc>
          <w:tcPr>
            <w:tcW w:w="5400" w:type="dxa"/>
          </w:tcPr>
          <w:p w14:paraId="7C1E242C" w14:textId="77777777" w:rsidR="00862424" w:rsidRDefault="00DD7026">
            <w:r>
              <w:rPr>
                <w:sz w:val="20"/>
              </w:rPr>
              <w:t>Median age (IQR)</w:t>
            </w:r>
          </w:p>
        </w:tc>
        <w:tc>
          <w:tcPr>
            <w:tcW w:w="5400" w:type="dxa"/>
          </w:tcPr>
          <w:p w14:paraId="2B5EB674" w14:textId="77777777" w:rsidR="00862424" w:rsidRDefault="00DD7026">
            <w:r>
              <w:rPr>
                <w:sz w:val="20"/>
              </w:rPr>
              <w:t>57 (38) years</w:t>
            </w:r>
          </w:p>
        </w:tc>
      </w:tr>
      <w:tr w:rsidR="00862424" w14:paraId="49F97370" w14:textId="77777777">
        <w:tc>
          <w:tcPr>
            <w:tcW w:w="5400" w:type="dxa"/>
          </w:tcPr>
          <w:p w14:paraId="33C7D995" w14:textId="77777777" w:rsidR="00862424" w:rsidRDefault="00DD7026">
            <w:r>
              <w:rPr>
                <w:sz w:val="20"/>
              </w:rPr>
              <w:t>Age min – max</w:t>
            </w:r>
          </w:p>
        </w:tc>
        <w:tc>
          <w:tcPr>
            <w:tcW w:w="5400" w:type="dxa"/>
          </w:tcPr>
          <w:p w14:paraId="14F30452" w14:textId="77777777" w:rsidR="00862424" w:rsidRDefault="00DD7026">
            <w:r>
              <w:rPr>
                <w:sz w:val="20"/>
              </w:rPr>
              <w:t>16 – 79 years</w:t>
            </w:r>
          </w:p>
        </w:tc>
      </w:tr>
      <w:tr w:rsidR="00862424" w14:paraId="133AA7D0" w14:textId="77777777">
        <w:tc>
          <w:tcPr>
            <w:tcW w:w="5400" w:type="dxa"/>
          </w:tcPr>
          <w:p w14:paraId="01CE6BA1" w14:textId="77777777" w:rsidR="00862424" w:rsidRDefault="00DD7026">
            <w:r>
              <w:rPr>
                <w:sz w:val="20"/>
              </w:rPr>
              <w:t>Sex ratio (M/F)</w:t>
            </w:r>
          </w:p>
        </w:tc>
        <w:tc>
          <w:tcPr>
            <w:tcW w:w="5400" w:type="dxa"/>
          </w:tcPr>
          <w:p w14:paraId="6703AE17" w14:textId="77777777" w:rsidR="00862424" w:rsidRDefault="00DD7026">
            <w:r>
              <w:rPr>
                <w:sz w:val="20"/>
              </w:rPr>
              <w:t>14 / 19</w:t>
            </w:r>
          </w:p>
        </w:tc>
      </w:tr>
      <w:tr w:rsidR="00862424" w14:paraId="495518CC" w14:textId="77777777">
        <w:tc>
          <w:tcPr>
            <w:tcW w:w="5400" w:type="dxa"/>
          </w:tcPr>
          <w:p w14:paraId="4C449FEB" w14:textId="77777777" w:rsidR="00862424" w:rsidRDefault="00DD7026">
            <w:r>
              <w:rPr>
                <w:sz w:val="20"/>
              </w:rPr>
              <w:t>Most used VKA</w:t>
            </w:r>
          </w:p>
        </w:tc>
        <w:tc>
          <w:tcPr>
            <w:tcW w:w="5400" w:type="dxa"/>
          </w:tcPr>
          <w:p w14:paraId="7FB7CD8A" w14:textId="77777777" w:rsidR="00862424" w:rsidRDefault="00DD7026">
            <w:r>
              <w:rPr>
                <w:sz w:val="20"/>
              </w:rPr>
              <w:t>SINTROM (</w:t>
            </w:r>
            <w:proofErr w:type="spellStart"/>
            <w:r>
              <w:rPr>
                <w:sz w:val="20"/>
              </w:rPr>
              <w:t>acenocoumarol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14:paraId="60A53914" w14:textId="77777777" w:rsidR="00862424" w:rsidRDefault="00DD7026">
      <w:pPr>
        <w:jc w:val="both"/>
      </w:pPr>
      <w:r>
        <w:rPr>
          <w:sz w:val="22"/>
        </w:rPr>
        <w:t xml:space="preserve">Comment. The cohort is predominantly female (57.6%) with a wide age range.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is the main VKA.</w:t>
      </w:r>
    </w:p>
    <w:p w14:paraId="3D8B8E7B" w14:textId="77777777" w:rsidR="00862424" w:rsidRDefault="00DD7026">
      <w:r>
        <w:rPr>
          <w:b/>
          <w:sz w:val="24"/>
        </w:rPr>
        <w:t>II. Biological profiles (INR1 vs INR2)</w:t>
      </w:r>
    </w:p>
    <w:p w14:paraId="2DE5D2D6" w14:textId="77777777" w:rsidR="00862424" w:rsidRDefault="00DD7026">
      <w:pPr>
        <w:jc w:val="both"/>
      </w:pPr>
      <w:r>
        <w:rPr>
          <w:sz w:val="22"/>
        </w:rPr>
        <w:t>Table 2. INR1 and INR2 profiles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862424" w14:paraId="2F43A689" w14:textId="77777777">
        <w:tc>
          <w:tcPr>
            <w:tcW w:w="3600" w:type="dxa"/>
          </w:tcPr>
          <w:p w14:paraId="64D62086" w14:textId="77777777" w:rsidR="00862424" w:rsidRDefault="00DD7026">
            <w:r>
              <w:rPr>
                <w:sz w:val="20"/>
              </w:rPr>
              <w:t>Indicator</w:t>
            </w:r>
          </w:p>
        </w:tc>
        <w:tc>
          <w:tcPr>
            <w:tcW w:w="3600" w:type="dxa"/>
          </w:tcPr>
          <w:p w14:paraId="05AAAB25" w14:textId="77777777" w:rsidR="00862424" w:rsidRDefault="00DD7026">
            <w:r>
              <w:rPr>
                <w:sz w:val="20"/>
              </w:rPr>
              <w:t>INR1</w:t>
            </w:r>
          </w:p>
        </w:tc>
        <w:tc>
          <w:tcPr>
            <w:tcW w:w="3600" w:type="dxa"/>
          </w:tcPr>
          <w:p w14:paraId="7F746495" w14:textId="77777777" w:rsidR="00862424" w:rsidRDefault="00DD7026">
            <w:r>
              <w:rPr>
                <w:sz w:val="20"/>
              </w:rPr>
              <w:t>INR2</w:t>
            </w:r>
          </w:p>
        </w:tc>
      </w:tr>
      <w:tr w:rsidR="00862424" w14:paraId="00A30E72" w14:textId="77777777">
        <w:tc>
          <w:tcPr>
            <w:tcW w:w="3600" w:type="dxa"/>
          </w:tcPr>
          <w:p w14:paraId="515899BB" w14:textId="77777777" w:rsidR="00862424" w:rsidRDefault="00DD7026">
            <w:r>
              <w:rPr>
                <w:sz w:val="20"/>
              </w:rPr>
              <w:t>Mean ± SD</w:t>
            </w:r>
          </w:p>
        </w:tc>
        <w:tc>
          <w:tcPr>
            <w:tcW w:w="3600" w:type="dxa"/>
          </w:tcPr>
          <w:p w14:paraId="4F0E6B1B" w14:textId="77777777" w:rsidR="00862424" w:rsidRDefault="00DD7026">
            <w:r>
              <w:rPr>
                <w:sz w:val="20"/>
              </w:rPr>
              <w:t>2.78 ± 1.40</w:t>
            </w:r>
          </w:p>
        </w:tc>
        <w:tc>
          <w:tcPr>
            <w:tcW w:w="3600" w:type="dxa"/>
          </w:tcPr>
          <w:p w14:paraId="772FD248" w14:textId="77777777" w:rsidR="00862424" w:rsidRDefault="00DD7026">
            <w:r>
              <w:rPr>
                <w:sz w:val="20"/>
              </w:rPr>
              <w:t>3.06 ± 1.39</w:t>
            </w:r>
          </w:p>
        </w:tc>
      </w:tr>
      <w:tr w:rsidR="00862424" w14:paraId="123FB7CF" w14:textId="77777777">
        <w:tc>
          <w:tcPr>
            <w:tcW w:w="3600" w:type="dxa"/>
          </w:tcPr>
          <w:p w14:paraId="0A6DC950" w14:textId="77777777" w:rsidR="00862424" w:rsidRDefault="00DD7026">
            <w:r>
              <w:rPr>
                <w:sz w:val="20"/>
              </w:rPr>
              <w:t>Median (IQR)</w:t>
            </w:r>
          </w:p>
        </w:tc>
        <w:tc>
          <w:tcPr>
            <w:tcW w:w="3600" w:type="dxa"/>
          </w:tcPr>
          <w:p w14:paraId="30D0C7C0" w14:textId="77777777" w:rsidR="00862424" w:rsidRDefault="00DD7026">
            <w:r>
              <w:rPr>
                <w:sz w:val="20"/>
              </w:rPr>
              <w:t>2.43 (1.34)</w:t>
            </w:r>
          </w:p>
        </w:tc>
        <w:tc>
          <w:tcPr>
            <w:tcW w:w="3600" w:type="dxa"/>
          </w:tcPr>
          <w:p w14:paraId="548BCCE1" w14:textId="77777777" w:rsidR="00862424" w:rsidRDefault="00DD7026">
            <w:r>
              <w:rPr>
                <w:sz w:val="20"/>
              </w:rPr>
              <w:t>2.79 (1.49)</w:t>
            </w:r>
          </w:p>
        </w:tc>
      </w:tr>
      <w:tr w:rsidR="00862424" w14:paraId="4C108E7F" w14:textId="77777777">
        <w:tc>
          <w:tcPr>
            <w:tcW w:w="3600" w:type="dxa"/>
          </w:tcPr>
          <w:p w14:paraId="317B36D3" w14:textId="77777777" w:rsidR="00862424" w:rsidRDefault="00DD7026">
            <w:r>
              <w:rPr>
                <w:sz w:val="20"/>
              </w:rPr>
              <w:t>Min – Max</w:t>
            </w:r>
          </w:p>
        </w:tc>
        <w:tc>
          <w:tcPr>
            <w:tcW w:w="3600" w:type="dxa"/>
          </w:tcPr>
          <w:p w14:paraId="5EF30016" w14:textId="77777777" w:rsidR="00862424" w:rsidRDefault="00DD7026">
            <w:r>
              <w:rPr>
                <w:sz w:val="20"/>
              </w:rPr>
              <w:t>1.10 – 6.27</w:t>
            </w:r>
          </w:p>
        </w:tc>
        <w:tc>
          <w:tcPr>
            <w:tcW w:w="3600" w:type="dxa"/>
          </w:tcPr>
          <w:p w14:paraId="2B57381E" w14:textId="77777777" w:rsidR="00862424" w:rsidRDefault="00DD7026">
            <w:r>
              <w:rPr>
                <w:sz w:val="20"/>
              </w:rPr>
              <w:t>1.00 – 6.25</w:t>
            </w:r>
          </w:p>
        </w:tc>
      </w:tr>
      <w:tr w:rsidR="00862424" w14:paraId="4A102C5E" w14:textId="77777777">
        <w:tc>
          <w:tcPr>
            <w:tcW w:w="3600" w:type="dxa"/>
          </w:tcPr>
          <w:p w14:paraId="32376F6F" w14:textId="77777777" w:rsidR="00862424" w:rsidRDefault="00DD7026">
            <w:r>
              <w:rPr>
                <w:sz w:val="20"/>
              </w:rPr>
              <w:t>Subtherapeutic</w:t>
            </w:r>
          </w:p>
        </w:tc>
        <w:tc>
          <w:tcPr>
            <w:tcW w:w="3600" w:type="dxa"/>
          </w:tcPr>
          <w:p w14:paraId="13BAD23D" w14:textId="77777777" w:rsidR="00862424" w:rsidRDefault="00DD7026">
            <w:r>
              <w:rPr>
                <w:sz w:val="20"/>
              </w:rPr>
              <w:t>14 patients</w:t>
            </w:r>
          </w:p>
        </w:tc>
        <w:tc>
          <w:tcPr>
            <w:tcW w:w="3600" w:type="dxa"/>
          </w:tcPr>
          <w:p w14:paraId="01202AA2" w14:textId="77777777" w:rsidR="00862424" w:rsidRDefault="00DD7026">
            <w:r>
              <w:rPr>
                <w:sz w:val="20"/>
              </w:rPr>
              <w:t>10 patients</w:t>
            </w:r>
          </w:p>
        </w:tc>
      </w:tr>
      <w:tr w:rsidR="00862424" w14:paraId="189D72F4" w14:textId="77777777">
        <w:tc>
          <w:tcPr>
            <w:tcW w:w="3600" w:type="dxa"/>
          </w:tcPr>
          <w:p w14:paraId="6982EFBC" w14:textId="77777777" w:rsidR="00862424" w:rsidRDefault="00DD7026">
            <w:r>
              <w:rPr>
                <w:sz w:val="20"/>
              </w:rPr>
              <w:t>Target</w:t>
            </w:r>
          </w:p>
        </w:tc>
        <w:tc>
          <w:tcPr>
            <w:tcW w:w="3600" w:type="dxa"/>
          </w:tcPr>
          <w:p w14:paraId="5F33DF94" w14:textId="77777777" w:rsidR="00862424" w:rsidRDefault="00DD7026">
            <w:r>
              <w:rPr>
                <w:sz w:val="20"/>
              </w:rPr>
              <w:t>8 patients</w:t>
            </w:r>
          </w:p>
        </w:tc>
        <w:tc>
          <w:tcPr>
            <w:tcW w:w="3600" w:type="dxa"/>
          </w:tcPr>
          <w:p w14:paraId="64151A43" w14:textId="77777777" w:rsidR="00862424" w:rsidRDefault="00DD7026">
            <w:r>
              <w:rPr>
                <w:sz w:val="20"/>
              </w:rPr>
              <w:t>7 patients</w:t>
            </w:r>
          </w:p>
        </w:tc>
      </w:tr>
      <w:tr w:rsidR="00862424" w14:paraId="247A19E5" w14:textId="77777777">
        <w:tc>
          <w:tcPr>
            <w:tcW w:w="3600" w:type="dxa"/>
          </w:tcPr>
          <w:p w14:paraId="6B4FC2B8" w14:textId="77777777" w:rsidR="00862424" w:rsidRDefault="00DD7026">
            <w:r>
              <w:rPr>
                <w:sz w:val="20"/>
              </w:rPr>
              <w:t>Supratherapeutic</w:t>
            </w:r>
          </w:p>
        </w:tc>
        <w:tc>
          <w:tcPr>
            <w:tcW w:w="3600" w:type="dxa"/>
          </w:tcPr>
          <w:p w14:paraId="6DEE0301" w14:textId="77777777" w:rsidR="00862424" w:rsidRDefault="00DD7026">
            <w:r>
              <w:rPr>
                <w:sz w:val="20"/>
              </w:rPr>
              <w:t>11 patients</w:t>
            </w:r>
          </w:p>
        </w:tc>
        <w:tc>
          <w:tcPr>
            <w:tcW w:w="3600" w:type="dxa"/>
          </w:tcPr>
          <w:p w14:paraId="5EF6286F" w14:textId="77777777" w:rsidR="00862424" w:rsidRDefault="00DD7026">
            <w:r>
              <w:rPr>
                <w:sz w:val="20"/>
              </w:rPr>
              <w:t>16 patients</w:t>
            </w:r>
          </w:p>
        </w:tc>
      </w:tr>
    </w:tbl>
    <w:p w14:paraId="7B402B6C" w14:textId="77777777" w:rsidR="00862424" w:rsidRDefault="00DD7026">
      <w:pPr>
        <w:jc w:val="both"/>
      </w:pPr>
      <w:r>
        <w:rPr>
          <w:sz w:val="22"/>
        </w:rPr>
        <w:t>Comment. From INR1 to INR2, subtherapeutic results declined (14→10) while supratherapeutic results rose (11→16; ≈48%). Central tendency shifted slightly upward (median 2.43→2.79).</w:t>
      </w:r>
    </w:p>
    <w:p w14:paraId="67CEC824" w14:textId="77777777" w:rsidR="00862424" w:rsidRDefault="00DD7026">
      <w:r>
        <w:rPr>
          <w:b/>
          <w:sz w:val="24"/>
        </w:rPr>
        <w:t>III. Cross-tabulations (age, sex vs INR2 status)</w:t>
      </w:r>
    </w:p>
    <w:p w14:paraId="02E0FB4D" w14:textId="77777777" w:rsidR="00862424" w:rsidRDefault="00DD7026">
      <w:pPr>
        <w:jc w:val="both"/>
      </w:pPr>
      <w:r>
        <w:rPr>
          <w:sz w:val="22"/>
        </w:rPr>
        <w:t>Table 3. Association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6"/>
        <w:gridCol w:w="3597"/>
      </w:tblGrid>
      <w:tr w:rsidR="00862424" w14:paraId="6010523E" w14:textId="77777777">
        <w:tc>
          <w:tcPr>
            <w:tcW w:w="3600" w:type="dxa"/>
          </w:tcPr>
          <w:p w14:paraId="0C1573DF" w14:textId="77777777" w:rsidR="00862424" w:rsidRDefault="00DD7026">
            <w:r>
              <w:rPr>
                <w:sz w:val="20"/>
              </w:rPr>
              <w:t>Crossed variables</w:t>
            </w:r>
          </w:p>
        </w:tc>
        <w:tc>
          <w:tcPr>
            <w:tcW w:w="3600" w:type="dxa"/>
          </w:tcPr>
          <w:p w14:paraId="2E0ADCA6" w14:textId="77777777" w:rsidR="00862424" w:rsidRDefault="00DD7026">
            <w:r>
              <w:rPr>
                <w:sz w:val="20"/>
              </w:rPr>
              <w:t>Test</w:t>
            </w:r>
          </w:p>
        </w:tc>
        <w:tc>
          <w:tcPr>
            <w:tcW w:w="3600" w:type="dxa"/>
          </w:tcPr>
          <w:p w14:paraId="71BFA455" w14:textId="77777777" w:rsidR="00862424" w:rsidRDefault="00DD7026">
            <w:r>
              <w:rPr>
                <w:sz w:val="20"/>
              </w:rPr>
              <w:t>p-value</w:t>
            </w:r>
          </w:p>
        </w:tc>
      </w:tr>
      <w:tr w:rsidR="00862424" w14:paraId="687CD5F5" w14:textId="77777777">
        <w:tc>
          <w:tcPr>
            <w:tcW w:w="3600" w:type="dxa"/>
          </w:tcPr>
          <w:p w14:paraId="6D2FF242" w14:textId="77777777" w:rsidR="00862424" w:rsidRDefault="00DD7026">
            <w:r>
              <w:rPr>
                <w:sz w:val="20"/>
              </w:rPr>
              <w:t>Age group vs INR2 status</w:t>
            </w:r>
          </w:p>
        </w:tc>
        <w:tc>
          <w:tcPr>
            <w:tcW w:w="3600" w:type="dxa"/>
          </w:tcPr>
          <w:p w14:paraId="636DB0BB" w14:textId="77777777" w:rsidR="00862424" w:rsidRDefault="00DD7026">
            <w:r>
              <w:rPr>
                <w:sz w:val="20"/>
              </w:rPr>
              <w:t>χ²</w:t>
            </w:r>
          </w:p>
        </w:tc>
        <w:tc>
          <w:tcPr>
            <w:tcW w:w="3600" w:type="dxa"/>
          </w:tcPr>
          <w:p w14:paraId="0221DF36" w14:textId="77777777" w:rsidR="00862424" w:rsidRDefault="00DD7026">
            <w:r>
              <w:rPr>
                <w:sz w:val="20"/>
              </w:rPr>
              <w:t>0.0737</w:t>
            </w:r>
          </w:p>
        </w:tc>
      </w:tr>
      <w:tr w:rsidR="00862424" w14:paraId="2A8D8A79" w14:textId="77777777">
        <w:tc>
          <w:tcPr>
            <w:tcW w:w="3600" w:type="dxa"/>
          </w:tcPr>
          <w:p w14:paraId="182912D1" w14:textId="77777777" w:rsidR="00862424" w:rsidRDefault="00DD7026">
            <w:r>
              <w:rPr>
                <w:sz w:val="20"/>
              </w:rPr>
              <w:t>Sex vs INR2 status</w:t>
            </w:r>
          </w:p>
        </w:tc>
        <w:tc>
          <w:tcPr>
            <w:tcW w:w="3600" w:type="dxa"/>
          </w:tcPr>
          <w:p w14:paraId="7AC39B3D" w14:textId="77777777" w:rsidR="00862424" w:rsidRDefault="00DD7026">
            <w:r>
              <w:rPr>
                <w:sz w:val="20"/>
              </w:rPr>
              <w:t>χ²</w:t>
            </w:r>
          </w:p>
        </w:tc>
        <w:tc>
          <w:tcPr>
            <w:tcW w:w="3600" w:type="dxa"/>
          </w:tcPr>
          <w:p w14:paraId="3D275FA8" w14:textId="77777777" w:rsidR="00862424" w:rsidRDefault="00DD7026">
            <w:r>
              <w:rPr>
                <w:sz w:val="20"/>
              </w:rPr>
              <w:t>0.0934</w:t>
            </w:r>
          </w:p>
        </w:tc>
      </w:tr>
    </w:tbl>
    <w:p w14:paraId="130600A7" w14:textId="77777777" w:rsidR="00862424" w:rsidRDefault="00DD7026">
      <w:pPr>
        <w:jc w:val="both"/>
      </w:pPr>
      <w:r>
        <w:rPr>
          <w:sz w:val="22"/>
        </w:rPr>
        <w:t>Comment. Both associations were near but above the 0.05 threshold; larger samples may clarify demographic effects.</w:t>
      </w:r>
    </w:p>
    <w:p w14:paraId="6853BF16" w14:textId="77777777" w:rsidR="00862424" w:rsidRDefault="00DD7026">
      <w:r>
        <w:rPr>
          <w:b/>
          <w:sz w:val="24"/>
        </w:rPr>
        <w:t>IV. Paired comparison (INR1 vs INR2)</w:t>
      </w:r>
    </w:p>
    <w:p w14:paraId="6FD6A693" w14:textId="77777777" w:rsidR="00862424" w:rsidRDefault="00DD7026">
      <w:pPr>
        <w:jc w:val="both"/>
      </w:pPr>
      <w:r>
        <w:rPr>
          <w:sz w:val="22"/>
        </w:rPr>
        <w:t>Table 4. Paired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2424" w14:paraId="012E9022" w14:textId="77777777">
        <w:tc>
          <w:tcPr>
            <w:tcW w:w="5400" w:type="dxa"/>
          </w:tcPr>
          <w:p w14:paraId="18C151B6" w14:textId="77777777" w:rsidR="00862424" w:rsidRDefault="00DD7026">
            <w:r>
              <w:rPr>
                <w:sz w:val="20"/>
              </w:rPr>
              <w:t>Statistical test</w:t>
            </w:r>
          </w:p>
        </w:tc>
        <w:tc>
          <w:tcPr>
            <w:tcW w:w="5400" w:type="dxa"/>
          </w:tcPr>
          <w:p w14:paraId="4B6873C8" w14:textId="77777777" w:rsidR="00862424" w:rsidRDefault="00DD7026">
            <w:r>
              <w:rPr>
                <w:sz w:val="20"/>
              </w:rPr>
              <w:t>p-value</w:t>
            </w:r>
          </w:p>
        </w:tc>
      </w:tr>
      <w:tr w:rsidR="00862424" w14:paraId="1F6B5547" w14:textId="77777777">
        <w:tc>
          <w:tcPr>
            <w:tcW w:w="5400" w:type="dxa"/>
          </w:tcPr>
          <w:p w14:paraId="725C1EF9" w14:textId="77777777" w:rsidR="00862424" w:rsidRDefault="00DD7026">
            <w:r>
              <w:rPr>
                <w:sz w:val="20"/>
              </w:rPr>
              <w:t>Paired Student t-test</w:t>
            </w:r>
          </w:p>
        </w:tc>
        <w:tc>
          <w:tcPr>
            <w:tcW w:w="5400" w:type="dxa"/>
          </w:tcPr>
          <w:p w14:paraId="531D2042" w14:textId="77777777" w:rsidR="00862424" w:rsidRDefault="00DD7026">
            <w:r>
              <w:rPr>
                <w:sz w:val="20"/>
              </w:rPr>
              <w:t>0.2403</w:t>
            </w:r>
          </w:p>
        </w:tc>
      </w:tr>
      <w:tr w:rsidR="00862424" w14:paraId="7BD8A1A3" w14:textId="77777777">
        <w:tc>
          <w:tcPr>
            <w:tcW w:w="5400" w:type="dxa"/>
          </w:tcPr>
          <w:p w14:paraId="73B33B57" w14:textId="77777777" w:rsidR="00862424" w:rsidRDefault="00DD7026">
            <w:r>
              <w:rPr>
                <w:sz w:val="20"/>
              </w:rPr>
              <w:t>Wilcoxon signed-rank test</w:t>
            </w:r>
          </w:p>
        </w:tc>
        <w:tc>
          <w:tcPr>
            <w:tcW w:w="5400" w:type="dxa"/>
          </w:tcPr>
          <w:p w14:paraId="3DF85B70" w14:textId="77777777" w:rsidR="00862424" w:rsidRDefault="00DD7026">
            <w:r>
              <w:rPr>
                <w:sz w:val="20"/>
              </w:rPr>
              <w:t>0.3775</w:t>
            </w:r>
          </w:p>
        </w:tc>
      </w:tr>
    </w:tbl>
    <w:p w14:paraId="40BDF522" w14:textId="77777777" w:rsidR="00862424" w:rsidRDefault="00DD7026">
      <w:pPr>
        <w:jc w:val="both"/>
      </w:pPr>
      <w:r>
        <w:rPr>
          <w:sz w:val="22"/>
        </w:rPr>
        <w:lastRenderedPageBreak/>
        <w:t>Comment. No significant global change between INR1 and INR2, despite clinically meaningful individual variability.</w:t>
      </w:r>
    </w:p>
    <w:p w14:paraId="5271EA0C" w14:textId="77777777" w:rsidR="00862424" w:rsidRDefault="00DD7026">
      <w:r>
        <w:rPr>
          <w:b/>
          <w:sz w:val="24"/>
        </w:rPr>
        <w:t>V. Laboratory staff survey (Annex)</w:t>
      </w:r>
    </w:p>
    <w:p w14:paraId="772CC03F" w14:textId="77777777" w:rsidR="00862424" w:rsidRDefault="00DD7026">
      <w:pPr>
        <w:jc w:val="both"/>
      </w:pPr>
      <w:r>
        <w:rPr>
          <w:sz w:val="22"/>
        </w:rPr>
        <w:t>Table 5. Closed questions—laboratory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6"/>
      </w:tblGrid>
      <w:tr w:rsidR="00862424" w14:paraId="094A9CAD" w14:textId="77777777">
        <w:tc>
          <w:tcPr>
            <w:tcW w:w="3600" w:type="dxa"/>
          </w:tcPr>
          <w:p w14:paraId="0AD834B0" w14:textId="77777777" w:rsidR="00862424" w:rsidRDefault="00DD7026">
            <w:r>
              <w:rPr>
                <w:sz w:val="20"/>
              </w:rPr>
              <w:t>Question (n)</w:t>
            </w:r>
          </w:p>
        </w:tc>
        <w:tc>
          <w:tcPr>
            <w:tcW w:w="3600" w:type="dxa"/>
          </w:tcPr>
          <w:p w14:paraId="236A0AE6" w14:textId="77777777" w:rsidR="00862424" w:rsidRDefault="00DD7026">
            <w:r>
              <w:rPr>
                <w:sz w:val="20"/>
              </w:rPr>
              <w:t>Options</w:t>
            </w:r>
          </w:p>
        </w:tc>
        <w:tc>
          <w:tcPr>
            <w:tcW w:w="3600" w:type="dxa"/>
          </w:tcPr>
          <w:p w14:paraId="3630CD8E" w14:textId="77777777" w:rsidR="00862424" w:rsidRDefault="00DD7026">
            <w:r>
              <w:rPr>
                <w:sz w:val="20"/>
              </w:rPr>
              <w:t>% (n)</w:t>
            </w:r>
          </w:p>
        </w:tc>
      </w:tr>
      <w:tr w:rsidR="00862424" w14:paraId="3D5779C2" w14:textId="77777777">
        <w:tc>
          <w:tcPr>
            <w:tcW w:w="3600" w:type="dxa"/>
          </w:tcPr>
          <w:p w14:paraId="0E695565" w14:textId="77777777" w:rsidR="00862424" w:rsidRDefault="00DD7026">
            <w:r>
              <w:rPr>
                <w:sz w:val="20"/>
              </w:rPr>
              <w:t>Specific training received? (9)</w:t>
            </w:r>
          </w:p>
        </w:tc>
        <w:tc>
          <w:tcPr>
            <w:tcW w:w="3600" w:type="dxa"/>
          </w:tcPr>
          <w:p w14:paraId="79FDAE2C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140FCDD1" w14:textId="77777777" w:rsidR="00862424" w:rsidRDefault="00DD7026">
            <w:r>
              <w:rPr>
                <w:sz w:val="20"/>
              </w:rPr>
              <w:t>55.6 (5) / 44.4 (4)</w:t>
            </w:r>
          </w:p>
        </w:tc>
      </w:tr>
      <w:tr w:rsidR="00862424" w14:paraId="7609C8E8" w14:textId="77777777">
        <w:tc>
          <w:tcPr>
            <w:tcW w:w="3600" w:type="dxa"/>
          </w:tcPr>
          <w:p w14:paraId="5FE6CF1B" w14:textId="77777777" w:rsidR="00862424" w:rsidRDefault="00DD7026">
            <w:r>
              <w:rPr>
                <w:sz w:val="20"/>
              </w:rPr>
              <w:t>Equipment adequate for INR? (8)</w:t>
            </w:r>
          </w:p>
        </w:tc>
        <w:tc>
          <w:tcPr>
            <w:tcW w:w="3600" w:type="dxa"/>
          </w:tcPr>
          <w:p w14:paraId="34A43186" w14:textId="77777777" w:rsidR="00862424" w:rsidRDefault="00DD7026">
            <w:r>
              <w:rPr>
                <w:sz w:val="20"/>
              </w:rPr>
              <w:t>Yes</w:t>
            </w:r>
          </w:p>
        </w:tc>
        <w:tc>
          <w:tcPr>
            <w:tcW w:w="3600" w:type="dxa"/>
          </w:tcPr>
          <w:p w14:paraId="1A0CBF0B" w14:textId="77777777" w:rsidR="00862424" w:rsidRDefault="00DD7026">
            <w:r>
              <w:rPr>
                <w:sz w:val="20"/>
              </w:rPr>
              <w:t>100.0 (8)</w:t>
            </w:r>
          </w:p>
        </w:tc>
      </w:tr>
      <w:tr w:rsidR="00862424" w14:paraId="590A639B" w14:textId="77777777">
        <w:tc>
          <w:tcPr>
            <w:tcW w:w="3600" w:type="dxa"/>
          </w:tcPr>
          <w:p w14:paraId="706D6A28" w14:textId="77777777" w:rsidR="00862424" w:rsidRDefault="00DD7026">
            <w:r>
              <w:rPr>
                <w:sz w:val="20"/>
              </w:rPr>
              <w:t>Standardized INR protocol? (9)</w:t>
            </w:r>
          </w:p>
        </w:tc>
        <w:tc>
          <w:tcPr>
            <w:tcW w:w="3600" w:type="dxa"/>
          </w:tcPr>
          <w:p w14:paraId="308E86BB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66D373B2" w14:textId="77777777" w:rsidR="00862424" w:rsidRDefault="00DD7026">
            <w:r>
              <w:rPr>
                <w:sz w:val="20"/>
              </w:rPr>
              <w:t>88.9 (8) / 11.1 (1)</w:t>
            </w:r>
          </w:p>
        </w:tc>
      </w:tr>
      <w:tr w:rsidR="00862424" w14:paraId="22E4A9DF" w14:textId="77777777">
        <w:tc>
          <w:tcPr>
            <w:tcW w:w="3600" w:type="dxa"/>
          </w:tcPr>
          <w:p w14:paraId="7E9C1961" w14:textId="77777777" w:rsidR="00862424" w:rsidRDefault="00DD7026">
            <w:r>
              <w:rPr>
                <w:sz w:val="20"/>
              </w:rPr>
              <w:t>Regular QC? (9)</w:t>
            </w:r>
          </w:p>
        </w:tc>
        <w:tc>
          <w:tcPr>
            <w:tcW w:w="3600" w:type="dxa"/>
          </w:tcPr>
          <w:p w14:paraId="4586A9E8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5A30F2EF" w14:textId="77777777" w:rsidR="00862424" w:rsidRDefault="00DD7026">
            <w:r>
              <w:rPr>
                <w:sz w:val="20"/>
              </w:rPr>
              <w:t>77.8 (7) / 22.2 (2)</w:t>
            </w:r>
          </w:p>
        </w:tc>
      </w:tr>
      <w:tr w:rsidR="00862424" w14:paraId="42D028EA" w14:textId="77777777">
        <w:tc>
          <w:tcPr>
            <w:tcW w:w="3600" w:type="dxa"/>
          </w:tcPr>
          <w:p w14:paraId="39558AD5" w14:textId="77777777" w:rsidR="00862424" w:rsidRDefault="00DD7026">
            <w:r>
              <w:rPr>
                <w:sz w:val="20"/>
              </w:rPr>
              <w:t>Results always reliable? (9)</w:t>
            </w:r>
          </w:p>
        </w:tc>
        <w:tc>
          <w:tcPr>
            <w:tcW w:w="3600" w:type="dxa"/>
          </w:tcPr>
          <w:p w14:paraId="21BBD769" w14:textId="77777777" w:rsidR="00862424" w:rsidRDefault="00DD7026">
            <w:r>
              <w:rPr>
                <w:sz w:val="20"/>
              </w:rPr>
              <w:t>Yes / No / Unsure</w:t>
            </w:r>
          </w:p>
        </w:tc>
        <w:tc>
          <w:tcPr>
            <w:tcW w:w="3600" w:type="dxa"/>
          </w:tcPr>
          <w:p w14:paraId="3E439C4E" w14:textId="77777777" w:rsidR="00862424" w:rsidRDefault="00DD7026">
            <w:r>
              <w:rPr>
                <w:sz w:val="20"/>
              </w:rPr>
              <w:t>77.8 (7) / 11.1 (1) / 11.1 (1)</w:t>
            </w:r>
          </w:p>
        </w:tc>
      </w:tr>
      <w:tr w:rsidR="00862424" w14:paraId="7107BC1F" w14:textId="77777777">
        <w:tc>
          <w:tcPr>
            <w:tcW w:w="3600" w:type="dxa"/>
          </w:tcPr>
          <w:p w14:paraId="46BE64E9" w14:textId="77777777" w:rsidR="00862424" w:rsidRDefault="00DD7026">
            <w:r>
              <w:rPr>
                <w:sz w:val="20"/>
              </w:rPr>
              <w:t>Turnaround time respected? (9)</w:t>
            </w:r>
          </w:p>
        </w:tc>
        <w:tc>
          <w:tcPr>
            <w:tcW w:w="3600" w:type="dxa"/>
          </w:tcPr>
          <w:p w14:paraId="11321890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49E4FE97" w14:textId="77777777" w:rsidR="00862424" w:rsidRDefault="00DD7026">
            <w:r>
              <w:rPr>
                <w:sz w:val="20"/>
              </w:rPr>
              <w:t>88.9 (8) / 11.1 (1)</w:t>
            </w:r>
          </w:p>
        </w:tc>
      </w:tr>
    </w:tbl>
    <w:p w14:paraId="50C8E639" w14:textId="77777777" w:rsidR="00862424" w:rsidRDefault="00DD7026">
      <w:pPr>
        <w:jc w:val="both"/>
      </w:pPr>
      <w:r>
        <w:rPr>
          <w:sz w:val="22"/>
        </w:rPr>
        <w:t>Comment. Strengths: adequate platform and SOPs; generally acceptable TAT. Gaps: nearly half without specific training; QC not universal.</w:t>
      </w:r>
    </w:p>
    <w:p w14:paraId="46350760" w14:textId="77777777" w:rsidR="00862424" w:rsidRDefault="00DD7026">
      <w:pPr>
        <w:jc w:val="both"/>
      </w:pPr>
      <w:r>
        <w:rPr>
          <w:sz w:val="22"/>
        </w:rPr>
        <w:t>Table 6. Open questions—top themes (laboratory 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862424" w14:paraId="29516786" w14:textId="77777777">
        <w:tc>
          <w:tcPr>
            <w:tcW w:w="3600" w:type="dxa"/>
          </w:tcPr>
          <w:p w14:paraId="7B68D293" w14:textId="77777777" w:rsidR="00862424" w:rsidRDefault="00DD7026">
            <w:r>
              <w:rPr>
                <w:sz w:val="20"/>
              </w:rPr>
              <w:t>Theme</w:t>
            </w:r>
          </w:p>
        </w:tc>
        <w:tc>
          <w:tcPr>
            <w:tcW w:w="3600" w:type="dxa"/>
          </w:tcPr>
          <w:p w14:paraId="7F635666" w14:textId="77777777" w:rsidR="00862424" w:rsidRDefault="00DD7026">
            <w:r>
              <w:rPr>
                <w:sz w:val="20"/>
              </w:rPr>
              <w:t>Mentions</w:t>
            </w:r>
          </w:p>
        </w:tc>
        <w:tc>
          <w:tcPr>
            <w:tcW w:w="3600" w:type="dxa"/>
          </w:tcPr>
          <w:p w14:paraId="20F670C8" w14:textId="77777777" w:rsidR="00862424" w:rsidRDefault="00DD7026">
            <w:r>
              <w:rPr>
                <w:sz w:val="20"/>
              </w:rPr>
              <w:t>% of respondents</w:t>
            </w:r>
          </w:p>
        </w:tc>
      </w:tr>
      <w:tr w:rsidR="00862424" w14:paraId="4C92148B" w14:textId="77777777">
        <w:tc>
          <w:tcPr>
            <w:tcW w:w="3600" w:type="dxa"/>
          </w:tcPr>
          <w:p w14:paraId="32FD425E" w14:textId="77777777" w:rsidR="00862424" w:rsidRDefault="00DD7026">
            <w:r>
              <w:rPr>
                <w:sz w:val="20"/>
              </w:rPr>
              <w:t>Pre-analytical phase (collection/handling)</w:t>
            </w:r>
          </w:p>
        </w:tc>
        <w:tc>
          <w:tcPr>
            <w:tcW w:w="3600" w:type="dxa"/>
          </w:tcPr>
          <w:p w14:paraId="38E7DCF3" w14:textId="77777777" w:rsidR="00862424" w:rsidRDefault="00DD7026">
            <w:r>
              <w:rPr>
                <w:sz w:val="20"/>
              </w:rPr>
              <w:t>4</w:t>
            </w:r>
          </w:p>
        </w:tc>
        <w:tc>
          <w:tcPr>
            <w:tcW w:w="3600" w:type="dxa"/>
          </w:tcPr>
          <w:p w14:paraId="32143716" w14:textId="77777777" w:rsidR="00862424" w:rsidRDefault="00DD7026">
            <w:r>
              <w:rPr>
                <w:sz w:val="20"/>
              </w:rPr>
              <w:t>44%</w:t>
            </w:r>
          </w:p>
        </w:tc>
      </w:tr>
      <w:tr w:rsidR="00862424" w14:paraId="2CECD714" w14:textId="77777777">
        <w:tc>
          <w:tcPr>
            <w:tcW w:w="3600" w:type="dxa"/>
          </w:tcPr>
          <w:p w14:paraId="1B2AF243" w14:textId="77777777" w:rsidR="00862424" w:rsidRDefault="00DD7026">
            <w:r>
              <w:rPr>
                <w:sz w:val="20"/>
              </w:rPr>
              <w:t>Manual pipetting</w:t>
            </w:r>
          </w:p>
        </w:tc>
        <w:tc>
          <w:tcPr>
            <w:tcW w:w="3600" w:type="dxa"/>
          </w:tcPr>
          <w:p w14:paraId="599CBF0B" w14:textId="77777777" w:rsidR="00862424" w:rsidRDefault="00DD7026">
            <w:r>
              <w:rPr>
                <w:sz w:val="20"/>
              </w:rPr>
              <w:t>3</w:t>
            </w:r>
          </w:p>
        </w:tc>
        <w:tc>
          <w:tcPr>
            <w:tcW w:w="3600" w:type="dxa"/>
          </w:tcPr>
          <w:p w14:paraId="6D59E681" w14:textId="77777777" w:rsidR="00862424" w:rsidRDefault="00DD7026">
            <w:r>
              <w:rPr>
                <w:sz w:val="20"/>
              </w:rPr>
              <w:t>33%</w:t>
            </w:r>
          </w:p>
        </w:tc>
      </w:tr>
      <w:tr w:rsidR="00862424" w14:paraId="7E7B3BBD" w14:textId="77777777">
        <w:tc>
          <w:tcPr>
            <w:tcW w:w="3600" w:type="dxa"/>
          </w:tcPr>
          <w:p w14:paraId="1503E99E" w14:textId="77777777" w:rsidR="00862424" w:rsidRDefault="00DD7026">
            <w:r>
              <w:rPr>
                <w:sz w:val="20"/>
              </w:rPr>
              <w:t>Misinterpreted automated alerts</w:t>
            </w:r>
          </w:p>
        </w:tc>
        <w:tc>
          <w:tcPr>
            <w:tcW w:w="3600" w:type="dxa"/>
          </w:tcPr>
          <w:p w14:paraId="52261396" w14:textId="77777777" w:rsidR="00862424" w:rsidRDefault="00DD7026">
            <w:r>
              <w:rPr>
                <w:sz w:val="20"/>
              </w:rPr>
              <w:t>2</w:t>
            </w:r>
          </w:p>
        </w:tc>
        <w:tc>
          <w:tcPr>
            <w:tcW w:w="3600" w:type="dxa"/>
          </w:tcPr>
          <w:p w14:paraId="19CA3C62" w14:textId="77777777" w:rsidR="00862424" w:rsidRDefault="00DD7026">
            <w:r>
              <w:rPr>
                <w:sz w:val="20"/>
              </w:rPr>
              <w:t>22%</w:t>
            </w:r>
          </w:p>
        </w:tc>
      </w:tr>
    </w:tbl>
    <w:p w14:paraId="58AFAE15" w14:textId="77777777" w:rsidR="00862424" w:rsidRDefault="00DD7026">
      <w:pPr>
        <w:jc w:val="both"/>
      </w:pPr>
      <w:r>
        <w:rPr>
          <w:sz w:val="22"/>
        </w:rPr>
        <w:t>Comment. Pre-analytical risks dominate; consumable/logistics constraints also noted.</w:t>
      </w:r>
    </w:p>
    <w:p w14:paraId="66B62F2C" w14:textId="77777777" w:rsidR="00862424" w:rsidRDefault="00DD7026">
      <w:r>
        <w:rPr>
          <w:b/>
          <w:sz w:val="24"/>
        </w:rPr>
        <w:t>VI. Clinician survey (Annex)</w:t>
      </w:r>
    </w:p>
    <w:p w14:paraId="763C9920" w14:textId="77777777" w:rsidR="00862424" w:rsidRDefault="00DD7026">
      <w:pPr>
        <w:jc w:val="both"/>
      </w:pPr>
      <w:r>
        <w:rPr>
          <w:sz w:val="22"/>
        </w:rPr>
        <w:t>Table 7. Closed questions—clinicians (n=13)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862424" w14:paraId="46E50431" w14:textId="77777777">
        <w:tc>
          <w:tcPr>
            <w:tcW w:w="2700" w:type="dxa"/>
          </w:tcPr>
          <w:p w14:paraId="0DCB6148" w14:textId="77777777" w:rsidR="00862424" w:rsidRDefault="00DD7026">
            <w:r>
              <w:rPr>
                <w:sz w:val="20"/>
              </w:rPr>
              <w:t>Question</w:t>
            </w:r>
          </w:p>
        </w:tc>
        <w:tc>
          <w:tcPr>
            <w:tcW w:w="2700" w:type="dxa"/>
          </w:tcPr>
          <w:p w14:paraId="4E5FB5FC" w14:textId="77777777" w:rsidR="00862424" w:rsidRDefault="00DD7026">
            <w:r>
              <w:rPr>
                <w:sz w:val="20"/>
              </w:rPr>
              <w:t>Options</w:t>
            </w:r>
          </w:p>
        </w:tc>
        <w:tc>
          <w:tcPr>
            <w:tcW w:w="2700" w:type="dxa"/>
          </w:tcPr>
          <w:p w14:paraId="48D5728B" w14:textId="77777777" w:rsidR="00862424" w:rsidRDefault="00DD7026">
            <w:r>
              <w:rPr>
                <w:sz w:val="20"/>
              </w:rPr>
              <w:t>n</w:t>
            </w:r>
          </w:p>
        </w:tc>
        <w:tc>
          <w:tcPr>
            <w:tcW w:w="2700" w:type="dxa"/>
          </w:tcPr>
          <w:p w14:paraId="3F980AD9" w14:textId="77777777" w:rsidR="00862424" w:rsidRDefault="00DD7026">
            <w:r>
              <w:rPr>
                <w:sz w:val="20"/>
              </w:rPr>
              <w:t>%</w:t>
            </w:r>
          </w:p>
        </w:tc>
      </w:tr>
      <w:tr w:rsidR="00862424" w14:paraId="178A2CD8" w14:textId="77777777">
        <w:tc>
          <w:tcPr>
            <w:tcW w:w="2700" w:type="dxa"/>
          </w:tcPr>
          <w:p w14:paraId="5ADEB214" w14:textId="77777777" w:rsidR="00862424" w:rsidRDefault="00DD7026">
            <w:r>
              <w:rPr>
                <w:sz w:val="20"/>
              </w:rPr>
              <w:t>Regular collaboration with laboratory?</w:t>
            </w:r>
          </w:p>
        </w:tc>
        <w:tc>
          <w:tcPr>
            <w:tcW w:w="2700" w:type="dxa"/>
          </w:tcPr>
          <w:p w14:paraId="2C6280C9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59F3587D" w14:textId="77777777" w:rsidR="00862424" w:rsidRDefault="00DD7026">
            <w:r>
              <w:rPr>
                <w:sz w:val="20"/>
              </w:rPr>
              <w:t>11 / 2</w:t>
            </w:r>
          </w:p>
        </w:tc>
        <w:tc>
          <w:tcPr>
            <w:tcW w:w="2700" w:type="dxa"/>
          </w:tcPr>
          <w:p w14:paraId="67969976" w14:textId="77777777" w:rsidR="00862424" w:rsidRDefault="00DD7026">
            <w:r>
              <w:rPr>
                <w:sz w:val="20"/>
              </w:rPr>
              <w:t>84.6 / 15.4</w:t>
            </w:r>
          </w:p>
        </w:tc>
      </w:tr>
      <w:tr w:rsidR="00862424" w14:paraId="5CC12CAC" w14:textId="77777777">
        <w:tc>
          <w:tcPr>
            <w:tcW w:w="2700" w:type="dxa"/>
          </w:tcPr>
          <w:p w14:paraId="2AE7204E" w14:textId="77777777" w:rsidR="00862424" w:rsidRDefault="00DD7026">
            <w:r>
              <w:rPr>
                <w:sz w:val="20"/>
              </w:rPr>
              <w:t>INR turnaround satisfactory?</w:t>
            </w:r>
          </w:p>
        </w:tc>
        <w:tc>
          <w:tcPr>
            <w:tcW w:w="2700" w:type="dxa"/>
          </w:tcPr>
          <w:p w14:paraId="7FCF0EE6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457B8118" w14:textId="77777777" w:rsidR="00862424" w:rsidRDefault="00DD7026">
            <w:r>
              <w:rPr>
                <w:sz w:val="20"/>
              </w:rPr>
              <w:t>8 / 5</w:t>
            </w:r>
          </w:p>
        </w:tc>
        <w:tc>
          <w:tcPr>
            <w:tcW w:w="2700" w:type="dxa"/>
          </w:tcPr>
          <w:p w14:paraId="2E145302" w14:textId="77777777" w:rsidR="00862424" w:rsidRDefault="00DD7026">
            <w:r>
              <w:rPr>
                <w:sz w:val="20"/>
              </w:rPr>
              <w:t>61.5 / 38.5</w:t>
            </w:r>
          </w:p>
        </w:tc>
      </w:tr>
      <w:tr w:rsidR="00862424" w14:paraId="137B6430" w14:textId="77777777">
        <w:tc>
          <w:tcPr>
            <w:tcW w:w="2700" w:type="dxa"/>
          </w:tcPr>
          <w:p w14:paraId="79DB9E1E" w14:textId="77777777" w:rsidR="00862424" w:rsidRDefault="00DD7026">
            <w:r>
              <w:rPr>
                <w:sz w:val="20"/>
              </w:rPr>
              <w:t>Receive interpretive comments?</w:t>
            </w:r>
          </w:p>
        </w:tc>
        <w:tc>
          <w:tcPr>
            <w:tcW w:w="2700" w:type="dxa"/>
          </w:tcPr>
          <w:p w14:paraId="794DEAB8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3D327E6B" w14:textId="77777777" w:rsidR="00862424" w:rsidRDefault="00DD7026">
            <w:r>
              <w:rPr>
                <w:sz w:val="20"/>
              </w:rPr>
              <w:t>3 / 10</w:t>
            </w:r>
          </w:p>
        </w:tc>
        <w:tc>
          <w:tcPr>
            <w:tcW w:w="2700" w:type="dxa"/>
          </w:tcPr>
          <w:p w14:paraId="5528A629" w14:textId="77777777" w:rsidR="00862424" w:rsidRDefault="00DD7026">
            <w:r>
              <w:rPr>
                <w:sz w:val="20"/>
              </w:rPr>
              <w:t>23.1 / 76.9</w:t>
            </w:r>
          </w:p>
        </w:tc>
      </w:tr>
      <w:tr w:rsidR="00862424" w14:paraId="5BABDCC4" w14:textId="77777777">
        <w:tc>
          <w:tcPr>
            <w:tcW w:w="2700" w:type="dxa"/>
          </w:tcPr>
          <w:p w14:paraId="7FBF517C" w14:textId="77777777" w:rsidR="00862424" w:rsidRDefault="00DD7026">
            <w:proofErr w:type="spellStart"/>
            <w:r>
              <w:rPr>
                <w:sz w:val="20"/>
              </w:rPr>
              <w:t>Labo</w:t>
            </w:r>
            <w:proofErr w:type="spellEnd"/>
            <w:r>
              <w:rPr>
                <w:sz w:val="20"/>
              </w:rPr>
              <w:t>–clinician communication effective?</w:t>
            </w:r>
          </w:p>
        </w:tc>
        <w:tc>
          <w:tcPr>
            <w:tcW w:w="2700" w:type="dxa"/>
          </w:tcPr>
          <w:p w14:paraId="69A61042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22CAAABD" w14:textId="77777777" w:rsidR="00862424" w:rsidRDefault="00DD7026">
            <w:r>
              <w:rPr>
                <w:sz w:val="20"/>
              </w:rPr>
              <w:t>7 / 6</w:t>
            </w:r>
          </w:p>
        </w:tc>
        <w:tc>
          <w:tcPr>
            <w:tcW w:w="2700" w:type="dxa"/>
          </w:tcPr>
          <w:p w14:paraId="5404EAAD" w14:textId="77777777" w:rsidR="00862424" w:rsidRDefault="00DD7026">
            <w:r>
              <w:rPr>
                <w:sz w:val="20"/>
              </w:rPr>
              <w:t>53.9 / 46.1</w:t>
            </w:r>
          </w:p>
        </w:tc>
      </w:tr>
      <w:tr w:rsidR="00862424" w14:paraId="33BA74C3" w14:textId="77777777">
        <w:tc>
          <w:tcPr>
            <w:tcW w:w="2700" w:type="dxa"/>
          </w:tcPr>
          <w:p w14:paraId="6B4136F3" w14:textId="77777777" w:rsidR="00862424" w:rsidRDefault="00DD7026">
            <w:r>
              <w:rPr>
                <w:sz w:val="20"/>
              </w:rPr>
              <w:t>Complications linked to delay/error?</w:t>
            </w:r>
          </w:p>
        </w:tc>
        <w:tc>
          <w:tcPr>
            <w:tcW w:w="2700" w:type="dxa"/>
          </w:tcPr>
          <w:p w14:paraId="3FE5E9C2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72459D74" w14:textId="77777777" w:rsidR="00862424" w:rsidRDefault="00DD7026">
            <w:r>
              <w:rPr>
                <w:sz w:val="20"/>
              </w:rPr>
              <w:t>6 / 7</w:t>
            </w:r>
          </w:p>
        </w:tc>
        <w:tc>
          <w:tcPr>
            <w:tcW w:w="2700" w:type="dxa"/>
          </w:tcPr>
          <w:p w14:paraId="73B64D25" w14:textId="77777777" w:rsidR="00862424" w:rsidRDefault="00DD7026">
            <w:r>
              <w:rPr>
                <w:sz w:val="20"/>
              </w:rPr>
              <w:t>46.2 / 53.8</w:t>
            </w:r>
          </w:p>
        </w:tc>
      </w:tr>
    </w:tbl>
    <w:p w14:paraId="131E1B1C" w14:textId="77777777" w:rsidR="00862424" w:rsidRDefault="00DD7026">
      <w:pPr>
        <w:jc w:val="both"/>
      </w:pPr>
      <w:r>
        <w:rPr>
          <w:sz w:val="22"/>
        </w:rPr>
        <w:t>Comment. Priorities: faster reporting, interpretive comments, stronger communication.</w:t>
      </w:r>
    </w:p>
    <w:p w14:paraId="0502B27B" w14:textId="77777777" w:rsidR="00862424" w:rsidRDefault="00DD7026">
      <w:pPr>
        <w:jc w:val="both"/>
      </w:pPr>
      <w:r>
        <w:rPr>
          <w:sz w:val="22"/>
        </w:rPr>
        <w:t>Table 8. Open questions—clinicians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862424" w14:paraId="05C02E86" w14:textId="77777777">
        <w:tc>
          <w:tcPr>
            <w:tcW w:w="3600" w:type="dxa"/>
          </w:tcPr>
          <w:p w14:paraId="5385B9BA" w14:textId="77777777" w:rsidR="00862424" w:rsidRDefault="00DD7026">
            <w:r>
              <w:rPr>
                <w:sz w:val="20"/>
              </w:rPr>
              <w:t>Theme</w:t>
            </w:r>
          </w:p>
        </w:tc>
        <w:tc>
          <w:tcPr>
            <w:tcW w:w="3600" w:type="dxa"/>
          </w:tcPr>
          <w:p w14:paraId="4C32F261" w14:textId="77777777" w:rsidR="00862424" w:rsidRDefault="00DD7026">
            <w:r>
              <w:rPr>
                <w:sz w:val="20"/>
              </w:rPr>
              <w:t>Mentions</w:t>
            </w:r>
          </w:p>
        </w:tc>
        <w:tc>
          <w:tcPr>
            <w:tcW w:w="3600" w:type="dxa"/>
          </w:tcPr>
          <w:p w14:paraId="59895CF6" w14:textId="77777777" w:rsidR="00862424" w:rsidRDefault="00DD7026">
            <w:r>
              <w:rPr>
                <w:sz w:val="20"/>
              </w:rPr>
              <w:t>% of respondents</w:t>
            </w:r>
          </w:p>
        </w:tc>
      </w:tr>
      <w:tr w:rsidR="00862424" w14:paraId="025A68B1" w14:textId="77777777">
        <w:tc>
          <w:tcPr>
            <w:tcW w:w="3600" w:type="dxa"/>
          </w:tcPr>
          <w:p w14:paraId="38C58666" w14:textId="77777777" w:rsidR="00862424" w:rsidRDefault="00DD7026">
            <w:r>
              <w:rPr>
                <w:sz w:val="20"/>
              </w:rPr>
              <w:t xml:space="preserve">Improve </w:t>
            </w:r>
            <w:proofErr w:type="spellStart"/>
            <w:r>
              <w:rPr>
                <w:sz w:val="20"/>
              </w:rPr>
              <w:t>labo</w:t>
            </w:r>
            <w:proofErr w:type="spellEnd"/>
            <w:r>
              <w:rPr>
                <w:sz w:val="20"/>
              </w:rPr>
              <w:t>–clinician communication</w:t>
            </w:r>
          </w:p>
        </w:tc>
        <w:tc>
          <w:tcPr>
            <w:tcW w:w="3600" w:type="dxa"/>
          </w:tcPr>
          <w:p w14:paraId="0CC1C7FB" w14:textId="77777777" w:rsidR="00862424" w:rsidRDefault="00DD7026">
            <w:r>
              <w:rPr>
                <w:sz w:val="20"/>
              </w:rPr>
              <w:t>5</w:t>
            </w:r>
          </w:p>
        </w:tc>
        <w:tc>
          <w:tcPr>
            <w:tcW w:w="3600" w:type="dxa"/>
          </w:tcPr>
          <w:p w14:paraId="0121A242" w14:textId="77777777" w:rsidR="00862424" w:rsidRDefault="00DD7026">
            <w:r>
              <w:rPr>
                <w:sz w:val="20"/>
              </w:rPr>
              <w:t>38%</w:t>
            </w:r>
          </w:p>
        </w:tc>
      </w:tr>
      <w:tr w:rsidR="00862424" w14:paraId="4C95A215" w14:textId="77777777">
        <w:tc>
          <w:tcPr>
            <w:tcW w:w="3600" w:type="dxa"/>
          </w:tcPr>
          <w:p w14:paraId="616EEFF1" w14:textId="77777777" w:rsidR="00862424" w:rsidRDefault="00DD7026">
            <w:r>
              <w:rPr>
                <w:sz w:val="20"/>
              </w:rPr>
              <w:t>Faster result delivery</w:t>
            </w:r>
          </w:p>
        </w:tc>
        <w:tc>
          <w:tcPr>
            <w:tcW w:w="3600" w:type="dxa"/>
          </w:tcPr>
          <w:p w14:paraId="77F7EB3E" w14:textId="77777777" w:rsidR="00862424" w:rsidRDefault="00DD7026">
            <w:r>
              <w:rPr>
                <w:sz w:val="20"/>
              </w:rPr>
              <w:t>4</w:t>
            </w:r>
          </w:p>
        </w:tc>
        <w:tc>
          <w:tcPr>
            <w:tcW w:w="3600" w:type="dxa"/>
          </w:tcPr>
          <w:p w14:paraId="7D089052" w14:textId="77777777" w:rsidR="00862424" w:rsidRDefault="00DD7026">
            <w:r>
              <w:rPr>
                <w:sz w:val="20"/>
              </w:rPr>
              <w:t>31%</w:t>
            </w:r>
          </w:p>
        </w:tc>
      </w:tr>
      <w:tr w:rsidR="00862424" w14:paraId="3553651F" w14:textId="77777777">
        <w:tc>
          <w:tcPr>
            <w:tcW w:w="3600" w:type="dxa"/>
          </w:tcPr>
          <w:p w14:paraId="2377E90E" w14:textId="77777777" w:rsidR="00862424" w:rsidRDefault="00DD7026">
            <w:r>
              <w:rPr>
                <w:sz w:val="20"/>
              </w:rPr>
              <w:t>Clearer reliability/interpretation</w:t>
            </w:r>
          </w:p>
        </w:tc>
        <w:tc>
          <w:tcPr>
            <w:tcW w:w="3600" w:type="dxa"/>
          </w:tcPr>
          <w:p w14:paraId="4A34875E" w14:textId="77777777" w:rsidR="00862424" w:rsidRDefault="00DD7026">
            <w:r>
              <w:rPr>
                <w:sz w:val="20"/>
              </w:rPr>
              <w:t>3</w:t>
            </w:r>
          </w:p>
        </w:tc>
        <w:tc>
          <w:tcPr>
            <w:tcW w:w="3600" w:type="dxa"/>
          </w:tcPr>
          <w:p w14:paraId="5C39ED59" w14:textId="77777777" w:rsidR="00862424" w:rsidRDefault="00DD7026">
            <w:r>
              <w:rPr>
                <w:sz w:val="20"/>
              </w:rPr>
              <w:t>23%</w:t>
            </w:r>
          </w:p>
        </w:tc>
      </w:tr>
    </w:tbl>
    <w:p w14:paraId="5B5B1E6B" w14:textId="77777777" w:rsidR="00862424" w:rsidRDefault="00DD7026">
      <w:pPr>
        <w:jc w:val="both"/>
      </w:pPr>
      <w:r>
        <w:rPr>
          <w:sz w:val="22"/>
        </w:rPr>
        <w:t>Comment. Convergent asks: dedicated alert channel for critical INRs, enriched reports (interpretation + recommended actions), and shorter turnaround.</w:t>
      </w:r>
    </w:p>
    <w:p w14:paraId="1F6CE518" w14:textId="77777777" w:rsidR="00862424" w:rsidRDefault="00DD7026">
      <w:pPr>
        <w:jc w:val="both"/>
      </w:pPr>
      <w:r>
        <w:rPr>
          <w:sz w:val="22"/>
        </w:rPr>
        <w:t>Principal findings. Reduced subtherapeutic and increased supratherapeutic INRs at follow-up (Table 2) occurred without a significant paired shift overall (Table 4), with near-threshold but non-significant associations with age and sex (Table 3). These patterns indicate partial short-term stabilization but a clinically relevant right-tail of over-anticoagulation, consistent with the narrow therapeutic index of VKAs and guideline concerns about bleeding risk with out-of-range INRs [5].</w:t>
      </w:r>
      <w:r>
        <w:rPr>
          <w:sz w:val="22"/>
        </w:rPr>
        <w:br/>
      </w:r>
      <w:r>
        <w:rPr>
          <w:sz w:val="22"/>
        </w:rPr>
        <w:br/>
        <w:t xml:space="preserve">Comparisons across regions. In the United States, registry data (e.g., ORBIT-AF) report mean/median TTR around 65–68% and median time above range near 10%, well below the single-visit supratherapeutic share seen here (Table 2) [7]. In Europe, Sweden’s </w:t>
      </w:r>
      <w:proofErr w:type="spellStart"/>
      <w:r>
        <w:rPr>
          <w:sz w:val="22"/>
        </w:rPr>
        <w:t>AuriculA</w:t>
      </w:r>
      <w:proofErr w:type="spellEnd"/>
      <w:r>
        <w:rPr>
          <w:sz w:val="22"/>
        </w:rPr>
        <w:t xml:space="preserve"> program reports TTR near 76% with low adverse-event rates and benefits from standardized workflows and computerized dosing support; global GARFIELD-AF analyses also link higher TTR with fewer strokes, bleeds, and deaths [8,9]. Across Asia, median TTR in Chinese AF cohorts is ≈52% at the 2.0–3.0 target (improving with a lower target), Malaysian clinics report mean TTR ≈47%, and multi-center Thai data show in-range proportions 22–32% with clinic TTRs around 31–56%—figures closer to our context [10–12]. Within Africa, systematic reviews and meta-analyses document suboptimal anticoagulation quality, driven by access, supply, and organizational constraints [13,19]. Our high </w:t>
      </w:r>
      <w:r>
        <w:rPr>
          <w:sz w:val="22"/>
        </w:rPr>
        <w:lastRenderedPageBreak/>
        <w:t>supratherapeutic fraction at second visit (Table 2) and non-improving paired mean (Table 4) align with these findings.</w:t>
      </w:r>
      <w:r>
        <w:rPr>
          <w:sz w:val="22"/>
        </w:rPr>
        <w:br/>
      </w:r>
      <w:r>
        <w:rPr>
          <w:sz w:val="22"/>
        </w:rPr>
        <w:br/>
        <w:t xml:space="preserve">Mechanisms and levers. ICSH and related guidance detail safeguards that reduce PT/INR variability—citrate concentration, fill ratio, mixing, hemolysis checks, and transport conditions—addressing the pre-analytical vulnerabilities identified by staff (Tables 5–6) [1,2]. ISO 15189:2022 and CLSI GP47 require defined processes for critical-risk result notification with documentation/read-back; given the ≈48% supratherapeutic share at follow-up (Table 2), a codified critical-INR escalation pathway is high-yield [3,4]. Pharmacologically, our cohort is dominated by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(Table 1); compared with warfarin, its shorter half-life can produce faster INR swings, especially with dietary variability or intercurrent illness—supporting shorter recall intervals, algorithmic dosing, and patient coaching when substitution is not feasible [14–16].</w:t>
      </w:r>
      <w:r>
        <w:rPr>
          <w:sz w:val="22"/>
        </w:rPr>
        <w:br/>
      </w:r>
      <w:r>
        <w:rPr>
          <w:sz w:val="22"/>
        </w:rPr>
        <w:br/>
        <w:t>Practice recommendations.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Hard-wire pre-analytics via checklists and verification (ISI/MNPT, lot-to-lot); (ii) codify critical-INR thresholds with direct alerts and read-back; (iii) implement computerized assistance for dosing—programs like </w:t>
      </w:r>
      <w:proofErr w:type="spellStart"/>
      <w:r>
        <w:rPr>
          <w:sz w:val="22"/>
        </w:rPr>
        <w:t>AuriculA</w:t>
      </w:r>
      <w:proofErr w:type="spellEnd"/>
      <w:r>
        <w:rPr>
          <w:sz w:val="22"/>
        </w:rPr>
        <w:t xml:space="preserve"> and decision-support tools report TTR gains; (iv) risk-stratify follow-up using SAMe-TT₂R₂; (v) measure service-level TTR (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>) with monthly feedback; (vi) standardize patient education on vitamin K consistency, drug–food interactions, missed-dose rules, and illness/antibiotic alerts [6–9,12–13,17–18,21–22].</w:t>
      </w:r>
      <w:r>
        <w:rPr>
          <w:sz w:val="22"/>
        </w:rPr>
        <w:br/>
      </w:r>
      <w:r>
        <w:rPr>
          <w:sz w:val="22"/>
        </w:rPr>
        <w:br/>
        <w:t>What this adds. By triangulating patient INRs (Tables 2–4) with staff signals (Tables 5–6) and prescriber perspectives (Tables 7–8), this study identifies a pragmatic quality bundle—pre-/post-analytics, algorithmic dosing, and patient education—aligned with standards and global experience.</w:t>
      </w:r>
    </w:p>
    <w:p w14:paraId="2F9D8C42" w14:textId="77777777" w:rsidR="00862424" w:rsidRDefault="00DD7026">
      <w:r>
        <w:rPr>
          <w:b/>
          <w:sz w:val="24"/>
        </w:rPr>
        <w:t>5. CONCLUSION</w:t>
      </w:r>
    </w:p>
    <w:p w14:paraId="4A1A7ED7" w14:textId="77777777" w:rsidR="00862424" w:rsidRDefault="00DD7026">
      <w:pPr>
        <w:jc w:val="both"/>
      </w:pPr>
      <w:r>
        <w:rPr>
          <w:sz w:val="22"/>
        </w:rPr>
        <w:t>At HPZ, VKA control shows partial short-interval stabilization but a substantial over-anticoagulated fraction at follow-up. Combining pre-/post-analytical quality measures, algorithmic dosing with risk-stratified recall, and structured patient education should improve safety and increase time in therapeutic range.</w:t>
      </w:r>
    </w:p>
    <w:p w14:paraId="7580E727" w14:textId="77777777" w:rsidR="00862424" w:rsidRDefault="00DD7026">
      <w:r>
        <w:rPr>
          <w:b/>
          <w:sz w:val="24"/>
        </w:rPr>
        <w:t>6. RECOMMENDATIONS</w:t>
      </w:r>
    </w:p>
    <w:p w14:paraId="6D30B655" w14:textId="77777777" w:rsidR="00862424" w:rsidRDefault="00DD7026">
      <w:pPr>
        <w:jc w:val="both"/>
      </w:pPr>
      <w:r>
        <w:rPr>
          <w:sz w:val="22"/>
        </w:rPr>
        <w:t>- Enforce pre-analytical checklists and verification (ISI/MNPT, lot-to-lot).</w:t>
      </w:r>
    </w:p>
    <w:p w14:paraId="00CFBBC4" w14:textId="77777777" w:rsidR="00862424" w:rsidRDefault="00DD7026">
      <w:pPr>
        <w:jc w:val="both"/>
      </w:pPr>
      <w:r>
        <w:rPr>
          <w:sz w:val="22"/>
        </w:rPr>
        <w:t>- Define and operationalize critical-INR thresholds with read-back documentation and quarterly audits.</w:t>
      </w:r>
    </w:p>
    <w:p w14:paraId="3C62FC6F" w14:textId="77777777" w:rsidR="00862424" w:rsidRDefault="00DD7026">
      <w:pPr>
        <w:jc w:val="both"/>
      </w:pPr>
      <w:r>
        <w:rPr>
          <w:sz w:val="22"/>
        </w:rPr>
        <w:t>- Deploy computer-assisted dosing and SAMe-TT₂R₂–guided follow-up.</w:t>
      </w:r>
    </w:p>
    <w:p w14:paraId="3C7B0AF0" w14:textId="77777777" w:rsidR="00862424" w:rsidRDefault="00DD7026">
      <w:pPr>
        <w:jc w:val="both"/>
      </w:pPr>
      <w:r>
        <w:rPr>
          <w:sz w:val="22"/>
        </w:rPr>
        <w:t>- Start TTR (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>) dashboards with monthly feedback to clinicians and lab staff (target ≥65–70% TTR).</w:t>
      </w:r>
    </w:p>
    <w:p w14:paraId="575F6B9C" w14:textId="77777777" w:rsidR="00862424" w:rsidRDefault="00DD7026">
      <w:pPr>
        <w:jc w:val="both"/>
      </w:pPr>
      <w:r>
        <w:rPr>
          <w:sz w:val="22"/>
        </w:rPr>
        <w:t>- Implement standardized patient education and SMS reminders for INR checks.</w:t>
      </w:r>
    </w:p>
    <w:p w14:paraId="02B01206" w14:textId="77777777" w:rsidR="00862424" w:rsidRDefault="00DD7026">
      <w:r>
        <w:rPr>
          <w:b/>
          <w:sz w:val="24"/>
        </w:rPr>
        <w:t>7. LIMITATIONS</w:t>
      </w:r>
    </w:p>
    <w:p w14:paraId="37B01532" w14:textId="77777777" w:rsidR="00862424" w:rsidRDefault="00DD7026">
      <w:pPr>
        <w:jc w:val="both"/>
      </w:pPr>
      <w:r>
        <w:rPr>
          <w:sz w:val="22"/>
        </w:rPr>
        <w:t>Monocentric design and small sample limit power for subgroup effects (Table 3) and generalizability. Short follow-up with only two INRs; TTR—the preferred quality metric—was not computed. Potential information bias from self-reported surveys (Tables 5–8); lack of granular data on diet, adherence, comorbidities, and interacting drugs. No adjudicated outcomes (bleeding/thromboembolism) were collected.</w:t>
      </w:r>
    </w:p>
    <w:p w14:paraId="7929EEAA" w14:textId="77777777" w:rsidR="00862424" w:rsidRDefault="00DD7026">
      <w:r>
        <w:rPr>
          <w:b/>
          <w:sz w:val="24"/>
        </w:rPr>
        <w:t>8. FUTURE RESEARCH</w:t>
      </w:r>
    </w:p>
    <w:p w14:paraId="58B5D5E2" w14:textId="77777777" w:rsidR="00862424" w:rsidRDefault="00DD7026">
      <w:pPr>
        <w:jc w:val="both"/>
      </w:pPr>
      <w:r>
        <w:rPr>
          <w:sz w:val="22"/>
        </w:rPr>
        <w:t>- Prospective, multicenter evaluation with TTR (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>), bleeding/thromboembolic outcomes, and costs.</w:t>
      </w:r>
    </w:p>
    <w:p w14:paraId="52DB2F1E" w14:textId="77777777" w:rsidR="00862424" w:rsidRDefault="00DD7026">
      <w:pPr>
        <w:jc w:val="both"/>
      </w:pPr>
      <w:r>
        <w:rPr>
          <w:sz w:val="22"/>
        </w:rPr>
        <w:t>- Comparative trials of algorithmic dosing vs usual care and with/without critical-INR alerting.</w:t>
      </w:r>
    </w:p>
    <w:p w14:paraId="3DAB80F1" w14:textId="77777777" w:rsidR="00862424" w:rsidRDefault="00DD7026">
      <w:pPr>
        <w:jc w:val="both"/>
      </w:pPr>
      <w:r>
        <w:rPr>
          <w:sz w:val="22"/>
        </w:rPr>
        <w:t>- Implementation trials of risk-stratified recall and patient education bundles, measuring TTR and events.</w:t>
      </w:r>
    </w:p>
    <w:p w14:paraId="777E7EBB" w14:textId="77777777" w:rsidR="00862424" w:rsidRDefault="00DD7026">
      <w:pPr>
        <w:jc w:val="both"/>
      </w:pPr>
      <w:r>
        <w:rPr>
          <w:sz w:val="22"/>
        </w:rPr>
        <w:t>- Comparative pharmacology (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vs warfarin) on INR stability and visit burden.</w:t>
      </w:r>
    </w:p>
    <w:p w14:paraId="4AD0BC53" w14:textId="77777777" w:rsidR="00862424" w:rsidRDefault="00DD7026">
      <w:pPr>
        <w:jc w:val="both"/>
      </w:pPr>
      <w:r>
        <w:rPr>
          <w:sz w:val="22"/>
        </w:rPr>
        <w:t>- Quality management studies on sustainability of ICSH/ISO/CLSI compliance in resource-constrained labs.</w:t>
      </w:r>
    </w:p>
    <w:p w14:paraId="2547F7A6" w14:textId="47A00F7F" w:rsidR="00B35C95" w:rsidRDefault="00B35C95">
      <w:pPr>
        <w:rPr>
          <w:b/>
          <w:sz w:val="24"/>
        </w:rPr>
      </w:pPr>
    </w:p>
    <w:p w14:paraId="627F654F" w14:textId="77777777" w:rsidR="0056438D" w:rsidRDefault="0056438D">
      <w:pPr>
        <w:rPr>
          <w:b/>
          <w:sz w:val="24"/>
        </w:rPr>
      </w:pPr>
      <w:bookmarkStart w:id="0" w:name="_GoBack"/>
      <w:bookmarkEnd w:id="0"/>
    </w:p>
    <w:p w14:paraId="22AF9C57" w14:textId="77777777" w:rsidR="00B35C95" w:rsidRDefault="00B35C95">
      <w:pPr>
        <w:rPr>
          <w:b/>
          <w:sz w:val="24"/>
        </w:rPr>
      </w:pPr>
    </w:p>
    <w:p w14:paraId="4BDE4174" w14:textId="5FA6F270" w:rsidR="00862424" w:rsidRDefault="00DD7026">
      <w:r>
        <w:rPr>
          <w:b/>
          <w:sz w:val="24"/>
        </w:rPr>
        <w:t>REFERENCES</w:t>
      </w:r>
    </w:p>
    <w:p w14:paraId="2881E1E6" w14:textId="77777777" w:rsidR="00862424" w:rsidRDefault="00DD7026">
      <w:pPr>
        <w:jc w:val="both"/>
      </w:pPr>
      <w:r>
        <w:rPr>
          <w:sz w:val="22"/>
        </w:rPr>
        <w:t xml:space="preserve">1. Kitchen S, Adcock DM, Dauer R, et al. International Council for Standardization in </w:t>
      </w:r>
      <w:proofErr w:type="spellStart"/>
      <w:r>
        <w:rPr>
          <w:sz w:val="22"/>
        </w:rPr>
        <w:t>Haematology</w:t>
      </w:r>
      <w:proofErr w:type="spellEnd"/>
      <w:r>
        <w:rPr>
          <w:sz w:val="22"/>
        </w:rPr>
        <w:t xml:space="preserve"> (ICSH) recommendations for processing of blood samples for coagulation testing. Int J Lab </w:t>
      </w:r>
      <w:proofErr w:type="spellStart"/>
      <w:r>
        <w:rPr>
          <w:sz w:val="22"/>
        </w:rPr>
        <w:t>Hematol</w:t>
      </w:r>
      <w:proofErr w:type="spellEnd"/>
      <w:r>
        <w:rPr>
          <w:sz w:val="22"/>
        </w:rPr>
        <w:t>. 2021;43(6):1228-1240.</w:t>
      </w:r>
    </w:p>
    <w:p w14:paraId="19C3F778" w14:textId="77777777" w:rsidR="00862424" w:rsidRDefault="00DD7026">
      <w:pPr>
        <w:jc w:val="both"/>
      </w:pPr>
      <w:r>
        <w:rPr>
          <w:sz w:val="22"/>
        </w:rPr>
        <w:t xml:space="preserve">2. </w:t>
      </w:r>
      <w:proofErr w:type="spellStart"/>
      <w:r>
        <w:rPr>
          <w:sz w:val="22"/>
        </w:rPr>
        <w:t>Dorgalaleh</w:t>
      </w:r>
      <w:proofErr w:type="spellEnd"/>
      <w:r>
        <w:rPr>
          <w:sz w:val="22"/>
        </w:rPr>
        <w:t xml:space="preserve"> A, </w:t>
      </w:r>
      <w:proofErr w:type="spellStart"/>
      <w:r>
        <w:rPr>
          <w:sz w:val="22"/>
        </w:rPr>
        <w:t>Favaloro</w:t>
      </w:r>
      <w:proofErr w:type="spellEnd"/>
      <w:r>
        <w:rPr>
          <w:sz w:val="22"/>
        </w:rPr>
        <w:t xml:space="preserve"> EJ, Bahraini M, Rad F. Standardization of prothrombin time/International Normalized Ratio (PT/INR). Int J Lab </w:t>
      </w:r>
      <w:proofErr w:type="spellStart"/>
      <w:r>
        <w:rPr>
          <w:sz w:val="22"/>
        </w:rPr>
        <w:t>Hematol</w:t>
      </w:r>
      <w:proofErr w:type="spellEnd"/>
      <w:r>
        <w:rPr>
          <w:sz w:val="22"/>
        </w:rPr>
        <w:t>. 2021;43(1):21-28.</w:t>
      </w:r>
    </w:p>
    <w:p w14:paraId="0DF971F1" w14:textId="77777777" w:rsidR="00862424" w:rsidRDefault="00DD7026">
      <w:pPr>
        <w:jc w:val="both"/>
      </w:pPr>
      <w:r>
        <w:rPr>
          <w:sz w:val="22"/>
        </w:rPr>
        <w:t>3. International Organization for Standardization. ISO 15189:2022—Medical laboratories—Requirements for quality and competence. Geneva: ISO; 2022.</w:t>
      </w:r>
    </w:p>
    <w:p w14:paraId="3594D8A2" w14:textId="77777777" w:rsidR="00862424" w:rsidRDefault="00DD7026">
      <w:pPr>
        <w:jc w:val="both"/>
      </w:pPr>
      <w:r>
        <w:rPr>
          <w:sz w:val="22"/>
        </w:rPr>
        <w:lastRenderedPageBreak/>
        <w:t>4. Clinical and Laboratory Standards Institute. GP47—Management of Critical- and Significant-Risk Results. Wayne, PA: CLSI; 2015 (and updates).</w:t>
      </w:r>
    </w:p>
    <w:p w14:paraId="2A478D87" w14:textId="77777777" w:rsidR="00862424" w:rsidRDefault="00DD7026">
      <w:pPr>
        <w:jc w:val="both"/>
      </w:pPr>
      <w:r>
        <w:rPr>
          <w:sz w:val="22"/>
        </w:rPr>
        <w:t>5. Holbrook A, Schulman S, Witt DM, et al. Evidence-based management of anticoagulant therapy: 9th ACCP guidelines. Chest. 2012;141(2 Suppl</w:t>
      </w:r>
      <w:proofErr w:type="gramStart"/>
      <w:r>
        <w:rPr>
          <w:sz w:val="22"/>
        </w:rPr>
        <w:t>):e</w:t>
      </w:r>
      <w:proofErr w:type="gramEnd"/>
      <w:r>
        <w:rPr>
          <w:sz w:val="22"/>
        </w:rPr>
        <w:t>152S-e184S.</w:t>
      </w:r>
    </w:p>
    <w:p w14:paraId="160D433F" w14:textId="77777777" w:rsidR="00862424" w:rsidRDefault="00DD7026">
      <w:pPr>
        <w:jc w:val="both"/>
      </w:pPr>
      <w:r>
        <w:rPr>
          <w:sz w:val="22"/>
        </w:rPr>
        <w:t xml:space="preserve">6. 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 xml:space="preserve"> FR, </w:t>
      </w:r>
      <w:proofErr w:type="spellStart"/>
      <w:r>
        <w:rPr>
          <w:sz w:val="22"/>
        </w:rPr>
        <w:t>Cannegieter</w:t>
      </w:r>
      <w:proofErr w:type="spellEnd"/>
      <w:r>
        <w:rPr>
          <w:sz w:val="22"/>
        </w:rPr>
        <w:t xml:space="preserve"> SC, van der Meer FJM, </w:t>
      </w:r>
      <w:proofErr w:type="spellStart"/>
      <w:r>
        <w:rPr>
          <w:sz w:val="22"/>
        </w:rPr>
        <w:t>Briët</w:t>
      </w:r>
      <w:proofErr w:type="spellEnd"/>
      <w:r>
        <w:rPr>
          <w:sz w:val="22"/>
        </w:rPr>
        <w:t xml:space="preserve"> E. A method to determine the optimal intensity of oral anticoagulant therapy.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Haemost</w:t>
      </w:r>
      <w:proofErr w:type="spellEnd"/>
      <w:r>
        <w:rPr>
          <w:sz w:val="22"/>
        </w:rPr>
        <w:t>. 1993;69(3):236-239.</w:t>
      </w:r>
    </w:p>
    <w:p w14:paraId="15D97B24" w14:textId="77777777" w:rsidR="00862424" w:rsidRDefault="00DD7026">
      <w:pPr>
        <w:jc w:val="both"/>
      </w:pPr>
      <w:r>
        <w:rPr>
          <w:sz w:val="22"/>
        </w:rPr>
        <w:t xml:space="preserve">7. </w:t>
      </w:r>
      <w:proofErr w:type="spellStart"/>
      <w:r>
        <w:rPr>
          <w:sz w:val="22"/>
        </w:rPr>
        <w:t>Pokorney</w:t>
      </w:r>
      <w:proofErr w:type="spellEnd"/>
      <w:r>
        <w:rPr>
          <w:sz w:val="22"/>
        </w:rPr>
        <w:t xml:space="preserve"> SD, Simon DN, Thomas L, et al. Patients’ time in therapeutic range on warfarin among US patients with atrial fibrillation (ORBIT-AF). Am Heart J. 2015;170(1):141-148.e1.</w:t>
      </w:r>
    </w:p>
    <w:p w14:paraId="5355D0D8" w14:textId="77777777" w:rsidR="00862424" w:rsidRDefault="00DD7026">
      <w:pPr>
        <w:jc w:val="both"/>
      </w:pPr>
      <w:r>
        <w:rPr>
          <w:sz w:val="22"/>
        </w:rPr>
        <w:t xml:space="preserve">8. </w:t>
      </w:r>
      <w:proofErr w:type="spellStart"/>
      <w:r>
        <w:rPr>
          <w:sz w:val="22"/>
        </w:rPr>
        <w:t>Wieloch</w:t>
      </w:r>
      <w:proofErr w:type="spellEnd"/>
      <w:r>
        <w:rPr>
          <w:sz w:val="22"/>
        </w:rPr>
        <w:t xml:space="preserve"> M, </w:t>
      </w:r>
      <w:proofErr w:type="spellStart"/>
      <w:r>
        <w:rPr>
          <w:sz w:val="22"/>
        </w:rPr>
        <w:t>Själander</w:t>
      </w:r>
      <w:proofErr w:type="spellEnd"/>
      <w:r>
        <w:rPr>
          <w:sz w:val="22"/>
        </w:rPr>
        <w:t xml:space="preserve"> A, Frykman V, et al. Anticoagulation control in Sweden: the </w:t>
      </w:r>
      <w:proofErr w:type="spellStart"/>
      <w:r>
        <w:rPr>
          <w:sz w:val="22"/>
        </w:rPr>
        <w:t>AuriculA</w:t>
      </w:r>
      <w:proofErr w:type="spellEnd"/>
      <w:r>
        <w:rPr>
          <w:sz w:val="22"/>
        </w:rPr>
        <w:t xml:space="preserve"> registry. Eur Heart J. 2011;32(18):2282-2289.</w:t>
      </w:r>
    </w:p>
    <w:p w14:paraId="1E39D439" w14:textId="77777777" w:rsidR="00862424" w:rsidRDefault="00DD7026">
      <w:pPr>
        <w:jc w:val="both"/>
      </w:pPr>
      <w:r>
        <w:rPr>
          <w:sz w:val="22"/>
        </w:rPr>
        <w:t xml:space="preserve">9. Haas S, ten Cate V, </w:t>
      </w:r>
      <w:proofErr w:type="spellStart"/>
      <w:r>
        <w:rPr>
          <w:sz w:val="22"/>
        </w:rPr>
        <w:t>Accetta</w:t>
      </w:r>
      <w:proofErr w:type="spellEnd"/>
      <w:r>
        <w:rPr>
          <w:sz w:val="22"/>
        </w:rPr>
        <w:t xml:space="preserve"> G, et al. Anticoagulation quality and outcomes in GARFIELD-AF.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Haemost</w:t>
      </w:r>
      <w:proofErr w:type="spellEnd"/>
      <w:r>
        <w:rPr>
          <w:sz w:val="22"/>
        </w:rPr>
        <w:t>. 2016;116(1</w:t>
      </w:r>
      <w:proofErr w:type="gramStart"/>
      <w:r>
        <w:rPr>
          <w:sz w:val="22"/>
        </w:rPr>
        <w:t>):S</w:t>
      </w:r>
      <w:proofErr w:type="gramEnd"/>
      <w:r>
        <w:rPr>
          <w:sz w:val="22"/>
        </w:rPr>
        <w:t>1-S9.</w:t>
      </w:r>
    </w:p>
    <w:p w14:paraId="2B8F5BCF" w14:textId="77777777" w:rsidR="00862424" w:rsidRDefault="00DD7026">
      <w:pPr>
        <w:jc w:val="both"/>
      </w:pPr>
      <w:r>
        <w:rPr>
          <w:sz w:val="22"/>
        </w:rPr>
        <w:t xml:space="preserve">10. Liang HF, Wang ZY, Gong CR, et al. Optimal INR target and TTR in Chinese AF patients on warfarin. </w:t>
      </w:r>
      <w:proofErr w:type="spellStart"/>
      <w:r>
        <w:rPr>
          <w:sz w:val="22"/>
        </w:rPr>
        <w:t>Cardiol</w:t>
      </w:r>
      <w:proofErr w:type="spellEnd"/>
      <w:r>
        <w:rPr>
          <w:sz w:val="22"/>
        </w:rPr>
        <w:t xml:space="preserve"> Res </w:t>
      </w:r>
      <w:proofErr w:type="spellStart"/>
      <w:r>
        <w:rPr>
          <w:sz w:val="22"/>
        </w:rPr>
        <w:t>Pract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2019;2019:6137894</w:t>
      </w:r>
      <w:proofErr w:type="gramEnd"/>
      <w:r>
        <w:rPr>
          <w:sz w:val="22"/>
        </w:rPr>
        <w:t>.</w:t>
      </w:r>
    </w:p>
    <w:p w14:paraId="35C1EA84" w14:textId="77777777" w:rsidR="00862424" w:rsidRDefault="00DD7026">
      <w:pPr>
        <w:jc w:val="both"/>
      </w:pPr>
      <w:r>
        <w:rPr>
          <w:sz w:val="22"/>
        </w:rPr>
        <w:t xml:space="preserve">11. Ng DLC, Abdul Malik NM, Chai CS, et al. Time in therapeutic range and patient-reported outcomes in Malaysian NVAF on warfarin. Health Qual Life Outcomes. </w:t>
      </w:r>
      <w:proofErr w:type="gramStart"/>
      <w:r>
        <w:rPr>
          <w:sz w:val="22"/>
        </w:rPr>
        <w:t>2020;18:329</w:t>
      </w:r>
      <w:proofErr w:type="gramEnd"/>
      <w:r>
        <w:rPr>
          <w:sz w:val="22"/>
        </w:rPr>
        <w:t>.</w:t>
      </w:r>
    </w:p>
    <w:p w14:paraId="6B4EAD61" w14:textId="77777777" w:rsidR="00862424" w:rsidRDefault="00DD7026">
      <w:pPr>
        <w:jc w:val="both"/>
      </w:pPr>
      <w:r>
        <w:rPr>
          <w:sz w:val="22"/>
        </w:rPr>
        <w:t xml:space="preserve">12. </w:t>
      </w:r>
      <w:proofErr w:type="spellStart"/>
      <w:r>
        <w:rPr>
          <w:sz w:val="22"/>
        </w:rPr>
        <w:t>Kosum</w:t>
      </w:r>
      <w:proofErr w:type="spellEnd"/>
      <w:r>
        <w:rPr>
          <w:sz w:val="22"/>
        </w:rPr>
        <w:t xml:space="preserve"> P, </w:t>
      </w:r>
      <w:proofErr w:type="spellStart"/>
      <w:r>
        <w:rPr>
          <w:sz w:val="22"/>
        </w:rPr>
        <w:t>Wongcharoen</w:t>
      </w:r>
      <w:proofErr w:type="spellEnd"/>
      <w:r>
        <w:rPr>
          <w:sz w:val="22"/>
        </w:rPr>
        <w:t xml:space="preserve"> W, et al. Utility of TTR-INR–guided warfarin adjustment protocol to improve anticoagulation control (Thai multicenter data). Sci Rep. </w:t>
      </w:r>
      <w:proofErr w:type="gramStart"/>
      <w:r>
        <w:rPr>
          <w:sz w:val="22"/>
        </w:rPr>
        <w:t>2024;14:14567</w:t>
      </w:r>
      <w:proofErr w:type="gramEnd"/>
      <w:r>
        <w:rPr>
          <w:sz w:val="22"/>
        </w:rPr>
        <w:t>.</w:t>
      </w:r>
    </w:p>
    <w:p w14:paraId="445E63DD" w14:textId="77777777" w:rsidR="00862424" w:rsidRDefault="00DD7026">
      <w:pPr>
        <w:jc w:val="both"/>
      </w:pPr>
      <w:r>
        <w:rPr>
          <w:sz w:val="22"/>
        </w:rPr>
        <w:t xml:space="preserve">13. Tadesse TA, </w:t>
      </w:r>
      <w:proofErr w:type="spellStart"/>
      <w:r>
        <w:rPr>
          <w:sz w:val="22"/>
        </w:rPr>
        <w:t>Demoz</w:t>
      </w:r>
      <w:proofErr w:type="spellEnd"/>
      <w:r>
        <w:rPr>
          <w:sz w:val="22"/>
        </w:rPr>
        <w:t xml:space="preserve"> GT, et al. Anticoagulation control and outcomes in Africa: a systematic review.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J. </w:t>
      </w:r>
      <w:proofErr w:type="gramStart"/>
      <w:r>
        <w:rPr>
          <w:sz w:val="22"/>
        </w:rPr>
        <w:t>2022;20:27</w:t>
      </w:r>
      <w:proofErr w:type="gramEnd"/>
      <w:r>
        <w:rPr>
          <w:sz w:val="22"/>
        </w:rPr>
        <w:t>.</w:t>
      </w:r>
    </w:p>
    <w:p w14:paraId="7429F843" w14:textId="77777777" w:rsidR="00862424" w:rsidRDefault="00DD7026">
      <w:pPr>
        <w:jc w:val="both"/>
      </w:pPr>
      <w:r>
        <w:rPr>
          <w:sz w:val="22"/>
        </w:rPr>
        <w:t xml:space="preserve">14. </w:t>
      </w:r>
      <w:proofErr w:type="spellStart"/>
      <w:r>
        <w:rPr>
          <w:sz w:val="22"/>
        </w:rPr>
        <w:t>Menichelli</w:t>
      </w:r>
      <w:proofErr w:type="spellEnd"/>
      <w:r>
        <w:rPr>
          <w:sz w:val="22"/>
        </w:rPr>
        <w:t xml:space="preserve"> D, </w:t>
      </w:r>
      <w:proofErr w:type="spellStart"/>
      <w:r>
        <w:rPr>
          <w:sz w:val="22"/>
        </w:rPr>
        <w:t>Vicenzi</w:t>
      </w:r>
      <w:proofErr w:type="spellEnd"/>
      <w:r>
        <w:rPr>
          <w:sz w:val="22"/>
        </w:rPr>
        <w:t xml:space="preserve"> M, et al. Anticoagulation quality with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vs warfarin: meta-analysis. Adv </w:t>
      </w:r>
      <w:proofErr w:type="spellStart"/>
      <w:r>
        <w:rPr>
          <w:sz w:val="22"/>
        </w:rPr>
        <w:t>Ther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2021;38:3440</w:t>
      </w:r>
      <w:proofErr w:type="gramEnd"/>
      <w:r>
        <w:rPr>
          <w:sz w:val="22"/>
        </w:rPr>
        <w:t>-3450.</w:t>
      </w:r>
    </w:p>
    <w:p w14:paraId="09262086" w14:textId="77777777" w:rsidR="00862424" w:rsidRDefault="00DD7026">
      <w:pPr>
        <w:jc w:val="both"/>
      </w:pPr>
      <w:r>
        <w:rPr>
          <w:sz w:val="22"/>
        </w:rPr>
        <w:t xml:space="preserve">15. </w:t>
      </w:r>
      <w:proofErr w:type="spellStart"/>
      <w:r>
        <w:rPr>
          <w:sz w:val="22"/>
        </w:rPr>
        <w:t>Llorca</w:t>
      </w:r>
      <w:proofErr w:type="spellEnd"/>
      <w:r>
        <w:rPr>
          <w:sz w:val="22"/>
        </w:rPr>
        <w:t xml:space="preserve"> MRD, Vázquez R, et al. Anticoagulation control with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vs warfarin in mechanical valves. J Clin Med. 2021;10(11):2356.</w:t>
      </w:r>
    </w:p>
    <w:p w14:paraId="16BA63AA" w14:textId="77777777" w:rsidR="00862424" w:rsidRDefault="00DD7026">
      <w:pPr>
        <w:jc w:val="both"/>
      </w:pPr>
      <w:r>
        <w:rPr>
          <w:sz w:val="22"/>
        </w:rPr>
        <w:t xml:space="preserve">16. Hirsh J, </w:t>
      </w:r>
      <w:proofErr w:type="spellStart"/>
      <w:r>
        <w:rPr>
          <w:sz w:val="22"/>
        </w:rPr>
        <w:t>Fuster</w:t>
      </w:r>
      <w:proofErr w:type="spellEnd"/>
      <w:r>
        <w:rPr>
          <w:sz w:val="22"/>
        </w:rPr>
        <w:t xml:space="preserve"> V, Ansell J, Halperin JL. American Heart Association/American College of Cardiology Foundation guide to warfarin therapy. Circulation. 2003;107(12):1692-1711.</w:t>
      </w:r>
    </w:p>
    <w:p w14:paraId="078E1FF7" w14:textId="77777777" w:rsidR="00862424" w:rsidRDefault="00DD7026">
      <w:pPr>
        <w:jc w:val="both"/>
      </w:pPr>
      <w:r>
        <w:rPr>
          <w:sz w:val="22"/>
        </w:rPr>
        <w:t xml:space="preserve">17. Ansell J, Hirsh J, </w:t>
      </w:r>
      <w:proofErr w:type="spellStart"/>
      <w:r>
        <w:rPr>
          <w:sz w:val="22"/>
        </w:rPr>
        <w:t>Hylek</w:t>
      </w:r>
      <w:proofErr w:type="spellEnd"/>
      <w:r>
        <w:rPr>
          <w:sz w:val="22"/>
        </w:rPr>
        <w:t xml:space="preserve"> E, Jacobson A, Crowther M, </w:t>
      </w:r>
      <w:proofErr w:type="spellStart"/>
      <w:r>
        <w:rPr>
          <w:sz w:val="22"/>
        </w:rPr>
        <w:t>Palareti</w:t>
      </w:r>
      <w:proofErr w:type="spellEnd"/>
      <w:r>
        <w:rPr>
          <w:sz w:val="22"/>
        </w:rPr>
        <w:t xml:space="preserve"> G. Pharmacology and management of the vitamin K antagonists. Chest. 2008;133(6 Suppl):160S-198S.</w:t>
      </w:r>
    </w:p>
    <w:p w14:paraId="726D0AD6" w14:textId="77777777" w:rsidR="00862424" w:rsidRDefault="00DD7026">
      <w:pPr>
        <w:jc w:val="both"/>
      </w:pPr>
      <w:r>
        <w:rPr>
          <w:sz w:val="22"/>
        </w:rPr>
        <w:t xml:space="preserve">18. </w:t>
      </w:r>
      <w:proofErr w:type="spellStart"/>
      <w:r>
        <w:rPr>
          <w:sz w:val="22"/>
        </w:rPr>
        <w:t>Hylek</w:t>
      </w:r>
      <w:proofErr w:type="spellEnd"/>
      <w:r>
        <w:rPr>
          <w:sz w:val="22"/>
        </w:rPr>
        <w:t xml:space="preserve"> EM, Evans-Molina C, Shea C, </w:t>
      </w:r>
      <w:proofErr w:type="spellStart"/>
      <w:r>
        <w:rPr>
          <w:sz w:val="22"/>
        </w:rPr>
        <w:t>Henault</w:t>
      </w:r>
      <w:proofErr w:type="spellEnd"/>
      <w:r>
        <w:rPr>
          <w:sz w:val="22"/>
        </w:rPr>
        <w:t xml:space="preserve"> LE, Regan S. Major hemorrhage and tolerability of warfarin in the first year of therapy among elderly patients. Circulation. 2007;115(21):2689-2696.</w:t>
      </w:r>
    </w:p>
    <w:p w14:paraId="5C45B837" w14:textId="77777777" w:rsidR="00862424" w:rsidRDefault="00DD7026">
      <w:pPr>
        <w:jc w:val="both"/>
      </w:pPr>
      <w:r>
        <w:rPr>
          <w:sz w:val="22"/>
        </w:rPr>
        <w:t xml:space="preserve">19. </w:t>
      </w:r>
      <w:proofErr w:type="spellStart"/>
      <w:r>
        <w:rPr>
          <w:sz w:val="22"/>
        </w:rPr>
        <w:t>Demsie</w:t>
      </w:r>
      <w:proofErr w:type="spellEnd"/>
      <w:r>
        <w:rPr>
          <w:sz w:val="22"/>
        </w:rPr>
        <w:t xml:space="preserve"> DG, et al. Anticoagulation quality through time in therapeutic range in sub-Saharan Africa: systematic review and meta-analysis. Front Med (Lausanne). </w:t>
      </w:r>
      <w:proofErr w:type="gramStart"/>
      <w:r>
        <w:rPr>
          <w:sz w:val="22"/>
        </w:rPr>
        <w:t>2025;12:1517162</w:t>
      </w:r>
      <w:proofErr w:type="gramEnd"/>
      <w:r>
        <w:rPr>
          <w:sz w:val="22"/>
        </w:rPr>
        <w:t>.</w:t>
      </w:r>
    </w:p>
    <w:p w14:paraId="79B8F536" w14:textId="77777777" w:rsidR="00862424" w:rsidRDefault="00DD7026">
      <w:pPr>
        <w:jc w:val="both"/>
      </w:pPr>
      <w:r>
        <w:rPr>
          <w:sz w:val="22"/>
        </w:rPr>
        <w:t xml:space="preserve">20. Kirkwood TBL. Calibration of reference thromboplastins and standardization of the prothrombin time. J Clin </w:t>
      </w:r>
      <w:proofErr w:type="spellStart"/>
      <w:r>
        <w:rPr>
          <w:sz w:val="22"/>
        </w:rPr>
        <w:t>Pathol</w:t>
      </w:r>
      <w:proofErr w:type="spellEnd"/>
      <w:r>
        <w:rPr>
          <w:sz w:val="22"/>
        </w:rPr>
        <w:t>. 1983;36(9):1121-1127.</w:t>
      </w:r>
    </w:p>
    <w:p w14:paraId="47A413A6" w14:textId="77777777" w:rsidR="00862424" w:rsidRDefault="00DD7026">
      <w:pPr>
        <w:jc w:val="both"/>
      </w:pPr>
      <w:r>
        <w:rPr>
          <w:sz w:val="22"/>
        </w:rPr>
        <w:t xml:space="preserve">21. </w:t>
      </w:r>
      <w:proofErr w:type="spellStart"/>
      <w:r>
        <w:rPr>
          <w:sz w:val="22"/>
        </w:rPr>
        <w:t>Poller</w:t>
      </w:r>
      <w:proofErr w:type="spellEnd"/>
      <w:r>
        <w:rPr>
          <w:sz w:val="22"/>
        </w:rPr>
        <w:t xml:space="preserve"> L, Keown M, Ibrahim S, et al. An international </w:t>
      </w:r>
      <w:proofErr w:type="spellStart"/>
      <w:r>
        <w:rPr>
          <w:sz w:val="22"/>
        </w:rPr>
        <w:t>multicentre</w:t>
      </w:r>
      <w:proofErr w:type="spellEnd"/>
      <w:r>
        <w:rPr>
          <w:sz w:val="22"/>
        </w:rPr>
        <w:t xml:space="preserve"> randomized study of computer-assisted oral anticoagulant dosage. Br J </w:t>
      </w:r>
      <w:proofErr w:type="spellStart"/>
      <w:r>
        <w:rPr>
          <w:sz w:val="22"/>
        </w:rPr>
        <w:t>Haematol</w:t>
      </w:r>
      <w:proofErr w:type="spellEnd"/>
      <w:r>
        <w:rPr>
          <w:sz w:val="22"/>
        </w:rPr>
        <w:t>. 2008;143(2):274-283.</w:t>
      </w:r>
    </w:p>
    <w:p w14:paraId="7C92AAE2" w14:textId="77777777" w:rsidR="00862424" w:rsidRDefault="00DD7026">
      <w:pPr>
        <w:jc w:val="both"/>
      </w:pPr>
      <w:r>
        <w:rPr>
          <w:sz w:val="22"/>
        </w:rPr>
        <w:t xml:space="preserve">22. </w:t>
      </w:r>
      <w:proofErr w:type="spellStart"/>
      <w:r>
        <w:rPr>
          <w:sz w:val="22"/>
        </w:rPr>
        <w:t>Pirmohamed</w:t>
      </w:r>
      <w:proofErr w:type="spellEnd"/>
      <w:r>
        <w:rPr>
          <w:sz w:val="22"/>
        </w:rPr>
        <w:t xml:space="preserve"> M. Warfarin: almost 60 years old and still causing problems. Br J Clin </w:t>
      </w:r>
      <w:proofErr w:type="spellStart"/>
      <w:r>
        <w:rPr>
          <w:sz w:val="22"/>
        </w:rPr>
        <w:t>Pharmacol</w:t>
      </w:r>
      <w:proofErr w:type="spellEnd"/>
      <w:r>
        <w:rPr>
          <w:sz w:val="22"/>
        </w:rPr>
        <w:t>. 2006;62(5):509-511.</w:t>
      </w:r>
    </w:p>
    <w:p w14:paraId="21B2894E" w14:textId="77777777" w:rsidR="00862424" w:rsidRDefault="00DD7026">
      <w:pPr>
        <w:jc w:val="both"/>
      </w:pPr>
      <w:r>
        <w:rPr>
          <w:sz w:val="22"/>
        </w:rPr>
        <w:t xml:space="preserve">23. </w:t>
      </w:r>
      <w:proofErr w:type="spellStart"/>
      <w:r>
        <w:rPr>
          <w:sz w:val="22"/>
        </w:rPr>
        <w:t>Fihn</w:t>
      </w:r>
      <w:proofErr w:type="spellEnd"/>
      <w:r>
        <w:rPr>
          <w:sz w:val="22"/>
        </w:rPr>
        <w:t xml:space="preserve"> SD, McDonell M, Martin D, et al. Risk factors for complications of chronic anticoagulation: A multicenter study. Ann Intern Med. 1996;125(7):497-503.</w:t>
      </w:r>
    </w:p>
    <w:p w14:paraId="594A29B6" w14:textId="77777777" w:rsidR="00862424" w:rsidRDefault="00DD7026">
      <w:pPr>
        <w:jc w:val="both"/>
      </w:pPr>
      <w:r>
        <w:rPr>
          <w:sz w:val="22"/>
        </w:rPr>
        <w:t xml:space="preserve">24. </w:t>
      </w:r>
      <w:proofErr w:type="spellStart"/>
      <w:r>
        <w:rPr>
          <w:sz w:val="22"/>
        </w:rPr>
        <w:t>Apostolakis</w:t>
      </w:r>
      <w:proofErr w:type="spellEnd"/>
      <w:r>
        <w:rPr>
          <w:sz w:val="22"/>
        </w:rPr>
        <w:t xml:space="preserve"> S, Sullivan RM, Olshansky B, Lip GYH. Factors affecting quality of anticoagulation control among AF patients on warfarin: 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SAMe-TT2R2 score. Chest. 2013;144(5):1555-1563.</w:t>
      </w:r>
    </w:p>
    <w:p w14:paraId="0D2F03B0" w14:textId="77777777" w:rsidR="00862424" w:rsidRDefault="00DD7026">
      <w:pPr>
        <w:jc w:val="both"/>
      </w:pPr>
      <w:r>
        <w:rPr>
          <w:sz w:val="22"/>
        </w:rPr>
        <w:t xml:space="preserve">25. Adcock DM, Gosselin R. The danger of relying on the APTT for monitoring heparin. Am J Clin </w:t>
      </w:r>
      <w:proofErr w:type="spellStart"/>
      <w:r>
        <w:rPr>
          <w:sz w:val="22"/>
        </w:rPr>
        <w:t>Pathol</w:t>
      </w:r>
      <w:proofErr w:type="spellEnd"/>
      <w:r>
        <w:rPr>
          <w:sz w:val="22"/>
        </w:rPr>
        <w:t>. 2015;143(1):4-7.</w:t>
      </w:r>
    </w:p>
    <w:p w14:paraId="5FAD1EDF" w14:textId="77777777" w:rsidR="00862424" w:rsidRDefault="00DD7026">
      <w:pPr>
        <w:jc w:val="both"/>
      </w:pPr>
      <w:r>
        <w:rPr>
          <w:sz w:val="22"/>
        </w:rPr>
        <w:t xml:space="preserve">26. </w:t>
      </w:r>
      <w:proofErr w:type="spellStart"/>
      <w:r>
        <w:rPr>
          <w:sz w:val="22"/>
        </w:rPr>
        <w:t>Favaloro</w:t>
      </w:r>
      <w:proofErr w:type="spellEnd"/>
      <w:r>
        <w:rPr>
          <w:sz w:val="22"/>
        </w:rPr>
        <w:t xml:space="preserve"> EJ, Lippi G. Pre-analytical issues in coagulation testing. </w:t>
      </w:r>
      <w:proofErr w:type="spellStart"/>
      <w:r>
        <w:rPr>
          <w:sz w:val="22"/>
        </w:rPr>
        <w:t>Semin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Hemost</w:t>
      </w:r>
      <w:proofErr w:type="spellEnd"/>
      <w:r>
        <w:rPr>
          <w:sz w:val="22"/>
        </w:rPr>
        <w:t>. 2017;43(6):614-627.</w:t>
      </w:r>
    </w:p>
    <w:p w14:paraId="0F864A19" w14:textId="77777777" w:rsidR="00862424" w:rsidRDefault="00DD7026">
      <w:pPr>
        <w:jc w:val="both"/>
      </w:pPr>
      <w:r>
        <w:rPr>
          <w:sz w:val="22"/>
        </w:rPr>
        <w:t xml:space="preserve">27. Gosselin RC, Adcock-Funk DM. Clinical and laboratory monitoring of oral anticoagulants. </w:t>
      </w:r>
      <w:proofErr w:type="spellStart"/>
      <w:r>
        <w:rPr>
          <w:sz w:val="22"/>
        </w:rPr>
        <w:t>Semin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Hemost</w:t>
      </w:r>
      <w:proofErr w:type="spellEnd"/>
      <w:r>
        <w:rPr>
          <w:sz w:val="22"/>
        </w:rPr>
        <w:t>. 2019;45(2):137-149.</w:t>
      </w:r>
    </w:p>
    <w:p w14:paraId="2DD568F1" w14:textId="77777777" w:rsidR="00862424" w:rsidRDefault="00DD7026">
      <w:pPr>
        <w:jc w:val="both"/>
      </w:pPr>
      <w:r>
        <w:rPr>
          <w:sz w:val="22"/>
        </w:rPr>
        <w:t xml:space="preserve">28. Adcock DM, </w:t>
      </w:r>
      <w:proofErr w:type="spellStart"/>
      <w:r>
        <w:rPr>
          <w:sz w:val="22"/>
        </w:rPr>
        <w:t>Favaloro</w:t>
      </w:r>
      <w:proofErr w:type="spellEnd"/>
      <w:r>
        <w:rPr>
          <w:sz w:val="22"/>
        </w:rPr>
        <w:t xml:space="preserve"> EJ. The pre-analytical phase for coagulation testing: causes of sample and result inconsistencies. Int J Lab </w:t>
      </w:r>
      <w:proofErr w:type="spellStart"/>
      <w:r>
        <w:rPr>
          <w:sz w:val="22"/>
        </w:rPr>
        <w:t>Hematol</w:t>
      </w:r>
      <w:proofErr w:type="spellEnd"/>
      <w:r>
        <w:rPr>
          <w:sz w:val="22"/>
        </w:rPr>
        <w:t>. 2020;42(S1</w:t>
      </w:r>
      <w:proofErr w:type="gramStart"/>
      <w:r>
        <w:rPr>
          <w:sz w:val="22"/>
        </w:rPr>
        <w:t>):e</w:t>
      </w:r>
      <w:proofErr w:type="gramEnd"/>
      <w:r>
        <w:rPr>
          <w:sz w:val="22"/>
        </w:rPr>
        <w:t>160-e168.</w:t>
      </w:r>
    </w:p>
    <w:sectPr w:rsidR="00862424" w:rsidSect="00564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90823" w14:textId="77777777" w:rsidR="0042437F" w:rsidRDefault="0042437F" w:rsidP="00C37E61">
      <w:r>
        <w:separator/>
      </w:r>
    </w:p>
  </w:endnote>
  <w:endnote w:type="continuationSeparator" w:id="0">
    <w:p w14:paraId="1F8ADE10" w14:textId="77777777" w:rsidR="0042437F" w:rsidRDefault="0042437F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3B23" w14:textId="77777777" w:rsidR="0056438D" w:rsidRDefault="0056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32BE" w14:textId="77777777" w:rsidR="0056438D" w:rsidRDefault="0056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75F1" w14:textId="77777777" w:rsidR="0056438D" w:rsidRDefault="0056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2EEA" w14:textId="77777777" w:rsidR="0042437F" w:rsidRDefault="0042437F" w:rsidP="00C37E61">
      <w:r>
        <w:separator/>
      </w:r>
    </w:p>
  </w:footnote>
  <w:footnote w:type="continuationSeparator" w:id="0">
    <w:p w14:paraId="3AE2B38C" w14:textId="77777777" w:rsidR="0042437F" w:rsidRDefault="0042437F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AA84" w14:textId="07F3DFD7" w:rsidR="0056438D" w:rsidRDefault="0056438D">
    <w:pPr>
      <w:pStyle w:val="Header"/>
    </w:pPr>
    <w:r>
      <w:rPr>
        <w:noProof/>
      </w:rPr>
      <w:pict w14:anchorId="063DB2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26235" o:spid="_x0000_s2050" type="#_x0000_t136" style="position:absolute;margin-left:0;margin-top:0;width:685.25pt;height:7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E487" w14:textId="43FB93DC" w:rsidR="0056438D" w:rsidRDefault="0056438D">
    <w:pPr>
      <w:pStyle w:val="Header"/>
    </w:pPr>
    <w:r>
      <w:rPr>
        <w:noProof/>
      </w:rPr>
      <w:pict w14:anchorId="6A651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26236" o:spid="_x0000_s2051" type="#_x0000_t136" style="position:absolute;margin-left:0;margin-top:0;width:685.25pt;height:7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BAA9" w14:textId="0D423D0E" w:rsidR="0056438D" w:rsidRDefault="0056438D">
    <w:pPr>
      <w:pStyle w:val="Header"/>
    </w:pPr>
    <w:r>
      <w:rPr>
        <w:noProof/>
      </w:rPr>
      <w:pict w14:anchorId="50274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26234" o:spid="_x0000_s2049" type="#_x0000_t136" style="position:absolute;margin-left:0;margin-top:0;width:685.25pt;height:7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4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6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3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5"/>
  </w:num>
  <w:num w:numId="10">
    <w:abstractNumId w:val="2"/>
  </w:num>
  <w:num w:numId="11">
    <w:abstractNumId w:val="18"/>
  </w:num>
  <w:num w:numId="12">
    <w:abstractNumId w:val="3"/>
  </w:num>
  <w:num w:numId="13">
    <w:abstractNumId w:val="17"/>
  </w:num>
  <w:num w:numId="14">
    <w:abstractNumId w:val="8"/>
  </w:num>
  <w:num w:numId="15">
    <w:abstractNumId w:val="21"/>
  </w:num>
  <w:num w:numId="16">
    <w:abstractNumId w:val="5"/>
  </w:num>
  <w:num w:numId="17">
    <w:abstractNumId w:val="22"/>
  </w:num>
  <w:num w:numId="18">
    <w:abstractNumId w:val="14"/>
  </w:num>
  <w:num w:numId="19">
    <w:abstractNumId w:val="28"/>
  </w:num>
  <w:num w:numId="20">
    <w:abstractNumId w:val="11"/>
  </w:num>
  <w:num w:numId="21">
    <w:abstractNumId w:val="9"/>
  </w:num>
  <w:num w:numId="22">
    <w:abstractNumId w:val="13"/>
  </w:num>
  <w:num w:numId="23">
    <w:abstractNumId w:val="19"/>
  </w:num>
  <w:num w:numId="24">
    <w:abstractNumId w:val="26"/>
  </w:num>
  <w:num w:numId="25">
    <w:abstractNumId w:val="4"/>
  </w:num>
  <w:num w:numId="26">
    <w:abstractNumId w:val="16"/>
  </w:num>
  <w:num w:numId="27">
    <w:abstractNumId w:val="20"/>
  </w:num>
  <w:num w:numId="28">
    <w:abstractNumId w:val="27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19"/>
    <w:rsid w:val="00000F8F"/>
    <w:rsid w:val="00024F92"/>
    <w:rsid w:val="00030174"/>
    <w:rsid w:val="0004579C"/>
    <w:rsid w:val="000925C1"/>
    <w:rsid w:val="000A47FA"/>
    <w:rsid w:val="000A65D3"/>
    <w:rsid w:val="000B1E33"/>
    <w:rsid w:val="000D689F"/>
    <w:rsid w:val="000E7B7B"/>
    <w:rsid w:val="000E7D62"/>
    <w:rsid w:val="00103357"/>
    <w:rsid w:val="00123C9F"/>
    <w:rsid w:val="00126190"/>
    <w:rsid w:val="00130F17"/>
    <w:rsid w:val="001320BF"/>
    <w:rsid w:val="001564BB"/>
    <w:rsid w:val="00163BC4"/>
    <w:rsid w:val="00191062"/>
    <w:rsid w:val="00192B72"/>
    <w:rsid w:val="001A29D8"/>
    <w:rsid w:val="001A5CAA"/>
    <w:rsid w:val="001B0427"/>
    <w:rsid w:val="001D3A51"/>
    <w:rsid w:val="001E10D2"/>
    <w:rsid w:val="001E25B4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4C4C"/>
    <w:rsid w:val="00287E68"/>
    <w:rsid w:val="00296529"/>
    <w:rsid w:val="002B27FB"/>
    <w:rsid w:val="002B685A"/>
    <w:rsid w:val="002C57D2"/>
    <w:rsid w:val="002E0D56"/>
    <w:rsid w:val="002E7ACA"/>
    <w:rsid w:val="00315186"/>
    <w:rsid w:val="0033343E"/>
    <w:rsid w:val="003512C2"/>
    <w:rsid w:val="00371FB6"/>
    <w:rsid w:val="003763C1"/>
    <w:rsid w:val="00376BBE"/>
    <w:rsid w:val="0039224F"/>
    <w:rsid w:val="003A43A4"/>
    <w:rsid w:val="003A7E18"/>
    <w:rsid w:val="003C4C86"/>
    <w:rsid w:val="003C6258"/>
    <w:rsid w:val="003C7CD6"/>
    <w:rsid w:val="003E2904"/>
    <w:rsid w:val="00401927"/>
    <w:rsid w:val="0041027F"/>
    <w:rsid w:val="00412475"/>
    <w:rsid w:val="00423789"/>
    <w:rsid w:val="0042437F"/>
    <w:rsid w:val="00440F43"/>
    <w:rsid w:val="00441B6F"/>
    <w:rsid w:val="00446221"/>
    <w:rsid w:val="00450E62"/>
    <w:rsid w:val="004539DB"/>
    <w:rsid w:val="00471A80"/>
    <w:rsid w:val="004D305E"/>
    <w:rsid w:val="004D4277"/>
    <w:rsid w:val="004F3A2F"/>
    <w:rsid w:val="00502516"/>
    <w:rsid w:val="00505F06"/>
    <w:rsid w:val="00506828"/>
    <w:rsid w:val="0053056E"/>
    <w:rsid w:val="00554FDA"/>
    <w:rsid w:val="0056438D"/>
    <w:rsid w:val="005C784C"/>
    <w:rsid w:val="005D17F6"/>
    <w:rsid w:val="005E5539"/>
    <w:rsid w:val="00602BF5"/>
    <w:rsid w:val="00617FDD"/>
    <w:rsid w:val="00627454"/>
    <w:rsid w:val="00633614"/>
    <w:rsid w:val="00633F68"/>
    <w:rsid w:val="00636EB2"/>
    <w:rsid w:val="006375B8"/>
    <w:rsid w:val="0066510A"/>
    <w:rsid w:val="00673F9F"/>
    <w:rsid w:val="00686953"/>
    <w:rsid w:val="00687DEA"/>
    <w:rsid w:val="00687E67"/>
    <w:rsid w:val="00692B2C"/>
    <w:rsid w:val="006967F7"/>
    <w:rsid w:val="006A250C"/>
    <w:rsid w:val="006B21D3"/>
    <w:rsid w:val="006B57D0"/>
    <w:rsid w:val="006D30FF"/>
    <w:rsid w:val="006D6940"/>
    <w:rsid w:val="006F11EC"/>
    <w:rsid w:val="0070082C"/>
    <w:rsid w:val="007369E6"/>
    <w:rsid w:val="00746E59"/>
    <w:rsid w:val="00754C9A"/>
    <w:rsid w:val="0075599A"/>
    <w:rsid w:val="00761D52"/>
    <w:rsid w:val="0077749E"/>
    <w:rsid w:val="00790ADA"/>
    <w:rsid w:val="007D2288"/>
    <w:rsid w:val="007E088F"/>
    <w:rsid w:val="007F7B32"/>
    <w:rsid w:val="00804BC2"/>
    <w:rsid w:val="008111B0"/>
    <w:rsid w:val="0081431A"/>
    <w:rsid w:val="0083216F"/>
    <w:rsid w:val="00860000"/>
    <w:rsid w:val="00862424"/>
    <w:rsid w:val="00863BD3"/>
    <w:rsid w:val="008641ED"/>
    <w:rsid w:val="00866D66"/>
    <w:rsid w:val="008671C6"/>
    <w:rsid w:val="00875803"/>
    <w:rsid w:val="008B459E"/>
    <w:rsid w:val="008E11D2"/>
    <w:rsid w:val="008E13AE"/>
    <w:rsid w:val="008E1506"/>
    <w:rsid w:val="008E710C"/>
    <w:rsid w:val="008F69D6"/>
    <w:rsid w:val="00902823"/>
    <w:rsid w:val="00915CA6"/>
    <w:rsid w:val="009274BC"/>
    <w:rsid w:val="00927834"/>
    <w:rsid w:val="009500A6"/>
    <w:rsid w:val="00957C18"/>
    <w:rsid w:val="009659BA"/>
    <w:rsid w:val="00983040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A03B96"/>
    <w:rsid w:val="00A05B19"/>
    <w:rsid w:val="00A1134E"/>
    <w:rsid w:val="00A24E7E"/>
    <w:rsid w:val="00A258C3"/>
    <w:rsid w:val="00A347C0"/>
    <w:rsid w:val="00A51431"/>
    <w:rsid w:val="00A539AD"/>
    <w:rsid w:val="00A70FD8"/>
    <w:rsid w:val="00A94063"/>
    <w:rsid w:val="00AA6219"/>
    <w:rsid w:val="00AA74E0"/>
    <w:rsid w:val="00AB703F"/>
    <w:rsid w:val="00AC6BB8"/>
    <w:rsid w:val="00AE008F"/>
    <w:rsid w:val="00B01FCD"/>
    <w:rsid w:val="00B1776C"/>
    <w:rsid w:val="00B35C95"/>
    <w:rsid w:val="00B52583"/>
    <w:rsid w:val="00B52896"/>
    <w:rsid w:val="00B95236"/>
    <w:rsid w:val="00B96BD9"/>
    <w:rsid w:val="00BA1B01"/>
    <w:rsid w:val="00BA2641"/>
    <w:rsid w:val="00BB37AA"/>
    <w:rsid w:val="00BC53A0"/>
    <w:rsid w:val="00BE62AD"/>
    <w:rsid w:val="00BF121F"/>
    <w:rsid w:val="00BF1F80"/>
    <w:rsid w:val="00C0617F"/>
    <w:rsid w:val="00C166EF"/>
    <w:rsid w:val="00C17EB0"/>
    <w:rsid w:val="00C27F5F"/>
    <w:rsid w:val="00C30A0F"/>
    <w:rsid w:val="00C37E61"/>
    <w:rsid w:val="00C70F1B"/>
    <w:rsid w:val="00C71A47"/>
    <w:rsid w:val="00C7464C"/>
    <w:rsid w:val="00C85588"/>
    <w:rsid w:val="00CD2846"/>
    <w:rsid w:val="00CD6755"/>
    <w:rsid w:val="00CD6856"/>
    <w:rsid w:val="00CE0089"/>
    <w:rsid w:val="00CE793C"/>
    <w:rsid w:val="00CF193C"/>
    <w:rsid w:val="00D173F1"/>
    <w:rsid w:val="00D50A80"/>
    <w:rsid w:val="00D74CB0"/>
    <w:rsid w:val="00D8295D"/>
    <w:rsid w:val="00DC2A65"/>
    <w:rsid w:val="00DD7026"/>
    <w:rsid w:val="00DE15F0"/>
    <w:rsid w:val="00DE5663"/>
    <w:rsid w:val="00DE78AA"/>
    <w:rsid w:val="00E053D0"/>
    <w:rsid w:val="00E15994"/>
    <w:rsid w:val="00E3114E"/>
    <w:rsid w:val="00E31A70"/>
    <w:rsid w:val="00E35B02"/>
    <w:rsid w:val="00E66496"/>
    <w:rsid w:val="00E66B35"/>
    <w:rsid w:val="00E66E10"/>
    <w:rsid w:val="00E769F6"/>
    <w:rsid w:val="00E8407C"/>
    <w:rsid w:val="00E84F3C"/>
    <w:rsid w:val="00EA012C"/>
    <w:rsid w:val="00EC6A55"/>
    <w:rsid w:val="00ED0288"/>
    <w:rsid w:val="00EE52CB"/>
    <w:rsid w:val="00EF581D"/>
    <w:rsid w:val="00EF7FD8"/>
    <w:rsid w:val="00F06F59"/>
    <w:rsid w:val="00F17988"/>
    <w:rsid w:val="00F469F0"/>
    <w:rsid w:val="00F53273"/>
    <w:rsid w:val="00F755E4"/>
    <w:rsid w:val="00F77D02"/>
    <w:rsid w:val="00FB3A86"/>
    <w:rsid w:val="00FD36C8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E6C218C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6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1564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5747-64EB-4840-A352-19C63FD4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17</TotalTime>
  <Pages>5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17466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1084</cp:lastModifiedBy>
  <cp:revision>8</cp:revision>
  <cp:lastPrinted>1999-07-06T11:00:00Z</cp:lastPrinted>
  <dcterms:created xsi:type="dcterms:W3CDTF">2025-08-26T10:30:00Z</dcterms:created>
  <dcterms:modified xsi:type="dcterms:W3CDTF">2025-08-27T06:48:00Z</dcterms:modified>
</cp:coreProperties>
</file>