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8DD3885" w14:textId="5DBC9868" w:rsidR="00754C9A" w:rsidRDefault="003D6222" w:rsidP="00441B6F">
      <w:pPr>
        <w:pStyle w:val="Title"/>
        <w:spacing w:after="0"/>
        <w:jc w:val="both"/>
        <w:rPr>
          <w:rFonts w:ascii="Arial" w:hAnsi="Arial" w:cs="Arial"/>
        </w:rPr>
      </w:pPr>
      <w:r w:rsidRPr="003D6222">
        <w:rPr>
          <w:rFonts w:ascii="Arial" w:hAnsi="Arial" w:cs="Arial"/>
        </w:rPr>
        <w:t>Case report</w:t>
      </w:r>
      <w:r>
        <w:rPr>
          <w:rFonts w:ascii="Arial" w:hAnsi="Arial" w:cs="Arial"/>
        </w:rPr>
        <w:t xml:space="preserve"> </w:t>
      </w:r>
    </w:p>
    <w:p w14:paraId="32BC8C83" w14:textId="77777777" w:rsidR="003D6222" w:rsidRDefault="003D6222" w:rsidP="00441B6F">
      <w:pPr>
        <w:pStyle w:val="Title"/>
        <w:spacing w:after="0"/>
        <w:jc w:val="both"/>
        <w:rPr>
          <w:rFonts w:ascii="Arial" w:hAnsi="Arial" w:cs="Arial"/>
        </w:rPr>
      </w:pPr>
    </w:p>
    <w:p w14:paraId="2CB6C047" w14:textId="77777777" w:rsidR="00F25E71" w:rsidRPr="00163BC4" w:rsidRDefault="00F25E71" w:rsidP="00F25E71">
      <w:pPr>
        <w:pStyle w:val="Author"/>
        <w:spacing w:line="240" w:lineRule="auto"/>
        <w:rPr>
          <w:rFonts w:ascii="Arial" w:hAnsi="Arial" w:cs="Arial"/>
          <w:bCs/>
          <w:iCs/>
          <w:kern w:val="28"/>
          <w:sz w:val="36"/>
        </w:rPr>
      </w:pPr>
      <w:r w:rsidRPr="00443E05">
        <w:rPr>
          <w:rFonts w:ascii="Arial" w:hAnsi="Arial" w:cs="Arial"/>
          <w:bCs/>
          <w:iCs/>
          <w:kern w:val="28"/>
          <w:sz w:val="36"/>
        </w:rPr>
        <w:t>Combined Periodontal, Endodontic, and Restorative Management of a Pediatric Maxillary Crown-Root Fracture</w:t>
      </w:r>
    </w:p>
    <w:p w14:paraId="79FB31F1" w14:textId="77777777" w:rsidR="00F25E71" w:rsidRPr="00790ADA" w:rsidRDefault="00F25E71" w:rsidP="00F25E71">
      <w:pPr>
        <w:pStyle w:val="Author"/>
        <w:spacing w:line="240" w:lineRule="auto"/>
        <w:jc w:val="both"/>
        <w:rPr>
          <w:rFonts w:ascii="Arial" w:hAnsi="Arial" w:cs="Arial"/>
          <w:sz w:val="36"/>
        </w:rPr>
      </w:pPr>
    </w:p>
    <w:p w14:paraId="33004880" w14:textId="77777777" w:rsidR="00790ADA" w:rsidRDefault="00790ADA" w:rsidP="00441B6F">
      <w:pPr>
        <w:pStyle w:val="Affiliation"/>
        <w:spacing w:after="0" w:line="240" w:lineRule="auto"/>
        <w:jc w:val="both"/>
        <w:rPr>
          <w:rFonts w:ascii="Arial" w:hAnsi="Arial" w:cs="Arial"/>
        </w:rPr>
      </w:pPr>
    </w:p>
    <w:p w14:paraId="2CEA1D15" w14:textId="77777777" w:rsidR="002C57D2" w:rsidRPr="00FB3A86" w:rsidRDefault="002C57D2" w:rsidP="00441B6F">
      <w:pPr>
        <w:pStyle w:val="Affiliation"/>
        <w:spacing w:after="0" w:line="240" w:lineRule="auto"/>
        <w:jc w:val="both"/>
        <w:rPr>
          <w:rFonts w:ascii="Arial" w:hAnsi="Arial" w:cs="Arial"/>
        </w:rPr>
      </w:pPr>
    </w:p>
    <w:p w14:paraId="2C6A8C84" w14:textId="22E039B7" w:rsidR="00B01FCD" w:rsidRPr="00FB3A86" w:rsidRDefault="009718DB" w:rsidP="00441B6F">
      <w:pPr>
        <w:pStyle w:val="Copyright"/>
        <w:spacing w:after="0" w:line="240" w:lineRule="auto"/>
        <w:jc w:val="both"/>
        <w:rPr>
          <w:rFonts w:ascii="Arial" w:hAnsi="Arial" w:cs="Arial"/>
        </w:rPr>
        <w:sectPr w:rsidR="00B01FCD" w:rsidRPr="00FB3A86" w:rsidSect="00CF7A32">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noProof/>
        </w:rPr>
        <mc:AlternateContent>
          <mc:Choice Requires="wps">
            <w:drawing>
              <wp:inline distT="0" distB="0" distL="0" distR="0" wp14:anchorId="32C60FE9" wp14:editId="59AB7CD1">
                <wp:extent cx="5303520" cy="635"/>
                <wp:effectExtent l="13335" t="15240" r="17145" b="13335"/>
                <wp:docPr id="603334436"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7DB525F8"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" strokeweight="1.5pt">
                <w10:anchorlock/>
              </v:shape>
            </w:pict>
          </mc:Fallback>
        </mc:AlternateContent>
      </w:r>
      <w:r w:rsidR="00FB3A86">
        <w:rPr>
          <w:rFonts w:ascii="Arial" w:hAnsi="Arial" w:cs="Arial"/>
        </w:rPr>
        <w:t>.</w:t>
      </w:r>
    </w:p>
    <w:p w14:paraId="0E9D6E49" w14:textId="590D682E" w:rsidR="00B01FCD"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p w14:paraId="489CA130"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296529" w:rsidRPr="001E44FE" w14:paraId="7636E2BA" w14:textId="77777777" w:rsidTr="001E44FE">
        <w:tc>
          <w:tcPr>
            <w:tcW w:w="9576" w:type="dxa"/>
            <w:shd w:val="clear" w:color="auto" w:fill="F2F2F2"/>
          </w:tcPr>
          <w:p w14:paraId="228ACB51" w14:textId="77777777" w:rsidR="00F25E71" w:rsidRDefault="00F25E71" w:rsidP="00F25E71">
            <w:pPr>
              <w:pStyle w:val="Body"/>
              <w:spacing w:after="0"/>
              <w:rPr>
                <w:rFonts w:ascii="Arial" w:eastAsia="Calibri" w:hAnsi="Arial" w:cs="Arial"/>
                <w:szCs w:val="22"/>
              </w:rPr>
            </w:pPr>
            <w:r w:rsidRPr="00BA1B01">
              <w:rPr>
                <w:rFonts w:ascii="Arial" w:eastAsia="Calibri" w:hAnsi="Arial" w:cs="Arial"/>
                <w:b/>
                <w:szCs w:val="22"/>
              </w:rPr>
              <w:t xml:space="preserve">Aims: </w:t>
            </w:r>
            <w:r w:rsidRPr="00443E05">
              <w:rPr>
                <w:rFonts w:ascii="Arial" w:eastAsia="Calibri" w:hAnsi="Arial" w:cs="Arial"/>
                <w:szCs w:val="22"/>
              </w:rPr>
              <w:t xml:space="preserve">This case study illustrates the successful preservation and functional restoration of a </w:t>
            </w:r>
            <w:proofErr w:type="spellStart"/>
            <w:r w:rsidRPr="00443E05">
              <w:rPr>
                <w:rFonts w:ascii="Arial" w:eastAsia="Calibri" w:hAnsi="Arial" w:cs="Arial"/>
                <w:szCs w:val="22"/>
              </w:rPr>
              <w:t>traumatised</w:t>
            </w:r>
            <w:proofErr w:type="spellEnd"/>
            <w:r w:rsidRPr="00443E05">
              <w:rPr>
                <w:rFonts w:ascii="Arial" w:eastAsia="Calibri" w:hAnsi="Arial" w:cs="Arial"/>
                <w:szCs w:val="22"/>
              </w:rPr>
              <w:t xml:space="preserve"> maxillary central incisor via a multidisciplinary, conservative approach, providing further evidence in </w:t>
            </w:r>
            <w:proofErr w:type="spellStart"/>
            <w:r w:rsidRPr="00443E05">
              <w:rPr>
                <w:rFonts w:ascii="Arial" w:eastAsia="Calibri" w:hAnsi="Arial" w:cs="Arial"/>
                <w:szCs w:val="22"/>
              </w:rPr>
              <w:t>favour</w:t>
            </w:r>
            <w:proofErr w:type="spellEnd"/>
            <w:r w:rsidRPr="00443E05">
              <w:rPr>
                <w:rFonts w:ascii="Arial" w:eastAsia="Calibri" w:hAnsi="Arial" w:cs="Arial"/>
                <w:szCs w:val="22"/>
              </w:rPr>
              <w:t xml:space="preserve"> of integrated treatment strategies for young patients.</w:t>
            </w:r>
          </w:p>
          <w:p w14:paraId="41A6A018" w14:textId="77777777" w:rsidR="00F25E71" w:rsidRDefault="00F25E71" w:rsidP="00F25E71">
            <w:pPr>
              <w:pStyle w:val="Body"/>
              <w:spacing w:after="0"/>
              <w:rPr>
                <w:rFonts w:ascii="Arial" w:eastAsia="Calibri" w:hAnsi="Arial" w:cs="Arial"/>
                <w:szCs w:val="22"/>
              </w:rPr>
            </w:pPr>
            <w:r>
              <w:rPr>
                <w:rFonts w:ascii="Arial" w:eastAsia="Calibri" w:hAnsi="Arial" w:cs="Arial"/>
                <w:b/>
                <w:bCs/>
                <w:szCs w:val="22"/>
              </w:rPr>
              <w:t>P</w:t>
            </w:r>
            <w:r w:rsidRPr="00443E05">
              <w:rPr>
                <w:rFonts w:ascii="Arial" w:eastAsia="Calibri" w:hAnsi="Arial" w:cs="Arial"/>
                <w:b/>
                <w:bCs/>
                <w:szCs w:val="22"/>
              </w:rPr>
              <w:t>resentation</w:t>
            </w:r>
            <w:r>
              <w:rPr>
                <w:rFonts w:ascii="Arial" w:eastAsia="Calibri" w:hAnsi="Arial" w:cs="Arial"/>
                <w:b/>
                <w:bCs/>
                <w:szCs w:val="22"/>
              </w:rPr>
              <w:t xml:space="preserve"> of Case</w:t>
            </w:r>
            <w:r w:rsidRPr="00BA1B01">
              <w:rPr>
                <w:rFonts w:ascii="Arial" w:eastAsia="Calibri" w:hAnsi="Arial" w:cs="Arial"/>
                <w:b/>
                <w:bCs/>
                <w:szCs w:val="22"/>
              </w:rPr>
              <w:t>:</w:t>
            </w:r>
            <w:r w:rsidRPr="00BA1B01">
              <w:rPr>
                <w:rFonts w:ascii="Arial" w:eastAsia="Calibri" w:hAnsi="Arial" w:cs="Arial"/>
                <w:szCs w:val="22"/>
              </w:rPr>
              <w:t xml:space="preserve"> </w:t>
            </w:r>
            <w:r w:rsidRPr="00443E05">
              <w:rPr>
                <w:rFonts w:ascii="Arial" w:eastAsia="Calibri" w:hAnsi="Arial" w:cs="Arial"/>
                <w:szCs w:val="22"/>
              </w:rPr>
              <w:t xml:space="preserve">An 11-year-old female patient presented with a history of dental trauma affecting her upper right central incisor (tooth #11). An intraoral examination revealed a complex crown-root fracture involving the vestibular, palatal, mesial, distal and incisal surfaces, with a subgingival extension that compromised the biological width. The diagnosis was a complicated crown-root fracture with pulpal involvement. Treatment consisted of endodontic therapy and surgical crown lengthening to re-establish the </w:t>
            </w:r>
            <w:proofErr w:type="spellStart"/>
            <w:r w:rsidRPr="00443E05">
              <w:rPr>
                <w:rFonts w:ascii="Arial" w:eastAsia="Calibri" w:hAnsi="Arial" w:cs="Arial"/>
                <w:szCs w:val="22"/>
              </w:rPr>
              <w:t>supracrestal</w:t>
            </w:r>
            <w:proofErr w:type="spellEnd"/>
            <w:r w:rsidRPr="00443E05">
              <w:rPr>
                <w:rFonts w:ascii="Arial" w:eastAsia="Calibri" w:hAnsi="Arial" w:cs="Arial"/>
                <w:szCs w:val="22"/>
              </w:rPr>
              <w:t xml:space="preserve"> tissue attachment. A definitive restoration was achieved using a </w:t>
            </w:r>
            <w:proofErr w:type="spellStart"/>
            <w:r w:rsidRPr="00443E05">
              <w:rPr>
                <w:rFonts w:ascii="Arial" w:eastAsia="Calibri" w:hAnsi="Arial" w:cs="Arial"/>
                <w:szCs w:val="22"/>
              </w:rPr>
              <w:t>glassfiber</w:t>
            </w:r>
            <w:proofErr w:type="spellEnd"/>
            <w:r w:rsidRPr="00443E05">
              <w:rPr>
                <w:rFonts w:ascii="Arial" w:eastAsia="Calibri" w:hAnsi="Arial" w:cs="Arial"/>
                <w:szCs w:val="22"/>
              </w:rPr>
              <w:t xml:space="preserve"> post and a stratified composite build-up with a silicone guide. Despite the inability to conduct long-term follow-up due to socioeconomic limitations, the immediate outcome was aesthetically and functionally successful. </w:t>
            </w:r>
          </w:p>
          <w:p w14:paraId="30589601" w14:textId="77777777" w:rsidR="00F25E71" w:rsidRDefault="00F25E71" w:rsidP="00F25E71">
            <w:pPr>
              <w:pStyle w:val="Body"/>
              <w:spacing w:after="0"/>
              <w:rPr>
                <w:rFonts w:ascii="Arial" w:eastAsia="Calibri" w:hAnsi="Arial" w:cs="Arial"/>
                <w:szCs w:val="22"/>
              </w:rPr>
            </w:pPr>
            <w:r>
              <w:rPr>
                <w:rFonts w:ascii="Arial" w:eastAsia="Calibri" w:hAnsi="Arial" w:cs="Arial"/>
                <w:b/>
                <w:bCs/>
                <w:szCs w:val="22"/>
              </w:rPr>
              <w:t>Discussion</w:t>
            </w:r>
            <w:r w:rsidRPr="00BA1B01">
              <w:rPr>
                <w:rFonts w:ascii="Arial" w:eastAsia="Calibri" w:hAnsi="Arial" w:cs="Arial"/>
                <w:b/>
                <w:bCs/>
                <w:szCs w:val="22"/>
              </w:rPr>
              <w:t>:</w:t>
            </w:r>
            <w:r w:rsidRPr="00BA1B01">
              <w:rPr>
                <w:rFonts w:ascii="Arial" w:eastAsia="Calibri" w:hAnsi="Arial" w:cs="Arial"/>
                <w:szCs w:val="22"/>
              </w:rPr>
              <w:t xml:space="preserve"> </w:t>
            </w:r>
            <w:r w:rsidRPr="00443E05">
              <w:rPr>
                <w:rFonts w:ascii="Arial" w:eastAsia="Calibri" w:hAnsi="Arial" w:cs="Arial"/>
                <w:szCs w:val="22"/>
              </w:rPr>
              <w:t xml:space="preserve">This case study illustrates how a well-planned, interdisciplinary approach can effectively restore severely </w:t>
            </w:r>
            <w:proofErr w:type="spellStart"/>
            <w:r w:rsidRPr="00443E05">
              <w:rPr>
                <w:rFonts w:ascii="Arial" w:eastAsia="Calibri" w:hAnsi="Arial" w:cs="Arial"/>
                <w:szCs w:val="22"/>
              </w:rPr>
              <w:t>traumatised</w:t>
            </w:r>
            <w:proofErr w:type="spellEnd"/>
            <w:r w:rsidRPr="00443E05">
              <w:rPr>
                <w:rFonts w:ascii="Arial" w:eastAsia="Calibri" w:hAnsi="Arial" w:cs="Arial"/>
                <w:szCs w:val="22"/>
              </w:rPr>
              <w:t xml:space="preserve"> anterior teeth in </w:t>
            </w:r>
            <w:proofErr w:type="spellStart"/>
            <w:r w:rsidRPr="00443E05">
              <w:rPr>
                <w:rFonts w:ascii="Arial" w:eastAsia="Calibri" w:hAnsi="Arial" w:cs="Arial"/>
                <w:szCs w:val="22"/>
              </w:rPr>
              <w:t>paediatric</w:t>
            </w:r>
            <w:proofErr w:type="spellEnd"/>
            <w:r w:rsidRPr="00443E05">
              <w:rPr>
                <w:rFonts w:ascii="Arial" w:eastAsia="Calibri" w:hAnsi="Arial" w:cs="Arial"/>
                <w:szCs w:val="22"/>
              </w:rPr>
              <w:t xml:space="preserve"> patients, thereby avoiding extraction and maintaining aesthetics and function.</w:t>
            </w:r>
          </w:p>
          <w:p w14:paraId="0B7081F9" w14:textId="517F83AC" w:rsidR="00505F06" w:rsidRPr="00BA1B01" w:rsidRDefault="00F25E71" w:rsidP="00F25E71">
            <w:pPr>
              <w:pStyle w:val="Body"/>
              <w:spacing w:after="0"/>
              <w:rPr>
                <w:rFonts w:ascii="Arial" w:eastAsia="Calibri" w:hAnsi="Arial" w:cs="Arial"/>
                <w:szCs w:val="22"/>
              </w:rPr>
            </w:pPr>
            <w:r w:rsidRPr="00BA1B01">
              <w:rPr>
                <w:rFonts w:ascii="Arial" w:eastAsia="Calibri" w:hAnsi="Arial" w:cs="Arial"/>
                <w:b/>
                <w:bCs/>
                <w:szCs w:val="22"/>
              </w:rPr>
              <w:t>Conclusion:</w:t>
            </w:r>
            <w:r w:rsidRPr="00BA1B01">
              <w:rPr>
                <w:rFonts w:ascii="Arial" w:eastAsia="Calibri" w:hAnsi="Arial" w:cs="Arial"/>
                <w:szCs w:val="22"/>
              </w:rPr>
              <w:t xml:space="preserve"> </w:t>
            </w:r>
            <w:r>
              <w:rPr>
                <w:rFonts w:ascii="Arial" w:eastAsia="Calibri" w:hAnsi="Arial" w:cs="Arial"/>
                <w:szCs w:val="22"/>
              </w:rPr>
              <w:t>I</w:t>
            </w:r>
            <w:r w:rsidRPr="00D320B3">
              <w:rPr>
                <w:rFonts w:ascii="Arial" w:eastAsia="Calibri" w:hAnsi="Arial" w:cs="Arial"/>
                <w:szCs w:val="22"/>
              </w:rPr>
              <w:t xml:space="preserve">t </w:t>
            </w:r>
            <w:proofErr w:type="spellStart"/>
            <w:r w:rsidRPr="00D320B3">
              <w:rPr>
                <w:rFonts w:ascii="Arial" w:eastAsia="Calibri" w:hAnsi="Arial" w:cs="Arial"/>
                <w:szCs w:val="22"/>
              </w:rPr>
              <w:t>emphasises</w:t>
            </w:r>
            <w:proofErr w:type="spellEnd"/>
            <w:r w:rsidRPr="00D320B3">
              <w:rPr>
                <w:rFonts w:ascii="Arial" w:eastAsia="Calibri" w:hAnsi="Arial" w:cs="Arial"/>
                <w:szCs w:val="22"/>
              </w:rPr>
              <w:t xml:space="preserve"> the importance of </w:t>
            </w:r>
            <w:proofErr w:type="spellStart"/>
            <w:r w:rsidRPr="00D320B3">
              <w:rPr>
                <w:rFonts w:ascii="Arial" w:eastAsia="Calibri" w:hAnsi="Arial" w:cs="Arial"/>
                <w:szCs w:val="22"/>
              </w:rPr>
              <w:t>individualised</w:t>
            </w:r>
            <w:proofErr w:type="spellEnd"/>
            <w:r w:rsidRPr="00D320B3">
              <w:rPr>
                <w:rFonts w:ascii="Arial" w:eastAsia="Calibri" w:hAnsi="Arial" w:cs="Arial"/>
                <w:szCs w:val="22"/>
              </w:rPr>
              <w:t>, conservative strategies and highlights the challenges in ensuring follow-up care for vulnerable populations.</w:t>
            </w:r>
          </w:p>
        </w:tc>
      </w:tr>
    </w:tbl>
    <w:p w14:paraId="32A4FF65" w14:textId="77777777" w:rsidR="00636EB2" w:rsidRDefault="00636EB2" w:rsidP="00441B6F">
      <w:pPr>
        <w:pStyle w:val="Body"/>
        <w:spacing w:after="0"/>
        <w:rPr>
          <w:rFonts w:ascii="Arial" w:hAnsi="Arial" w:cs="Arial"/>
          <w:i/>
        </w:rPr>
      </w:pPr>
    </w:p>
    <w:p w14:paraId="7EE6890C" w14:textId="0D939687" w:rsidR="00A24E7E" w:rsidRDefault="00A24E7E" w:rsidP="00441B6F">
      <w:pPr>
        <w:pStyle w:val="Body"/>
        <w:spacing w:after="0"/>
        <w:rPr>
          <w:rFonts w:ascii="Arial" w:hAnsi="Arial" w:cs="Arial"/>
          <w:i/>
        </w:rPr>
      </w:pPr>
      <w:r>
        <w:rPr>
          <w:rFonts w:ascii="Arial" w:hAnsi="Arial" w:cs="Arial"/>
          <w:i/>
        </w:rPr>
        <w:t xml:space="preserve">Keywords: </w:t>
      </w:r>
      <w:r w:rsidR="00F25E71" w:rsidRPr="00D320B3">
        <w:rPr>
          <w:rFonts w:ascii="Arial" w:hAnsi="Arial" w:cs="Arial"/>
          <w:i/>
          <w:iCs/>
        </w:rPr>
        <w:t>Dental trauma, Crown-root fracture, Pediatric dentistry, Multidisciplinary treatment, Case report.</w:t>
      </w:r>
    </w:p>
    <w:p w14:paraId="6D249CE0" w14:textId="77777777" w:rsidR="00790ADA" w:rsidRDefault="00790ADA" w:rsidP="00441B6F">
      <w:pPr>
        <w:pStyle w:val="Body"/>
        <w:spacing w:after="0"/>
        <w:rPr>
          <w:rFonts w:ascii="Arial" w:hAnsi="Arial" w:cs="Arial"/>
          <w:i/>
        </w:rPr>
      </w:pPr>
    </w:p>
    <w:p w14:paraId="497E286D" w14:textId="77777777" w:rsidR="0024282C" w:rsidRDefault="0024282C" w:rsidP="00441B6F">
      <w:pPr>
        <w:pStyle w:val="Body"/>
        <w:spacing w:after="0"/>
        <w:rPr>
          <w:rFonts w:ascii="Arial" w:hAnsi="Arial" w:cs="Arial"/>
          <w:i/>
          <w:sz w:val="18"/>
        </w:rPr>
      </w:pPr>
    </w:p>
    <w:p w14:paraId="07E1ACE0" w14:textId="77777777" w:rsidR="00505F06" w:rsidRPr="00A24E7E" w:rsidRDefault="00505F06" w:rsidP="00441B6F">
      <w:pPr>
        <w:pStyle w:val="Body"/>
        <w:spacing w:after="0"/>
        <w:rPr>
          <w:rFonts w:ascii="Arial" w:hAnsi="Arial" w:cs="Arial"/>
          <w:i/>
        </w:rPr>
      </w:pPr>
    </w:p>
    <w:p w14:paraId="77B1C797" w14:textId="1D028D22"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7F7B32">
        <w:rPr>
          <w:rFonts w:ascii="Arial" w:hAnsi="Arial" w:cs="Arial"/>
        </w:rPr>
        <w:t xml:space="preserve"> </w:t>
      </w:r>
    </w:p>
    <w:p w14:paraId="7A42F139" w14:textId="77777777" w:rsidR="00790ADA" w:rsidRPr="00FB3A86" w:rsidRDefault="00790ADA" w:rsidP="00441B6F">
      <w:pPr>
        <w:pStyle w:val="AbstHead"/>
        <w:spacing w:after="0"/>
        <w:jc w:val="both"/>
        <w:rPr>
          <w:rFonts w:ascii="Arial" w:hAnsi="Arial" w:cs="Arial"/>
        </w:rPr>
      </w:pPr>
    </w:p>
    <w:p w14:paraId="2279930A" w14:textId="64E56644" w:rsidR="008252FF" w:rsidRPr="008252FF" w:rsidRDefault="008252FF" w:rsidP="008252FF">
      <w:pPr>
        <w:pStyle w:val="Body"/>
        <w:spacing w:after="0"/>
        <w:ind w:firstLine="720"/>
        <w:rPr>
          <w:rFonts w:ascii="Arial" w:hAnsi="Arial" w:cs="Arial"/>
          <w:lang w:val="pt-BR"/>
        </w:rPr>
      </w:pPr>
      <w:r w:rsidRPr="008252FF">
        <w:rPr>
          <w:rFonts w:ascii="Arial" w:hAnsi="Arial" w:cs="Arial"/>
          <w:lang w:val="pt-BR"/>
        </w:rPr>
        <w:t xml:space="preserve">Dental trauma is a prevalent public health issue, particularly among children and adolescents, with the maxillary central incisors most frequently affected due to their anterior position </w:t>
      </w:r>
      <w:r w:rsidR="004F6853">
        <w:rPr>
          <w:rFonts w:ascii="Arial" w:hAnsi="Arial" w:cs="Arial"/>
          <w:lang w:val="pt-BR"/>
        </w:rPr>
        <w:t>[1,2]</w:t>
      </w:r>
      <w:r w:rsidRPr="008252FF">
        <w:rPr>
          <w:rFonts w:ascii="Arial" w:hAnsi="Arial" w:cs="Arial"/>
          <w:lang w:val="pt-BR"/>
        </w:rPr>
        <w:t xml:space="preserve">. Crown-root fractures, though less common than uncomplicated crown fractures, present greater clinical challenges by compromising function, aesthetics, and periodontal attachment </w:t>
      </w:r>
      <w:r w:rsidR="004F6853">
        <w:rPr>
          <w:rFonts w:ascii="Arial" w:hAnsi="Arial" w:cs="Arial"/>
          <w:lang w:val="pt-BR"/>
        </w:rPr>
        <w:t>[3,4]</w:t>
      </w:r>
      <w:r w:rsidRPr="008252FF">
        <w:rPr>
          <w:rFonts w:ascii="Arial" w:hAnsi="Arial" w:cs="Arial"/>
          <w:lang w:val="pt-BR"/>
        </w:rPr>
        <w:t xml:space="preserve">. Their severity depends on trauma mechanism, impact intensity, and patient age </w:t>
      </w:r>
      <w:r w:rsidR="004F6853">
        <w:rPr>
          <w:rFonts w:ascii="Arial" w:hAnsi="Arial" w:cs="Arial"/>
          <w:lang w:val="pt-BR"/>
        </w:rPr>
        <w:t>[1].</w:t>
      </w:r>
    </w:p>
    <w:p w14:paraId="2D0AB216" w14:textId="2640590B" w:rsidR="008252FF" w:rsidRPr="008252FF" w:rsidRDefault="008252FF" w:rsidP="008252FF">
      <w:pPr>
        <w:pStyle w:val="Body"/>
        <w:spacing w:after="0"/>
        <w:ind w:firstLine="720"/>
        <w:rPr>
          <w:rFonts w:ascii="Arial" w:hAnsi="Arial" w:cs="Arial"/>
          <w:lang w:val="pt-BR"/>
        </w:rPr>
      </w:pPr>
      <w:r w:rsidRPr="008252FF">
        <w:rPr>
          <w:rFonts w:ascii="Arial" w:hAnsi="Arial" w:cs="Arial"/>
          <w:lang w:val="pt-BR"/>
        </w:rPr>
        <w:t xml:space="preserve">Management often requires multidisciplinary intervention combining periodontal, endodontic, and restorative approaches to re-establish function and aesthetics </w:t>
      </w:r>
      <w:r w:rsidR="004F6853">
        <w:rPr>
          <w:rFonts w:ascii="Arial" w:hAnsi="Arial" w:cs="Arial"/>
          <w:lang w:val="pt-BR"/>
        </w:rPr>
        <w:t xml:space="preserve">[5,6]. </w:t>
      </w:r>
      <w:r w:rsidRPr="008252FF">
        <w:rPr>
          <w:rFonts w:ascii="Arial" w:hAnsi="Arial" w:cs="Arial"/>
          <w:lang w:val="pt-BR"/>
        </w:rPr>
        <w:t xml:space="preserve">Treatment may include orthodontic or surgical extrusion, crown lengthening, fragment reattachment, or direct/indirect restorations </w:t>
      </w:r>
      <w:r w:rsidR="004F6853">
        <w:rPr>
          <w:rFonts w:ascii="Arial" w:hAnsi="Arial" w:cs="Arial"/>
          <w:lang w:val="pt-BR"/>
        </w:rPr>
        <w:t>[7]</w:t>
      </w:r>
      <w:r w:rsidRPr="008252FF">
        <w:rPr>
          <w:rFonts w:ascii="Arial" w:hAnsi="Arial" w:cs="Arial"/>
          <w:lang w:val="pt-BR"/>
        </w:rPr>
        <w:t xml:space="preserve">. In children, conservative strategies are </w:t>
      </w:r>
      <w:r w:rsidRPr="008252FF">
        <w:rPr>
          <w:rFonts w:ascii="Arial" w:hAnsi="Arial" w:cs="Arial"/>
          <w:lang w:val="pt-BR"/>
        </w:rPr>
        <w:lastRenderedPageBreak/>
        <w:t xml:space="preserve">essential to preserve natural teeth, ensure proper growth, and minimise psychological impact </w:t>
      </w:r>
      <w:r w:rsidR="004F6853">
        <w:rPr>
          <w:rFonts w:ascii="Arial" w:hAnsi="Arial" w:cs="Arial"/>
          <w:lang w:val="pt-BR"/>
        </w:rPr>
        <w:t>[2,8].</w:t>
      </w:r>
    </w:p>
    <w:p w14:paraId="0E5ECC76" w14:textId="67D975FD" w:rsidR="008252FF" w:rsidRPr="008252FF" w:rsidRDefault="008252FF" w:rsidP="008252FF">
      <w:pPr>
        <w:pStyle w:val="Body"/>
        <w:spacing w:after="0"/>
        <w:ind w:firstLine="720"/>
        <w:rPr>
          <w:rFonts w:ascii="Arial" w:hAnsi="Arial" w:cs="Arial"/>
          <w:lang w:val="pt-BR"/>
        </w:rPr>
      </w:pPr>
      <w:r w:rsidRPr="008252FF">
        <w:rPr>
          <w:rFonts w:ascii="Arial" w:hAnsi="Arial" w:cs="Arial"/>
          <w:lang w:val="pt-BR"/>
        </w:rPr>
        <w:t xml:space="preserve">Decisions must consider root development, pulp vitality, and long-term survival. While conservative management is preferred, deep subgingival fractures may require invasive endodontic procedures </w:t>
      </w:r>
      <w:r w:rsidR="004F6853">
        <w:rPr>
          <w:rFonts w:ascii="Arial" w:hAnsi="Arial" w:cs="Arial"/>
          <w:lang w:val="pt-BR"/>
        </w:rPr>
        <w:t>[9]</w:t>
      </w:r>
      <w:r w:rsidRPr="008252FF">
        <w:rPr>
          <w:rFonts w:ascii="Arial" w:hAnsi="Arial" w:cs="Arial"/>
          <w:lang w:val="pt-BR"/>
        </w:rPr>
        <w:t>. Thus, integrated treatment is crucial for functional and aesthetic success in paediatric cases.</w:t>
      </w:r>
    </w:p>
    <w:p w14:paraId="65D695DE" w14:textId="77777777" w:rsidR="008252FF" w:rsidRPr="008252FF" w:rsidRDefault="008252FF" w:rsidP="008252FF">
      <w:pPr>
        <w:pStyle w:val="Body"/>
        <w:spacing w:after="0"/>
        <w:ind w:firstLine="720"/>
        <w:rPr>
          <w:rFonts w:ascii="Arial" w:hAnsi="Arial" w:cs="Arial"/>
          <w:lang w:val="pt-BR"/>
        </w:rPr>
      </w:pPr>
      <w:r w:rsidRPr="008252FF">
        <w:rPr>
          <w:rFonts w:ascii="Arial" w:hAnsi="Arial" w:cs="Arial"/>
          <w:lang w:val="pt-BR"/>
        </w:rPr>
        <w:t>This report describes the conservative, interdisciplinary management of a complicated crown-root fracture with biological width invasion, combining periodontal, endodontic, and restorative approaches.</w:t>
      </w:r>
    </w:p>
    <w:p w14:paraId="1720559E" w14:textId="77777777" w:rsidR="00F25E71" w:rsidRDefault="00F25E71" w:rsidP="00F25E71">
      <w:pPr>
        <w:pStyle w:val="Body"/>
        <w:spacing w:after="0"/>
        <w:rPr>
          <w:rFonts w:ascii="Arial" w:hAnsi="Arial" w:cs="Arial"/>
        </w:rPr>
      </w:pPr>
    </w:p>
    <w:p w14:paraId="4D72A74B" w14:textId="77777777" w:rsidR="00F25E71" w:rsidRDefault="00F25E71" w:rsidP="00F25E71">
      <w:pPr>
        <w:pStyle w:val="AbstHead"/>
        <w:spacing w:after="0"/>
        <w:jc w:val="both"/>
        <w:rPr>
          <w:rFonts w:ascii="Arial" w:hAnsi="Arial" w:cs="Arial"/>
        </w:rPr>
      </w:pPr>
      <w:r>
        <w:rPr>
          <w:rFonts w:ascii="Arial" w:hAnsi="Arial" w:cs="Arial"/>
        </w:rPr>
        <w:t>2. presentation of case</w:t>
      </w:r>
    </w:p>
    <w:p w14:paraId="4288C828" w14:textId="77777777" w:rsidR="00F25E71" w:rsidRPr="00FB3A86" w:rsidRDefault="00F25E71" w:rsidP="00F25E71">
      <w:pPr>
        <w:pStyle w:val="AbstHead"/>
        <w:spacing w:after="0"/>
        <w:jc w:val="both"/>
        <w:rPr>
          <w:rFonts w:ascii="Arial" w:hAnsi="Arial" w:cs="Arial"/>
        </w:rPr>
      </w:pPr>
    </w:p>
    <w:p w14:paraId="64B4C42D" w14:textId="77777777" w:rsidR="008252FF" w:rsidRPr="008252FF" w:rsidRDefault="008252FF" w:rsidP="00AD48DD">
      <w:pPr>
        <w:pStyle w:val="Body"/>
        <w:spacing w:after="0"/>
        <w:ind w:firstLine="720"/>
        <w:rPr>
          <w:rFonts w:ascii="Arial" w:hAnsi="Arial" w:cs="Arial"/>
          <w:lang w:val="pt-BR"/>
        </w:rPr>
      </w:pPr>
      <w:r w:rsidRPr="008252FF">
        <w:rPr>
          <w:rFonts w:ascii="Arial" w:hAnsi="Arial" w:cs="Arial"/>
          <w:lang w:val="pt-BR"/>
        </w:rPr>
        <w:t>This case forms part of a prospective project conducted by the Restorative Dentistry Study Group (GED) at the Federal University of Ceará, approved under protocol 4.750.328. The patient’s guardian signed informed consent for clinical management and use of anonymised data and images.</w:t>
      </w:r>
    </w:p>
    <w:p w14:paraId="05D6D628" w14:textId="1B1AB4F7" w:rsidR="008252FF" w:rsidRDefault="008252FF" w:rsidP="00AD48DD">
      <w:pPr>
        <w:pStyle w:val="Body"/>
        <w:spacing w:after="0"/>
        <w:ind w:firstLine="720"/>
        <w:rPr>
          <w:rFonts w:ascii="Arial" w:hAnsi="Arial" w:cs="Arial"/>
          <w:lang w:val="pt-BR"/>
        </w:rPr>
      </w:pPr>
      <w:r w:rsidRPr="008252FF">
        <w:rPr>
          <w:rFonts w:ascii="Arial" w:hAnsi="Arial" w:cs="Arial"/>
          <w:lang w:val="pt-BR"/>
        </w:rPr>
        <w:t>An 11-year-old female presented to the dental clinic after an accidental fall with trauma to the upper right central incisor (#11). She had no relevant medical history and no prior dental trauma. Clinical and radiographic examinations revealed a complicated crown-root fracture involving buccal, palatal, mesial, distal, and incisal surfaces, with subgingival extension compromising the supracrestal tissue attachment (Figures 1a, 1b). The tooth had been previously accessed but required complete endodontic therapy. Adjacent teeth were unaffected, and there was no pathological mobility or soft tissue injury.</w:t>
      </w:r>
      <w:r w:rsidR="00C62B81">
        <w:rPr>
          <w:rFonts w:ascii="Arial" w:hAnsi="Arial" w:cs="Arial"/>
          <w:lang w:val="pt-BR"/>
        </w:rPr>
        <w:br/>
      </w:r>
      <w:r w:rsidR="00C62B81">
        <w:rPr>
          <w:rFonts w:ascii="Arial" w:hAnsi="Arial" w:cs="Arial"/>
          <w:noProof/>
          <w:lang w:val="pt-BR"/>
        </w:rPr>
        <w:drawing>
          <wp:inline distT="0" distB="0" distL="0" distR="0" wp14:anchorId="245BFE75" wp14:editId="223A76C3">
            <wp:extent cx="5212080" cy="1737360"/>
            <wp:effectExtent l="0" t="0" r="7620" b="0"/>
            <wp:docPr id="1248889398"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12080" cy="1737360"/>
                    </a:xfrm>
                    <a:prstGeom prst="rect">
                      <a:avLst/>
                    </a:prstGeom>
                    <a:noFill/>
                    <a:ln>
                      <a:noFill/>
                    </a:ln>
                  </pic:spPr>
                </pic:pic>
              </a:graphicData>
            </a:graphic>
          </wp:inline>
        </w:drawing>
      </w:r>
    </w:p>
    <w:p w14:paraId="19893F96" w14:textId="2D18FD2A" w:rsidR="00C62B81" w:rsidRDefault="00C62B81" w:rsidP="00C62B81">
      <w:pPr>
        <w:pStyle w:val="Body"/>
        <w:spacing w:after="0"/>
        <w:rPr>
          <w:rFonts w:ascii="Arial" w:hAnsi="Arial" w:cs="Arial"/>
          <w:lang w:val="pt-BR"/>
        </w:rPr>
      </w:pPr>
      <w:r>
        <w:rPr>
          <w:rFonts w:ascii="Arial" w:hAnsi="Arial" w:cs="Arial"/>
          <w:lang w:val="pt-BR"/>
        </w:rPr>
        <w:t xml:space="preserve">Figure 1: </w:t>
      </w:r>
      <w:r w:rsidRPr="00C62B81">
        <w:rPr>
          <w:rFonts w:ascii="Arial" w:hAnsi="Arial" w:cs="Arial"/>
          <w:lang w:val="pt-BR"/>
        </w:rPr>
        <w:t>Vestibular</w:t>
      </w:r>
      <w:r>
        <w:rPr>
          <w:rFonts w:ascii="Arial" w:hAnsi="Arial" w:cs="Arial"/>
          <w:lang w:val="pt-BR"/>
        </w:rPr>
        <w:t xml:space="preserve"> (a) and palatal (b)</w:t>
      </w:r>
      <w:r w:rsidRPr="00C62B81">
        <w:rPr>
          <w:rFonts w:ascii="Arial" w:hAnsi="Arial" w:cs="Arial"/>
          <w:lang w:val="pt-BR"/>
        </w:rPr>
        <w:t xml:space="preserve"> view of fracture in tooth 11 involving the vestibular, palatal, mesial, distal and incisal surfaces.</w:t>
      </w:r>
    </w:p>
    <w:p w14:paraId="06F10EA8" w14:textId="77777777" w:rsidR="00C62B81" w:rsidRPr="008252FF" w:rsidRDefault="00C62B81" w:rsidP="00C62B81">
      <w:pPr>
        <w:pStyle w:val="Body"/>
        <w:spacing w:after="0"/>
        <w:rPr>
          <w:rFonts w:ascii="Arial" w:hAnsi="Arial" w:cs="Arial"/>
          <w:lang w:val="pt-BR"/>
        </w:rPr>
      </w:pPr>
    </w:p>
    <w:p w14:paraId="1DE26DE9" w14:textId="77777777" w:rsidR="008252FF" w:rsidRDefault="008252FF" w:rsidP="00AD48DD">
      <w:pPr>
        <w:pStyle w:val="Body"/>
        <w:spacing w:after="0"/>
        <w:ind w:firstLine="720"/>
        <w:rPr>
          <w:rFonts w:ascii="Arial" w:hAnsi="Arial" w:cs="Arial"/>
          <w:lang w:val="pt-BR"/>
        </w:rPr>
      </w:pPr>
      <w:r w:rsidRPr="008252FF">
        <w:rPr>
          <w:rFonts w:ascii="Arial" w:hAnsi="Arial" w:cs="Arial"/>
          <w:lang w:val="pt-BR"/>
        </w:rPr>
        <w:t>Given the extension of the fracture and the patient’s age, an interdisciplinary plan was established over two sessions, combining endodontic, periodontal, and restorative procedures.</w:t>
      </w:r>
    </w:p>
    <w:p w14:paraId="451B46F5" w14:textId="135A0E60" w:rsidR="00C62B81" w:rsidRDefault="00774F24" w:rsidP="00774F24">
      <w:pPr>
        <w:pStyle w:val="Body"/>
        <w:spacing w:after="0"/>
        <w:rPr>
          <w:rFonts w:ascii="Arial" w:hAnsi="Arial" w:cs="Arial"/>
          <w:lang w:val="pt-BR"/>
        </w:rPr>
      </w:pPr>
      <w:r>
        <w:rPr>
          <w:rFonts w:ascii="Arial" w:hAnsi="Arial" w:cs="Arial"/>
          <w:noProof/>
          <w:lang w:val="pt-BR"/>
        </w:rPr>
        <w:lastRenderedPageBreak/>
        <w:drawing>
          <wp:inline distT="0" distB="0" distL="0" distR="0" wp14:anchorId="754740E7" wp14:editId="4DF90134">
            <wp:extent cx="5265420" cy="1995101"/>
            <wp:effectExtent l="0" t="0" r="0" b="5715"/>
            <wp:docPr id="1331226453"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80610" cy="2000857"/>
                    </a:xfrm>
                    <a:prstGeom prst="rect">
                      <a:avLst/>
                    </a:prstGeom>
                    <a:noFill/>
                    <a:ln>
                      <a:noFill/>
                    </a:ln>
                  </pic:spPr>
                </pic:pic>
              </a:graphicData>
            </a:graphic>
          </wp:inline>
        </w:drawing>
      </w:r>
    </w:p>
    <w:p w14:paraId="79CD9E4A" w14:textId="059F476B" w:rsidR="00774F24" w:rsidRDefault="00774F24" w:rsidP="00774F24">
      <w:pPr>
        <w:pStyle w:val="Body"/>
        <w:spacing w:after="0"/>
        <w:rPr>
          <w:rFonts w:ascii="Arial" w:eastAsia="Arial" w:hAnsi="Arial" w:cs="Arial"/>
          <w:bCs/>
          <w:color w:val="000000"/>
        </w:rPr>
      </w:pPr>
      <w:r>
        <w:rPr>
          <w:rFonts w:ascii="Arial" w:hAnsi="Arial" w:cs="Arial"/>
          <w:lang w:val="pt-BR"/>
        </w:rPr>
        <w:t>Figure 2:</w:t>
      </w:r>
      <w:r w:rsidRPr="00774F24">
        <w:rPr>
          <w:rFonts w:ascii="Arial" w:eastAsia="Arial" w:hAnsi="Arial" w:cs="Arial"/>
          <w:bCs/>
          <w:color w:val="000000"/>
        </w:rPr>
        <w:t xml:space="preserve"> </w:t>
      </w:r>
      <w:r w:rsidRPr="000F5F17">
        <w:rPr>
          <w:rFonts w:ascii="Arial" w:eastAsia="Arial" w:hAnsi="Arial" w:cs="Arial"/>
          <w:bCs/>
          <w:color w:val="000000"/>
        </w:rPr>
        <w:t>Case timeline.</w:t>
      </w:r>
    </w:p>
    <w:p w14:paraId="5B1A40E2" w14:textId="77777777" w:rsidR="00774F24" w:rsidRPr="008252FF" w:rsidRDefault="00774F24" w:rsidP="00774F24">
      <w:pPr>
        <w:pStyle w:val="Body"/>
        <w:spacing w:after="0"/>
        <w:rPr>
          <w:rFonts w:ascii="Arial" w:hAnsi="Arial" w:cs="Arial"/>
          <w:lang w:val="pt-BR"/>
        </w:rPr>
      </w:pPr>
    </w:p>
    <w:p w14:paraId="129F5206" w14:textId="3288B66C" w:rsidR="008252FF" w:rsidRDefault="008252FF" w:rsidP="00AD48DD">
      <w:pPr>
        <w:pStyle w:val="Body"/>
        <w:spacing w:after="0"/>
        <w:ind w:firstLine="720"/>
        <w:rPr>
          <w:rFonts w:ascii="Arial" w:hAnsi="Arial" w:cs="Arial"/>
          <w:lang w:val="pt-BR"/>
        </w:rPr>
      </w:pPr>
      <w:r w:rsidRPr="008252FF">
        <w:rPr>
          <w:rFonts w:ascii="Arial" w:hAnsi="Arial" w:cs="Arial"/>
          <w:lang w:val="pt-BR"/>
        </w:rPr>
        <w:t>During the first session, local anaesthesia was administered, and endodontic access and pulpectomy were performed. Surgical crown lengthening followed to allow isolation and restorative planning. A sulcular incision and flap elevation exposed the fracture margin, and osteotomy was performed on the palatal surface to re-establish the biological width</w:t>
      </w:r>
      <w:r w:rsidR="00C62B81">
        <w:rPr>
          <w:rFonts w:ascii="Arial" w:hAnsi="Arial" w:cs="Arial"/>
          <w:lang w:val="pt-BR"/>
        </w:rPr>
        <w:t xml:space="preserve"> (Figure 2a)</w:t>
      </w:r>
      <w:r w:rsidRPr="008252FF">
        <w:rPr>
          <w:rFonts w:ascii="Arial" w:hAnsi="Arial" w:cs="Arial"/>
          <w:lang w:val="pt-BR"/>
        </w:rPr>
        <w:t>. Once periodontal space was restored, deep cervical margin elevation (DCME) was carried out to relocate the margin to a more favourable position</w:t>
      </w:r>
      <w:r w:rsidR="00C62B81">
        <w:rPr>
          <w:rFonts w:ascii="Arial" w:hAnsi="Arial" w:cs="Arial"/>
          <w:lang w:val="pt-BR"/>
        </w:rPr>
        <w:t xml:space="preserve"> (Figure 2b)</w:t>
      </w:r>
      <w:r w:rsidRPr="008252FF">
        <w:rPr>
          <w:rFonts w:ascii="Arial" w:hAnsi="Arial" w:cs="Arial"/>
          <w:lang w:val="pt-BR"/>
        </w:rPr>
        <w:t>, enabling rubber dam isolation. Endodontic treatment was then completed with mechanical instrumentation, sodium hypochlorite/EDTA irrigation, and obturation using the roll-cone technique with sealer 26, chosen due to the wide apical foramen.</w:t>
      </w:r>
    </w:p>
    <w:p w14:paraId="3EDC774A" w14:textId="57FDCBEF" w:rsidR="00C62B81" w:rsidRDefault="00C62B81" w:rsidP="00C62B81">
      <w:pPr>
        <w:pStyle w:val="Body"/>
        <w:spacing w:after="0"/>
        <w:rPr>
          <w:rFonts w:ascii="Arial" w:hAnsi="Arial" w:cs="Arial"/>
          <w:lang w:val="pt-BR"/>
        </w:rPr>
      </w:pPr>
      <w:r>
        <w:rPr>
          <w:rFonts w:ascii="Arial" w:hAnsi="Arial" w:cs="Arial"/>
          <w:noProof/>
          <w:lang w:val="pt-BR"/>
        </w:rPr>
        <w:drawing>
          <wp:inline distT="0" distB="0" distL="0" distR="0" wp14:anchorId="5FF9E16C" wp14:editId="453BCD29">
            <wp:extent cx="5212080" cy="1737360"/>
            <wp:effectExtent l="0" t="0" r="7620" b="0"/>
            <wp:docPr id="1864981721"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12080" cy="1737360"/>
                    </a:xfrm>
                    <a:prstGeom prst="rect">
                      <a:avLst/>
                    </a:prstGeom>
                    <a:noFill/>
                    <a:ln>
                      <a:noFill/>
                    </a:ln>
                  </pic:spPr>
                </pic:pic>
              </a:graphicData>
            </a:graphic>
          </wp:inline>
        </w:drawing>
      </w:r>
    </w:p>
    <w:p w14:paraId="09D0DCCD" w14:textId="3DE18954" w:rsidR="00774F24" w:rsidRDefault="00774F24" w:rsidP="00C62B81">
      <w:pPr>
        <w:pStyle w:val="Body"/>
        <w:spacing w:after="0"/>
        <w:rPr>
          <w:rFonts w:ascii="Arial" w:hAnsi="Arial" w:cs="Arial"/>
          <w:lang w:val="pt-BR"/>
        </w:rPr>
      </w:pPr>
      <w:r>
        <w:rPr>
          <w:rFonts w:ascii="Arial" w:hAnsi="Arial" w:cs="Arial"/>
          <w:lang w:val="pt-BR"/>
        </w:rPr>
        <w:t>Figure 3:</w:t>
      </w:r>
      <w:r w:rsidRPr="00774F24">
        <w:t xml:space="preserve"> </w:t>
      </w:r>
      <w:r w:rsidRPr="00774F24">
        <w:rPr>
          <w:rFonts w:ascii="Arial" w:hAnsi="Arial" w:cs="Arial"/>
          <w:lang w:val="pt-BR"/>
        </w:rPr>
        <w:t>Periodontal surgical procedure to increase the clinical crown, with detachment of gingival tissue using a simple Molt detacher</w:t>
      </w:r>
      <w:r>
        <w:rPr>
          <w:rFonts w:ascii="Arial" w:hAnsi="Arial" w:cs="Arial"/>
          <w:lang w:val="pt-BR"/>
        </w:rPr>
        <w:t xml:space="preserve"> (a)</w:t>
      </w:r>
      <w:r w:rsidRPr="00774F24">
        <w:rPr>
          <w:rFonts w:ascii="Arial" w:hAnsi="Arial" w:cs="Arial"/>
          <w:lang w:val="pt-BR"/>
        </w:rPr>
        <w:t>.</w:t>
      </w:r>
      <w:r w:rsidRPr="00774F24">
        <w:t xml:space="preserve"> </w:t>
      </w:r>
      <w:r w:rsidRPr="00774F24">
        <w:rPr>
          <w:rFonts w:ascii="Arial" w:hAnsi="Arial" w:cs="Arial"/>
          <w:lang w:val="pt-BR"/>
        </w:rPr>
        <w:t>under absolute isolation, with a vaselined gutta-percha cone positioned inside the canal, to begin the reconstruction of the cervical portion</w:t>
      </w:r>
      <w:r>
        <w:rPr>
          <w:rFonts w:ascii="Arial" w:hAnsi="Arial" w:cs="Arial"/>
          <w:lang w:val="pt-BR"/>
        </w:rPr>
        <w:t xml:space="preserve"> (b)</w:t>
      </w:r>
      <w:r w:rsidRPr="00774F24">
        <w:rPr>
          <w:rFonts w:ascii="Arial" w:hAnsi="Arial" w:cs="Arial"/>
          <w:lang w:val="pt-BR"/>
        </w:rPr>
        <w:t>.</w:t>
      </w:r>
    </w:p>
    <w:p w14:paraId="0F5F0F6E" w14:textId="77777777" w:rsidR="00774F24" w:rsidRPr="008252FF" w:rsidRDefault="00774F24" w:rsidP="00C62B81">
      <w:pPr>
        <w:pStyle w:val="Body"/>
        <w:spacing w:after="0"/>
        <w:rPr>
          <w:rFonts w:ascii="Arial" w:hAnsi="Arial" w:cs="Arial"/>
          <w:lang w:val="pt-BR"/>
        </w:rPr>
      </w:pPr>
    </w:p>
    <w:p w14:paraId="051A6382" w14:textId="206503E2" w:rsidR="008252FF" w:rsidRDefault="008252FF" w:rsidP="00AD48DD">
      <w:pPr>
        <w:pStyle w:val="Body"/>
        <w:spacing w:after="0"/>
        <w:ind w:firstLine="720"/>
        <w:rPr>
          <w:rFonts w:ascii="Arial" w:hAnsi="Arial" w:cs="Arial"/>
          <w:lang w:val="pt-BR"/>
        </w:rPr>
      </w:pPr>
      <w:r w:rsidRPr="008252FF">
        <w:rPr>
          <w:rFonts w:ascii="Arial" w:hAnsi="Arial" w:cs="Arial"/>
          <w:lang w:val="pt-BR"/>
        </w:rPr>
        <w:t>In the second session, shade selection was confirmed, and the post space was prepared, leaving a 4 mm apical seal. A glass fiber post was cemented with dual-cure resin cement, providing reinforcement without compromising the root structure. For coronal reconstruction, a diagnostic wax-up was performed, and a silicone index was fabricated to guide the restoration. Incremental layering of composite resin reproduced the palatal wall, dentin mamelons, and enamel stratification, ensuring natural integration with adjacent teeth (Figure</w:t>
      </w:r>
      <w:r w:rsidR="00C62B81">
        <w:rPr>
          <w:rFonts w:ascii="Arial" w:hAnsi="Arial" w:cs="Arial"/>
          <w:lang w:val="pt-BR"/>
        </w:rPr>
        <w:t xml:space="preserve"> 4</w:t>
      </w:r>
      <w:r w:rsidRPr="008252FF">
        <w:rPr>
          <w:rFonts w:ascii="Arial" w:hAnsi="Arial" w:cs="Arial"/>
          <w:lang w:val="pt-BR"/>
        </w:rPr>
        <w:t>).</w:t>
      </w:r>
    </w:p>
    <w:p w14:paraId="2C6282F8" w14:textId="6E855F1F" w:rsidR="00C62B81" w:rsidRDefault="00C62B81" w:rsidP="00C62B81">
      <w:pPr>
        <w:pStyle w:val="Body"/>
        <w:spacing w:after="0"/>
        <w:rPr>
          <w:rFonts w:ascii="Arial" w:hAnsi="Arial" w:cs="Arial"/>
          <w:lang w:val="pt-BR"/>
        </w:rPr>
      </w:pPr>
      <w:r>
        <w:rPr>
          <w:rFonts w:ascii="Arial" w:hAnsi="Arial" w:cs="Arial"/>
          <w:noProof/>
          <w:lang w:val="pt-BR"/>
        </w:rPr>
        <w:lastRenderedPageBreak/>
        <w:drawing>
          <wp:inline distT="0" distB="0" distL="0" distR="0" wp14:anchorId="08C74FC3" wp14:editId="07C90119">
            <wp:extent cx="5212080" cy="1737360"/>
            <wp:effectExtent l="0" t="0" r="7620" b="0"/>
            <wp:docPr id="1611334069"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12080" cy="1737360"/>
                    </a:xfrm>
                    <a:prstGeom prst="rect">
                      <a:avLst/>
                    </a:prstGeom>
                    <a:noFill/>
                    <a:ln>
                      <a:noFill/>
                    </a:ln>
                  </pic:spPr>
                </pic:pic>
              </a:graphicData>
            </a:graphic>
          </wp:inline>
        </w:drawing>
      </w:r>
    </w:p>
    <w:p w14:paraId="124D1C28" w14:textId="7A72B331" w:rsidR="00774F24" w:rsidRDefault="00774F24" w:rsidP="00C62B81">
      <w:pPr>
        <w:pStyle w:val="Body"/>
        <w:spacing w:after="0"/>
        <w:rPr>
          <w:rFonts w:ascii="Arial" w:hAnsi="Arial" w:cs="Arial"/>
          <w:lang w:val="pt-BR"/>
        </w:rPr>
      </w:pPr>
      <w:r>
        <w:rPr>
          <w:rFonts w:ascii="Arial" w:hAnsi="Arial" w:cs="Arial"/>
          <w:lang w:val="pt-BR"/>
        </w:rPr>
        <w:t>Figure</w:t>
      </w:r>
      <w:r w:rsidR="00022FE0">
        <w:rPr>
          <w:rFonts w:ascii="Arial" w:hAnsi="Arial" w:cs="Arial"/>
          <w:lang w:val="pt-BR"/>
        </w:rPr>
        <w:t xml:space="preserve"> 4</w:t>
      </w:r>
      <w:r>
        <w:rPr>
          <w:rFonts w:ascii="Arial" w:hAnsi="Arial" w:cs="Arial"/>
          <w:lang w:val="pt-BR"/>
        </w:rPr>
        <w:t xml:space="preserve">: </w:t>
      </w:r>
      <w:r w:rsidRPr="002D5625">
        <w:rPr>
          <w:rFonts w:ascii="Arial" w:eastAsia="Arial" w:hAnsi="Arial" w:cs="Arial"/>
          <w:bCs/>
          <w:color w:val="000000"/>
        </w:rPr>
        <w:t>Plaster model with waxing of tooth 11</w:t>
      </w:r>
      <w:r>
        <w:rPr>
          <w:rFonts w:ascii="Arial" w:eastAsia="Arial" w:hAnsi="Arial" w:cs="Arial"/>
          <w:bCs/>
          <w:color w:val="000000"/>
        </w:rPr>
        <w:t xml:space="preserve"> and s</w:t>
      </w:r>
      <w:r w:rsidRPr="002D5625">
        <w:rPr>
          <w:rFonts w:ascii="Arial" w:eastAsia="Arial" w:hAnsi="Arial" w:cs="Arial"/>
          <w:bCs/>
          <w:color w:val="000000"/>
        </w:rPr>
        <w:t>ilicone guide to perform the wall technique</w:t>
      </w:r>
      <w:r>
        <w:rPr>
          <w:rFonts w:ascii="Arial" w:eastAsia="Arial" w:hAnsi="Arial" w:cs="Arial"/>
          <w:bCs/>
          <w:color w:val="000000"/>
        </w:rPr>
        <w:t>.</w:t>
      </w:r>
    </w:p>
    <w:p w14:paraId="4F50A156" w14:textId="77777777" w:rsidR="00774F24" w:rsidRPr="008252FF" w:rsidRDefault="00774F24" w:rsidP="00C62B81">
      <w:pPr>
        <w:pStyle w:val="Body"/>
        <w:spacing w:after="0"/>
        <w:rPr>
          <w:rFonts w:ascii="Arial" w:hAnsi="Arial" w:cs="Arial"/>
          <w:lang w:val="pt-BR"/>
        </w:rPr>
      </w:pPr>
    </w:p>
    <w:p w14:paraId="606835F6" w14:textId="26331093" w:rsidR="008252FF" w:rsidRDefault="008252FF" w:rsidP="00AD48DD">
      <w:pPr>
        <w:pStyle w:val="Body"/>
        <w:spacing w:after="0"/>
        <w:ind w:firstLine="720"/>
        <w:rPr>
          <w:rFonts w:ascii="Arial" w:hAnsi="Arial" w:cs="Arial"/>
          <w:lang w:val="pt-BR"/>
        </w:rPr>
      </w:pPr>
      <w:r w:rsidRPr="008252FF">
        <w:rPr>
          <w:rFonts w:ascii="Arial" w:hAnsi="Arial" w:cs="Arial"/>
          <w:lang w:val="pt-BR"/>
        </w:rPr>
        <w:t xml:space="preserve">Final finishing and polishing were performed using sequential abrasives, rubbers, and polishing paste. Occlusal adjustment was carried out to achieve proper force distribution and prevent interferences. The restoration provided satisfactory function and aesthetics, and the patient and guardian were instructed on the importance of follow-up visits for monitoring and maintenance (Figures </w:t>
      </w:r>
      <w:r w:rsidR="00022FE0">
        <w:rPr>
          <w:rFonts w:ascii="Arial" w:hAnsi="Arial" w:cs="Arial"/>
          <w:lang w:val="pt-BR"/>
        </w:rPr>
        <w:t>6</w:t>
      </w:r>
      <w:r w:rsidRPr="008252FF">
        <w:rPr>
          <w:rFonts w:ascii="Arial" w:hAnsi="Arial" w:cs="Arial"/>
          <w:lang w:val="pt-BR"/>
        </w:rPr>
        <w:t>–</w:t>
      </w:r>
      <w:r w:rsidR="00022FE0">
        <w:rPr>
          <w:rFonts w:ascii="Arial" w:hAnsi="Arial" w:cs="Arial"/>
          <w:lang w:val="pt-BR"/>
        </w:rPr>
        <w:t>8</w:t>
      </w:r>
      <w:r w:rsidRPr="008252FF">
        <w:rPr>
          <w:rFonts w:ascii="Arial" w:hAnsi="Arial" w:cs="Arial"/>
          <w:lang w:val="pt-BR"/>
        </w:rPr>
        <w:t>).</w:t>
      </w:r>
    </w:p>
    <w:p w14:paraId="49BF9C46" w14:textId="753326E1" w:rsidR="00C62B81" w:rsidRDefault="00C62B81" w:rsidP="00C62B81">
      <w:pPr>
        <w:pStyle w:val="Body"/>
        <w:spacing w:after="0"/>
        <w:rPr>
          <w:rFonts w:ascii="Arial" w:hAnsi="Arial" w:cs="Arial"/>
          <w:lang w:val="pt-BR"/>
        </w:rPr>
      </w:pPr>
      <w:r>
        <w:rPr>
          <w:rFonts w:ascii="Arial" w:hAnsi="Arial" w:cs="Arial"/>
          <w:noProof/>
          <w:lang w:val="pt-BR"/>
        </w:rPr>
        <w:lastRenderedPageBreak/>
        <w:drawing>
          <wp:inline distT="0" distB="0" distL="0" distR="0" wp14:anchorId="53820C65" wp14:editId="24B32617">
            <wp:extent cx="5212080" cy="5212080"/>
            <wp:effectExtent l="0" t="0" r="7620" b="7620"/>
            <wp:docPr id="2035351064"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12080" cy="5212080"/>
                    </a:xfrm>
                    <a:prstGeom prst="rect">
                      <a:avLst/>
                    </a:prstGeom>
                    <a:noFill/>
                    <a:ln>
                      <a:noFill/>
                    </a:ln>
                  </pic:spPr>
                </pic:pic>
              </a:graphicData>
            </a:graphic>
          </wp:inline>
        </w:drawing>
      </w:r>
    </w:p>
    <w:p w14:paraId="53D75A8D" w14:textId="09C713DB" w:rsidR="00774F24" w:rsidRPr="002D5625" w:rsidRDefault="00774F24" w:rsidP="00774F24">
      <w:pPr>
        <w:spacing w:line="360" w:lineRule="auto"/>
        <w:rPr>
          <w:rFonts w:ascii="Times New Roman" w:hAnsi="Times New Roman"/>
          <w:bCs/>
          <w:sz w:val="24"/>
          <w:szCs w:val="24"/>
        </w:rPr>
      </w:pPr>
      <w:r>
        <w:rPr>
          <w:rFonts w:ascii="Arial" w:hAnsi="Arial" w:cs="Arial"/>
          <w:lang w:val="pt-BR"/>
        </w:rPr>
        <w:t xml:space="preserve">Figure 5: </w:t>
      </w:r>
      <w:r w:rsidRPr="002D5625">
        <w:rPr>
          <w:rFonts w:ascii="Arial" w:eastAsia="Arial" w:hAnsi="Arial" w:cs="Arial"/>
          <w:bCs/>
          <w:color w:val="000000"/>
        </w:rPr>
        <w:t>Demarcation of transitional line angles</w:t>
      </w:r>
      <w:r>
        <w:rPr>
          <w:rFonts w:ascii="Arial" w:eastAsia="Arial" w:hAnsi="Arial" w:cs="Arial"/>
          <w:bCs/>
          <w:color w:val="000000"/>
        </w:rPr>
        <w:t xml:space="preserve"> (a), </w:t>
      </w:r>
      <w:r w:rsidRPr="002D5625">
        <w:rPr>
          <w:rFonts w:ascii="Arial" w:eastAsia="Arial" w:hAnsi="Arial" w:cs="Arial"/>
          <w:bCs/>
          <w:color w:val="000000"/>
        </w:rPr>
        <w:t>reflective and deflective zones</w:t>
      </w:r>
      <w:r>
        <w:rPr>
          <w:rFonts w:ascii="Arial" w:eastAsia="Arial" w:hAnsi="Arial" w:cs="Arial"/>
          <w:bCs/>
          <w:color w:val="000000"/>
        </w:rPr>
        <w:t xml:space="preserve"> (b)</w:t>
      </w:r>
      <w:r w:rsidRPr="002D5625">
        <w:rPr>
          <w:rFonts w:ascii="Arial" w:eastAsia="Arial" w:hAnsi="Arial" w:cs="Arial"/>
          <w:bCs/>
          <w:color w:val="000000"/>
        </w:rPr>
        <w:t>.</w:t>
      </w:r>
      <w:r>
        <w:rPr>
          <w:rFonts w:ascii="Arial" w:eastAsia="Arial" w:hAnsi="Arial" w:cs="Arial"/>
          <w:bCs/>
          <w:color w:val="000000"/>
        </w:rPr>
        <w:t xml:space="preserve"> </w:t>
      </w:r>
      <w:r w:rsidRPr="002D5625">
        <w:rPr>
          <w:rFonts w:ascii="Arial" w:eastAsia="Arial" w:hAnsi="Arial" w:cs="Arial"/>
          <w:bCs/>
          <w:color w:val="000000"/>
        </w:rPr>
        <w:t>Measurement</w:t>
      </w:r>
      <w:r>
        <w:rPr>
          <w:rFonts w:ascii="Arial" w:eastAsia="Arial" w:hAnsi="Arial" w:cs="Arial"/>
          <w:bCs/>
          <w:color w:val="000000"/>
        </w:rPr>
        <w:t>s</w:t>
      </w:r>
      <w:r w:rsidRPr="002D5625">
        <w:rPr>
          <w:rFonts w:ascii="Arial" w:eastAsia="Arial" w:hAnsi="Arial" w:cs="Arial"/>
          <w:bCs/>
          <w:color w:val="000000"/>
        </w:rPr>
        <w:t xml:space="preserve"> of width and length using a dry point compass</w:t>
      </w:r>
      <w:r>
        <w:rPr>
          <w:rFonts w:ascii="Arial" w:eastAsia="Arial" w:hAnsi="Arial" w:cs="Arial"/>
          <w:bCs/>
          <w:color w:val="000000"/>
        </w:rPr>
        <w:t xml:space="preserve"> (c-d)</w:t>
      </w:r>
      <w:r w:rsidRPr="002D5625">
        <w:rPr>
          <w:rFonts w:ascii="Arial" w:eastAsia="Arial" w:hAnsi="Arial" w:cs="Arial"/>
          <w:bCs/>
          <w:color w:val="000000"/>
        </w:rPr>
        <w:t>.</w:t>
      </w:r>
      <w:r>
        <w:rPr>
          <w:rFonts w:ascii="Arial" w:eastAsia="Arial" w:hAnsi="Arial" w:cs="Arial"/>
          <w:bCs/>
          <w:color w:val="000000"/>
        </w:rPr>
        <w:t xml:space="preserve"> </w:t>
      </w:r>
      <w:r w:rsidRPr="002D5625">
        <w:rPr>
          <w:rFonts w:ascii="Arial" w:eastAsia="Arial" w:hAnsi="Arial" w:cs="Arial"/>
          <w:bCs/>
          <w:color w:val="000000"/>
        </w:rPr>
        <w:t xml:space="preserve">Initial </w:t>
      </w:r>
      <w:r>
        <w:rPr>
          <w:rFonts w:ascii="Arial" w:eastAsia="Arial" w:hAnsi="Arial" w:cs="Arial"/>
          <w:bCs/>
          <w:color w:val="000000"/>
        </w:rPr>
        <w:t>(e) and</w:t>
      </w:r>
      <w:r w:rsidRPr="002D5625">
        <w:rPr>
          <w:rFonts w:ascii="Arial" w:eastAsia="Arial" w:hAnsi="Arial" w:cs="Arial"/>
          <w:bCs/>
          <w:color w:val="000000"/>
        </w:rPr>
        <w:t xml:space="preserve"> </w:t>
      </w:r>
      <w:r>
        <w:rPr>
          <w:rFonts w:ascii="Arial" w:eastAsia="Arial" w:hAnsi="Arial" w:cs="Arial"/>
          <w:bCs/>
          <w:color w:val="000000"/>
        </w:rPr>
        <w:t>f</w:t>
      </w:r>
      <w:r w:rsidRPr="002D5625">
        <w:rPr>
          <w:rFonts w:ascii="Arial" w:eastAsia="Arial" w:hAnsi="Arial" w:cs="Arial"/>
          <w:bCs/>
          <w:color w:val="000000"/>
        </w:rPr>
        <w:t xml:space="preserve">inal </w:t>
      </w:r>
      <w:r>
        <w:rPr>
          <w:rFonts w:ascii="Arial" w:eastAsia="Arial" w:hAnsi="Arial" w:cs="Arial"/>
          <w:bCs/>
          <w:color w:val="000000"/>
        </w:rPr>
        <w:t xml:space="preserve">(f) </w:t>
      </w:r>
      <w:r w:rsidRPr="002D5625">
        <w:rPr>
          <w:rFonts w:ascii="Arial" w:eastAsia="Arial" w:hAnsi="Arial" w:cs="Arial"/>
          <w:bCs/>
          <w:color w:val="000000"/>
        </w:rPr>
        <w:t>photograph of the case, after finishing and polishing.</w:t>
      </w:r>
    </w:p>
    <w:p w14:paraId="4E20D772" w14:textId="07B9C2CB" w:rsidR="00774F24" w:rsidRPr="008252FF" w:rsidRDefault="00774F24" w:rsidP="00C62B81">
      <w:pPr>
        <w:pStyle w:val="Body"/>
        <w:spacing w:after="0"/>
        <w:rPr>
          <w:rFonts w:ascii="Arial" w:hAnsi="Arial" w:cs="Arial"/>
          <w:lang w:val="pt-BR"/>
        </w:rPr>
      </w:pPr>
    </w:p>
    <w:p w14:paraId="083EED05" w14:textId="77777777" w:rsidR="00F25E71" w:rsidRPr="00FB3A86" w:rsidRDefault="00F25E71" w:rsidP="00F25E71">
      <w:pPr>
        <w:pStyle w:val="Body"/>
        <w:spacing w:after="0"/>
        <w:rPr>
          <w:rFonts w:ascii="Arial" w:hAnsi="Arial" w:cs="Arial"/>
        </w:rPr>
      </w:pPr>
    </w:p>
    <w:p w14:paraId="7117852C" w14:textId="77777777" w:rsidR="00F25E71" w:rsidRDefault="00F25E71" w:rsidP="00F25E71">
      <w:pPr>
        <w:pStyle w:val="Head1"/>
        <w:spacing w:after="0"/>
        <w:jc w:val="both"/>
        <w:rPr>
          <w:rFonts w:ascii="Arial" w:hAnsi="Arial" w:cs="Arial"/>
        </w:rPr>
      </w:pPr>
      <w:r>
        <w:rPr>
          <w:rFonts w:ascii="Arial" w:hAnsi="Arial" w:cs="Arial"/>
        </w:rPr>
        <w:t>3. discussion AND CONCLUSION</w:t>
      </w:r>
    </w:p>
    <w:p w14:paraId="2E5CD735" w14:textId="77777777" w:rsidR="00F25E71" w:rsidRDefault="00F25E71" w:rsidP="00F25E71">
      <w:pPr>
        <w:pStyle w:val="Head1"/>
        <w:spacing w:after="0"/>
        <w:jc w:val="both"/>
        <w:rPr>
          <w:rFonts w:ascii="Arial" w:hAnsi="Arial" w:cs="Arial"/>
        </w:rPr>
      </w:pPr>
    </w:p>
    <w:p w14:paraId="2DF7570C" w14:textId="54B01D79" w:rsidR="008252FF" w:rsidRDefault="008252FF" w:rsidP="00AD48DD">
      <w:pPr>
        <w:pStyle w:val="Body"/>
        <w:spacing w:after="0"/>
        <w:ind w:firstLine="720"/>
        <w:rPr>
          <w:rFonts w:ascii="Arial" w:hAnsi="Arial" w:cs="Arial"/>
          <w:lang w:val="pt-BR"/>
        </w:rPr>
      </w:pPr>
      <w:r w:rsidRPr="008252FF">
        <w:rPr>
          <w:rFonts w:ascii="Arial" w:hAnsi="Arial" w:cs="Arial"/>
          <w:lang w:val="pt-BR"/>
        </w:rPr>
        <w:t xml:space="preserve">Crown-root fractures in paediatric patients are challenging due to subgingival extension and involvement of multiple tissues. According to IADT guidelines, preserving biological width, considering root development, and meeting aesthetic demands are essential </w:t>
      </w:r>
      <w:r w:rsidR="004F6853">
        <w:rPr>
          <w:rFonts w:ascii="Arial" w:hAnsi="Arial" w:cs="Arial"/>
          <w:lang w:val="pt-BR"/>
        </w:rPr>
        <w:t xml:space="preserve">[7,9]. </w:t>
      </w:r>
      <w:r w:rsidRPr="008252FF">
        <w:rPr>
          <w:rFonts w:ascii="Arial" w:hAnsi="Arial" w:cs="Arial"/>
          <w:lang w:val="pt-BR"/>
        </w:rPr>
        <w:t xml:space="preserve">Early multidisciplinary care helps prevent periodontal breakdown and functional or psychological sequelae </w:t>
      </w:r>
      <w:r w:rsidR="004F6853">
        <w:rPr>
          <w:rFonts w:ascii="Arial" w:hAnsi="Arial" w:cs="Arial"/>
          <w:lang w:val="pt-BR"/>
        </w:rPr>
        <w:t>[3,6].</w:t>
      </w:r>
    </w:p>
    <w:p w14:paraId="2B8A3D5E" w14:textId="77777777" w:rsidR="008252FF" w:rsidRPr="008252FF" w:rsidRDefault="008252FF" w:rsidP="008252FF">
      <w:pPr>
        <w:pStyle w:val="Body"/>
        <w:spacing w:after="0"/>
        <w:rPr>
          <w:rFonts w:ascii="Arial" w:hAnsi="Arial" w:cs="Arial"/>
          <w:lang w:val="pt-BR"/>
        </w:rPr>
      </w:pPr>
    </w:p>
    <w:p w14:paraId="04D33451" w14:textId="249DC5B3" w:rsidR="008252FF" w:rsidRDefault="008252FF" w:rsidP="00AD48DD">
      <w:pPr>
        <w:pStyle w:val="Body"/>
        <w:spacing w:after="0"/>
        <w:ind w:firstLine="720"/>
        <w:rPr>
          <w:rFonts w:ascii="Arial" w:hAnsi="Arial" w:cs="Arial"/>
          <w:lang w:val="pt-BR"/>
        </w:rPr>
      </w:pPr>
      <w:r w:rsidRPr="008252FF">
        <w:rPr>
          <w:rFonts w:ascii="Arial" w:hAnsi="Arial" w:cs="Arial"/>
          <w:lang w:val="pt-BR"/>
        </w:rPr>
        <w:t xml:space="preserve">In this case, crown lengthening enabled exposure of the fracture margin and adequate isolation, while endodontic therapy provided a sound foundation for restoration </w:t>
      </w:r>
      <w:r w:rsidR="004F6853">
        <w:rPr>
          <w:rFonts w:ascii="Arial" w:hAnsi="Arial" w:cs="Arial"/>
          <w:lang w:val="pt-BR"/>
        </w:rPr>
        <w:t>[11]</w:t>
      </w:r>
      <w:r w:rsidRPr="008252FF">
        <w:rPr>
          <w:rFonts w:ascii="Arial" w:hAnsi="Arial" w:cs="Arial"/>
          <w:lang w:val="pt-BR"/>
        </w:rPr>
        <w:t xml:space="preserve">. A 4 mm apical gutta-percha plug ensured sealing, and a glass fiber post offered reinforcement with </w:t>
      </w:r>
      <w:r w:rsidRPr="008252FF">
        <w:rPr>
          <w:rFonts w:ascii="Arial" w:hAnsi="Arial" w:cs="Arial"/>
          <w:lang w:val="pt-BR"/>
        </w:rPr>
        <w:lastRenderedPageBreak/>
        <w:t xml:space="preserve">dentin-like elasticity, reducing fracture risk </w:t>
      </w:r>
      <w:r w:rsidR="00A170D6">
        <w:rPr>
          <w:rFonts w:ascii="Arial" w:hAnsi="Arial" w:cs="Arial"/>
          <w:lang w:val="pt-BR"/>
        </w:rPr>
        <w:t xml:space="preserve">[14,15]. </w:t>
      </w:r>
      <w:r w:rsidR="00A170D6" w:rsidRPr="00A170D6">
        <w:rPr>
          <w:rFonts w:ascii="Arial" w:hAnsi="Arial" w:cs="Arial"/>
          <w:lang w:val="pt-BR"/>
        </w:rPr>
        <w:t xml:space="preserve">Additionally, the Callahan-Johnston roll-cone obturation technique was chosen to address the challenge of the wide apical foramen, allowing for better adaptation and sealing since thin dentinal walls exceed the incidence of root fractures in teeth after apexification  </w:t>
      </w:r>
      <w:r w:rsidR="00A170D6">
        <w:rPr>
          <w:rFonts w:ascii="Arial" w:hAnsi="Arial" w:cs="Arial"/>
          <w:lang w:val="pt-BR"/>
        </w:rPr>
        <w:t>[16,17,18]</w:t>
      </w:r>
      <w:r w:rsidRPr="008252FF">
        <w:rPr>
          <w:rFonts w:ascii="Arial" w:hAnsi="Arial" w:cs="Arial"/>
          <w:lang w:val="pt-BR"/>
        </w:rPr>
        <w:t>.</w:t>
      </w:r>
    </w:p>
    <w:p w14:paraId="3299C6DE" w14:textId="77777777" w:rsidR="008252FF" w:rsidRPr="008252FF" w:rsidRDefault="008252FF" w:rsidP="008252FF">
      <w:pPr>
        <w:pStyle w:val="Body"/>
        <w:spacing w:after="0"/>
        <w:rPr>
          <w:rFonts w:ascii="Arial" w:hAnsi="Arial" w:cs="Arial"/>
          <w:lang w:val="pt-BR"/>
        </w:rPr>
      </w:pPr>
    </w:p>
    <w:p w14:paraId="358AA972" w14:textId="0ABF14B3" w:rsidR="008252FF" w:rsidRDefault="00A170D6" w:rsidP="00AD48DD">
      <w:pPr>
        <w:pStyle w:val="Body"/>
        <w:spacing w:after="0"/>
        <w:ind w:firstLine="720"/>
        <w:rPr>
          <w:rFonts w:ascii="Arial" w:hAnsi="Arial" w:cs="Arial"/>
          <w:lang w:val="pt-BR"/>
        </w:rPr>
      </w:pPr>
      <w:r w:rsidRPr="00A170D6">
        <w:rPr>
          <w:rFonts w:ascii="Arial" w:hAnsi="Arial" w:cs="Arial"/>
          <w:lang w:val="pt-BR"/>
        </w:rPr>
        <w:t>In pediatric patients, careful management of the periodontal tissues is particularly important due to the dynamic nature of gingival contours and the risk of future soft tissue changes. Children in developmental stages, additional factors—such as their physical and psychological development, time, and financial costs—add complexity to the treatment of complex crown-root fractures in anterior teeth, making prognosis less favorable</w:t>
      </w:r>
      <w:r>
        <w:rPr>
          <w:rFonts w:ascii="Arial" w:hAnsi="Arial" w:cs="Arial"/>
          <w:lang w:val="pt-BR"/>
        </w:rPr>
        <w:t xml:space="preserve"> [1,4]. </w:t>
      </w:r>
      <w:r w:rsidR="008252FF" w:rsidRPr="008252FF">
        <w:rPr>
          <w:rFonts w:ascii="Arial" w:hAnsi="Arial" w:cs="Arial"/>
          <w:lang w:val="pt-BR"/>
        </w:rPr>
        <w:t xml:space="preserve">Restorative procedures balanced biological preservation with aesthetic needs. Incremental stratification achieved optical integration and controlled polymerisation shrinkage </w:t>
      </w:r>
      <w:r>
        <w:rPr>
          <w:rFonts w:ascii="Arial" w:hAnsi="Arial" w:cs="Arial"/>
          <w:lang w:val="pt-BR"/>
        </w:rPr>
        <w:t xml:space="preserve">[17,19]. </w:t>
      </w:r>
      <w:r w:rsidR="008252FF" w:rsidRPr="008252FF">
        <w:rPr>
          <w:rFonts w:ascii="Arial" w:hAnsi="Arial" w:cs="Arial"/>
          <w:lang w:val="pt-BR"/>
        </w:rPr>
        <w:t>Reducing chair time and employing preoperative planning improved predictability and patient cooperation.</w:t>
      </w:r>
    </w:p>
    <w:p w14:paraId="1492B002" w14:textId="77777777" w:rsidR="008252FF" w:rsidRPr="008252FF" w:rsidRDefault="008252FF" w:rsidP="008252FF">
      <w:pPr>
        <w:pStyle w:val="Body"/>
        <w:spacing w:after="0"/>
        <w:rPr>
          <w:rFonts w:ascii="Arial" w:hAnsi="Arial" w:cs="Arial"/>
          <w:lang w:val="pt-BR"/>
        </w:rPr>
      </w:pPr>
    </w:p>
    <w:p w14:paraId="23933FBA" w14:textId="5BC3E0C1" w:rsidR="008252FF" w:rsidRPr="008252FF" w:rsidRDefault="008252FF" w:rsidP="00AD48DD">
      <w:pPr>
        <w:pStyle w:val="Body"/>
        <w:spacing w:after="0"/>
        <w:ind w:firstLine="720"/>
        <w:rPr>
          <w:rFonts w:ascii="Arial" w:hAnsi="Arial" w:cs="Arial"/>
          <w:lang w:val="pt-BR"/>
        </w:rPr>
      </w:pPr>
      <w:r w:rsidRPr="008252FF">
        <w:rPr>
          <w:rFonts w:ascii="Arial" w:hAnsi="Arial" w:cs="Arial"/>
          <w:lang w:val="pt-BR"/>
        </w:rPr>
        <w:t xml:space="preserve">A limitation was the absence of long-term follow-up due to socioeconomic barriers, preventing assessment of periodontal stability and restoration longevity </w:t>
      </w:r>
      <w:r w:rsidR="00A170D6">
        <w:rPr>
          <w:rFonts w:ascii="Arial" w:hAnsi="Arial" w:cs="Arial"/>
          <w:lang w:val="pt-BR"/>
        </w:rPr>
        <w:t>[20]</w:t>
      </w:r>
      <w:r w:rsidRPr="008252FF">
        <w:rPr>
          <w:rFonts w:ascii="Arial" w:hAnsi="Arial" w:cs="Arial"/>
          <w:lang w:val="pt-BR"/>
        </w:rPr>
        <w:t>. Despite this, the immediate outcome demonstrated that coordinated endodontic, periodontal, and restorative management can effectively preserve severely traumatised anterior teeth in children.</w:t>
      </w:r>
    </w:p>
    <w:p w14:paraId="08E58E49" w14:textId="77777777" w:rsidR="00F25E71" w:rsidRPr="00FB3A86" w:rsidRDefault="00F25E71" w:rsidP="00F25E71">
      <w:pPr>
        <w:pStyle w:val="Body"/>
        <w:spacing w:after="0"/>
        <w:rPr>
          <w:rFonts w:ascii="Arial" w:hAnsi="Arial" w:cs="Arial"/>
        </w:rPr>
      </w:pPr>
    </w:p>
    <w:p w14:paraId="7B69CA39" w14:textId="77777777" w:rsidR="002B685A" w:rsidRPr="00301DB1" w:rsidRDefault="002B685A" w:rsidP="00441B6F">
      <w:pPr>
        <w:pStyle w:val="ReferHead"/>
        <w:spacing w:after="0"/>
        <w:jc w:val="both"/>
        <w:rPr>
          <w:rFonts w:ascii="Arial" w:hAnsi="Arial" w:cs="Arial"/>
          <w:b w:val="0"/>
          <w:caps w:val="0"/>
          <w:sz w:val="20"/>
          <w:highlight w:val="yellow"/>
        </w:rPr>
      </w:pPr>
      <w:bookmarkStart w:id="0" w:name="_GoBack"/>
      <w:bookmarkEnd w:id="0"/>
    </w:p>
    <w:p w14:paraId="247FD8AE" w14:textId="0D982F80" w:rsidR="002B685A" w:rsidRPr="009101EC" w:rsidRDefault="002B685A" w:rsidP="00441B6F">
      <w:pPr>
        <w:pStyle w:val="ReferHead"/>
        <w:spacing w:after="0"/>
        <w:jc w:val="both"/>
        <w:rPr>
          <w:rFonts w:ascii="Arial" w:hAnsi="Arial" w:cs="Arial"/>
          <w:bCs/>
        </w:rPr>
      </w:pPr>
      <w:r w:rsidRPr="009101EC">
        <w:rPr>
          <w:rFonts w:ascii="Arial" w:hAnsi="Arial" w:cs="Arial"/>
          <w:bCs/>
        </w:rPr>
        <w:t xml:space="preserve">Consent </w:t>
      </w:r>
    </w:p>
    <w:p w14:paraId="2A1F6307" w14:textId="77777777" w:rsidR="009101EC" w:rsidRDefault="009101EC" w:rsidP="00441B6F">
      <w:pPr>
        <w:pStyle w:val="ReferHead"/>
        <w:spacing w:after="0"/>
        <w:jc w:val="both"/>
        <w:rPr>
          <w:rFonts w:ascii="Arial" w:hAnsi="Arial" w:cs="Arial"/>
          <w:b w:val="0"/>
          <w:caps w:val="0"/>
          <w:sz w:val="20"/>
          <w:u w:val="single"/>
        </w:rPr>
      </w:pPr>
    </w:p>
    <w:p w14:paraId="303A44AE" w14:textId="223C6BBC" w:rsidR="001A29D8" w:rsidRPr="009101EC" w:rsidRDefault="001A29D8" w:rsidP="00441B6F">
      <w:pPr>
        <w:pStyle w:val="ReferHead"/>
        <w:spacing w:after="0"/>
        <w:jc w:val="both"/>
        <w:rPr>
          <w:rFonts w:ascii="Arial" w:hAnsi="Arial" w:cs="Arial"/>
          <w:b w:val="0"/>
          <w:caps w:val="0"/>
          <w:sz w:val="20"/>
        </w:rPr>
      </w:pPr>
      <w:r w:rsidRPr="009101EC">
        <w:rPr>
          <w:rFonts w:ascii="Arial" w:hAnsi="Arial" w:cs="Arial"/>
          <w:b w:val="0"/>
          <w:caps w:val="0"/>
          <w:sz w:val="20"/>
        </w:rPr>
        <w:t>All authors declare that ‘written informed consent was obtained from the patient (or other approved parties) for publication of this case report and accompanying images. A copy of the written consent is available for review by the Editorial office/Chief Editor/Editorial Board members of this journal.</w:t>
      </w:r>
    </w:p>
    <w:p w14:paraId="46699E94" w14:textId="77777777" w:rsidR="001A29D8" w:rsidRPr="00301DB1" w:rsidRDefault="001A29D8" w:rsidP="00441B6F">
      <w:pPr>
        <w:pStyle w:val="ReferHead"/>
        <w:spacing w:after="0"/>
        <w:jc w:val="both"/>
        <w:rPr>
          <w:rFonts w:ascii="Arial" w:hAnsi="Arial" w:cs="Arial"/>
          <w:b w:val="0"/>
          <w:caps w:val="0"/>
          <w:sz w:val="20"/>
          <w:highlight w:val="yellow"/>
        </w:rPr>
      </w:pPr>
    </w:p>
    <w:p w14:paraId="5CF565A9" w14:textId="77777777" w:rsidR="005C784C" w:rsidRPr="00301DB1" w:rsidRDefault="005C784C" w:rsidP="00441B6F">
      <w:pPr>
        <w:pStyle w:val="ReferHead"/>
        <w:spacing w:after="0"/>
        <w:jc w:val="both"/>
        <w:rPr>
          <w:rFonts w:ascii="Arial" w:hAnsi="Arial" w:cs="Arial"/>
          <w:b w:val="0"/>
          <w:caps w:val="0"/>
          <w:sz w:val="20"/>
          <w:highlight w:val="yellow"/>
        </w:rPr>
      </w:pPr>
    </w:p>
    <w:p w14:paraId="4D49F2B0" w14:textId="0FC4F73D" w:rsidR="005C784C" w:rsidRPr="009101EC" w:rsidRDefault="005C784C" w:rsidP="00441B6F">
      <w:pPr>
        <w:pStyle w:val="ReferHead"/>
        <w:spacing w:after="0"/>
        <w:jc w:val="both"/>
        <w:rPr>
          <w:rFonts w:ascii="Arial" w:hAnsi="Arial" w:cs="Arial"/>
          <w:bCs/>
        </w:rPr>
      </w:pPr>
      <w:r w:rsidRPr="009101EC">
        <w:rPr>
          <w:rFonts w:ascii="Arial" w:hAnsi="Arial" w:cs="Arial"/>
          <w:bCs/>
        </w:rPr>
        <w:t>Ethical approval</w:t>
      </w:r>
    </w:p>
    <w:p w14:paraId="28F0322A" w14:textId="77777777" w:rsidR="005C784C" w:rsidRPr="009101EC" w:rsidRDefault="005C784C" w:rsidP="00441B6F">
      <w:pPr>
        <w:pStyle w:val="ReferHead"/>
        <w:spacing w:after="0"/>
        <w:jc w:val="both"/>
        <w:rPr>
          <w:rFonts w:ascii="Arial" w:hAnsi="Arial" w:cs="Arial"/>
          <w:bCs/>
        </w:rPr>
      </w:pPr>
    </w:p>
    <w:p w14:paraId="5344501F" w14:textId="72685CC1" w:rsidR="0041027F" w:rsidRPr="009101EC" w:rsidRDefault="001A29D8" w:rsidP="00441B6F">
      <w:pPr>
        <w:pStyle w:val="ReferHead"/>
        <w:spacing w:after="0"/>
        <w:jc w:val="both"/>
        <w:rPr>
          <w:rFonts w:ascii="Arial" w:hAnsi="Arial" w:cs="Arial"/>
          <w:b w:val="0"/>
          <w:caps w:val="0"/>
          <w:sz w:val="20"/>
        </w:rPr>
      </w:pPr>
      <w:r w:rsidRPr="009101EC">
        <w:rPr>
          <w:rFonts w:ascii="Arial" w:hAnsi="Arial" w:cs="Arial"/>
          <w:b w:val="0"/>
          <w:caps w:val="0"/>
          <w:sz w:val="20"/>
        </w:rPr>
        <w:t>All authors hereby declare that a</w:t>
      </w:r>
      <w:r w:rsidR="0041027F" w:rsidRPr="009101EC">
        <w:rPr>
          <w:rFonts w:ascii="Arial" w:hAnsi="Arial" w:cs="Arial"/>
          <w:b w:val="0"/>
          <w:caps w:val="0"/>
          <w:sz w:val="20"/>
        </w:rPr>
        <w:t xml:space="preserve">ll </w:t>
      </w:r>
      <w:r w:rsidR="00F469F0" w:rsidRPr="009101EC">
        <w:rPr>
          <w:rFonts w:ascii="Arial" w:hAnsi="Arial" w:cs="Arial"/>
          <w:b w:val="0"/>
          <w:caps w:val="0"/>
          <w:sz w:val="20"/>
        </w:rPr>
        <w:t>experiments</w:t>
      </w:r>
      <w:r w:rsidR="0041027F" w:rsidRPr="009101EC">
        <w:rPr>
          <w:rFonts w:ascii="Arial" w:hAnsi="Arial" w:cs="Arial"/>
          <w:b w:val="0"/>
          <w:caps w:val="0"/>
          <w:sz w:val="20"/>
        </w:rPr>
        <w:t xml:space="preserve"> have been examined</w:t>
      </w:r>
      <w:r w:rsidRPr="009101EC">
        <w:rPr>
          <w:rFonts w:ascii="Arial" w:hAnsi="Arial" w:cs="Arial"/>
          <w:b w:val="0"/>
          <w:caps w:val="0"/>
          <w:sz w:val="20"/>
        </w:rPr>
        <w:t xml:space="preserve"> and approved</w:t>
      </w:r>
      <w:r w:rsidR="0041027F" w:rsidRPr="009101EC">
        <w:rPr>
          <w:rFonts w:ascii="Arial" w:hAnsi="Arial" w:cs="Arial"/>
          <w:b w:val="0"/>
          <w:caps w:val="0"/>
          <w:sz w:val="20"/>
        </w:rPr>
        <w:t xml:space="preserve"> by the appropriate ethics committee and have therefore been performed in accordance with the ethical standards laid down in the 1964 Declaration of Helsinki.</w:t>
      </w:r>
    </w:p>
    <w:p w14:paraId="7EC29DA2" w14:textId="77777777" w:rsidR="00860000" w:rsidRDefault="00860000" w:rsidP="00441B6F">
      <w:pPr>
        <w:pStyle w:val="ReferHead"/>
        <w:spacing w:after="0"/>
        <w:jc w:val="both"/>
        <w:rPr>
          <w:rFonts w:ascii="Arial" w:hAnsi="Arial" w:cs="Arial"/>
        </w:rPr>
      </w:pPr>
    </w:p>
    <w:p w14:paraId="169C1913" w14:textId="77777777" w:rsidR="009101EC" w:rsidRDefault="009101EC" w:rsidP="00441B6F">
      <w:pPr>
        <w:pStyle w:val="ReferHead"/>
        <w:spacing w:after="0"/>
        <w:jc w:val="both"/>
        <w:rPr>
          <w:rFonts w:ascii="Arial" w:hAnsi="Arial" w:cs="Arial"/>
        </w:rPr>
      </w:pPr>
    </w:p>
    <w:p w14:paraId="0B265108"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3C36FBE4" w14:textId="77777777" w:rsidR="00301DB1" w:rsidRPr="00B44C80" w:rsidRDefault="00301DB1" w:rsidP="00301DB1">
      <w:pPr>
        <w:pStyle w:val="Body"/>
        <w:numPr>
          <w:ilvl w:val="0"/>
          <w:numId w:val="31"/>
        </w:numPr>
        <w:rPr>
          <w:rFonts w:ascii="Arial" w:hAnsi="Arial" w:cs="Arial"/>
        </w:rPr>
      </w:pPr>
      <w:r w:rsidRPr="00B44C80">
        <w:rPr>
          <w:rFonts w:ascii="Arial" w:hAnsi="Arial" w:cs="Arial"/>
        </w:rPr>
        <w:t xml:space="preserve">Petti S, </w:t>
      </w:r>
      <w:proofErr w:type="spellStart"/>
      <w:r w:rsidRPr="00B44C80">
        <w:rPr>
          <w:rFonts w:ascii="Arial" w:hAnsi="Arial" w:cs="Arial"/>
        </w:rPr>
        <w:t>Glendor</w:t>
      </w:r>
      <w:proofErr w:type="spellEnd"/>
      <w:r w:rsidRPr="00B44C80">
        <w:rPr>
          <w:rFonts w:ascii="Arial" w:hAnsi="Arial" w:cs="Arial"/>
        </w:rPr>
        <w:t xml:space="preserve"> U, Andersson L. (2018). World traumatic dental injury prevalence and incidence, a meta-analysis—One billion living people have had traumatic dental injuries. Dent. </w:t>
      </w:r>
      <w:proofErr w:type="spellStart"/>
      <w:r w:rsidRPr="00B44C80">
        <w:rPr>
          <w:rFonts w:ascii="Arial" w:hAnsi="Arial" w:cs="Arial"/>
        </w:rPr>
        <w:t>Traumatol</w:t>
      </w:r>
      <w:proofErr w:type="spellEnd"/>
      <w:r w:rsidRPr="00B44C80">
        <w:rPr>
          <w:rFonts w:ascii="Arial" w:hAnsi="Arial" w:cs="Arial"/>
        </w:rPr>
        <w:t>, 34, 71–86.</w:t>
      </w:r>
    </w:p>
    <w:p w14:paraId="246A31A5" w14:textId="77777777" w:rsidR="00301DB1" w:rsidRPr="00B44C80" w:rsidRDefault="00301DB1" w:rsidP="00301DB1">
      <w:pPr>
        <w:pStyle w:val="Body"/>
        <w:numPr>
          <w:ilvl w:val="0"/>
          <w:numId w:val="31"/>
        </w:numPr>
        <w:rPr>
          <w:rFonts w:ascii="Arial" w:hAnsi="Arial" w:cs="Arial"/>
          <w:lang w:val="pt-BR"/>
        </w:rPr>
      </w:pPr>
      <w:r w:rsidRPr="00B44C80">
        <w:rPr>
          <w:rFonts w:ascii="Arial" w:hAnsi="Arial" w:cs="Arial"/>
        </w:rPr>
        <w:t xml:space="preserve">Molina JR, Vann WF Jr, McIntyre JD, Trope M, Lee JY. (2008). Root fractures in children and adolescents: diagnostic considerations. </w:t>
      </w:r>
      <w:r w:rsidRPr="00B44C80">
        <w:rPr>
          <w:rFonts w:ascii="Arial" w:hAnsi="Arial" w:cs="Arial"/>
          <w:lang w:val="pt-BR"/>
        </w:rPr>
        <w:t xml:space="preserve">Dent Traumatol, 24(5):503-9. </w:t>
      </w:r>
    </w:p>
    <w:p w14:paraId="18FF5C4A" w14:textId="77777777" w:rsidR="00301DB1" w:rsidRPr="00B44C80" w:rsidRDefault="00301DB1" w:rsidP="00301DB1">
      <w:pPr>
        <w:pStyle w:val="Body"/>
        <w:numPr>
          <w:ilvl w:val="0"/>
          <w:numId w:val="31"/>
        </w:numPr>
        <w:rPr>
          <w:rFonts w:ascii="Arial" w:hAnsi="Arial" w:cs="Arial"/>
        </w:rPr>
      </w:pPr>
      <w:r w:rsidRPr="00B44C80">
        <w:rPr>
          <w:rFonts w:ascii="Arial" w:hAnsi="Arial" w:cs="Arial"/>
        </w:rPr>
        <w:t xml:space="preserve">Mokhtari S, </w:t>
      </w:r>
      <w:proofErr w:type="spellStart"/>
      <w:r w:rsidRPr="00B44C80">
        <w:rPr>
          <w:rFonts w:ascii="Arial" w:hAnsi="Arial" w:cs="Arial"/>
        </w:rPr>
        <w:t>Hajian</w:t>
      </w:r>
      <w:proofErr w:type="spellEnd"/>
      <w:r w:rsidRPr="00B44C80">
        <w:rPr>
          <w:rFonts w:ascii="Arial" w:hAnsi="Arial" w:cs="Arial"/>
        </w:rPr>
        <w:t xml:space="preserve"> S, </w:t>
      </w:r>
      <w:proofErr w:type="spellStart"/>
      <w:r w:rsidRPr="00B44C80">
        <w:rPr>
          <w:rFonts w:ascii="Arial" w:hAnsi="Arial" w:cs="Arial"/>
        </w:rPr>
        <w:t>Sanati</w:t>
      </w:r>
      <w:proofErr w:type="spellEnd"/>
      <w:r w:rsidRPr="00B44C80">
        <w:rPr>
          <w:rFonts w:ascii="Arial" w:hAnsi="Arial" w:cs="Arial"/>
        </w:rPr>
        <w:t xml:space="preserve"> I. (2019) Complicated Crown-root Fracture Management Using the 180-degree Rotation Method. Int J Clin </w:t>
      </w:r>
      <w:proofErr w:type="spellStart"/>
      <w:r w:rsidRPr="00B44C80">
        <w:rPr>
          <w:rFonts w:ascii="Arial" w:hAnsi="Arial" w:cs="Arial"/>
        </w:rPr>
        <w:t>Pediatr</w:t>
      </w:r>
      <w:proofErr w:type="spellEnd"/>
      <w:r w:rsidRPr="00B44C80">
        <w:rPr>
          <w:rFonts w:ascii="Arial" w:hAnsi="Arial" w:cs="Arial"/>
        </w:rPr>
        <w:t xml:space="preserve"> Dent,12:247–250. </w:t>
      </w:r>
      <w:proofErr w:type="spellStart"/>
      <w:r w:rsidRPr="00B44C80">
        <w:rPr>
          <w:rFonts w:ascii="Arial" w:hAnsi="Arial" w:cs="Arial"/>
        </w:rPr>
        <w:t>doi</w:t>
      </w:r>
      <w:proofErr w:type="spellEnd"/>
      <w:r w:rsidRPr="00B44C80">
        <w:rPr>
          <w:rFonts w:ascii="Arial" w:hAnsi="Arial" w:cs="Arial"/>
        </w:rPr>
        <w:t xml:space="preserve">: 10.5005/jp-journals-10005-1625. </w:t>
      </w:r>
    </w:p>
    <w:p w14:paraId="17843217" w14:textId="77777777" w:rsidR="00301DB1" w:rsidRPr="00B44C80" w:rsidRDefault="00301DB1" w:rsidP="00301DB1">
      <w:pPr>
        <w:pStyle w:val="Body"/>
        <w:numPr>
          <w:ilvl w:val="0"/>
          <w:numId w:val="31"/>
        </w:numPr>
        <w:rPr>
          <w:rFonts w:ascii="Arial" w:hAnsi="Arial" w:cs="Arial"/>
        </w:rPr>
      </w:pPr>
      <w:proofErr w:type="spellStart"/>
      <w:r w:rsidRPr="00B44C80">
        <w:rPr>
          <w:rFonts w:ascii="Arial" w:hAnsi="Arial" w:cs="Arial"/>
        </w:rPr>
        <w:t>Sobczak-Zagalska</w:t>
      </w:r>
      <w:proofErr w:type="spellEnd"/>
      <w:r w:rsidRPr="00B44C80">
        <w:rPr>
          <w:rFonts w:ascii="Arial" w:hAnsi="Arial" w:cs="Arial"/>
        </w:rPr>
        <w:t xml:space="preserve"> H, </w:t>
      </w:r>
      <w:proofErr w:type="spellStart"/>
      <w:r w:rsidRPr="00B44C80">
        <w:rPr>
          <w:rFonts w:ascii="Arial" w:hAnsi="Arial" w:cs="Arial"/>
        </w:rPr>
        <w:t>Ogonowska</w:t>
      </w:r>
      <w:proofErr w:type="spellEnd"/>
      <w:r w:rsidRPr="00B44C80">
        <w:rPr>
          <w:rFonts w:ascii="Arial" w:hAnsi="Arial" w:cs="Arial"/>
        </w:rPr>
        <w:t xml:space="preserve">-Paul D, </w:t>
      </w:r>
      <w:proofErr w:type="spellStart"/>
      <w:r w:rsidRPr="00B44C80">
        <w:rPr>
          <w:rFonts w:ascii="Arial" w:hAnsi="Arial" w:cs="Arial"/>
        </w:rPr>
        <w:t>Bartmański</w:t>
      </w:r>
      <w:proofErr w:type="spellEnd"/>
      <w:r w:rsidRPr="00B44C80">
        <w:rPr>
          <w:rFonts w:ascii="Arial" w:hAnsi="Arial" w:cs="Arial"/>
        </w:rPr>
        <w:t xml:space="preserve"> M, </w:t>
      </w:r>
      <w:proofErr w:type="spellStart"/>
      <w:r w:rsidRPr="00B44C80">
        <w:rPr>
          <w:rFonts w:ascii="Arial" w:hAnsi="Arial" w:cs="Arial"/>
        </w:rPr>
        <w:t>Adamska</w:t>
      </w:r>
      <w:proofErr w:type="spellEnd"/>
      <w:r w:rsidRPr="00B44C80">
        <w:rPr>
          <w:rFonts w:ascii="Arial" w:hAnsi="Arial" w:cs="Arial"/>
        </w:rPr>
        <w:t xml:space="preserve"> P. (2024). Management of Complex Root Fractures in Young Patients—Case Series and a Literature Review. J. Clin. Med, 13, 6753.</w:t>
      </w:r>
    </w:p>
    <w:p w14:paraId="45826077" w14:textId="77777777" w:rsidR="00301DB1" w:rsidRPr="00B44C80" w:rsidRDefault="00301DB1" w:rsidP="00301DB1">
      <w:pPr>
        <w:pStyle w:val="Body"/>
        <w:numPr>
          <w:ilvl w:val="0"/>
          <w:numId w:val="31"/>
        </w:numPr>
        <w:rPr>
          <w:rFonts w:ascii="Arial" w:hAnsi="Arial" w:cs="Arial"/>
        </w:rPr>
      </w:pPr>
      <w:r w:rsidRPr="00B44C80">
        <w:rPr>
          <w:rFonts w:ascii="Arial" w:hAnsi="Arial" w:cs="Arial"/>
        </w:rPr>
        <w:lastRenderedPageBreak/>
        <w:t>Levin L, Peter F Day, Lamar Hicks, Anne O’Connell, Ashraf F Fouad, Cecilia Bourguignon. (2020). International Association of Dental Traumatology guidelines for the management of traumatic dental injuries: General introduction. DOI:  </w:t>
      </w:r>
      <w:hyperlink r:id="rId19" w:history="1">
        <w:r w:rsidRPr="009101EC">
          <w:rPr>
            <w:rStyle w:val="Hyperlink"/>
            <w:rFonts w:ascii="Arial" w:hAnsi="Arial" w:cs="Arial"/>
            <w:color w:val="000000" w:themeColor="text1"/>
            <w:u w:val="none"/>
          </w:rPr>
          <w:t>10.1111/edt.12574</w:t>
        </w:r>
      </w:hyperlink>
    </w:p>
    <w:p w14:paraId="35BB9357" w14:textId="77777777" w:rsidR="00301DB1" w:rsidRPr="00B44C80" w:rsidRDefault="00301DB1" w:rsidP="00301DB1">
      <w:pPr>
        <w:pStyle w:val="Body"/>
        <w:numPr>
          <w:ilvl w:val="0"/>
          <w:numId w:val="31"/>
        </w:numPr>
        <w:rPr>
          <w:rFonts w:ascii="Arial" w:hAnsi="Arial" w:cs="Arial"/>
        </w:rPr>
      </w:pPr>
      <w:r w:rsidRPr="00B44C80">
        <w:rPr>
          <w:rFonts w:ascii="Arial" w:hAnsi="Arial" w:cs="Arial"/>
        </w:rPr>
        <w:t xml:space="preserve">Zhou ZL, Gao L, Sun SK, Li HS, Zhang CD, Kou WW et al. (2022). Spontaneous healing of complicated crown-root fractures in children: Two case reports. World J Clin Cases,10(18):6298-6306. </w:t>
      </w:r>
      <w:proofErr w:type="spellStart"/>
      <w:r w:rsidRPr="00B44C80">
        <w:rPr>
          <w:rFonts w:ascii="Arial" w:hAnsi="Arial" w:cs="Arial"/>
        </w:rPr>
        <w:t>doi</w:t>
      </w:r>
      <w:proofErr w:type="spellEnd"/>
      <w:r w:rsidRPr="00B44C80">
        <w:rPr>
          <w:rFonts w:ascii="Arial" w:hAnsi="Arial" w:cs="Arial"/>
        </w:rPr>
        <w:t>: 10.12998/</w:t>
      </w:r>
      <w:proofErr w:type="gramStart"/>
      <w:r w:rsidRPr="00B44C80">
        <w:rPr>
          <w:rFonts w:ascii="Arial" w:hAnsi="Arial" w:cs="Arial"/>
        </w:rPr>
        <w:t>wjcc.v10.i</w:t>
      </w:r>
      <w:proofErr w:type="gramEnd"/>
      <w:r w:rsidRPr="00B44C80">
        <w:rPr>
          <w:rFonts w:ascii="Arial" w:hAnsi="Arial" w:cs="Arial"/>
        </w:rPr>
        <w:t>18.6298. PMID: 35949815; PMCID: PMC9254207.</w:t>
      </w:r>
    </w:p>
    <w:p w14:paraId="24D3BFC7" w14:textId="77777777" w:rsidR="00301DB1" w:rsidRPr="00B44C80" w:rsidRDefault="00301DB1" w:rsidP="00301DB1">
      <w:pPr>
        <w:pStyle w:val="Body"/>
        <w:numPr>
          <w:ilvl w:val="0"/>
          <w:numId w:val="31"/>
        </w:numPr>
        <w:rPr>
          <w:rFonts w:ascii="Arial" w:hAnsi="Arial" w:cs="Arial"/>
        </w:rPr>
      </w:pPr>
      <w:proofErr w:type="spellStart"/>
      <w:r w:rsidRPr="00B44C80">
        <w:rPr>
          <w:rFonts w:ascii="Arial" w:hAnsi="Arial" w:cs="Arial"/>
        </w:rPr>
        <w:t>Antipovienė</w:t>
      </w:r>
      <w:proofErr w:type="spellEnd"/>
      <w:r w:rsidRPr="00B44C80">
        <w:rPr>
          <w:rFonts w:ascii="Arial" w:hAnsi="Arial" w:cs="Arial"/>
        </w:rPr>
        <w:t xml:space="preserve"> A, </w:t>
      </w:r>
      <w:proofErr w:type="spellStart"/>
      <w:r w:rsidRPr="00B44C80">
        <w:rPr>
          <w:rFonts w:ascii="Arial" w:hAnsi="Arial" w:cs="Arial"/>
        </w:rPr>
        <w:t>Narbutaitė</w:t>
      </w:r>
      <w:proofErr w:type="spellEnd"/>
      <w:r w:rsidRPr="00B44C80">
        <w:rPr>
          <w:rFonts w:ascii="Arial" w:hAnsi="Arial" w:cs="Arial"/>
        </w:rPr>
        <w:t xml:space="preserve"> J, Virtanen JI. </w:t>
      </w:r>
      <w:r>
        <w:rPr>
          <w:rFonts w:ascii="Arial" w:hAnsi="Arial" w:cs="Arial"/>
        </w:rPr>
        <w:t>(</w:t>
      </w:r>
      <w:r w:rsidRPr="00B44C80">
        <w:rPr>
          <w:rFonts w:ascii="Arial" w:hAnsi="Arial" w:cs="Arial"/>
        </w:rPr>
        <w:t>2021</w:t>
      </w:r>
      <w:r>
        <w:rPr>
          <w:rFonts w:ascii="Arial" w:hAnsi="Arial" w:cs="Arial"/>
        </w:rPr>
        <w:t>)</w:t>
      </w:r>
      <w:r w:rsidRPr="00B44C80">
        <w:rPr>
          <w:rFonts w:ascii="Arial" w:hAnsi="Arial" w:cs="Arial"/>
        </w:rPr>
        <w:t xml:space="preserve">. Traumatic Dental Injuries, Treatment and Complications in Children and Adolescents: A Register Based Study. European Journal of Dentistry. </w:t>
      </w:r>
    </w:p>
    <w:p w14:paraId="6A70F2A8" w14:textId="77777777" w:rsidR="00301DB1" w:rsidRPr="00B44C80" w:rsidRDefault="00301DB1" w:rsidP="00301DB1">
      <w:pPr>
        <w:pStyle w:val="Body"/>
        <w:numPr>
          <w:ilvl w:val="0"/>
          <w:numId w:val="31"/>
        </w:numPr>
        <w:rPr>
          <w:rFonts w:ascii="Arial" w:hAnsi="Arial" w:cs="Arial"/>
        </w:rPr>
      </w:pPr>
      <w:r w:rsidRPr="00B44C80">
        <w:rPr>
          <w:rFonts w:ascii="Arial" w:hAnsi="Arial" w:cs="Arial"/>
          <w:lang w:val="pt-BR"/>
        </w:rPr>
        <w:t xml:space="preserve">Selvaraj N, Mamat N, Taib H. </w:t>
      </w:r>
      <w:r>
        <w:rPr>
          <w:rFonts w:ascii="Arial" w:hAnsi="Arial" w:cs="Arial"/>
          <w:lang w:val="pt-BR"/>
        </w:rPr>
        <w:t>(</w:t>
      </w:r>
      <w:r w:rsidRPr="00B44C80">
        <w:rPr>
          <w:rFonts w:ascii="Arial" w:hAnsi="Arial" w:cs="Arial"/>
          <w:lang w:val="pt-BR"/>
        </w:rPr>
        <w:t>2024</w:t>
      </w:r>
      <w:r>
        <w:rPr>
          <w:rFonts w:ascii="Arial" w:hAnsi="Arial" w:cs="Arial"/>
          <w:lang w:val="pt-BR"/>
        </w:rPr>
        <w:t>)</w:t>
      </w:r>
      <w:r w:rsidRPr="00B44C80">
        <w:rPr>
          <w:rFonts w:ascii="Arial" w:hAnsi="Arial" w:cs="Arial"/>
          <w:lang w:val="pt-BR"/>
        </w:rPr>
        <w:t xml:space="preserve">. </w:t>
      </w:r>
      <w:r w:rsidRPr="00B44C80">
        <w:rPr>
          <w:rFonts w:ascii="Arial" w:hAnsi="Arial" w:cs="Arial"/>
        </w:rPr>
        <w:t xml:space="preserve">Navigating Crown-Root Fracture Complexities in an </w:t>
      </w:r>
      <w:proofErr w:type="gramStart"/>
      <w:r w:rsidRPr="00B44C80">
        <w:rPr>
          <w:rFonts w:ascii="Arial" w:hAnsi="Arial" w:cs="Arial"/>
        </w:rPr>
        <w:t>Adolescent .</w:t>
      </w:r>
      <w:proofErr w:type="gramEnd"/>
      <w:r w:rsidRPr="00B44C80">
        <w:rPr>
          <w:rFonts w:ascii="Arial" w:hAnsi="Arial" w:cs="Arial"/>
        </w:rPr>
        <w:t xml:space="preserve"> </w:t>
      </w:r>
      <w:proofErr w:type="spellStart"/>
      <w:r w:rsidRPr="00B44C80">
        <w:rPr>
          <w:rFonts w:ascii="Arial" w:hAnsi="Arial" w:cs="Arial"/>
        </w:rPr>
        <w:t>Cureus</w:t>
      </w:r>
      <w:proofErr w:type="spellEnd"/>
      <w:r w:rsidRPr="00B44C80">
        <w:rPr>
          <w:rFonts w:ascii="Arial" w:hAnsi="Arial" w:cs="Arial"/>
        </w:rPr>
        <w:t xml:space="preserve">, 16(10): e71406. </w:t>
      </w:r>
    </w:p>
    <w:p w14:paraId="0A1A0E2C" w14:textId="77777777" w:rsidR="00301DB1" w:rsidRPr="00B44C80" w:rsidRDefault="00301DB1" w:rsidP="00301DB1">
      <w:pPr>
        <w:pStyle w:val="Body"/>
        <w:numPr>
          <w:ilvl w:val="0"/>
          <w:numId w:val="31"/>
        </w:numPr>
        <w:rPr>
          <w:rFonts w:ascii="Arial" w:hAnsi="Arial" w:cs="Arial"/>
        </w:rPr>
      </w:pPr>
      <w:proofErr w:type="spellStart"/>
      <w:r w:rsidRPr="00B44C80">
        <w:rPr>
          <w:rFonts w:ascii="Arial" w:hAnsi="Arial" w:cs="Arial"/>
        </w:rPr>
        <w:t>Krastl</w:t>
      </w:r>
      <w:proofErr w:type="spellEnd"/>
      <w:r w:rsidRPr="00B44C80">
        <w:rPr>
          <w:rFonts w:ascii="Arial" w:hAnsi="Arial" w:cs="Arial"/>
        </w:rPr>
        <w:t xml:space="preserve"> G, </w:t>
      </w:r>
      <w:proofErr w:type="spellStart"/>
      <w:r w:rsidRPr="00B44C80">
        <w:rPr>
          <w:rFonts w:ascii="Arial" w:hAnsi="Arial" w:cs="Arial"/>
        </w:rPr>
        <w:t>Weiger</w:t>
      </w:r>
      <w:proofErr w:type="spellEnd"/>
      <w:r w:rsidRPr="00B44C80">
        <w:rPr>
          <w:rFonts w:ascii="Arial" w:hAnsi="Arial" w:cs="Arial"/>
        </w:rPr>
        <w:t xml:space="preserve"> R, </w:t>
      </w:r>
      <w:proofErr w:type="spellStart"/>
      <w:r w:rsidRPr="00B44C80">
        <w:rPr>
          <w:rFonts w:ascii="Arial" w:hAnsi="Arial" w:cs="Arial"/>
        </w:rPr>
        <w:t>Filippi</w:t>
      </w:r>
      <w:proofErr w:type="spellEnd"/>
      <w:r w:rsidRPr="00B44C80">
        <w:rPr>
          <w:rFonts w:ascii="Arial" w:hAnsi="Arial" w:cs="Arial"/>
        </w:rPr>
        <w:t xml:space="preserve"> A, Van </w:t>
      </w:r>
      <w:proofErr w:type="spellStart"/>
      <w:r w:rsidRPr="00B44C80">
        <w:rPr>
          <w:rFonts w:ascii="Arial" w:hAnsi="Arial" w:cs="Arial"/>
        </w:rPr>
        <w:t>Waes</w:t>
      </w:r>
      <w:proofErr w:type="spellEnd"/>
      <w:r w:rsidRPr="00B44C80">
        <w:rPr>
          <w:rFonts w:ascii="Arial" w:hAnsi="Arial" w:cs="Arial"/>
        </w:rPr>
        <w:t xml:space="preserve"> H, </w:t>
      </w:r>
      <w:proofErr w:type="spellStart"/>
      <w:r w:rsidRPr="00B44C80">
        <w:rPr>
          <w:rFonts w:ascii="Arial" w:hAnsi="Arial" w:cs="Arial"/>
        </w:rPr>
        <w:t>Ebeleseder</w:t>
      </w:r>
      <w:proofErr w:type="spellEnd"/>
      <w:r w:rsidRPr="00B44C80">
        <w:rPr>
          <w:rFonts w:ascii="Arial" w:hAnsi="Arial" w:cs="Arial"/>
        </w:rPr>
        <w:t xml:space="preserve"> K, </w:t>
      </w:r>
      <w:proofErr w:type="spellStart"/>
      <w:r w:rsidRPr="00B44C80">
        <w:rPr>
          <w:rFonts w:ascii="Arial" w:hAnsi="Arial" w:cs="Arial"/>
        </w:rPr>
        <w:t>Ree</w:t>
      </w:r>
      <w:proofErr w:type="spellEnd"/>
      <w:r w:rsidRPr="00B44C80">
        <w:rPr>
          <w:rFonts w:ascii="Arial" w:hAnsi="Arial" w:cs="Arial"/>
        </w:rPr>
        <w:t xml:space="preserve"> M et al. </w:t>
      </w:r>
      <w:r>
        <w:rPr>
          <w:rFonts w:ascii="Arial" w:hAnsi="Arial" w:cs="Arial"/>
        </w:rPr>
        <w:t>(</w:t>
      </w:r>
      <w:r w:rsidRPr="00B44C80">
        <w:rPr>
          <w:rFonts w:ascii="Arial" w:hAnsi="Arial" w:cs="Arial"/>
        </w:rPr>
        <w:t>2021</w:t>
      </w:r>
      <w:r>
        <w:rPr>
          <w:rFonts w:ascii="Arial" w:hAnsi="Arial" w:cs="Arial"/>
        </w:rPr>
        <w:t>)</w:t>
      </w:r>
      <w:r w:rsidRPr="00B44C80">
        <w:rPr>
          <w:rFonts w:ascii="Arial" w:hAnsi="Arial" w:cs="Arial"/>
        </w:rPr>
        <w:t xml:space="preserve">. Endodontic management of traumatized permanent teeth: a comprehensive review. Int </w:t>
      </w:r>
      <w:proofErr w:type="spellStart"/>
      <w:r w:rsidRPr="00B44C80">
        <w:rPr>
          <w:rFonts w:ascii="Arial" w:hAnsi="Arial" w:cs="Arial"/>
        </w:rPr>
        <w:t>Endod</w:t>
      </w:r>
      <w:proofErr w:type="spellEnd"/>
      <w:r w:rsidRPr="00B44C80">
        <w:rPr>
          <w:rFonts w:ascii="Arial" w:hAnsi="Arial" w:cs="Arial"/>
        </w:rPr>
        <w:t xml:space="preserve"> J, 54(8):1221-1245. </w:t>
      </w:r>
      <w:proofErr w:type="spellStart"/>
      <w:r w:rsidRPr="00B44C80">
        <w:rPr>
          <w:rFonts w:ascii="Arial" w:hAnsi="Arial" w:cs="Arial"/>
        </w:rPr>
        <w:t>doi</w:t>
      </w:r>
      <w:proofErr w:type="spellEnd"/>
      <w:r w:rsidRPr="00B44C80">
        <w:rPr>
          <w:rFonts w:ascii="Arial" w:hAnsi="Arial" w:cs="Arial"/>
        </w:rPr>
        <w:t>: 10.1111/iej.13508.</w:t>
      </w:r>
    </w:p>
    <w:p w14:paraId="249E5A1F" w14:textId="77777777" w:rsidR="00301DB1" w:rsidRPr="00B44C80" w:rsidRDefault="00301DB1" w:rsidP="00301DB1">
      <w:pPr>
        <w:pStyle w:val="Body"/>
        <w:numPr>
          <w:ilvl w:val="0"/>
          <w:numId w:val="31"/>
        </w:numPr>
        <w:rPr>
          <w:rFonts w:ascii="Arial" w:hAnsi="Arial" w:cs="Arial"/>
          <w:lang w:val="pt-BR"/>
        </w:rPr>
      </w:pPr>
      <w:r w:rsidRPr="00B44C80">
        <w:rPr>
          <w:rFonts w:ascii="Arial" w:hAnsi="Arial" w:cs="Arial"/>
        </w:rPr>
        <w:t xml:space="preserve">Bourguignon C, </w:t>
      </w:r>
      <w:proofErr w:type="spellStart"/>
      <w:r w:rsidRPr="00B44C80">
        <w:rPr>
          <w:rFonts w:ascii="Arial" w:hAnsi="Arial" w:cs="Arial"/>
        </w:rPr>
        <w:t>Cohenca</w:t>
      </w:r>
      <w:proofErr w:type="spellEnd"/>
      <w:r w:rsidRPr="00B44C80">
        <w:rPr>
          <w:rFonts w:ascii="Arial" w:hAnsi="Arial" w:cs="Arial"/>
        </w:rPr>
        <w:t xml:space="preserve"> N, </w:t>
      </w:r>
      <w:proofErr w:type="spellStart"/>
      <w:r w:rsidRPr="00B44C80">
        <w:rPr>
          <w:rFonts w:ascii="Arial" w:hAnsi="Arial" w:cs="Arial"/>
        </w:rPr>
        <w:t>Lauridsen</w:t>
      </w:r>
      <w:proofErr w:type="spellEnd"/>
      <w:r w:rsidRPr="00B44C80">
        <w:rPr>
          <w:rFonts w:ascii="Arial" w:hAnsi="Arial" w:cs="Arial"/>
        </w:rPr>
        <w:t xml:space="preserve"> E, Flores MT, O'Connell AC, Day PF et al. </w:t>
      </w:r>
      <w:r>
        <w:rPr>
          <w:rFonts w:ascii="Arial" w:hAnsi="Arial" w:cs="Arial"/>
        </w:rPr>
        <w:t>(</w:t>
      </w:r>
      <w:r w:rsidRPr="00B44C80">
        <w:rPr>
          <w:rFonts w:ascii="Arial" w:hAnsi="Arial" w:cs="Arial"/>
        </w:rPr>
        <w:t>2020</w:t>
      </w:r>
      <w:r>
        <w:rPr>
          <w:rFonts w:ascii="Arial" w:hAnsi="Arial" w:cs="Arial"/>
        </w:rPr>
        <w:t>)</w:t>
      </w:r>
      <w:r w:rsidRPr="00B44C80">
        <w:rPr>
          <w:rFonts w:ascii="Arial" w:hAnsi="Arial" w:cs="Arial"/>
        </w:rPr>
        <w:t xml:space="preserve">. International Association of Dental Traumatology guidelines for the management of traumatic dental injuries: 1. Fractures and </w:t>
      </w:r>
      <w:proofErr w:type="spellStart"/>
      <w:r w:rsidRPr="00B44C80">
        <w:rPr>
          <w:rFonts w:ascii="Arial" w:hAnsi="Arial" w:cs="Arial"/>
        </w:rPr>
        <w:t>luxations</w:t>
      </w:r>
      <w:proofErr w:type="spellEnd"/>
      <w:r w:rsidRPr="00B44C80">
        <w:rPr>
          <w:rFonts w:ascii="Arial" w:hAnsi="Arial" w:cs="Arial"/>
        </w:rPr>
        <w:t xml:space="preserve">. Dent </w:t>
      </w:r>
      <w:proofErr w:type="spellStart"/>
      <w:r w:rsidRPr="00B44C80">
        <w:rPr>
          <w:rFonts w:ascii="Arial" w:hAnsi="Arial" w:cs="Arial"/>
        </w:rPr>
        <w:t>Traumatol</w:t>
      </w:r>
      <w:proofErr w:type="spellEnd"/>
      <w:r w:rsidRPr="00B44C80">
        <w:rPr>
          <w:rFonts w:ascii="Arial" w:hAnsi="Arial" w:cs="Arial"/>
        </w:rPr>
        <w:t xml:space="preserve">, 36(4):314-330. </w:t>
      </w:r>
      <w:proofErr w:type="spellStart"/>
      <w:r w:rsidRPr="00B44C80">
        <w:rPr>
          <w:rFonts w:ascii="Arial" w:hAnsi="Arial" w:cs="Arial"/>
        </w:rPr>
        <w:t>doi</w:t>
      </w:r>
      <w:proofErr w:type="spellEnd"/>
      <w:r w:rsidRPr="00B44C80">
        <w:rPr>
          <w:rFonts w:ascii="Arial" w:hAnsi="Arial" w:cs="Arial"/>
        </w:rPr>
        <w:t xml:space="preserve">: 10.1111/edt.12578. </w:t>
      </w:r>
    </w:p>
    <w:p w14:paraId="5238A73D" w14:textId="77777777" w:rsidR="00301DB1" w:rsidRPr="00B44C80" w:rsidRDefault="00301DB1" w:rsidP="00301DB1">
      <w:pPr>
        <w:pStyle w:val="Body"/>
        <w:numPr>
          <w:ilvl w:val="0"/>
          <w:numId w:val="31"/>
        </w:numPr>
        <w:rPr>
          <w:rFonts w:ascii="Arial" w:hAnsi="Arial" w:cs="Arial"/>
        </w:rPr>
      </w:pPr>
      <w:r w:rsidRPr="00B44C80">
        <w:rPr>
          <w:rFonts w:ascii="Arial" w:hAnsi="Arial" w:cs="Arial"/>
          <w:lang w:val="pt-BR"/>
        </w:rPr>
        <w:t xml:space="preserve">Radwanski M, Caporossi C, Lukomska-Szymanska M, Luzi A, Sauro S. </w:t>
      </w:r>
      <w:r>
        <w:rPr>
          <w:rFonts w:ascii="Arial" w:hAnsi="Arial" w:cs="Arial"/>
          <w:lang w:val="pt-BR"/>
        </w:rPr>
        <w:t>(</w:t>
      </w:r>
      <w:r w:rsidRPr="00B44C80">
        <w:rPr>
          <w:rFonts w:ascii="Arial" w:hAnsi="Arial" w:cs="Arial"/>
          <w:lang w:val="pt-BR"/>
        </w:rPr>
        <w:t>2022</w:t>
      </w:r>
      <w:r>
        <w:rPr>
          <w:rFonts w:ascii="Arial" w:hAnsi="Arial" w:cs="Arial"/>
          <w:lang w:val="pt-BR"/>
        </w:rPr>
        <w:t>)</w:t>
      </w:r>
      <w:r w:rsidRPr="00B44C80">
        <w:rPr>
          <w:rFonts w:ascii="Arial" w:hAnsi="Arial" w:cs="Arial"/>
          <w:lang w:val="pt-BR"/>
        </w:rPr>
        <w:t xml:space="preserve">. </w:t>
      </w:r>
      <w:r w:rsidRPr="00B44C80">
        <w:rPr>
          <w:rFonts w:ascii="Arial" w:hAnsi="Arial" w:cs="Arial"/>
        </w:rPr>
        <w:t xml:space="preserve">Complicated Crown Fracture of Permanent Incisors: A Conservative Treatment Case Report and a Narrative Review. Bioengineering (Basel), 18;9(9):481. </w:t>
      </w:r>
      <w:proofErr w:type="spellStart"/>
      <w:r w:rsidRPr="00B44C80">
        <w:rPr>
          <w:rFonts w:ascii="Arial" w:hAnsi="Arial" w:cs="Arial"/>
        </w:rPr>
        <w:t>doi</w:t>
      </w:r>
      <w:proofErr w:type="spellEnd"/>
      <w:r w:rsidRPr="00B44C80">
        <w:rPr>
          <w:rFonts w:ascii="Arial" w:hAnsi="Arial" w:cs="Arial"/>
        </w:rPr>
        <w:t xml:space="preserve">: 10.3390/bioengineering9090481. </w:t>
      </w:r>
    </w:p>
    <w:p w14:paraId="62749F08" w14:textId="77777777" w:rsidR="00301DB1" w:rsidRPr="00B44C80" w:rsidRDefault="00301DB1" w:rsidP="00301DB1">
      <w:pPr>
        <w:pStyle w:val="Body"/>
        <w:numPr>
          <w:ilvl w:val="0"/>
          <w:numId w:val="31"/>
        </w:numPr>
        <w:rPr>
          <w:rFonts w:ascii="Arial" w:hAnsi="Arial" w:cs="Arial"/>
        </w:rPr>
      </w:pPr>
      <w:r w:rsidRPr="00B44C80">
        <w:rPr>
          <w:rFonts w:ascii="Arial" w:hAnsi="Arial" w:cs="Arial"/>
          <w:lang w:val="pt-BR"/>
        </w:rPr>
        <w:t xml:space="preserve">Corazza PH, Di Domênico MB, Facenda JC, Merlo EG, Borba M, Ozcan M. </w:t>
      </w:r>
      <w:r>
        <w:rPr>
          <w:rFonts w:ascii="Arial" w:hAnsi="Arial" w:cs="Arial"/>
          <w:lang w:val="pt-BR"/>
        </w:rPr>
        <w:t>(</w:t>
      </w:r>
      <w:r w:rsidRPr="00B44C80">
        <w:rPr>
          <w:rFonts w:ascii="Arial" w:hAnsi="Arial" w:cs="Arial"/>
          <w:lang w:val="pt-BR"/>
        </w:rPr>
        <w:t>2022</w:t>
      </w:r>
      <w:r>
        <w:rPr>
          <w:rFonts w:ascii="Arial" w:hAnsi="Arial" w:cs="Arial"/>
          <w:lang w:val="pt-BR"/>
        </w:rPr>
        <w:t>)</w:t>
      </w:r>
      <w:r w:rsidRPr="00B44C80">
        <w:rPr>
          <w:rFonts w:ascii="Arial" w:hAnsi="Arial" w:cs="Arial"/>
          <w:lang w:val="pt-BR"/>
        </w:rPr>
        <w:t xml:space="preserve">. </w:t>
      </w:r>
      <w:r w:rsidRPr="00B44C80">
        <w:rPr>
          <w:rFonts w:ascii="Arial" w:hAnsi="Arial" w:cs="Arial"/>
        </w:rPr>
        <w:t>Fiberglass versus cast metal posts: a practical review based on mechanical properties. Brazilian Dental Science, 25(4).</w:t>
      </w:r>
    </w:p>
    <w:p w14:paraId="2F05E7E0" w14:textId="77777777" w:rsidR="00301DB1" w:rsidRPr="00B44C80" w:rsidRDefault="00301DB1" w:rsidP="00301DB1">
      <w:pPr>
        <w:pStyle w:val="Body"/>
        <w:numPr>
          <w:ilvl w:val="0"/>
          <w:numId w:val="31"/>
        </w:numPr>
        <w:rPr>
          <w:rFonts w:ascii="Arial" w:hAnsi="Arial" w:cs="Arial"/>
        </w:rPr>
      </w:pPr>
      <w:r w:rsidRPr="00B44C80">
        <w:rPr>
          <w:rFonts w:ascii="Arial" w:hAnsi="Arial" w:cs="Arial"/>
          <w:lang w:val="pt-BR"/>
        </w:rPr>
        <w:t xml:space="preserve">Silva FM, Aguiar PHS, Assis HC, Lopes-Olhê FC, Mazzi-Chaves JF, Silva RG et al. </w:t>
      </w:r>
      <w:r w:rsidRPr="004F0EF5">
        <w:rPr>
          <w:rFonts w:ascii="Arial" w:hAnsi="Arial" w:cs="Arial"/>
        </w:rPr>
        <w:t xml:space="preserve">(2024).  </w:t>
      </w:r>
      <w:r w:rsidRPr="00B44C80">
        <w:rPr>
          <w:rFonts w:ascii="Arial" w:hAnsi="Arial" w:cs="Arial"/>
        </w:rPr>
        <w:t xml:space="preserve">Evaluation of the bonding strength of conventional, anatomized, adjustable, and CAD/CAM milled fiberglass posts in weakened endodontically treated roots. </w:t>
      </w:r>
      <w:proofErr w:type="spellStart"/>
      <w:r w:rsidRPr="00B44C80">
        <w:rPr>
          <w:rFonts w:ascii="Arial" w:hAnsi="Arial" w:cs="Arial"/>
        </w:rPr>
        <w:t>Braz</w:t>
      </w:r>
      <w:proofErr w:type="spellEnd"/>
      <w:r w:rsidRPr="00B44C80">
        <w:rPr>
          <w:rFonts w:ascii="Arial" w:hAnsi="Arial" w:cs="Arial"/>
        </w:rPr>
        <w:t xml:space="preserve"> Dent J, </w:t>
      </w:r>
      <w:proofErr w:type="gramStart"/>
      <w:r w:rsidRPr="00B44C80">
        <w:rPr>
          <w:rFonts w:ascii="Arial" w:hAnsi="Arial" w:cs="Arial"/>
        </w:rPr>
        <w:t>35:e</w:t>
      </w:r>
      <w:proofErr w:type="gramEnd"/>
      <w:r w:rsidRPr="00B44C80">
        <w:rPr>
          <w:rFonts w:ascii="Arial" w:hAnsi="Arial" w:cs="Arial"/>
        </w:rPr>
        <w:t>246103.</w:t>
      </w:r>
    </w:p>
    <w:p w14:paraId="109D3A6B" w14:textId="77777777" w:rsidR="00301DB1" w:rsidRDefault="00301DB1" w:rsidP="00301DB1">
      <w:pPr>
        <w:pStyle w:val="Body"/>
        <w:numPr>
          <w:ilvl w:val="0"/>
          <w:numId w:val="31"/>
        </w:numPr>
        <w:rPr>
          <w:rFonts w:ascii="Arial" w:hAnsi="Arial" w:cs="Arial"/>
        </w:rPr>
      </w:pPr>
      <w:proofErr w:type="spellStart"/>
      <w:r w:rsidRPr="00B44C80">
        <w:rPr>
          <w:rFonts w:ascii="Arial" w:hAnsi="Arial" w:cs="Arial"/>
        </w:rPr>
        <w:t>Fráter</w:t>
      </w:r>
      <w:proofErr w:type="spellEnd"/>
      <w:r w:rsidRPr="00B44C80">
        <w:rPr>
          <w:rFonts w:ascii="Arial" w:hAnsi="Arial" w:cs="Arial"/>
        </w:rPr>
        <w:t xml:space="preserve"> M, </w:t>
      </w:r>
      <w:proofErr w:type="spellStart"/>
      <w:r w:rsidRPr="00B44C80">
        <w:rPr>
          <w:rFonts w:ascii="Arial" w:hAnsi="Arial" w:cs="Arial"/>
        </w:rPr>
        <w:t>Lassila</w:t>
      </w:r>
      <w:proofErr w:type="spellEnd"/>
      <w:r w:rsidRPr="00B44C80">
        <w:rPr>
          <w:rFonts w:ascii="Arial" w:hAnsi="Arial" w:cs="Arial"/>
        </w:rPr>
        <w:t xml:space="preserve"> L, </w:t>
      </w:r>
      <w:proofErr w:type="spellStart"/>
      <w:r w:rsidRPr="00B44C80">
        <w:rPr>
          <w:rFonts w:ascii="Arial" w:hAnsi="Arial" w:cs="Arial"/>
        </w:rPr>
        <w:t>Braunitzer</w:t>
      </w:r>
      <w:proofErr w:type="spellEnd"/>
      <w:r w:rsidRPr="00B44C80">
        <w:rPr>
          <w:rFonts w:ascii="Arial" w:hAnsi="Arial" w:cs="Arial"/>
        </w:rPr>
        <w:t xml:space="preserve"> G, </w:t>
      </w:r>
      <w:proofErr w:type="spellStart"/>
      <w:r w:rsidRPr="00B44C80">
        <w:rPr>
          <w:rFonts w:ascii="Arial" w:hAnsi="Arial" w:cs="Arial"/>
        </w:rPr>
        <w:t>Vallittu</w:t>
      </w:r>
      <w:proofErr w:type="spellEnd"/>
      <w:r w:rsidRPr="00B44C80">
        <w:rPr>
          <w:rFonts w:ascii="Arial" w:hAnsi="Arial" w:cs="Arial"/>
        </w:rPr>
        <w:t xml:space="preserve"> PK, </w:t>
      </w:r>
      <w:proofErr w:type="spellStart"/>
      <w:r w:rsidRPr="00B44C80">
        <w:rPr>
          <w:rFonts w:ascii="Arial" w:hAnsi="Arial" w:cs="Arial"/>
        </w:rPr>
        <w:t>Garoushi</w:t>
      </w:r>
      <w:proofErr w:type="spellEnd"/>
      <w:r w:rsidRPr="00B44C80">
        <w:rPr>
          <w:rFonts w:ascii="Arial" w:hAnsi="Arial" w:cs="Arial"/>
        </w:rPr>
        <w:t xml:space="preserve"> S. </w:t>
      </w:r>
      <w:r>
        <w:rPr>
          <w:rFonts w:ascii="Arial" w:hAnsi="Arial" w:cs="Arial"/>
        </w:rPr>
        <w:t>(</w:t>
      </w:r>
      <w:r w:rsidRPr="00B44C80">
        <w:rPr>
          <w:rFonts w:ascii="Arial" w:hAnsi="Arial" w:cs="Arial"/>
        </w:rPr>
        <w:t>2020</w:t>
      </w:r>
      <w:r>
        <w:rPr>
          <w:rFonts w:ascii="Arial" w:hAnsi="Arial" w:cs="Arial"/>
        </w:rPr>
        <w:t>)</w:t>
      </w:r>
      <w:r w:rsidRPr="00B44C80">
        <w:rPr>
          <w:rFonts w:ascii="Arial" w:hAnsi="Arial" w:cs="Arial"/>
        </w:rPr>
        <w:t xml:space="preserve">. Fracture resistance and marginal gap formation of post-core restorations: Influence of different fiber-reinforced composites. Clin. Oral </w:t>
      </w:r>
      <w:proofErr w:type="spellStart"/>
      <w:r w:rsidRPr="00B44C80">
        <w:rPr>
          <w:rFonts w:ascii="Arial" w:hAnsi="Arial" w:cs="Arial"/>
        </w:rPr>
        <w:t>Investig</w:t>
      </w:r>
      <w:proofErr w:type="spellEnd"/>
      <w:r w:rsidRPr="00B44C80">
        <w:rPr>
          <w:rFonts w:ascii="Arial" w:hAnsi="Arial" w:cs="Arial"/>
        </w:rPr>
        <w:t>, 24:265–276.</w:t>
      </w:r>
    </w:p>
    <w:p w14:paraId="24C4CA88" w14:textId="222C2CCE" w:rsidR="00A170D6" w:rsidRDefault="00A170D6" w:rsidP="00A170D6">
      <w:pPr>
        <w:pStyle w:val="ListParagraph"/>
        <w:numPr>
          <w:ilvl w:val="0"/>
          <w:numId w:val="31"/>
        </w:numPr>
        <w:rPr>
          <w:rFonts w:ascii="Arial" w:hAnsi="Arial" w:cs="Arial"/>
        </w:rPr>
      </w:pPr>
      <w:proofErr w:type="spellStart"/>
      <w:r w:rsidRPr="00A170D6">
        <w:rPr>
          <w:rFonts w:ascii="Arial" w:hAnsi="Arial" w:cs="Arial"/>
        </w:rPr>
        <w:t>Samiei</w:t>
      </w:r>
      <w:proofErr w:type="spellEnd"/>
      <w:r w:rsidRPr="00A170D6">
        <w:rPr>
          <w:rFonts w:ascii="Arial" w:hAnsi="Arial" w:cs="Arial"/>
        </w:rPr>
        <w:t xml:space="preserve"> M, </w:t>
      </w:r>
      <w:proofErr w:type="spellStart"/>
      <w:r w:rsidRPr="00A170D6">
        <w:rPr>
          <w:rFonts w:ascii="Arial" w:hAnsi="Arial" w:cs="Arial"/>
        </w:rPr>
        <w:t>Aghazade</w:t>
      </w:r>
      <w:proofErr w:type="spellEnd"/>
      <w:r w:rsidRPr="00A170D6">
        <w:rPr>
          <w:rFonts w:ascii="Arial" w:hAnsi="Arial" w:cs="Arial"/>
        </w:rPr>
        <w:t xml:space="preserve"> M, Farhadi F, </w:t>
      </w:r>
      <w:proofErr w:type="spellStart"/>
      <w:r w:rsidRPr="00A170D6">
        <w:rPr>
          <w:rFonts w:ascii="Arial" w:hAnsi="Arial" w:cs="Arial"/>
        </w:rPr>
        <w:t>Shahveghar</w:t>
      </w:r>
      <w:proofErr w:type="spellEnd"/>
      <w:r w:rsidRPr="00A170D6">
        <w:rPr>
          <w:rFonts w:ascii="Arial" w:hAnsi="Arial" w:cs="Arial"/>
        </w:rPr>
        <w:t xml:space="preserve"> N, </w:t>
      </w:r>
      <w:proofErr w:type="spellStart"/>
      <w:r w:rsidRPr="00A170D6">
        <w:rPr>
          <w:rFonts w:ascii="Arial" w:hAnsi="Arial" w:cs="Arial"/>
        </w:rPr>
        <w:t>Torab</w:t>
      </w:r>
      <w:proofErr w:type="spellEnd"/>
      <w:r w:rsidRPr="00A170D6">
        <w:rPr>
          <w:rFonts w:ascii="Arial" w:hAnsi="Arial" w:cs="Arial"/>
        </w:rPr>
        <w:t xml:space="preserve"> A, Vahid </w:t>
      </w:r>
      <w:proofErr w:type="spellStart"/>
      <w:r w:rsidRPr="00A170D6">
        <w:rPr>
          <w:rFonts w:ascii="Arial" w:hAnsi="Arial" w:cs="Arial"/>
        </w:rPr>
        <w:t>Pakdel</w:t>
      </w:r>
      <w:proofErr w:type="spellEnd"/>
      <w:r w:rsidRPr="00A170D6">
        <w:rPr>
          <w:rFonts w:ascii="Arial" w:hAnsi="Arial" w:cs="Arial"/>
        </w:rPr>
        <w:t xml:space="preserve"> SM. Sealing Efficacy of Single-cone Obturation Technique with MTA and CEM Cement: An in Vitro Bacterial Leakage Study. J Dent Res Dent Clin Dent Prospects. 2014 Spring;8(2):77-83.</w:t>
      </w:r>
    </w:p>
    <w:p w14:paraId="7B5D06DE" w14:textId="77777777" w:rsidR="00A170D6" w:rsidRPr="00A170D6" w:rsidRDefault="00A170D6" w:rsidP="00A170D6">
      <w:pPr>
        <w:pStyle w:val="ListParagraph"/>
        <w:ind w:left="360"/>
        <w:rPr>
          <w:rFonts w:ascii="Arial" w:hAnsi="Arial" w:cs="Arial"/>
        </w:rPr>
      </w:pPr>
    </w:p>
    <w:p w14:paraId="200163A0" w14:textId="77777777" w:rsidR="00301DB1" w:rsidRPr="00B44C80" w:rsidRDefault="00301DB1" w:rsidP="00301DB1">
      <w:pPr>
        <w:pStyle w:val="Body"/>
        <w:numPr>
          <w:ilvl w:val="0"/>
          <w:numId w:val="31"/>
        </w:numPr>
        <w:rPr>
          <w:rFonts w:ascii="Arial" w:hAnsi="Arial" w:cs="Arial"/>
        </w:rPr>
      </w:pPr>
      <w:proofErr w:type="spellStart"/>
      <w:r w:rsidRPr="00B44C80">
        <w:rPr>
          <w:rFonts w:ascii="Arial" w:hAnsi="Arial" w:cs="Arial"/>
        </w:rPr>
        <w:t>Mohammadi</w:t>
      </w:r>
      <w:proofErr w:type="spellEnd"/>
      <w:r w:rsidRPr="00B44C80">
        <w:rPr>
          <w:rFonts w:ascii="Arial" w:hAnsi="Arial" w:cs="Arial"/>
        </w:rPr>
        <w:t xml:space="preserve"> Z. </w:t>
      </w:r>
      <w:r>
        <w:rPr>
          <w:rFonts w:ascii="Arial" w:hAnsi="Arial" w:cs="Arial"/>
        </w:rPr>
        <w:t>(</w:t>
      </w:r>
      <w:r w:rsidRPr="00B44C80">
        <w:rPr>
          <w:rFonts w:ascii="Arial" w:hAnsi="Arial" w:cs="Arial"/>
        </w:rPr>
        <w:t>2020</w:t>
      </w:r>
      <w:r>
        <w:rPr>
          <w:rFonts w:ascii="Arial" w:hAnsi="Arial" w:cs="Arial"/>
        </w:rPr>
        <w:t>)</w:t>
      </w:r>
      <w:r w:rsidRPr="00B44C80">
        <w:rPr>
          <w:rFonts w:ascii="Arial" w:hAnsi="Arial" w:cs="Arial"/>
        </w:rPr>
        <w:t>. Strategies to manage permanent non-vital teeth with open apices: a clinical update. Int Dent J, 61(1):25-30.</w:t>
      </w:r>
    </w:p>
    <w:p w14:paraId="7057A798" w14:textId="77777777" w:rsidR="00301DB1" w:rsidRPr="00B44C80" w:rsidRDefault="00301DB1" w:rsidP="00301DB1">
      <w:pPr>
        <w:pStyle w:val="Body"/>
        <w:numPr>
          <w:ilvl w:val="0"/>
          <w:numId w:val="31"/>
        </w:numPr>
        <w:rPr>
          <w:rFonts w:ascii="Arial" w:hAnsi="Arial" w:cs="Arial"/>
        </w:rPr>
      </w:pPr>
      <w:r w:rsidRPr="00B44C80">
        <w:rPr>
          <w:rFonts w:ascii="Arial" w:hAnsi="Arial" w:cs="Arial"/>
        </w:rPr>
        <w:t xml:space="preserve">Yu H, Zhu H. </w:t>
      </w:r>
      <w:r>
        <w:rPr>
          <w:rFonts w:ascii="Arial" w:hAnsi="Arial" w:cs="Arial"/>
        </w:rPr>
        <w:t>(</w:t>
      </w:r>
      <w:r w:rsidRPr="00B44C80">
        <w:rPr>
          <w:rFonts w:ascii="Arial" w:hAnsi="Arial" w:cs="Arial"/>
        </w:rPr>
        <w:t>2021</w:t>
      </w:r>
      <w:r>
        <w:rPr>
          <w:rFonts w:ascii="Arial" w:hAnsi="Arial" w:cs="Arial"/>
        </w:rPr>
        <w:t>)</w:t>
      </w:r>
      <w:r w:rsidRPr="00B44C80">
        <w:rPr>
          <w:rFonts w:ascii="Arial" w:hAnsi="Arial" w:cs="Arial"/>
        </w:rPr>
        <w:t xml:space="preserve">. The management of a complicated crown-root fracture incorporating modified crown-lengthening surgery. British Dental Journal, 230(4):217-222. </w:t>
      </w:r>
    </w:p>
    <w:p w14:paraId="675C0A88" w14:textId="77777777" w:rsidR="00301DB1" w:rsidRPr="00B44C80" w:rsidRDefault="00301DB1" w:rsidP="00301DB1">
      <w:pPr>
        <w:pStyle w:val="Body"/>
        <w:numPr>
          <w:ilvl w:val="0"/>
          <w:numId w:val="31"/>
        </w:numPr>
        <w:rPr>
          <w:rFonts w:ascii="Arial" w:hAnsi="Arial" w:cs="Arial"/>
          <w:lang w:val="pt-BR"/>
        </w:rPr>
      </w:pPr>
      <w:r w:rsidRPr="00B44C80">
        <w:rPr>
          <w:rFonts w:ascii="Arial" w:hAnsi="Arial" w:cs="Arial"/>
          <w:lang w:val="pt-BR"/>
        </w:rPr>
        <w:lastRenderedPageBreak/>
        <w:t xml:space="preserve">Rech A, Olberttz M, Paiva DJ, Ribeiro AN, Gimenez T, Imparato JC. </w:t>
      </w:r>
      <w:r w:rsidRPr="00E743EE">
        <w:rPr>
          <w:rFonts w:ascii="Arial" w:hAnsi="Arial" w:cs="Arial"/>
        </w:rPr>
        <w:t xml:space="preserve">(2022). </w:t>
      </w:r>
      <w:r w:rsidRPr="00B44C80">
        <w:rPr>
          <w:rFonts w:ascii="Arial" w:hAnsi="Arial" w:cs="Arial"/>
        </w:rPr>
        <w:t xml:space="preserve">Aesthetic-functional rehabilitation of deciduous anterior teeth without removal of carious tissue: series of clinical cases. </w:t>
      </w:r>
      <w:r w:rsidRPr="00B44C80">
        <w:rPr>
          <w:rFonts w:ascii="Arial" w:hAnsi="Arial" w:cs="Arial"/>
          <w:lang w:val="pt-BR"/>
        </w:rPr>
        <w:t>RGO-Revista Gaúcha de Odontologia, 70:e20220059.</w:t>
      </w:r>
    </w:p>
    <w:p w14:paraId="69FC6236" w14:textId="72D80273" w:rsidR="00301DB1" w:rsidRDefault="00301DB1" w:rsidP="008C46CC">
      <w:pPr>
        <w:pStyle w:val="Body"/>
        <w:numPr>
          <w:ilvl w:val="0"/>
          <w:numId w:val="31"/>
        </w:numPr>
        <w:rPr>
          <w:rFonts w:ascii="Arial" w:hAnsi="Arial" w:cs="Arial"/>
        </w:rPr>
      </w:pPr>
      <w:proofErr w:type="spellStart"/>
      <w:r w:rsidRPr="00B44C80">
        <w:rPr>
          <w:rFonts w:ascii="Arial" w:hAnsi="Arial" w:cs="Arial"/>
        </w:rPr>
        <w:t>Elfadil</w:t>
      </w:r>
      <w:proofErr w:type="spellEnd"/>
      <w:r w:rsidRPr="00B44C80">
        <w:rPr>
          <w:rFonts w:ascii="Arial" w:hAnsi="Arial" w:cs="Arial"/>
        </w:rPr>
        <w:t xml:space="preserve"> S, Nassar HI, </w:t>
      </w:r>
      <w:proofErr w:type="spellStart"/>
      <w:r w:rsidRPr="00B44C80">
        <w:rPr>
          <w:rFonts w:ascii="Arial" w:hAnsi="Arial" w:cs="Arial"/>
        </w:rPr>
        <w:t>Elbeshbeishy</w:t>
      </w:r>
      <w:proofErr w:type="spellEnd"/>
      <w:r w:rsidRPr="00B44C80">
        <w:rPr>
          <w:rFonts w:ascii="Arial" w:hAnsi="Arial" w:cs="Arial"/>
        </w:rPr>
        <w:t xml:space="preserve"> RA, Annamma LM. </w:t>
      </w:r>
      <w:r>
        <w:rPr>
          <w:rFonts w:ascii="Arial" w:hAnsi="Arial" w:cs="Arial"/>
        </w:rPr>
        <w:t>(</w:t>
      </w:r>
      <w:r w:rsidRPr="00B44C80">
        <w:rPr>
          <w:rFonts w:ascii="Arial" w:hAnsi="Arial" w:cs="Arial"/>
        </w:rPr>
        <w:t>2023</w:t>
      </w:r>
      <w:r>
        <w:rPr>
          <w:rFonts w:ascii="Arial" w:hAnsi="Arial" w:cs="Arial"/>
        </w:rPr>
        <w:t>)</w:t>
      </w:r>
      <w:r w:rsidRPr="00B44C80">
        <w:rPr>
          <w:rFonts w:ascii="Arial" w:hAnsi="Arial" w:cs="Arial"/>
        </w:rPr>
        <w:t>. Esthetic Rehabilitation of Pediatric Patients Using Direct Bonding Technique—A Case Series Report. Children, 10(3):546.</w:t>
      </w:r>
    </w:p>
    <w:p w14:paraId="5ACAF049" w14:textId="77777777" w:rsidR="00A170D6" w:rsidRPr="00B44C80" w:rsidRDefault="00A170D6" w:rsidP="00A170D6">
      <w:pPr>
        <w:pStyle w:val="Body"/>
        <w:numPr>
          <w:ilvl w:val="0"/>
          <w:numId w:val="31"/>
        </w:numPr>
        <w:rPr>
          <w:rFonts w:ascii="Arial" w:hAnsi="Arial" w:cs="Arial"/>
        </w:rPr>
      </w:pPr>
      <w:r w:rsidRPr="00B44C80">
        <w:rPr>
          <w:rFonts w:ascii="Arial" w:hAnsi="Arial" w:cs="Arial"/>
        </w:rPr>
        <w:t xml:space="preserve">Di T, Zhang X, Yu H, Yang Y, Wang L, Chen Y. </w:t>
      </w:r>
      <w:r>
        <w:rPr>
          <w:rFonts w:ascii="Arial" w:hAnsi="Arial" w:cs="Arial"/>
        </w:rPr>
        <w:t>(</w:t>
      </w:r>
      <w:r w:rsidRPr="00B44C80">
        <w:rPr>
          <w:rFonts w:ascii="Arial" w:hAnsi="Arial" w:cs="Arial"/>
        </w:rPr>
        <w:t>2024</w:t>
      </w:r>
      <w:r>
        <w:rPr>
          <w:rFonts w:ascii="Arial" w:hAnsi="Arial" w:cs="Arial"/>
        </w:rPr>
        <w:t>)</w:t>
      </w:r>
      <w:r w:rsidRPr="00B44C80">
        <w:rPr>
          <w:rFonts w:ascii="Arial" w:hAnsi="Arial" w:cs="Arial"/>
        </w:rPr>
        <w:t>. Multidisciplinary treatment approach for complex crown-root fractures in child with periodontal health as the guiding principle: a case report with 8-year follow-up. BMC Oral Health, 24(1):1491.</w:t>
      </w:r>
    </w:p>
    <w:p w14:paraId="1F6B03B0" w14:textId="77777777" w:rsidR="00A170D6" w:rsidRPr="008C46CC" w:rsidRDefault="00A170D6" w:rsidP="00A170D6">
      <w:pPr>
        <w:pStyle w:val="Body"/>
        <w:ind w:left="360"/>
        <w:rPr>
          <w:rFonts w:ascii="Arial" w:hAnsi="Arial" w:cs="Arial"/>
        </w:rPr>
      </w:pPr>
    </w:p>
    <w:p w14:paraId="57FF5913" w14:textId="77777777" w:rsidR="00790ADA" w:rsidRPr="00FB3A86" w:rsidRDefault="00790ADA" w:rsidP="00441B6F">
      <w:pPr>
        <w:pStyle w:val="ReferHead"/>
        <w:spacing w:after="0"/>
        <w:jc w:val="both"/>
        <w:rPr>
          <w:rFonts w:ascii="Arial" w:hAnsi="Arial" w:cs="Arial"/>
        </w:rPr>
      </w:pPr>
    </w:p>
    <w:p w14:paraId="7396D49B" w14:textId="77777777" w:rsidR="00441B6F" w:rsidRDefault="00441B6F" w:rsidP="00441B6F">
      <w:pPr>
        <w:pStyle w:val="Body"/>
        <w:spacing w:after="0"/>
        <w:jc w:val="left"/>
      </w:pPr>
    </w:p>
    <w:p w14:paraId="7C673DC2" w14:textId="77777777" w:rsidR="00441B6F" w:rsidRDefault="00441B6F" w:rsidP="00441B6F">
      <w:pPr>
        <w:pStyle w:val="Body"/>
        <w:spacing w:after="0"/>
        <w:jc w:val="left"/>
        <w:rPr>
          <w:rFonts w:ascii="Arial" w:hAnsi="Arial" w:cs="Arial"/>
        </w:rPr>
      </w:pPr>
    </w:p>
    <w:p w14:paraId="1FB93AA2" w14:textId="77777777" w:rsidR="00B01FCD" w:rsidRPr="00FB3A86" w:rsidRDefault="00B01FCD" w:rsidP="00441B6F">
      <w:pPr>
        <w:pStyle w:val="Reference"/>
        <w:numPr>
          <w:ilvl w:val="0"/>
          <w:numId w:val="0"/>
        </w:numPr>
        <w:spacing w:line="240" w:lineRule="auto"/>
        <w:rPr>
          <w:rFonts w:ascii="Arial" w:hAnsi="Arial" w:cs="Arial"/>
        </w:rPr>
      </w:pPr>
    </w:p>
    <w:p w14:paraId="12F92BC6" w14:textId="3FB9D4F1" w:rsidR="004D4277" w:rsidRPr="00FB3A86" w:rsidRDefault="004D4277" w:rsidP="00441B6F">
      <w:pPr>
        <w:pStyle w:val="Appendix"/>
        <w:spacing w:after="0"/>
        <w:jc w:val="both"/>
        <w:rPr>
          <w:rFonts w:ascii="Arial" w:hAnsi="Arial" w:cs="Arial"/>
          <w:b w:val="0"/>
        </w:rPr>
        <w:sectPr w:rsidR="004D4277" w:rsidRPr="00FB3A86" w:rsidSect="00CF7A32">
          <w:headerReference w:type="even" r:id="rId20"/>
          <w:headerReference w:type="default" r:id="rId21"/>
          <w:footerReference w:type="default" r:id="rId22"/>
          <w:headerReference w:type="first" r:id="rId23"/>
          <w:type w:val="continuous"/>
          <w:pgSz w:w="12240" w:h="15840"/>
          <w:pgMar w:top="1440" w:right="2016" w:bottom="2016" w:left="2016" w:header="720" w:footer="1123" w:gutter="0"/>
          <w:cols w:space="720"/>
          <w:docGrid w:linePitch="272"/>
        </w:sectPr>
      </w:pPr>
    </w:p>
    <w:p w14:paraId="7C10FCFA" w14:textId="77777777" w:rsidR="00B01FCD" w:rsidRPr="00FB3A86" w:rsidRDefault="00B01FCD" w:rsidP="00441B6F">
      <w:pPr>
        <w:pStyle w:val="Appendix"/>
        <w:spacing w:after="0"/>
        <w:jc w:val="both"/>
        <w:rPr>
          <w:rFonts w:ascii="Arial" w:hAnsi="Arial" w:cs="Arial"/>
          <w:b w:val="0"/>
        </w:rPr>
      </w:pPr>
    </w:p>
    <w:sectPr w:rsidR="00B01FCD" w:rsidRPr="00FB3A86" w:rsidSect="00CF7A32">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325751A" w14:textId="77777777" w:rsidR="00691023" w:rsidRDefault="00691023" w:rsidP="00C37E61">
      <w:r>
        <w:separator/>
      </w:r>
    </w:p>
  </w:endnote>
  <w:endnote w:type="continuationSeparator" w:id="0">
    <w:p w14:paraId="4EE8030F" w14:textId="77777777" w:rsidR="00691023" w:rsidRDefault="00691023"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2AFF" w:usb1="4000ACFF"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EDACC0" w14:textId="77777777" w:rsidR="00CF7A32" w:rsidRDefault="00CF7A3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31A1F8" w14:textId="77777777" w:rsidR="00CF7A32" w:rsidRDefault="00CF7A3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38520E" w14:textId="77777777" w:rsidR="009E048A" w:rsidRDefault="009E048A">
    <w:pPr>
      <w:pStyle w:val="Footer"/>
      <w:rPr>
        <w:rFonts w:ascii="Arial" w:hAnsi="Arial" w:cs="Arial"/>
        <w:sz w:val="16"/>
      </w:rPr>
    </w:pPr>
  </w:p>
  <w:p w14:paraId="75B0C876" w14:textId="77777777" w:rsidR="009E048A" w:rsidRDefault="009E048A" w:rsidP="009E048A">
    <w:pPr>
      <w:pStyle w:val="Footer"/>
      <w:jc w:val="center"/>
      <w:rPr>
        <w:rFonts w:ascii="Arial" w:hAnsi="Arial" w:cs="Arial"/>
        <w:sz w:val="16"/>
      </w:rPr>
    </w:pPr>
    <w:r>
      <w:rPr>
        <w:rFonts w:ascii="Arial" w:hAnsi="Arial" w:cs="Arial"/>
        <w:sz w:val="16"/>
      </w:rPr>
      <w:t>______________________________________________________________________</w:t>
    </w:r>
    <w:r w:rsidR="00BF121F">
      <w:rPr>
        <w:rFonts w:ascii="Arial" w:hAnsi="Arial" w:cs="Arial"/>
        <w:sz w:val="16"/>
      </w:rPr>
      <w:t>______________________</w:t>
    </w:r>
  </w:p>
  <w:p w14:paraId="1A074DEE" w14:textId="77777777" w:rsidR="009E048A" w:rsidRDefault="009E048A">
    <w:pPr>
      <w:pStyle w:val="Footer"/>
      <w:rPr>
        <w:rFonts w:ascii="Arial" w:hAnsi="Arial" w:cs="Arial"/>
        <w:sz w:val="16"/>
      </w:rPr>
    </w:pPr>
  </w:p>
  <w:p w14:paraId="25456F11" w14:textId="77777777" w:rsidR="00754C9A" w:rsidRPr="009E048A" w:rsidRDefault="00754C9A">
    <w:pPr>
      <w:pStyle w:val="Footer"/>
      <w:rPr>
        <w:rFonts w:ascii="Arial" w:hAnsi="Arial" w:cs="Arial"/>
        <w:i/>
        <w:sz w:val="16"/>
      </w:rPr>
    </w:pPr>
    <w:r w:rsidRPr="009E048A">
      <w:rPr>
        <w:rFonts w:ascii="Arial" w:hAnsi="Arial" w:cs="Arial"/>
        <w:i/>
        <w:sz w:val="16"/>
      </w:rPr>
      <w:t>*Corresponding author: Email: XYZ@ABC.COM</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16301C"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FF49AEE" w14:textId="77777777" w:rsidR="00691023" w:rsidRDefault="00691023" w:rsidP="00C37E61">
      <w:r>
        <w:separator/>
      </w:r>
    </w:p>
  </w:footnote>
  <w:footnote w:type="continuationSeparator" w:id="0">
    <w:p w14:paraId="730F0E22" w14:textId="77777777" w:rsidR="00691023" w:rsidRDefault="00691023"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9D6505" w14:textId="682DC4C7" w:rsidR="00CF7A32" w:rsidRDefault="00CF7A32">
    <w:pPr>
      <w:pStyle w:val="Header"/>
    </w:pPr>
    <w:r>
      <w:rPr>
        <w:noProof/>
      </w:rPr>
      <w:pict w14:anchorId="458A5D6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96415391"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2C0C29" w14:textId="4225C4FA" w:rsidR="00CF7A32" w:rsidRDefault="00CF7A32">
    <w:pPr>
      <w:pStyle w:val="Header"/>
    </w:pPr>
    <w:r>
      <w:rPr>
        <w:noProof/>
      </w:rPr>
      <w:pict w14:anchorId="2309985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96415392"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5B9789" w14:textId="47431990" w:rsidR="00296529" w:rsidRPr="00296529" w:rsidRDefault="00CF7A32" w:rsidP="00296529">
    <w:pPr>
      <w:ind w:left="2160"/>
      <w:jc w:val="center"/>
      <w:rPr>
        <w:rFonts w:ascii="Times New Roman" w:eastAsia="Calibri" w:hAnsi="Times New Roman"/>
        <w:i/>
        <w:sz w:val="18"/>
        <w:szCs w:val="22"/>
      </w:rPr>
    </w:pPr>
    <w:r>
      <w:rPr>
        <w:noProof/>
      </w:rPr>
      <w:pict w14:anchorId="587CCFF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96415390"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0DD10AEF"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279D3417"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54E411D9"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4C8D9436"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6E7BC869"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1DC45A75"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D09F8F" w14:textId="4B05DA34" w:rsidR="00CF7A32" w:rsidRDefault="00CF7A32">
    <w:pPr>
      <w:pStyle w:val="Header"/>
    </w:pPr>
    <w:r>
      <w:rPr>
        <w:noProof/>
      </w:rPr>
      <w:pict w14:anchorId="44BABD8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96415394" o:spid="_x0000_s2053"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1CD7FD" w14:textId="433D1EDB" w:rsidR="00CF7A32" w:rsidRDefault="00CF7A32">
    <w:pPr>
      <w:pStyle w:val="Header"/>
    </w:pPr>
    <w:r>
      <w:rPr>
        <w:noProof/>
      </w:rPr>
      <w:pict w14:anchorId="0F6C27B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96415395" o:spid="_x0000_s2054"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A7ED8F" w14:textId="17CD9D28" w:rsidR="00CF7A32" w:rsidRDefault="00CF7A32">
    <w:pPr>
      <w:pStyle w:val="Header"/>
    </w:pPr>
    <w:r>
      <w:rPr>
        <w:noProof/>
      </w:rPr>
      <w:pict w14:anchorId="11CA453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96415393" o:spid="_x0000_s2052"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5F16181"/>
    <w:multiLevelType w:val="multilevel"/>
    <w:tmpl w:val="2A16F9D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7"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1"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3"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4"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5"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7"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6"/>
  </w:num>
  <w:num w:numId="3">
    <w:abstractNumId w:val="24"/>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8"/>
  </w:num>
  <w:num w:numId="6">
    <w:abstractNumId w:val="6"/>
  </w:num>
  <w:num w:numId="7">
    <w:abstractNumId w:val="1"/>
  </w:num>
  <w:num w:numId="8">
    <w:abstractNumId w:val="13"/>
  </w:num>
  <w:num w:numId="9">
    <w:abstractNumId w:val="26"/>
  </w:num>
  <w:num w:numId="10">
    <w:abstractNumId w:val="2"/>
  </w:num>
  <w:num w:numId="11">
    <w:abstractNumId w:val="19"/>
  </w:num>
  <w:num w:numId="12">
    <w:abstractNumId w:val="3"/>
  </w:num>
  <w:num w:numId="13">
    <w:abstractNumId w:val="18"/>
  </w:num>
  <w:num w:numId="14">
    <w:abstractNumId w:val="9"/>
  </w:num>
  <w:num w:numId="15">
    <w:abstractNumId w:val="22"/>
  </w:num>
  <w:num w:numId="16">
    <w:abstractNumId w:val="5"/>
  </w:num>
  <w:num w:numId="17">
    <w:abstractNumId w:val="23"/>
  </w:num>
  <w:num w:numId="18">
    <w:abstractNumId w:val="15"/>
  </w:num>
  <w:num w:numId="19">
    <w:abstractNumId w:val="29"/>
  </w:num>
  <w:num w:numId="20">
    <w:abstractNumId w:val="12"/>
  </w:num>
  <w:num w:numId="21">
    <w:abstractNumId w:val="10"/>
  </w:num>
  <w:num w:numId="22">
    <w:abstractNumId w:val="14"/>
  </w:num>
  <w:num w:numId="23">
    <w:abstractNumId w:val="20"/>
  </w:num>
  <w:num w:numId="24">
    <w:abstractNumId w:val="27"/>
  </w:num>
  <w:num w:numId="25">
    <w:abstractNumId w:val="4"/>
  </w:num>
  <w:num w:numId="26">
    <w:abstractNumId w:val="17"/>
  </w:num>
  <w:num w:numId="27">
    <w:abstractNumId w:val="21"/>
  </w:num>
  <w:num w:numId="28">
    <w:abstractNumId w:val="28"/>
  </w:num>
  <w:num w:numId="29">
    <w:abstractNumId w:val="25"/>
  </w:num>
  <w:num w:numId="30">
    <w:abstractNumId w:val="11"/>
  </w:num>
  <w:num w:numId="3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4"/>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219"/>
    <w:rsid w:val="00000F8F"/>
    <w:rsid w:val="00022FE0"/>
    <w:rsid w:val="00030174"/>
    <w:rsid w:val="0004579C"/>
    <w:rsid w:val="000A47FA"/>
    <w:rsid w:val="000A65D3"/>
    <w:rsid w:val="000B1E33"/>
    <w:rsid w:val="000D689F"/>
    <w:rsid w:val="000E7B7B"/>
    <w:rsid w:val="000E7D62"/>
    <w:rsid w:val="00103357"/>
    <w:rsid w:val="00123C9F"/>
    <w:rsid w:val="00126190"/>
    <w:rsid w:val="00130F17"/>
    <w:rsid w:val="001320BF"/>
    <w:rsid w:val="00163BC4"/>
    <w:rsid w:val="00191062"/>
    <w:rsid w:val="00192B72"/>
    <w:rsid w:val="001A29D8"/>
    <w:rsid w:val="001A5CAA"/>
    <w:rsid w:val="001B0427"/>
    <w:rsid w:val="001D304E"/>
    <w:rsid w:val="001D3A51"/>
    <w:rsid w:val="001E10D2"/>
    <w:rsid w:val="001E25B4"/>
    <w:rsid w:val="001E44FE"/>
    <w:rsid w:val="001F2494"/>
    <w:rsid w:val="00200595"/>
    <w:rsid w:val="00204835"/>
    <w:rsid w:val="00231920"/>
    <w:rsid w:val="0023195C"/>
    <w:rsid w:val="00236696"/>
    <w:rsid w:val="0024282C"/>
    <w:rsid w:val="002460DC"/>
    <w:rsid w:val="00250985"/>
    <w:rsid w:val="002556F6"/>
    <w:rsid w:val="00283105"/>
    <w:rsid w:val="00284C4C"/>
    <w:rsid w:val="00287681"/>
    <w:rsid w:val="00287E68"/>
    <w:rsid w:val="00296529"/>
    <w:rsid w:val="002B27FB"/>
    <w:rsid w:val="002B685A"/>
    <w:rsid w:val="002B7986"/>
    <w:rsid w:val="002C57D2"/>
    <w:rsid w:val="002E0D56"/>
    <w:rsid w:val="00301DB1"/>
    <w:rsid w:val="00315186"/>
    <w:rsid w:val="0033343E"/>
    <w:rsid w:val="00336953"/>
    <w:rsid w:val="003512C2"/>
    <w:rsid w:val="00371FB6"/>
    <w:rsid w:val="003763C1"/>
    <w:rsid w:val="00376BBE"/>
    <w:rsid w:val="0039224F"/>
    <w:rsid w:val="003A43A4"/>
    <w:rsid w:val="003A7E18"/>
    <w:rsid w:val="003B1E3A"/>
    <w:rsid w:val="003C4C86"/>
    <w:rsid w:val="003C6258"/>
    <w:rsid w:val="003D6222"/>
    <w:rsid w:val="003E2904"/>
    <w:rsid w:val="00401927"/>
    <w:rsid w:val="0041027F"/>
    <w:rsid w:val="00412475"/>
    <w:rsid w:val="00423789"/>
    <w:rsid w:val="00440F43"/>
    <w:rsid w:val="00441B6F"/>
    <w:rsid w:val="00446221"/>
    <w:rsid w:val="00450E62"/>
    <w:rsid w:val="004539DB"/>
    <w:rsid w:val="00471A80"/>
    <w:rsid w:val="004D305E"/>
    <w:rsid w:val="004D4277"/>
    <w:rsid w:val="004F6853"/>
    <w:rsid w:val="00502516"/>
    <w:rsid w:val="00505F06"/>
    <w:rsid w:val="00506828"/>
    <w:rsid w:val="00524FD8"/>
    <w:rsid w:val="0053056E"/>
    <w:rsid w:val="00554FDA"/>
    <w:rsid w:val="0058732A"/>
    <w:rsid w:val="005C784C"/>
    <w:rsid w:val="005D17F6"/>
    <w:rsid w:val="005D7EEF"/>
    <w:rsid w:val="005E5539"/>
    <w:rsid w:val="00602BF5"/>
    <w:rsid w:val="00617FDD"/>
    <w:rsid w:val="00633614"/>
    <w:rsid w:val="00633F68"/>
    <w:rsid w:val="00636EB2"/>
    <w:rsid w:val="006375B8"/>
    <w:rsid w:val="0066510A"/>
    <w:rsid w:val="00673F9F"/>
    <w:rsid w:val="00686953"/>
    <w:rsid w:val="00687DEA"/>
    <w:rsid w:val="00687E67"/>
    <w:rsid w:val="00691023"/>
    <w:rsid w:val="006967F7"/>
    <w:rsid w:val="006A250C"/>
    <w:rsid w:val="006B21D3"/>
    <w:rsid w:val="006B57D0"/>
    <w:rsid w:val="006D30FF"/>
    <w:rsid w:val="006D6940"/>
    <w:rsid w:val="006F11EC"/>
    <w:rsid w:val="00700268"/>
    <w:rsid w:val="0070082C"/>
    <w:rsid w:val="007369E6"/>
    <w:rsid w:val="00746E59"/>
    <w:rsid w:val="00754C9A"/>
    <w:rsid w:val="0075599A"/>
    <w:rsid w:val="00761D52"/>
    <w:rsid w:val="00774F24"/>
    <w:rsid w:val="0077749E"/>
    <w:rsid w:val="00790ADA"/>
    <w:rsid w:val="007D2288"/>
    <w:rsid w:val="007E088F"/>
    <w:rsid w:val="007F7B32"/>
    <w:rsid w:val="00804BC2"/>
    <w:rsid w:val="0081431A"/>
    <w:rsid w:val="008252FF"/>
    <w:rsid w:val="0083216F"/>
    <w:rsid w:val="00860000"/>
    <w:rsid w:val="00863BD3"/>
    <w:rsid w:val="008641ED"/>
    <w:rsid w:val="00866D66"/>
    <w:rsid w:val="008671C6"/>
    <w:rsid w:val="00875803"/>
    <w:rsid w:val="008B459E"/>
    <w:rsid w:val="008C46CC"/>
    <w:rsid w:val="008E13AE"/>
    <w:rsid w:val="008E1506"/>
    <w:rsid w:val="008E710C"/>
    <w:rsid w:val="008F69D6"/>
    <w:rsid w:val="00902823"/>
    <w:rsid w:val="009101EC"/>
    <w:rsid w:val="00915CA6"/>
    <w:rsid w:val="00924B09"/>
    <w:rsid w:val="00927834"/>
    <w:rsid w:val="009500A6"/>
    <w:rsid w:val="00951B61"/>
    <w:rsid w:val="00957C18"/>
    <w:rsid w:val="009659BA"/>
    <w:rsid w:val="009718DB"/>
    <w:rsid w:val="00983040"/>
    <w:rsid w:val="00993E41"/>
    <w:rsid w:val="009B3FB9"/>
    <w:rsid w:val="009C2465"/>
    <w:rsid w:val="009D35A0"/>
    <w:rsid w:val="009D7EB7"/>
    <w:rsid w:val="009E048A"/>
    <w:rsid w:val="009E08E9"/>
    <w:rsid w:val="009E3DB9"/>
    <w:rsid w:val="009E6E35"/>
    <w:rsid w:val="009F0EDA"/>
    <w:rsid w:val="00A03B96"/>
    <w:rsid w:val="00A05B19"/>
    <w:rsid w:val="00A1134E"/>
    <w:rsid w:val="00A170D6"/>
    <w:rsid w:val="00A24E7E"/>
    <w:rsid w:val="00A258C3"/>
    <w:rsid w:val="00A347C0"/>
    <w:rsid w:val="00A51431"/>
    <w:rsid w:val="00A539AD"/>
    <w:rsid w:val="00A62486"/>
    <w:rsid w:val="00A94063"/>
    <w:rsid w:val="00AA6219"/>
    <w:rsid w:val="00AA74E0"/>
    <w:rsid w:val="00AB703F"/>
    <w:rsid w:val="00AC6BB8"/>
    <w:rsid w:val="00AD48DD"/>
    <w:rsid w:val="00AE008F"/>
    <w:rsid w:val="00B01FCD"/>
    <w:rsid w:val="00B1776C"/>
    <w:rsid w:val="00B43F6B"/>
    <w:rsid w:val="00B52583"/>
    <w:rsid w:val="00B52896"/>
    <w:rsid w:val="00B95236"/>
    <w:rsid w:val="00B96BD9"/>
    <w:rsid w:val="00BA1B01"/>
    <w:rsid w:val="00BA2641"/>
    <w:rsid w:val="00BB37AA"/>
    <w:rsid w:val="00BC53A0"/>
    <w:rsid w:val="00BE62AD"/>
    <w:rsid w:val="00BF121F"/>
    <w:rsid w:val="00BF1F80"/>
    <w:rsid w:val="00C0104F"/>
    <w:rsid w:val="00C166EF"/>
    <w:rsid w:val="00C17EB0"/>
    <w:rsid w:val="00C27F5F"/>
    <w:rsid w:val="00C30A0F"/>
    <w:rsid w:val="00C37E61"/>
    <w:rsid w:val="00C62B81"/>
    <w:rsid w:val="00C70F1B"/>
    <w:rsid w:val="00C71A47"/>
    <w:rsid w:val="00C7464C"/>
    <w:rsid w:val="00C85588"/>
    <w:rsid w:val="00CD6755"/>
    <w:rsid w:val="00CD6856"/>
    <w:rsid w:val="00CE0089"/>
    <w:rsid w:val="00CE793C"/>
    <w:rsid w:val="00CF193C"/>
    <w:rsid w:val="00CF7A32"/>
    <w:rsid w:val="00D173F1"/>
    <w:rsid w:val="00D301A0"/>
    <w:rsid w:val="00D74CB0"/>
    <w:rsid w:val="00D8295D"/>
    <w:rsid w:val="00DC2A65"/>
    <w:rsid w:val="00DE15F0"/>
    <w:rsid w:val="00DE5663"/>
    <w:rsid w:val="00DE78AA"/>
    <w:rsid w:val="00E053D0"/>
    <w:rsid w:val="00E15994"/>
    <w:rsid w:val="00E3114E"/>
    <w:rsid w:val="00E31A70"/>
    <w:rsid w:val="00E35B02"/>
    <w:rsid w:val="00E66496"/>
    <w:rsid w:val="00E66B35"/>
    <w:rsid w:val="00E66E10"/>
    <w:rsid w:val="00E769F6"/>
    <w:rsid w:val="00E8407C"/>
    <w:rsid w:val="00E84F3C"/>
    <w:rsid w:val="00EA012C"/>
    <w:rsid w:val="00EC6A55"/>
    <w:rsid w:val="00ED0288"/>
    <w:rsid w:val="00EE52CB"/>
    <w:rsid w:val="00EF581D"/>
    <w:rsid w:val="00EF7FD8"/>
    <w:rsid w:val="00F06F59"/>
    <w:rsid w:val="00F17988"/>
    <w:rsid w:val="00F25E71"/>
    <w:rsid w:val="00F469F0"/>
    <w:rsid w:val="00F53273"/>
    <w:rsid w:val="00F755E4"/>
    <w:rsid w:val="00F77D02"/>
    <w:rsid w:val="00F80D6D"/>
    <w:rsid w:val="00FB3A86"/>
    <w:rsid w:val="00FD36C8"/>
    <w:rsid w:val="00FF4D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6451879E"/>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styleId="ListParagraph">
    <w:name w:val="List Paragraph"/>
    <w:basedOn w:val="Normal"/>
    <w:uiPriority w:val="34"/>
    <w:qFormat/>
    <w:rsid w:val="00A170D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tiff"/><Relationship Id="rId3" Type="http://schemas.openxmlformats.org/officeDocument/2006/relationships/styles" Target="styles.xml"/><Relationship Id="rId21"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tiff"/><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tiff"/><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tiff"/><Relationship Id="rId23" Type="http://schemas.openxmlformats.org/officeDocument/2006/relationships/header" Target="header6.xml"/><Relationship Id="rId10" Type="http://schemas.openxmlformats.org/officeDocument/2006/relationships/footer" Target="footer1.xml"/><Relationship Id="rId19" Type="http://schemas.openxmlformats.org/officeDocument/2006/relationships/hyperlink" Target="https://doi.org/10.1111/edt.12574"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tiff"/><Relationship Id="rId22" Type="http://schemas.openxmlformats.org/officeDocument/2006/relationships/footer" Target="footer4.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2659F9-A7B1-43C5-87E9-FC58BEA3F3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75</TotalTime>
  <Pages>8</Pages>
  <Words>2054</Words>
  <Characters>11710</Characters>
  <Application>Microsoft Office Word</Application>
  <DocSecurity>0</DocSecurity>
  <Lines>97</Lines>
  <Paragraphs>27</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Paper Template</vt:lpstr>
      <vt:lpstr>Paper Template</vt:lpstr>
    </vt:vector>
  </TitlesOfParts>
  <Company>aaaa</Company>
  <LinksUpToDate>false</LinksUpToDate>
  <CharactersWithSpaces>13737</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1084</cp:lastModifiedBy>
  <cp:revision>17</cp:revision>
  <cp:lastPrinted>1999-07-06T11:00:00Z</cp:lastPrinted>
  <dcterms:created xsi:type="dcterms:W3CDTF">2025-09-03T13:36:00Z</dcterms:created>
  <dcterms:modified xsi:type="dcterms:W3CDTF">2025-09-04T09:43:00Z</dcterms:modified>
</cp:coreProperties>
</file>