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46DAD" w14:textId="256D9DC5" w:rsidR="00D13193" w:rsidRPr="0053223A" w:rsidRDefault="001E4869" w:rsidP="0053223A">
      <w:pPr>
        <w:spacing w:line="276" w:lineRule="auto"/>
        <w:rPr>
          <w:rFonts w:ascii="Arial" w:hAnsi="Arial" w:cs="Arial"/>
          <w:b/>
          <w:bCs/>
          <w:sz w:val="20"/>
          <w:szCs w:val="20"/>
        </w:rPr>
      </w:pPr>
      <w:bookmarkStart w:id="0" w:name="_GoBack"/>
      <w:bookmarkEnd w:id="0"/>
      <w:r w:rsidRPr="0053223A">
        <w:rPr>
          <w:rFonts w:ascii="Arial" w:hAnsi="Arial" w:cs="Arial"/>
          <w:b/>
          <w:bCs/>
          <w:sz w:val="20"/>
          <w:szCs w:val="20"/>
        </w:rPr>
        <w:t>Heat Stress, Antioxidant Supplementation, and HSP70 mRNA Expression in Growing Pigs</w:t>
      </w:r>
    </w:p>
    <w:p w14:paraId="14ECCC15" w14:textId="07AA3E57" w:rsidR="00AD7CCA" w:rsidRPr="0053223A" w:rsidRDefault="00AD7CCA" w:rsidP="0053223A">
      <w:pPr>
        <w:spacing w:after="0" w:line="276"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 xml:space="preserve"> </w:t>
      </w:r>
    </w:p>
    <w:p w14:paraId="3F55E464" w14:textId="3D396D53" w:rsidR="00AD7BF8" w:rsidRPr="0053223A" w:rsidRDefault="0045386A"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b/>
          <w:bCs/>
          <w:kern w:val="0"/>
          <w:sz w:val="20"/>
          <w:szCs w:val="20"/>
          <w:lang w:eastAsia="en-IN"/>
          <w14:ligatures w14:val="none"/>
        </w:rPr>
        <w:t>ABSTRACT</w:t>
      </w:r>
    </w:p>
    <w:p w14:paraId="70BBCBEF" w14:textId="7EB41713" w:rsidR="007C3187" w:rsidRPr="0053223A" w:rsidRDefault="00AD7BF8" w:rsidP="0053223A">
      <w:pPr>
        <w:spacing w:before="100" w:beforeAutospacing="1" w:after="100" w:afterAutospacing="1" w:line="276" w:lineRule="auto"/>
        <w:jc w:val="both"/>
        <w:rPr>
          <w:rFonts w:ascii="Arial" w:hAnsi="Arial" w:cs="Arial"/>
          <w:sz w:val="20"/>
          <w:szCs w:val="20"/>
        </w:rPr>
      </w:pPr>
      <w:r w:rsidRPr="0053223A">
        <w:rPr>
          <w:rFonts w:ascii="Arial" w:eastAsia="Times New Roman" w:hAnsi="Arial" w:cs="Arial"/>
          <w:kern w:val="0"/>
          <w:sz w:val="20"/>
          <w:szCs w:val="20"/>
          <w:lang w:eastAsia="en-IN"/>
          <w14:ligatures w14:val="none"/>
        </w:rPr>
        <w:t xml:space="preserve">Heat stress poses significant challenges to livestock productivity, particularly in pigs, due to their limited thermoregulatory mechanisms. This study aimed to evaluate the seasonal effects of heat stress on </w:t>
      </w:r>
      <w:r w:rsidR="007C3187" w:rsidRPr="0053223A">
        <w:rPr>
          <w:rFonts w:ascii="Arial" w:eastAsia="Times New Roman" w:hAnsi="Arial" w:cs="Arial"/>
          <w:kern w:val="0"/>
          <w:sz w:val="20"/>
          <w:szCs w:val="20"/>
          <w:lang w:eastAsia="en-IN"/>
          <w14:ligatures w14:val="none"/>
        </w:rPr>
        <w:t xml:space="preserve">growth performance, </w:t>
      </w:r>
      <w:r w:rsidRPr="0053223A">
        <w:rPr>
          <w:rFonts w:ascii="Arial" w:eastAsia="Times New Roman" w:hAnsi="Arial" w:cs="Arial"/>
          <w:kern w:val="0"/>
          <w:sz w:val="20"/>
          <w:szCs w:val="20"/>
          <w:lang w:eastAsia="en-IN"/>
          <w14:ligatures w14:val="none"/>
        </w:rPr>
        <w:t xml:space="preserve">haematological and </w:t>
      </w:r>
      <w:r w:rsidR="007C3187" w:rsidRPr="0053223A">
        <w:rPr>
          <w:rFonts w:ascii="Arial" w:eastAsia="Times New Roman" w:hAnsi="Arial" w:cs="Arial"/>
          <w:kern w:val="0"/>
          <w:sz w:val="20"/>
          <w:szCs w:val="20"/>
          <w:lang w:eastAsia="en-IN"/>
          <w14:ligatures w14:val="none"/>
        </w:rPr>
        <w:t>hormonal level</w:t>
      </w:r>
      <w:r w:rsidRPr="0053223A">
        <w:rPr>
          <w:rFonts w:ascii="Arial" w:eastAsia="Times New Roman" w:hAnsi="Arial" w:cs="Arial"/>
          <w:kern w:val="0"/>
          <w:sz w:val="20"/>
          <w:szCs w:val="20"/>
          <w:lang w:eastAsia="en-IN"/>
          <w14:ligatures w14:val="none"/>
        </w:rPr>
        <w:t>, as well as the relative mRNA expression of HSP70 in growing pigs supplemented with melatonin and vitamin E. Results showed that haematological parameters, serum cortisol, lactate dehydrogenase, and average body weight were adversely affected during the summer season. While antioxidant supplementation did not significantly influence haematological profiles or LDH levels, it reduced cortisol levels during summer. Vitamin E supplementation resulted in a significant decrease in HSP70 mRNA expression during summer, indicating improved oxidative stability.</w:t>
      </w:r>
      <w:r w:rsidR="00934DC5" w:rsidRPr="0053223A">
        <w:rPr>
          <w:rFonts w:ascii="Arial" w:eastAsia="Times New Roman" w:hAnsi="Arial" w:cs="Arial"/>
          <w:kern w:val="0"/>
          <w:sz w:val="20"/>
          <w:szCs w:val="20"/>
          <w:lang w:eastAsia="en-IN"/>
          <w14:ligatures w14:val="none"/>
        </w:rPr>
        <w:t xml:space="preserve"> </w:t>
      </w:r>
      <w:r w:rsidR="007C3187" w:rsidRPr="0053223A">
        <w:rPr>
          <w:rFonts w:ascii="Arial" w:hAnsi="Arial" w:cs="Arial"/>
          <w:sz w:val="20"/>
          <w:szCs w:val="20"/>
        </w:rPr>
        <w:t>Seasonal variations notably affect pigs' growth and health, with vitamin E supplementation reducing HSP70 expression during summer, highlighting the challenges of tropical climates.</w:t>
      </w:r>
    </w:p>
    <w:p w14:paraId="0D4DC9E8" w14:textId="3238BA62" w:rsidR="00615BCB" w:rsidRPr="0053223A" w:rsidRDefault="00615BCB" w:rsidP="0053223A">
      <w:pPr>
        <w:pStyle w:val="NormalWeb"/>
        <w:spacing w:line="276" w:lineRule="auto"/>
        <w:jc w:val="both"/>
        <w:rPr>
          <w:rFonts w:ascii="Arial" w:hAnsi="Arial" w:cs="Arial"/>
          <w:sz w:val="20"/>
          <w:szCs w:val="20"/>
        </w:rPr>
      </w:pPr>
      <w:r w:rsidRPr="0053223A">
        <w:rPr>
          <w:rFonts w:ascii="Arial" w:hAnsi="Arial" w:cs="Arial"/>
          <w:b/>
          <w:bCs/>
          <w:sz w:val="20"/>
          <w:szCs w:val="20"/>
        </w:rPr>
        <w:t>Key words;</w:t>
      </w:r>
      <w:r w:rsidRPr="0053223A">
        <w:rPr>
          <w:rFonts w:ascii="Arial" w:hAnsi="Arial" w:cs="Arial"/>
          <w:sz w:val="20"/>
          <w:szCs w:val="20"/>
        </w:rPr>
        <w:t xml:space="preserve"> Heat stress, growing pigs, antioxidants supplementation, HSP70 expression.</w:t>
      </w:r>
    </w:p>
    <w:p w14:paraId="7B303D51" w14:textId="71CDD2FA" w:rsidR="00615BCB" w:rsidRPr="0053223A" w:rsidRDefault="0045386A" w:rsidP="0053223A">
      <w:pPr>
        <w:pStyle w:val="ListParagraph"/>
        <w:numPr>
          <w:ilvl w:val="0"/>
          <w:numId w:val="6"/>
        </w:numPr>
        <w:spacing w:after="0" w:line="276" w:lineRule="auto"/>
        <w:jc w:val="both"/>
        <w:rPr>
          <w:rFonts w:ascii="Arial" w:eastAsia="Times New Roman" w:hAnsi="Arial" w:cs="Arial"/>
          <w:color w:val="000000" w:themeColor="text1"/>
          <w:kern w:val="0"/>
          <w:sz w:val="20"/>
          <w:szCs w:val="20"/>
          <w:lang w:eastAsia="en-IN"/>
          <w14:ligatures w14:val="none"/>
        </w:rPr>
      </w:pPr>
      <w:r w:rsidRPr="0053223A">
        <w:rPr>
          <w:rFonts w:ascii="Arial" w:eastAsia="Times New Roman" w:hAnsi="Arial" w:cs="Arial"/>
          <w:b/>
          <w:bCs/>
          <w:color w:val="000000" w:themeColor="text1"/>
          <w:kern w:val="0"/>
          <w:sz w:val="20"/>
          <w:szCs w:val="20"/>
          <w:lang w:eastAsia="en-IN"/>
          <w14:ligatures w14:val="none"/>
        </w:rPr>
        <w:t>INTRODUCTION</w:t>
      </w:r>
    </w:p>
    <w:p w14:paraId="04AD4B22" w14:textId="64CBED61" w:rsidR="00615BCB" w:rsidRPr="0053223A" w:rsidRDefault="00615BCB" w:rsidP="0053223A">
      <w:pPr>
        <w:spacing w:before="240" w:line="276" w:lineRule="auto"/>
        <w:jc w:val="both"/>
        <w:rPr>
          <w:rFonts w:ascii="Arial" w:hAnsi="Arial" w:cs="Arial"/>
          <w:color w:val="000000" w:themeColor="text1"/>
          <w:sz w:val="20"/>
          <w:szCs w:val="20"/>
        </w:rPr>
      </w:pPr>
      <w:r w:rsidRPr="0053223A">
        <w:rPr>
          <w:rFonts w:ascii="Arial" w:eastAsia="Times New Roman" w:hAnsi="Arial" w:cs="Arial"/>
          <w:color w:val="000000" w:themeColor="text1"/>
          <w:kern w:val="0"/>
          <w:sz w:val="20"/>
          <w:szCs w:val="20"/>
          <w:lang w:eastAsia="en-IN"/>
          <w14:ligatures w14:val="none"/>
        </w:rPr>
        <w:t>Under tropical climatic conditions, elevated temperature and humidity adversely affect the productive and reproductive performance of pigs. The limited thermoregulatory capacity of pigs, due to their underdeveloped sweat glands and thick subcutaneous fat layer, impairs effective heat dissipation. High ambient temperatures trigger excessive immune responses, often accompanied by increased white blood cell counts. Additionally, average daily gain, daily feed intake, and feed efficiency significantly decline during the summer season (Lewis and Berry, 2006). Increased leukocyte counts in pigs are commonly associated with stress-induced infections (McGlone and Pond, 2002). The higher humidity had a more detrimental impact than low humidity</w:t>
      </w:r>
      <w:r w:rsidRPr="0053223A">
        <w:rPr>
          <w:rFonts w:ascii="Arial" w:eastAsia="Times New Roman" w:hAnsi="Arial" w:cs="Arial"/>
          <w:color w:val="FF0000"/>
          <w:kern w:val="0"/>
          <w:sz w:val="20"/>
          <w:szCs w:val="20"/>
          <w:lang w:eastAsia="en-IN"/>
          <w14:ligatures w14:val="none"/>
        </w:rPr>
        <w:t xml:space="preserve"> </w:t>
      </w:r>
      <w:r w:rsidRPr="0053223A">
        <w:rPr>
          <w:rFonts w:ascii="Arial" w:eastAsia="Times New Roman" w:hAnsi="Arial" w:cs="Arial"/>
          <w:color w:val="000000" w:themeColor="text1"/>
          <w:kern w:val="0"/>
          <w:sz w:val="20"/>
          <w:szCs w:val="20"/>
          <w:lang w:eastAsia="en-IN"/>
          <w14:ligatures w14:val="none"/>
        </w:rPr>
        <w:t>(</w:t>
      </w:r>
      <w:proofErr w:type="spellStart"/>
      <w:r w:rsidRPr="0053223A">
        <w:rPr>
          <w:rFonts w:ascii="Arial" w:eastAsia="Times New Roman" w:hAnsi="Arial" w:cs="Arial"/>
          <w:color w:val="000000" w:themeColor="text1"/>
          <w:kern w:val="0"/>
          <w:sz w:val="20"/>
          <w:szCs w:val="20"/>
          <w:lang w:eastAsia="en-IN"/>
          <w14:ligatures w14:val="none"/>
        </w:rPr>
        <w:t>Adenkola</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2011). De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(2013) observed significantly higher (p&gt;0.05) RBC, PCV, and haemoglobin concentrations in Andaman wild pigs compared to other local breeds, suggesting better adaptation of Andaman wild pigs to the hot and humid climate of the Andaman and Nicobar Islands. The lower serum T3 and T</w:t>
      </w:r>
      <w:r w:rsidR="00B21B75" w:rsidRPr="0053223A">
        <w:rPr>
          <w:rFonts w:ascii="Arial" w:eastAsia="Times New Roman" w:hAnsi="Arial" w:cs="Arial"/>
          <w:color w:val="000000" w:themeColor="text1"/>
          <w:kern w:val="0"/>
          <w:sz w:val="20"/>
          <w:szCs w:val="20"/>
          <w:lang w:eastAsia="en-IN"/>
          <w14:ligatures w14:val="none"/>
        </w:rPr>
        <w:t>4</w:t>
      </w:r>
      <w:r w:rsidRPr="0053223A">
        <w:rPr>
          <w:rFonts w:ascii="Arial" w:eastAsia="Times New Roman" w:hAnsi="Arial" w:cs="Arial"/>
          <w:color w:val="000000" w:themeColor="text1"/>
          <w:kern w:val="0"/>
          <w:sz w:val="20"/>
          <w:szCs w:val="20"/>
          <w:lang w:eastAsia="en-IN"/>
          <w14:ligatures w14:val="none"/>
        </w:rPr>
        <w:t xml:space="preserve"> level was estimated in pigs during summer season than winter season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2017a).</w:t>
      </w:r>
      <w:r w:rsidRPr="0053223A">
        <w:rPr>
          <w:rFonts w:ascii="Arial" w:eastAsia="Times New Roman" w:hAnsi="Arial" w:cs="Arial"/>
          <w:color w:val="FF0000"/>
          <w:kern w:val="0"/>
          <w:sz w:val="20"/>
          <w:szCs w:val="20"/>
          <w:lang w:eastAsia="en-IN"/>
          <w14:ligatures w14:val="none"/>
        </w:rPr>
        <w:t xml:space="preserve"> </w:t>
      </w:r>
      <w:r w:rsidRPr="0053223A">
        <w:rPr>
          <w:rFonts w:ascii="Arial" w:eastAsia="Times New Roman" w:hAnsi="Arial" w:cs="Arial"/>
          <w:color w:val="000000" w:themeColor="text1"/>
          <w:kern w:val="0"/>
          <w:sz w:val="20"/>
          <w:szCs w:val="20"/>
          <w:lang w:eastAsia="en-IN"/>
          <w14:ligatures w14:val="none"/>
        </w:rPr>
        <w:t xml:space="preserve">In a related study, serum SOD levels were higher (p&lt;0.01) in summer, however, reduced SOD activity in pigs supplemented with melatonin and vitamin E indicated their ameliorative effect during heat stress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2017b). Furthermore, delayed onset of puberty (p&lt;0.01) in pigs during summer was observed, although melatonin supplementation showed improvement in both seasons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2017c). Elevated rectal temperature, respiration rate, and pulse rate (p&lt;0.01) during summer confirmed the presence of heat stress in pigs (Chakraborty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w:t>
      </w:r>
      <w:r w:rsidR="0053223A">
        <w:rPr>
          <w:rFonts w:ascii="Arial" w:eastAsia="Times New Roman" w:hAnsi="Arial" w:cs="Arial"/>
          <w:color w:val="000000" w:themeColor="text1"/>
          <w:kern w:val="0"/>
          <w:sz w:val="20"/>
          <w:szCs w:val="20"/>
          <w:lang w:eastAsia="en-IN"/>
          <w14:ligatures w14:val="none"/>
        </w:rPr>
        <w:t>2017c</w:t>
      </w:r>
      <w:r w:rsidRPr="0053223A">
        <w:rPr>
          <w:rFonts w:ascii="Arial" w:eastAsia="Times New Roman" w:hAnsi="Arial" w:cs="Arial"/>
          <w:color w:val="000000" w:themeColor="text1"/>
          <w:kern w:val="0"/>
          <w:sz w:val="20"/>
          <w:szCs w:val="20"/>
          <w:lang w:eastAsia="en-IN"/>
          <w14:ligatures w14:val="none"/>
        </w:rPr>
        <w:t>).</w:t>
      </w:r>
      <w:r w:rsidR="00E56511" w:rsidRPr="0053223A">
        <w:rPr>
          <w:rFonts w:ascii="Arial" w:eastAsia="Times New Roman" w:hAnsi="Arial" w:cs="Arial"/>
          <w:color w:val="000000" w:themeColor="text1"/>
          <w:kern w:val="0"/>
          <w:sz w:val="20"/>
          <w:szCs w:val="20"/>
          <w:lang w:eastAsia="en-IN"/>
          <w14:ligatures w14:val="none"/>
        </w:rPr>
        <w:t xml:space="preserve"> </w:t>
      </w:r>
      <w:r w:rsidRPr="0053223A">
        <w:rPr>
          <w:rFonts w:ascii="Arial" w:eastAsia="Times New Roman" w:hAnsi="Arial" w:cs="Arial"/>
          <w:color w:val="000000" w:themeColor="text1"/>
          <w:kern w:val="0"/>
          <w:sz w:val="20"/>
          <w:szCs w:val="20"/>
          <w:lang w:eastAsia="en-IN"/>
          <w14:ligatures w14:val="none"/>
        </w:rPr>
        <w:t xml:space="preserve">Huynh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(2006) found that implementing cooling systems (water bath and sprinkling) improved daily weight gain in pigs exposed to heat stress. In contrast, a meta-analysis by Guo </w:t>
      </w:r>
      <w:r w:rsidR="0045386A" w:rsidRPr="0053223A">
        <w:rPr>
          <w:rFonts w:ascii="Arial" w:eastAsia="Times New Roman" w:hAnsi="Arial" w:cs="Arial"/>
          <w:i/>
          <w:iCs/>
          <w:color w:val="000000" w:themeColor="text1"/>
          <w:kern w:val="0"/>
          <w:sz w:val="20"/>
          <w:szCs w:val="20"/>
          <w:lang w:eastAsia="en-IN"/>
          <w14:ligatures w14:val="none"/>
        </w:rPr>
        <w:t xml:space="preserve">et al. </w:t>
      </w:r>
      <w:r w:rsidRPr="0053223A">
        <w:rPr>
          <w:rFonts w:ascii="Arial" w:eastAsia="Times New Roman" w:hAnsi="Arial" w:cs="Arial"/>
          <w:color w:val="000000" w:themeColor="text1"/>
          <w:kern w:val="0"/>
          <w:sz w:val="20"/>
          <w:szCs w:val="20"/>
          <w:lang w:eastAsia="en-IN"/>
          <w14:ligatures w14:val="none"/>
        </w:rPr>
        <w:t xml:space="preserve">(2018) concluded that although heat stress did not affect litter size or offspring birth weight, it reduced litter weight gain due to decreased sow milk production. Pigs exposed to heat stress showed a linear increase in serum cortisol levels (7.06 mg/dl) compared to those in thermally comfortable environments (4.82 mg/dl) (Fagundes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2008). Plasma cortisol levels were positively correlated with the temperature-humidity index (THI) (Borah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2023). The lower cortisol levels in pigs provided with a cooling system (Escribano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2023), reinforcing the importance of environmental control in mitigating thermal stress. Heat stress further impaired pig performance, with significantly reduced body weight, average daily gain (ADG), and average daily feed intake (ADFI) during high-temperature periods (Oh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 The higher LDH concentrations in finisher pigs and boars during summer, while in growing pigs and sows, LDH levels were higher during the spring season (Vashi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w:t>
      </w:r>
      <w:r w:rsidR="00B61283" w:rsidRPr="0053223A">
        <w:rPr>
          <w:rFonts w:ascii="Arial" w:eastAsia="Times New Roman" w:hAnsi="Arial" w:cs="Arial"/>
          <w:color w:val="000000" w:themeColor="text1"/>
          <w:kern w:val="0"/>
          <w:sz w:val="20"/>
          <w:szCs w:val="20"/>
          <w:lang w:eastAsia="en-IN"/>
          <w14:ligatures w14:val="none"/>
        </w:rPr>
        <w:t>8</w:t>
      </w:r>
      <w:r w:rsidRPr="0053223A">
        <w:rPr>
          <w:rFonts w:ascii="Arial" w:eastAsia="Times New Roman" w:hAnsi="Arial" w:cs="Arial"/>
          <w:color w:val="000000" w:themeColor="text1"/>
          <w:kern w:val="0"/>
          <w:sz w:val="20"/>
          <w:szCs w:val="20"/>
          <w:lang w:eastAsia="en-IN"/>
          <w14:ligatures w14:val="none"/>
        </w:rPr>
        <w:t xml:space="preserve">). The upregulation of HSP70 expression during summer has been attributed to elevated ambient temperatures, acting as a protective mechanism against cellular damage under heat </w:t>
      </w:r>
      <w:r w:rsidRPr="0053223A">
        <w:rPr>
          <w:rFonts w:ascii="Arial" w:eastAsia="Times New Roman" w:hAnsi="Arial" w:cs="Arial"/>
          <w:color w:val="000000" w:themeColor="text1"/>
          <w:kern w:val="0"/>
          <w:sz w:val="20"/>
          <w:szCs w:val="20"/>
          <w:lang w:eastAsia="en-IN"/>
          <w14:ligatures w14:val="none"/>
        </w:rPr>
        <w:lastRenderedPageBreak/>
        <w:t xml:space="preserve">stress (Vashi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proofErr w:type="spellStart"/>
      <w:r w:rsidRPr="0053223A">
        <w:rPr>
          <w:rFonts w:ascii="Arial" w:eastAsia="Times New Roman" w:hAnsi="Arial" w:cs="Arial"/>
          <w:color w:val="000000" w:themeColor="text1"/>
          <w:kern w:val="0"/>
          <w:sz w:val="20"/>
          <w:szCs w:val="20"/>
          <w:lang w:eastAsia="en-IN"/>
          <w14:ligatures w14:val="none"/>
        </w:rPr>
        <w:t>Parkunan</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2015, 2016). This study explores how summer and winter affect blood profile, stress and growth hormones, LDH levels, and HSP70 gene expression in growing crossbred female pigs.</w:t>
      </w:r>
    </w:p>
    <w:p w14:paraId="072810D3" w14:textId="59FB7FB4" w:rsidR="00615BCB" w:rsidRPr="0053223A" w:rsidRDefault="0045386A" w:rsidP="0053223A">
      <w:pPr>
        <w:pStyle w:val="ListParagraph"/>
        <w:numPr>
          <w:ilvl w:val="0"/>
          <w:numId w:val="6"/>
        </w:numPr>
        <w:spacing w:before="240" w:line="276" w:lineRule="auto"/>
        <w:jc w:val="both"/>
        <w:rPr>
          <w:rFonts w:ascii="Arial" w:hAnsi="Arial" w:cs="Arial"/>
          <w:b/>
          <w:bCs/>
          <w:sz w:val="20"/>
          <w:szCs w:val="20"/>
        </w:rPr>
      </w:pPr>
      <w:r w:rsidRPr="0053223A">
        <w:rPr>
          <w:rFonts w:ascii="Arial" w:hAnsi="Arial" w:cs="Arial"/>
          <w:b/>
          <w:bCs/>
          <w:sz w:val="20"/>
          <w:szCs w:val="20"/>
        </w:rPr>
        <w:t>MATERIALS AND METHODS</w:t>
      </w:r>
    </w:p>
    <w:p w14:paraId="271A2E58"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The experiment was approved by the Institutional Animal Ethics Committee constituted as per the article number 13 of the CPCSEA rules laid down by the Government of India and conducted following the code of ethics for animal experimentation.</w:t>
      </w:r>
    </w:p>
    <w:p w14:paraId="3270A895" w14:textId="6CE4E0B6"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Experimental animals</w:t>
      </w:r>
    </w:p>
    <w:p w14:paraId="270021F7" w14:textId="72E3AAAB" w:rsidR="00615BCB" w:rsidRPr="0053223A" w:rsidRDefault="00615BCB" w:rsidP="0053223A">
      <w:pPr>
        <w:spacing w:before="240" w:line="276" w:lineRule="auto"/>
        <w:jc w:val="both"/>
        <w:rPr>
          <w:rFonts w:ascii="Arial" w:hAnsi="Arial" w:cs="Arial"/>
          <w:sz w:val="20"/>
          <w:szCs w:val="20"/>
        </w:rPr>
      </w:pPr>
      <w:r w:rsidRPr="0053223A">
        <w:rPr>
          <w:rFonts w:ascii="Arial" w:hAnsi="Arial" w:cs="Arial"/>
          <w:sz w:val="20"/>
          <w:szCs w:val="20"/>
        </w:rPr>
        <w:t xml:space="preserve">Thirty-six (n=36) healthy weaned crossbred (Hampshire X Assam local) female pigs were selected at </w:t>
      </w:r>
      <w:r w:rsidR="00DF14EC" w:rsidRPr="0053223A">
        <w:rPr>
          <w:rFonts w:ascii="Arial" w:hAnsi="Arial" w:cs="Arial"/>
          <w:sz w:val="20"/>
          <w:szCs w:val="20"/>
        </w:rPr>
        <w:t>AICRP</w:t>
      </w:r>
      <w:r w:rsidR="00B21B75" w:rsidRPr="0053223A">
        <w:rPr>
          <w:rFonts w:ascii="Arial" w:hAnsi="Arial" w:cs="Arial"/>
          <w:sz w:val="20"/>
          <w:szCs w:val="20"/>
        </w:rPr>
        <w:t xml:space="preserve"> (All India Co-ordinated Research Project)</w:t>
      </w:r>
      <w:r w:rsidR="00DF14EC" w:rsidRPr="0053223A">
        <w:rPr>
          <w:rFonts w:ascii="Arial" w:hAnsi="Arial" w:cs="Arial"/>
          <w:sz w:val="20"/>
          <w:szCs w:val="20"/>
        </w:rPr>
        <w:t xml:space="preserve"> on Pig, College of Veterinary Science, </w:t>
      </w:r>
      <w:proofErr w:type="spellStart"/>
      <w:r w:rsidR="00DF14EC" w:rsidRPr="0053223A">
        <w:rPr>
          <w:rFonts w:ascii="Arial" w:hAnsi="Arial" w:cs="Arial"/>
          <w:sz w:val="20"/>
          <w:szCs w:val="20"/>
        </w:rPr>
        <w:t>Khanapara</w:t>
      </w:r>
      <w:proofErr w:type="spellEnd"/>
      <w:r w:rsidR="00DF14EC" w:rsidRPr="0053223A">
        <w:rPr>
          <w:rFonts w:ascii="Arial" w:hAnsi="Arial" w:cs="Arial"/>
          <w:sz w:val="20"/>
          <w:szCs w:val="20"/>
        </w:rPr>
        <w:t>, Guwahati</w:t>
      </w:r>
      <w:r w:rsidRPr="0053223A">
        <w:rPr>
          <w:rFonts w:ascii="Arial" w:hAnsi="Arial" w:cs="Arial"/>
          <w:sz w:val="20"/>
          <w:szCs w:val="20"/>
        </w:rPr>
        <w:t>, Assam (</w:t>
      </w:r>
      <w:r w:rsidR="00BF426E" w:rsidRPr="0053223A">
        <w:rPr>
          <w:rFonts w:ascii="Arial" w:hAnsi="Arial" w:cs="Arial"/>
          <w:color w:val="000000" w:themeColor="text1"/>
          <w:sz w:val="20"/>
          <w:szCs w:val="20"/>
        </w:rPr>
        <w:t>Altitude and Longitude is 26°07'16"N 91°49'15"E</w:t>
      </w:r>
      <w:r w:rsidRPr="0053223A">
        <w:rPr>
          <w:rFonts w:ascii="Arial" w:hAnsi="Arial" w:cs="Arial"/>
          <w:sz w:val="20"/>
          <w:szCs w:val="20"/>
        </w:rPr>
        <w:t>) for the study. Eighteen (n=18) animals were subjected to treatment (melatonin and Vitamin E) separately during summer (June, July and August) and winter (December, January, February). Selected animals were divided into three groups with six</w:t>
      </w:r>
      <w:r w:rsidR="00C3150F" w:rsidRPr="0053223A">
        <w:rPr>
          <w:rFonts w:ascii="Arial" w:hAnsi="Arial" w:cs="Arial"/>
          <w:sz w:val="20"/>
          <w:szCs w:val="20"/>
        </w:rPr>
        <w:t xml:space="preserve"> (n=6)</w:t>
      </w:r>
      <w:r w:rsidRPr="0053223A">
        <w:rPr>
          <w:rFonts w:ascii="Arial" w:hAnsi="Arial" w:cs="Arial"/>
          <w:sz w:val="20"/>
          <w:szCs w:val="20"/>
        </w:rPr>
        <w:t xml:space="preserve"> pigs in each group consisting of the control group, Treatment 1 (melatonin (</w:t>
      </w:r>
      <w:proofErr w:type="spellStart"/>
      <w:r w:rsidRPr="0053223A">
        <w:rPr>
          <w:rFonts w:ascii="Arial" w:hAnsi="Arial" w:cs="Arial"/>
          <w:sz w:val="20"/>
          <w:szCs w:val="20"/>
        </w:rPr>
        <w:t>Meloset</w:t>
      </w:r>
      <w:proofErr w:type="spellEnd"/>
      <w:r w:rsidRPr="0053223A">
        <w:rPr>
          <w:rFonts w:ascii="Arial" w:hAnsi="Arial" w:cs="Arial"/>
          <w:sz w:val="20"/>
          <w:szCs w:val="20"/>
        </w:rPr>
        <w:t xml:space="preserve">) @ 3mg/animal), and Treatment 2 (Vitamin E (Evion) @ 100 mg/animal) during the winter and summer season. The experimental animals were fed as per the standard feeding practices of the farm. The experiment was carried out for three months in both the seasons and the animals were observed till furrowing to determine the litter size. </w:t>
      </w:r>
    </w:p>
    <w:p w14:paraId="4B23BF4C" w14:textId="18796677" w:rsidR="00615BCB" w:rsidRPr="0053223A" w:rsidRDefault="00615BCB" w:rsidP="0053223A">
      <w:pPr>
        <w:pStyle w:val="ListParagraph"/>
        <w:numPr>
          <w:ilvl w:val="1"/>
          <w:numId w:val="6"/>
        </w:numPr>
        <w:spacing w:before="240" w:line="276" w:lineRule="auto"/>
        <w:jc w:val="both"/>
        <w:rPr>
          <w:rFonts w:ascii="Arial" w:hAnsi="Arial" w:cs="Arial"/>
          <w:b/>
          <w:bCs/>
          <w:sz w:val="20"/>
          <w:szCs w:val="20"/>
        </w:rPr>
      </w:pPr>
      <w:r w:rsidRPr="0053223A">
        <w:rPr>
          <w:rFonts w:ascii="Arial" w:hAnsi="Arial" w:cs="Arial"/>
          <w:b/>
          <w:bCs/>
          <w:sz w:val="20"/>
          <w:szCs w:val="20"/>
        </w:rPr>
        <w:t>Temperature-Humidity Index (THI)</w:t>
      </w:r>
    </w:p>
    <w:p w14:paraId="356E93C9" w14:textId="207FE82F"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Temperature-Humidity Index was calculated from the data of ambient temperature and relative humidity by using the </w:t>
      </w:r>
      <w:r w:rsidRPr="0053223A">
        <w:rPr>
          <w:rFonts w:ascii="Arial" w:hAnsi="Arial" w:cs="Arial"/>
          <w:color w:val="000000" w:themeColor="text1"/>
          <w:sz w:val="20"/>
          <w:szCs w:val="20"/>
        </w:rPr>
        <w:t xml:space="preserve">formula of </w:t>
      </w:r>
      <w:r w:rsidRPr="0053223A">
        <w:rPr>
          <w:rFonts w:ascii="Arial" w:hAnsi="Arial" w:cs="Arial"/>
          <w:bCs/>
          <w:color w:val="000000" w:themeColor="text1"/>
          <w:sz w:val="20"/>
          <w:szCs w:val="20"/>
        </w:rPr>
        <w:t xml:space="preserve">Mader </w:t>
      </w:r>
      <w:r w:rsidR="0045386A" w:rsidRPr="0053223A">
        <w:rPr>
          <w:rFonts w:ascii="Arial" w:hAnsi="Arial" w:cs="Arial"/>
          <w:bCs/>
          <w:i/>
          <w:iCs/>
          <w:color w:val="000000" w:themeColor="text1"/>
          <w:sz w:val="20"/>
          <w:szCs w:val="20"/>
        </w:rPr>
        <w:t>et al.,</w:t>
      </w:r>
      <w:r w:rsidRPr="0053223A">
        <w:rPr>
          <w:rFonts w:ascii="Arial" w:hAnsi="Arial" w:cs="Arial"/>
          <w:bCs/>
          <w:i/>
          <w:color w:val="000000" w:themeColor="text1"/>
          <w:sz w:val="20"/>
          <w:szCs w:val="20"/>
        </w:rPr>
        <w:t xml:space="preserve"> </w:t>
      </w:r>
      <w:r w:rsidRPr="0053223A">
        <w:rPr>
          <w:rFonts w:ascii="Arial" w:hAnsi="Arial" w:cs="Arial"/>
          <w:bCs/>
          <w:color w:val="000000" w:themeColor="text1"/>
          <w:sz w:val="20"/>
          <w:szCs w:val="20"/>
        </w:rPr>
        <w:t>(</w:t>
      </w:r>
      <w:r w:rsidRPr="0053223A">
        <w:rPr>
          <w:rFonts w:ascii="Arial" w:hAnsi="Arial" w:cs="Arial"/>
          <w:bCs/>
          <w:iCs/>
          <w:color w:val="000000" w:themeColor="text1"/>
          <w:sz w:val="20"/>
          <w:szCs w:val="20"/>
        </w:rPr>
        <w:t>2006).</w:t>
      </w:r>
      <w:r w:rsidRPr="0053223A">
        <w:rPr>
          <w:rFonts w:ascii="Arial" w:hAnsi="Arial" w:cs="Arial"/>
          <w:color w:val="000000" w:themeColor="text1"/>
          <w:sz w:val="20"/>
          <w:szCs w:val="20"/>
        </w:rPr>
        <w:t xml:space="preserve"> The </w:t>
      </w:r>
      <w:r w:rsidRPr="0053223A">
        <w:rPr>
          <w:rFonts w:ascii="Arial" w:hAnsi="Arial" w:cs="Arial"/>
          <w:sz w:val="20"/>
          <w:szCs w:val="20"/>
        </w:rPr>
        <w:t>dry bulb temperature and relative humidity were recorded daily during the experimental period from the Automatic Weather Station (AWS). THI was calculated for the entire period using the following formula:</w:t>
      </w:r>
    </w:p>
    <w:p w14:paraId="6E28634E" w14:textId="77777777" w:rsidR="00615BCB" w:rsidRPr="0053223A" w:rsidRDefault="00615BCB" w:rsidP="0053223A">
      <w:pPr>
        <w:spacing w:line="276" w:lineRule="auto"/>
        <w:jc w:val="both"/>
        <w:rPr>
          <w:rFonts w:ascii="Arial" w:hAnsi="Arial" w:cs="Arial"/>
          <w:bCs/>
          <w:sz w:val="20"/>
          <w:szCs w:val="20"/>
        </w:rPr>
      </w:pPr>
      <w:r w:rsidRPr="0053223A">
        <w:rPr>
          <w:rFonts w:ascii="Arial" w:hAnsi="Arial" w:cs="Arial"/>
          <w:bCs/>
          <w:sz w:val="20"/>
          <w:szCs w:val="20"/>
        </w:rPr>
        <w:t xml:space="preserve"> </w:t>
      </w:r>
      <w:r w:rsidRPr="0053223A">
        <w:rPr>
          <w:rFonts w:ascii="Arial" w:hAnsi="Arial" w:cs="Arial"/>
          <w:bCs/>
          <w:sz w:val="20"/>
          <w:szCs w:val="20"/>
        </w:rPr>
        <w:tab/>
        <w:t xml:space="preserve">  THI = (0.8 x </w:t>
      </w:r>
      <w:proofErr w:type="spellStart"/>
      <w:r w:rsidRPr="0053223A">
        <w:rPr>
          <w:rFonts w:ascii="Arial" w:hAnsi="Arial" w:cs="Arial"/>
          <w:bCs/>
          <w:sz w:val="20"/>
          <w:szCs w:val="20"/>
        </w:rPr>
        <w:t>Tdb</w:t>
      </w:r>
      <w:proofErr w:type="spellEnd"/>
      <w:r w:rsidRPr="0053223A">
        <w:rPr>
          <w:rFonts w:ascii="Arial" w:hAnsi="Arial" w:cs="Arial"/>
          <w:bCs/>
          <w:sz w:val="20"/>
          <w:szCs w:val="20"/>
        </w:rPr>
        <w:t>) + [(RH/100) x (</w:t>
      </w:r>
      <w:proofErr w:type="spellStart"/>
      <w:r w:rsidRPr="0053223A">
        <w:rPr>
          <w:rFonts w:ascii="Arial" w:hAnsi="Arial" w:cs="Arial"/>
          <w:bCs/>
          <w:sz w:val="20"/>
          <w:szCs w:val="20"/>
        </w:rPr>
        <w:t>Tdb</w:t>
      </w:r>
      <w:proofErr w:type="spellEnd"/>
      <w:r w:rsidRPr="0053223A">
        <w:rPr>
          <w:rFonts w:ascii="Arial" w:hAnsi="Arial" w:cs="Arial"/>
          <w:bCs/>
          <w:sz w:val="20"/>
          <w:szCs w:val="20"/>
        </w:rPr>
        <w:t xml:space="preserve"> – 14.4)] + 46.4</w:t>
      </w:r>
    </w:p>
    <w:p w14:paraId="1E7686A6" w14:textId="2021CF41"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 xml:space="preserve">The THI recorded above 82 (stress) during the summer season while THI recorded below 72 (comfort) during the winter </w:t>
      </w:r>
      <w:r w:rsidRPr="0053223A">
        <w:rPr>
          <w:rFonts w:ascii="Arial" w:hAnsi="Arial" w:cs="Arial"/>
          <w:color w:val="000000" w:themeColor="text1"/>
          <w:sz w:val="20"/>
          <w:szCs w:val="20"/>
        </w:rPr>
        <w:t>season (table 1).</w:t>
      </w:r>
    </w:p>
    <w:p w14:paraId="714CABE5" w14:textId="77777777" w:rsidR="0045386A" w:rsidRPr="0053223A" w:rsidRDefault="0045386A" w:rsidP="0053223A">
      <w:pPr>
        <w:spacing w:line="276" w:lineRule="auto"/>
        <w:rPr>
          <w:rFonts w:ascii="Arial" w:hAnsi="Arial" w:cs="Arial"/>
          <w:b/>
          <w:sz w:val="20"/>
          <w:szCs w:val="20"/>
        </w:rPr>
      </w:pPr>
      <w:r w:rsidRPr="0053223A">
        <w:rPr>
          <w:rFonts w:ascii="Arial" w:hAnsi="Arial" w:cs="Arial"/>
          <w:b/>
          <w:sz w:val="20"/>
          <w:szCs w:val="20"/>
        </w:rPr>
        <w:t xml:space="preserve">Table 1. </w:t>
      </w:r>
      <w:r w:rsidRPr="0053223A">
        <w:rPr>
          <w:rFonts w:ascii="Arial" w:hAnsi="Arial" w:cs="Arial"/>
          <w:bCs/>
          <w:sz w:val="20"/>
          <w:szCs w:val="20"/>
        </w:rPr>
        <w:t>Relative humidity, temperature and temperature humidity index (THI) during summer and winter season.</w:t>
      </w:r>
      <w:r w:rsidRPr="0053223A">
        <w:rPr>
          <w:rFonts w:ascii="Arial" w:hAnsi="Arial" w:cs="Arial"/>
          <w:bCs/>
          <w:sz w:val="20"/>
          <w:szCs w:val="20"/>
        </w:rPr>
        <w:tab/>
      </w:r>
    </w:p>
    <w:tbl>
      <w:tblPr>
        <w:tblStyle w:val="TableGrid"/>
        <w:tblW w:w="7650" w:type="dxa"/>
        <w:jc w:val="center"/>
        <w:tblLook w:val="04A0" w:firstRow="1" w:lastRow="0" w:firstColumn="1" w:lastColumn="0" w:noHBand="0" w:noVBand="1"/>
      </w:tblPr>
      <w:tblGrid>
        <w:gridCol w:w="1381"/>
        <w:gridCol w:w="1410"/>
        <w:gridCol w:w="2733"/>
        <w:gridCol w:w="2126"/>
      </w:tblGrid>
      <w:tr w:rsidR="0045386A" w:rsidRPr="0053223A" w14:paraId="57278AB6" w14:textId="77777777" w:rsidTr="00DE2615">
        <w:trPr>
          <w:trHeight w:val="327"/>
          <w:jc w:val="center"/>
        </w:trPr>
        <w:tc>
          <w:tcPr>
            <w:tcW w:w="1381" w:type="dxa"/>
          </w:tcPr>
          <w:p w14:paraId="256B7557"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Season</w:t>
            </w:r>
          </w:p>
        </w:tc>
        <w:tc>
          <w:tcPr>
            <w:tcW w:w="1410" w:type="dxa"/>
          </w:tcPr>
          <w:p w14:paraId="26815BE8"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RH (%)</w:t>
            </w:r>
          </w:p>
        </w:tc>
        <w:tc>
          <w:tcPr>
            <w:tcW w:w="2733" w:type="dxa"/>
          </w:tcPr>
          <w:p w14:paraId="4BAF89D4"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 xml:space="preserve">Ambient temperature </w:t>
            </w:r>
            <w:r w:rsidRPr="0053223A">
              <w:rPr>
                <w:rFonts w:ascii="Arial" w:hAnsi="Arial" w:cs="Arial"/>
                <w:bCs/>
                <w:sz w:val="20"/>
                <w:szCs w:val="20"/>
                <w:lang w:eastAsia="en-IN"/>
              </w:rPr>
              <w:t>(</w:t>
            </w:r>
            <w:proofErr w:type="spellStart"/>
            <w:r w:rsidRPr="0053223A">
              <w:rPr>
                <w:rFonts w:ascii="Arial" w:hAnsi="Arial" w:cs="Arial"/>
                <w:bCs/>
                <w:color w:val="000000"/>
                <w:sz w:val="20"/>
                <w:szCs w:val="20"/>
                <w:vertAlign w:val="superscript"/>
                <w:lang w:eastAsia="en-IN"/>
              </w:rPr>
              <w:t>o</w:t>
            </w:r>
            <w:r w:rsidRPr="0053223A">
              <w:rPr>
                <w:rFonts w:ascii="Arial" w:hAnsi="Arial" w:cs="Arial"/>
                <w:bCs/>
                <w:color w:val="000000"/>
                <w:sz w:val="20"/>
                <w:szCs w:val="20"/>
                <w:lang w:eastAsia="en-IN"/>
              </w:rPr>
              <w:t>C</w:t>
            </w:r>
            <w:proofErr w:type="spellEnd"/>
            <w:r w:rsidRPr="0053223A">
              <w:rPr>
                <w:rFonts w:ascii="Arial" w:hAnsi="Arial" w:cs="Arial"/>
                <w:bCs/>
                <w:sz w:val="20"/>
                <w:szCs w:val="20"/>
                <w:lang w:eastAsia="en-IN"/>
              </w:rPr>
              <w:t>)</w:t>
            </w:r>
          </w:p>
        </w:tc>
        <w:tc>
          <w:tcPr>
            <w:tcW w:w="2126" w:type="dxa"/>
          </w:tcPr>
          <w:p w14:paraId="28476CD9"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THI</w:t>
            </w:r>
          </w:p>
        </w:tc>
      </w:tr>
      <w:tr w:rsidR="0045386A" w:rsidRPr="0053223A" w14:paraId="326EE22C" w14:textId="77777777" w:rsidTr="00DE2615">
        <w:trPr>
          <w:trHeight w:val="341"/>
          <w:jc w:val="center"/>
        </w:trPr>
        <w:tc>
          <w:tcPr>
            <w:tcW w:w="1381" w:type="dxa"/>
          </w:tcPr>
          <w:p w14:paraId="230145B4"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Summer</w:t>
            </w:r>
          </w:p>
        </w:tc>
        <w:tc>
          <w:tcPr>
            <w:tcW w:w="1410" w:type="dxa"/>
          </w:tcPr>
          <w:p w14:paraId="02DBDF37"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81.97±1.12</w:t>
            </w:r>
          </w:p>
        </w:tc>
        <w:tc>
          <w:tcPr>
            <w:tcW w:w="2733" w:type="dxa"/>
          </w:tcPr>
          <w:p w14:paraId="480EE5C5"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29.28±0.30</w:t>
            </w:r>
          </w:p>
        </w:tc>
        <w:tc>
          <w:tcPr>
            <w:tcW w:w="2126" w:type="dxa"/>
          </w:tcPr>
          <w:p w14:paraId="7E919786"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82.01±0.50</w:t>
            </w:r>
          </w:p>
        </w:tc>
      </w:tr>
      <w:tr w:rsidR="0045386A" w:rsidRPr="0053223A" w14:paraId="32BC2D5B" w14:textId="77777777" w:rsidTr="00DE2615">
        <w:trPr>
          <w:trHeight w:val="341"/>
          <w:jc w:val="center"/>
        </w:trPr>
        <w:tc>
          <w:tcPr>
            <w:tcW w:w="1381" w:type="dxa"/>
          </w:tcPr>
          <w:p w14:paraId="62E77A70"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Winter</w:t>
            </w:r>
          </w:p>
        </w:tc>
        <w:tc>
          <w:tcPr>
            <w:tcW w:w="1410" w:type="dxa"/>
          </w:tcPr>
          <w:p w14:paraId="65510D53"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68.75±5.98</w:t>
            </w:r>
          </w:p>
        </w:tc>
        <w:tc>
          <w:tcPr>
            <w:tcW w:w="2733" w:type="dxa"/>
          </w:tcPr>
          <w:p w14:paraId="717925E8"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17.91±0.14</w:t>
            </w:r>
          </w:p>
        </w:tc>
        <w:tc>
          <w:tcPr>
            <w:tcW w:w="2126" w:type="dxa"/>
          </w:tcPr>
          <w:p w14:paraId="4FB01FAE" w14:textId="77777777"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63.16±0.30</w:t>
            </w:r>
          </w:p>
        </w:tc>
      </w:tr>
    </w:tbl>
    <w:p w14:paraId="3EB1B89B" w14:textId="77777777" w:rsidR="0045386A" w:rsidRPr="0053223A" w:rsidRDefault="0045386A" w:rsidP="0053223A">
      <w:pPr>
        <w:spacing w:line="276" w:lineRule="auto"/>
        <w:jc w:val="both"/>
        <w:rPr>
          <w:rFonts w:ascii="Arial" w:hAnsi="Arial" w:cs="Arial"/>
          <w:sz w:val="20"/>
          <w:szCs w:val="20"/>
        </w:rPr>
      </w:pPr>
    </w:p>
    <w:p w14:paraId="44184394" w14:textId="555D4E3D"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Blood collection </w:t>
      </w:r>
    </w:p>
    <w:p w14:paraId="71E56439"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About 5 mL of blood was collected from vena cava following all the ascetic protocol as well as the ethical committee consideration. Around 1.5 mL of blood transfer to EDTA coated vial for haematological profile and total RNA isolation. The other part of the blood was allowed to coagulate, and serum was separated and stored at -20°C for estimation of Cortisol, growth hormone and Lactate dehydrogenase (LDH). About 500 µL of blood immediately transfer to a Tube (</w:t>
      </w:r>
      <w:proofErr w:type="spellStart"/>
      <w:r w:rsidRPr="0053223A">
        <w:rPr>
          <w:rFonts w:ascii="Arial" w:hAnsi="Arial" w:cs="Arial"/>
          <w:sz w:val="20"/>
          <w:szCs w:val="20"/>
        </w:rPr>
        <w:t>RNAprotect</w:t>
      </w:r>
      <w:proofErr w:type="spellEnd"/>
      <w:r w:rsidRPr="0053223A">
        <w:rPr>
          <w:rFonts w:ascii="Arial" w:hAnsi="Arial" w:cs="Arial"/>
          <w:sz w:val="20"/>
          <w:szCs w:val="20"/>
        </w:rPr>
        <w:t xml:space="preserve">® Animal Blood Tubes, Cat. No. 76554) for Total RNA isolation. Haematological profile carried out using MS4 Automated Haematological Cell Counter. </w:t>
      </w:r>
    </w:p>
    <w:p w14:paraId="0842C849" w14:textId="10545EEE"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Body weight measurement</w:t>
      </w:r>
    </w:p>
    <w:p w14:paraId="2FD1CD96" w14:textId="77777777" w:rsidR="00910FE7"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lastRenderedPageBreak/>
        <w:t xml:space="preserve">The body weight of the animals was measured using a digital balance at regular intervals to monitor growth. Measurements were taken every fortnight, starting from the weaning period and continuing for four months post-weaning. </w:t>
      </w:r>
    </w:p>
    <w:p w14:paraId="76B08BB4" w14:textId="57DAD502"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Hormones and LDH estimation</w:t>
      </w:r>
    </w:p>
    <w:p w14:paraId="6DEC6ACE"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The level of cortisol was estimated by Radioimmunoassay (RIA) technique using RIA kits (</w:t>
      </w:r>
      <w:proofErr w:type="spellStart"/>
      <w:r w:rsidRPr="0053223A">
        <w:rPr>
          <w:rFonts w:ascii="Arial" w:hAnsi="Arial" w:cs="Arial"/>
          <w:sz w:val="20"/>
          <w:szCs w:val="20"/>
        </w:rPr>
        <w:t>Immunotech</w:t>
      </w:r>
      <w:proofErr w:type="spellEnd"/>
      <w:r w:rsidRPr="0053223A">
        <w:rPr>
          <w:rFonts w:ascii="Arial" w:hAnsi="Arial" w:cs="Arial"/>
          <w:sz w:val="20"/>
          <w:szCs w:val="20"/>
        </w:rPr>
        <w:t xml:space="preserve">, France). The tracer I-125 was used in the estimation technique which involved competition between free and isotope tagged hormone for binding to the limited antibody sites and subsequently quantification was made through calibration curve (6 well Automatic gamma counter procured from </w:t>
      </w:r>
      <w:proofErr w:type="spellStart"/>
      <w:r w:rsidRPr="0053223A">
        <w:rPr>
          <w:rFonts w:ascii="Arial" w:hAnsi="Arial" w:cs="Arial"/>
          <w:sz w:val="20"/>
          <w:szCs w:val="20"/>
        </w:rPr>
        <w:t>Stratec</w:t>
      </w:r>
      <w:proofErr w:type="spellEnd"/>
      <w:r w:rsidRPr="0053223A">
        <w:rPr>
          <w:rFonts w:ascii="Arial" w:hAnsi="Arial" w:cs="Arial"/>
          <w:sz w:val="20"/>
          <w:szCs w:val="20"/>
        </w:rPr>
        <w:t xml:space="preserve"> W. Germany). The intra and inter assay co-efficient of variation were found to be 5.8 per cent and 9.2 per cent. </w:t>
      </w:r>
      <w:r w:rsidRPr="0053223A">
        <w:rPr>
          <w:rFonts w:ascii="Arial" w:hAnsi="Arial" w:cs="Arial"/>
          <w:color w:val="000000" w:themeColor="text1"/>
          <w:sz w:val="20"/>
          <w:szCs w:val="20"/>
        </w:rPr>
        <w:t xml:space="preserve">Growth hormone (LDN Immunoassays and services) and Melatonin </w:t>
      </w:r>
      <w:r w:rsidRPr="0053223A">
        <w:rPr>
          <w:rFonts w:ascii="Arial" w:hAnsi="Arial" w:cs="Arial"/>
          <w:sz w:val="20"/>
          <w:szCs w:val="20"/>
        </w:rPr>
        <w:t>(</w:t>
      </w:r>
      <w:proofErr w:type="spellStart"/>
      <w:r w:rsidRPr="0053223A">
        <w:rPr>
          <w:rFonts w:ascii="Arial" w:hAnsi="Arial" w:cs="Arial"/>
          <w:sz w:val="20"/>
          <w:szCs w:val="20"/>
        </w:rPr>
        <w:t>Genway</w:t>
      </w:r>
      <w:proofErr w:type="spellEnd"/>
      <w:r w:rsidRPr="0053223A">
        <w:rPr>
          <w:rFonts w:ascii="Arial" w:hAnsi="Arial" w:cs="Arial"/>
          <w:sz w:val="20"/>
          <w:szCs w:val="20"/>
        </w:rPr>
        <w:t xml:space="preserve">, Biotech Inc.) </w:t>
      </w:r>
      <w:r w:rsidRPr="0053223A">
        <w:rPr>
          <w:rFonts w:ascii="Arial" w:hAnsi="Arial" w:cs="Arial"/>
          <w:color w:val="000000" w:themeColor="text1"/>
          <w:sz w:val="20"/>
          <w:szCs w:val="20"/>
        </w:rPr>
        <w:t xml:space="preserve">were estimated by ELISA technique using Elisa kits </w:t>
      </w:r>
      <w:r w:rsidRPr="0053223A">
        <w:rPr>
          <w:rFonts w:ascii="Arial" w:hAnsi="Arial" w:cs="Arial"/>
          <w:sz w:val="20"/>
          <w:szCs w:val="20"/>
        </w:rPr>
        <w:t xml:space="preserve">as per the manufacturer protocol. The Lactate Dehydrogenase (LDH) was estimated using LDH assay kit (Cayman Chemical Company, USA) as per manufactures protocol. The estimation used 96 wells plates namely </w:t>
      </w:r>
      <w:proofErr w:type="spellStart"/>
      <w:r w:rsidRPr="0053223A">
        <w:rPr>
          <w:rFonts w:ascii="Arial" w:hAnsi="Arial" w:cs="Arial"/>
          <w:sz w:val="20"/>
          <w:szCs w:val="20"/>
        </w:rPr>
        <w:t>Dynamica</w:t>
      </w:r>
      <w:proofErr w:type="spellEnd"/>
      <w:r w:rsidRPr="0053223A">
        <w:rPr>
          <w:rFonts w:ascii="Arial" w:hAnsi="Arial" w:cs="Arial"/>
          <w:sz w:val="20"/>
          <w:szCs w:val="20"/>
        </w:rPr>
        <w:t>, Halo MPR 96 visible Microplate Readers (Australia).</w:t>
      </w:r>
    </w:p>
    <w:p w14:paraId="21CA48C3" w14:textId="5EA9D624"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Estimation of vitamin E</w:t>
      </w:r>
    </w:p>
    <w:p w14:paraId="68563847"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Vitamin E was estimated by Ferric Chloride Dipyridyl Method (Emmerie-Engel Reaction). The absorbency was determined at 520mµ. The difference between the absorbencies of the control sample and the test sample was converted to mg of tocopherol.</w:t>
      </w:r>
    </w:p>
    <w:p w14:paraId="4EB9FB05" w14:textId="53360D40" w:rsidR="00615BCB" w:rsidRPr="0053223A" w:rsidRDefault="00615BCB" w:rsidP="0053223A">
      <w:pPr>
        <w:pStyle w:val="ListParagraph"/>
        <w:numPr>
          <w:ilvl w:val="1"/>
          <w:numId w:val="6"/>
        </w:numPr>
        <w:spacing w:line="276" w:lineRule="auto"/>
        <w:jc w:val="both"/>
        <w:rPr>
          <w:rFonts w:ascii="Arial" w:hAnsi="Arial" w:cs="Arial"/>
          <w:sz w:val="20"/>
          <w:szCs w:val="20"/>
        </w:rPr>
      </w:pPr>
      <w:r w:rsidRPr="0053223A">
        <w:rPr>
          <w:rFonts w:ascii="Arial" w:hAnsi="Arial" w:cs="Arial"/>
          <w:b/>
          <w:bCs/>
          <w:sz w:val="20"/>
          <w:szCs w:val="20"/>
        </w:rPr>
        <w:t>Total RNA isolation</w:t>
      </w:r>
    </w:p>
    <w:p w14:paraId="4FDFD8FD"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RNA was isolated from blood using </w:t>
      </w:r>
      <w:proofErr w:type="spellStart"/>
      <w:r w:rsidRPr="0053223A">
        <w:rPr>
          <w:rFonts w:ascii="Arial" w:hAnsi="Arial" w:cs="Arial"/>
          <w:sz w:val="20"/>
          <w:szCs w:val="20"/>
        </w:rPr>
        <w:t>RNAprotect</w:t>
      </w:r>
      <w:proofErr w:type="spellEnd"/>
      <w:r w:rsidRPr="0053223A">
        <w:rPr>
          <w:rFonts w:ascii="Arial" w:hAnsi="Arial" w:cs="Arial"/>
          <w:sz w:val="20"/>
          <w:szCs w:val="20"/>
        </w:rPr>
        <w:t xml:space="preserve"> Animal Blood Tubes (Qiagen), which stabilized RNA at room temperature before storage at -20°C. Blood (500 µL) was added to the </w:t>
      </w:r>
      <w:proofErr w:type="spellStart"/>
      <w:r w:rsidRPr="0053223A">
        <w:rPr>
          <w:rFonts w:ascii="Arial" w:hAnsi="Arial" w:cs="Arial"/>
          <w:sz w:val="20"/>
          <w:szCs w:val="20"/>
        </w:rPr>
        <w:t>RNAprotect</w:t>
      </w:r>
      <w:proofErr w:type="spellEnd"/>
      <w:r w:rsidRPr="0053223A">
        <w:rPr>
          <w:rFonts w:ascii="Arial" w:hAnsi="Arial" w:cs="Arial"/>
          <w:sz w:val="20"/>
          <w:szCs w:val="20"/>
        </w:rPr>
        <w:t xml:space="preserve"> Animal Blood Tube, mixed gently, incubated for at least 2 hours at 15-25°C, and stored until further processing. For mRNA preparation, the tubes were centrifuged (5000×g, 3 min), and 100 µL of blood was transferred to a new tube. After washing with RNase-free water and </w:t>
      </w:r>
      <w:proofErr w:type="spellStart"/>
      <w:r w:rsidRPr="0053223A">
        <w:rPr>
          <w:rFonts w:ascii="Arial" w:hAnsi="Arial" w:cs="Arial"/>
          <w:sz w:val="20"/>
          <w:szCs w:val="20"/>
        </w:rPr>
        <w:t>vortexing</w:t>
      </w:r>
      <w:proofErr w:type="spellEnd"/>
      <w:r w:rsidRPr="0053223A">
        <w:rPr>
          <w:rFonts w:ascii="Arial" w:hAnsi="Arial" w:cs="Arial"/>
          <w:sz w:val="20"/>
          <w:szCs w:val="20"/>
        </w:rPr>
        <w:t xml:space="preserve">, the pellet was resuspended in buffer RSB. The sample was then mixed with buffer RBT and proteinase K, incubated at 55°C, and processed through a </w:t>
      </w:r>
      <w:proofErr w:type="spellStart"/>
      <w:r w:rsidRPr="0053223A">
        <w:rPr>
          <w:rFonts w:ascii="Arial" w:hAnsi="Arial" w:cs="Arial"/>
          <w:sz w:val="20"/>
          <w:szCs w:val="20"/>
        </w:rPr>
        <w:t>QIAshredder</w:t>
      </w:r>
      <w:proofErr w:type="spellEnd"/>
      <w:r w:rsidRPr="0053223A">
        <w:rPr>
          <w:rFonts w:ascii="Arial" w:hAnsi="Arial" w:cs="Arial"/>
          <w:sz w:val="20"/>
          <w:szCs w:val="20"/>
        </w:rPr>
        <w:t xml:space="preserve"> spin column. Ethanol (96-100%) was added to the supernatant, followed by purification using a RNeasy Min-Elute spin column. DNase I treatment was performed to remove genomic DNA, with sequential washes using buffers RW1, RPE, and 80% ethanol. The purified RNA was eluted in buffer REB, incubated at 65°C for 5 min, and immediately chilled on ice. The purity of the isolated RNA was assessed using a spectrophotometer at 260/280 nm, with samples a ratio between 1.8 and 2.1 selected for cDNA preparation.</w:t>
      </w:r>
    </w:p>
    <w:p w14:paraId="59944A82" w14:textId="7288F022"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cDNA Preparation and Reverse Transcription Cycling Program  </w:t>
      </w:r>
    </w:p>
    <w:p w14:paraId="28FB4CF2"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cDNA was synthesized using the Verso cDNA Synthesis Kit (Thermo Scientific) following the manufacturer's protocol. The reaction was set up in a final volume of 20 µL, consisting of 4 µL of 5× cDNA synthesis buffer (1× final concentration), 2 µL of dNTP mix (500 µM each), 1 µL of RNA primer, 1 µL of RT enhancer, 1 µL of Verso Enzyme Mix, and 1-5 µL of RNA template (1 ng). Nuclease-free water was added to adjust the total volume to 20 µL. The cDNA synthesis was performed at 42°C for 30 minutes (1 cycle), followed by enzyme inactivation at 95°C for 2 minutes (1 cycle).</w:t>
      </w:r>
    </w:p>
    <w:p w14:paraId="4BC3B316" w14:textId="34C52097"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Polymerase Chain Reaction (PCR) and Semi-Quantitative PCR (qPCR) </w:t>
      </w:r>
    </w:p>
    <w:p w14:paraId="2DBA1E4C" w14:textId="219153C8"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Polymerase Chain Reaction (PCR) for HSP 70 and GAPDH genes was carried out to check the specificity of the primers used and to confirm the size of the amplicons. The PCR reaction mixture included 10X Taq DNA polymerase buffer with 15 mM Mg+2 (2.5 µL), forward primer (10 </w:t>
      </w:r>
      <w:proofErr w:type="spellStart"/>
      <w:r w:rsidRPr="0053223A">
        <w:rPr>
          <w:rFonts w:ascii="Arial" w:hAnsi="Arial" w:cs="Arial"/>
          <w:sz w:val="20"/>
          <w:szCs w:val="20"/>
        </w:rPr>
        <w:t>pmol</w:t>
      </w:r>
      <w:proofErr w:type="spellEnd"/>
      <w:r w:rsidRPr="0053223A">
        <w:rPr>
          <w:rFonts w:ascii="Arial" w:hAnsi="Arial" w:cs="Arial"/>
          <w:sz w:val="20"/>
          <w:szCs w:val="20"/>
        </w:rPr>
        <w:t xml:space="preserve">) (1.0 µL), reverse primer (10 </w:t>
      </w:r>
      <w:proofErr w:type="spellStart"/>
      <w:r w:rsidRPr="0053223A">
        <w:rPr>
          <w:rFonts w:ascii="Arial" w:hAnsi="Arial" w:cs="Arial"/>
          <w:sz w:val="20"/>
          <w:szCs w:val="20"/>
        </w:rPr>
        <w:t>pmol</w:t>
      </w:r>
      <w:proofErr w:type="spellEnd"/>
      <w:r w:rsidRPr="0053223A">
        <w:rPr>
          <w:rFonts w:ascii="Arial" w:hAnsi="Arial" w:cs="Arial"/>
          <w:sz w:val="20"/>
          <w:szCs w:val="20"/>
        </w:rPr>
        <w:t xml:space="preserve">) (1.0 µL), dNTPs mix (10 mM each) (2.5 µL), cDNA (1.0 µL), Taq polymerase (0.2 µL), and nuclease-free water (16.8 µL), making a total volume of 25 µL. The thermal cycling conditions included an initial denaturation at 95°C for 10 minutes, followed by 35 cycles of denaturation at 95°C for 15 seconds, annealing at 60°C for 30 seconds, extension at 72°C for 30 seconds, and a </w:t>
      </w:r>
      <w:r w:rsidRPr="0053223A">
        <w:rPr>
          <w:rFonts w:ascii="Arial" w:hAnsi="Arial" w:cs="Arial"/>
          <w:sz w:val="20"/>
          <w:szCs w:val="20"/>
        </w:rPr>
        <w:lastRenderedPageBreak/>
        <w:t xml:space="preserve">final extension at 72°C for 5 minutes. The primers used for qPCR included HSP 70 forward primer (GCCCTGAATCCGCAGAATA, HM025989.2, 152 bp), HSP 70 reverse primer (TCCCCACGGTAGGAAACG), GAPDH forward primer (GAAGGTCGGAGTGAACGGAT, NM_002046.7, 149 bp), and GAPDH reverse primer (CATGGGTAGAATCATACTGGAACA). Confirmation of specific products for HSP 70 and GAPDH genes was performed using Gel Electrophoresis, where the gel was run until the marker dyes migrated the desired distance. The bands were visualized under UV light in a gel documentation system (Gel Doc XR + </w:t>
      </w:r>
      <w:proofErr w:type="spellStart"/>
      <w:r w:rsidRPr="0053223A">
        <w:rPr>
          <w:rFonts w:ascii="Arial" w:hAnsi="Arial" w:cs="Arial"/>
          <w:sz w:val="20"/>
          <w:szCs w:val="20"/>
        </w:rPr>
        <w:t>BioRad</w:t>
      </w:r>
      <w:proofErr w:type="spellEnd"/>
      <w:r w:rsidRPr="0053223A">
        <w:rPr>
          <w:rFonts w:ascii="Arial" w:hAnsi="Arial" w:cs="Arial"/>
          <w:sz w:val="20"/>
          <w:szCs w:val="20"/>
        </w:rPr>
        <w:t xml:space="preserve">, USA). Semi-Quantitative PCR (qPCR) for HSP 70 was performed using SYBR Green Chemistry on the Applied Biosystems Step One Plus platform, with GAPDH as the internal control. All samples were prepared in triplicate, and reactions were performed in a total volume of 20 µL, comprising SYBR Green Master Mix (2x) (10 µL), forward primer (1 µL), reverse primer (1 µL), cDNA (2 µL), and nuclease-free water (6 µL). The Non-Template Control (NTC) included all the components except cDNA, with nuclease-free water adjusted. The thermal cycling conditions involved an initial denaturation at 95°C for 10 minutes, followed by 40 cycles of denaturation at 95°C for 15 seconds, annealing at 60°C for 30 seconds, and extension at 72°C for 30 seconds. For melt curve </w:t>
      </w:r>
      <w:r w:rsidRPr="0053223A">
        <w:rPr>
          <w:rFonts w:ascii="Arial" w:hAnsi="Arial" w:cs="Arial"/>
          <w:color w:val="000000" w:themeColor="text1"/>
          <w:sz w:val="20"/>
          <w:szCs w:val="20"/>
        </w:rPr>
        <w:t xml:space="preserve">analysis, </w:t>
      </w:r>
      <w:r w:rsidRPr="0053223A">
        <w:rPr>
          <w:rFonts w:ascii="Arial" w:hAnsi="Arial" w:cs="Arial"/>
          <w:sz w:val="20"/>
          <w:szCs w:val="20"/>
        </w:rPr>
        <w:t>the temperature was held at 95°C for 1 minute, followed by ramping down to 60°C while fluorescence data was collected continuously over the 60–95°C range.</w:t>
      </w:r>
    </w:p>
    <w:p w14:paraId="49488C00" w14:textId="160E23E4" w:rsidR="00434051" w:rsidRPr="0053223A" w:rsidRDefault="00434051"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Statistical analysis</w:t>
      </w:r>
    </w:p>
    <w:p w14:paraId="0E407323" w14:textId="2B6A17DA" w:rsidR="00434051" w:rsidRPr="0053223A" w:rsidRDefault="00933B9F" w:rsidP="0053223A">
      <w:pPr>
        <w:spacing w:line="276" w:lineRule="auto"/>
        <w:rPr>
          <w:rFonts w:ascii="Arial" w:hAnsi="Arial" w:cs="Arial"/>
          <w:sz w:val="20"/>
          <w:szCs w:val="20"/>
        </w:rPr>
      </w:pPr>
      <w:r w:rsidRPr="0053223A">
        <w:rPr>
          <w:rFonts w:ascii="Arial" w:hAnsi="Arial" w:cs="Arial"/>
          <w:sz w:val="20"/>
          <w:szCs w:val="20"/>
        </w:rPr>
        <w:t>The statistical analysis was conducted following the methodology outlined by Snedecor and Cochran (1994), utilizing SAS Enterprise Guide (version 9.3). Graphs were generated using PRISM8 software.</w:t>
      </w:r>
    </w:p>
    <w:p w14:paraId="58291224" w14:textId="01A57538" w:rsidR="00615BCB" w:rsidRPr="0053223A" w:rsidRDefault="0045386A" w:rsidP="0053223A">
      <w:pPr>
        <w:pStyle w:val="ListParagraph"/>
        <w:numPr>
          <w:ilvl w:val="0"/>
          <w:numId w:val="6"/>
        </w:numPr>
        <w:spacing w:line="276" w:lineRule="auto"/>
        <w:jc w:val="both"/>
        <w:rPr>
          <w:rFonts w:ascii="Arial" w:hAnsi="Arial" w:cs="Arial"/>
          <w:b/>
          <w:bCs/>
          <w:sz w:val="20"/>
          <w:szCs w:val="20"/>
        </w:rPr>
      </w:pPr>
      <w:r w:rsidRPr="0053223A">
        <w:rPr>
          <w:rFonts w:ascii="Arial" w:hAnsi="Arial" w:cs="Arial"/>
          <w:b/>
          <w:bCs/>
          <w:sz w:val="20"/>
          <w:szCs w:val="20"/>
        </w:rPr>
        <w:t>RESULTS AND DISCUSSION</w:t>
      </w:r>
    </w:p>
    <w:p w14:paraId="1D90BC6D" w14:textId="77777777"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seasonal variation significantly (p&lt;0.05) influences the haematological parameters </w:t>
      </w:r>
      <w:r w:rsidRPr="0053223A">
        <w:rPr>
          <w:rFonts w:ascii="Arial" w:hAnsi="Arial" w:cs="Arial"/>
          <w:color w:val="000000" w:themeColor="text1"/>
          <w:sz w:val="20"/>
          <w:szCs w:val="20"/>
        </w:rPr>
        <w:t xml:space="preserve">(table 2). The </w:t>
      </w:r>
      <w:r w:rsidRPr="0053223A">
        <w:rPr>
          <w:rFonts w:ascii="Arial" w:hAnsi="Arial" w:cs="Arial"/>
          <w:sz w:val="20"/>
          <w:szCs w:val="20"/>
        </w:rPr>
        <w:t>haemoglobin level (g/dl) were lower (p&lt;0.05) in all groups during the summer season compared to winter values. Packed cell volume (PCV) also showed a similar trend, being lower (p&lt;0.05) during summer compared to the winter season. The total erythrocytic count (TEC) was reduced in summer as compared to winter season, conversely, total leukocytic count (TLC) was higher (p&lt;0.05) during the summer season as compared to the winter season. The supplementation of melatonin and vitamin E did not significantly (p&lt;0.05) influence the haematological profile during the summer or winter season in pigs.</w:t>
      </w:r>
    </w:p>
    <w:p w14:paraId="7FB950B4" w14:textId="77777777" w:rsidR="0045386A" w:rsidRPr="0053223A" w:rsidRDefault="0045386A" w:rsidP="0053223A">
      <w:pPr>
        <w:spacing w:line="276" w:lineRule="auto"/>
        <w:jc w:val="both"/>
        <w:rPr>
          <w:rFonts w:ascii="Arial" w:hAnsi="Arial" w:cs="Arial"/>
          <w:sz w:val="20"/>
          <w:szCs w:val="20"/>
        </w:rPr>
      </w:pPr>
      <w:r w:rsidRPr="0053223A">
        <w:rPr>
          <w:rFonts w:ascii="Arial" w:hAnsi="Arial" w:cs="Arial"/>
          <w:b/>
          <w:bCs/>
          <w:sz w:val="20"/>
          <w:szCs w:val="20"/>
        </w:rPr>
        <w:t>Table 2</w:t>
      </w:r>
      <w:r w:rsidRPr="0053223A">
        <w:rPr>
          <w:rFonts w:ascii="Arial" w:hAnsi="Arial" w:cs="Arial"/>
          <w:sz w:val="20"/>
          <w:szCs w:val="20"/>
        </w:rPr>
        <w:t>. Seasonal variation of Haematological parameters in control and supplemented (melatonin and vitamin E) groups.</w:t>
      </w:r>
    </w:p>
    <w:tbl>
      <w:tblPr>
        <w:tblStyle w:val="TableGrid"/>
        <w:tblW w:w="0" w:type="auto"/>
        <w:tblLook w:val="04A0" w:firstRow="1" w:lastRow="0" w:firstColumn="1" w:lastColumn="0" w:noHBand="0" w:noVBand="1"/>
      </w:tblPr>
      <w:tblGrid>
        <w:gridCol w:w="3114"/>
        <w:gridCol w:w="2896"/>
        <w:gridCol w:w="3006"/>
      </w:tblGrid>
      <w:tr w:rsidR="0045386A" w:rsidRPr="0053223A" w14:paraId="2C9F8ED7" w14:textId="77777777" w:rsidTr="00DE2615">
        <w:tc>
          <w:tcPr>
            <w:tcW w:w="3114" w:type="dxa"/>
            <w:vMerge w:val="restart"/>
          </w:tcPr>
          <w:p w14:paraId="035A0866"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Groups/ Parameters</w:t>
            </w:r>
          </w:p>
        </w:tc>
        <w:tc>
          <w:tcPr>
            <w:tcW w:w="5902" w:type="dxa"/>
            <w:gridSpan w:val="2"/>
          </w:tcPr>
          <w:p w14:paraId="3000E009"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Season</w:t>
            </w:r>
          </w:p>
        </w:tc>
      </w:tr>
      <w:tr w:rsidR="0045386A" w:rsidRPr="0053223A" w14:paraId="5A7BC6FC" w14:textId="77777777" w:rsidTr="00DE2615">
        <w:tc>
          <w:tcPr>
            <w:tcW w:w="3114" w:type="dxa"/>
            <w:vMerge/>
          </w:tcPr>
          <w:p w14:paraId="00379238" w14:textId="77777777" w:rsidR="0045386A" w:rsidRPr="0053223A" w:rsidRDefault="0045386A" w:rsidP="0053223A">
            <w:pPr>
              <w:spacing w:line="276" w:lineRule="auto"/>
              <w:jc w:val="center"/>
              <w:rPr>
                <w:rFonts w:ascii="Arial" w:hAnsi="Arial" w:cs="Arial"/>
                <w:b/>
                <w:bCs/>
                <w:sz w:val="20"/>
                <w:szCs w:val="20"/>
              </w:rPr>
            </w:pPr>
          </w:p>
        </w:tc>
        <w:tc>
          <w:tcPr>
            <w:tcW w:w="2896" w:type="dxa"/>
          </w:tcPr>
          <w:p w14:paraId="6EF12616"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Summer</w:t>
            </w:r>
          </w:p>
        </w:tc>
        <w:tc>
          <w:tcPr>
            <w:tcW w:w="3006" w:type="dxa"/>
          </w:tcPr>
          <w:p w14:paraId="344F1F98"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Winter</w:t>
            </w:r>
          </w:p>
        </w:tc>
      </w:tr>
      <w:tr w:rsidR="0045386A" w:rsidRPr="0053223A" w14:paraId="3DD51CC6" w14:textId="77777777" w:rsidTr="00DE2615">
        <w:tc>
          <w:tcPr>
            <w:tcW w:w="3114" w:type="dxa"/>
          </w:tcPr>
          <w:p w14:paraId="598D974C" w14:textId="77777777" w:rsidR="0045386A" w:rsidRPr="0053223A" w:rsidRDefault="0045386A" w:rsidP="0053223A">
            <w:pPr>
              <w:spacing w:line="276" w:lineRule="auto"/>
              <w:jc w:val="center"/>
              <w:rPr>
                <w:rFonts w:ascii="Arial" w:hAnsi="Arial" w:cs="Arial"/>
                <w:b/>
                <w:bCs/>
                <w:sz w:val="20"/>
                <w:szCs w:val="20"/>
              </w:rPr>
            </w:pPr>
            <w:proofErr w:type="spellStart"/>
            <w:r w:rsidRPr="0053223A">
              <w:rPr>
                <w:rFonts w:ascii="Arial" w:hAnsi="Arial" w:cs="Arial"/>
                <w:b/>
                <w:bCs/>
                <w:sz w:val="20"/>
                <w:szCs w:val="20"/>
              </w:rPr>
              <w:t>Hemoglobin</w:t>
            </w:r>
            <w:proofErr w:type="spellEnd"/>
            <w:r w:rsidRPr="0053223A">
              <w:rPr>
                <w:rFonts w:ascii="Arial" w:hAnsi="Arial" w:cs="Arial"/>
                <w:b/>
                <w:bCs/>
                <w:sz w:val="20"/>
                <w:szCs w:val="20"/>
              </w:rPr>
              <w:t xml:space="preserve"> (g/dl)</w:t>
            </w:r>
          </w:p>
        </w:tc>
        <w:tc>
          <w:tcPr>
            <w:tcW w:w="2896" w:type="dxa"/>
          </w:tcPr>
          <w:p w14:paraId="27F23213" w14:textId="77777777" w:rsidR="0045386A" w:rsidRPr="0053223A" w:rsidRDefault="0045386A" w:rsidP="0053223A">
            <w:pPr>
              <w:spacing w:line="276" w:lineRule="auto"/>
              <w:jc w:val="center"/>
              <w:rPr>
                <w:rFonts w:ascii="Arial" w:hAnsi="Arial" w:cs="Arial"/>
                <w:sz w:val="20"/>
                <w:szCs w:val="20"/>
              </w:rPr>
            </w:pPr>
          </w:p>
        </w:tc>
        <w:tc>
          <w:tcPr>
            <w:tcW w:w="3006" w:type="dxa"/>
          </w:tcPr>
          <w:p w14:paraId="1177D939" w14:textId="77777777" w:rsidR="0045386A" w:rsidRPr="0053223A" w:rsidRDefault="0045386A" w:rsidP="0053223A">
            <w:pPr>
              <w:spacing w:line="276" w:lineRule="auto"/>
              <w:jc w:val="center"/>
              <w:rPr>
                <w:rFonts w:ascii="Arial" w:hAnsi="Arial" w:cs="Arial"/>
                <w:sz w:val="20"/>
                <w:szCs w:val="20"/>
              </w:rPr>
            </w:pPr>
          </w:p>
        </w:tc>
      </w:tr>
      <w:tr w:rsidR="0045386A" w:rsidRPr="0053223A" w14:paraId="0BCC904E" w14:textId="77777777" w:rsidTr="00DE2615">
        <w:tc>
          <w:tcPr>
            <w:tcW w:w="3114" w:type="dxa"/>
          </w:tcPr>
          <w:p w14:paraId="33BDB33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bottom"/>
          </w:tcPr>
          <w:p w14:paraId="0F9041C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10.91±0.14</w:t>
            </w:r>
            <w:r w:rsidRPr="0053223A">
              <w:rPr>
                <w:rFonts w:ascii="Arial" w:hAnsi="Arial" w:cs="Arial"/>
                <w:color w:val="000000"/>
                <w:sz w:val="20"/>
                <w:szCs w:val="20"/>
                <w:vertAlign w:val="superscript"/>
              </w:rPr>
              <w:t>b</w:t>
            </w:r>
          </w:p>
        </w:tc>
        <w:tc>
          <w:tcPr>
            <w:tcW w:w="3006" w:type="dxa"/>
            <w:vAlign w:val="bottom"/>
          </w:tcPr>
          <w:p w14:paraId="2C386D7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14.45±0.10</w:t>
            </w:r>
            <w:r w:rsidRPr="0053223A">
              <w:rPr>
                <w:rFonts w:ascii="Arial" w:hAnsi="Arial" w:cs="Arial"/>
                <w:color w:val="000000"/>
                <w:sz w:val="20"/>
                <w:szCs w:val="20"/>
                <w:vertAlign w:val="superscript"/>
              </w:rPr>
              <w:t>a</w:t>
            </w:r>
          </w:p>
        </w:tc>
      </w:tr>
      <w:tr w:rsidR="0045386A" w:rsidRPr="0053223A" w14:paraId="2405631B" w14:textId="77777777" w:rsidTr="00DE2615">
        <w:tc>
          <w:tcPr>
            <w:tcW w:w="3114" w:type="dxa"/>
          </w:tcPr>
          <w:p w14:paraId="41C8AF8A"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bottom"/>
          </w:tcPr>
          <w:p w14:paraId="4B032B9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11.13±0.14</w:t>
            </w:r>
            <w:r w:rsidRPr="0053223A">
              <w:rPr>
                <w:rFonts w:ascii="Arial" w:hAnsi="Arial" w:cs="Arial"/>
                <w:color w:val="000000"/>
                <w:sz w:val="20"/>
                <w:szCs w:val="20"/>
                <w:vertAlign w:val="superscript"/>
              </w:rPr>
              <w:t>b</w:t>
            </w:r>
          </w:p>
        </w:tc>
        <w:tc>
          <w:tcPr>
            <w:tcW w:w="3006" w:type="dxa"/>
            <w:vAlign w:val="bottom"/>
          </w:tcPr>
          <w:p w14:paraId="53ACB76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14.11±0.07</w:t>
            </w:r>
            <w:r w:rsidRPr="0053223A">
              <w:rPr>
                <w:rFonts w:ascii="Arial" w:hAnsi="Arial" w:cs="Arial"/>
                <w:color w:val="000000"/>
                <w:sz w:val="20"/>
                <w:szCs w:val="20"/>
                <w:vertAlign w:val="superscript"/>
              </w:rPr>
              <w:t>a</w:t>
            </w:r>
          </w:p>
        </w:tc>
      </w:tr>
      <w:tr w:rsidR="0045386A" w:rsidRPr="0053223A" w14:paraId="30697CB9" w14:textId="77777777" w:rsidTr="00DE2615">
        <w:tc>
          <w:tcPr>
            <w:tcW w:w="3114" w:type="dxa"/>
          </w:tcPr>
          <w:p w14:paraId="7DB7D77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bottom"/>
          </w:tcPr>
          <w:p w14:paraId="10D246E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11.00±0.13</w:t>
            </w:r>
            <w:r w:rsidRPr="0053223A">
              <w:rPr>
                <w:rFonts w:ascii="Arial" w:hAnsi="Arial" w:cs="Arial"/>
                <w:color w:val="000000"/>
                <w:sz w:val="20"/>
                <w:szCs w:val="20"/>
                <w:vertAlign w:val="superscript"/>
              </w:rPr>
              <w:t>b</w:t>
            </w:r>
          </w:p>
        </w:tc>
        <w:tc>
          <w:tcPr>
            <w:tcW w:w="3006" w:type="dxa"/>
            <w:vAlign w:val="bottom"/>
          </w:tcPr>
          <w:p w14:paraId="6DF6CED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14.33±0.08</w:t>
            </w:r>
            <w:r w:rsidRPr="0053223A">
              <w:rPr>
                <w:rFonts w:ascii="Arial" w:hAnsi="Arial" w:cs="Arial"/>
                <w:color w:val="000000"/>
                <w:sz w:val="20"/>
                <w:szCs w:val="20"/>
                <w:vertAlign w:val="superscript"/>
              </w:rPr>
              <w:t>a</w:t>
            </w:r>
          </w:p>
        </w:tc>
      </w:tr>
      <w:tr w:rsidR="0045386A" w:rsidRPr="0053223A" w14:paraId="5D49283C" w14:textId="77777777" w:rsidTr="00DE2615">
        <w:tc>
          <w:tcPr>
            <w:tcW w:w="3114" w:type="dxa"/>
          </w:tcPr>
          <w:p w14:paraId="59E299A6"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Packed Cell Volume (PCV) (%)</w:t>
            </w:r>
          </w:p>
        </w:tc>
        <w:tc>
          <w:tcPr>
            <w:tcW w:w="2896" w:type="dxa"/>
          </w:tcPr>
          <w:p w14:paraId="652D6A57" w14:textId="77777777" w:rsidR="0045386A" w:rsidRPr="0053223A" w:rsidRDefault="0045386A" w:rsidP="0053223A">
            <w:pPr>
              <w:spacing w:line="276" w:lineRule="auto"/>
              <w:jc w:val="center"/>
              <w:rPr>
                <w:rFonts w:ascii="Arial" w:hAnsi="Arial" w:cs="Arial"/>
                <w:sz w:val="20"/>
                <w:szCs w:val="20"/>
              </w:rPr>
            </w:pPr>
          </w:p>
        </w:tc>
        <w:tc>
          <w:tcPr>
            <w:tcW w:w="3006" w:type="dxa"/>
          </w:tcPr>
          <w:p w14:paraId="1A55812C" w14:textId="77777777" w:rsidR="0045386A" w:rsidRPr="0053223A" w:rsidRDefault="0045386A" w:rsidP="0053223A">
            <w:pPr>
              <w:spacing w:line="276" w:lineRule="auto"/>
              <w:jc w:val="center"/>
              <w:rPr>
                <w:rFonts w:ascii="Arial" w:hAnsi="Arial" w:cs="Arial"/>
                <w:sz w:val="20"/>
                <w:szCs w:val="20"/>
              </w:rPr>
            </w:pPr>
          </w:p>
        </w:tc>
      </w:tr>
      <w:tr w:rsidR="0045386A" w:rsidRPr="0053223A" w14:paraId="7E334AEC" w14:textId="77777777" w:rsidTr="00DE2615">
        <w:tc>
          <w:tcPr>
            <w:tcW w:w="3114" w:type="dxa"/>
          </w:tcPr>
          <w:p w14:paraId="5A9968E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4A5B31DA"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30.81±0.15</w:t>
            </w:r>
            <w:r w:rsidRPr="0053223A">
              <w:rPr>
                <w:rFonts w:ascii="Arial" w:hAnsi="Arial" w:cs="Arial"/>
                <w:color w:val="000000"/>
                <w:sz w:val="20"/>
                <w:szCs w:val="20"/>
                <w:vertAlign w:val="superscript"/>
              </w:rPr>
              <w:t>b</w:t>
            </w:r>
          </w:p>
        </w:tc>
        <w:tc>
          <w:tcPr>
            <w:tcW w:w="3006" w:type="dxa"/>
            <w:vAlign w:val="center"/>
          </w:tcPr>
          <w:p w14:paraId="2794454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43.42±0.25</w:t>
            </w:r>
            <w:r w:rsidRPr="0053223A">
              <w:rPr>
                <w:rFonts w:ascii="Arial" w:hAnsi="Arial" w:cs="Arial"/>
                <w:color w:val="000000"/>
                <w:sz w:val="20"/>
                <w:szCs w:val="20"/>
                <w:vertAlign w:val="superscript"/>
              </w:rPr>
              <w:t>a</w:t>
            </w:r>
          </w:p>
        </w:tc>
      </w:tr>
      <w:tr w:rsidR="0045386A" w:rsidRPr="0053223A" w14:paraId="53667F22" w14:textId="77777777" w:rsidTr="00DE2615">
        <w:tc>
          <w:tcPr>
            <w:tcW w:w="3114" w:type="dxa"/>
          </w:tcPr>
          <w:p w14:paraId="10CE498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14:paraId="54E79B61"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32.00±0.17</w:t>
            </w:r>
            <w:r w:rsidRPr="0053223A">
              <w:rPr>
                <w:rFonts w:ascii="Arial" w:hAnsi="Arial" w:cs="Arial"/>
                <w:color w:val="000000"/>
                <w:sz w:val="20"/>
                <w:szCs w:val="20"/>
                <w:vertAlign w:val="superscript"/>
              </w:rPr>
              <w:t>b</w:t>
            </w:r>
          </w:p>
        </w:tc>
        <w:tc>
          <w:tcPr>
            <w:tcW w:w="3006" w:type="dxa"/>
            <w:vAlign w:val="center"/>
          </w:tcPr>
          <w:p w14:paraId="5440C230"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43.12±0.26</w:t>
            </w:r>
            <w:r w:rsidRPr="0053223A">
              <w:rPr>
                <w:rFonts w:ascii="Arial" w:hAnsi="Arial" w:cs="Arial"/>
                <w:color w:val="000000"/>
                <w:sz w:val="20"/>
                <w:szCs w:val="20"/>
                <w:vertAlign w:val="superscript"/>
              </w:rPr>
              <w:t>a</w:t>
            </w:r>
          </w:p>
        </w:tc>
      </w:tr>
      <w:tr w:rsidR="0045386A" w:rsidRPr="0053223A" w14:paraId="4B81B268" w14:textId="77777777" w:rsidTr="00DE2615">
        <w:tc>
          <w:tcPr>
            <w:tcW w:w="3114" w:type="dxa"/>
          </w:tcPr>
          <w:p w14:paraId="1E28111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0223B19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32.38±0.16</w:t>
            </w:r>
            <w:r w:rsidRPr="0053223A">
              <w:rPr>
                <w:rFonts w:ascii="Arial" w:hAnsi="Arial" w:cs="Arial"/>
                <w:color w:val="000000"/>
                <w:sz w:val="20"/>
                <w:szCs w:val="20"/>
                <w:vertAlign w:val="superscript"/>
              </w:rPr>
              <w:t>b</w:t>
            </w:r>
          </w:p>
        </w:tc>
        <w:tc>
          <w:tcPr>
            <w:tcW w:w="3006" w:type="dxa"/>
            <w:vAlign w:val="center"/>
          </w:tcPr>
          <w:p w14:paraId="2E609D5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43.01±0.23</w:t>
            </w:r>
            <w:r w:rsidRPr="0053223A">
              <w:rPr>
                <w:rFonts w:ascii="Arial" w:hAnsi="Arial" w:cs="Arial"/>
                <w:color w:val="000000"/>
                <w:sz w:val="20"/>
                <w:szCs w:val="20"/>
                <w:vertAlign w:val="superscript"/>
              </w:rPr>
              <w:t>a</w:t>
            </w:r>
          </w:p>
        </w:tc>
      </w:tr>
      <w:tr w:rsidR="0045386A" w:rsidRPr="0053223A" w14:paraId="776A10E7" w14:textId="77777777" w:rsidTr="00DE2615">
        <w:tc>
          <w:tcPr>
            <w:tcW w:w="3114" w:type="dxa"/>
          </w:tcPr>
          <w:p w14:paraId="49A62469"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Total Erythrocytic Count (million/</w:t>
            </w:r>
            <w:proofErr w:type="spellStart"/>
            <w:r w:rsidRPr="0053223A">
              <w:rPr>
                <w:rFonts w:ascii="Arial" w:hAnsi="Arial" w:cs="Arial"/>
                <w:b/>
                <w:bCs/>
                <w:sz w:val="20"/>
                <w:szCs w:val="20"/>
              </w:rPr>
              <w:t>cmm</w:t>
            </w:r>
            <w:proofErr w:type="spellEnd"/>
            <w:r w:rsidRPr="0053223A">
              <w:rPr>
                <w:rFonts w:ascii="Arial" w:hAnsi="Arial" w:cs="Arial"/>
                <w:b/>
                <w:bCs/>
                <w:sz w:val="20"/>
                <w:szCs w:val="20"/>
              </w:rPr>
              <w:t>)</w:t>
            </w:r>
          </w:p>
        </w:tc>
        <w:tc>
          <w:tcPr>
            <w:tcW w:w="2896" w:type="dxa"/>
            <w:vAlign w:val="center"/>
          </w:tcPr>
          <w:p w14:paraId="05CFA7D1"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0A659DF9"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14100745" w14:textId="77777777" w:rsidTr="00DE2615">
        <w:tc>
          <w:tcPr>
            <w:tcW w:w="3114" w:type="dxa"/>
          </w:tcPr>
          <w:p w14:paraId="3B1757A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bottom"/>
          </w:tcPr>
          <w:p w14:paraId="098A13CF"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6.18±0.03</w:t>
            </w:r>
            <w:r w:rsidRPr="0053223A">
              <w:rPr>
                <w:rFonts w:ascii="Arial" w:hAnsi="Arial" w:cs="Arial"/>
                <w:color w:val="000000"/>
                <w:sz w:val="20"/>
                <w:szCs w:val="20"/>
                <w:vertAlign w:val="superscript"/>
              </w:rPr>
              <w:t>b</w:t>
            </w:r>
          </w:p>
        </w:tc>
        <w:tc>
          <w:tcPr>
            <w:tcW w:w="3006" w:type="dxa"/>
            <w:vAlign w:val="bottom"/>
          </w:tcPr>
          <w:p w14:paraId="1126AEE3"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7.08±0.07</w:t>
            </w:r>
            <w:r w:rsidRPr="0053223A">
              <w:rPr>
                <w:rFonts w:ascii="Arial" w:hAnsi="Arial" w:cs="Arial"/>
                <w:color w:val="000000"/>
                <w:sz w:val="20"/>
                <w:szCs w:val="20"/>
                <w:vertAlign w:val="superscript"/>
              </w:rPr>
              <w:t>a</w:t>
            </w:r>
          </w:p>
        </w:tc>
      </w:tr>
      <w:tr w:rsidR="0045386A" w:rsidRPr="0053223A" w14:paraId="790DE22B" w14:textId="77777777" w:rsidTr="00DE2615">
        <w:tc>
          <w:tcPr>
            <w:tcW w:w="3114" w:type="dxa"/>
          </w:tcPr>
          <w:p w14:paraId="45F39C83"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bottom"/>
          </w:tcPr>
          <w:p w14:paraId="2DC81B24"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6.02±0.04</w:t>
            </w:r>
            <w:r w:rsidRPr="0053223A">
              <w:rPr>
                <w:rFonts w:ascii="Arial" w:hAnsi="Arial" w:cs="Arial"/>
                <w:color w:val="000000"/>
                <w:sz w:val="20"/>
                <w:szCs w:val="20"/>
                <w:vertAlign w:val="superscript"/>
              </w:rPr>
              <w:t>b</w:t>
            </w:r>
          </w:p>
        </w:tc>
        <w:tc>
          <w:tcPr>
            <w:tcW w:w="3006" w:type="dxa"/>
            <w:vAlign w:val="bottom"/>
          </w:tcPr>
          <w:p w14:paraId="70C60DD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7.20±0.07</w:t>
            </w:r>
            <w:r w:rsidRPr="0053223A">
              <w:rPr>
                <w:rFonts w:ascii="Arial" w:hAnsi="Arial" w:cs="Arial"/>
                <w:color w:val="000000"/>
                <w:sz w:val="20"/>
                <w:szCs w:val="20"/>
                <w:vertAlign w:val="superscript"/>
              </w:rPr>
              <w:t>a</w:t>
            </w:r>
          </w:p>
        </w:tc>
      </w:tr>
      <w:tr w:rsidR="0045386A" w:rsidRPr="0053223A" w14:paraId="00D5E2C1" w14:textId="77777777" w:rsidTr="00DE2615">
        <w:tc>
          <w:tcPr>
            <w:tcW w:w="3114" w:type="dxa"/>
          </w:tcPr>
          <w:p w14:paraId="24AA8F9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bottom"/>
          </w:tcPr>
          <w:p w14:paraId="3E52A8EF"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5.98±0.06</w:t>
            </w:r>
            <w:r w:rsidRPr="0053223A">
              <w:rPr>
                <w:rFonts w:ascii="Arial" w:hAnsi="Arial" w:cs="Arial"/>
                <w:color w:val="000000"/>
                <w:sz w:val="20"/>
                <w:szCs w:val="20"/>
                <w:vertAlign w:val="superscript"/>
              </w:rPr>
              <w:t>b</w:t>
            </w:r>
          </w:p>
        </w:tc>
        <w:tc>
          <w:tcPr>
            <w:tcW w:w="3006" w:type="dxa"/>
            <w:vAlign w:val="bottom"/>
          </w:tcPr>
          <w:p w14:paraId="0427AAF3"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7.13±0.07</w:t>
            </w:r>
            <w:r w:rsidRPr="0053223A">
              <w:rPr>
                <w:rFonts w:ascii="Arial" w:hAnsi="Arial" w:cs="Arial"/>
                <w:color w:val="000000"/>
                <w:sz w:val="20"/>
                <w:szCs w:val="20"/>
                <w:vertAlign w:val="superscript"/>
              </w:rPr>
              <w:t>a</w:t>
            </w:r>
          </w:p>
        </w:tc>
      </w:tr>
      <w:tr w:rsidR="0045386A" w:rsidRPr="0053223A" w14:paraId="57718522" w14:textId="77777777" w:rsidTr="00DE2615">
        <w:tc>
          <w:tcPr>
            <w:tcW w:w="3114" w:type="dxa"/>
          </w:tcPr>
          <w:p w14:paraId="2868BB9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b/>
                <w:bCs/>
                <w:sz w:val="20"/>
                <w:szCs w:val="20"/>
              </w:rPr>
              <w:t>Total Leukocytic Count (thousand/</w:t>
            </w:r>
            <w:proofErr w:type="spellStart"/>
            <w:r w:rsidRPr="0053223A">
              <w:rPr>
                <w:rFonts w:ascii="Arial" w:hAnsi="Arial" w:cs="Arial"/>
                <w:b/>
                <w:bCs/>
                <w:sz w:val="20"/>
                <w:szCs w:val="20"/>
              </w:rPr>
              <w:t>cmm</w:t>
            </w:r>
            <w:proofErr w:type="spellEnd"/>
            <w:r w:rsidRPr="0053223A">
              <w:rPr>
                <w:rFonts w:ascii="Arial" w:hAnsi="Arial" w:cs="Arial"/>
                <w:sz w:val="20"/>
                <w:szCs w:val="20"/>
              </w:rPr>
              <w:t>)</w:t>
            </w:r>
          </w:p>
        </w:tc>
        <w:tc>
          <w:tcPr>
            <w:tcW w:w="2896" w:type="dxa"/>
            <w:vAlign w:val="center"/>
          </w:tcPr>
          <w:p w14:paraId="54F24409"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6D28F5FB"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4D8D8F93" w14:textId="77777777" w:rsidTr="00DE2615">
        <w:tc>
          <w:tcPr>
            <w:tcW w:w="3114" w:type="dxa"/>
          </w:tcPr>
          <w:p w14:paraId="390D595F"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502A5A31"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22.66±0.07</w:t>
            </w:r>
            <w:r w:rsidRPr="0053223A">
              <w:rPr>
                <w:rFonts w:ascii="Arial" w:hAnsi="Arial" w:cs="Arial"/>
                <w:color w:val="000000"/>
                <w:sz w:val="20"/>
                <w:szCs w:val="20"/>
                <w:vertAlign w:val="superscript"/>
              </w:rPr>
              <w:t>a</w:t>
            </w:r>
          </w:p>
        </w:tc>
        <w:tc>
          <w:tcPr>
            <w:tcW w:w="3006" w:type="dxa"/>
            <w:vAlign w:val="center"/>
          </w:tcPr>
          <w:p w14:paraId="03D2EAF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18.36±0.07</w:t>
            </w:r>
            <w:r w:rsidRPr="0053223A">
              <w:rPr>
                <w:rFonts w:ascii="Arial" w:hAnsi="Arial" w:cs="Arial"/>
                <w:color w:val="000000"/>
                <w:sz w:val="20"/>
                <w:szCs w:val="20"/>
                <w:vertAlign w:val="superscript"/>
              </w:rPr>
              <w:t>b</w:t>
            </w:r>
          </w:p>
        </w:tc>
      </w:tr>
      <w:tr w:rsidR="0045386A" w:rsidRPr="0053223A" w14:paraId="5B62C0AA" w14:textId="77777777" w:rsidTr="00DE2615">
        <w:tc>
          <w:tcPr>
            <w:tcW w:w="3114" w:type="dxa"/>
          </w:tcPr>
          <w:p w14:paraId="4AC9E5ED"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lastRenderedPageBreak/>
              <w:t>Melatonin</w:t>
            </w:r>
          </w:p>
        </w:tc>
        <w:tc>
          <w:tcPr>
            <w:tcW w:w="2896" w:type="dxa"/>
            <w:vAlign w:val="center"/>
          </w:tcPr>
          <w:p w14:paraId="3E8681A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22.35±0.06</w:t>
            </w:r>
            <w:r w:rsidRPr="0053223A">
              <w:rPr>
                <w:rFonts w:ascii="Arial" w:hAnsi="Arial" w:cs="Arial"/>
                <w:color w:val="000000"/>
                <w:sz w:val="20"/>
                <w:szCs w:val="20"/>
                <w:vertAlign w:val="superscript"/>
              </w:rPr>
              <w:t>a</w:t>
            </w:r>
          </w:p>
        </w:tc>
        <w:tc>
          <w:tcPr>
            <w:tcW w:w="3006" w:type="dxa"/>
            <w:vAlign w:val="center"/>
          </w:tcPr>
          <w:p w14:paraId="492995C0"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18.59±0.09</w:t>
            </w:r>
            <w:r w:rsidRPr="0053223A">
              <w:rPr>
                <w:rFonts w:ascii="Arial" w:hAnsi="Arial" w:cs="Arial"/>
                <w:color w:val="000000"/>
                <w:sz w:val="20"/>
                <w:szCs w:val="20"/>
                <w:vertAlign w:val="superscript"/>
              </w:rPr>
              <w:t>b</w:t>
            </w:r>
          </w:p>
        </w:tc>
      </w:tr>
      <w:tr w:rsidR="0045386A" w:rsidRPr="0053223A" w14:paraId="0476E217" w14:textId="77777777" w:rsidTr="00DE2615">
        <w:tc>
          <w:tcPr>
            <w:tcW w:w="3114" w:type="dxa"/>
          </w:tcPr>
          <w:p w14:paraId="76861265"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107CA854"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22.63±0.05</w:t>
            </w:r>
            <w:r w:rsidRPr="0053223A">
              <w:rPr>
                <w:rFonts w:ascii="Arial" w:hAnsi="Arial" w:cs="Arial"/>
                <w:color w:val="000000"/>
                <w:sz w:val="20"/>
                <w:szCs w:val="20"/>
                <w:vertAlign w:val="superscript"/>
              </w:rPr>
              <w:t>a</w:t>
            </w:r>
          </w:p>
        </w:tc>
        <w:tc>
          <w:tcPr>
            <w:tcW w:w="3006" w:type="dxa"/>
            <w:vAlign w:val="center"/>
          </w:tcPr>
          <w:p w14:paraId="195246E8"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18.40±0.07</w:t>
            </w:r>
            <w:r w:rsidRPr="0053223A">
              <w:rPr>
                <w:rFonts w:ascii="Arial" w:hAnsi="Arial" w:cs="Arial"/>
                <w:color w:val="000000"/>
                <w:sz w:val="20"/>
                <w:szCs w:val="20"/>
                <w:vertAlign w:val="superscript"/>
              </w:rPr>
              <w:t>b</w:t>
            </w:r>
          </w:p>
        </w:tc>
      </w:tr>
    </w:tbl>
    <w:p w14:paraId="5FCC3B7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 xml:space="preserve">Different superscripts differ significantly (p&gt;0.05) in row-wise </w:t>
      </w:r>
    </w:p>
    <w:p w14:paraId="08686362" w14:textId="77777777" w:rsidR="0045386A" w:rsidRPr="0053223A" w:rsidRDefault="0045386A" w:rsidP="0053223A">
      <w:pPr>
        <w:spacing w:line="276" w:lineRule="auto"/>
        <w:jc w:val="both"/>
        <w:rPr>
          <w:rFonts w:ascii="Arial" w:hAnsi="Arial" w:cs="Arial"/>
          <w:sz w:val="20"/>
          <w:szCs w:val="20"/>
        </w:rPr>
      </w:pPr>
    </w:p>
    <w:p w14:paraId="1BEB2E59" w14:textId="68EE716E"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The serum cortisol level (</w:t>
      </w:r>
      <w:r w:rsidRPr="0053223A">
        <w:rPr>
          <w:rFonts w:ascii="Arial" w:hAnsi="Arial" w:cs="Arial"/>
          <w:color w:val="000000"/>
          <w:sz w:val="20"/>
          <w:szCs w:val="20"/>
        </w:rPr>
        <w:t>ng/mL</w:t>
      </w:r>
      <w:r w:rsidRPr="0053223A">
        <w:rPr>
          <w:rFonts w:ascii="Arial" w:hAnsi="Arial" w:cs="Arial"/>
          <w:sz w:val="20"/>
          <w:szCs w:val="20"/>
        </w:rPr>
        <w:t xml:space="preserve">) was significantly higher (p&gt;0.01) during the summer season as compared to the winter season in all groups, however, </w:t>
      </w:r>
      <w:r w:rsidRPr="0053223A">
        <w:rPr>
          <w:rFonts w:ascii="Arial" w:hAnsi="Arial" w:cs="Arial"/>
          <w:color w:val="000000"/>
          <w:sz w:val="20"/>
          <w:szCs w:val="20"/>
        </w:rPr>
        <w:t xml:space="preserve">supplemented groups (melatonin and vitamin E) showed lower cortisol level during summer season as compared to control group </w:t>
      </w:r>
      <w:r w:rsidRPr="0053223A">
        <w:rPr>
          <w:rFonts w:ascii="Arial" w:hAnsi="Arial" w:cs="Arial"/>
          <w:color w:val="000000" w:themeColor="text1"/>
          <w:sz w:val="20"/>
          <w:szCs w:val="20"/>
        </w:rPr>
        <w:t xml:space="preserve">(table 3). The </w:t>
      </w:r>
      <w:r w:rsidRPr="0053223A">
        <w:rPr>
          <w:rFonts w:ascii="Arial" w:hAnsi="Arial" w:cs="Arial"/>
          <w:color w:val="000000"/>
          <w:sz w:val="20"/>
          <w:szCs w:val="20"/>
        </w:rPr>
        <w:t>concentration of growth hormone (</w:t>
      </w:r>
      <w:proofErr w:type="spellStart"/>
      <w:r w:rsidRPr="0053223A">
        <w:rPr>
          <w:rFonts w:ascii="Arial" w:hAnsi="Arial" w:cs="Arial"/>
          <w:color w:val="000000"/>
          <w:sz w:val="20"/>
          <w:szCs w:val="20"/>
        </w:rPr>
        <w:t>pg</w:t>
      </w:r>
      <w:proofErr w:type="spellEnd"/>
      <w:r w:rsidRPr="0053223A">
        <w:rPr>
          <w:rFonts w:ascii="Arial" w:hAnsi="Arial" w:cs="Arial"/>
          <w:color w:val="000000"/>
          <w:sz w:val="20"/>
          <w:szCs w:val="20"/>
        </w:rPr>
        <w:t xml:space="preserve">/mL) did not differ significantly </w:t>
      </w:r>
      <w:r w:rsidRPr="0053223A">
        <w:rPr>
          <w:rFonts w:ascii="Arial" w:hAnsi="Arial" w:cs="Arial"/>
          <w:sz w:val="20"/>
          <w:szCs w:val="20"/>
        </w:rPr>
        <w:t xml:space="preserve">(p&gt;0.01) </w:t>
      </w:r>
      <w:r w:rsidRPr="0053223A">
        <w:rPr>
          <w:rFonts w:ascii="Arial" w:hAnsi="Arial" w:cs="Arial"/>
          <w:color w:val="000000"/>
          <w:sz w:val="20"/>
          <w:szCs w:val="20"/>
        </w:rPr>
        <w:t xml:space="preserve">between the season in all the groups; however, higher values were observed during the winter season as compared to the </w:t>
      </w:r>
      <w:r w:rsidRPr="0053223A">
        <w:rPr>
          <w:rFonts w:ascii="Arial" w:hAnsi="Arial" w:cs="Arial"/>
          <w:color w:val="000000" w:themeColor="text1"/>
          <w:sz w:val="20"/>
          <w:szCs w:val="20"/>
        </w:rPr>
        <w:t>summer season (table 3).</w:t>
      </w:r>
    </w:p>
    <w:p w14:paraId="2189CA90" w14:textId="77777777" w:rsidR="0045386A" w:rsidRPr="0053223A" w:rsidRDefault="0045386A" w:rsidP="0053223A">
      <w:pPr>
        <w:spacing w:line="276" w:lineRule="auto"/>
        <w:rPr>
          <w:rFonts w:ascii="Arial" w:hAnsi="Arial" w:cs="Arial"/>
          <w:sz w:val="20"/>
          <w:szCs w:val="20"/>
        </w:rPr>
      </w:pPr>
      <w:r w:rsidRPr="0053223A">
        <w:rPr>
          <w:rFonts w:ascii="Arial" w:hAnsi="Arial" w:cs="Arial"/>
          <w:b/>
          <w:bCs/>
          <w:sz w:val="20"/>
          <w:szCs w:val="20"/>
        </w:rPr>
        <w:t>Table. 3.</w:t>
      </w:r>
      <w:r w:rsidRPr="0053223A">
        <w:rPr>
          <w:rFonts w:ascii="Arial" w:hAnsi="Arial" w:cs="Arial"/>
          <w:sz w:val="20"/>
          <w:szCs w:val="20"/>
        </w:rPr>
        <w:t xml:space="preserve"> The serum concentration of Cortisol (ng/ml), Growth hormone (</w:t>
      </w:r>
      <w:proofErr w:type="spellStart"/>
      <w:r w:rsidRPr="0053223A">
        <w:rPr>
          <w:rFonts w:ascii="Arial" w:hAnsi="Arial" w:cs="Arial"/>
          <w:sz w:val="20"/>
          <w:szCs w:val="20"/>
        </w:rPr>
        <w:t>pg</w:t>
      </w:r>
      <w:proofErr w:type="spellEnd"/>
      <w:r w:rsidRPr="0053223A">
        <w:rPr>
          <w:rFonts w:ascii="Arial" w:hAnsi="Arial" w:cs="Arial"/>
          <w:sz w:val="20"/>
          <w:szCs w:val="20"/>
        </w:rPr>
        <w:t>/ml), LDH (UL-1), Melatonin (</w:t>
      </w:r>
      <w:proofErr w:type="spellStart"/>
      <w:r w:rsidRPr="0053223A">
        <w:rPr>
          <w:rFonts w:ascii="Arial" w:hAnsi="Arial" w:cs="Arial"/>
          <w:sz w:val="20"/>
          <w:szCs w:val="20"/>
        </w:rPr>
        <w:t>pg</w:t>
      </w:r>
      <w:proofErr w:type="spellEnd"/>
      <w:r w:rsidRPr="0053223A">
        <w:rPr>
          <w:rFonts w:ascii="Arial" w:hAnsi="Arial" w:cs="Arial"/>
          <w:sz w:val="20"/>
          <w:szCs w:val="20"/>
        </w:rPr>
        <w:t>/ml) and Vitamin E (mg/l) in control and supplemented (melatonin and vitamin E) groups during summer and winter seasons.</w:t>
      </w:r>
    </w:p>
    <w:tbl>
      <w:tblPr>
        <w:tblStyle w:val="TableGrid"/>
        <w:tblW w:w="0" w:type="auto"/>
        <w:tblLook w:val="04A0" w:firstRow="1" w:lastRow="0" w:firstColumn="1" w:lastColumn="0" w:noHBand="0" w:noVBand="1"/>
      </w:tblPr>
      <w:tblGrid>
        <w:gridCol w:w="3114"/>
        <w:gridCol w:w="2896"/>
        <w:gridCol w:w="3006"/>
      </w:tblGrid>
      <w:tr w:rsidR="0045386A" w:rsidRPr="0053223A" w14:paraId="26054694" w14:textId="77777777" w:rsidTr="00DE2615">
        <w:tc>
          <w:tcPr>
            <w:tcW w:w="3114" w:type="dxa"/>
            <w:vMerge w:val="restart"/>
          </w:tcPr>
          <w:p w14:paraId="3E2CB76D"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Groups/ Parameters</w:t>
            </w:r>
          </w:p>
        </w:tc>
        <w:tc>
          <w:tcPr>
            <w:tcW w:w="5902" w:type="dxa"/>
            <w:gridSpan w:val="2"/>
          </w:tcPr>
          <w:p w14:paraId="5485A484"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Season</w:t>
            </w:r>
          </w:p>
        </w:tc>
      </w:tr>
      <w:tr w:rsidR="0045386A" w:rsidRPr="0053223A" w14:paraId="36D65916" w14:textId="77777777" w:rsidTr="00DE2615">
        <w:tc>
          <w:tcPr>
            <w:tcW w:w="3114" w:type="dxa"/>
            <w:vMerge/>
          </w:tcPr>
          <w:p w14:paraId="33716173" w14:textId="77777777" w:rsidR="0045386A" w:rsidRPr="0053223A" w:rsidRDefault="0045386A" w:rsidP="0053223A">
            <w:pPr>
              <w:spacing w:line="276" w:lineRule="auto"/>
              <w:jc w:val="center"/>
              <w:rPr>
                <w:rFonts w:ascii="Arial" w:hAnsi="Arial" w:cs="Arial"/>
                <w:b/>
                <w:bCs/>
                <w:sz w:val="20"/>
                <w:szCs w:val="20"/>
              </w:rPr>
            </w:pPr>
          </w:p>
        </w:tc>
        <w:tc>
          <w:tcPr>
            <w:tcW w:w="2896" w:type="dxa"/>
          </w:tcPr>
          <w:p w14:paraId="1FB44FC5"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Summer</w:t>
            </w:r>
          </w:p>
        </w:tc>
        <w:tc>
          <w:tcPr>
            <w:tcW w:w="3006" w:type="dxa"/>
          </w:tcPr>
          <w:p w14:paraId="63650DFC"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Winter</w:t>
            </w:r>
          </w:p>
        </w:tc>
      </w:tr>
      <w:tr w:rsidR="0045386A" w:rsidRPr="0053223A" w14:paraId="5690F3CE" w14:textId="77777777" w:rsidTr="00DE2615">
        <w:tc>
          <w:tcPr>
            <w:tcW w:w="3114" w:type="dxa"/>
          </w:tcPr>
          <w:p w14:paraId="582460FB"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Cortisol level (</w:t>
            </w:r>
            <w:r w:rsidRPr="0053223A">
              <w:rPr>
                <w:rFonts w:ascii="Arial" w:hAnsi="Arial" w:cs="Arial"/>
                <w:b/>
                <w:sz w:val="20"/>
                <w:szCs w:val="20"/>
              </w:rPr>
              <w:t>ng/ml</w:t>
            </w:r>
            <w:r w:rsidRPr="0053223A">
              <w:rPr>
                <w:rFonts w:ascii="Arial" w:hAnsi="Arial" w:cs="Arial"/>
                <w:b/>
                <w:bCs/>
                <w:sz w:val="20"/>
                <w:szCs w:val="20"/>
              </w:rPr>
              <w:t>)</w:t>
            </w:r>
          </w:p>
        </w:tc>
        <w:tc>
          <w:tcPr>
            <w:tcW w:w="2896" w:type="dxa"/>
          </w:tcPr>
          <w:p w14:paraId="06A95BAC" w14:textId="77777777" w:rsidR="0045386A" w:rsidRPr="0053223A" w:rsidRDefault="0045386A" w:rsidP="0053223A">
            <w:pPr>
              <w:spacing w:line="276" w:lineRule="auto"/>
              <w:jc w:val="center"/>
              <w:rPr>
                <w:rFonts w:ascii="Arial" w:hAnsi="Arial" w:cs="Arial"/>
                <w:sz w:val="20"/>
                <w:szCs w:val="20"/>
              </w:rPr>
            </w:pPr>
          </w:p>
        </w:tc>
        <w:tc>
          <w:tcPr>
            <w:tcW w:w="3006" w:type="dxa"/>
          </w:tcPr>
          <w:p w14:paraId="2A2E8AD6" w14:textId="77777777" w:rsidR="0045386A" w:rsidRPr="0053223A" w:rsidRDefault="0045386A" w:rsidP="0053223A">
            <w:pPr>
              <w:spacing w:line="276" w:lineRule="auto"/>
              <w:jc w:val="center"/>
              <w:rPr>
                <w:rFonts w:ascii="Arial" w:hAnsi="Arial" w:cs="Arial"/>
                <w:sz w:val="20"/>
                <w:szCs w:val="20"/>
              </w:rPr>
            </w:pPr>
          </w:p>
        </w:tc>
      </w:tr>
      <w:tr w:rsidR="0045386A" w:rsidRPr="0053223A" w14:paraId="3635F169" w14:textId="77777777" w:rsidTr="00DE2615">
        <w:tc>
          <w:tcPr>
            <w:tcW w:w="3114" w:type="dxa"/>
          </w:tcPr>
          <w:p w14:paraId="11E60B4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414BED7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7.08±0.06</w:t>
            </w:r>
            <w:r w:rsidRPr="0053223A">
              <w:rPr>
                <w:rFonts w:ascii="Arial" w:hAnsi="Arial" w:cs="Arial"/>
                <w:color w:val="000000"/>
                <w:sz w:val="20"/>
                <w:szCs w:val="20"/>
                <w:vertAlign w:val="superscript"/>
              </w:rPr>
              <w:t>a</w:t>
            </w:r>
          </w:p>
        </w:tc>
        <w:tc>
          <w:tcPr>
            <w:tcW w:w="3006" w:type="dxa"/>
            <w:vAlign w:val="center"/>
          </w:tcPr>
          <w:p w14:paraId="18E221C3"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3.49±0.05</w:t>
            </w:r>
            <w:r w:rsidRPr="0053223A">
              <w:rPr>
                <w:rFonts w:ascii="Arial" w:hAnsi="Arial" w:cs="Arial"/>
                <w:color w:val="000000"/>
                <w:sz w:val="20"/>
                <w:szCs w:val="20"/>
                <w:vertAlign w:val="superscript"/>
              </w:rPr>
              <w:t>b</w:t>
            </w:r>
          </w:p>
        </w:tc>
      </w:tr>
      <w:tr w:rsidR="0045386A" w:rsidRPr="0053223A" w14:paraId="49B23CAE" w14:textId="77777777" w:rsidTr="00DE2615">
        <w:tc>
          <w:tcPr>
            <w:tcW w:w="3114" w:type="dxa"/>
          </w:tcPr>
          <w:p w14:paraId="4E7B0C21"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14:paraId="618D36A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6.70±0.03</w:t>
            </w:r>
            <w:r w:rsidRPr="0053223A">
              <w:rPr>
                <w:rFonts w:ascii="Arial" w:hAnsi="Arial" w:cs="Arial"/>
                <w:color w:val="000000"/>
                <w:sz w:val="20"/>
                <w:szCs w:val="20"/>
                <w:vertAlign w:val="superscript"/>
              </w:rPr>
              <w:t>a</w:t>
            </w:r>
          </w:p>
        </w:tc>
        <w:tc>
          <w:tcPr>
            <w:tcW w:w="3006" w:type="dxa"/>
            <w:vAlign w:val="center"/>
          </w:tcPr>
          <w:p w14:paraId="0176E816"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3.39±0.04</w:t>
            </w:r>
            <w:r w:rsidRPr="0053223A">
              <w:rPr>
                <w:rFonts w:ascii="Arial" w:hAnsi="Arial" w:cs="Arial"/>
                <w:color w:val="000000"/>
                <w:sz w:val="20"/>
                <w:szCs w:val="20"/>
                <w:vertAlign w:val="superscript"/>
              </w:rPr>
              <w:t>b</w:t>
            </w:r>
          </w:p>
        </w:tc>
      </w:tr>
      <w:tr w:rsidR="0045386A" w:rsidRPr="0053223A" w14:paraId="1E3E13E1" w14:textId="77777777" w:rsidTr="00DE2615">
        <w:tc>
          <w:tcPr>
            <w:tcW w:w="3114" w:type="dxa"/>
          </w:tcPr>
          <w:p w14:paraId="55CEAAE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747EBD4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6.79±0.03</w:t>
            </w:r>
            <w:r w:rsidRPr="0053223A">
              <w:rPr>
                <w:rFonts w:ascii="Arial" w:hAnsi="Arial" w:cs="Arial"/>
                <w:color w:val="000000"/>
                <w:sz w:val="20"/>
                <w:szCs w:val="20"/>
                <w:vertAlign w:val="superscript"/>
              </w:rPr>
              <w:t>a</w:t>
            </w:r>
          </w:p>
        </w:tc>
        <w:tc>
          <w:tcPr>
            <w:tcW w:w="3006" w:type="dxa"/>
            <w:vAlign w:val="center"/>
          </w:tcPr>
          <w:p w14:paraId="3D310FF6"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3.43±0.04</w:t>
            </w:r>
            <w:r w:rsidRPr="0053223A">
              <w:rPr>
                <w:rFonts w:ascii="Arial" w:hAnsi="Arial" w:cs="Arial"/>
                <w:color w:val="000000"/>
                <w:sz w:val="20"/>
                <w:szCs w:val="20"/>
                <w:vertAlign w:val="superscript"/>
              </w:rPr>
              <w:t>b</w:t>
            </w:r>
          </w:p>
        </w:tc>
      </w:tr>
      <w:tr w:rsidR="0045386A" w:rsidRPr="0053223A" w14:paraId="75F56301" w14:textId="77777777" w:rsidTr="00DE2615">
        <w:tc>
          <w:tcPr>
            <w:tcW w:w="3114" w:type="dxa"/>
          </w:tcPr>
          <w:p w14:paraId="4E8D6B77"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Growth Hormone (</w:t>
            </w:r>
            <w:proofErr w:type="spellStart"/>
            <w:r w:rsidRPr="0053223A">
              <w:rPr>
                <w:rFonts w:ascii="Arial" w:hAnsi="Arial" w:cs="Arial"/>
                <w:b/>
                <w:bCs/>
                <w:sz w:val="20"/>
                <w:szCs w:val="20"/>
              </w:rPr>
              <w:t>pg</w:t>
            </w:r>
            <w:proofErr w:type="spellEnd"/>
            <w:r w:rsidRPr="0053223A">
              <w:rPr>
                <w:rFonts w:ascii="Arial" w:hAnsi="Arial" w:cs="Arial"/>
                <w:b/>
                <w:bCs/>
                <w:sz w:val="20"/>
                <w:szCs w:val="20"/>
              </w:rPr>
              <w:t>/ml)</w:t>
            </w:r>
          </w:p>
        </w:tc>
        <w:tc>
          <w:tcPr>
            <w:tcW w:w="2896" w:type="dxa"/>
            <w:vAlign w:val="center"/>
          </w:tcPr>
          <w:p w14:paraId="22608E12"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6D371A35"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139C421A" w14:textId="77777777" w:rsidTr="00DE2615">
        <w:tc>
          <w:tcPr>
            <w:tcW w:w="3114" w:type="dxa"/>
          </w:tcPr>
          <w:p w14:paraId="61E41206"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14:paraId="05946958"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1.87±0.10</w:t>
            </w:r>
            <w:r w:rsidRPr="0053223A">
              <w:rPr>
                <w:rFonts w:ascii="Arial" w:hAnsi="Arial" w:cs="Arial"/>
                <w:color w:val="000000"/>
                <w:sz w:val="20"/>
                <w:szCs w:val="20"/>
                <w:vertAlign w:val="superscript"/>
              </w:rPr>
              <w:t>a</w:t>
            </w:r>
          </w:p>
        </w:tc>
        <w:tc>
          <w:tcPr>
            <w:tcW w:w="3006" w:type="dxa"/>
            <w:vAlign w:val="center"/>
          </w:tcPr>
          <w:p w14:paraId="2999FD6F"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2.11±0.12</w:t>
            </w:r>
            <w:r w:rsidRPr="0053223A">
              <w:rPr>
                <w:rFonts w:ascii="Arial" w:hAnsi="Arial" w:cs="Arial"/>
                <w:color w:val="000000"/>
                <w:sz w:val="20"/>
                <w:szCs w:val="20"/>
                <w:vertAlign w:val="superscript"/>
              </w:rPr>
              <w:t>a</w:t>
            </w:r>
          </w:p>
        </w:tc>
      </w:tr>
      <w:tr w:rsidR="0045386A" w:rsidRPr="0053223A" w14:paraId="1BEFF32C" w14:textId="77777777" w:rsidTr="00DE2615">
        <w:tc>
          <w:tcPr>
            <w:tcW w:w="3114" w:type="dxa"/>
          </w:tcPr>
          <w:p w14:paraId="6CA08A74"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14:paraId="65EC6805"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1.91±0.10</w:t>
            </w:r>
            <w:r w:rsidRPr="0053223A">
              <w:rPr>
                <w:rFonts w:ascii="Arial" w:hAnsi="Arial" w:cs="Arial"/>
                <w:color w:val="000000"/>
                <w:sz w:val="20"/>
                <w:szCs w:val="20"/>
                <w:vertAlign w:val="superscript"/>
              </w:rPr>
              <w:t>a</w:t>
            </w:r>
          </w:p>
        </w:tc>
        <w:tc>
          <w:tcPr>
            <w:tcW w:w="3006" w:type="dxa"/>
            <w:vAlign w:val="center"/>
          </w:tcPr>
          <w:p w14:paraId="395F669A"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2.18±0.13</w:t>
            </w:r>
            <w:r w:rsidRPr="0053223A">
              <w:rPr>
                <w:rFonts w:ascii="Arial" w:hAnsi="Arial" w:cs="Arial"/>
                <w:color w:val="000000"/>
                <w:sz w:val="20"/>
                <w:szCs w:val="20"/>
                <w:vertAlign w:val="superscript"/>
              </w:rPr>
              <w:t>a</w:t>
            </w:r>
          </w:p>
        </w:tc>
      </w:tr>
      <w:tr w:rsidR="0045386A" w:rsidRPr="0053223A" w14:paraId="38EDFD5D" w14:textId="77777777" w:rsidTr="00DE2615">
        <w:tc>
          <w:tcPr>
            <w:tcW w:w="3114" w:type="dxa"/>
          </w:tcPr>
          <w:p w14:paraId="5F508E90"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14:paraId="307A1144"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1.92±0.10</w:t>
            </w:r>
            <w:r w:rsidRPr="0053223A">
              <w:rPr>
                <w:rFonts w:ascii="Arial" w:hAnsi="Arial" w:cs="Arial"/>
                <w:color w:val="000000"/>
                <w:sz w:val="20"/>
                <w:szCs w:val="20"/>
                <w:vertAlign w:val="superscript"/>
              </w:rPr>
              <w:t>a</w:t>
            </w:r>
          </w:p>
        </w:tc>
        <w:tc>
          <w:tcPr>
            <w:tcW w:w="3006" w:type="dxa"/>
            <w:vAlign w:val="center"/>
          </w:tcPr>
          <w:p w14:paraId="55F52735"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2.16±0.13</w:t>
            </w:r>
            <w:r w:rsidRPr="0053223A">
              <w:rPr>
                <w:rFonts w:ascii="Arial" w:hAnsi="Arial" w:cs="Arial"/>
                <w:color w:val="000000"/>
                <w:sz w:val="20"/>
                <w:szCs w:val="20"/>
                <w:vertAlign w:val="superscript"/>
              </w:rPr>
              <w:t>a</w:t>
            </w:r>
          </w:p>
        </w:tc>
      </w:tr>
      <w:tr w:rsidR="0045386A" w:rsidRPr="0053223A" w14:paraId="6A8F7B15" w14:textId="77777777" w:rsidTr="00DE2615">
        <w:tc>
          <w:tcPr>
            <w:tcW w:w="3114" w:type="dxa"/>
          </w:tcPr>
          <w:p w14:paraId="1D1D9BD9"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rPr>
              <w:t>LDH (U/L)</w:t>
            </w:r>
          </w:p>
        </w:tc>
        <w:tc>
          <w:tcPr>
            <w:tcW w:w="2896" w:type="dxa"/>
          </w:tcPr>
          <w:p w14:paraId="13F09D1D" w14:textId="77777777" w:rsidR="0045386A" w:rsidRPr="0053223A" w:rsidRDefault="0045386A" w:rsidP="0053223A">
            <w:pPr>
              <w:spacing w:line="276" w:lineRule="auto"/>
              <w:jc w:val="center"/>
              <w:rPr>
                <w:rFonts w:ascii="Arial" w:hAnsi="Arial" w:cs="Arial"/>
                <w:sz w:val="20"/>
                <w:szCs w:val="20"/>
              </w:rPr>
            </w:pPr>
          </w:p>
        </w:tc>
        <w:tc>
          <w:tcPr>
            <w:tcW w:w="3006" w:type="dxa"/>
          </w:tcPr>
          <w:p w14:paraId="10C82DBE" w14:textId="77777777" w:rsidR="0045386A" w:rsidRPr="0053223A" w:rsidRDefault="0045386A" w:rsidP="0053223A">
            <w:pPr>
              <w:spacing w:line="276" w:lineRule="auto"/>
              <w:jc w:val="center"/>
              <w:rPr>
                <w:rFonts w:ascii="Arial" w:hAnsi="Arial" w:cs="Arial"/>
                <w:sz w:val="20"/>
                <w:szCs w:val="20"/>
              </w:rPr>
            </w:pPr>
          </w:p>
        </w:tc>
      </w:tr>
      <w:tr w:rsidR="0045386A" w:rsidRPr="0053223A" w14:paraId="34E1DBE9" w14:textId="77777777" w:rsidTr="00DE2615">
        <w:tc>
          <w:tcPr>
            <w:tcW w:w="3114" w:type="dxa"/>
            <w:vAlign w:val="center"/>
          </w:tcPr>
          <w:p w14:paraId="1D71C32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14:paraId="30585F93"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940.16±2.73</w:t>
            </w:r>
            <w:r w:rsidRPr="0053223A">
              <w:rPr>
                <w:rFonts w:ascii="Arial" w:hAnsi="Arial" w:cs="Arial"/>
                <w:color w:val="000000"/>
                <w:sz w:val="20"/>
                <w:szCs w:val="20"/>
                <w:vertAlign w:val="superscript"/>
              </w:rPr>
              <w:t>a</w:t>
            </w:r>
          </w:p>
        </w:tc>
        <w:tc>
          <w:tcPr>
            <w:tcW w:w="3006" w:type="dxa"/>
            <w:vAlign w:val="center"/>
          </w:tcPr>
          <w:p w14:paraId="49574AEA"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799.00±4.55</w:t>
            </w:r>
            <w:r w:rsidRPr="0053223A">
              <w:rPr>
                <w:rFonts w:ascii="Arial" w:hAnsi="Arial" w:cs="Arial"/>
                <w:color w:val="000000"/>
                <w:sz w:val="20"/>
                <w:szCs w:val="20"/>
                <w:vertAlign w:val="superscript"/>
              </w:rPr>
              <w:t>b</w:t>
            </w:r>
          </w:p>
        </w:tc>
      </w:tr>
      <w:tr w:rsidR="0045386A" w:rsidRPr="0053223A" w14:paraId="3A00F407" w14:textId="77777777" w:rsidTr="00DE2615">
        <w:tc>
          <w:tcPr>
            <w:tcW w:w="3114" w:type="dxa"/>
            <w:vAlign w:val="center"/>
          </w:tcPr>
          <w:p w14:paraId="57BE3882"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14:paraId="378ABC47"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941.18±2.08</w:t>
            </w:r>
            <w:r w:rsidRPr="0053223A">
              <w:rPr>
                <w:rFonts w:ascii="Arial" w:hAnsi="Arial" w:cs="Arial"/>
                <w:color w:val="000000"/>
                <w:sz w:val="20"/>
                <w:szCs w:val="20"/>
                <w:vertAlign w:val="superscript"/>
              </w:rPr>
              <w:t>a</w:t>
            </w:r>
          </w:p>
        </w:tc>
        <w:tc>
          <w:tcPr>
            <w:tcW w:w="3006" w:type="dxa"/>
            <w:vAlign w:val="center"/>
          </w:tcPr>
          <w:p w14:paraId="6065BC9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800.78±4.59</w:t>
            </w:r>
            <w:r w:rsidRPr="0053223A">
              <w:rPr>
                <w:rFonts w:ascii="Arial" w:hAnsi="Arial" w:cs="Arial"/>
                <w:color w:val="000000"/>
                <w:sz w:val="20"/>
                <w:szCs w:val="20"/>
                <w:vertAlign w:val="superscript"/>
              </w:rPr>
              <w:t>b</w:t>
            </w:r>
          </w:p>
        </w:tc>
      </w:tr>
      <w:tr w:rsidR="0045386A" w:rsidRPr="0053223A" w14:paraId="54451E42" w14:textId="77777777" w:rsidTr="00DE2615">
        <w:tc>
          <w:tcPr>
            <w:tcW w:w="3114" w:type="dxa"/>
            <w:vAlign w:val="center"/>
          </w:tcPr>
          <w:p w14:paraId="519E7E1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14:paraId="4858387C"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948.56±1.81</w:t>
            </w:r>
            <w:r w:rsidRPr="0053223A">
              <w:rPr>
                <w:rFonts w:ascii="Arial" w:hAnsi="Arial" w:cs="Arial"/>
                <w:color w:val="000000"/>
                <w:sz w:val="20"/>
                <w:szCs w:val="20"/>
                <w:vertAlign w:val="superscript"/>
              </w:rPr>
              <w:t>a</w:t>
            </w:r>
          </w:p>
        </w:tc>
        <w:tc>
          <w:tcPr>
            <w:tcW w:w="3006" w:type="dxa"/>
            <w:vAlign w:val="center"/>
          </w:tcPr>
          <w:p w14:paraId="7B7BB7BF"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794.41±6.00</w:t>
            </w:r>
            <w:r w:rsidRPr="0053223A">
              <w:rPr>
                <w:rFonts w:ascii="Arial" w:hAnsi="Arial" w:cs="Arial"/>
                <w:color w:val="000000"/>
                <w:sz w:val="20"/>
                <w:szCs w:val="20"/>
                <w:vertAlign w:val="superscript"/>
              </w:rPr>
              <w:t>b</w:t>
            </w:r>
          </w:p>
        </w:tc>
      </w:tr>
      <w:tr w:rsidR="0045386A" w:rsidRPr="0053223A" w14:paraId="45A0BDCC" w14:textId="77777777" w:rsidTr="00DE2615">
        <w:tc>
          <w:tcPr>
            <w:tcW w:w="3114" w:type="dxa"/>
          </w:tcPr>
          <w:p w14:paraId="7AA6BE30"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lang w:eastAsia="en-IN"/>
              </w:rPr>
              <w:t>Melatonin (</w:t>
            </w:r>
            <w:proofErr w:type="spellStart"/>
            <w:r w:rsidRPr="0053223A">
              <w:rPr>
                <w:rFonts w:ascii="Arial" w:hAnsi="Arial" w:cs="Arial"/>
                <w:b/>
                <w:bCs/>
                <w:color w:val="000000"/>
                <w:sz w:val="20"/>
                <w:szCs w:val="20"/>
                <w:lang w:eastAsia="en-IN"/>
              </w:rPr>
              <w:t>pg</w:t>
            </w:r>
            <w:proofErr w:type="spellEnd"/>
            <w:r w:rsidRPr="0053223A">
              <w:rPr>
                <w:rFonts w:ascii="Arial" w:hAnsi="Arial" w:cs="Arial"/>
                <w:b/>
                <w:bCs/>
                <w:color w:val="000000"/>
                <w:sz w:val="20"/>
                <w:szCs w:val="20"/>
                <w:lang w:eastAsia="en-IN"/>
              </w:rPr>
              <w:t>/ml)</w:t>
            </w:r>
          </w:p>
        </w:tc>
        <w:tc>
          <w:tcPr>
            <w:tcW w:w="2896" w:type="dxa"/>
            <w:vAlign w:val="center"/>
          </w:tcPr>
          <w:p w14:paraId="69DB2D13"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185D12A3"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7E03674B" w14:textId="77777777" w:rsidTr="00DE2615">
        <w:tc>
          <w:tcPr>
            <w:tcW w:w="3114" w:type="dxa"/>
            <w:vAlign w:val="center"/>
          </w:tcPr>
          <w:p w14:paraId="429E18FF"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14:paraId="4631B8F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126.02±0.49</w:t>
            </w:r>
            <w:r w:rsidRPr="0053223A">
              <w:rPr>
                <w:rFonts w:ascii="Arial" w:hAnsi="Arial" w:cs="Arial"/>
                <w:color w:val="000000"/>
                <w:sz w:val="20"/>
                <w:szCs w:val="20"/>
                <w:vertAlign w:val="superscript"/>
                <w:lang w:eastAsia="en-IN"/>
              </w:rPr>
              <w:t>b</w:t>
            </w:r>
          </w:p>
        </w:tc>
        <w:tc>
          <w:tcPr>
            <w:tcW w:w="3006" w:type="dxa"/>
            <w:vAlign w:val="center"/>
          </w:tcPr>
          <w:p w14:paraId="7C91BCC2"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141.6±00.31</w:t>
            </w:r>
            <w:r w:rsidRPr="0053223A">
              <w:rPr>
                <w:rFonts w:ascii="Arial" w:hAnsi="Arial" w:cs="Arial"/>
                <w:color w:val="000000"/>
                <w:sz w:val="20"/>
                <w:szCs w:val="20"/>
                <w:vertAlign w:val="superscript"/>
                <w:lang w:eastAsia="en-IN"/>
              </w:rPr>
              <w:t>a</w:t>
            </w:r>
          </w:p>
        </w:tc>
      </w:tr>
      <w:tr w:rsidR="0045386A" w:rsidRPr="0053223A" w14:paraId="480C667C" w14:textId="77777777" w:rsidTr="00DE2615">
        <w:tc>
          <w:tcPr>
            <w:tcW w:w="3114" w:type="dxa"/>
            <w:vAlign w:val="center"/>
          </w:tcPr>
          <w:p w14:paraId="639E9C2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14:paraId="56D9AABC"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167.09±3.05</w:t>
            </w:r>
            <w:r w:rsidRPr="0053223A">
              <w:rPr>
                <w:rFonts w:ascii="Arial" w:hAnsi="Arial" w:cs="Arial"/>
                <w:color w:val="000000"/>
                <w:sz w:val="20"/>
                <w:szCs w:val="20"/>
                <w:vertAlign w:val="superscript"/>
                <w:lang w:eastAsia="en-IN"/>
              </w:rPr>
              <w:t>a</w:t>
            </w:r>
          </w:p>
        </w:tc>
        <w:tc>
          <w:tcPr>
            <w:tcW w:w="3006" w:type="dxa"/>
            <w:vAlign w:val="center"/>
          </w:tcPr>
          <w:p w14:paraId="7777BFF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170.92±2.75</w:t>
            </w:r>
            <w:r w:rsidRPr="0053223A">
              <w:rPr>
                <w:rFonts w:ascii="Arial" w:hAnsi="Arial" w:cs="Arial"/>
                <w:color w:val="000000"/>
                <w:sz w:val="20"/>
                <w:szCs w:val="20"/>
                <w:vertAlign w:val="superscript"/>
                <w:lang w:eastAsia="en-IN"/>
              </w:rPr>
              <w:t>a</w:t>
            </w:r>
          </w:p>
        </w:tc>
      </w:tr>
      <w:tr w:rsidR="0045386A" w:rsidRPr="0053223A" w14:paraId="08C5C4E3" w14:textId="77777777" w:rsidTr="00DE2615">
        <w:tc>
          <w:tcPr>
            <w:tcW w:w="3114" w:type="dxa"/>
            <w:vAlign w:val="center"/>
          </w:tcPr>
          <w:p w14:paraId="1EC47159"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14:paraId="713D360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126.20±0.53</w:t>
            </w:r>
            <w:r w:rsidRPr="0053223A">
              <w:rPr>
                <w:rFonts w:ascii="Arial" w:hAnsi="Arial" w:cs="Arial"/>
                <w:color w:val="000000"/>
                <w:sz w:val="20"/>
                <w:szCs w:val="20"/>
                <w:vertAlign w:val="superscript"/>
                <w:lang w:eastAsia="en-IN"/>
              </w:rPr>
              <w:t>b</w:t>
            </w:r>
          </w:p>
        </w:tc>
        <w:tc>
          <w:tcPr>
            <w:tcW w:w="3006" w:type="dxa"/>
            <w:vAlign w:val="center"/>
          </w:tcPr>
          <w:p w14:paraId="544F7EF1"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141.72±0.39</w:t>
            </w:r>
            <w:r w:rsidRPr="0053223A">
              <w:rPr>
                <w:rFonts w:ascii="Arial" w:hAnsi="Arial" w:cs="Arial"/>
                <w:color w:val="000000"/>
                <w:sz w:val="20"/>
                <w:szCs w:val="20"/>
                <w:vertAlign w:val="superscript"/>
                <w:lang w:eastAsia="en-IN"/>
              </w:rPr>
              <w:t>a</w:t>
            </w:r>
          </w:p>
        </w:tc>
      </w:tr>
      <w:tr w:rsidR="0045386A" w:rsidRPr="0053223A" w14:paraId="2E4B4A3D" w14:textId="77777777" w:rsidTr="00DE2615">
        <w:tc>
          <w:tcPr>
            <w:tcW w:w="3114" w:type="dxa"/>
          </w:tcPr>
          <w:p w14:paraId="261EEA12" w14:textId="77777777"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lang w:eastAsia="en-IN"/>
              </w:rPr>
              <w:t>Vitamin E (mg/l)</w:t>
            </w:r>
          </w:p>
        </w:tc>
        <w:tc>
          <w:tcPr>
            <w:tcW w:w="2896" w:type="dxa"/>
            <w:vAlign w:val="center"/>
          </w:tcPr>
          <w:p w14:paraId="0B067176" w14:textId="77777777"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14:paraId="113B62D5" w14:textId="77777777" w:rsidR="0045386A" w:rsidRPr="0053223A" w:rsidRDefault="0045386A" w:rsidP="0053223A">
            <w:pPr>
              <w:spacing w:line="276" w:lineRule="auto"/>
              <w:jc w:val="center"/>
              <w:rPr>
                <w:rFonts w:ascii="Arial" w:hAnsi="Arial" w:cs="Arial"/>
                <w:color w:val="000000"/>
                <w:sz w:val="20"/>
                <w:szCs w:val="20"/>
              </w:rPr>
            </w:pPr>
          </w:p>
        </w:tc>
      </w:tr>
      <w:tr w:rsidR="0045386A" w:rsidRPr="0053223A" w14:paraId="42410419" w14:textId="77777777" w:rsidTr="00DE2615">
        <w:tc>
          <w:tcPr>
            <w:tcW w:w="3114" w:type="dxa"/>
            <w:vAlign w:val="center"/>
          </w:tcPr>
          <w:p w14:paraId="196BDD3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14:paraId="5A12D675"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1.74±0.04</w:t>
            </w:r>
          </w:p>
        </w:tc>
        <w:tc>
          <w:tcPr>
            <w:tcW w:w="3006" w:type="dxa"/>
            <w:vAlign w:val="center"/>
          </w:tcPr>
          <w:p w14:paraId="1FBA1EEC"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1.80±0.05</w:t>
            </w:r>
          </w:p>
        </w:tc>
      </w:tr>
      <w:tr w:rsidR="0045386A" w:rsidRPr="0053223A" w14:paraId="60A58F40" w14:textId="77777777" w:rsidTr="00DE2615">
        <w:tc>
          <w:tcPr>
            <w:tcW w:w="3114" w:type="dxa"/>
            <w:vAlign w:val="center"/>
          </w:tcPr>
          <w:p w14:paraId="53470E0B"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14:paraId="67F2A97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1.76±0.05</w:t>
            </w:r>
          </w:p>
        </w:tc>
        <w:tc>
          <w:tcPr>
            <w:tcW w:w="3006" w:type="dxa"/>
            <w:vAlign w:val="center"/>
          </w:tcPr>
          <w:p w14:paraId="635C228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1.82±0.05</w:t>
            </w:r>
          </w:p>
        </w:tc>
      </w:tr>
      <w:tr w:rsidR="0045386A" w:rsidRPr="0053223A" w14:paraId="43AC329D" w14:textId="77777777" w:rsidTr="00DE2615">
        <w:tc>
          <w:tcPr>
            <w:tcW w:w="3114" w:type="dxa"/>
            <w:vAlign w:val="center"/>
          </w:tcPr>
          <w:p w14:paraId="4A756DE8"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14:paraId="16062717"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4.17±0.09</w:t>
            </w:r>
          </w:p>
        </w:tc>
        <w:tc>
          <w:tcPr>
            <w:tcW w:w="3006" w:type="dxa"/>
            <w:vAlign w:val="center"/>
          </w:tcPr>
          <w:p w14:paraId="05164D9D" w14:textId="77777777"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4.27±0.10</w:t>
            </w:r>
          </w:p>
        </w:tc>
      </w:tr>
    </w:tbl>
    <w:p w14:paraId="401E7BD0" w14:textId="77777777"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 xml:space="preserve">Different superscripts differ significantly (p&gt;0.05) in row-wise </w:t>
      </w:r>
    </w:p>
    <w:p w14:paraId="3F75F2B5" w14:textId="77777777" w:rsidR="0045386A" w:rsidRPr="0053223A" w:rsidRDefault="0045386A" w:rsidP="0053223A">
      <w:pPr>
        <w:spacing w:line="276" w:lineRule="auto"/>
        <w:jc w:val="both"/>
        <w:rPr>
          <w:rFonts w:ascii="Arial" w:hAnsi="Arial" w:cs="Arial"/>
          <w:color w:val="000000"/>
          <w:sz w:val="20"/>
          <w:szCs w:val="20"/>
        </w:rPr>
      </w:pPr>
    </w:p>
    <w:p w14:paraId="33AA8ACC" w14:textId="1E82765C" w:rsidR="00615BCB" w:rsidRPr="0053223A" w:rsidRDefault="00615BCB" w:rsidP="0053223A">
      <w:pPr>
        <w:spacing w:line="276" w:lineRule="auto"/>
        <w:jc w:val="both"/>
        <w:rPr>
          <w:rFonts w:ascii="Arial" w:hAnsi="Arial" w:cs="Arial"/>
          <w:color w:val="000000"/>
          <w:sz w:val="20"/>
          <w:szCs w:val="20"/>
        </w:rPr>
      </w:pPr>
      <w:r w:rsidRPr="0053223A">
        <w:rPr>
          <w:rFonts w:ascii="Arial" w:hAnsi="Arial" w:cs="Arial"/>
          <w:color w:val="000000"/>
          <w:sz w:val="20"/>
          <w:szCs w:val="20"/>
        </w:rPr>
        <w:t>The concentration of LDH (U/L)</w:t>
      </w:r>
      <w:r w:rsidRPr="0053223A">
        <w:rPr>
          <w:rFonts w:ascii="Arial" w:hAnsi="Arial" w:cs="Arial"/>
          <w:b/>
          <w:bCs/>
          <w:color w:val="000000"/>
          <w:sz w:val="20"/>
          <w:szCs w:val="20"/>
        </w:rPr>
        <w:t xml:space="preserve"> </w:t>
      </w:r>
      <w:r w:rsidRPr="0053223A">
        <w:rPr>
          <w:rFonts w:ascii="Arial" w:hAnsi="Arial" w:cs="Arial"/>
          <w:color w:val="000000"/>
          <w:sz w:val="20"/>
          <w:szCs w:val="20"/>
        </w:rPr>
        <w:t xml:space="preserve">was significantly (p&gt;0.01) higher during the summer season as compared to the winter season, however, the concentration did not differ significantly between the supplemented (melatonin and vitamin E) groups as compared to control in both the </w:t>
      </w:r>
      <w:r w:rsidRPr="0053223A">
        <w:rPr>
          <w:rFonts w:ascii="Arial" w:hAnsi="Arial" w:cs="Arial"/>
          <w:color w:val="000000" w:themeColor="text1"/>
          <w:sz w:val="20"/>
          <w:szCs w:val="20"/>
        </w:rPr>
        <w:t>season (table 3).</w:t>
      </w:r>
    </w:p>
    <w:p w14:paraId="59FABC73" w14:textId="4335FBF5" w:rsidR="00615BCB" w:rsidRPr="0053223A" w:rsidRDefault="00615BCB" w:rsidP="0053223A">
      <w:pPr>
        <w:spacing w:line="276" w:lineRule="auto"/>
        <w:jc w:val="both"/>
        <w:rPr>
          <w:rFonts w:ascii="Arial" w:hAnsi="Arial" w:cs="Arial"/>
          <w:color w:val="000000"/>
          <w:sz w:val="20"/>
          <w:szCs w:val="20"/>
        </w:rPr>
      </w:pPr>
      <w:r w:rsidRPr="0053223A">
        <w:rPr>
          <w:rFonts w:ascii="Arial" w:hAnsi="Arial" w:cs="Arial"/>
          <w:color w:val="000000"/>
          <w:sz w:val="20"/>
          <w:szCs w:val="20"/>
        </w:rPr>
        <w:t xml:space="preserve">The serum melatonin was significantly (p&lt;0.05) higher during winter season than summer season in control and vitamin E supplemented group, the melatonin supplemented group showed non-significantly higher values in winter than </w:t>
      </w:r>
      <w:r w:rsidRPr="0053223A">
        <w:rPr>
          <w:rFonts w:ascii="Arial" w:hAnsi="Arial" w:cs="Arial"/>
          <w:color w:val="000000" w:themeColor="text1"/>
          <w:sz w:val="20"/>
          <w:szCs w:val="20"/>
        </w:rPr>
        <w:t xml:space="preserve">summer (table 3). </w:t>
      </w:r>
      <w:r w:rsidRPr="0053223A">
        <w:rPr>
          <w:rFonts w:ascii="Arial" w:hAnsi="Arial" w:cs="Arial"/>
          <w:color w:val="000000"/>
          <w:sz w:val="20"/>
          <w:szCs w:val="20"/>
        </w:rPr>
        <w:t xml:space="preserve">The serum vitamin E (mg/L) level was four times higher (p&gt;0.01) in vitamin E supplemented group than other groups; the concentration was slightly higher during the winter than the summer </w:t>
      </w:r>
      <w:r w:rsidRPr="0053223A">
        <w:rPr>
          <w:rFonts w:ascii="Arial" w:hAnsi="Arial" w:cs="Arial"/>
          <w:color w:val="000000" w:themeColor="text1"/>
          <w:sz w:val="20"/>
          <w:szCs w:val="20"/>
        </w:rPr>
        <w:t>season (table 3)</w:t>
      </w:r>
      <w:r w:rsidR="005B5590" w:rsidRPr="0053223A">
        <w:rPr>
          <w:rFonts w:ascii="Arial" w:hAnsi="Arial" w:cs="Arial"/>
          <w:color w:val="000000" w:themeColor="text1"/>
          <w:sz w:val="20"/>
          <w:szCs w:val="20"/>
        </w:rPr>
        <w:t>.</w:t>
      </w:r>
    </w:p>
    <w:p w14:paraId="741BAD95" w14:textId="4496AB7A"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 xml:space="preserve">The average body weight of the animals showed significant (p&gt;0.01) different between summer and winter season, the average body weight is better during winter season as compared to summer </w:t>
      </w:r>
      <w:r w:rsidRPr="0053223A">
        <w:rPr>
          <w:rFonts w:ascii="Arial" w:hAnsi="Arial" w:cs="Arial"/>
          <w:color w:val="000000" w:themeColor="text1"/>
          <w:sz w:val="20"/>
          <w:szCs w:val="20"/>
        </w:rPr>
        <w:t xml:space="preserve">season </w:t>
      </w:r>
      <w:r w:rsidRPr="0053223A">
        <w:rPr>
          <w:rFonts w:ascii="Arial" w:hAnsi="Arial" w:cs="Arial"/>
          <w:color w:val="000000" w:themeColor="text1"/>
          <w:sz w:val="20"/>
          <w:szCs w:val="20"/>
        </w:rPr>
        <w:lastRenderedPageBreak/>
        <w:t>(fig</w:t>
      </w:r>
      <w:r w:rsidR="00CB704B" w:rsidRPr="0053223A">
        <w:rPr>
          <w:rFonts w:ascii="Arial" w:hAnsi="Arial" w:cs="Arial"/>
          <w:color w:val="000000" w:themeColor="text1"/>
          <w:sz w:val="20"/>
          <w:szCs w:val="20"/>
        </w:rPr>
        <w:t>ure</w:t>
      </w:r>
      <w:r w:rsidR="0082693B" w:rsidRPr="0053223A">
        <w:rPr>
          <w:rFonts w:ascii="Arial" w:hAnsi="Arial" w:cs="Arial"/>
          <w:color w:val="000000" w:themeColor="text1"/>
          <w:sz w:val="20"/>
          <w:szCs w:val="20"/>
        </w:rPr>
        <w:t xml:space="preserve"> </w:t>
      </w:r>
      <w:r w:rsidR="00350211">
        <w:rPr>
          <w:rFonts w:ascii="Arial" w:hAnsi="Arial" w:cs="Arial"/>
          <w:color w:val="000000" w:themeColor="text1"/>
          <w:sz w:val="20"/>
          <w:szCs w:val="20"/>
        </w:rPr>
        <w:t>1</w:t>
      </w:r>
      <w:r w:rsidRPr="0053223A">
        <w:rPr>
          <w:rFonts w:ascii="Arial" w:hAnsi="Arial" w:cs="Arial"/>
          <w:color w:val="000000" w:themeColor="text1"/>
          <w:sz w:val="20"/>
          <w:szCs w:val="20"/>
        </w:rPr>
        <w:t xml:space="preserve">).  </w:t>
      </w:r>
      <w:r w:rsidRPr="0053223A">
        <w:rPr>
          <w:rFonts w:ascii="Arial" w:hAnsi="Arial" w:cs="Arial"/>
          <w:sz w:val="20"/>
          <w:szCs w:val="20"/>
        </w:rPr>
        <w:t xml:space="preserve">The supplementation of melatonin and vitamin E did not improve the average body weight in both the season. The litter size did not differ significantly between the groups as the experimental animals were observed till </w:t>
      </w:r>
      <w:r w:rsidRPr="0053223A">
        <w:rPr>
          <w:rFonts w:ascii="Arial" w:hAnsi="Arial" w:cs="Arial"/>
          <w:color w:val="000000" w:themeColor="text1"/>
          <w:sz w:val="20"/>
          <w:szCs w:val="20"/>
        </w:rPr>
        <w:t>furrowing (table 4).</w:t>
      </w:r>
    </w:p>
    <w:p w14:paraId="3963AED0" w14:textId="77777777" w:rsidR="0045386A" w:rsidRPr="0053223A" w:rsidRDefault="0045386A" w:rsidP="0053223A">
      <w:pPr>
        <w:spacing w:line="276" w:lineRule="auto"/>
        <w:jc w:val="both"/>
        <w:rPr>
          <w:rFonts w:ascii="Arial" w:hAnsi="Arial" w:cs="Arial"/>
          <w:sz w:val="20"/>
          <w:szCs w:val="20"/>
        </w:rPr>
      </w:pPr>
    </w:p>
    <w:p w14:paraId="48933F1D" w14:textId="77777777" w:rsidR="0045386A" w:rsidRPr="0053223A" w:rsidRDefault="0045386A" w:rsidP="0053223A">
      <w:pPr>
        <w:spacing w:after="0" w:line="276" w:lineRule="auto"/>
        <w:rPr>
          <w:rFonts w:ascii="Arial" w:hAnsi="Arial" w:cs="Arial"/>
          <w:bCs/>
          <w:sz w:val="20"/>
          <w:szCs w:val="20"/>
        </w:rPr>
      </w:pPr>
      <w:r w:rsidRPr="0053223A">
        <w:rPr>
          <w:rFonts w:ascii="Arial" w:hAnsi="Arial" w:cs="Arial"/>
          <w:b/>
          <w:sz w:val="20"/>
          <w:szCs w:val="20"/>
        </w:rPr>
        <w:t xml:space="preserve">Table 4. </w:t>
      </w:r>
      <w:r w:rsidRPr="0053223A">
        <w:rPr>
          <w:rFonts w:ascii="Arial" w:hAnsi="Arial" w:cs="Arial"/>
          <w:bCs/>
          <w:sz w:val="20"/>
          <w:szCs w:val="20"/>
        </w:rPr>
        <w:t>Litter size in control and supplemented (melatonin and vitamin E) groups during summer and winter seasons.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16"/>
        <w:gridCol w:w="3176"/>
      </w:tblGrid>
      <w:tr w:rsidR="0045386A" w:rsidRPr="0053223A" w14:paraId="5ACD8134" w14:textId="77777777" w:rsidTr="00DE2615">
        <w:trPr>
          <w:trHeight w:val="237"/>
        </w:trPr>
        <w:tc>
          <w:tcPr>
            <w:tcW w:w="2518" w:type="dxa"/>
            <w:vAlign w:val="center"/>
          </w:tcPr>
          <w:p w14:paraId="53E9136D"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
                <w:color w:val="000000"/>
                <w:sz w:val="20"/>
                <w:szCs w:val="20"/>
              </w:rPr>
            </w:pPr>
            <w:r w:rsidRPr="0053223A">
              <w:rPr>
                <w:rFonts w:ascii="Arial" w:hAnsi="Arial" w:cs="Arial"/>
                <w:b/>
                <w:color w:val="000000"/>
                <w:sz w:val="20"/>
                <w:szCs w:val="20"/>
              </w:rPr>
              <w:t>Groups</w:t>
            </w:r>
          </w:p>
        </w:tc>
        <w:tc>
          <w:tcPr>
            <w:tcW w:w="3316" w:type="dxa"/>
          </w:tcPr>
          <w:p w14:paraId="2F9B18E9" w14:textId="77777777" w:rsidR="0045386A" w:rsidRPr="0053223A" w:rsidRDefault="0045386A" w:rsidP="0053223A">
            <w:pPr>
              <w:tabs>
                <w:tab w:val="center" w:pos="4320"/>
                <w:tab w:val="right" w:pos="8640"/>
              </w:tabs>
              <w:spacing w:after="0" w:line="276" w:lineRule="auto"/>
              <w:jc w:val="center"/>
              <w:rPr>
                <w:rFonts w:ascii="Arial" w:hAnsi="Arial" w:cs="Arial"/>
                <w:b/>
                <w:bCs/>
                <w:color w:val="000000"/>
                <w:sz w:val="20"/>
                <w:szCs w:val="20"/>
              </w:rPr>
            </w:pPr>
            <w:r w:rsidRPr="0053223A">
              <w:rPr>
                <w:rFonts w:ascii="Arial" w:hAnsi="Arial" w:cs="Arial"/>
                <w:b/>
                <w:bCs/>
                <w:sz w:val="20"/>
                <w:szCs w:val="20"/>
              </w:rPr>
              <w:t>Summer</w:t>
            </w:r>
          </w:p>
        </w:tc>
        <w:tc>
          <w:tcPr>
            <w:tcW w:w="3176" w:type="dxa"/>
          </w:tcPr>
          <w:p w14:paraId="6C177417" w14:textId="77777777" w:rsidR="0045386A" w:rsidRPr="0053223A" w:rsidRDefault="0045386A" w:rsidP="0053223A">
            <w:pPr>
              <w:tabs>
                <w:tab w:val="center" w:pos="4320"/>
                <w:tab w:val="right" w:pos="8640"/>
              </w:tabs>
              <w:spacing w:after="0" w:line="276" w:lineRule="auto"/>
              <w:jc w:val="center"/>
              <w:rPr>
                <w:rFonts w:ascii="Arial" w:hAnsi="Arial" w:cs="Arial"/>
                <w:b/>
                <w:bCs/>
                <w:color w:val="000000"/>
                <w:sz w:val="20"/>
                <w:szCs w:val="20"/>
              </w:rPr>
            </w:pPr>
            <w:r w:rsidRPr="0053223A">
              <w:rPr>
                <w:rFonts w:ascii="Arial" w:hAnsi="Arial" w:cs="Arial"/>
                <w:b/>
                <w:bCs/>
                <w:sz w:val="20"/>
                <w:szCs w:val="20"/>
              </w:rPr>
              <w:t>Winter</w:t>
            </w:r>
          </w:p>
        </w:tc>
      </w:tr>
      <w:tr w:rsidR="0045386A" w:rsidRPr="0053223A" w14:paraId="20A89EB0" w14:textId="77777777" w:rsidTr="00DE2615">
        <w:trPr>
          <w:trHeight w:val="219"/>
        </w:trPr>
        <w:tc>
          <w:tcPr>
            <w:tcW w:w="2518" w:type="dxa"/>
          </w:tcPr>
          <w:p w14:paraId="18E282A2"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Control</w:t>
            </w:r>
          </w:p>
        </w:tc>
        <w:tc>
          <w:tcPr>
            <w:tcW w:w="3316" w:type="dxa"/>
            <w:vAlign w:val="center"/>
          </w:tcPr>
          <w:p w14:paraId="44BA330E"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4.50±0.22</w:t>
            </w:r>
          </w:p>
        </w:tc>
        <w:tc>
          <w:tcPr>
            <w:tcW w:w="3176" w:type="dxa"/>
            <w:vAlign w:val="center"/>
          </w:tcPr>
          <w:p w14:paraId="36456E63"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5.00±0.45</w:t>
            </w:r>
          </w:p>
        </w:tc>
      </w:tr>
      <w:tr w:rsidR="0045386A" w:rsidRPr="0053223A" w14:paraId="1FCF6191" w14:textId="77777777" w:rsidTr="00DE2615">
        <w:trPr>
          <w:trHeight w:val="159"/>
        </w:trPr>
        <w:tc>
          <w:tcPr>
            <w:tcW w:w="2518" w:type="dxa"/>
          </w:tcPr>
          <w:p w14:paraId="7FDC8DCA"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Melatonin</w:t>
            </w:r>
          </w:p>
        </w:tc>
        <w:tc>
          <w:tcPr>
            <w:tcW w:w="3316" w:type="dxa"/>
            <w:vAlign w:val="center"/>
          </w:tcPr>
          <w:p w14:paraId="4B388601"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5.50±0.43</w:t>
            </w:r>
          </w:p>
        </w:tc>
        <w:tc>
          <w:tcPr>
            <w:tcW w:w="3176" w:type="dxa"/>
            <w:vAlign w:val="center"/>
          </w:tcPr>
          <w:p w14:paraId="5279A583"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5.83±0.31</w:t>
            </w:r>
          </w:p>
        </w:tc>
      </w:tr>
      <w:tr w:rsidR="0045386A" w:rsidRPr="0053223A" w14:paraId="60F219FF" w14:textId="77777777" w:rsidTr="00DE2615">
        <w:trPr>
          <w:trHeight w:val="121"/>
        </w:trPr>
        <w:tc>
          <w:tcPr>
            <w:tcW w:w="2518" w:type="dxa"/>
          </w:tcPr>
          <w:p w14:paraId="71DEBC62" w14:textId="77777777"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Vitamin E</w:t>
            </w:r>
          </w:p>
        </w:tc>
        <w:tc>
          <w:tcPr>
            <w:tcW w:w="3316" w:type="dxa"/>
            <w:vAlign w:val="center"/>
          </w:tcPr>
          <w:p w14:paraId="08EDEB19"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5.00±0.26</w:t>
            </w:r>
          </w:p>
        </w:tc>
        <w:tc>
          <w:tcPr>
            <w:tcW w:w="3176" w:type="dxa"/>
            <w:vAlign w:val="center"/>
          </w:tcPr>
          <w:p w14:paraId="2A60DC59" w14:textId="77777777"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5.17±0.31</w:t>
            </w:r>
          </w:p>
        </w:tc>
      </w:tr>
    </w:tbl>
    <w:p w14:paraId="42DC3968" w14:textId="77777777" w:rsidR="0045386A" w:rsidRPr="0053223A" w:rsidRDefault="0045386A" w:rsidP="0053223A">
      <w:pPr>
        <w:spacing w:line="276" w:lineRule="auto"/>
        <w:jc w:val="center"/>
        <w:rPr>
          <w:rFonts w:ascii="Arial" w:hAnsi="Arial" w:cs="Arial"/>
          <w:sz w:val="20"/>
          <w:szCs w:val="20"/>
        </w:rPr>
      </w:pPr>
    </w:p>
    <w:p w14:paraId="1BADAE70" w14:textId="1CA0B92A" w:rsidR="0045386A" w:rsidRPr="0053223A" w:rsidRDefault="0045386A" w:rsidP="0053223A">
      <w:pPr>
        <w:spacing w:line="276" w:lineRule="auto"/>
        <w:jc w:val="both"/>
        <w:rPr>
          <w:rFonts w:ascii="Arial" w:hAnsi="Arial" w:cs="Arial"/>
          <w:sz w:val="20"/>
          <w:szCs w:val="20"/>
        </w:rPr>
      </w:pPr>
    </w:p>
    <w:p w14:paraId="377C201E" w14:textId="60E9FE48" w:rsidR="0045386A" w:rsidRPr="0053223A" w:rsidRDefault="0045386A" w:rsidP="0053223A">
      <w:pPr>
        <w:spacing w:line="276" w:lineRule="auto"/>
        <w:jc w:val="both"/>
        <w:rPr>
          <w:rFonts w:ascii="Arial" w:hAnsi="Arial" w:cs="Arial"/>
          <w:sz w:val="20"/>
          <w:szCs w:val="20"/>
        </w:rPr>
      </w:pPr>
      <w:r w:rsidRPr="0053223A">
        <w:rPr>
          <w:rFonts w:ascii="Arial" w:hAnsi="Arial" w:cs="Arial"/>
          <w:sz w:val="20"/>
          <w:szCs w:val="20"/>
        </w:rPr>
        <w:object w:dxaOrig="7502" w:dyaOrig="4327" w14:anchorId="0D844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5pt;height:175.25pt" o:ole="">
            <v:imagedata r:id="rId7" o:title=""/>
          </v:shape>
          <o:OLEObject Type="Embed" ProgID="Prism8.Document" ShapeID="_x0000_i1025" DrawAspect="Content" ObjectID="_1817889304" r:id="rId8"/>
        </w:object>
      </w:r>
    </w:p>
    <w:p w14:paraId="204B58D5" w14:textId="77777777" w:rsidR="0045386A" w:rsidRPr="0053223A" w:rsidRDefault="0045386A" w:rsidP="0053223A">
      <w:pPr>
        <w:spacing w:line="276" w:lineRule="auto"/>
        <w:rPr>
          <w:rFonts w:ascii="Arial" w:hAnsi="Arial" w:cs="Arial"/>
          <w:sz w:val="20"/>
          <w:szCs w:val="20"/>
        </w:rPr>
      </w:pPr>
      <w:bookmarkStart w:id="1" w:name="_Hlk207184522"/>
      <w:r w:rsidRPr="0053223A">
        <w:rPr>
          <w:rFonts w:ascii="Arial" w:hAnsi="Arial" w:cs="Arial"/>
          <w:b/>
          <w:bCs/>
          <w:sz w:val="20"/>
          <w:szCs w:val="20"/>
        </w:rPr>
        <w:t>Figure. 1.</w:t>
      </w:r>
      <w:r w:rsidRPr="0053223A">
        <w:rPr>
          <w:rFonts w:ascii="Arial" w:hAnsi="Arial" w:cs="Arial"/>
          <w:sz w:val="20"/>
          <w:szCs w:val="20"/>
        </w:rPr>
        <w:t xml:space="preserve"> Body weight (kg) of the animals during summer and winter.</w:t>
      </w:r>
    </w:p>
    <w:bookmarkEnd w:id="1"/>
    <w:p w14:paraId="7C8B032D" w14:textId="77777777" w:rsidR="0045386A" w:rsidRPr="0053223A" w:rsidRDefault="0045386A" w:rsidP="0053223A">
      <w:pPr>
        <w:spacing w:line="276" w:lineRule="auto"/>
        <w:jc w:val="both"/>
        <w:rPr>
          <w:rFonts w:ascii="Arial" w:hAnsi="Arial" w:cs="Arial"/>
          <w:color w:val="000000"/>
          <w:sz w:val="20"/>
          <w:szCs w:val="20"/>
        </w:rPr>
      </w:pPr>
    </w:p>
    <w:p w14:paraId="609BC166" w14:textId="28F2DE0E"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relative mRNA expression of HSP70 was decreased significantly (p&gt;0.01) in vitamin E supplemented group during summer as compared to winter </w:t>
      </w:r>
      <w:r w:rsidRPr="0053223A">
        <w:rPr>
          <w:rFonts w:ascii="Arial" w:hAnsi="Arial" w:cs="Arial"/>
          <w:color w:val="000000" w:themeColor="text1"/>
          <w:sz w:val="20"/>
          <w:szCs w:val="20"/>
        </w:rPr>
        <w:t>season (fig</w:t>
      </w:r>
      <w:r w:rsidR="00CB704B" w:rsidRPr="0053223A">
        <w:rPr>
          <w:rFonts w:ascii="Arial" w:hAnsi="Arial" w:cs="Arial"/>
          <w:color w:val="000000" w:themeColor="text1"/>
          <w:sz w:val="20"/>
          <w:szCs w:val="20"/>
        </w:rPr>
        <w:t>ure</w:t>
      </w:r>
      <w:r w:rsidRPr="0053223A">
        <w:rPr>
          <w:rFonts w:ascii="Arial" w:hAnsi="Arial" w:cs="Arial"/>
          <w:color w:val="000000" w:themeColor="text1"/>
          <w:sz w:val="20"/>
          <w:szCs w:val="20"/>
        </w:rPr>
        <w:t xml:space="preserve"> </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C). The </w:t>
      </w:r>
      <w:r w:rsidRPr="0053223A">
        <w:rPr>
          <w:rFonts w:ascii="Arial" w:hAnsi="Arial" w:cs="Arial"/>
          <w:sz w:val="20"/>
          <w:szCs w:val="20"/>
        </w:rPr>
        <w:t xml:space="preserve">expression level of HSP70 did not change significantly (p&gt;0.05) in melatonin supplemented and control </w:t>
      </w:r>
      <w:r w:rsidRPr="0053223A">
        <w:rPr>
          <w:rFonts w:ascii="Arial" w:hAnsi="Arial" w:cs="Arial"/>
          <w:color w:val="000000" w:themeColor="text1"/>
          <w:sz w:val="20"/>
          <w:szCs w:val="20"/>
        </w:rPr>
        <w:t>groups (fig</w:t>
      </w:r>
      <w:r w:rsidR="00CB704B" w:rsidRPr="0053223A">
        <w:rPr>
          <w:rFonts w:ascii="Arial" w:hAnsi="Arial" w:cs="Arial"/>
          <w:color w:val="000000" w:themeColor="text1"/>
          <w:sz w:val="20"/>
          <w:szCs w:val="20"/>
        </w:rPr>
        <w:t>ure</w:t>
      </w:r>
      <w:r w:rsidRPr="0053223A">
        <w:rPr>
          <w:rFonts w:ascii="Arial" w:hAnsi="Arial" w:cs="Arial"/>
          <w:color w:val="000000" w:themeColor="text1"/>
          <w:sz w:val="20"/>
          <w:szCs w:val="20"/>
        </w:rPr>
        <w:t xml:space="preserve"> </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B, </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A) </w:t>
      </w:r>
      <w:r w:rsidRPr="0053223A">
        <w:rPr>
          <w:rFonts w:ascii="Arial" w:hAnsi="Arial" w:cs="Arial"/>
          <w:sz w:val="20"/>
          <w:szCs w:val="20"/>
        </w:rPr>
        <w:t>during summer and winter season.</w:t>
      </w:r>
    </w:p>
    <w:p w14:paraId="72F7C76B" w14:textId="6B341583"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 xml:space="preserve">Heat stress poses a major challenge to livestock productivity in tropical climates, adversely impacting animal performance. In pigs, the lack of functional sweat glands and the presence of a thick subcutaneous fat layer limit thermoregulation, making them particularly vulnerable to heat stress. This study observed significantly lower (p&lt;0.05) Hb, PCV, and TEC values during the summer season compared to winter, accompanied by a significant increase (p&lt;0.05) in leukocyte counts. Despite antioxidant supplementation (melatonin and vitamin E), no improvement was noted in the haematological profiles. This aligns with previous findings, which reported decreased Hb, PCV, MCV, MCH, and MCHC levels during summer in growing </w:t>
      </w:r>
      <w:r w:rsidRPr="0053223A">
        <w:rPr>
          <w:rFonts w:ascii="Arial" w:eastAsia="Times New Roman" w:hAnsi="Arial" w:cs="Arial"/>
          <w:color w:val="000000" w:themeColor="text1"/>
          <w:kern w:val="0"/>
          <w:sz w:val="20"/>
          <w:szCs w:val="20"/>
          <w:lang w:eastAsia="en-IN"/>
          <w14:ligatures w14:val="none"/>
        </w:rPr>
        <w:t>pigs (</w:t>
      </w:r>
      <w:proofErr w:type="spellStart"/>
      <w:r w:rsidRPr="0053223A">
        <w:rPr>
          <w:rFonts w:ascii="Arial" w:eastAsia="Times New Roman" w:hAnsi="Arial" w:cs="Arial"/>
          <w:color w:val="000000" w:themeColor="text1"/>
          <w:kern w:val="0"/>
          <w:sz w:val="20"/>
          <w:szCs w:val="20"/>
          <w:lang w:eastAsia="en-IN"/>
          <w14:ligatures w14:val="none"/>
        </w:rPr>
        <w:t>Mayengbam</w:t>
      </w:r>
      <w:proofErr w:type="spellEnd"/>
      <w:r w:rsidRPr="0053223A">
        <w:rPr>
          <w:rFonts w:ascii="Arial" w:eastAsia="Times New Roman" w:hAnsi="Arial" w:cs="Arial"/>
          <w:color w:val="000000" w:themeColor="text1"/>
          <w:kern w:val="0"/>
          <w:sz w:val="20"/>
          <w:szCs w:val="20"/>
          <w:lang w:eastAsia="en-IN"/>
          <w14:ligatures w14:val="none"/>
        </w:rPr>
        <w:t xml:space="preserve"> and </w:t>
      </w:r>
      <w:proofErr w:type="spellStart"/>
      <w:r w:rsidRPr="0053223A">
        <w:rPr>
          <w:rFonts w:ascii="Arial" w:eastAsia="Times New Roman" w:hAnsi="Arial" w:cs="Arial"/>
          <w:color w:val="000000" w:themeColor="text1"/>
          <w:kern w:val="0"/>
          <w:sz w:val="20"/>
          <w:szCs w:val="20"/>
          <w:lang w:eastAsia="en-IN"/>
          <w14:ligatures w14:val="none"/>
        </w:rPr>
        <w:t>Tolenkhomba</w:t>
      </w:r>
      <w:proofErr w:type="spellEnd"/>
      <w:r w:rsidRPr="0053223A">
        <w:rPr>
          <w:rFonts w:ascii="Arial" w:eastAsia="Times New Roman" w:hAnsi="Arial" w:cs="Arial"/>
          <w:color w:val="000000" w:themeColor="text1"/>
          <w:kern w:val="0"/>
          <w:sz w:val="20"/>
          <w:szCs w:val="20"/>
          <w:lang w:eastAsia="en-IN"/>
          <w14:ligatures w14:val="none"/>
        </w:rPr>
        <w:t xml:space="preserve">, 2015). </w:t>
      </w:r>
      <w:r w:rsidRPr="0053223A">
        <w:rPr>
          <w:rFonts w:ascii="Arial" w:eastAsia="Times New Roman" w:hAnsi="Arial" w:cs="Arial"/>
          <w:kern w:val="0"/>
          <w:sz w:val="20"/>
          <w:szCs w:val="20"/>
          <w:lang w:eastAsia="en-IN"/>
          <w14:ligatures w14:val="none"/>
        </w:rPr>
        <w:t xml:space="preserve">Heat stress has been shown to reduce feed intake by 37%, affect blood profiles, and impair oxygen </w:t>
      </w:r>
      <w:r w:rsidRPr="0053223A">
        <w:rPr>
          <w:rFonts w:ascii="Arial" w:eastAsia="Times New Roman" w:hAnsi="Arial" w:cs="Arial"/>
          <w:color w:val="000000" w:themeColor="text1"/>
          <w:kern w:val="0"/>
          <w:sz w:val="20"/>
          <w:szCs w:val="20"/>
          <w:lang w:eastAsia="en-IN"/>
          <w14:ligatures w14:val="none"/>
        </w:rPr>
        <w:t xml:space="preserve">transport (Collin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2001).</w:t>
      </w:r>
    </w:p>
    <w:p w14:paraId="26AA5546" w14:textId="0296478B"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Elevated leukocyte counts during summer, unaffected by antioxidant supplementation, may reflect environmental stressors triggering immune responses (</w:t>
      </w:r>
      <w:proofErr w:type="spellStart"/>
      <w:r w:rsidRPr="0053223A">
        <w:rPr>
          <w:rFonts w:ascii="Arial" w:eastAsia="Times New Roman" w:hAnsi="Arial" w:cs="Arial"/>
          <w:color w:val="000000" w:themeColor="text1"/>
          <w:kern w:val="0"/>
          <w:sz w:val="20"/>
          <w:szCs w:val="20"/>
          <w:lang w:eastAsia="en-IN"/>
          <w14:ligatures w14:val="none"/>
        </w:rPr>
        <w:t>Adenkola</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2011; </w:t>
      </w:r>
      <w:proofErr w:type="spellStart"/>
      <w:r w:rsidR="00615BCB" w:rsidRPr="0053223A">
        <w:rPr>
          <w:rFonts w:ascii="Arial" w:eastAsia="Times New Roman" w:hAnsi="Arial" w:cs="Arial"/>
          <w:color w:val="000000" w:themeColor="text1"/>
          <w:kern w:val="0"/>
          <w:sz w:val="20"/>
          <w:szCs w:val="20"/>
          <w:lang w:eastAsia="en-IN"/>
          <w14:ligatures w14:val="none"/>
        </w:rPr>
        <w:t>Shengjun</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2010</w:t>
      </w:r>
      <w:r w:rsidRPr="0053223A">
        <w:rPr>
          <w:rFonts w:ascii="Arial" w:eastAsia="Times New Roman" w:hAnsi="Arial" w:cs="Arial"/>
          <w:kern w:val="0"/>
          <w:sz w:val="20"/>
          <w:szCs w:val="20"/>
          <w:lang w:eastAsia="en-IN"/>
          <w14:ligatures w14:val="none"/>
        </w:rPr>
        <w:t>). Seasonal variations in leukocyte levels are known to compromise immune function under prolonged heat exposure (</w:t>
      </w:r>
      <w:r w:rsidRPr="0053223A">
        <w:rPr>
          <w:rFonts w:ascii="Arial" w:eastAsia="Times New Roman" w:hAnsi="Arial" w:cs="Arial"/>
          <w:color w:val="000000" w:themeColor="text1"/>
          <w:kern w:val="0"/>
          <w:sz w:val="20"/>
          <w:szCs w:val="20"/>
          <w:lang w:eastAsia="en-IN"/>
          <w14:ligatures w14:val="none"/>
        </w:rPr>
        <w:t xml:space="preserve">Nascimento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2019</w:t>
      </w:r>
      <w:r w:rsidRPr="0053223A">
        <w:rPr>
          <w:rFonts w:ascii="Arial" w:eastAsia="Times New Roman" w:hAnsi="Arial" w:cs="Arial"/>
          <w:kern w:val="0"/>
          <w:sz w:val="20"/>
          <w:szCs w:val="20"/>
          <w:lang w:eastAsia="en-IN"/>
          <w14:ligatures w14:val="none"/>
        </w:rPr>
        <w:t xml:space="preserve">). Dietary vitamin E is reported to protect RBCs from oxidative </w:t>
      </w:r>
      <w:r w:rsidRPr="0053223A">
        <w:rPr>
          <w:rFonts w:ascii="Arial" w:eastAsia="Times New Roman" w:hAnsi="Arial" w:cs="Arial"/>
          <w:kern w:val="0"/>
          <w:sz w:val="20"/>
          <w:szCs w:val="20"/>
          <w:lang w:eastAsia="en-IN"/>
          <w14:ligatures w14:val="none"/>
        </w:rPr>
        <w:lastRenderedPageBreak/>
        <w:t xml:space="preserve">damage by increasing glutathione peroxidase activity </w:t>
      </w:r>
      <w:r w:rsidRPr="0053223A">
        <w:rPr>
          <w:rFonts w:ascii="Arial" w:eastAsia="Times New Roman" w:hAnsi="Arial" w:cs="Arial"/>
          <w:color w:val="000000" w:themeColor="text1"/>
          <w:kern w:val="0"/>
          <w:sz w:val="20"/>
          <w:szCs w:val="20"/>
          <w:lang w:eastAsia="en-IN"/>
          <w14:ligatures w14:val="none"/>
        </w:rPr>
        <w:t xml:space="preserve">(Liu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2016) </w:t>
      </w:r>
      <w:r w:rsidRPr="0053223A">
        <w:rPr>
          <w:rFonts w:ascii="Arial" w:eastAsia="Times New Roman" w:hAnsi="Arial" w:cs="Arial"/>
          <w:kern w:val="0"/>
          <w:sz w:val="20"/>
          <w:szCs w:val="20"/>
          <w:lang w:eastAsia="en-IN"/>
          <w14:ligatures w14:val="none"/>
        </w:rPr>
        <w:t xml:space="preserve">and reducing inflammatory markers like C-reactive protein and haptoglobin </w:t>
      </w:r>
      <w:r w:rsidRPr="0053223A">
        <w:rPr>
          <w:rFonts w:ascii="Arial" w:eastAsia="Times New Roman" w:hAnsi="Arial" w:cs="Arial"/>
          <w:color w:val="000000" w:themeColor="text1"/>
          <w:kern w:val="0"/>
          <w:sz w:val="20"/>
          <w:szCs w:val="20"/>
          <w:lang w:eastAsia="en-IN"/>
          <w14:ligatures w14:val="none"/>
        </w:rPr>
        <w:t xml:space="preserve">(Lauridsen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2021).</w:t>
      </w:r>
      <w:r w:rsidRPr="0053223A">
        <w:rPr>
          <w:rFonts w:ascii="Arial" w:eastAsia="Times New Roman" w:hAnsi="Arial" w:cs="Arial"/>
          <w:kern w:val="0"/>
          <w:sz w:val="20"/>
          <w:szCs w:val="20"/>
          <w:lang w:eastAsia="en-IN"/>
          <w14:ligatures w14:val="none"/>
        </w:rPr>
        <w:t xml:space="preserve"> However, in this study, vitamin E supplementation showed no significant improvement in haematological parameters, consistent with similar findings in pigs under heat </w:t>
      </w:r>
      <w:r w:rsidRPr="0053223A">
        <w:rPr>
          <w:rFonts w:ascii="Arial" w:eastAsia="Times New Roman" w:hAnsi="Arial" w:cs="Arial"/>
          <w:color w:val="000000" w:themeColor="text1"/>
          <w:kern w:val="0"/>
          <w:sz w:val="20"/>
          <w:szCs w:val="20"/>
          <w:lang w:eastAsia="en-IN"/>
          <w14:ligatures w14:val="none"/>
        </w:rPr>
        <w:t xml:space="preserve">stress (Silva-Guillen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2024). </w:t>
      </w:r>
      <w:r w:rsidRPr="0053223A">
        <w:rPr>
          <w:rFonts w:ascii="Arial" w:eastAsia="Times New Roman" w:hAnsi="Arial" w:cs="Arial"/>
          <w:kern w:val="0"/>
          <w:sz w:val="20"/>
          <w:szCs w:val="20"/>
          <w:lang w:eastAsia="en-IN"/>
          <w14:ligatures w14:val="none"/>
        </w:rPr>
        <w:t xml:space="preserve">While melatonin has been documented to improve blood cell production and immune function by reducing stress-induced inflammation </w:t>
      </w:r>
      <w:r w:rsidRPr="0053223A">
        <w:rPr>
          <w:rFonts w:ascii="Arial" w:eastAsia="Times New Roman" w:hAnsi="Arial" w:cs="Arial"/>
          <w:color w:val="000000" w:themeColor="text1"/>
          <w:kern w:val="0"/>
          <w:sz w:val="20"/>
          <w:szCs w:val="20"/>
          <w:lang w:eastAsia="en-IN"/>
          <w14:ligatures w14:val="none"/>
        </w:rPr>
        <w:t>(</w:t>
      </w:r>
      <w:proofErr w:type="spellStart"/>
      <w:r w:rsidRPr="0053223A">
        <w:rPr>
          <w:rFonts w:ascii="Arial" w:eastAsia="Times New Roman" w:hAnsi="Arial" w:cs="Arial"/>
          <w:color w:val="000000" w:themeColor="text1"/>
          <w:kern w:val="0"/>
          <w:sz w:val="20"/>
          <w:szCs w:val="20"/>
          <w:lang w:eastAsia="en-IN"/>
          <w14:ligatures w14:val="none"/>
        </w:rPr>
        <w:t>Bouroutzika</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2022), </w:t>
      </w:r>
      <w:r w:rsidRPr="0053223A">
        <w:rPr>
          <w:rFonts w:ascii="Arial" w:eastAsia="Times New Roman" w:hAnsi="Arial" w:cs="Arial"/>
          <w:kern w:val="0"/>
          <w:sz w:val="20"/>
          <w:szCs w:val="20"/>
          <w:lang w:eastAsia="en-IN"/>
          <w14:ligatures w14:val="none"/>
        </w:rPr>
        <w:t>this study found no significant improvements with melatonin supplementation during the summer season.</w:t>
      </w:r>
    </w:p>
    <w:p w14:paraId="6F962C94" w14:textId="5C902127"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Lactate dehydrogenase (LDH), an enzyme involved in energy metabolism, was significantly elevated (p&gt;0.01) during summer, indicating tissue damage or metabolic shifts under heat stress. Similar observations have been reported, with elevated LDH levels in pigs during summer linked to stress and reduced carcass quality (</w:t>
      </w:r>
      <w:proofErr w:type="spellStart"/>
      <w:r w:rsidRPr="0053223A">
        <w:rPr>
          <w:rFonts w:ascii="Arial" w:eastAsia="Times New Roman" w:hAnsi="Arial" w:cs="Arial"/>
          <w:color w:val="000000" w:themeColor="text1"/>
          <w:kern w:val="0"/>
          <w:sz w:val="20"/>
          <w:szCs w:val="20"/>
          <w:lang w:eastAsia="en-IN"/>
          <w14:ligatures w14:val="none"/>
        </w:rPr>
        <w:t>Ljiri</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2022; </w:t>
      </w:r>
      <w:proofErr w:type="spellStart"/>
      <w:r w:rsidRPr="0053223A">
        <w:rPr>
          <w:rFonts w:ascii="Arial" w:eastAsia="Times New Roman" w:hAnsi="Arial" w:cs="Arial"/>
          <w:color w:val="000000" w:themeColor="text1"/>
          <w:kern w:val="0"/>
          <w:sz w:val="20"/>
          <w:szCs w:val="20"/>
          <w:lang w:eastAsia="en-IN"/>
          <w14:ligatures w14:val="none"/>
        </w:rPr>
        <w:t>Okab</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2008</w:t>
      </w:r>
      <w:r w:rsidRPr="0053223A">
        <w:rPr>
          <w:rFonts w:ascii="Arial" w:eastAsia="Times New Roman" w:hAnsi="Arial" w:cs="Arial"/>
          <w:kern w:val="0"/>
          <w:sz w:val="20"/>
          <w:szCs w:val="20"/>
          <w:lang w:eastAsia="en-IN"/>
          <w14:ligatures w14:val="none"/>
        </w:rPr>
        <w:t>). Increased LDH levels due to tissue leakage reflect adaptive metabolic shifts and tissue damage during heat stress (</w:t>
      </w:r>
      <w:r w:rsidRPr="0053223A">
        <w:rPr>
          <w:rFonts w:ascii="Arial" w:eastAsia="Times New Roman" w:hAnsi="Arial" w:cs="Arial"/>
          <w:color w:val="000000" w:themeColor="text1"/>
          <w:kern w:val="0"/>
          <w:sz w:val="20"/>
          <w:szCs w:val="20"/>
          <w:lang w:eastAsia="en-IN"/>
          <w14:ligatures w14:val="none"/>
        </w:rPr>
        <w:t xml:space="preserve">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w:t>
      </w:r>
      <w:r w:rsidRPr="0053223A">
        <w:rPr>
          <w:rFonts w:ascii="Arial" w:eastAsia="Times New Roman" w:hAnsi="Arial" w:cs="Arial"/>
          <w:kern w:val="0"/>
          <w:sz w:val="20"/>
          <w:szCs w:val="20"/>
          <w:lang w:eastAsia="en-IN"/>
          <w14:ligatures w14:val="none"/>
        </w:rPr>
        <w:t>). Although melatonin and vitamin E supplementation did not mitigate LDH levels, their potential benefits warrant further investigation.</w:t>
      </w:r>
    </w:p>
    <w:p w14:paraId="6F3914E9" w14:textId="6DE9F8F4"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Cortisol levels, a biomarker of stress, were higher (p&gt;0.05) during summer. Elevated cortisol contributes to metabolic disruptions, oxidative stress, and immune suppression (</w:t>
      </w:r>
      <w:r w:rsidRPr="0053223A">
        <w:rPr>
          <w:rFonts w:ascii="Arial" w:eastAsia="Times New Roman" w:hAnsi="Arial" w:cs="Arial"/>
          <w:color w:val="000000" w:themeColor="text1"/>
          <w:kern w:val="0"/>
          <w:sz w:val="20"/>
          <w:szCs w:val="20"/>
          <w:lang w:eastAsia="en-IN"/>
          <w14:ligatures w14:val="none"/>
        </w:rPr>
        <w:t xml:space="preserve">Knezevic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2023</w:t>
      </w:r>
      <w:r w:rsidRPr="0053223A">
        <w:rPr>
          <w:rFonts w:ascii="Arial" w:eastAsia="Times New Roman" w:hAnsi="Arial" w:cs="Arial"/>
          <w:kern w:val="0"/>
          <w:sz w:val="20"/>
          <w:szCs w:val="20"/>
          <w:lang w:eastAsia="en-IN"/>
          <w14:ligatures w14:val="none"/>
        </w:rPr>
        <w:t>). However, antioxidant supplementation resulted in lower cortisol levels during summer, suggesting their mitigating effects. Seasonal variations in serum melatonin, with higher levels observed in winter, may be attributed to shorter day lengths and endogenous pineal gland activity (</w:t>
      </w:r>
      <w:r w:rsidRPr="0053223A">
        <w:rPr>
          <w:rFonts w:ascii="Arial" w:eastAsia="Times New Roman" w:hAnsi="Arial" w:cs="Arial"/>
          <w:color w:val="000000" w:themeColor="text1"/>
          <w:kern w:val="0"/>
          <w:sz w:val="20"/>
          <w:szCs w:val="20"/>
          <w:lang w:eastAsia="en-IN"/>
          <w14:ligatures w14:val="none"/>
        </w:rPr>
        <w:t>Andersson, 2001</w:t>
      </w:r>
      <w:r w:rsidRPr="0053223A">
        <w:rPr>
          <w:rFonts w:ascii="Arial" w:eastAsia="Times New Roman" w:hAnsi="Arial" w:cs="Arial"/>
          <w:kern w:val="0"/>
          <w:sz w:val="20"/>
          <w:szCs w:val="20"/>
          <w:lang w:eastAsia="en-IN"/>
          <w14:ligatures w14:val="none"/>
        </w:rPr>
        <w:t>).</w:t>
      </w:r>
    </w:p>
    <w:p w14:paraId="7BE42541" w14:textId="41AFAAF4"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 xml:space="preserve">Growth performance metrics, including average body weight and growth hormone levels, were higher during winter due to </w:t>
      </w:r>
      <w:proofErr w:type="spellStart"/>
      <w:r w:rsidRPr="0053223A">
        <w:rPr>
          <w:rFonts w:ascii="Arial" w:eastAsia="Times New Roman" w:hAnsi="Arial" w:cs="Arial"/>
          <w:kern w:val="0"/>
          <w:sz w:val="20"/>
          <w:szCs w:val="20"/>
          <w:lang w:eastAsia="en-IN"/>
          <w14:ligatures w14:val="none"/>
        </w:rPr>
        <w:t>favorable</w:t>
      </w:r>
      <w:proofErr w:type="spellEnd"/>
      <w:r w:rsidRPr="0053223A">
        <w:rPr>
          <w:rFonts w:ascii="Arial" w:eastAsia="Times New Roman" w:hAnsi="Arial" w:cs="Arial"/>
          <w:kern w:val="0"/>
          <w:sz w:val="20"/>
          <w:szCs w:val="20"/>
          <w:lang w:eastAsia="en-IN"/>
          <w14:ligatures w14:val="none"/>
        </w:rPr>
        <w:t xml:space="preserve"> environmental conditions. Despite antioxidant supplementation, no improvement in growth hormone levels or body weight was observed during summer. </w:t>
      </w:r>
      <w:r w:rsidRPr="0053223A">
        <w:rPr>
          <w:rFonts w:ascii="Arial" w:eastAsia="Times New Roman" w:hAnsi="Arial" w:cs="Arial"/>
          <w:color w:val="000000" w:themeColor="text1"/>
          <w:kern w:val="0"/>
          <w:sz w:val="20"/>
          <w:szCs w:val="20"/>
          <w:lang w:eastAsia="en-IN"/>
          <w14:ligatures w14:val="none"/>
        </w:rPr>
        <w:t xml:space="preserve">Pathak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r w:rsidRPr="0053223A">
        <w:rPr>
          <w:rFonts w:ascii="Arial" w:eastAsia="Times New Roman" w:hAnsi="Arial" w:cs="Arial"/>
          <w:kern w:val="0"/>
          <w:sz w:val="20"/>
          <w:szCs w:val="20"/>
          <w:lang w:eastAsia="en-IN"/>
          <w14:ligatures w14:val="none"/>
        </w:rPr>
        <w:t>reported similar seasonal effects, with reduced growth under heat stress conditions where THI exceeded 72. Cortisol-mediated suppression of growth hormone secretion during heat stress may contribute to impaired feed intake and overall performance (</w:t>
      </w:r>
      <w:proofErr w:type="spellStart"/>
      <w:r w:rsidRPr="0053223A">
        <w:rPr>
          <w:rFonts w:ascii="Arial" w:eastAsia="Times New Roman" w:hAnsi="Arial" w:cs="Arial"/>
          <w:color w:val="000000" w:themeColor="text1"/>
          <w:kern w:val="0"/>
          <w:sz w:val="20"/>
          <w:szCs w:val="20"/>
          <w:lang w:eastAsia="en-IN"/>
          <w14:ligatures w14:val="none"/>
        </w:rPr>
        <w:t>Sillence</w:t>
      </w:r>
      <w:proofErr w:type="spellEnd"/>
      <w:r w:rsidRPr="0053223A">
        <w:rPr>
          <w:rFonts w:ascii="Arial" w:eastAsia="Times New Roman" w:hAnsi="Arial" w:cs="Arial"/>
          <w:color w:val="000000" w:themeColor="text1"/>
          <w:kern w:val="0"/>
          <w:sz w:val="20"/>
          <w:szCs w:val="20"/>
          <w:lang w:eastAsia="en-IN"/>
          <w14:ligatures w14:val="none"/>
        </w:rPr>
        <w:t xml:space="preserve"> </w:t>
      </w:r>
      <w:r w:rsidR="006739DC" w:rsidRPr="0053223A">
        <w:rPr>
          <w:rFonts w:ascii="Arial" w:eastAsia="Times New Roman" w:hAnsi="Arial" w:cs="Arial"/>
          <w:color w:val="000000" w:themeColor="text1"/>
          <w:kern w:val="0"/>
          <w:sz w:val="20"/>
          <w:szCs w:val="20"/>
          <w:lang w:eastAsia="en-IN"/>
          <w14:ligatures w14:val="none"/>
        </w:rPr>
        <w:t>and</w:t>
      </w:r>
      <w:r w:rsidRPr="0053223A">
        <w:rPr>
          <w:rFonts w:ascii="Arial" w:eastAsia="Times New Roman" w:hAnsi="Arial" w:cs="Arial"/>
          <w:color w:val="000000" w:themeColor="text1"/>
          <w:kern w:val="0"/>
          <w:sz w:val="20"/>
          <w:szCs w:val="20"/>
          <w:lang w:eastAsia="en-IN"/>
          <w14:ligatures w14:val="none"/>
        </w:rPr>
        <w:t xml:space="preserve"> </w:t>
      </w:r>
      <w:proofErr w:type="spellStart"/>
      <w:r w:rsidRPr="0053223A">
        <w:rPr>
          <w:rFonts w:ascii="Arial" w:eastAsia="Times New Roman" w:hAnsi="Arial" w:cs="Arial"/>
          <w:color w:val="000000" w:themeColor="text1"/>
          <w:kern w:val="0"/>
          <w:sz w:val="20"/>
          <w:szCs w:val="20"/>
          <w:lang w:eastAsia="en-IN"/>
          <w14:ligatures w14:val="none"/>
        </w:rPr>
        <w:t>Etherton</w:t>
      </w:r>
      <w:proofErr w:type="spellEnd"/>
      <w:r w:rsidRPr="0053223A">
        <w:rPr>
          <w:rFonts w:ascii="Arial" w:eastAsia="Times New Roman" w:hAnsi="Arial" w:cs="Arial"/>
          <w:color w:val="000000" w:themeColor="text1"/>
          <w:kern w:val="0"/>
          <w:sz w:val="20"/>
          <w:szCs w:val="20"/>
          <w:lang w:eastAsia="en-IN"/>
          <w14:ligatures w14:val="none"/>
        </w:rPr>
        <w:t xml:space="preserve">, 1987). </w:t>
      </w:r>
      <w:r w:rsidRPr="0053223A">
        <w:rPr>
          <w:rFonts w:ascii="Arial" w:eastAsia="Times New Roman" w:hAnsi="Arial" w:cs="Arial"/>
          <w:kern w:val="0"/>
          <w:sz w:val="20"/>
          <w:szCs w:val="20"/>
          <w:lang w:eastAsia="en-IN"/>
          <w14:ligatures w14:val="none"/>
        </w:rPr>
        <w:t xml:space="preserve">Genetic components, such as the growth hormone receptor (GHR) gene, may regulate GH responses to heat stress </w:t>
      </w:r>
      <w:r w:rsidRPr="0053223A">
        <w:rPr>
          <w:rFonts w:ascii="Arial" w:eastAsia="Times New Roman" w:hAnsi="Arial" w:cs="Arial"/>
          <w:color w:val="000000" w:themeColor="text1"/>
          <w:kern w:val="0"/>
          <w:sz w:val="20"/>
          <w:szCs w:val="20"/>
          <w:lang w:eastAsia="en-IN"/>
          <w14:ligatures w14:val="none"/>
        </w:rPr>
        <w:t xml:space="preserve">(Kim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w:t>
      </w:r>
    </w:p>
    <w:p w14:paraId="7A761D21" w14:textId="5A4B5021"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t xml:space="preserve">The expression pattern of HSP70 mRNA in pigs is breed-specific and influenced by thermal tolerance, with higher expression reported in exotic and crossbred pigs during summer under tropical conditions </w:t>
      </w:r>
      <w:r w:rsidRPr="0053223A">
        <w:rPr>
          <w:rFonts w:ascii="Arial" w:eastAsia="Times New Roman" w:hAnsi="Arial" w:cs="Arial"/>
          <w:color w:val="000000" w:themeColor="text1"/>
          <w:kern w:val="0"/>
          <w:sz w:val="20"/>
          <w:szCs w:val="20"/>
          <w:lang w:eastAsia="en-IN"/>
          <w14:ligatures w14:val="none"/>
        </w:rPr>
        <w:t xml:space="preserve">(Vashi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r w:rsidRPr="0053223A">
        <w:rPr>
          <w:rFonts w:ascii="Arial" w:eastAsia="Times New Roman" w:hAnsi="Arial" w:cs="Arial"/>
          <w:kern w:val="0"/>
          <w:sz w:val="20"/>
          <w:szCs w:val="20"/>
          <w:lang w:eastAsia="en-IN"/>
          <w14:ligatures w14:val="none"/>
        </w:rPr>
        <w:t>Th</w:t>
      </w:r>
      <w:r w:rsidR="006739DC" w:rsidRPr="0053223A">
        <w:rPr>
          <w:rFonts w:ascii="Arial" w:eastAsia="Times New Roman" w:hAnsi="Arial" w:cs="Arial"/>
          <w:kern w:val="0"/>
          <w:sz w:val="20"/>
          <w:szCs w:val="20"/>
          <w:lang w:eastAsia="en-IN"/>
          <w14:ligatures w14:val="none"/>
        </w:rPr>
        <w:t>e</w:t>
      </w:r>
      <w:r w:rsidRPr="0053223A">
        <w:rPr>
          <w:rFonts w:ascii="Arial" w:eastAsia="Times New Roman" w:hAnsi="Arial" w:cs="Arial"/>
          <w:kern w:val="0"/>
          <w:sz w:val="20"/>
          <w:szCs w:val="20"/>
          <w:lang w:eastAsia="en-IN"/>
          <w14:ligatures w14:val="none"/>
        </w:rPr>
        <w:t xml:space="preserve"> </w:t>
      </w:r>
      <w:r w:rsidR="006739DC" w:rsidRPr="0053223A">
        <w:rPr>
          <w:rFonts w:ascii="Arial" w:eastAsia="Times New Roman" w:hAnsi="Arial" w:cs="Arial"/>
          <w:kern w:val="0"/>
          <w:sz w:val="20"/>
          <w:szCs w:val="20"/>
          <w:lang w:eastAsia="en-IN"/>
          <w14:ligatures w14:val="none"/>
        </w:rPr>
        <w:t xml:space="preserve">present </w:t>
      </w:r>
      <w:r w:rsidRPr="0053223A">
        <w:rPr>
          <w:rFonts w:ascii="Arial" w:eastAsia="Times New Roman" w:hAnsi="Arial" w:cs="Arial"/>
          <w:kern w:val="0"/>
          <w:sz w:val="20"/>
          <w:szCs w:val="20"/>
          <w:lang w:eastAsia="en-IN"/>
          <w14:ligatures w14:val="none"/>
        </w:rPr>
        <w:t xml:space="preserve">study observed a decrease (p&lt;0.05) in HSP70 mRNA expression in vitamin E-supplemented pigs during summer compared to winter, potentially attributed to reduced ROS and stabilized antioxidant status </w:t>
      </w:r>
      <w:r w:rsidRPr="0053223A">
        <w:rPr>
          <w:rFonts w:ascii="Arial" w:eastAsia="Times New Roman" w:hAnsi="Arial" w:cs="Arial"/>
          <w:color w:val="000000" w:themeColor="text1"/>
          <w:kern w:val="0"/>
          <w:sz w:val="20"/>
          <w:szCs w:val="20"/>
          <w:lang w:eastAsia="en-IN"/>
          <w14:ligatures w14:val="none"/>
        </w:rPr>
        <w:t>(Bor</w:t>
      </w:r>
      <w:r w:rsidR="006739DC" w:rsidRPr="0053223A">
        <w:rPr>
          <w:rFonts w:ascii="Arial" w:eastAsia="Times New Roman" w:hAnsi="Arial" w:cs="Arial"/>
          <w:color w:val="000000" w:themeColor="text1"/>
          <w:kern w:val="0"/>
          <w:sz w:val="20"/>
          <w:szCs w:val="20"/>
          <w:lang w:eastAsia="en-IN"/>
          <w14:ligatures w14:val="none"/>
        </w:rPr>
        <w:t>a</w:t>
      </w:r>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2024; Jang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2014).</w:t>
      </w:r>
      <w:r w:rsidRPr="0053223A">
        <w:rPr>
          <w:rFonts w:ascii="Arial" w:eastAsia="Times New Roman" w:hAnsi="Arial" w:cs="Arial"/>
          <w:kern w:val="0"/>
          <w:sz w:val="20"/>
          <w:szCs w:val="20"/>
          <w:lang w:eastAsia="en-IN"/>
          <w14:ligatures w14:val="none"/>
        </w:rPr>
        <w:t xml:space="preserve"> Vitamin E and selenium supplementation may restrict HSP expression through enhanced superoxide dismutase activity (</w:t>
      </w:r>
      <w:r w:rsidRPr="0053223A">
        <w:rPr>
          <w:rFonts w:ascii="Arial" w:eastAsia="Times New Roman" w:hAnsi="Arial" w:cs="Arial"/>
          <w:color w:val="000000" w:themeColor="text1"/>
          <w:kern w:val="0"/>
          <w:sz w:val="20"/>
          <w:szCs w:val="20"/>
          <w:lang w:eastAsia="en-IN"/>
          <w14:ligatures w14:val="none"/>
        </w:rPr>
        <w:t xml:space="preserve">Kumbhar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2018; </w:t>
      </w:r>
      <w:proofErr w:type="spellStart"/>
      <w:r w:rsidRPr="0053223A">
        <w:rPr>
          <w:rFonts w:ascii="Arial" w:eastAsia="Times New Roman" w:hAnsi="Arial" w:cs="Arial"/>
          <w:color w:val="000000" w:themeColor="text1"/>
          <w:kern w:val="0"/>
          <w:sz w:val="20"/>
          <w:szCs w:val="20"/>
          <w:lang w:eastAsia="en-IN"/>
          <w14:ligatures w14:val="none"/>
        </w:rPr>
        <w:t>Dokladny</w:t>
      </w:r>
      <w:proofErr w:type="spellEnd"/>
      <w:r w:rsidRPr="0053223A">
        <w:rPr>
          <w:rFonts w:ascii="Arial" w:eastAsia="Times New Roman" w:hAnsi="Arial" w:cs="Arial"/>
          <w:color w:val="000000" w:themeColor="text1"/>
          <w:kern w:val="0"/>
          <w:sz w:val="20"/>
          <w:szCs w:val="20"/>
          <w:lang w:eastAsia="en-IN"/>
          <w14:ligatures w14:val="none"/>
        </w:rPr>
        <w:t xml:space="preserve">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2006</w:t>
      </w:r>
      <w:r w:rsidRPr="0053223A">
        <w:rPr>
          <w:rFonts w:ascii="Arial" w:eastAsia="Times New Roman" w:hAnsi="Arial" w:cs="Arial"/>
          <w:kern w:val="0"/>
          <w:sz w:val="20"/>
          <w:szCs w:val="20"/>
          <w:lang w:eastAsia="en-IN"/>
          <w14:ligatures w14:val="none"/>
        </w:rPr>
        <w:t>). While melatonin has been shown to increase HSP70 expression in goats and porcine oocytes (</w:t>
      </w:r>
      <w:r w:rsidRPr="0053223A">
        <w:rPr>
          <w:rFonts w:ascii="Arial" w:eastAsia="Times New Roman" w:hAnsi="Arial" w:cs="Arial"/>
          <w:color w:val="000000" w:themeColor="text1"/>
          <w:kern w:val="0"/>
          <w:sz w:val="20"/>
          <w:szCs w:val="20"/>
          <w:lang w:eastAsia="en-IN"/>
          <w14:ligatures w14:val="none"/>
        </w:rPr>
        <w:t xml:space="preserve">Hasin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2017; Yang </w:t>
      </w:r>
      <w:r w:rsidR="0045386A" w:rsidRPr="0053223A">
        <w:rPr>
          <w:rFonts w:ascii="Arial" w:eastAsia="Times New Roman" w:hAnsi="Arial" w:cs="Arial"/>
          <w:i/>
          <w:iCs/>
          <w:color w:val="000000" w:themeColor="text1"/>
          <w:kern w:val="0"/>
          <w:sz w:val="20"/>
          <w:szCs w:val="20"/>
          <w:lang w:eastAsia="en-IN"/>
          <w14:ligatures w14:val="none"/>
        </w:rPr>
        <w:t>et al.,</w:t>
      </w:r>
      <w:r w:rsidRPr="0053223A">
        <w:rPr>
          <w:rFonts w:ascii="Arial" w:eastAsia="Times New Roman" w:hAnsi="Arial" w:cs="Arial"/>
          <w:color w:val="000000" w:themeColor="text1"/>
          <w:kern w:val="0"/>
          <w:sz w:val="20"/>
          <w:szCs w:val="20"/>
          <w:lang w:eastAsia="en-IN"/>
          <w14:ligatures w14:val="none"/>
        </w:rPr>
        <w:t xml:space="preserve"> 2021</w:t>
      </w:r>
      <w:r w:rsidRPr="0053223A">
        <w:rPr>
          <w:rFonts w:ascii="Arial" w:eastAsia="Times New Roman" w:hAnsi="Arial" w:cs="Arial"/>
          <w:kern w:val="0"/>
          <w:sz w:val="20"/>
          <w:szCs w:val="20"/>
          <w:lang w:eastAsia="en-IN"/>
          <w14:ligatures w14:val="none"/>
        </w:rPr>
        <w:t>), this study found no seasonal variation in HSP70 expression in melatonin-supplemented pigs.</w:t>
      </w:r>
    </w:p>
    <w:p w14:paraId="3304A75D" w14:textId="7E7FD389" w:rsidR="00AD7BF8" w:rsidRPr="0053223A" w:rsidRDefault="0045386A" w:rsidP="0053223A">
      <w:pPr>
        <w:pStyle w:val="ListParagraph"/>
        <w:numPr>
          <w:ilvl w:val="0"/>
          <w:numId w:val="6"/>
        </w:num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b/>
          <w:bCs/>
          <w:kern w:val="0"/>
          <w:sz w:val="20"/>
          <w:szCs w:val="20"/>
          <w:lang w:eastAsia="en-IN"/>
          <w14:ligatures w14:val="none"/>
        </w:rPr>
        <w:t>CONCLUSION</w:t>
      </w:r>
    </w:p>
    <w:p w14:paraId="175D3B71" w14:textId="2B5B76BA" w:rsidR="004E4DD9" w:rsidRPr="0053223A" w:rsidRDefault="00CB704B" w:rsidP="0053223A">
      <w:pPr>
        <w:spacing w:line="276" w:lineRule="auto"/>
        <w:jc w:val="both"/>
        <w:rPr>
          <w:rFonts w:ascii="Arial" w:hAnsi="Arial" w:cs="Arial"/>
          <w:sz w:val="20"/>
          <w:szCs w:val="20"/>
        </w:rPr>
      </w:pPr>
      <w:r w:rsidRPr="0053223A">
        <w:rPr>
          <w:rFonts w:ascii="Arial" w:hAnsi="Arial" w:cs="Arial"/>
          <w:sz w:val="20"/>
          <w:szCs w:val="20"/>
        </w:rPr>
        <w:t>Heat stress significantly impacted haematological parameters, cortisol levels, lactate dehydrogenase, and body weight in pigs, with adverse effects more pronounced in summer. While melatonin and vitamin E supplementation reduced summer cortisol levels, however, did not improve haematological profiles or LDH levels. Vitamin E supplementation notably decreased HSP70 mRNA expression during summer, highlighting its oxidative stability benefits. These findings underscore the need for improved nutritional and management strategies to counteract heat stress in pigs.</w:t>
      </w:r>
    </w:p>
    <w:p w14:paraId="1F3A7B86" w14:textId="2181B6BB" w:rsidR="006133E0" w:rsidRPr="0053223A" w:rsidRDefault="006133E0" w:rsidP="0053223A">
      <w:pPr>
        <w:spacing w:before="100" w:beforeAutospacing="1" w:after="100" w:afterAutospacing="1" w:line="276" w:lineRule="auto"/>
        <w:jc w:val="both"/>
        <w:rPr>
          <w:rFonts w:ascii="Arial" w:eastAsia="Times New Roman" w:hAnsi="Arial" w:cs="Arial"/>
          <w:b/>
          <w:bCs/>
          <w:kern w:val="0"/>
          <w:sz w:val="20"/>
          <w:szCs w:val="20"/>
          <w:lang w:eastAsia="en-IN"/>
          <w14:ligatures w14:val="none"/>
        </w:rPr>
      </w:pPr>
      <w:r w:rsidRPr="0053223A">
        <w:rPr>
          <w:rFonts w:ascii="Arial" w:eastAsia="Times New Roman" w:hAnsi="Arial" w:cs="Arial"/>
          <w:b/>
          <w:bCs/>
          <w:kern w:val="0"/>
          <w:sz w:val="20"/>
          <w:szCs w:val="20"/>
          <w:lang w:eastAsia="en-IN"/>
          <w14:ligatures w14:val="none"/>
        </w:rPr>
        <w:t>DISCLAIMER (ARTIFICIAL INTELLIGENCE)</w:t>
      </w:r>
    </w:p>
    <w:p w14:paraId="1BA6B556" w14:textId="4F81CE29" w:rsidR="006133E0" w:rsidRPr="0053223A" w:rsidRDefault="006133E0" w:rsidP="0053223A">
      <w:pPr>
        <w:spacing w:before="100" w:beforeAutospacing="1" w:after="100" w:afterAutospacing="1" w:line="276" w:lineRule="auto"/>
        <w:jc w:val="both"/>
        <w:rPr>
          <w:rFonts w:ascii="Arial" w:eastAsia="Times New Roman" w:hAnsi="Arial" w:cs="Arial"/>
          <w:kern w:val="0"/>
          <w:sz w:val="20"/>
          <w:szCs w:val="20"/>
          <w:lang w:eastAsia="en-IN"/>
          <w14:ligatures w14:val="none"/>
        </w:rPr>
      </w:pPr>
      <w:r w:rsidRPr="0053223A">
        <w:rPr>
          <w:rFonts w:ascii="Arial" w:eastAsia="Times New Roman" w:hAnsi="Arial" w:cs="Arial"/>
          <w:kern w:val="0"/>
          <w:sz w:val="20"/>
          <w:szCs w:val="20"/>
          <w:lang w:eastAsia="en-IN"/>
          <w14:ligatures w14:val="none"/>
        </w:rPr>
        <w:lastRenderedPageBreak/>
        <w:t>The authors hereby declare that NO generation of AI technologies such as large language models and text-to image generators have been used during writing or editing of this manuscript.</w:t>
      </w:r>
    </w:p>
    <w:p w14:paraId="79C2E7AD" w14:textId="75970419" w:rsidR="00813E3A" w:rsidRPr="0053223A" w:rsidRDefault="006133E0" w:rsidP="0053223A">
      <w:pPr>
        <w:spacing w:before="100" w:beforeAutospacing="1" w:after="100" w:afterAutospacing="1" w:line="276" w:lineRule="auto"/>
        <w:rPr>
          <w:rFonts w:ascii="Arial" w:eastAsia="Times New Roman" w:hAnsi="Arial" w:cs="Arial"/>
          <w:kern w:val="0"/>
          <w:sz w:val="20"/>
          <w:szCs w:val="20"/>
          <w:lang w:eastAsia="en-IN"/>
          <w14:ligatures w14:val="none"/>
        </w:rPr>
      </w:pPr>
      <w:r w:rsidRPr="0053223A">
        <w:rPr>
          <w:rFonts w:ascii="Arial" w:eastAsia="Times New Roman" w:hAnsi="Arial" w:cs="Arial"/>
          <w:b/>
          <w:bCs/>
          <w:kern w:val="0"/>
          <w:sz w:val="20"/>
          <w:szCs w:val="20"/>
          <w:lang w:eastAsia="en-IN"/>
          <w14:ligatures w14:val="none"/>
        </w:rPr>
        <w:t>REFERENCES</w:t>
      </w:r>
    </w:p>
    <w:p w14:paraId="32820A17"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Adenkola</w:t>
      </w:r>
      <w:proofErr w:type="spellEnd"/>
      <w:r w:rsidRPr="0053223A">
        <w:rPr>
          <w:rFonts w:ascii="Arial" w:eastAsiaTheme="majorEastAsia" w:hAnsi="Arial" w:cs="Arial"/>
          <w:sz w:val="20"/>
          <w:szCs w:val="20"/>
        </w:rPr>
        <w:t>, A. Y., Ayo, J. O., &amp; Asala, O. (2011). Variations in haematological parameters and erythrocyte osmotic fragility of pigs during hot-dry and harmattan season in Northern Guinea Savanna zone of Nigeria. Nigerian Journal of Physiological Sciences, 26(2), 113–118.</w:t>
      </w:r>
    </w:p>
    <w:p w14:paraId="41C9D206"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Andersson, H. (2001). Plasma melatonin levels in relation to the light-dark cycle and parental background in domestic pigs. Acta </w:t>
      </w:r>
      <w:proofErr w:type="spellStart"/>
      <w:r w:rsidRPr="0053223A">
        <w:rPr>
          <w:rFonts w:ascii="Arial" w:eastAsiaTheme="majorEastAsia" w:hAnsi="Arial" w:cs="Arial"/>
          <w:sz w:val="20"/>
          <w:szCs w:val="20"/>
        </w:rPr>
        <w:t>Veterinaria</w:t>
      </w:r>
      <w:proofErr w:type="spellEnd"/>
      <w:r w:rsidRPr="0053223A">
        <w:rPr>
          <w:rFonts w:ascii="Arial" w:eastAsiaTheme="majorEastAsia" w:hAnsi="Arial" w:cs="Arial"/>
          <w:sz w:val="20"/>
          <w:szCs w:val="20"/>
        </w:rPr>
        <w:t xml:space="preserve"> </w:t>
      </w:r>
      <w:proofErr w:type="spellStart"/>
      <w:r w:rsidRPr="0053223A">
        <w:rPr>
          <w:rFonts w:ascii="Arial" w:eastAsiaTheme="majorEastAsia" w:hAnsi="Arial" w:cs="Arial"/>
          <w:sz w:val="20"/>
          <w:szCs w:val="20"/>
        </w:rPr>
        <w:t>Scandinavica</w:t>
      </w:r>
      <w:proofErr w:type="spellEnd"/>
      <w:r w:rsidRPr="0053223A">
        <w:rPr>
          <w:rFonts w:ascii="Arial" w:eastAsiaTheme="majorEastAsia" w:hAnsi="Arial" w:cs="Arial"/>
          <w:sz w:val="20"/>
          <w:szCs w:val="20"/>
        </w:rPr>
        <w:t xml:space="preserve">, 42(2), 287–294. </w:t>
      </w:r>
    </w:p>
    <w:p w14:paraId="768AF676" w14:textId="697FB83C"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Borah, S., Soren, S., Talukdar, R., Kalita, L., Pame, K., Nath, A. J., Borah, B., Pathak, P. K., &amp; </w:t>
      </w:r>
      <w:proofErr w:type="spellStart"/>
      <w:r w:rsidRPr="0053223A">
        <w:rPr>
          <w:rFonts w:ascii="Arial" w:eastAsiaTheme="majorEastAsia" w:hAnsi="Arial" w:cs="Arial"/>
          <w:sz w:val="20"/>
          <w:szCs w:val="20"/>
        </w:rPr>
        <w:t>Bhattacharryya</w:t>
      </w:r>
      <w:proofErr w:type="spellEnd"/>
      <w:r w:rsidRPr="0053223A">
        <w:rPr>
          <w:rFonts w:ascii="Arial" w:eastAsiaTheme="majorEastAsia" w:hAnsi="Arial" w:cs="Arial"/>
          <w:sz w:val="20"/>
          <w:szCs w:val="20"/>
        </w:rPr>
        <w:t>, B. N. (2023). Thermal stress impaired expression of insulin-like growth factor binding proteins in pigs. Indian Journal of Animal Sciences, 93(3). doi:10.56093/</w:t>
      </w:r>
      <w:proofErr w:type="gramStart"/>
      <w:r w:rsidRPr="0053223A">
        <w:rPr>
          <w:rFonts w:ascii="Arial" w:eastAsiaTheme="majorEastAsia" w:hAnsi="Arial" w:cs="Arial"/>
          <w:sz w:val="20"/>
          <w:szCs w:val="20"/>
        </w:rPr>
        <w:t>ijans.v</w:t>
      </w:r>
      <w:proofErr w:type="gramEnd"/>
      <w:r w:rsidRPr="0053223A">
        <w:rPr>
          <w:rFonts w:ascii="Arial" w:eastAsiaTheme="majorEastAsia" w:hAnsi="Arial" w:cs="Arial"/>
          <w:sz w:val="20"/>
          <w:szCs w:val="20"/>
        </w:rPr>
        <w:t>93i3.128685</w:t>
      </w:r>
    </w:p>
    <w:p w14:paraId="4C1DF53E"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Bora, S., Sonowal, M., Baishya, P., Mahanta, J. D., Saikia, A. K., Sarma, M., Deka, P., &amp; Borah, P. (2024). Effect of Vitamin E and Selenium supplementation on growth performance and heat shock protein 70 levels in broiler chickens exposed to summer heat stress. Indian Journal of Animal Research, 58(10), 1804–1809. </w:t>
      </w:r>
    </w:p>
    <w:p w14:paraId="3456266A"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Bouroutzika</w:t>
      </w:r>
      <w:proofErr w:type="spellEnd"/>
      <w:r w:rsidRPr="0053223A">
        <w:rPr>
          <w:rFonts w:ascii="Arial" w:eastAsiaTheme="majorEastAsia" w:hAnsi="Arial" w:cs="Arial"/>
          <w:sz w:val="20"/>
          <w:szCs w:val="20"/>
        </w:rPr>
        <w:t xml:space="preserve">, E., </w:t>
      </w:r>
      <w:proofErr w:type="spellStart"/>
      <w:r w:rsidRPr="0053223A">
        <w:rPr>
          <w:rFonts w:ascii="Arial" w:eastAsiaTheme="majorEastAsia" w:hAnsi="Arial" w:cs="Arial"/>
          <w:sz w:val="20"/>
          <w:szCs w:val="20"/>
        </w:rPr>
        <w:t>Theodosiadou</w:t>
      </w:r>
      <w:proofErr w:type="spellEnd"/>
      <w:r w:rsidRPr="0053223A">
        <w:rPr>
          <w:rFonts w:ascii="Arial" w:eastAsiaTheme="majorEastAsia" w:hAnsi="Arial" w:cs="Arial"/>
          <w:sz w:val="20"/>
          <w:szCs w:val="20"/>
        </w:rPr>
        <w:t xml:space="preserve">, E., </w:t>
      </w:r>
      <w:proofErr w:type="spellStart"/>
      <w:r w:rsidRPr="0053223A">
        <w:rPr>
          <w:rFonts w:ascii="Arial" w:eastAsiaTheme="majorEastAsia" w:hAnsi="Arial" w:cs="Arial"/>
          <w:sz w:val="20"/>
          <w:szCs w:val="20"/>
        </w:rPr>
        <w:t>Barbagianni</w:t>
      </w:r>
      <w:proofErr w:type="spellEnd"/>
      <w:r w:rsidRPr="0053223A">
        <w:rPr>
          <w:rFonts w:ascii="Arial" w:eastAsiaTheme="majorEastAsia" w:hAnsi="Arial" w:cs="Arial"/>
          <w:sz w:val="20"/>
          <w:szCs w:val="20"/>
        </w:rPr>
        <w:t xml:space="preserve">, M. S., Papadopoulos, S., Kalogiannis, D., </w:t>
      </w:r>
      <w:proofErr w:type="spellStart"/>
      <w:r w:rsidRPr="0053223A">
        <w:rPr>
          <w:rFonts w:ascii="Arial" w:eastAsiaTheme="majorEastAsia" w:hAnsi="Arial" w:cs="Arial"/>
          <w:sz w:val="20"/>
          <w:szCs w:val="20"/>
        </w:rPr>
        <w:t>Chadio</w:t>
      </w:r>
      <w:proofErr w:type="spellEnd"/>
      <w:r w:rsidRPr="0053223A">
        <w:rPr>
          <w:rFonts w:ascii="Arial" w:eastAsiaTheme="majorEastAsia" w:hAnsi="Arial" w:cs="Arial"/>
          <w:sz w:val="20"/>
          <w:szCs w:val="20"/>
        </w:rPr>
        <w:t xml:space="preserve">, S., </w:t>
      </w:r>
      <w:proofErr w:type="spellStart"/>
      <w:r w:rsidRPr="0053223A">
        <w:rPr>
          <w:rFonts w:ascii="Arial" w:eastAsiaTheme="majorEastAsia" w:hAnsi="Arial" w:cs="Arial"/>
          <w:sz w:val="20"/>
          <w:szCs w:val="20"/>
        </w:rPr>
        <w:t>Skaperda</w:t>
      </w:r>
      <w:proofErr w:type="spellEnd"/>
      <w:r w:rsidRPr="0053223A">
        <w:rPr>
          <w:rFonts w:ascii="Arial" w:eastAsiaTheme="majorEastAsia" w:hAnsi="Arial" w:cs="Arial"/>
          <w:sz w:val="20"/>
          <w:szCs w:val="20"/>
        </w:rPr>
        <w:t xml:space="preserve">, Z., Kouretas, D., </w:t>
      </w:r>
      <w:proofErr w:type="spellStart"/>
      <w:r w:rsidRPr="0053223A">
        <w:rPr>
          <w:rFonts w:ascii="Arial" w:eastAsiaTheme="majorEastAsia" w:hAnsi="Arial" w:cs="Arial"/>
          <w:sz w:val="20"/>
          <w:szCs w:val="20"/>
        </w:rPr>
        <w:t>Katsogiannou</w:t>
      </w:r>
      <w:proofErr w:type="spellEnd"/>
      <w:r w:rsidRPr="0053223A">
        <w:rPr>
          <w:rFonts w:ascii="Arial" w:eastAsiaTheme="majorEastAsia" w:hAnsi="Arial" w:cs="Arial"/>
          <w:sz w:val="20"/>
          <w:szCs w:val="20"/>
        </w:rPr>
        <w:t xml:space="preserve">, E. G., &amp; </w:t>
      </w:r>
      <w:proofErr w:type="spellStart"/>
      <w:r w:rsidRPr="0053223A">
        <w:rPr>
          <w:rFonts w:ascii="Arial" w:eastAsiaTheme="majorEastAsia" w:hAnsi="Arial" w:cs="Arial"/>
          <w:sz w:val="20"/>
          <w:szCs w:val="20"/>
        </w:rPr>
        <w:t>Valasi</w:t>
      </w:r>
      <w:proofErr w:type="spellEnd"/>
      <w:r w:rsidRPr="0053223A">
        <w:rPr>
          <w:rFonts w:ascii="Arial" w:eastAsiaTheme="majorEastAsia" w:hAnsi="Arial" w:cs="Arial"/>
          <w:sz w:val="20"/>
          <w:szCs w:val="20"/>
        </w:rPr>
        <w:t xml:space="preserve">, I. (2022). Redox status and </w:t>
      </w:r>
      <w:proofErr w:type="spellStart"/>
      <w:r w:rsidRPr="0053223A">
        <w:rPr>
          <w:rFonts w:ascii="Arial" w:eastAsiaTheme="majorEastAsia" w:hAnsi="Arial" w:cs="Arial"/>
          <w:sz w:val="20"/>
          <w:szCs w:val="20"/>
        </w:rPr>
        <w:t>hematological</w:t>
      </w:r>
      <w:proofErr w:type="spellEnd"/>
      <w:r w:rsidRPr="0053223A">
        <w:rPr>
          <w:rFonts w:ascii="Arial" w:eastAsiaTheme="majorEastAsia" w:hAnsi="Arial" w:cs="Arial"/>
          <w:sz w:val="20"/>
          <w:szCs w:val="20"/>
        </w:rPr>
        <w:t xml:space="preserve"> variables in melatonin-treated ewes during early pregnancy under heat stress. Veterinary Sciences, 9(9), 499. </w:t>
      </w:r>
    </w:p>
    <w:p w14:paraId="680C70A5"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Bora, A., Goswami, J., Dutta, D., Kalita, D., &amp; Biswas, R. (2017c). Effects of antioxidants in ameliorating seasonal stress in pig puberty. International Journal of Livestock Research, 7(10), 249–253. </w:t>
      </w:r>
    </w:p>
    <w:p w14:paraId="404A565D"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Sarmah, B. C., Goswami, J., Bora, A., Dutta, D. J., Biswas, R. K., Kalita, D., Naskar, S., Vashi, Y., &amp; </w:t>
      </w:r>
      <w:proofErr w:type="spellStart"/>
      <w:r w:rsidRPr="0053223A">
        <w:rPr>
          <w:rFonts w:ascii="Arial" w:eastAsiaTheme="majorEastAsia" w:hAnsi="Arial" w:cs="Arial"/>
          <w:sz w:val="20"/>
          <w:szCs w:val="20"/>
        </w:rPr>
        <w:t>Phangchopi</w:t>
      </w:r>
      <w:proofErr w:type="spellEnd"/>
      <w:r w:rsidRPr="0053223A">
        <w:rPr>
          <w:rFonts w:ascii="Arial" w:eastAsiaTheme="majorEastAsia" w:hAnsi="Arial" w:cs="Arial"/>
          <w:sz w:val="20"/>
          <w:szCs w:val="20"/>
        </w:rPr>
        <w:t>, D. (2017a). Thyroid response to temperature humidity index in crossbred pigs supplemented with antioxidants during summer and winter season. Advances in Animal and Veterinary Sciences, 5(6), 271–275.</w:t>
      </w:r>
    </w:p>
    <w:p w14:paraId="7EE00140"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Sarmah, B. C., Goswami, J., Bora, A., Dutta, D. J., Biswas, R. K., Kalita, D., Naskar, S., Vashi, Y., &amp; </w:t>
      </w:r>
      <w:proofErr w:type="spellStart"/>
      <w:r w:rsidRPr="0053223A">
        <w:rPr>
          <w:rFonts w:ascii="Arial" w:eastAsiaTheme="majorEastAsia" w:hAnsi="Arial" w:cs="Arial"/>
          <w:sz w:val="20"/>
          <w:szCs w:val="20"/>
        </w:rPr>
        <w:t>Phangchopi</w:t>
      </w:r>
      <w:proofErr w:type="spellEnd"/>
      <w:r w:rsidRPr="0053223A">
        <w:rPr>
          <w:rFonts w:ascii="Arial" w:eastAsiaTheme="majorEastAsia" w:hAnsi="Arial" w:cs="Arial"/>
          <w:sz w:val="20"/>
          <w:szCs w:val="20"/>
        </w:rPr>
        <w:t>, D. (2017b). Enzymatic response to antioxidants and seasonal stress. Current Journal of Applied Science and Technology, 22(2), 1–5.</w:t>
      </w:r>
    </w:p>
    <w:p w14:paraId="729D01C9" w14:textId="77730C96"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Sarmah, B. C., Goswami, J., Bora, A., Dutta, D. J., Biswas, R. K., Kalita, D., Naskar, S., Vashi, Y., &amp; </w:t>
      </w:r>
      <w:proofErr w:type="spellStart"/>
      <w:r w:rsidRPr="0053223A">
        <w:rPr>
          <w:rFonts w:ascii="Arial" w:eastAsiaTheme="majorEastAsia" w:hAnsi="Arial" w:cs="Arial"/>
          <w:sz w:val="20"/>
          <w:szCs w:val="20"/>
        </w:rPr>
        <w:t>Phangchopi</w:t>
      </w:r>
      <w:proofErr w:type="spellEnd"/>
      <w:r w:rsidRPr="0053223A">
        <w:rPr>
          <w:rFonts w:ascii="Arial" w:eastAsiaTheme="majorEastAsia" w:hAnsi="Arial" w:cs="Arial"/>
          <w:sz w:val="20"/>
          <w:szCs w:val="20"/>
        </w:rPr>
        <w:t>, D. (2017</w:t>
      </w:r>
      <w:r w:rsidR="0053223A">
        <w:rPr>
          <w:rFonts w:ascii="Arial" w:eastAsiaTheme="majorEastAsia" w:hAnsi="Arial" w:cs="Arial"/>
          <w:sz w:val="20"/>
          <w:szCs w:val="20"/>
        </w:rPr>
        <w:t>c</w:t>
      </w:r>
      <w:r w:rsidRPr="0053223A">
        <w:rPr>
          <w:rFonts w:ascii="Arial" w:eastAsiaTheme="majorEastAsia" w:hAnsi="Arial" w:cs="Arial"/>
          <w:sz w:val="20"/>
          <w:szCs w:val="20"/>
        </w:rPr>
        <w:t xml:space="preserve">). Physiological responses in pigs on antioxidant supplementation during summer and winter. Indian Journal of Animal Research, 52(11), 1557–1559. </w:t>
      </w:r>
    </w:p>
    <w:p w14:paraId="0C5A80DF"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Collin, A., van </w:t>
      </w:r>
      <w:proofErr w:type="spellStart"/>
      <w:r w:rsidRPr="0053223A">
        <w:rPr>
          <w:rFonts w:ascii="Arial" w:eastAsiaTheme="majorEastAsia" w:hAnsi="Arial" w:cs="Arial"/>
          <w:sz w:val="20"/>
          <w:szCs w:val="20"/>
        </w:rPr>
        <w:t>Milgen</w:t>
      </w:r>
      <w:proofErr w:type="spellEnd"/>
      <w:r w:rsidRPr="0053223A">
        <w:rPr>
          <w:rFonts w:ascii="Arial" w:eastAsiaTheme="majorEastAsia" w:hAnsi="Arial" w:cs="Arial"/>
          <w:sz w:val="20"/>
          <w:szCs w:val="20"/>
        </w:rPr>
        <w:t xml:space="preserve">, J., Dubois, S., &amp; Noblet, J. (2001). Effect of high temperature on feeding </w:t>
      </w:r>
      <w:proofErr w:type="spellStart"/>
      <w:r w:rsidRPr="0053223A">
        <w:rPr>
          <w:rFonts w:ascii="Arial" w:eastAsiaTheme="majorEastAsia" w:hAnsi="Arial" w:cs="Arial"/>
          <w:sz w:val="20"/>
          <w:szCs w:val="20"/>
        </w:rPr>
        <w:t>behavior</w:t>
      </w:r>
      <w:proofErr w:type="spellEnd"/>
      <w:r w:rsidRPr="0053223A">
        <w:rPr>
          <w:rFonts w:ascii="Arial" w:eastAsiaTheme="majorEastAsia" w:hAnsi="Arial" w:cs="Arial"/>
          <w:sz w:val="20"/>
          <w:szCs w:val="20"/>
        </w:rPr>
        <w:t xml:space="preserve"> and heat production in group-housed young pigs. British Journal of Nutrition, 86(1), 63–70. </w:t>
      </w:r>
    </w:p>
    <w:p w14:paraId="070EA070"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Devi, L. S., Chandrahas, Sahoo, S. P., Kumar, N., &amp; Singh, T. S. (2021). Effect of restricted suckling on growth, biochemical, and hormonal profile of crossbred (Landrace × Desi) piglets. Haryana Veterinarian, 60(2), 233–237.</w:t>
      </w:r>
    </w:p>
    <w:p w14:paraId="572DAFB8"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lastRenderedPageBreak/>
        <w:t xml:space="preserve">De, A. K., Kundu, A., Kundu, M. S., Sunder, J., &amp; Jeyakumar, S. (2013). Comparative study on haematological traits of endangered Andaman wild pig and other indigenous pig breeds available at Andaman and Nicobar Islands, India. Veterinary World, 6(10), 794–798. </w:t>
      </w:r>
    </w:p>
    <w:p w14:paraId="0EBB072E"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Dokladny, K., Moseley, P. L., &amp; Ma, T. Y. (2006). Physiologically relevant increase in temperature causes an increase in intestinal epithelial tight junction permeability. American Journal of Physiology-Gastrointestinal and Liver Physiology, 290, G204–G212.</w:t>
      </w:r>
    </w:p>
    <w:p w14:paraId="380F2150"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Escribano, D., Contreras-</w:t>
      </w:r>
      <w:proofErr w:type="spellStart"/>
      <w:r w:rsidRPr="0053223A">
        <w:rPr>
          <w:rFonts w:ascii="Arial" w:eastAsiaTheme="majorEastAsia" w:hAnsi="Arial" w:cs="Arial"/>
          <w:sz w:val="20"/>
          <w:szCs w:val="20"/>
        </w:rPr>
        <w:t>Jodar</w:t>
      </w:r>
      <w:proofErr w:type="spellEnd"/>
      <w:r w:rsidRPr="0053223A">
        <w:rPr>
          <w:rFonts w:ascii="Arial" w:eastAsiaTheme="majorEastAsia" w:hAnsi="Arial" w:cs="Arial"/>
          <w:sz w:val="20"/>
          <w:szCs w:val="20"/>
        </w:rPr>
        <w:t xml:space="preserve">, A., López-Arjona, M., </w:t>
      </w:r>
      <w:proofErr w:type="spellStart"/>
      <w:r w:rsidRPr="0053223A">
        <w:rPr>
          <w:rFonts w:ascii="Arial" w:eastAsiaTheme="majorEastAsia" w:hAnsi="Arial" w:cs="Arial"/>
          <w:sz w:val="20"/>
          <w:szCs w:val="20"/>
        </w:rPr>
        <w:t>Cerón</w:t>
      </w:r>
      <w:proofErr w:type="spellEnd"/>
      <w:r w:rsidRPr="0053223A">
        <w:rPr>
          <w:rFonts w:ascii="Arial" w:eastAsiaTheme="majorEastAsia" w:hAnsi="Arial" w:cs="Arial"/>
          <w:sz w:val="20"/>
          <w:szCs w:val="20"/>
        </w:rPr>
        <w:t xml:space="preserve">, J. J., </w:t>
      </w:r>
      <w:proofErr w:type="spellStart"/>
      <w:r w:rsidRPr="0053223A">
        <w:rPr>
          <w:rFonts w:ascii="Arial" w:eastAsiaTheme="majorEastAsia" w:hAnsi="Arial" w:cs="Arial"/>
          <w:sz w:val="20"/>
          <w:szCs w:val="20"/>
        </w:rPr>
        <w:t>Fàbrega</w:t>
      </w:r>
      <w:proofErr w:type="spellEnd"/>
      <w:r w:rsidRPr="0053223A">
        <w:rPr>
          <w:rFonts w:ascii="Arial" w:eastAsiaTheme="majorEastAsia" w:hAnsi="Arial" w:cs="Arial"/>
          <w:sz w:val="20"/>
          <w:szCs w:val="20"/>
        </w:rPr>
        <w:t>, E., Aymerich, P., &amp; Dalmau, A. (2023). Changes in cortisol and cortisone in hair of pigs reared under heat stress conditions. Frontiers in Veterinary Science, 10. doi:10.3389/fvets.2023.1156480.</w:t>
      </w:r>
    </w:p>
    <w:p w14:paraId="377DDD58"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Fagundes, A. C. A., Negrão, J. A., da Silva, R. G., Gomes, J. D. F., de Oliveira Souza, L. W., &amp; Fukushima, R. S. (2008). Environmental temperature and serum cortisol levels in growing-finishing pigs. Brazilian Journal of Veterinary Research and Animal Science, 45(Suppl.), 136–140.</w:t>
      </w:r>
    </w:p>
    <w:p w14:paraId="72A1464B"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Guo, Z., </w:t>
      </w:r>
      <w:proofErr w:type="spellStart"/>
      <w:r w:rsidRPr="0053223A">
        <w:rPr>
          <w:rFonts w:ascii="Arial" w:eastAsiaTheme="majorEastAsia" w:hAnsi="Arial" w:cs="Arial"/>
          <w:sz w:val="20"/>
          <w:szCs w:val="20"/>
        </w:rPr>
        <w:t>Lv</w:t>
      </w:r>
      <w:proofErr w:type="spellEnd"/>
      <w:r w:rsidRPr="0053223A">
        <w:rPr>
          <w:rFonts w:ascii="Arial" w:eastAsiaTheme="majorEastAsia" w:hAnsi="Arial" w:cs="Arial"/>
          <w:sz w:val="20"/>
          <w:szCs w:val="20"/>
        </w:rPr>
        <w:t xml:space="preserve">, L., Liu, D., &amp; Fu, B. (2018). Effects of heat stress on piglet production/performance parameters. Tropical Animal Health and Production, 50(6), 1203–1208. </w:t>
      </w:r>
    </w:p>
    <w:p w14:paraId="30129678"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Hasin, D., Bora, A., Goswami, J., Hussain, I., </w:t>
      </w:r>
      <w:proofErr w:type="spellStart"/>
      <w:r w:rsidRPr="0053223A">
        <w:rPr>
          <w:rFonts w:ascii="Arial" w:eastAsiaTheme="majorEastAsia" w:hAnsi="Arial" w:cs="Arial"/>
          <w:sz w:val="20"/>
          <w:szCs w:val="20"/>
        </w:rPr>
        <w:t>Saleque</w:t>
      </w:r>
      <w:proofErr w:type="spellEnd"/>
      <w:r w:rsidRPr="0053223A">
        <w:rPr>
          <w:rFonts w:ascii="Arial" w:eastAsiaTheme="majorEastAsia" w:hAnsi="Arial" w:cs="Arial"/>
          <w:sz w:val="20"/>
          <w:szCs w:val="20"/>
        </w:rPr>
        <w:t xml:space="preserve">, A., Borah, P., Hussain, I., Barua, A., Sarmah, B. K., Bora, R. K., &amp; Dutta, M. (2017). Effect of melatonin on the expression profile of HSP60 and HSP70 in </w:t>
      </w:r>
      <w:proofErr w:type="spellStart"/>
      <w:r w:rsidRPr="0053223A">
        <w:rPr>
          <w:rFonts w:ascii="Arial" w:eastAsiaTheme="majorEastAsia" w:hAnsi="Arial" w:cs="Arial"/>
          <w:sz w:val="20"/>
          <w:szCs w:val="20"/>
        </w:rPr>
        <w:t>Beetal</w:t>
      </w:r>
      <w:proofErr w:type="spellEnd"/>
      <w:r w:rsidRPr="0053223A">
        <w:rPr>
          <w:rFonts w:ascii="Arial" w:eastAsiaTheme="majorEastAsia" w:hAnsi="Arial" w:cs="Arial"/>
          <w:sz w:val="20"/>
          <w:szCs w:val="20"/>
        </w:rPr>
        <w:t xml:space="preserve"> and Assam Hill Goat exposed to direct sunshine during summer in Assam. International Journal of Chemical Studies, 5(2), 268–273.</w:t>
      </w:r>
    </w:p>
    <w:p w14:paraId="542350BC"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Huynh, T. T. T., </w:t>
      </w:r>
      <w:proofErr w:type="spellStart"/>
      <w:r w:rsidRPr="0053223A">
        <w:rPr>
          <w:rFonts w:ascii="Arial" w:eastAsiaTheme="majorEastAsia" w:hAnsi="Arial" w:cs="Arial"/>
          <w:sz w:val="20"/>
          <w:szCs w:val="20"/>
        </w:rPr>
        <w:t>Aarnink</w:t>
      </w:r>
      <w:proofErr w:type="spellEnd"/>
      <w:r w:rsidRPr="0053223A">
        <w:rPr>
          <w:rFonts w:ascii="Arial" w:eastAsiaTheme="majorEastAsia" w:hAnsi="Arial" w:cs="Arial"/>
          <w:sz w:val="20"/>
          <w:szCs w:val="20"/>
        </w:rPr>
        <w:t xml:space="preserve">, A. J. A., Truong, C. T., Kemp, B., &amp; Verstegen, M. W. A. (2006). Effects of tropical climate and </w:t>
      </w:r>
      <w:proofErr w:type="gramStart"/>
      <w:r w:rsidRPr="0053223A">
        <w:rPr>
          <w:rFonts w:ascii="Arial" w:eastAsiaTheme="majorEastAsia" w:hAnsi="Arial" w:cs="Arial"/>
          <w:sz w:val="20"/>
          <w:szCs w:val="20"/>
        </w:rPr>
        <w:t>water cooling</w:t>
      </w:r>
      <w:proofErr w:type="gramEnd"/>
      <w:r w:rsidRPr="0053223A">
        <w:rPr>
          <w:rFonts w:ascii="Arial" w:eastAsiaTheme="majorEastAsia" w:hAnsi="Arial" w:cs="Arial"/>
          <w:sz w:val="20"/>
          <w:szCs w:val="20"/>
        </w:rPr>
        <w:t xml:space="preserve"> methods on growing pigs' responses. Livestock Science, 104(3), 278–291. </w:t>
      </w:r>
    </w:p>
    <w:p w14:paraId="69DD1FA6"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Ijiri</w:t>
      </w:r>
      <w:proofErr w:type="spellEnd"/>
      <w:r w:rsidRPr="0053223A">
        <w:rPr>
          <w:rFonts w:ascii="Arial" w:eastAsiaTheme="majorEastAsia" w:hAnsi="Arial" w:cs="Arial"/>
          <w:sz w:val="20"/>
          <w:szCs w:val="20"/>
        </w:rPr>
        <w:t xml:space="preserve">, M., Odo, K., Sato, M., Kawaguchi, M., Fujimoto, Y., Miura, N., Matsuo, T., Hou, D. X., Yamato, O., Tanabe, T., &amp; Kawaguchi, H. (2022). Potential biomarkers for chronic seasonal heat stress in Kagoshima Berkshire pigs reared in the subtropical region. Journal of Veterinary Research, 66(2), 209–214. </w:t>
      </w:r>
    </w:p>
    <w:p w14:paraId="63141DF6"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Jang, I. S., Ko, Y. H., Moon, Y. S., &amp; Sohn, S. H. (2014). Effects of vitamin C or E on the pro-inflammatory cytokines, heat shock protein 70 and antioxidant status in broiler chicks under summer conditions. Asian-Australasian Journal of Animal Sciences, 27(5), 749–756.</w:t>
      </w:r>
    </w:p>
    <w:p w14:paraId="15CE4D79"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Kim, K. S., Seibert, J. T., Edea, Z., Graves, K. L., Kim, E. S., Keating, A. F., Baumgard, L. H., Ross, J. W., &amp; Rothschild, M. F. (2018). Characterization of the acute heat stress response in gilts: III. Genome-wide association studies of thermotolerance traits in pigs. Journal of Animal Science, 96(6), 2074–2085. </w:t>
      </w:r>
    </w:p>
    <w:p w14:paraId="267ECC09"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Knezevic, E., Nenic, K., Milanovic, V., &amp; Knezevic, N. N. (2023). The role of cortisol in chronic stress, neurodegenerative diseases, and psychological disorders. Cells, 12(23), 2726. </w:t>
      </w:r>
    </w:p>
    <w:p w14:paraId="69664E22"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Kumbhar, S., Khan, A. Z., Parveen, F., </w:t>
      </w:r>
      <w:proofErr w:type="spellStart"/>
      <w:r w:rsidRPr="0053223A">
        <w:rPr>
          <w:rFonts w:ascii="Arial" w:eastAsiaTheme="majorEastAsia" w:hAnsi="Arial" w:cs="Arial"/>
          <w:sz w:val="20"/>
          <w:szCs w:val="20"/>
        </w:rPr>
        <w:t>Nizamani</w:t>
      </w:r>
      <w:proofErr w:type="spellEnd"/>
      <w:r w:rsidRPr="0053223A">
        <w:rPr>
          <w:rFonts w:ascii="Arial" w:eastAsiaTheme="majorEastAsia" w:hAnsi="Arial" w:cs="Arial"/>
          <w:sz w:val="20"/>
          <w:szCs w:val="20"/>
        </w:rPr>
        <w:t xml:space="preserve">, Z. A., Siyal, F. A., Abd El-Hack, M. E., Gan, F., Liu, Y., Hamid, M., Nido, S. A., &amp; Huang, K. (2018). Impacts of selenium and vitamin E supplementation on mRNA of heat shock proteins, </w:t>
      </w:r>
      <w:proofErr w:type="spellStart"/>
      <w:r w:rsidRPr="0053223A">
        <w:rPr>
          <w:rFonts w:ascii="Arial" w:eastAsiaTheme="majorEastAsia" w:hAnsi="Arial" w:cs="Arial"/>
          <w:sz w:val="20"/>
          <w:szCs w:val="20"/>
        </w:rPr>
        <w:t>selenoproteins</w:t>
      </w:r>
      <w:proofErr w:type="spellEnd"/>
      <w:r w:rsidRPr="0053223A">
        <w:rPr>
          <w:rFonts w:ascii="Arial" w:eastAsiaTheme="majorEastAsia" w:hAnsi="Arial" w:cs="Arial"/>
          <w:sz w:val="20"/>
          <w:szCs w:val="20"/>
        </w:rPr>
        <w:t>, and antioxidants in broilers exposed to high temperature. AMB Express, 8(112), 1–10.</w:t>
      </w:r>
    </w:p>
    <w:p w14:paraId="14D05887"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Lauridsen, C., </w:t>
      </w:r>
      <w:proofErr w:type="spellStart"/>
      <w:r w:rsidRPr="0053223A">
        <w:rPr>
          <w:rFonts w:ascii="Arial" w:eastAsiaTheme="majorEastAsia" w:hAnsi="Arial" w:cs="Arial"/>
          <w:sz w:val="20"/>
          <w:szCs w:val="20"/>
        </w:rPr>
        <w:t>Schönherz</w:t>
      </w:r>
      <w:proofErr w:type="spellEnd"/>
      <w:r w:rsidRPr="0053223A">
        <w:rPr>
          <w:rFonts w:ascii="Arial" w:eastAsiaTheme="majorEastAsia" w:hAnsi="Arial" w:cs="Arial"/>
          <w:sz w:val="20"/>
          <w:szCs w:val="20"/>
        </w:rPr>
        <w:t>, A. A., &amp; Højsgaard, S. (2021). Effect of maternal dietary redox levels on antioxidative status and immunity of the suckling offspring. Antioxidants, 10(3), 478.</w:t>
      </w:r>
    </w:p>
    <w:p w14:paraId="17E0F548"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lastRenderedPageBreak/>
        <w:t xml:space="preserve">Lewis, N., &amp; Berry, R. (2006). Effects of season on the behaviour of early-weaned piglets during and immediately following transport. Applied Animal Behaviour Science, 100(3–4), 182–192. </w:t>
      </w:r>
    </w:p>
    <w:p w14:paraId="2C2E9483"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Liu, F., Cottrell, J. J., Furness, J. B., Rivera, L. R., Kelly, F. W., </w:t>
      </w:r>
      <w:proofErr w:type="spellStart"/>
      <w:r w:rsidRPr="0053223A">
        <w:rPr>
          <w:rFonts w:ascii="Arial" w:eastAsiaTheme="majorEastAsia" w:hAnsi="Arial" w:cs="Arial"/>
          <w:sz w:val="20"/>
          <w:szCs w:val="20"/>
        </w:rPr>
        <w:t>Wijesiriwardana</w:t>
      </w:r>
      <w:proofErr w:type="spellEnd"/>
      <w:r w:rsidRPr="0053223A">
        <w:rPr>
          <w:rFonts w:ascii="Arial" w:eastAsiaTheme="majorEastAsia" w:hAnsi="Arial" w:cs="Arial"/>
          <w:sz w:val="20"/>
          <w:szCs w:val="20"/>
        </w:rPr>
        <w:t xml:space="preserve">, U. A., Pustovit, R. V., Fothergill, L. J., Bravo, D., Celi, P., Leury, B. J., Gabler, N. K., &amp; </w:t>
      </w:r>
      <w:proofErr w:type="spellStart"/>
      <w:r w:rsidRPr="0053223A">
        <w:rPr>
          <w:rFonts w:ascii="Arial" w:eastAsiaTheme="majorEastAsia" w:hAnsi="Arial" w:cs="Arial"/>
          <w:sz w:val="20"/>
          <w:szCs w:val="20"/>
        </w:rPr>
        <w:t>Dunshea</w:t>
      </w:r>
      <w:proofErr w:type="spellEnd"/>
      <w:r w:rsidRPr="0053223A">
        <w:rPr>
          <w:rFonts w:ascii="Arial" w:eastAsiaTheme="majorEastAsia" w:hAnsi="Arial" w:cs="Arial"/>
          <w:sz w:val="20"/>
          <w:szCs w:val="20"/>
        </w:rPr>
        <w:t xml:space="preserve">, F. R. (2016). Selenium and vitamin E together improve intestinal epithelial barrier function and alleviate oxidative stress in heat-stressed pigs. Experimental Physiology, 101(7), 801–810. </w:t>
      </w:r>
    </w:p>
    <w:p w14:paraId="120438C3"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Mader, T. L., Davis, M. S., &amp; Brown-Brandl, T. (2006). Environmental factors influencing heat stress in feedlot cattle. Journal of Animal Science, 84(3), 712–719. https://doi.org/10.2527/2006.843712x</w:t>
      </w:r>
    </w:p>
    <w:p w14:paraId="47025C25"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Mayengbam</w:t>
      </w:r>
      <w:proofErr w:type="spellEnd"/>
      <w:r w:rsidRPr="0053223A">
        <w:rPr>
          <w:rFonts w:ascii="Arial" w:eastAsiaTheme="majorEastAsia" w:hAnsi="Arial" w:cs="Arial"/>
          <w:sz w:val="20"/>
          <w:szCs w:val="20"/>
        </w:rPr>
        <w:t xml:space="preserve">, P., &amp; </w:t>
      </w:r>
      <w:proofErr w:type="spellStart"/>
      <w:r w:rsidRPr="0053223A">
        <w:rPr>
          <w:rFonts w:ascii="Arial" w:eastAsiaTheme="majorEastAsia" w:hAnsi="Arial" w:cs="Arial"/>
          <w:sz w:val="20"/>
          <w:szCs w:val="20"/>
        </w:rPr>
        <w:t>Tolenkhomba</w:t>
      </w:r>
      <w:proofErr w:type="spellEnd"/>
      <w:r w:rsidRPr="0053223A">
        <w:rPr>
          <w:rFonts w:ascii="Arial" w:eastAsiaTheme="majorEastAsia" w:hAnsi="Arial" w:cs="Arial"/>
          <w:sz w:val="20"/>
          <w:szCs w:val="20"/>
        </w:rPr>
        <w:t xml:space="preserve">, T. C. (2015). Seasonal variation of </w:t>
      </w:r>
      <w:proofErr w:type="spellStart"/>
      <w:r w:rsidRPr="0053223A">
        <w:rPr>
          <w:rFonts w:ascii="Arial" w:eastAsiaTheme="majorEastAsia" w:hAnsi="Arial" w:cs="Arial"/>
          <w:sz w:val="20"/>
          <w:szCs w:val="20"/>
        </w:rPr>
        <w:t>hemato</w:t>
      </w:r>
      <w:proofErr w:type="spellEnd"/>
      <w:r w:rsidRPr="0053223A">
        <w:rPr>
          <w:rFonts w:ascii="Arial" w:eastAsiaTheme="majorEastAsia" w:hAnsi="Arial" w:cs="Arial"/>
          <w:sz w:val="20"/>
          <w:szCs w:val="20"/>
        </w:rPr>
        <w:t xml:space="preserve">-biochemical parameters in indigenous pig: </w:t>
      </w:r>
      <w:proofErr w:type="spellStart"/>
      <w:r w:rsidRPr="0053223A">
        <w:rPr>
          <w:rFonts w:ascii="Arial" w:eastAsiaTheme="majorEastAsia" w:hAnsi="Arial" w:cs="Arial"/>
          <w:sz w:val="20"/>
          <w:szCs w:val="20"/>
        </w:rPr>
        <w:t>Zovawk</w:t>
      </w:r>
      <w:proofErr w:type="spellEnd"/>
      <w:r w:rsidRPr="0053223A">
        <w:rPr>
          <w:rFonts w:ascii="Arial" w:eastAsiaTheme="majorEastAsia" w:hAnsi="Arial" w:cs="Arial"/>
          <w:sz w:val="20"/>
          <w:szCs w:val="20"/>
        </w:rPr>
        <w:t xml:space="preserve"> of Mizoram. Veterinary World, 8(6), 732–737. </w:t>
      </w:r>
    </w:p>
    <w:p w14:paraId="4095BFF9"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McGlone, J., &amp; Pond, W. G. (2002). Pig Production: Biological Principles and Applications (1st ed., p. 395). Clifton Park, NY: Thomson/Delmar Learning.</w:t>
      </w:r>
    </w:p>
    <w:p w14:paraId="4BF286B4"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Nascimento, F. G., </w:t>
      </w:r>
      <w:proofErr w:type="spellStart"/>
      <w:r w:rsidRPr="0053223A">
        <w:rPr>
          <w:rFonts w:ascii="Arial" w:eastAsiaTheme="majorEastAsia" w:hAnsi="Arial" w:cs="Arial"/>
          <w:sz w:val="20"/>
          <w:szCs w:val="20"/>
        </w:rPr>
        <w:t>Bizare</w:t>
      </w:r>
      <w:proofErr w:type="spellEnd"/>
      <w:r w:rsidRPr="0053223A">
        <w:rPr>
          <w:rFonts w:ascii="Arial" w:eastAsiaTheme="majorEastAsia" w:hAnsi="Arial" w:cs="Arial"/>
          <w:sz w:val="20"/>
          <w:szCs w:val="20"/>
        </w:rPr>
        <w:t xml:space="preserve">, A., Guimarães, E. C., Mundim, A. V., &amp; Nascimento, M. R. B. (2019). Effect of season and age on </w:t>
      </w:r>
      <w:proofErr w:type="spellStart"/>
      <w:r w:rsidRPr="0053223A">
        <w:rPr>
          <w:rFonts w:ascii="Arial" w:eastAsiaTheme="majorEastAsia" w:hAnsi="Arial" w:cs="Arial"/>
          <w:sz w:val="20"/>
          <w:szCs w:val="20"/>
        </w:rPr>
        <w:t>thermophysiological</w:t>
      </w:r>
      <w:proofErr w:type="spellEnd"/>
      <w:r w:rsidRPr="0053223A">
        <w:rPr>
          <w:rFonts w:ascii="Arial" w:eastAsiaTheme="majorEastAsia" w:hAnsi="Arial" w:cs="Arial"/>
          <w:sz w:val="20"/>
          <w:szCs w:val="20"/>
        </w:rPr>
        <w:t xml:space="preserve"> and </w:t>
      </w:r>
      <w:proofErr w:type="spellStart"/>
      <w:r w:rsidRPr="0053223A">
        <w:rPr>
          <w:rFonts w:ascii="Arial" w:eastAsiaTheme="majorEastAsia" w:hAnsi="Arial" w:cs="Arial"/>
          <w:sz w:val="20"/>
          <w:szCs w:val="20"/>
        </w:rPr>
        <w:t>hematological</w:t>
      </w:r>
      <w:proofErr w:type="spellEnd"/>
      <w:r w:rsidRPr="0053223A">
        <w:rPr>
          <w:rFonts w:ascii="Arial" w:eastAsiaTheme="majorEastAsia" w:hAnsi="Arial" w:cs="Arial"/>
          <w:sz w:val="20"/>
          <w:szCs w:val="20"/>
        </w:rPr>
        <w:t xml:space="preserve"> variables of crossbred dairy calves in tropical environment. Acta Scientiae </w:t>
      </w:r>
      <w:proofErr w:type="spellStart"/>
      <w:r w:rsidRPr="0053223A">
        <w:rPr>
          <w:rFonts w:ascii="Arial" w:eastAsiaTheme="majorEastAsia" w:hAnsi="Arial" w:cs="Arial"/>
          <w:sz w:val="20"/>
          <w:szCs w:val="20"/>
        </w:rPr>
        <w:t>Veterinariae</w:t>
      </w:r>
      <w:proofErr w:type="spellEnd"/>
      <w:r w:rsidRPr="0053223A">
        <w:rPr>
          <w:rFonts w:ascii="Arial" w:eastAsiaTheme="majorEastAsia" w:hAnsi="Arial" w:cs="Arial"/>
          <w:sz w:val="20"/>
          <w:szCs w:val="20"/>
        </w:rPr>
        <w:t>, 47(1). doi:10.22456/1679-9216.89413.</w:t>
      </w:r>
    </w:p>
    <w:p w14:paraId="322679AA"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Oh, S. Y., Jeong, Y. D., Kim, D. W., Min, Y. J., Yu, D. J., Kim, K. H., &amp; Kim, Y. H. (2017b). Effect of heat stress on growth performance and physiological changes of pigs in commercial farm. Journal of the Korea Academia-Industrial Cooperation Society, 18(7), 130–139. </w:t>
      </w:r>
    </w:p>
    <w:p w14:paraId="0916332C"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Okab</w:t>
      </w:r>
      <w:proofErr w:type="spellEnd"/>
      <w:r w:rsidRPr="0053223A">
        <w:rPr>
          <w:rFonts w:ascii="Arial" w:eastAsiaTheme="majorEastAsia" w:hAnsi="Arial" w:cs="Arial"/>
          <w:sz w:val="20"/>
          <w:szCs w:val="20"/>
        </w:rPr>
        <w:t xml:space="preserve">, A. B., El-Banna, S. G., &amp; </w:t>
      </w:r>
      <w:proofErr w:type="spellStart"/>
      <w:r w:rsidRPr="0053223A">
        <w:rPr>
          <w:rFonts w:ascii="Arial" w:eastAsiaTheme="majorEastAsia" w:hAnsi="Arial" w:cs="Arial"/>
          <w:sz w:val="20"/>
          <w:szCs w:val="20"/>
        </w:rPr>
        <w:t>Koriem</w:t>
      </w:r>
      <w:proofErr w:type="spellEnd"/>
      <w:r w:rsidRPr="0053223A">
        <w:rPr>
          <w:rFonts w:ascii="Arial" w:eastAsiaTheme="majorEastAsia" w:hAnsi="Arial" w:cs="Arial"/>
          <w:sz w:val="20"/>
          <w:szCs w:val="20"/>
        </w:rPr>
        <w:t>, A. A. (2008). Influence of environmental temperatures on some physiological and biochemical parameters of New Zealand rabbit males. Slovak Journal of Animal Science, 41(1), 12–19.</w:t>
      </w:r>
    </w:p>
    <w:p w14:paraId="33B5CC3E"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Ortega, A. D. S. V., Babinszky, L., </w:t>
      </w:r>
      <w:proofErr w:type="spellStart"/>
      <w:r w:rsidRPr="0053223A">
        <w:rPr>
          <w:rFonts w:ascii="Arial" w:eastAsiaTheme="majorEastAsia" w:hAnsi="Arial" w:cs="Arial"/>
          <w:sz w:val="20"/>
          <w:szCs w:val="20"/>
        </w:rPr>
        <w:t>Oriedo</w:t>
      </w:r>
      <w:proofErr w:type="spellEnd"/>
      <w:r w:rsidRPr="0053223A">
        <w:rPr>
          <w:rFonts w:ascii="Arial" w:eastAsiaTheme="majorEastAsia" w:hAnsi="Arial" w:cs="Arial"/>
          <w:sz w:val="20"/>
          <w:szCs w:val="20"/>
        </w:rPr>
        <w:t xml:space="preserve">, O. H., Csernus, B., Ozsváth, X. E., Czeglédi, L., Oláh, J., Szabó, C. (2023). Impact of heat stress length and dietary antioxidant supplementation on the nutrient digestibility, metabolism, and immune response of fattening pigs. Annals of Agricultural Sciences, 68(1), 87–96. </w:t>
      </w:r>
    </w:p>
    <w:p w14:paraId="60693545"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Parkunan</w:t>
      </w:r>
      <w:proofErr w:type="spellEnd"/>
      <w:r w:rsidRPr="0053223A">
        <w:rPr>
          <w:rFonts w:ascii="Arial" w:eastAsiaTheme="majorEastAsia" w:hAnsi="Arial" w:cs="Arial"/>
          <w:sz w:val="20"/>
          <w:szCs w:val="20"/>
        </w:rPr>
        <w:t xml:space="preserve">, T., Banerjee, D., Mohanty, N., Das, P. K., Ghosh, P., Mukherjee, J., Paul, A., Das, A. K., Nanda, P. K., Naskar, S., Mohan, N. H., Sarkar, M., &amp; Das, B. C. (2015). A comparative study on the expression profile of MCTs and HSPs in Ghungroo and Large White Yorkshire breeds of pigs during different seasons. Cell Stress &amp; Chaperones, 20(3), 441–449. </w:t>
      </w:r>
    </w:p>
    <w:p w14:paraId="3F2D9499"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Parkunan</w:t>
      </w:r>
      <w:proofErr w:type="spellEnd"/>
      <w:r w:rsidRPr="0053223A">
        <w:rPr>
          <w:rFonts w:ascii="Arial" w:eastAsiaTheme="majorEastAsia" w:hAnsi="Arial" w:cs="Arial"/>
          <w:sz w:val="20"/>
          <w:szCs w:val="20"/>
        </w:rPr>
        <w:t xml:space="preserve">, T., Das, A. K., Banerjee, D., Mohanty, N., Paul, A., Nanda, P. K., Biswas, T. K., Naskar, S., Bag, S., Sarkar, M., Mohan, N. H., &amp; Das, B. C. (2016). Changes in expression of monocarboxylate transporters, heat shock proteins, and meat quality of Large White Yorkshire and Ghungroo pigs during the hot summer period. Asian-Australasian Journal of Animal Sciences, 30(2), 246–253. </w:t>
      </w:r>
    </w:p>
    <w:p w14:paraId="52AA8713"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Pathak, P., Roychoudhury, R., </w:t>
      </w:r>
      <w:proofErr w:type="spellStart"/>
      <w:r w:rsidRPr="0053223A">
        <w:rPr>
          <w:rFonts w:ascii="Arial" w:eastAsiaTheme="majorEastAsia" w:hAnsi="Arial" w:cs="Arial"/>
          <w:sz w:val="20"/>
          <w:szCs w:val="20"/>
        </w:rPr>
        <w:t>Saharia</w:t>
      </w:r>
      <w:proofErr w:type="spellEnd"/>
      <w:r w:rsidRPr="0053223A">
        <w:rPr>
          <w:rFonts w:ascii="Arial" w:eastAsiaTheme="majorEastAsia" w:hAnsi="Arial" w:cs="Arial"/>
          <w:sz w:val="20"/>
          <w:szCs w:val="20"/>
        </w:rPr>
        <w:t xml:space="preserve">, J., Borah, M., Bhuyan, R., Dutta, D., Kalita, D., &amp; </w:t>
      </w:r>
      <w:proofErr w:type="spellStart"/>
      <w:r w:rsidRPr="0053223A">
        <w:rPr>
          <w:rFonts w:ascii="Arial" w:eastAsiaTheme="majorEastAsia" w:hAnsi="Arial" w:cs="Arial"/>
          <w:sz w:val="20"/>
          <w:szCs w:val="20"/>
        </w:rPr>
        <w:t>Avasthe</w:t>
      </w:r>
      <w:proofErr w:type="spellEnd"/>
      <w:r w:rsidRPr="0053223A">
        <w:rPr>
          <w:rFonts w:ascii="Arial" w:eastAsiaTheme="majorEastAsia" w:hAnsi="Arial" w:cs="Arial"/>
          <w:sz w:val="20"/>
          <w:szCs w:val="20"/>
        </w:rPr>
        <w:t xml:space="preserve">, R. (2018). Growth performance of pigs as affected by seasonal stress in relation to energy levels in rations. Indian Journal of Animal Nutrition, 35(4), 473–478. </w:t>
      </w:r>
    </w:p>
    <w:p w14:paraId="730CC768"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Shengjun</w:t>
      </w:r>
      <w:proofErr w:type="spellEnd"/>
      <w:r w:rsidRPr="0053223A">
        <w:rPr>
          <w:rFonts w:ascii="Arial" w:eastAsiaTheme="majorEastAsia" w:hAnsi="Arial" w:cs="Arial"/>
          <w:sz w:val="20"/>
          <w:szCs w:val="20"/>
        </w:rPr>
        <w:t xml:space="preserve">, L., </w:t>
      </w:r>
      <w:proofErr w:type="spellStart"/>
      <w:r w:rsidRPr="0053223A">
        <w:rPr>
          <w:rFonts w:ascii="Arial" w:eastAsiaTheme="majorEastAsia" w:hAnsi="Arial" w:cs="Arial"/>
          <w:sz w:val="20"/>
          <w:szCs w:val="20"/>
        </w:rPr>
        <w:t>Qingping</w:t>
      </w:r>
      <w:proofErr w:type="spellEnd"/>
      <w:r w:rsidRPr="0053223A">
        <w:rPr>
          <w:rFonts w:ascii="Arial" w:eastAsiaTheme="majorEastAsia" w:hAnsi="Arial" w:cs="Arial"/>
          <w:sz w:val="20"/>
          <w:szCs w:val="20"/>
        </w:rPr>
        <w:t xml:space="preserve">, L., </w:t>
      </w:r>
      <w:proofErr w:type="spellStart"/>
      <w:r w:rsidRPr="0053223A">
        <w:rPr>
          <w:rFonts w:ascii="Arial" w:eastAsiaTheme="majorEastAsia" w:hAnsi="Arial" w:cs="Arial"/>
          <w:sz w:val="20"/>
          <w:szCs w:val="20"/>
        </w:rPr>
        <w:t>Hongfu</w:t>
      </w:r>
      <w:proofErr w:type="spellEnd"/>
      <w:r w:rsidRPr="0053223A">
        <w:rPr>
          <w:rFonts w:ascii="Arial" w:eastAsiaTheme="majorEastAsia" w:hAnsi="Arial" w:cs="Arial"/>
          <w:sz w:val="20"/>
          <w:szCs w:val="20"/>
        </w:rPr>
        <w:t>, Z., &amp; Hui, L. S. (2010). Effects of high ambient temperature and humidity on growth performance, plasma cortisol concentration, and immune function in growing pigs. Chinese Journal of Animal Nutrition, 22, 1214–1219.</w:t>
      </w:r>
    </w:p>
    <w:p w14:paraId="4C4AC303"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lastRenderedPageBreak/>
        <w:t>Sillence</w:t>
      </w:r>
      <w:proofErr w:type="spellEnd"/>
      <w:r w:rsidRPr="0053223A">
        <w:rPr>
          <w:rFonts w:ascii="Arial" w:eastAsiaTheme="majorEastAsia" w:hAnsi="Arial" w:cs="Arial"/>
          <w:sz w:val="20"/>
          <w:szCs w:val="20"/>
        </w:rPr>
        <w:t>, M. N., &amp; Etherton, T. D. (1987). Determination of the temporal relationship between porcine growth hormone, serum IGF-1, and cortisol concentrations in pigs. Journal of Animal Science, 64(4), 1019–1023.</w:t>
      </w:r>
    </w:p>
    <w:p w14:paraId="6B282906"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Silva-Guillen, Y. V., Arellano, C., Wiegert, J., Boyd, R. D., Martínez, G. E., &amp; van </w:t>
      </w:r>
      <w:proofErr w:type="spellStart"/>
      <w:r w:rsidRPr="0053223A">
        <w:rPr>
          <w:rFonts w:ascii="Arial" w:eastAsiaTheme="majorEastAsia" w:hAnsi="Arial" w:cs="Arial"/>
          <w:sz w:val="20"/>
          <w:szCs w:val="20"/>
        </w:rPr>
        <w:t>Heugten</w:t>
      </w:r>
      <w:proofErr w:type="spellEnd"/>
      <w:r w:rsidRPr="0053223A">
        <w:rPr>
          <w:rFonts w:ascii="Arial" w:eastAsiaTheme="majorEastAsia" w:hAnsi="Arial" w:cs="Arial"/>
          <w:sz w:val="20"/>
          <w:szCs w:val="20"/>
        </w:rPr>
        <w:t>, E. (2024). Supplementation of vitamin E or a botanical extract as antioxidants to improve growth performance and health of growing pigs housed under thermoneutral or heat-stressed conditions. Journal of Animal Science and Biotechnology, 15(1), 27.</w:t>
      </w:r>
    </w:p>
    <w:p w14:paraId="7EBAAA56" w14:textId="77777777"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Vashi, Y., Naskar, S., Chutia, T., Banik, S., Singh, A. K., Goswami, J., &amp; </w:t>
      </w:r>
      <w:proofErr w:type="spellStart"/>
      <w:r w:rsidRPr="0053223A">
        <w:rPr>
          <w:rFonts w:ascii="Arial" w:eastAsiaTheme="majorEastAsia" w:hAnsi="Arial" w:cs="Arial"/>
          <w:sz w:val="20"/>
          <w:szCs w:val="20"/>
        </w:rPr>
        <w:t>Sejian</w:t>
      </w:r>
      <w:proofErr w:type="spellEnd"/>
      <w:r w:rsidRPr="0053223A">
        <w:rPr>
          <w:rFonts w:ascii="Arial" w:eastAsiaTheme="majorEastAsia" w:hAnsi="Arial" w:cs="Arial"/>
          <w:sz w:val="20"/>
          <w:szCs w:val="20"/>
        </w:rPr>
        <w:t xml:space="preserve">, V. (2018). Comparative assessment of native, crossbred, and exotic pigs during different seasons (winter, spring, and summer) based on rhythmic changes in serum cortisol, lactate dehydrogenase levels, and PBMC HSP70 mRNA expression patterns. Biological Rhythm Research, 49(5), 725–734. </w:t>
      </w:r>
    </w:p>
    <w:p w14:paraId="5A259974" w14:textId="77777777" w:rsidR="007B3FD6" w:rsidRPr="0053223A" w:rsidRDefault="007B3FD6" w:rsidP="0053223A">
      <w:pPr>
        <w:pStyle w:val="NormalWeb"/>
        <w:spacing w:line="276" w:lineRule="auto"/>
        <w:jc w:val="both"/>
        <w:rPr>
          <w:rFonts w:ascii="Arial" w:eastAsiaTheme="majorEastAsia" w:hAnsi="Arial" w:cs="Arial"/>
          <w:sz w:val="20"/>
          <w:szCs w:val="20"/>
        </w:rPr>
      </w:pPr>
      <w:proofErr w:type="spellStart"/>
      <w:r w:rsidRPr="0053223A">
        <w:rPr>
          <w:rFonts w:ascii="Arial" w:eastAsiaTheme="majorEastAsia" w:hAnsi="Arial" w:cs="Arial"/>
          <w:sz w:val="20"/>
          <w:szCs w:val="20"/>
        </w:rPr>
        <w:t>Wirthgen</w:t>
      </w:r>
      <w:proofErr w:type="spellEnd"/>
      <w:r w:rsidRPr="0053223A">
        <w:rPr>
          <w:rFonts w:ascii="Arial" w:eastAsiaTheme="majorEastAsia" w:hAnsi="Arial" w:cs="Arial"/>
          <w:sz w:val="20"/>
          <w:szCs w:val="20"/>
        </w:rPr>
        <w:t xml:space="preserve">, E., </w:t>
      </w:r>
      <w:proofErr w:type="spellStart"/>
      <w:r w:rsidRPr="0053223A">
        <w:rPr>
          <w:rFonts w:ascii="Arial" w:eastAsiaTheme="majorEastAsia" w:hAnsi="Arial" w:cs="Arial"/>
          <w:sz w:val="20"/>
          <w:szCs w:val="20"/>
        </w:rPr>
        <w:t>Goumon</w:t>
      </w:r>
      <w:proofErr w:type="spellEnd"/>
      <w:r w:rsidRPr="0053223A">
        <w:rPr>
          <w:rFonts w:ascii="Arial" w:eastAsiaTheme="majorEastAsia" w:hAnsi="Arial" w:cs="Arial"/>
          <w:sz w:val="20"/>
          <w:szCs w:val="20"/>
        </w:rPr>
        <w:t xml:space="preserve">, S., Kunze, M., Walz, C., </w:t>
      </w:r>
      <w:proofErr w:type="spellStart"/>
      <w:r w:rsidRPr="0053223A">
        <w:rPr>
          <w:rFonts w:ascii="Arial" w:eastAsiaTheme="majorEastAsia" w:hAnsi="Arial" w:cs="Arial"/>
          <w:sz w:val="20"/>
          <w:szCs w:val="20"/>
        </w:rPr>
        <w:t>Spitschak</w:t>
      </w:r>
      <w:proofErr w:type="spellEnd"/>
      <w:r w:rsidRPr="0053223A">
        <w:rPr>
          <w:rFonts w:ascii="Arial" w:eastAsiaTheme="majorEastAsia" w:hAnsi="Arial" w:cs="Arial"/>
          <w:sz w:val="20"/>
          <w:szCs w:val="20"/>
        </w:rPr>
        <w:t xml:space="preserve">, M., Tuchscherer, A., Brown, J., Höflich, C., Faucitano, L., &amp; Hoeflich, A. (2018). Effects of transport duration and environmental conditions in winter or summer on the concentrations of insulin-like growth factors and insulin-like growth factor-binding proteins in the plasma of market-weight pigs. Frontiers in Endocrinology, 9, 36. </w:t>
      </w:r>
    </w:p>
    <w:p w14:paraId="57D4A5B8" w14:textId="28FA1DAD" w:rsidR="007F4EF9"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Yang, L., Zhao, Z., Cui, M., Zhang, L., &amp; Li, Q. (2021). Melatonin restores the developmental competence of heat-stressed porcine oocytes and alters the expression of genes related to oocyte maturation. Animals, 11(4), 1086. doi:10.3390/ani11041086. </w:t>
      </w:r>
    </w:p>
    <w:sectPr w:rsidR="007F4EF9" w:rsidRPr="0053223A" w:rsidSect="00C208E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8EA2" w14:textId="77777777" w:rsidR="00F10BAB" w:rsidRDefault="00F10BAB" w:rsidP="00CB4D29">
      <w:pPr>
        <w:spacing w:after="0" w:line="240" w:lineRule="auto"/>
      </w:pPr>
      <w:r>
        <w:separator/>
      </w:r>
    </w:p>
  </w:endnote>
  <w:endnote w:type="continuationSeparator" w:id="0">
    <w:p w14:paraId="35DC0A26" w14:textId="77777777" w:rsidR="00F10BAB" w:rsidRDefault="00F10BAB" w:rsidP="00CB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5728" w14:textId="77777777" w:rsidR="00CB4D29" w:rsidRDefault="00CB4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EE21" w14:textId="77777777" w:rsidR="00CB4D29" w:rsidRDefault="00CB4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75B3" w14:textId="77777777" w:rsidR="00CB4D29" w:rsidRDefault="00CB4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98BD8" w14:textId="77777777" w:rsidR="00F10BAB" w:rsidRDefault="00F10BAB" w:rsidP="00CB4D29">
      <w:pPr>
        <w:spacing w:after="0" w:line="240" w:lineRule="auto"/>
      </w:pPr>
      <w:r>
        <w:separator/>
      </w:r>
    </w:p>
  </w:footnote>
  <w:footnote w:type="continuationSeparator" w:id="0">
    <w:p w14:paraId="063F1F3D" w14:textId="77777777" w:rsidR="00F10BAB" w:rsidRDefault="00F10BAB" w:rsidP="00CB4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4B1F" w14:textId="4ED65783" w:rsidR="00CB4D29" w:rsidRDefault="00CB4D29">
    <w:pPr>
      <w:pStyle w:val="Header"/>
    </w:pPr>
    <w:r>
      <w:rPr>
        <w:noProof/>
      </w:rPr>
      <w:pict w14:anchorId="369A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841B" w14:textId="1B1F5FAA" w:rsidR="00CB4D29" w:rsidRDefault="00CB4D29">
    <w:pPr>
      <w:pStyle w:val="Header"/>
    </w:pPr>
    <w:r>
      <w:rPr>
        <w:noProof/>
      </w:rPr>
      <w:pict w14:anchorId="2982D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51B1" w14:textId="4CBE082F" w:rsidR="00CB4D29" w:rsidRDefault="00CB4D29">
    <w:pPr>
      <w:pStyle w:val="Header"/>
    </w:pPr>
    <w:r>
      <w:rPr>
        <w:noProof/>
      </w:rPr>
      <w:pict w14:anchorId="5BCC6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890"/>
    <w:multiLevelType w:val="multilevel"/>
    <w:tmpl w:val="6B4EFE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8C52EA"/>
    <w:multiLevelType w:val="multilevel"/>
    <w:tmpl w:val="50EC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712E7"/>
    <w:multiLevelType w:val="multilevel"/>
    <w:tmpl w:val="B11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D35419"/>
    <w:multiLevelType w:val="multilevel"/>
    <w:tmpl w:val="0DB8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964421"/>
    <w:multiLevelType w:val="multilevel"/>
    <w:tmpl w:val="C4E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54E8E"/>
    <w:multiLevelType w:val="multilevel"/>
    <w:tmpl w:val="E70A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0NTY2sjAwMjMwNTJW0lEKTi0uzszPAykwrwUAH55SZiwAAAA="/>
  </w:docVars>
  <w:rsids>
    <w:rsidRoot w:val="000B27F0"/>
    <w:rsid w:val="0005670C"/>
    <w:rsid w:val="0006735D"/>
    <w:rsid w:val="00072FBB"/>
    <w:rsid w:val="00085265"/>
    <w:rsid w:val="0008740C"/>
    <w:rsid w:val="0009371B"/>
    <w:rsid w:val="0009658B"/>
    <w:rsid w:val="000B27F0"/>
    <w:rsid w:val="0014132E"/>
    <w:rsid w:val="00167E87"/>
    <w:rsid w:val="00182BB1"/>
    <w:rsid w:val="001916C7"/>
    <w:rsid w:val="001E4869"/>
    <w:rsid w:val="00213214"/>
    <w:rsid w:val="002F2515"/>
    <w:rsid w:val="00312C55"/>
    <w:rsid w:val="00350211"/>
    <w:rsid w:val="0038661D"/>
    <w:rsid w:val="003D1FB6"/>
    <w:rsid w:val="00405E2A"/>
    <w:rsid w:val="00434051"/>
    <w:rsid w:val="0045386A"/>
    <w:rsid w:val="004B28E3"/>
    <w:rsid w:val="004C7E43"/>
    <w:rsid w:val="004E3AB1"/>
    <w:rsid w:val="004E4DD9"/>
    <w:rsid w:val="0052489A"/>
    <w:rsid w:val="0053223A"/>
    <w:rsid w:val="00586DE2"/>
    <w:rsid w:val="00593CCF"/>
    <w:rsid w:val="005B5590"/>
    <w:rsid w:val="006133E0"/>
    <w:rsid w:val="00615BCB"/>
    <w:rsid w:val="006161EB"/>
    <w:rsid w:val="006739DC"/>
    <w:rsid w:val="0068756E"/>
    <w:rsid w:val="006D6F85"/>
    <w:rsid w:val="006F20F0"/>
    <w:rsid w:val="007664B6"/>
    <w:rsid w:val="007875FF"/>
    <w:rsid w:val="007B3FD6"/>
    <w:rsid w:val="007C3187"/>
    <w:rsid w:val="007F4EF9"/>
    <w:rsid w:val="00813E3A"/>
    <w:rsid w:val="0082693B"/>
    <w:rsid w:val="008C138C"/>
    <w:rsid w:val="00910FE7"/>
    <w:rsid w:val="00933B9F"/>
    <w:rsid w:val="00934DC5"/>
    <w:rsid w:val="00976C9D"/>
    <w:rsid w:val="00981919"/>
    <w:rsid w:val="009C2F09"/>
    <w:rsid w:val="00A138DF"/>
    <w:rsid w:val="00A26762"/>
    <w:rsid w:val="00A57CCE"/>
    <w:rsid w:val="00A77617"/>
    <w:rsid w:val="00AB7DE2"/>
    <w:rsid w:val="00AC19AD"/>
    <w:rsid w:val="00AD7BF8"/>
    <w:rsid w:val="00AD7CCA"/>
    <w:rsid w:val="00B21B75"/>
    <w:rsid w:val="00B46A14"/>
    <w:rsid w:val="00B61283"/>
    <w:rsid w:val="00B62EB1"/>
    <w:rsid w:val="00B726A1"/>
    <w:rsid w:val="00BF2B80"/>
    <w:rsid w:val="00BF426E"/>
    <w:rsid w:val="00C06789"/>
    <w:rsid w:val="00C208E3"/>
    <w:rsid w:val="00C30BE7"/>
    <w:rsid w:val="00C3150F"/>
    <w:rsid w:val="00C50C4E"/>
    <w:rsid w:val="00C81813"/>
    <w:rsid w:val="00CB4D29"/>
    <w:rsid w:val="00CB6D1C"/>
    <w:rsid w:val="00CB704B"/>
    <w:rsid w:val="00D010D3"/>
    <w:rsid w:val="00D06F9E"/>
    <w:rsid w:val="00D13193"/>
    <w:rsid w:val="00D660AA"/>
    <w:rsid w:val="00D84863"/>
    <w:rsid w:val="00DA55B3"/>
    <w:rsid w:val="00DF14EC"/>
    <w:rsid w:val="00E00EF9"/>
    <w:rsid w:val="00E07EBE"/>
    <w:rsid w:val="00E56511"/>
    <w:rsid w:val="00E96466"/>
    <w:rsid w:val="00EF438B"/>
    <w:rsid w:val="00F10BAB"/>
    <w:rsid w:val="00F14E1F"/>
    <w:rsid w:val="00F60704"/>
    <w:rsid w:val="00FA70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7F971A"/>
  <w15:chartTrackingRefBased/>
  <w15:docId w15:val="{46A381DE-497C-4ABA-ABD7-80355F2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EF9"/>
  </w:style>
  <w:style w:type="paragraph" w:styleId="Heading1">
    <w:name w:val="heading 1"/>
    <w:basedOn w:val="Normal"/>
    <w:next w:val="Normal"/>
    <w:link w:val="Heading1Char"/>
    <w:uiPriority w:val="9"/>
    <w:qFormat/>
    <w:rsid w:val="000B27F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B27F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B27F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B2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F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B27F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B27F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B2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F0"/>
    <w:rPr>
      <w:rFonts w:eastAsiaTheme="majorEastAsia" w:cstheme="majorBidi"/>
      <w:color w:val="272727" w:themeColor="text1" w:themeTint="D8"/>
    </w:rPr>
  </w:style>
  <w:style w:type="paragraph" w:styleId="Title">
    <w:name w:val="Title"/>
    <w:basedOn w:val="Normal"/>
    <w:next w:val="Normal"/>
    <w:link w:val="TitleChar"/>
    <w:uiPriority w:val="10"/>
    <w:qFormat/>
    <w:rsid w:val="000B27F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B27F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B27F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B27F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B27F0"/>
    <w:pPr>
      <w:spacing w:before="160"/>
      <w:jc w:val="center"/>
    </w:pPr>
    <w:rPr>
      <w:i/>
      <w:iCs/>
      <w:color w:val="404040" w:themeColor="text1" w:themeTint="BF"/>
    </w:rPr>
  </w:style>
  <w:style w:type="character" w:customStyle="1" w:styleId="QuoteChar">
    <w:name w:val="Quote Char"/>
    <w:basedOn w:val="DefaultParagraphFont"/>
    <w:link w:val="Quote"/>
    <w:uiPriority w:val="29"/>
    <w:rsid w:val="000B27F0"/>
    <w:rPr>
      <w:i/>
      <w:iCs/>
      <w:color w:val="404040" w:themeColor="text1" w:themeTint="BF"/>
    </w:rPr>
  </w:style>
  <w:style w:type="paragraph" w:styleId="ListParagraph">
    <w:name w:val="List Paragraph"/>
    <w:basedOn w:val="Normal"/>
    <w:uiPriority w:val="34"/>
    <w:qFormat/>
    <w:rsid w:val="000B27F0"/>
    <w:pPr>
      <w:ind w:left="720"/>
      <w:contextualSpacing/>
    </w:pPr>
  </w:style>
  <w:style w:type="character" w:styleId="IntenseEmphasis">
    <w:name w:val="Intense Emphasis"/>
    <w:basedOn w:val="DefaultParagraphFont"/>
    <w:uiPriority w:val="21"/>
    <w:qFormat/>
    <w:rsid w:val="000B27F0"/>
    <w:rPr>
      <w:i/>
      <w:iCs/>
      <w:color w:val="0F4761" w:themeColor="accent1" w:themeShade="BF"/>
    </w:rPr>
  </w:style>
  <w:style w:type="paragraph" w:styleId="IntenseQuote">
    <w:name w:val="Intense Quote"/>
    <w:basedOn w:val="Normal"/>
    <w:next w:val="Normal"/>
    <w:link w:val="IntenseQuoteChar"/>
    <w:uiPriority w:val="30"/>
    <w:qFormat/>
    <w:rsid w:val="000B2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7F0"/>
    <w:rPr>
      <w:i/>
      <w:iCs/>
      <w:color w:val="0F4761" w:themeColor="accent1" w:themeShade="BF"/>
    </w:rPr>
  </w:style>
  <w:style w:type="character" w:styleId="IntenseReference">
    <w:name w:val="Intense Reference"/>
    <w:basedOn w:val="DefaultParagraphFont"/>
    <w:uiPriority w:val="32"/>
    <w:qFormat/>
    <w:rsid w:val="000B27F0"/>
    <w:rPr>
      <w:b/>
      <w:bCs/>
      <w:smallCaps/>
      <w:color w:val="0F4761" w:themeColor="accent1" w:themeShade="BF"/>
      <w:spacing w:val="5"/>
    </w:rPr>
  </w:style>
  <w:style w:type="paragraph" w:styleId="NormalWeb">
    <w:name w:val="Normal (Web)"/>
    <w:basedOn w:val="Normal"/>
    <w:uiPriority w:val="99"/>
    <w:unhideWhenUsed/>
    <w:rsid w:val="000B27F0"/>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Strong">
    <w:name w:val="Strong"/>
    <w:basedOn w:val="DefaultParagraphFont"/>
    <w:uiPriority w:val="22"/>
    <w:qFormat/>
    <w:rsid w:val="000B27F0"/>
    <w:rPr>
      <w:b/>
      <w:bCs/>
    </w:rPr>
  </w:style>
  <w:style w:type="character" w:styleId="Emphasis">
    <w:name w:val="Emphasis"/>
    <w:basedOn w:val="DefaultParagraphFont"/>
    <w:uiPriority w:val="20"/>
    <w:qFormat/>
    <w:rsid w:val="00813E3A"/>
    <w:rPr>
      <w:i/>
      <w:iCs/>
    </w:rPr>
  </w:style>
  <w:style w:type="character" w:styleId="Hyperlink">
    <w:name w:val="Hyperlink"/>
    <w:basedOn w:val="DefaultParagraphFont"/>
    <w:uiPriority w:val="99"/>
    <w:unhideWhenUsed/>
    <w:rsid w:val="00813E3A"/>
    <w:rPr>
      <w:color w:val="0000FF"/>
      <w:u w:val="single"/>
    </w:rPr>
  </w:style>
  <w:style w:type="character" w:styleId="UnresolvedMention">
    <w:name w:val="Unresolved Mention"/>
    <w:basedOn w:val="DefaultParagraphFont"/>
    <w:uiPriority w:val="99"/>
    <w:semiHidden/>
    <w:unhideWhenUsed/>
    <w:rsid w:val="007664B6"/>
    <w:rPr>
      <w:color w:val="605E5C"/>
      <w:shd w:val="clear" w:color="auto" w:fill="E1DFDD"/>
    </w:rPr>
  </w:style>
  <w:style w:type="table" w:styleId="TableGrid">
    <w:name w:val="Table Grid"/>
    <w:basedOn w:val="TableNormal"/>
    <w:uiPriority w:val="39"/>
    <w:rsid w:val="00A7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62EB1"/>
  </w:style>
  <w:style w:type="paragraph" w:styleId="Header">
    <w:name w:val="header"/>
    <w:basedOn w:val="Normal"/>
    <w:link w:val="HeaderChar"/>
    <w:uiPriority w:val="99"/>
    <w:unhideWhenUsed/>
    <w:rsid w:val="00CB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29"/>
  </w:style>
  <w:style w:type="paragraph" w:styleId="Footer">
    <w:name w:val="footer"/>
    <w:basedOn w:val="Normal"/>
    <w:link w:val="FooterChar"/>
    <w:uiPriority w:val="99"/>
    <w:unhideWhenUsed/>
    <w:rsid w:val="00CB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412">
      <w:bodyDiv w:val="1"/>
      <w:marLeft w:val="0"/>
      <w:marRight w:val="0"/>
      <w:marTop w:val="0"/>
      <w:marBottom w:val="0"/>
      <w:divBdr>
        <w:top w:val="none" w:sz="0" w:space="0" w:color="auto"/>
        <w:left w:val="none" w:sz="0" w:space="0" w:color="auto"/>
        <w:bottom w:val="none" w:sz="0" w:space="0" w:color="auto"/>
        <w:right w:val="none" w:sz="0" w:space="0" w:color="auto"/>
      </w:divBdr>
    </w:div>
    <w:div w:id="291063504">
      <w:bodyDiv w:val="1"/>
      <w:marLeft w:val="0"/>
      <w:marRight w:val="0"/>
      <w:marTop w:val="0"/>
      <w:marBottom w:val="0"/>
      <w:divBdr>
        <w:top w:val="none" w:sz="0" w:space="0" w:color="auto"/>
        <w:left w:val="none" w:sz="0" w:space="0" w:color="auto"/>
        <w:bottom w:val="none" w:sz="0" w:space="0" w:color="auto"/>
        <w:right w:val="none" w:sz="0" w:space="0" w:color="auto"/>
      </w:divBdr>
    </w:div>
    <w:div w:id="559904477">
      <w:bodyDiv w:val="1"/>
      <w:marLeft w:val="0"/>
      <w:marRight w:val="0"/>
      <w:marTop w:val="0"/>
      <w:marBottom w:val="0"/>
      <w:divBdr>
        <w:top w:val="none" w:sz="0" w:space="0" w:color="auto"/>
        <w:left w:val="none" w:sz="0" w:space="0" w:color="auto"/>
        <w:bottom w:val="none" w:sz="0" w:space="0" w:color="auto"/>
        <w:right w:val="none" w:sz="0" w:space="0" w:color="auto"/>
      </w:divBdr>
    </w:div>
    <w:div w:id="686568292">
      <w:bodyDiv w:val="1"/>
      <w:marLeft w:val="0"/>
      <w:marRight w:val="0"/>
      <w:marTop w:val="0"/>
      <w:marBottom w:val="0"/>
      <w:divBdr>
        <w:top w:val="none" w:sz="0" w:space="0" w:color="auto"/>
        <w:left w:val="none" w:sz="0" w:space="0" w:color="auto"/>
        <w:bottom w:val="none" w:sz="0" w:space="0" w:color="auto"/>
        <w:right w:val="none" w:sz="0" w:space="0" w:color="auto"/>
      </w:divBdr>
    </w:div>
    <w:div w:id="706368385">
      <w:bodyDiv w:val="1"/>
      <w:marLeft w:val="0"/>
      <w:marRight w:val="0"/>
      <w:marTop w:val="0"/>
      <w:marBottom w:val="0"/>
      <w:divBdr>
        <w:top w:val="none" w:sz="0" w:space="0" w:color="auto"/>
        <w:left w:val="none" w:sz="0" w:space="0" w:color="auto"/>
        <w:bottom w:val="none" w:sz="0" w:space="0" w:color="auto"/>
        <w:right w:val="none" w:sz="0" w:space="0" w:color="auto"/>
      </w:divBdr>
    </w:div>
    <w:div w:id="806439911">
      <w:bodyDiv w:val="1"/>
      <w:marLeft w:val="0"/>
      <w:marRight w:val="0"/>
      <w:marTop w:val="0"/>
      <w:marBottom w:val="0"/>
      <w:divBdr>
        <w:top w:val="none" w:sz="0" w:space="0" w:color="auto"/>
        <w:left w:val="none" w:sz="0" w:space="0" w:color="auto"/>
        <w:bottom w:val="none" w:sz="0" w:space="0" w:color="auto"/>
        <w:right w:val="none" w:sz="0" w:space="0" w:color="auto"/>
      </w:divBdr>
    </w:div>
    <w:div w:id="1152258468">
      <w:bodyDiv w:val="1"/>
      <w:marLeft w:val="0"/>
      <w:marRight w:val="0"/>
      <w:marTop w:val="0"/>
      <w:marBottom w:val="0"/>
      <w:divBdr>
        <w:top w:val="none" w:sz="0" w:space="0" w:color="auto"/>
        <w:left w:val="none" w:sz="0" w:space="0" w:color="auto"/>
        <w:bottom w:val="none" w:sz="0" w:space="0" w:color="auto"/>
        <w:right w:val="none" w:sz="0" w:space="0" w:color="auto"/>
      </w:divBdr>
    </w:div>
    <w:div w:id="1365256022">
      <w:bodyDiv w:val="1"/>
      <w:marLeft w:val="0"/>
      <w:marRight w:val="0"/>
      <w:marTop w:val="0"/>
      <w:marBottom w:val="0"/>
      <w:divBdr>
        <w:top w:val="none" w:sz="0" w:space="0" w:color="auto"/>
        <w:left w:val="none" w:sz="0" w:space="0" w:color="auto"/>
        <w:bottom w:val="none" w:sz="0" w:space="0" w:color="auto"/>
        <w:right w:val="none" w:sz="0" w:space="0" w:color="auto"/>
      </w:divBdr>
    </w:div>
    <w:div w:id="1367677295">
      <w:bodyDiv w:val="1"/>
      <w:marLeft w:val="0"/>
      <w:marRight w:val="0"/>
      <w:marTop w:val="0"/>
      <w:marBottom w:val="0"/>
      <w:divBdr>
        <w:top w:val="none" w:sz="0" w:space="0" w:color="auto"/>
        <w:left w:val="none" w:sz="0" w:space="0" w:color="auto"/>
        <w:bottom w:val="none" w:sz="0" w:space="0" w:color="auto"/>
        <w:right w:val="none" w:sz="0" w:space="0" w:color="auto"/>
      </w:divBdr>
    </w:div>
    <w:div w:id="1496070161">
      <w:bodyDiv w:val="1"/>
      <w:marLeft w:val="0"/>
      <w:marRight w:val="0"/>
      <w:marTop w:val="0"/>
      <w:marBottom w:val="0"/>
      <w:divBdr>
        <w:top w:val="none" w:sz="0" w:space="0" w:color="auto"/>
        <w:left w:val="none" w:sz="0" w:space="0" w:color="auto"/>
        <w:bottom w:val="none" w:sz="0" w:space="0" w:color="auto"/>
        <w:right w:val="none" w:sz="0" w:space="0" w:color="auto"/>
      </w:divBdr>
    </w:div>
    <w:div w:id="1786532500">
      <w:bodyDiv w:val="1"/>
      <w:marLeft w:val="0"/>
      <w:marRight w:val="0"/>
      <w:marTop w:val="0"/>
      <w:marBottom w:val="0"/>
      <w:divBdr>
        <w:top w:val="none" w:sz="0" w:space="0" w:color="auto"/>
        <w:left w:val="none" w:sz="0" w:space="0" w:color="auto"/>
        <w:bottom w:val="none" w:sz="0" w:space="0" w:color="auto"/>
        <w:right w:val="none" w:sz="0" w:space="0" w:color="auto"/>
      </w:divBdr>
    </w:div>
    <w:div w:id="1838375301">
      <w:bodyDiv w:val="1"/>
      <w:marLeft w:val="0"/>
      <w:marRight w:val="0"/>
      <w:marTop w:val="0"/>
      <w:marBottom w:val="0"/>
      <w:divBdr>
        <w:top w:val="none" w:sz="0" w:space="0" w:color="auto"/>
        <w:left w:val="none" w:sz="0" w:space="0" w:color="auto"/>
        <w:bottom w:val="none" w:sz="0" w:space="0" w:color="auto"/>
        <w:right w:val="none" w:sz="0" w:space="0" w:color="auto"/>
      </w:divBdr>
    </w:div>
    <w:div w:id="1911883658">
      <w:bodyDiv w:val="1"/>
      <w:marLeft w:val="0"/>
      <w:marRight w:val="0"/>
      <w:marTop w:val="0"/>
      <w:marBottom w:val="0"/>
      <w:divBdr>
        <w:top w:val="none" w:sz="0" w:space="0" w:color="auto"/>
        <w:left w:val="none" w:sz="0" w:space="0" w:color="auto"/>
        <w:bottom w:val="none" w:sz="0" w:space="0" w:color="auto"/>
        <w:right w:val="none" w:sz="0" w:space="0" w:color="auto"/>
      </w:divBdr>
    </w:div>
    <w:div w:id="19785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567</TotalTime>
  <Pages>11</Pages>
  <Words>5144</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 Soren</dc:creator>
  <cp:keywords/>
  <dc:description/>
  <cp:lastModifiedBy>SDI 1180</cp:lastModifiedBy>
  <cp:revision>102</cp:revision>
  <dcterms:created xsi:type="dcterms:W3CDTF">2025-04-23T08:26:00Z</dcterms:created>
  <dcterms:modified xsi:type="dcterms:W3CDTF">2025-08-28T06:59:00Z</dcterms:modified>
</cp:coreProperties>
</file>