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8A44B" w14:textId="77777777" w:rsidR="00F773C7" w:rsidRDefault="00F773C7">
      <w:pPr>
        <w:widowControl w:val="0"/>
        <w:pBdr>
          <w:top w:val="nil"/>
          <w:left w:val="nil"/>
          <w:bottom w:val="nil"/>
          <w:right w:val="nil"/>
          <w:between w:val="nil"/>
        </w:pBdr>
        <w:spacing w:line="276" w:lineRule="auto"/>
      </w:pPr>
    </w:p>
    <w:p w14:paraId="5A63ADB5" w14:textId="77777777" w:rsidR="00F773C7" w:rsidRDefault="00F773C7">
      <w:pPr>
        <w:widowControl w:val="0"/>
        <w:pBdr>
          <w:top w:val="nil"/>
          <w:left w:val="nil"/>
          <w:bottom w:val="nil"/>
          <w:right w:val="nil"/>
          <w:between w:val="nil"/>
        </w:pBdr>
        <w:spacing w:line="276" w:lineRule="auto"/>
      </w:pPr>
    </w:p>
    <w:p w14:paraId="3D0BD823" w14:textId="77777777" w:rsidR="00F773C7" w:rsidRDefault="00AD7B73">
      <w:pPr>
        <w:pBdr>
          <w:top w:val="nil"/>
          <w:left w:val="nil"/>
          <w:bottom w:val="nil"/>
          <w:right w:val="nil"/>
          <w:between w:val="nil"/>
        </w:pBdr>
        <w:jc w:val="right"/>
        <w:rPr>
          <w:rFonts w:ascii="Arial" w:eastAsia="Arial" w:hAnsi="Arial" w:cs="Arial"/>
          <w:b/>
          <w:i/>
          <w:sz w:val="36"/>
          <w:szCs w:val="36"/>
          <w:u w:val="single"/>
        </w:rPr>
      </w:pPr>
      <w:bookmarkStart w:id="0" w:name="_Hlk207179992"/>
      <w:r>
        <w:rPr>
          <w:rFonts w:ascii="Arial" w:eastAsia="Arial" w:hAnsi="Arial" w:cs="Arial"/>
          <w:b/>
          <w:i/>
          <w:sz w:val="36"/>
          <w:szCs w:val="36"/>
          <w:u w:val="single"/>
        </w:rPr>
        <w:t>Original Research Article</w:t>
      </w:r>
    </w:p>
    <w:bookmarkEnd w:id="0"/>
    <w:p w14:paraId="0A6F9953" w14:textId="77777777" w:rsidR="00F773C7" w:rsidRDefault="00F773C7">
      <w:pPr>
        <w:pBdr>
          <w:top w:val="nil"/>
          <w:left w:val="nil"/>
          <w:bottom w:val="nil"/>
          <w:right w:val="nil"/>
          <w:between w:val="nil"/>
        </w:pBdr>
        <w:jc w:val="right"/>
        <w:rPr>
          <w:rFonts w:ascii="Arial" w:eastAsia="Arial" w:hAnsi="Arial" w:cs="Arial"/>
          <w:b/>
          <w:i/>
          <w:sz w:val="36"/>
          <w:szCs w:val="36"/>
          <w:u w:val="single"/>
        </w:rPr>
      </w:pPr>
    </w:p>
    <w:p w14:paraId="7659BA20" w14:textId="77777777" w:rsidR="00F773C7" w:rsidRDefault="00AD7B73">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i/>
          <w:sz w:val="36"/>
          <w:szCs w:val="36"/>
        </w:rPr>
        <w:t>In vitro</w:t>
      </w:r>
      <w:r>
        <w:rPr>
          <w:rFonts w:ascii="Arial" w:eastAsia="Arial" w:hAnsi="Arial" w:cs="Arial"/>
          <w:b/>
          <w:sz w:val="36"/>
          <w:szCs w:val="36"/>
        </w:rPr>
        <w:t xml:space="preserve"> Evaluation of an Experimental Pomegranate Dentifrice for Complete Dentures</w:t>
      </w:r>
    </w:p>
    <w:p w14:paraId="6B464792" w14:textId="77777777" w:rsidR="00F773C7" w:rsidRDefault="00F773C7">
      <w:pPr>
        <w:pBdr>
          <w:top w:val="nil"/>
          <w:left w:val="nil"/>
          <w:bottom w:val="nil"/>
          <w:right w:val="nil"/>
          <w:between w:val="nil"/>
        </w:pBdr>
        <w:jc w:val="both"/>
        <w:rPr>
          <w:rFonts w:ascii="Arial" w:eastAsia="Arial" w:hAnsi="Arial" w:cs="Arial"/>
          <w:b/>
          <w:color w:val="000000"/>
          <w:sz w:val="36"/>
          <w:szCs w:val="36"/>
        </w:rPr>
      </w:pPr>
    </w:p>
    <w:p w14:paraId="0360F09D" w14:textId="6CC68BE5" w:rsidR="00AD3A74" w:rsidRDefault="00AD3A74">
      <w:pPr>
        <w:pBdr>
          <w:top w:val="nil"/>
          <w:left w:val="nil"/>
          <w:bottom w:val="nil"/>
          <w:right w:val="nil"/>
          <w:between w:val="nil"/>
        </w:pBdr>
        <w:jc w:val="right"/>
        <w:rPr>
          <w:rFonts w:ascii="Arial" w:eastAsia="Arial" w:hAnsi="Arial" w:cs="Arial"/>
          <w:i/>
          <w:color w:val="000000"/>
        </w:rPr>
      </w:pPr>
    </w:p>
    <w:p w14:paraId="68D4AE21" w14:textId="77777777" w:rsidR="00F773C7" w:rsidRDefault="00F773C7">
      <w:pPr>
        <w:pBdr>
          <w:top w:val="nil"/>
          <w:left w:val="nil"/>
          <w:bottom w:val="nil"/>
          <w:right w:val="nil"/>
          <w:between w:val="nil"/>
        </w:pBdr>
        <w:jc w:val="both"/>
        <w:rPr>
          <w:rFonts w:ascii="Arial" w:eastAsia="Arial" w:hAnsi="Arial" w:cs="Arial"/>
        </w:rPr>
      </w:pPr>
    </w:p>
    <w:p w14:paraId="422925A5" w14:textId="77777777" w:rsidR="00F773C7" w:rsidRDefault="00AD7B73">
      <w:pPr>
        <w:pBdr>
          <w:top w:val="nil"/>
          <w:left w:val="nil"/>
          <w:bottom w:val="nil"/>
          <w:right w:val="nil"/>
          <w:between w:val="nil"/>
        </w:pBdr>
        <w:jc w:val="both"/>
        <w:rPr>
          <w:rFonts w:ascii="Arial" w:eastAsia="Arial" w:hAnsi="Arial" w:cs="Arial"/>
        </w:rPr>
        <w:sectPr w:rsidR="00F773C7" w:rsidSect="00FD54E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pict w14:anchorId="726818F6">
          <v:rect id="_x0000_i1025" style="width:0;height:1.5pt" o:hralign="center" o:hrstd="t" o:hr="t" fillcolor="#a0a0a0" stroked="f"/>
        </w:pict>
      </w:r>
    </w:p>
    <w:p w14:paraId="3F95F5DF" w14:textId="77777777" w:rsidR="00F773C7" w:rsidRDefault="00AD7B7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77063810" w14:textId="77777777" w:rsidR="00F773C7" w:rsidRDefault="00F773C7">
      <w:pPr>
        <w:keepNext/>
        <w:pBdr>
          <w:top w:val="nil"/>
          <w:left w:val="nil"/>
          <w:bottom w:val="nil"/>
          <w:right w:val="nil"/>
          <w:between w:val="nil"/>
        </w:pBdr>
        <w:jc w:val="both"/>
        <w:rPr>
          <w:rFonts w:ascii="Arial" w:eastAsia="Arial" w:hAnsi="Arial" w:cs="Arial"/>
          <w:b/>
          <w:smallCaps/>
          <w:color w:val="000000"/>
          <w:sz w:val="22"/>
          <w:szCs w:val="22"/>
        </w:rPr>
      </w:pPr>
    </w:p>
    <w:tbl>
      <w:tblPr>
        <w:tblStyle w:val="a9"/>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773C7" w14:paraId="39674850" w14:textId="77777777">
        <w:tc>
          <w:tcPr>
            <w:tcW w:w="8424" w:type="dxa"/>
            <w:shd w:val="clear" w:color="auto" w:fill="F2F2F2"/>
          </w:tcPr>
          <w:p w14:paraId="44A1A5AA"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 xml:space="preserve">This study aimed </w:t>
            </w:r>
            <w:r>
              <w:rPr>
                <w:rFonts w:ascii="Arial" w:eastAsia="Arial" w:hAnsi="Arial" w:cs="Arial"/>
              </w:rPr>
              <w:t>to evaluate the effects of brushing with an experimental pomegranate-based toothpaste (PD) on heat-polymerized acrylic resin samples, comparing it with a commercial dentifrice not specifically designed for dentures (CD) and distilled water (DW).</w:t>
            </w:r>
          </w:p>
          <w:p w14:paraId="085D3B4F"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w:t>
            </w:r>
            <w:r>
              <w:rPr>
                <w:rFonts w:ascii="Arial" w:eastAsia="Arial" w:hAnsi="Arial" w:cs="Arial"/>
                <w:b/>
                <w:color w:val="000000"/>
              </w:rPr>
              <w:t>gn:</w:t>
            </w:r>
            <w:r>
              <w:rPr>
                <w:rFonts w:ascii="Arial" w:eastAsia="Arial" w:hAnsi="Arial" w:cs="Arial"/>
                <w:color w:val="000000"/>
              </w:rPr>
              <w:t xml:space="preserve">  </w:t>
            </w:r>
            <w:r>
              <w:rPr>
                <w:rFonts w:ascii="Arial" w:eastAsia="Arial" w:hAnsi="Arial" w:cs="Arial"/>
              </w:rPr>
              <w:t>Original research article</w:t>
            </w:r>
            <w:r>
              <w:rPr>
                <w:rFonts w:ascii="Arial" w:eastAsia="Arial" w:hAnsi="Arial" w:cs="Arial"/>
                <w:color w:val="000000"/>
              </w:rPr>
              <w:t>.</w:t>
            </w:r>
          </w:p>
          <w:p w14:paraId="7BB9034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Research Laboratory of the Graduate Program in Dentistry at the Federal University of Ceará, located in Fortaleza, Ceará, Brazil.</w:t>
            </w:r>
          </w:p>
          <w:p w14:paraId="03C01391"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b/>
              </w:rPr>
              <w:t>Methodology:</w:t>
            </w:r>
            <w:r>
              <w:rPr>
                <w:rFonts w:ascii="Arial" w:eastAsia="Arial" w:hAnsi="Arial" w:cs="Arial"/>
              </w:rPr>
              <w:t xml:space="preserve"> Thirty acrylic resin samples (n = 10) underwent five</w:t>
            </w:r>
            <w:r>
              <w:rPr>
                <w:rFonts w:ascii="Arial" w:eastAsia="Arial" w:hAnsi="Arial" w:cs="Arial"/>
              </w:rPr>
              <w:t xml:space="preserve"> cycles of 17,800 brush strokes, simulating 60 months of accumulated brushing. The samples were assessed for roughness, surface microhardness, mass loss, and color stability initially (T0) and after each cycle (T1: 12 months; T2: 36 months; T3: 60 months).</w:t>
            </w:r>
            <w:r>
              <w:rPr>
                <w:rFonts w:ascii="Arial" w:eastAsia="Arial" w:hAnsi="Arial" w:cs="Arial"/>
              </w:rPr>
              <w:t xml:space="preserve"> The data were analyzed using repeated measures ANOVA, followed by the Bonferroni post-test.</w:t>
            </w:r>
          </w:p>
          <w:p w14:paraId="7ABB4184" w14:textId="77777777" w:rsidR="00F773C7" w:rsidRDefault="00AD7B73">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Intergroup comparisons revealed no significant differences for the assessed parameters. However, intragroup analysis indicated a significant increase in m</w:t>
            </w:r>
            <w:r>
              <w:rPr>
                <w:rFonts w:ascii="Arial" w:eastAsia="Arial" w:hAnsi="Arial" w:cs="Arial"/>
              </w:rPr>
              <w:t>icrohardness for the PD group (</w:t>
            </w:r>
            <w:r>
              <w:rPr>
                <w:rFonts w:ascii="Arial" w:eastAsia="Arial" w:hAnsi="Arial" w:cs="Arial"/>
                <w:i/>
              </w:rPr>
              <w:t xml:space="preserve">P </w:t>
            </w:r>
            <w:r>
              <w:rPr>
                <w:rFonts w:ascii="Arial" w:eastAsia="Arial" w:hAnsi="Arial" w:cs="Arial"/>
              </w:rPr>
              <w:t>= 0.01) and heightened surface roughness in the CD group (</w:t>
            </w:r>
            <w:r>
              <w:rPr>
                <w:rFonts w:ascii="Arial" w:eastAsia="Arial" w:hAnsi="Arial" w:cs="Arial"/>
                <w:i/>
              </w:rPr>
              <w:t xml:space="preserve">P </w:t>
            </w:r>
            <w:r>
              <w:rPr>
                <w:rFonts w:ascii="Arial" w:eastAsia="Arial" w:hAnsi="Arial" w:cs="Arial"/>
              </w:rPr>
              <w:t>&lt; 0.01).</w:t>
            </w:r>
          </w:p>
          <w:p w14:paraId="7CCD6CB8"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 xml:space="preserve">The pomegranate-based dentifrice neither adversely affected the </w:t>
            </w:r>
            <w:proofErr w:type="gramStart"/>
            <w:r>
              <w:rPr>
                <w:rFonts w:ascii="Arial" w:eastAsia="Arial" w:hAnsi="Arial" w:cs="Arial"/>
              </w:rPr>
              <w:t>surface  roughness</w:t>
            </w:r>
            <w:proofErr w:type="gramEnd"/>
            <w:r>
              <w:rPr>
                <w:rFonts w:ascii="Arial" w:eastAsia="Arial" w:hAnsi="Arial" w:cs="Arial"/>
              </w:rPr>
              <w:t xml:space="preserve"> nor caused significant changes in mass or color of the acry</w:t>
            </w:r>
            <w:r>
              <w:rPr>
                <w:rFonts w:ascii="Arial" w:eastAsia="Arial" w:hAnsi="Arial" w:cs="Arial"/>
              </w:rPr>
              <w:t xml:space="preserve">lic resin. As </w:t>
            </w:r>
            <w:proofErr w:type="gramStart"/>
            <w:r>
              <w:rPr>
                <w:rFonts w:ascii="Arial" w:eastAsia="Arial" w:hAnsi="Arial" w:cs="Arial"/>
              </w:rPr>
              <w:t>such,  it</w:t>
            </w:r>
            <w:proofErr w:type="gramEnd"/>
            <w:r>
              <w:rPr>
                <w:rFonts w:ascii="Arial" w:eastAsia="Arial" w:hAnsi="Arial" w:cs="Arial"/>
              </w:rPr>
              <w:t xml:space="preserve"> shows potential as an alternative approach to denture hygiene</w:t>
            </w:r>
            <w:r>
              <w:rPr>
                <w:rFonts w:ascii="Arial" w:eastAsia="Arial" w:hAnsi="Arial" w:cs="Arial"/>
                <w:color w:val="000000"/>
              </w:rPr>
              <w:t>.</w:t>
            </w:r>
          </w:p>
          <w:p w14:paraId="6FD0D423" w14:textId="77777777" w:rsidR="00F773C7" w:rsidRDefault="00F773C7">
            <w:pPr>
              <w:pBdr>
                <w:top w:val="nil"/>
                <w:left w:val="nil"/>
                <w:bottom w:val="nil"/>
                <w:right w:val="nil"/>
                <w:between w:val="nil"/>
              </w:pBdr>
              <w:jc w:val="both"/>
              <w:rPr>
                <w:rFonts w:ascii="Arial" w:eastAsia="Arial" w:hAnsi="Arial" w:cs="Arial"/>
                <w:color w:val="000000"/>
              </w:rPr>
            </w:pPr>
          </w:p>
        </w:tc>
      </w:tr>
    </w:tbl>
    <w:p w14:paraId="4A4DF9CE" w14:textId="77777777" w:rsidR="00F773C7" w:rsidRDefault="00F773C7">
      <w:pPr>
        <w:pBdr>
          <w:top w:val="nil"/>
          <w:left w:val="nil"/>
          <w:bottom w:val="nil"/>
          <w:right w:val="nil"/>
          <w:between w:val="nil"/>
        </w:pBdr>
        <w:jc w:val="both"/>
        <w:rPr>
          <w:rFonts w:ascii="Arial" w:eastAsia="Arial" w:hAnsi="Arial" w:cs="Arial"/>
          <w:i/>
          <w:color w:val="000000"/>
        </w:rPr>
      </w:pPr>
    </w:p>
    <w:p w14:paraId="2C753E63" w14:textId="77777777" w:rsidR="00F773C7" w:rsidRDefault="00AD7B73">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 xml:space="preserve">Denture bases; tooth brushing; </w:t>
      </w:r>
      <w:proofErr w:type="spellStart"/>
      <w:r>
        <w:rPr>
          <w:rFonts w:ascii="Arial" w:eastAsia="Arial" w:hAnsi="Arial" w:cs="Arial"/>
          <w:i/>
        </w:rPr>
        <w:t>punica</w:t>
      </w:r>
      <w:proofErr w:type="spellEnd"/>
      <w:r>
        <w:rPr>
          <w:rFonts w:ascii="Arial" w:eastAsia="Arial" w:hAnsi="Arial" w:cs="Arial"/>
          <w:i/>
        </w:rPr>
        <w:t xml:space="preserve"> </w:t>
      </w:r>
      <w:proofErr w:type="spellStart"/>
      <w:r>
        <w:rPr>
          <w:rFonts w:ascii="Arial" w:eastAsia="Arial" w:hAnsi="Arial" w:cs="Arial"/>
          <w:i/>
        </w:rPr>
        <w:t>granatum</w:t>
      </w:r>
      <w:proofErr w:type="spellEnd"/>
      <w:r>
        <w:rPr>
          <w:rFonts w:ascii="Arial" w:eastAsia="Arial" w:hAnsi="Arial" w:cs="Arial"/>
          <w:i/>
        </w:rPr>
        <w:t xml:space="preserve">; </w:t>
      </w:r>
      <w:proofErr w:type="spellStart"/>
      <w:r>
        <w:rPr>
          <w:rFonts w:ascii="Arial" w:eastAsia="Arial" w:hAnsi="Arial" w:cs="Arial"/>
          <w:i/>
        </w:rPr>
        <w:t>hardnesss</w:t>
      </w:r>
      <w:proofErr w:type="spellEnd"/>
      <w:r>
        <w:rPr>
          <w:rFonts w:ascii="Arial" w:eastAsia="Arial" w:hAnsi="Arial" w:cs="Arial"/>
          <w:i/>
        </w:rPr>
        <w:t>; color.</w:t>
      </w:r>
    </w:p>
    <w:p w14:paraId="28E71AAE" w14:textId="77777777" w:rsidR="00F773C7" w:rsidRDefault="00F773C7">
      <w:pPr>
        <w:pBdr>
          <w:top w:val="nil"/>
          <w:left w:val="nil"/>
          <w:bottom w:val="nil"/>
          <w:right w:val="nil"/>
          <w:between w:val="nil"/>
        </w:pBdr>
        <w:jc w:val="both"/>
        <w:rPr>
          <w:rFonts w:ascii="Arial" w:eastAsia="Arial" w:hAnsi="Arial" w:cs="Arial"/>
          <w:i/>
          <w:color w:val="000000"/>
        </w:rPr>
      </w:pPr>
    </w:p>
    <w:p w14:paraId="44F76053" w14:textId="77777777" w:rsidR="00F773C7" w:rsidRDefault="00F773C7">
      <w:pPr>
        <w:pBdr>
          <w:top w:val="nil"/>
          <w:left w:val="nil"/>
          <w:bottom w:val="nil"/>
          <w:right w:val="nil"/>
          <w:between w:val="nil"/>
        </w:pBdr>
        <w:jc w:val="both"/>
        <w:rPr>
          <w:rFonts w:ascii="Arial" w:eastAsia="Arial" w:hAnsi="Arial" w:cs="Arial"/>
          <w:b/>
          <w:i/>
          <w:sz w:val="18"/>
          <w:szCs w:val="18"/>
        </w:rPr>
      </w:pPr>
    </w:p>
    <w:p w14:paraId="613F0A1B" w14:textId="77777777" w:rsidR="00F773C7" w:rsidRDefault="00AD7B7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A738746" w14:textId="77777777" w:rsidR="00F773C7" w:rsidRDefault="00F773C7">
      <w:pPr>
        <w:pBdr>
          <w:top w:val="nil"/>
          <w:left w:val="nil"/>
          <w:bottom w:val="nil"/>
          <w:right w:val="nil"/>
          <w:between w:val="nil"/>
        </w:pBdr>
        <w:jc w:val="both"/>
        <w:rPr>
          <w:rFonts w:ascii="Arial" w:eastAsia="Arial" w:hAnsi="Arial" w:cs="Arial"/>
        </w:rPr>
      </w:pPr>
    </w:p>
    <w:p w14:paraId="4D195D9F"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Denture stomatitis (DS) is an inflammation of the oral mucosa predominantly associated with the species </w:t>
      </w:r>
      <w:r>
        <w:rPr>
          <w:rFonts w:ascii="Arial" w:eastAsia="Arial" w:hAnsi="Arial" w:cs="Arial"/>
          <w:i/>
        </w:rPr>
        <w:t>Candida albicans</w:t>
      </w:r>
      <w:r>
        <w:rPr>
          <w:rFonts w:ascii="Arial" w:eastAsia="Arial" w:hAnsi="Arial" w:cs="Arial"/>
        </w:rPr>
        <w:t xml:space="preserve"> (Gendreau; Loewy, 2011; Patil et al., 2015). Its estimated prevalence is approximately 70% among removable denture wearers (Manikandan </w:t>
      </w:r>
      <w:r>
        <w:rPr>
          <w:rFonts w:ascii="Arial" w:eastAsia="Arial" w:hAnsi="Arial" w:cs="Arial"/>
        </w:rPr>
        <w:t>et al., 2022). Despite its multifactorial etiology, DS is strongly associated with poor oral hygiene and the continuous use of complete or partial dentures, particularly during sleep (Bianchi et al., 2016; McReynolds et al., 2023; Ribeiro et al., 2024). Ge</w:t>
      </w:r>
      <w:r>
        <w:rPr>
          <w:rFonts w:ascii="Arial" w:eastAsia="Arial" w:hAnsi="Arial" w:cs="Arial"/>
        </w:rPr>
        <w:t>nerally, DS is asymptomatic; however, some patients may report symptoms such as burning sensation or taste alterations (</w:t>
      </w:r>
      <w:proofErr w:type="spellStart"/>
      <w:r>
        <w:rPr>
          <w:rFonts w:ascii="Arial" w:eastAsia="Arial" w:hAnsi="Arial" w:cs="Arial"/>
        </w:rPr>
        <w:t>Altarawneh</w:t>
      </w:r>
      <w:proofErr w:type="spellEnd"/>
      <w:r>
        <w:rPr>
          <w:rFonts w:ascii="Arial" w:eastAsia="Arial" w:hAnsi="Arial" w:cs="Arial"/>
        </w:rPr>
        <w:t xml:space="preserve"> et al., 2012; Bianchi et al., 2016; Gendreau; Loewy, 2011; McReynolds et al., 2023).</w:t>
      </w:r>
    </w:p>
    <w:p w14:paraId="61298AC1" w14:textId="77777777" w:rsidR="00F773C7" w:rsidRDefault="00F773C7">
      <w:pPr>
        <w:pBdr>
          <w:top w:val="nil"/>
          <w:left w:val="nil"/>
          <w:bottom w:val="nil"/>
          <w:right w:val="nil"/>
          <w:between w:val="nil"/>
        </w:pBdr>
        <w:jc w:val="both"/>
        <w:rPr>
          <w:rFonts w:ascii="Arial" w:eastAsia="Arial" w:hAnsi="Arial" w:cs="Arial"/>
          <w:color w:val="000000"/>
        </w:rPr>
      </w:pPr>
    </w:p>
    <w:p w14:paraId="11BD00D5"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The management of denture stomatitis (D</w:t>
      </w:r>
      <w:r>
        <w:rPr>
          <w:rFonts w:ascii="Arial" w:eastAsia="Arial" w:hAnsi="Arial" w:cs="Arial"/>
        </w:rPr>
        <w:t xml:space="preserve">S) may include topical or systemic antifungal treatments, combined with patient instructions on denture biofilm cleaning and disinfection. </w:t>
      </w:r>
      <w:r>
        <w:rPr>
          <w:rFonts w:ascii="Arial" w:eastAsia="Arial" w:hAnsi="Arial" w:cs="Arial"/>
        </w:rPr>
        <w:lastRenderedPageBreak/>
        <w:t>Nystatin and miconazole are the main topical agents used to relieve signs and symptoms. For recurrent infections or i</w:t>
      </w:r>
      <w:r>
        <w:rPr>
          <w:rFonts w:ascii="Arial" w:eastAsia="Arial" w:hAnsi="Arial" w:cs="Arial"/>
        </w:rPr>
        <w:t>n immunocompromised patients, systemic antifungals such as fluconazole, itraconazole, and amphotericin B may be prescribed (Hilgert et al., 2016). It is crucial to emphasize the growing resistance of several microorganisms to antimicrobial agents. In addit</w:t>
      </w:r>
      <w:r>
        <w:rPr>
          <w:rFonts w:ascii="Arial" w:eastAsia="Arial" w:hAnsi="Arial" w:cs="Arial"/>
        </w:rPr>
        <w:t>ion, antifungals are associated with significant hepatotoxic effects, particularly with repeated administrations (Badaró et al., 2020).</w:t>
      </w:r>
    </w:p>
    <w:p w14:paraId="1AD5A261" w14:textId="77777777" w:rsidR="00F773C7" w:rsidRDefault="00F773C7">
      <w:pPr>
        <w:pBdr>
          <w:top w:val="nil"/>
          <w:left w:val="nil"/>
          <w:bottom w:val="nil"/>
          <w:right w:val="nil"/>
          <w:between w:val="nil"/>
        </w:pBdr>
        <w:jc w:val="both"/>
        <w:rPr>
          <w:rFonts w:ascii="Arial" w:eastAsia="Arial" w:hAnsi="Arial" w:cs="Arial"/>
        </w:rPr>
      </w:pPr>
    </w:p>
    <w:p w14:paraId="10C32328"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As an alternative to conventional drugs, some studies have suggested the use of certain medicinal plants, with proven </w:t>
      </w:r>
      <w:r>
        <w:rPr>
          <w:rFonts w:ascii="Arial" w:eastAsia="Arial" w:hAnsi="Arial" w:cs="Arial"/>
        </w:rPr>
        <w:t>antimicrobial effects, for the management and prevention of oral candidiasis, through physical and chemical denture hygiene strategies (Badaró et al., 2020; Barreto et al., 2021; Patel et al., 2008; Pérez-Nicolas et al., 2023; Veilleux; Grenier, 2019; Vill</w:t>
      </w:r>
      <w:r>
        <w:rPr>
          <w:rFonts w:ascii="Arial" w:eastAsia="Arial" w:hAnsi="Arial" w:cs="Arial"/>
        </w:rPr>
        <w:t>alta et al., 2006).</w:t>
      </w:r>
    </w:p>
    <w:p w14:paraId="292866B0" w14:textId="77777777" w:rsidR="00F773C7" w:rsidRDefault="00F773C7">
      <w:pPr>
        <w:pBdr>
          <w:top w:val="nil"/>
          <w:left w:val="nil"/>
          <w:bottom w:val="nil"/>
          <w:right w:val="nil"/>
          <w:between w:val="nil"/>
        </w:pBdr>
        <w:jc w:val="both"/>
        <w:rPr>
          <w:rFonts w:ascii="Arial" w:eastAsia="Arial" w:hAnsi="Arial" w:cs="Arial"/>
        </w:rPr>
      </w:pPr>
    </w:p>
    <w:p w14:paraId="0DF8276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An example of this is </w:t>
      </w:r>
      <w:r>
        <w:rPr>
          <w:rFonts w:ascii="Arial" w:eastAsia="Arial" w:hAnsi="Arial" w:cs="Arial"/>
          <w:i/>
        </w:rPr>
        <w:t>Punica granatum</w:t>
      </w:r>
      <w:r>
        <w:rPr>
          <w:rFonts w:ascii="Arial" w:eastAsia="Arial" w:hAnsi="Arial" w:cs="Arial"/>
        </w:rPr>
        <w:t xml:space="preserve"> Linné, commonly known as pomegranate, which has shown a potent fungicidal effect against Candida species for the prevention and treatment of denture stomatitis (Almeida et al., 2018; Singh et al., </w:t>
      </w:r>
      <w:r>
        <w:rPr>
          <w:rFonts w:ascii="Arial" w:eastAsia="Arial" w:hAnsi="Arial" w:cs="Arial"/>
        </w:rPr>
        <w:t>2002; Vasconcelos et al., 2006; Vasconcelos et al., 2003), even at relatively low concentrations (6.25%) of the fruit peel extract (Vasconcelos et al., 2006).</w:t>
      </w:r>
    </w:p>
    <w:p w14:paraId="040CA6D6" w14:textId="77777777" w:rsidR="00F773C7" w:rsidRDefault="00F773C7">
      <w:pPr>
        <w:pBdr>
          <w:top w:val="nil"/>
          <w:left w:val="nil"/>
          <w:bottom w:val="nil"/>
          <w:right w:val="nil"/>
          <w:between w:val="nil"/>
        </w:pBdr>
        <w:jc w:val="both"/>
        <w:rPr>
          <w:rFonts w:ascii="Arial" w:eastAsia="Arial" w:hAnsi="Arial" w:cs="Arial"/>
        </w:rPr>
      </w:pPr>
    </w:p>
    <w:p w14:paraId="7469225A"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Several denture cleaning methods are available on the market; however, brushing remains the simp</w:t>
      </w:r>
      <w:r>
        <w:rPr>
          <w:rFonts w:ascii="Arial" w:eastAsia="Arial" w:hAnsi="Arial" w:cs="Arial"/>
        </w:rPr>
        <w:t xml:space="preserve">lest and most cost-effective method. It is known that brushing can lead to mass loss and increased surface roughness of acrylic resin over time (Campos et al., 2023; Fouda et al., 2025), which may promote plaque retention, loss of gloss and smoothness, as </w:t>
      </w:r>
      <w:r>
        <w:rPr>
          <w:rFonts w:ascii="Arial" w:eastAsia="Arial" w:hAnsi="Arial" w:cs="Arial"/>
        </w:rPr>
        <w:t>well as facilitate denture staining. Thus, the availability of a dentifrice with low abrasiveness and natural-origin fungicidal properties appears to be an interesting product for the hygiene of complete dentures.</w:t>
      </w:r>
    </w:p>
    <w:p w14:paraId="0057C2E5" w14:textId="77777777" w:rsidR="00F773C7" w:rsidRDefault="00F773C7">
      <w:pPr>
        <w:pBdr>
          <w:top w:val="nil"/>
          <w:left w:val="nil"/>
          <w:bottom w:val="nil"/>
          <w:right w:val="nil"/>
          <w:between w:val="nil"/>
        </w:pBdr>
        <w:jc w:val="both"/>
        <w:rPr>
          <w:rFonts w:ascii="Arial" w:eastAsia="Arial" w:hAnsi="Arial" w:cs="Arial"/>
        </w:rPr>
      </w:pPr>
    </w:p>
    <w:p w14:paraId="41DC89C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Hence, the present study sought to invest</w:t>
      </w:r>
      <w:r>
        <w:rPr>
          <w:rFonts w:ascii="Arial" w:eastAsia="Arial" w:hAnsi="Arial" w:cs="Arial"/>
        </w:rPr>
        <w:t xml:space="preserve">igate the impact of brushing heat-polymerized acrylic resin samples with an experimental dentifrice containing 6.25% </w:t>
      </w:r>
      <w:r>
        <w:rPr>
          <w:rFonts w:ascii="Arial" w:eastAsia="Arial" w:hAnsi="Arial" w:cs="Arial"/>
          <w:i/>
        </w:rPr>
        <w:t>Punica granatum</w:t>
      </w:r>
      <w:r>
        <w:rPr>
          <w:rFonts w:ascii="Arial" w:eastAsia="Arial" w:hAnsi="Arial" w:cs="Arial"/>
        </w:rPr>
        <w:t xml:space="preserve"> Linné peel extract on microhardness, surface roughness, mass loss, and color stability. The null hypothesis adopted was tha</w:t>
      </w:r>
      <w:r>
        <w:rPr>
          <w:rFonts w:ascii="Arial" w:eastAsia="Arial" w:hAnsi="Arial" w:cs="Arial"/>
        </w:rPr>
        <w:t>t brushing with the experimental pomegranate dentifrice would not differ from brushing with conventional dentifrices for any of the aforementioned parameters.</w:t>
      </w:r>
    </w:p>
    <w:p w14:paraId="449DA4A7" w14:textId="77777777" w:rsidR="00F773C7" w:rsidRDefault="00F773C7">
      <w:pPr>
        <w:pBdr>
          <w:top w:val="nil"/>
          <w:left w:val="nil"/>
          <w:bottom w:val="nil"/>
          <w:right w:val="nil"/>
          <w:between w:val="nil"/>
        </w:pBdr>
        <w:jc w:val="both"/>
        <w:rPr>
          <w:rFonts w:ascii="Arial" w:eastAsia="Arial" w:hAnsi="Arial" w:cs="Arial"/>
        </w:rPr>
      </w:pPr>
    </w:p>
    <w:p w14:paraId="6EC28656" w14:textId="77777777" w:rsidR="00F773C7" w:rsidRDefault="00F773C7">
      <w:pPr>
        <w:pBdr>
          <w:top w:val="nil"/>
          <w:left w:val="nil"/>
          <w:bottom w:val="nil"/>
          <w:right w:val="nil"/>
          <w:between w:val="nil"/>
        </w:pBdr>
        <w:jc w:val="both"/>
        <w:rPr>
          <w:rFonts w:ascii="Arial" w:eastAsia="Arial" w:hAnsi="Arial" w:cs="Arial"/>
        </w:rPr>
      </w:pPr>
    </w:p>
    <w:p w14:paraId="74BDF4A6" w14:textId="77777777" w:rsidR="00F773C7" w:rsidRDefault="00AD7B7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MATERIAL AND METHODS</w:t>
      </w:r>
    </w:p>
    <w:p w14:paraId="365F7D17" w14:textId="77777777" w:rsidR="00F773C7" w:rsidRDefault="00F773C7">
      <w:pPr>
        <w:pBdr>
          <w:top w:val="nil"/>
          <w:left w:val="nil"/>
          <w:bottom w:val="nil"/>
          <w:right w:val="nil"/>
          <w:between w:val="nil"/>
        </w:pBdr>
        <w:jc w:val="both"/>
        <w:rPr>
          <w:rFonts w:ascii="Arial" w:eastAsia="Arial" w:hAnsi="Arial" w:cs="Arial"/>
          <w:color w:val="000000"/>
        </w:rPr>
      </w:pPr>
    </w:p>
    <w:p w14:paraId="084EADB5"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2.1 </w:t>
      </w:r>
      <w:r>
        <w:rPr>
          <w:rFonts w:ascii="Arial" w:eastAsia="Arial" w:hAnsi="Arial" w:cs="Arial"/>
          <w:b/>
          <w:sz w:val="22"/>
          <w:szCs w:val="22"/>
        </w:rPr>
        <w:t>Experimental design</w:t>
      </w:r>
    </w:p>
    <w:p w14:paraId="4D6A9DC5" w14:textId="77777777" w:rsidR="00F773C7" w:rsidRDefault="00F773C7">
      <w:pPr>
        <w:pBdr>
          <w:top w:val="nil"/>
          <w:left w:val="nil"/>
          <w:bottom w:val="nil"/>
          <w:right w:val="nil"/>
          <w:between w:val="nil"/>
        </w:pBdr>
        <w:jc w:val="both"/>
        <w:rPr>
          <w:rFonts w:ascii="Arial" w:eastAsia="Arial" w:hAnsi="Arial" w:cs="Arial"/>
        </w:rPr>
      </w:pPr>
    </w:p>
    <w:p w14:paraId="0E335E1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This randomized in vitro study was conducted </w:t>
      </w:r>
      <w:r>
        <w:rPr>
          <w:rFonts w:ascii="Arial" w:eastAsia="Arial" w:hAnsi="Arial" w:cs="Arial"/>
        </w:rPr>
        <w:t>to evaluate the effects of brushing with a pomegranate-based experimental dentifrice on heat-polymerized acrylic resin specimens. A total of 30 samples were prepared and randomly allocated into three groups (n = 10 each): a negative control group (specimen</w:t>
      </w:r>
      <w:r>
        <w:rPr>
          <w:rFonts w:ascii="Arial" w:eastAsia="Arial" w:hAnsi="Arial" w:cs="Arial"/>
        </w:rPr>
        <w:t>s brushed with distilled water); a positive control group (specimens brushed with a low-cost commercial dentifrice not specifically designed for dentures); and the experimental group (specimens brushed with the pomegranate-based experimental dentifrice).</w:t>
      </w:r>
    </w:p>
    <w:p w14:paraId="63AC814C" w14:textId="77777777" w:rsidR="00F773C7" w:rsidRDefault="00F773C7">
      <w:pPr>
        <w:pBdr>
          <w:top w:val="nil"/>
          <w:left w:val="nil"/>
          <w:bottom w:val="nil"/>
          <w:right w:val="nil"/>
          <w:between w:val="nil"/>
        </w:pBdr>
        <w:jc w:val="both"/>
        <w:rPr>
          <w:rFonts w:ascii="Arial" w:eastAsia="Arial" w:hAnsi="Arial" w:cs="Arial"/>
        </w:rPr>
      </w:pPr>
    </w:p>
    <w:p w14:paraId="6BE9399E"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Subsequently, the specimens underwent a brushing regimen in a mechanical simulator for a period corresponding to 60 months. Before and after the simulated brushing, the specimens were weighed using an analytical balance and assessed for surface roughness, </w:t>
      </w:r>
      <w:r>
        <w:rPr>
          <w:rFonts w:ascii="Arial" w:eastAsia="Arial" w:hAnsi="Arial" w:cs="Arial"/>
        </w:rPr>
        <w:t>Knoop microhardness, and color change. The experimental workflow is illustrated in Figure 1.</w:t>
      </w:r>
    </w:p>
    <w:p w14:paraId="6D5449A6" w14:textId="77777777" w:rsidR="00F773C7" w:rsidRDefault="00F773C7">
      <w:pPr>
        <w:pBdr>
          <w:top w:val="nil"/>
          <w:left w:val="nil"/>
          <w:bottom w:val="nil"/>
          <w:right w:val="nil"/>
          <w:between w:val="nil"/>
        </w:pBdr>
        <w:jc w:val="both"/>
        <w:rPr>
          <w:rFonts w:ascii="Arial" w:eastAsia="Arial" w:hAnsi="Arial" w:cs="Arial"/>
        </w:rPr>
      </w:pPr>
    </w:p>
    <w:p w14:paraId="559A4AD5"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2.2 </w:t>
      </w:r>
      <w:r>
        <w:rPr>
          <w:rFonts w:ascii="Arial" w:eastAsia="Arial" w:hAnsi="Arial" w:cs="Arial"/>
          <w:b/>
          <w:sz w:val="22"/>
          <w:szCs w:val="22"/>
        </w:rPr>
        <w:t>Specimens Preparation</w:t>
      </w:r>
    </w:p>
    <w:p w14:paraId="1B35AC04" w14:textId="77777777" w:rsidR="00F773C7" w:rsidRDefault="00F773C7">
      <w:pPr>
        <w:jc w:val="both"/>
        <w:rPr>
          <w:rFonts w:ascii="Arial" w:eastAsia="Arial" w:hAnsi="Arial" w:cs="Arial"/>
          <w:b/>
          <w:sz w:val="22"/>
          <w:szCs w:val="22"/>
        </w:rPr>
      </w:pPr>
    </w:p>
    <w:p w14:paraId="7514D8BC"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lastRenderedPageBreak/>
        <w:t>Thirty heat-polymerized acrylic resin specimens were fabricated in a rectangular shape with average dimensions of 30 × 20 × 5 mm. The specimens were obtained from plaster molds prepared within flasks. To create the molds, rectangular silicone matrices were</w:t>
      </w:r>
      <w:r>
        <w:rPr>
          <w:rFonts w:ascii="Arial" w:eastAsia="Arial" w:hAnsi="Arial" w:cs="Arial"/>
        </w:rPr>
        <w:t xml:space="preserve"> produced using </w:t>
      </w:r>
      <w:proofErr w:type="spellStart"/>
      <w:r>
        <w:rPr>
          <w:rFonts w:ascii="Arial" w:eastAsia="Arial" w:hAnsi="Arial" w:cs="Arial"/>
        </w:rPr>
        <w:t>Zetaplus</w:t>
      </w:r>
      <w:proofErr w:type="spellEnd"/>
      <w:r>
        <w:rPr>
          <w:rFonts w:ascii="Arial" w:eastAsia="Arial" w:hAnsi="Arial" w:cs="Arial"/>
        </w:rPr>
        <w:t xml:space="preserve"> (</w:t>
      </w:r>
      <w:proofErr w:type="spellStart"/>
      <w:r>
        <w:rPr>
          <w:rFonts w:ascii="Arial" w:eastAsia="Arial" w:hAnsi="Arial" w:cs="Arial"/>
        </w:rPr>
        <w:t>Zhermack</w:t>
      </w:r>
      <w:proofErr w:type="spellEnd"/>
      <w:r>
        <w:rPr>
          <w:rFonts w:ascii="Arial" w:eastAsia="Arial" w:hAnsi="Arial" w:cs="Arial"/>
        </w:rPr>
        <w:t xml:space="preserve"> </w:t>
      </w:r>
      <w:proofErr w:type="spellStart"/>
      <w:r>
        <w:rPr>
          <w:rFonts w:ascii="Arial" w:eastAsia="Arial" w:hAnsi="Arial" w:cs="Arial"/>
        </w:rPr>
        <w:t>SpA</w:t>
      </w:r>
      <w:proofErr w:type="spellEnd"/>
      <w:r>
        <w:rPr>
          <w:rFonts w:ascii="Arial" w:eastAsia="Arial" w:hAnsi="Arial" w:cs="Arial"/>
        </w:rPr>
        <w:t xml:space="preserve">, </w:t>
      </w:r>
      <w:proofErr w:type="spellStart"/>
      <w:r>
        <w:rPr>
          <w:rFonts w:ascii="Arial" w:eastAsia="Arial" w:hAnsi="Arial" w:cs="Arial"/>
        </w:rPr>
        <w:t>Badia</w:t>
      </w:r>
      <w:proofErr w:type="spellEnd"/>
      <w:r>
        <w:rPr>
          <w:rFonts w:ascii="Arial" w:eastAsia="Arial" w:hAnsi="Arial" w:cs="Arial"/>
        </w:rPr>
        <w:t xml:space="preserve"> </w:t>
      </w:r>
      <w:proofErr w:type="spellStart"/>
      <w:r>
        <w:rPr>
          <w:rFonts w:ascii="Arial" w:eastAsia="Arial" w:hAnsi="Arial" w:cs="Arial"/>
        </w:rPr>
        <w:t>Polesine</w:t>
      </w:r>
      <w:proofErr w:type="spellEnd"/>
      <w:r>
        <w:rPr>
          <w:rFonts w:ascii="Arial" w:eastAsia="Arial" w:hAnsi="Arial" w:cs="Arial"/>
        </w:rPr>
        <w:t>, RO, Italy). These matrices were then embedded in type IV dental stone (</w:t>
      </w:r>
      <w:proofErr w:type="spellStart"/>
      <w:r>
        <w:rPr>
          <w:rFonts w:ascii="Arial" w:eastAsia="Arial" w:hAnsi="Arial" w:cs="Arial"/>
        </w:rPr>
        <w:t>Densite</w:t>
      </w:r>
      <w:proofErr w:type="spellEnd"/>
      <w:r>
        <w:rPr>
          <w:rFonts w:ascii="Arial" w:eastAsia="Arial" w:hAnsi="Arial" w:cs="Arial"/>
        </w:rPr>
        <w:t xml:space="preserve">, Dentsply Ind. Com. Ltda., </w:t>
      </w:r>
      <w:proofErr w:type="spellStart"/>
      <w:r>
        <w:rPr>
          <w:rFonts w:ascii="Arial" w:eastAsia="Arial" w:hAnsi="Arial" w:cs="Arial"/>
        </w:rPr>
        <w:t>Petrópolis</w:t>
      </w:r>
      <w:proofErr w:type="spellEnd"/>
      <w:r>
        <w:rPr>
          <w:rFonts w:ascii="Arial" w:eastAsia="Arial" w:hAnsi="Arial" w:cs="Arial"/>
        </w:rPr>
        <w:t>, RJ, Brazil). After the stone had set, its surface was treated with a separating me</w:t>
      </w:r>
      <w:r>
        <w:rPr>
          <w:rFonts w:ascii="Arial" w:eastAsia="Arial" w:hAnsi="Arial" w:cs="Arial"/>
        </w:rPr>
        <w:t>dium (</w:t>
      </w:r>
      <w:proofErr w:type="spellStart"/>
      <w:r>
        <w:rPr>
          <w:rFonts w:ascii="Arial" w:eastAsia="Arial" w:hAnsi="Arial" w:cs="Arial"/>
        </w:rPr>
        <w:t>Cel</w:t>
      </w:r>
      <w:proofErr w:type="spellEnd"/>
      <w:r>
        <w:rPr>
          <w:rFonts w:ascii="Arial" w:eastAsia="Arial" w:hAnsi="Arial" w:cs="Arial"/>
        </w:rPr>
        <w:t xml:space="preserve">-Lac, SS White </w:t>
      </w:r>
      <w:proofErr w:type="spellStart"/>
      <w:r>
        <w:rPr>
          <w:rFonts w:ascii="Arial" w:eastAsia="Arial" w:hAnsi="Arial" w:cs="Arial"/>
        </w:rPr>
        <w:t>Artigos</w:t>
      </w:r>
      <w:proofErr w:type="spellEnd"/>
      <w:r>
        <w:rPr>
          <w:rFonts w:ascii="Arial" w:eastAsia="Arial" w:hAnsi="Arial" w:cs="Arial"/>
        </w:rPr>
        <w:t xml:space="preserve"> </w:t>
      </w:r>
      <w:proofErr w:type="spellStart"/>
      <w:r>
        <w:rPr>
          <w:rFonts w:ascii="Arial" w:eastAsia="Arial" w:hAnsi="Arial" w:cs="Arial"/>
        </w:rPr>
        <w:t>Odontológicos</w:t>
      </w:r>
      <w:proofErr w:type="spellEnd"/>
      <w:r>
        <w:rPr>
          <w:rFonts w:ascii="Arial" w:eastAsia="Arial" w:hAnsi="Arial" w:cs="Arial"/>
        </w:rPr>
        <w:t xml:space="preserve"> Ltda., Rio de Janeiro, RJ, Brazil). The counter-mold was filled with an additional portion of stone poured over the matrices, and the flask was compressed for approximately 40 minutes. Upon opening the flask, t</w:t>
      </w:r>
      <w:r>
        <w:rPr>
          <w:rFonts w:ascii="Arial" w:eastAsia="Arial" w:hAnsi="Arial" w:cs="Arial"/>
        </w:rPr>
        <w:t>he matrices were removed, leaving the plaster molds.</w:t>
      </w:r>
    </w:p>
    <w:p w14:paraId="3BCBA8D8" w14:textId="77777777" w:rsidR="00F773C7" w:rsidRDefault="00F773C7">
      <w:pPr>
        <w:pBdr>
          <w:top w:val="nil"/>
          <w:left w:val="nil"/>
          <w:bottom w:val="nil"/>
          <w:right w:val="nil"/>
          <w:between w:val="nil"/>
        </w:pBdr>
        <w:jc w:val="both"/>
        <w:rPr>
          <w:rFonts w:ascii="Arial" w:eastAsia="Arial" w:hAnsi="Arial" w:cs="Arial"/>
        </w:rPr>
      </w:pPr>
    </w:p>
    <w:p w14:paraId="0F194CC0"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The acrylic resin (</w:t>
      </w:r>
      <w:proofErr w:type="spellStart"/>
      <w:r>
        <w:rPr>
          <w:rFonts w:ascii="Arial" w:eastAsia="Arial" w:hAnsi="Arial" w:cs="Arial"/>
        </w:rPr>
        <w:t>Artigos</w:t>
      </w:r>
      <w:proofErr w:type="spellEnd"/>
      <w:r>
        <w:rPr>
          <w:rFonts w:ascii="Arial" w:eastAsia="Arial" w:hAnsi="Arial" w:cs="Arial"/>
        </w:rPr>
        <w:t xml:space="preserve"> </w:t>
      </w:r>
      <w:proofErr w:type="spellStart"/>
      <w:r>
        <w:rPr>
          <w:rFonts w:ascii="Arial" w:eastAsia="Arial" w:hAnsi="Arial" w:cs="Arial"/>
        </w:rPr>
        <w:t>Odontológicos</w:t>
      </w:r>
      <w:proofErr w:type="spellEnd"/>
      <w:r>
        <w:rPr>
          <w:rFonts w:ascii="Arial" w:eastAsia="Arial" w:hAnsi="Arial" w:cs="Arial"/>
        </w:rPr>
        <w:t xml:space="preserve"> – </w:t>
      </w:r>
      <w:proofErr w:type="spellStart"/>
      <w:r>
        <w:rPr>
          <w:rFonts w:ascii="Arial" w:eastAsia="Arial" w:hAnsi="Arial" w:cs="Arial"/>
        </w:rPr>
        <w:t>Clássico</w:t>
      </w:r>
      <w:proofErr w:type="spellEnd"/>
      <w:r>
        <w:rPr>
          <w:rFonts w:ascii="Arial" w:eastAsia="Arial" w:hAnsi="Arial" w:cs="Arial"/>
        </w:rPr>
        <w:t xml:space="preserve">, Campo </w:t>
      </w:r>
      <w:proofErr w:type="spellStart"/>
      <w:r>
        <w:rPr>
          <w:rFonts w:ascii="Arial" w:eastAsia="Arial" w:hAnsi="Arial" w:cs="Arial"/>
        </w:rPr>
        <w:t>Limpo</w:t>
      </w:r>
      <w:proofErr w:type="spellEnd"/>
      <w:r>
        <w:rPr>
          <w:rFonts w:ascii="Arial" w:eastAsia="Arial" w:hAnsi="Arial" w:cs="Arial"/>
        </w:rPr>
        <w:t xml:space="preserve"> </w:t>
      </w:r>
      <w:proofErr w:type="spellStart"/>
      <w:r>
        <w:rPr>
          <w:rFonts w:ascii="Arial" w:eastAsia="Arial" w:hAnsi="Arial" w:cs="Arial"/>
        </w:rPr>
        <w:t>Paulista</w:t>
      </w:r>
      <w:proofErr w:type="spellEnd"/>
      <w:r>
        <w:rPr>
          <w:rFonts w:ascii="Arial" w:eastAsia="Arial" w:hAnsi="Arial" w:cs="Arial"/>
        </w:rPr>
        <w:t>, SP, Brazil) was mixed at a ratio of 10 g of powder to 10 ml of liquid. The mixture was placed into the flask during its plastic</w:t>
      </w:r>
      <w:r>
        <w:rPr>
          <w:rFonts w:ascii="Arial" w:eastAsia="Arial" w:hAnsi="Arial" w:cs="Arial"/>
        </w:rPr>
        <w:t xml:space="preserve"> phase, and the flask was subsequently compressed again. The assembly was then immersed in hot water to initiate the heat-polymerization process. After the resin had set, the rectangular specimens were removed for finishing and polishing. Polishing was per</w:t>
      </w:r>
      <w:r>
        <w:rPr>
          <w:rFonts w:ascii="Arial" w:eastAsia="Arial" w:hAnsi="Arial" w:cs="Arial"/>
        </w:rPr>
        <w:t>formed using a polishing machine (</w:t>
      </w:r>
      <w:proofErr w:type="spellStart"/>
      <w:r>
        <w:rPr>
          <w:rFonts w:ascii="Arial" w:eastAsia="Arial" w:hAnsi="Arial" w:cs="Arial"/>
        </w:rPr>
        <w:t>Aropol</w:t>
      </w:r>
      <w:proofErr w:type="spellEnd"/>
      <w:r>
        <w:rPr>
          <w:rFonts w:ascii="Arial" w:eastAsia="Arial" w:hAnsi="Arial" w:cs="Arial"/>
        </w:rPr>
        <w:t xml:space="preserve"> 2V, </w:t>
      </w:r>
      <w:proofErr w:type="spellStart"/>
      <w:r>
        <w:rPr>
          <w:rFonts w:ascii="Arial" w:eastAsia="Arial" w:hAnsi="Arial" w:cs="Arial"/>
        </w:rPr>
        <w:t>Arotec</w:t>
      </w:r>
      <w:proofErr w:type="spellEnd"/>
      <w:r>
        <w:rPr>
          <w:rFonts w:ascii="Arial" w:eastAsia="Arial" w:hAnsi="Arial" w:cs="Arial"/>
        </w:rPr>
        <w:t xml:space="preserve"> </w:t>
      </w:r>
      <w:proofErr w:type="spellStart"/>
      <w:r>
        <w:rPr>
          <w:rFonts w:ascii="Arial" w:eastAsia="Arial" w:hAnsi="Arial" w:cs="Arial"/>
        </w:rPr>
        <w:t>Indústria</w:t>
      </w:r>
      <w:proofErr w:type="spellEnd"/>
      <w:r>
        <w:rPr>
          <w:rFonts w:ascii="Arial" w:eastAsia="Arial" w:hAnsi="Arial" w:cs="Arial"/>
        </w:rPr>
        <w:t xml:space="preserve"> e Comércio, Cotia, Brazil) with water sandpapers of varying grits (Norton Indústria Brasileira, São Paulo, Brazil) – 600, 1200, and 2000 – each applied for one minute. Felt discs with pumice pas</w:t>
      </w:r>
      <w:r>
        <w:rPr>
          <w:rFonts w:ascii="Arial" w:eastAsia="Arial" w:hAnsi="Arial" w:cs="Arial"/>
        </w:rPr>
        <w:t>te were also used during the polishing procedure. All materials used in the fabrication of the specimens were handled according to the manufacturers' instructions.</w:t>
      </w:r>
    </w:p>
    <w:p w14:paraId="58A212E7" w14:textId="77777777" w:rsidR="00F773C7" w:rsidRDefault="00F773C7">
      <w:pPr>
        <w:pBdr>
          <w:top w:val="nil"/>
          <w:left w:val="nil"/>
          <w:bottom w:val="nil"/>
          <w:right w:val="nil"/>
          <w:between w:val="nil"/>
        </w:pBdr>
        <w:jc w:val="both"/>
        <w:rPr>
          <w:rFonts w:ascii="Arial" w:eastAsia="Arial" w:hAnsi="Arial" w:cs="Arial"/>
        </w:rPr>
      </w:pPr>
    </w:p>
    <w:p w14:paraId="5CBC07C0" w14:textId="77777777" w:rsidR="00F773C7" w:rsidRDefault="00F773C7">
      <w:pPr>
        <w:pBdr>
          <w:top w:val="nil"/>
          <w:left w:val="nil"/>
          <w:bottom w:val="nil"/>
          <w:right w:val="nil"/>
          <w:between w:val="nil"/>
        </w:pBdr>
        <w:jc w:val="both"/>
        <w:rPr>
          <w:rFonts w:ascii="Arial" w:eastAsia="Arial" w:hAnsi="Arial" w:cs="Arial"/>
        </w:rPr>
      </w:pPr>
    </w:p>
    <w:p w14:paraId="348236CE" w14:textId="77777777" w:rsidR="00F773C7" w:rsidRDefault="00F773C7">
      <w:pPr>
        <w:pBdr>
          <w:top w:val="nil"/>
          <w:left w:val="nil"/>
          <w:bottom w:val="nil"/>
          <w:right w:val="nil"/>
          <w:between w:val="nil"/>
        </w:pBdr>
        <w:jc w:val="both"/>
        <w:rPr>
          <w:rFonts w:ascii="Arial" w:eastAsia="Arial" w:hAnsi="Arial" w:cs="Arial"/>
        </w:rPr>
      </w:pPr>
    </w:p>
    <w:p w14:paraId="027D3F74" w14:textId="77777777" w:rsidR="00F773C7" w:rsidRDefault="00AD7B73">
      <w:pPr>
        <w:pBdr>
          <w:top w:val="nil"/>
          <w:left w:val="nil"/>
          <w:bottom w:val="nil"/>
          <w:right w:val="nil"/>
          <w:between w:val="nil"/>
        </w:pBdr>
        <w:jc w:val="center"/>
        <w:rPr>
          <w:rFonts w:ascii="Arial" w:eastAsia="Arial" w:hAnsi="Arial" w:cs="Arial"/>
        </w:rPr>
      </w:pPr>
      <w:r>
        <w:rPr>
          <w:rFonts w:ascii="Arial" w:eastAsia="Arial" w:hAnsi="Arial" w:cs="Arial"/>
          <w:noProof/>
        </w:rPr>
        <w:lastRenderedPageBreak/>
        <w:drawing>
          <wp:inline distT="114300" distB="114300" distL="114300" distR="114300" wp14:anchorId="1E9294F9" wp14:editId="7869D4D1">
            <wp:extent cx="5045302" cy="466248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045302" cy="4662488"/>
                    </a:xfrm>
                    <a:prstGeom prst="rect">
                      <a:avLst/>
                    </a:prstGeom>
                    <a:ln/>
                  </pic:spPr>
                </pic:pic>
              </a:graphicData>
            </a:graphic>
          </wp:inline>
        </w:drawing>
      </w:r>
    </w:p>
    <w:p w14:paraId="19F7E49D" w14:textId="77777777" w:rsidR="00F773C7" w:rsidRDefault="00AD7B73">
      <w:pPr>
        <w:jc w:val="both"/>
        <w:rPr>
          <w:rFonts w:ascii="Arial" w:eastAsia="Arial" w:hAnsi="Arial" w:cs="Arial"/>
          <w:b/>
        </w:rPr>
      </w:pPr>
      <w:r>
        <w:rPr>
          <w:rFonts w:ascii="Arial" w:eastAsia="Arial" w:hAnsi="Arial" w:cs="Arial"/>
          <w:b/>
        </w:rPr>
        <w:t xml:space="preserve">Fig. 1. Flow-chart of the in vitro study. Samples distributions for each analysis (n = </w:t>
      </w:r>
      <w:r>
        <w:rPr>
          <w:rFonts w:ascii="Arial" w:eastAsia="Arial" w:hAnsi="Arial" w:cs="Arial"/>
          <w:b/>
        </w:rPr>
        <w:t>10/group) by each analysis.</w:t>
      </w:r>
    </w:p>
    <w:p w14:paraId="560A199A" w14:textId="77777777" w:rsidR="00F773C7" w:rsidRDefault="00AD7B73">
      <w:pPr>
        <w:jc w:val="both"/>
        <w:rPr>
          <w:rFonts w:ascii="Arial" w:eastAsia="Arial" w:hAnsi="Arial" w:cs="Arial"/>
          <w:i/>
          <w:sz w:val="18"/>
          <w:szCs w:val="18"/>
        </w:rPr>
      </w:pPr>
      <w:r>
        <w:rPr>
          <w:rFonts w:ascii="Arial" w:eastAsia="Arial" w:hAnsi="Arial" w:cs="Arial"/>
          <w:i/>
          <w:sz w:val="18"/>
          <w:szCs w:val="18"/>
        </w:rPr>
        <w:t xml:space="preserve">Negative Control Group (DW) = Specimens brushed with distilled water; Positive Control Group (PD) = Specimens brushed with a commercially available, non-specific, low-cost denture toothpaste; Experimental Group (CD) = Specimens </w:t>
      </w:r>
      <w:r>
        <w:rPr>
          <w:rFonts w:ascii="Arial" w:eastAsia="Arial" w:hAnsi="Arial" w:cs="Arial"/>
          <w:i/>
          <w:sz w:val="18"/>
          <w:szCs w:val="18"/>
        </w:rPr>
        <w:t>brushed with an experimental pomegranate-based toothpaste with low abrasiveness (6.25% concentration)</w:t>
      </w:r>
    </w:p>
    <w:p w14:paraId="5C850D1F" w14:textId="77777777" w:rsidR="00F773C7" w:rsidRDefault="00F773C7">
      <w:pPr>
        <w:jc w:val="both"/>
        <w:rPr>
          <w:rFonts w:ascii="Arial" w:eastAsia="Arial" w:hAnsi="Arial" w:cs="Arial"/>
          <w:b/>
        </w:rPr>
      </w:pPr>
    </w:p>
    <w:p w14:paraId="775558D7"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2.3 </w:t>
      </w:r>
      <w:r>
        <w:rPr>
          <w:rFonts w:ascii="Arial" w:eastAsia="Arial" w:hAnsi="Arial" w:cs="Arial"/>
          <w:b/>
          <w:sz w:val="22"/>
          <w:szCs w:val="22"/>
        </w:rPr>
        <w:t>Tested Substances</w:t>
      </w:r>
    </w:p>
    <w:p w14:paraId="203E369B" w14:textId="77777777" w:rsidR="00F773C7" w:rsidRDefault="00F773C7">
      <w:pPr>
        <w:jc w:val="both"/>
        <w:rPr>
          <w:rFonts w:ascii="Arial" w:eastAsia="Arial" w:hAnsi="Arial" w:cs="Arial"/>
          <w:b/>
          <w:sz w:val="22"/>
          <w:szCs w:val="22"/>
        </w:rPr>
      </w:pPr>
    </w:p>
    <w:p w14:paraId="0DC18D96"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Experimental Dentifrice (PD Group): A dentifrice was developed using a hydroalcoholic extract derived from the peel of </w:t>
      </w:r>
      <w:r>
        <w:rPr>
          <w:rFonts w:ascii="Arial" w:eastAsia="Arial" w:hAnsi="Arial" w:cs="Arial"/>
          <w:i/>
        </w:rPr>
        <w:t>Punica gran</w:t>
      </w:r>
      <w:r>
        <w:rPr>
          <w:rFonts w:ascii="Arial" w:eastAsia="Arial" w:hAnsi="Arial" w:cs="Arial"/>
          <w:i/>
        </w:rPr>
        <w:t>atum</w:t>
      </w:r>
      <w:r>
        <w:rPr>
          <w:rFonts w:ascii="Arial" w:eastAsia="Arial" w:hAnsi="Arial" w:cs="Arial"/>
        </w:rPr>
        <w:t xml:space="preserve"> Linné fruit at a concentration of 6.25% (according to Invention Patent BR1020170212203, National Institute of Industrial Property, Federal University of Ceará, Brazil). The extract was provided by All Chemistry </w:t>
      </w:r>
      <w:proofErr w:type="spellStart"/>
      <w:r>
        <w:rPr>
          <w:rFonts w:ascii="Arial" w:eastAsia="Arial" w:hAnsi="Arial" w:cs="Arial"/>
        </w:rPr>
        <w:t>Brasil</w:t>
      </w:r>
      <w:proofErr w:type="spellEnd"/>
      <w:r>
        <w:rPr>
          <w:rFonts w:ascii="Arial" w:eastAsia="Arial" w:hAnsi="Arial" w:cs="Arial"/>
        </w:rPr>
        <w:t xml:space="preserve"> </w:t>
      </w:r>
      <w:proofErr w:type="spellStart"/>
      <w:r>
        <w:rPr>
          <w:rFonts w:ascii="Arial" w:eastAsia="Arial" w:hAnsi="Arial" w:cs="Arial"/>
        </w:rPr>
        <w:t>Ltda</w:t>
      </w:r>
      <w:proofErr w:type="spellEnd"/>
      <w:r>
        <w:rPr>
          <w:rFonts w:ascii="Arial" w:eastAsia="Arial" w:hAnsi="Arial" w:cs="Arial"/>
        </w:rPr>
        <w:t xml:space="preserve"> (R. </w:t>
      </w:r>
      <w:proofErr w:type="spellStart"/>
      <w:r>
        <w:rPr>
          <w:rFonts w:ascii="Arial" w:eastAsia="Arial" w:hAnsi="Arial" w:cs="Arial"/>
        </w:rPr>
        <w:t>Cocáis</w:t>
      </w:r>
      <w:proofErr w:type="spellEnd"/>
      <w:r>
        <w:rPr>
          <w:rFonts w:ascii="Arial" w:eastAsia="Arial" w:hAnsi="Arial" w:cs="Arial"/>
        </w:rPr>
        <w:t>, 300 - Jardim Ori</w:t>
      </w:r>
      <w:r>
        <w:rPr>
          <w:rFonts w:ascii="Arial" w:eastAsia="Arial" w:hAnsi="Arial" w:cs="Arial"/>
        </w:rPr>
        <w:t>ental, São Paulo - SP, ZIP 04347-190). The dentifrice formulation includes micronized calcium carbonate (noted for its low abrasiveness), glycerin, carboxymethylcellulose, nipagin, saccharin, sodium lauryl sulfate, menthol, peppermint flavor, and the hydro</w:t>
      </w:r>
      <w:r>
        <w:rPr>
          <w:rFonts w:ascii="Arial" w:eastAsia="Arial" w:hAnsi="Arial" w:cs="Arial"/>
        </w:rPr>
        <w:t>alcoholic pomegranate extract.</w:t>
      </w:r>
    </w:p>
    <w:p w14:paraId="55616C96" w14:textId="77777777" w:rsidR="00F773C7" w:rsidRDefault="00F773C7">
      <w:pPr>
        <w:pBdr>
          <w:top w:val="nil"/>
          <w:left w:val="nil"/>
          <w:bottom w:val="nil"/>
          <w:right w:val="nil"/>
          <w:between w:val="nil"/>
        </w:pBdr>
        <w:jc w:val="both"/>
        <w:rPr>
          <w:rFonts w:ascii="Arial" w:eastAsia="Arial" w:hAnsi="Arial" w:cs="Arial"/>
        </w:rPr>
      </w:pPr>
    </w:p>
    <w:p w14:paraId="158FA01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Commercial Dentifrice (CD Group): The selected commercial dentifrice was Even (produced by </w:t>
      </w:r>
      <w:proofErr w:type="spellStart"/>
      <w:r>
        <w:rPr>
          <w:rFonts w:ascii="Arial" w:eastAsia="Arial" w:hAnsi="Arial" w:cs="Arial"/>
        </w:rPr>
        <w:t>Indústrias</w:t>
      </w:r>
      <w:proofErr w:type="spellEnd"/>
      <w:r>
        <w:rPr>
          <w:rFonts w:ascii="Arial" w:eastAsia="Arial" w:hAnsi="Arial" w:cs="Arial"/>
        </w:rPr>
        <w:t xml:space="preserve"> </w:t>
      </w:r>
      <w:proofErr w:type="spellStart"/>
      <w:r>
        <w:rPr>
          <w:rFonts w:ascii="Arial" w:eastAsia="Arial" w:hAnsi="Arial" w:cs="Arial"/>
        </w:rPr>
        <w:t>Reunidas</w:t>
      </w:r>
      <w:proofErr w:type="spellEnd"/>
      <w:r>
        <w:rPr>
          <w:rFonts w:ascii="Arial" w:eastAsia="Arial" w:hAnsi="Arial" w:cs="Arial"/>
        </w:rPr>
        <w:t xml:space="preserve"> Raymundo da Fonte S/A, Vila Torres Galvão Paulista, PE, Brazil). Its list of ingredients includes propylparaben, </w:t>
      </w:r>
      <w:r>
        <w:rPr>
          <w:rFonts w:ascii="Arial" w:eastAsia="Arial" w:hAnsi="Arial" w:cs="Arial"/>
        </w:rPr>
        <w:t xml:space="preserve">calcium carbonate, sodium lauryl sulfate, flavoring agents, water, and sodium </w:t>
      </w:r>
      <w:proofErr w:type="spellStart"/>
      <w:r>
        <w:rPr>
          <w:rFonts w:ascii="Arial" w:eastAsia="Arial" w:hAnsi="Arial" w:cs="Arial"/>
        </w:rPr>
        <w:t>monofluorophosphate</w:t>
      </w:r>
      <w:proofErr w:type="spellEnd"/>
      <w:r>
        <w:rPr>
          <w:rFonts w:ascii="Arial" w:eastAsia="Arial" w:hAnsi="Arial" w:cs="Arial"/>
        </w:rPr>
        <w:t>.</w:t>
      </w:r>
    </w:p>
    <w:p w14:paraId="41FC8364" w14:textId="77777777" w:rsidR="00F773C7" w:rsidRDefault="00F773C7">
      <w:pPr>
        <w:pBdr>
          <w:top w:val="nil"/>
          <w:left w:val="nil"/>
          <w:bottom w:val="nil"/>
          <w:right w:val="nil"/>
          <w:between w:val="nil"/>
        </w:pBdr>
        <w:jc w:val="both"/>
        <w:rPr>
          <w:rFonts w:ascii="Arial" w:eastAsia="Arial" w:hAnsi="Arial" w:cs="Arial"/>
        </w:rPr>
      </w:pPr>
    </w:p>
    <w:p w14:paraId="0F497DA8"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Distilled Water (DW Group): For the negative control, specimens were treated with distilled water.</w:t>
      </w:r>
    </w:p>
    <w:p w14:paraId="11663FD8" w14:textId="77777777" w:rsidR="00F773C7" w:rsidRDefault="00F773C7">
      <w:pPr>
        <w:pBdr>
          <w:top w:val="nil"/>
          <w:left w:val="nil"/>
          <w:bottom w:val="nil"/>
          <w:right w:val="nil"/>
          <w:between w:val="nil"/>
        </w:pBdr>
        <w:jc w:val="both"/>
        <w:rPr>
          <w:rFonts w:ascii="Arial" w:eastAsia="Arial" w:hAnsi="Arial" w:cs="Arial"/>
        </w:rPr>
      </w:pPr>
    </w:p>
    <w:p w14:paraId="1AAC0296" w14:textId="77777777" w:rsidR="00F773C7" w:rsidRDefault="00AD7B73">
      <w:pPr>
        <w:jc w:val="both"/>
        <w:rPr>
          <w:rFonts w:ascii="Arial" w:eastAsia="Arial" w:hAnsi="Arial" w:cs="Arial"/>
        </w:rPr>
      </w:pPr>
      <w:r>
        <w:rPr>
          <w:rFonts w:ascii="Arial" w:eastAsia="Arial" w:hAnsi="Arial" w:cs="Arial"/>
          <w:b/>
          <w:smallCaps/>
          <w:sz w:val="22"/>
          <w:szCs w:val="22"/>
        </w:rPr>
        <w:t xml:space="preserve">2.4 </w:t>
      </w:r>
      <w:r>
        <w:rPr>
          <w:rFonts w:ascii="Arial" w:eastAsia="Arial" w:hAnsi="Arial" w:cs="Arial"/>
          <w:b/>
          <w:sz w:val="22"/>
          <w:szCs w:val="22"/>
        </w:rPr>
        <w:t>Brushing Test</w:t>
      </w:r>
    </w:p>
    <w:p w14:paraId="53EBE20C" w14:textId="77777777" w:rsidR="00F773C7" w:rsidRDefault="00F773C7">
      <w:pPr>
        <w:pBdr>
          <w:top w:val="nil"/>
          <w:left w:val="nil"/>
          <w:bottom w:val="nil"/>
          <w:right w:val="nil"/>
          <w:between w:val="nil"/>
        </w:pBdr>
        <w:jc w:val="both"/>
        <w:rPr>
          <w:rFonts w:ascii="Arial" w:eastAsia="Arial" w:hAnsi="Arial" w:cs="Arial"/>
        </w:rPr>
      </w:pPr>
    </w:p>
    <w:p w14:paraId="1B4BD0FC"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Soft nylon-bristled toothbrushes (</w:t>
      </w:r>
      <w:proofErr w:type="spellStart"/>
      <w:r>
        <w:rPr>
          <w:rFonts w:ascii="Arial" w:eastAsia="Arial" w:hAnsi="Arial" w:cs="Arial"/>
        </w:rPr>
        <w:t>Medfio</w:t>
      </w:r>
      <w:proofErr w:type="spellEnd"/>
      <w:r>
        <w:rPr>
          <w:rFonts w:ascii="Arial" w:eastAsia="Arial" w:hAnsi="Arial" w:cs="Arial"/>
        </w:rPr>
        <w:t xml:space="preserve"> </w:t>
      </w:r>
      <w:proofErr w:type="spellStart"/>
      <w:r>
        <w:rPr>
          <w:rFonts w:ascii="Arial" w:eastAsia="Arial" w:hAnsi="Arial" w:cs="Arial"/>
        </w:rPr>
        <w:t>Indústria</w:t>
      </w:r>
      <w:proofErr w:type="spellEnd"/>
      <w:r>
        <w:rPr>
          <w:rFonts w:ascii="Arial" w:eastAsia="Arial" w:hAnsi="Arial" w:cs="Arial"/>
        </w:rPr>
        <w:t xml:space="preserve"> e </w:t>
      </w:r>
      <w:proofErr w:type="spellStart"/>
      <w:r>
        <w:rPr>
          <w:rFonts w:ascii="Arial" w:eastAsia="Arial" w:hAnsi="Arial" w:cs="Arial"/>
        </w:rPr>
        <w:t>Comércio</w:t>
      </w:r>
      <w:proofErr w:type="spellEnd"/>
      <w:r>
        <w:rPr>
          <w:rFonts w:ascii="Arial" w:eastAsia="Arial" w:hAnsi="Arial" w:cs="Arial"/>
        </w:rPr>
        <w:t xml:space="preserve"> de </w:t>
      </w:r>
      <w:proofErr w:type="spellStart"/>
      <w:r>
        <w:rPr>
          <w:rFonts w:ascii="Arial" w:eastAsia="Arial" w:hAnsi="Arial" w:cs="Arial"/>
        </w:rPr>
        <w:t>Artigos</w:t>
      </w:r>
      <w:proofErr w:type="spellEnd"/>
      <w:r>
        <w:rPr>
          <w:rFonts w:ascii="Arial" w:eastAsia="Arial" w:hAnsi="Arial" w:cs="Arial"/>
        </w:rPr>
        <w:t xml:space="preserve"> </w:t>
      </w:r>
      <w:proofErr w:type="spellStart"/>
      <w:r>
        <w:rPr>
          <w:rFonts w:ascii="Arial" w:eastAsia="Arial" w:hAnsi="Arial" w:cs="Arial"/>
        </w:rPr>
        <w:t>Odontológicos</w:t>
      </w:r>
      <w:proofErr w:type="spellEnd"/>
      <w:r>
        <w:rPr>
          <w:rFonts w:ascii="Arial" w:eastAsia="Arial" w:hAnsi="Arial" w:cs="Arial"/>
        </w:rPr>
        <w:t xml:space="preserve"> Ltda., </w:t>
      </w:r>
      <w:proofErr w:type="spellStart"/>
      <w:r>
        <w:rPr>
          <w:rFonts w:ascii="Arial" w:eastAsia="Arial" w:hAnsi="Arial" w:cs="Arial"/>
        </w:rPr>
        <w:t>Pinhais</w:t>
      </w:r>
      <w:proofErr w:type="spellEnd"/>
      <w:r>
        <w:rPr>
          <w:rFonts w:ascii="Arial" w:eastAsia="Arial" w:hAnsi="Arial" w:cs="Arial"/>
        </w:rPr>
        <w:t xml:space="preserve">, Paraná, Brazil) were used for the test. Each brush contained 34 individual tufts. The handles were removed to facilitate adaptation to the brushing machine supports. Before and after the </w:t>
      </w:r>
      <w:r>
        <w:rPr>
          <w:rFonts w:ascii="Arial" w:eastAsia="Arial" w:hAnsi="Arial" w:cs="Arial"/>
        </w:rPr>
        <w:t>simulated brushing, the specimens were placed in an ultrasonic bath (</w:t>
      </w:r>
      <w:proofErr w:type="spellStart"/>
      <w:r>
        <w:rPr>
          <w:rFonts w:ascii="Arial" w:eastAsia="Arial" w:hAnsi="Arial" w:cs="Arial"/>
        </w:rPr>
        <w:t>Ultracleaner</w:t>
      </w:r>
      <w:proofErr w:type="spellEnd"/>
      <w:r>
        <w:rPr>
          <w:rFonts w:ascii="Arial" w:eastAsia="Arial" w:hAnsi="Arial" w:cs="Arial"/>
        </w:rPr>
        <w:t xml:space="preserve"> 1400, Unique, </w:t>
      </w:r>
      <w:proofErr w:type="spellStart"/>
      <w:r>
        <w:rPr>
          <w:rFonts w:ascii="Arial" w:eastAsia="Arial" w:hAnsi="Arial" w:cs="Arial"/>
        </w:rPr>
        <w:t>Indaiatuba</w:t>
      </w:r>
      <w:proofErr w:type="spellEnd"/>
      <w:r>
        <w:rPr>
          <w:rFonts w:ascii="Arial" w:eastAsia="Arial" w:hAnsi="Arial" w:cs="Arial"/>
        </w:rPr>
        <w:t>, São Paulo, Brazil) for 5 minutes. A simulation representing five years of hygiene for the heat-polymerized resin samples was conducted using a brush</w:t>
      </w:r>
      <w:r>
        <w:rPr>
          <w:rFonts w:ascii="Arial" w:eastAsia="Arial" w:hAnsi="Arial" w:cs="Arial"/>
        </w:rPr>
        <w:t>ing machine (</w:t>
      </w:r>
      <w:proofErr w:type="spellStart"/>
      <w:r>
        <w:rPr>
          <w:rFonts w:ascii="Arial" w:eastAsia="Arial" w:hAnsi="Arial" w:cs="Arial"/>
        </w:rPr>
        <w:t>Elquip</w:t>
      </w:r>
      <w:proofErr w:type="spellEnd"/>
      <w:r>
        <w:rPr>
          <w:rFonts w:ascii="Arial" w:eastAsia="Arial" w:hAnsi="Arial" w:cs="Arial"/>
        </w:rPr>
        <w:t xml:space="preserve"> – MSEI, São Carlos, São Paulo, Brazil). In this simulation, 12 months of brushing corresponded to 17,800 cycles. Brushing strokes were applied under a 200 g load, with a movement amplitude set to 20 mm and a speed of 4.5 strokes per sec</w:t>
      </w:r>
      <w:r>
        <w:rPr>
          <w:rFonts w:ascii="Arial" w:eastAsia="Arial" w:hAnsi="Arial" w:cs="Arial"/>
        </w:rPr>
        <w:t>ond. Every 30 seconds, the tested substance was dispensed onto the specimens for 4 seconds. Throughout the test, the machine temperature was maintained at 37°C.</w:t>
      </w:r>
    </w:p>
    <w:p w14:paraId="469D193B" w14:textId="77777777" w:rsidR="00F773C7" w:rsidRDefault="00F773C7">
      <w:pPr>
        <w:pBdr>
          <w:top w:val="nil"/>
          <w:left w:val="nil"/>
          <w:bottom w:val="nil"/>
          <w:right w:val="nil"/>
          <w:between w:val="nil"/>
        </w:pBdr>
        <w:jc w:val="both"/>
        <w:rPr>
          <w:rFonts w:ascii="Arial" w:eastAsia="Arial" w:hAnsi="Arial" w:cs="Arial"/>
        </w:rPr>
      </w:pPr>
    </w:p>
    <w:p w14:paraId="13DDC36E"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To simulate the diluting effect of saliva in the oral cavity and reduce friction, a suspension</w:t>
      </w:r>
      <w:r>
        <w:rPr>
          <w:rFonts w:ascii="Arial" w:eastAsia="Arial" w:hAnsi="Arial" w:cs="Arial"/>
        </w:rPr>
        <w:t xml:space="preserve"> was prepared by mixing 100 ml of distilled water with 100 ml of each dentifrice, creating a 1:1 ratio maintained at room temperature. After dilution, the solution was loaded into 20-ml syringes and connected to the brushing machine.</w:t>
      </w:r>
    </w:p>
    <w:p w14:paraId="3D9F0204" w14:textId="77777777" w:rsidR="00F773C7" w:rsidRDefault="00F773C7">
      <w:pPr>
        <w:pBdr>
          <w:top w:val="nil"/>
          <w:left w:val="nil"/>
          <w:bottom w:val="nil"/>
          <w:right w:val="nil"/>
          <w:between w:val="nil"/>
        </w:pBdr>
        <w:jc w:val="both"/>
        <w:rPr>
          <w:rFonts w:ascii="Arial" w:eastAsia="Arial" w:hAnsi="Arial" w:cs="Arial"/>
        </w:rPr>
      </w:pPr>
    </w:p>
    <w:p w14:paraId="181D2FFE"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2.5 </w:t>
      </w:r>
      <w:r>
        <w:rPr>
          <w:rFonts w:ascii="Arial" w:eastAsia="Arial" w:hAnsi="Arial" w:cs="Arial"/>
          <w:b/>
          <w:sz w:val="22"/>
          <w:szCs w:val="22"/>
        </w:rPr>
        <w:t xml:space="preserve">Color Stability </w:t>
      </w:r>
      <w:r>
        <w:rPr>
          <w:rFonts w:ascii="Arial" w:eastAsia="Arial" w:hAnsi="Arial" w:cs="Arial"/>
          <w:b/>
          <w:sz w:val="22"/>
          <w:szCs w:val="22"/>
        </w:rPr>
        <w:t>Test</w:t>
      </w:r>
    </w:p>
    <w:p w14:paraId="32C6E343" w14:textId="77777777" w:rsidR="00F773C7" w:rsidRDefault="00F773C7">
      <w:pPr>
        <w:jc w:val="both"/>
        <w:rPr>
          <w:rFonts w:ascii="Arial" w:eastAsia="Arial" w:hAnsi="Arial" w:cs="Arial"/>
          <w:b/>
          <w:sz w:val="22"/>
          <w:szCs w:val="22"/>
        </w:rPr>
      </w:pPr>
    </w:p>
    <w:p w14:paraId="13095FD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Color evaluation was performed using a portable spectrophotometer (Vita </w:t>
      </w:r>
      <w:proofErr w:type="spellStart"/>
      <w:r>
        <w:rPr>
          <w:rFonts w:ascii="Arial" w:eastAsia="Arial" w:hAnsi="Arial" w:cs="Arial"/>
        </w:rPr>
        <w:t>Easyshade</w:t>
      </w:r>
      <w:proofErr w:type="spellEnd"/>
      <w:r>
        <w:rPr>
          <w:rFonts w:ascii="Arial" w:eastAsia="Arial" w:hAnsi="Arial" w:cs="Arial"/>
        </w:rPr>
        <w:t xml:space="preserve">, Vita </w:t>
      </w:r>
      <w:proofErr w:type="spellStart"/>
      <w:r>
        <w:rPr>
          <w:rFonts w:ascii="Arial" w:eastAsia="Arial" w:hAnsi="Arial" w:cs="Arial"/>
        </w:rPr>
        <w:t>Zahnfabrik</w:t>
      </w:r>
      <w:proofErr w:type="spellEnd"/>
      <w:r>
        <w:rPr>
          <w:rFonts w:ascii="Arial" w:eastAsia="Arial" w:hAnsi="Arial" w:cs="Arial"/>
        </w:rPr>
        <w:t xml:space="preserve"> H. Rauter GmbH &amp; Co, Germany). This device quantified the color differences, represented as ΔE. The formula for ΔE is given by: ΔE = [(ΔL</w:t>
      </w:r>
      <w:proofErr w:type="gramStart"/>
      <w:r>
        <w:rPr>
          <w:rFonts w:ascii="Arial" w:eastAsia="Arial" w:hAnsi="Arial" w:cs="Arial"/>
        </w:rPr>
        <w:t>*)²</w:t>
      </w:r>
      <w:proofErr w:type="gramEnd"/>
      <w:r>
        <w:rPr>
          <w:rFonts w:ascii="Arial" w:eastAsia="Arial" w:hAnsi="Arial" w:cs="Arial"/>
        </w:rPr>
        <w:t xml:space="preserve"> + (</w:t>
      </w:r>
      <w:proofErr w:type="spellStart"/>
      <w:r>
        <w:rPr>
          <w:rFonts w:ascii="Arial" w:eastAsia="Arial" w:hAnsi="Arial" w:cs="Arial"/>
        </w:rPr>
        <w:t>Δa</w:t>
      </w:r>
      <w:proofErr w:type="spellEnd"/>
      <w:r>
        <w:rPr>
          <w:rFonts w:ascii="Arial" w:eastAsia="Arial" w:hAnsi="Arial" w:cs="Arial"/>
        </w:rPr>
        <w:t>*)² +</w:t>
      </w:r>
      <w:r>
        <w:rPr>
          <w:rFonts w:ascii="Arial" w:eastAsia="Arial" w:hAnsi="Arial" w:cs="Arial"/>
        </w:rPr>
        <w:t xml:space="preserve"> (</w:t>
      </w:r>
      <w:proofErr w:type="spellStart"/>
      <w:r>
        <w:rPr>
          <w:rFonts w:ascii="Arial" w:eastAsia="Arial" w:hAnsi="Arial" w:cs="Arial"/>
        </w:rPr>
        <w:t>Δb</w:t>
      </w:r>
      <w:proofErr w:type="spellEnd"/>
      <w:r>
        <w:rPr>
          <w:rFonts w:ascii="Arial" w:eastAsia="Arial" w:hAnsi="Arial" w:cs="Arial"/>
        </w:rPr>
        <w:t>*)²]¹</w:t>
      </w:r>
      <w:r>
        <w:rPr>
          <w:rFonts w:ascii="Arial" w:eastAsia="Arial" w:hAnsi="Arial" w:cs="Arial"/>
        </w:rPr>
        <w:t>ᐟ</w:t>
      </w:r>
      <w:r>
        <w:rPr>
          <w:rFonts w:ascii="Arial" w:eastAsia="Arial" w:hAnsi="Arial" w:cs="Arial"/>
        </w:rPr>
        <w:t xml:space="preserve">². In this equation, L* indicates lightness; a* represents red-green chromaticity; and b* denotes yellow-blue </w:t>
      </w:r>
      <w:proofErr w:type="gramStart"/>
      <w:r>
        <w:rPr>
          <w:rFonts w:ascii="Arial" w:eastAsia="Arial" w:hAnsi="Arial" w:cs="Arial"/>
        </w:rPr>
        <w:t>chromaticity.*</w:t>
      </w:r>
      <w:proofErr w:type="gramEnd"/>
      <w:r>
        <w:rPr>
          <w:rFonts w:ascii="Arial" w:eastAsia="Arial" w:hAnsi="Arial" w:cs="Arial"/>
        </w:rPr>
        <w:t>*</w:t>
      </w:r>
    </w:p>
    <w:p w14:paraId="69ADFD5D" w14:textId="77777777" w:rsidR="00F773C7" w:rsidRDefault="00F773C7">
      <w:pPr>
        <w:pBdr>
          <w:top w:val="nil"/>
          <w:left w:val="nil"/>
          <w:bottom w:val="nil"/>
          <w:right w:val="nil"/>
          <w:between w:val="nil"/>
        </w:pBdr>
        <w:jc w:val="both"/>
        <w:rPr>
          <w:rFonts w:ascii="Arial" w:eastAsia="Arial" w:hAnsi="Arial" w:cs="Arial"/>
        </w:rPr>
      </w:pPr>
    </w:p>
    <w:p w14:paraId="52DDBF36"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The color difference of each specimen was determined based on the observation standard recommended by the CIE (Commissi</w:t>
      </w:r>
      <w:r>
        <w:rPr>
          <w:rFonts w:ascii="Arial" w:eastAsia="Arial" w:hAnsi="Arial" w:cs="Arial"/>
        </w:rPr>
        <w:t xml:space="preserve">on </w:t>
      </w:r>
      <w:proofErr w:type="spellStart"/>
      <w:r>
        <w:rPr>
          <w:rFonts w:ascii="Arial" w:eastAsia="Arial" w:hAnsi="Arial" w:cs="Arial"/>
        </w:rPr>
        <w:t>Internationale</w:t>
      </w:r>
      <w:proofErr w:type="spellEnd"/>
      <w:r>
        <w:rPr>
          <w:rFonts w:ascii="Arial" w:eastAsia="Arial" w:hAnsi="Arial" w:cs="Arial"/>
        </w:rPr>
        <w:t xml:space="preserve"> de </w:t>
      </w:r>
      <w:proofErr w:type="spellStart"/>
      <w:r>
        <w:rPr>
          <w:rFonts w:ascii="Arial" w:eastAsia="Arial" w:hAnsi="Arial" w:cs="Arial"/>
        </w:rPr>
        <w:t>l'Éclairage</w:t>
      </w:r>
      <w:proofErr w:type="spellEnd"/>
      <w:r>
        <w:rPr>
          <w:rFonts w:ascii="Arial" w:eastAsia="Arial" w:hAnsi="Arial" w:cs="Arial"/>
        </w:rPr>
        <w:t>, 1978), comparing post-brushing changes with their initial characteristics. To ensure consistent readings and minimize ambient light interference, a condensation silicone mold (</w:t>
      </w:r>
      <w:proofErr w:type="spellStart"/>
      <w:r>
        <w:rPr>
          <w:rFonts w:ascii="Arial" w:eastAsia="Arial" w:hAnsi="Arial" w:cs="Arial"/>
        </w:rPr>
        <w:t>Reflexdenso</w:t>
      </w:r>
      <w:proofErr w:type="spellEnd"/>
      <w:r>
        <w:rPr>
          <w:rFonts w:ascii="Arial" w:eastAsia="Arial" w:hAnsi="Arial" w:cs="Arial"/>
        </w:rPr>
        <w:t xml:space="preserve">, </w:t>
      </w:r>
      <w:proofErr w:type="spellStart"/>
      <w:r>
        <w:rPr>
          <w:rFonts w:ascii="Arial" w:eastAsia="Arial" w:hAnsi="Arial" w:cs="Arial"/>
        </w:rPr>
        <w:t>Yller</w:t>
      </w:r>
      <w:proofErr w:type="spellEnd"/>
      <w:r>
        <w:rPr>
          <w:rFonts w:ascii="Arial" w:eastAsia="Arial" w:hAnsi="Arial" w:cs="Arial"/>
        </w:rPr>
        <w:t xml:space="preserve"> </w:t>
      </w:r>
      <w:proofErr w:type="spellStart"/>
      <w:r>
        <w:rPr>
          <w:rFonts w:ascii="Arial" w:eastAsia="Arial" w:hAnsi="Arial" w:cs="Arial"/>
        </w:rPr>
        <w:t>Biomateriais</w:t>
      </w:r>
      <w:proofErr w:type="spellEnd"/>
      <w:r>
        <w:rPr>
          <w:rFonts w:ascii="Arial" w:eastAsia="Arial" w:hAnsi="Arial" w:cs="Arial"/>
        </w:rPr>
        <w:t xml:space="preserve"> S/A, Pelotas, </w:t>
      </w:r>
      <w:r>
        <w:rPr>
          <w:rFonts w:ascii="Arial" w:eastAsia="Arial" w:hAnsi="Arial" w:cs="Arial"/>
        </w:rPr>
        <w:t>RS, Brazil) and a white background screen were used, focusing the measurement on the center of each specimen.</w:t>
      </w:r>
    </w:p>
    <w:p w14:paraId="1FFD6013" w14:textId="77777777" w:rsidR="00F773C7" w:rsidRDefault="00F773C7">
      <w:pPr>
        <w:pBdr>
          <w:top w:val="nil"/>
          <w:left w:val="nil"/>
          <w:bottom w:val="nil"/>
          <w:right w:val="nil"/>
          <w:between w:val="nil"/>
        </w:pBdr>
        <w:jc w:val="both"/>
        <w:rPr>
          <w:rFonts w:ascii="Arial" w:eastAsia="Arial" w:hAnsi="Arial" w:cs="Arial"/>
        </w:rPr>
      </w:pPr>
    </w:p>
    <w:p w14:paraId="565B6A21"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ΔE values were interpreted as follows: values below 1 were considered imperceptible to the human eye; values between 1 and 3.3 were perceptible t</w:t>
      </w:r>
      <w:r>
        <w:rPr>
          <w:rFonts w:ascii="Arial" w:eastAsia="Arial" w:hAnsi="Arial" w:cs="Arial"/>
        </w:rPr>
        <w:t>o trained observers; and values above 3.3 were perceptible to the average observer, being classified as clinically unacceptable (Johnston et al., 2009; Ruyter et al., 1987; Seghi et al., 1989).</w:t>
      </w:r>
    </w:p>
    <w:p w14:paraId="0C035ACB" w14:textId="77777777" w:rsidR="00F773C7" w:rsidRDefault="00F773C7">
      <w:pPr>
        <w:pBdr>
          <w:top w:val="nil"/>
          <w:left w:val="nil"/>
          <w:bottom w:val="nil"/>
          <w:right w:val="nil"/>
          <w:between w:val="nil"/>
        </w:pBdr>
        <w:jc w:val="both"/>
        <w:rPr>
          <w:rFonts w:ascii="Arial" w:eastAsia="Arial" w:hAnsi="Arial" w:cs="Arial"/>
        </w:rPr>
      </w:pPr>
    </w:p>
    <w:p w14:paraId="77BED950"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2.6 </w:t>
      </w:r>
      <w:r>
        <w:rPr>
          <w:rFonts w:ascii="Arial" w:eastAsia="Arial" w:hAnsi="Arial" w:cs="Arial"/>
          <w:b/>
          <w:sz w:val="22"/>
          <w:szCs w:val="22"/>
        </w:rPr>
        <w:t>Evaluation of Mass</w:t>
      </w:r>
    </w:p>
    <w:p w14:paraId="6FA3BB69" w14:textId="77777777" w:rsidR="00F773C7" w:rsidRDefault="00F773C7">
      <w:pPr>
        <w:jc w:val="both"/>
        <w:rPr>
          <w:rFonts w:ascii="Arial" w:eastAsia="Arial" w:hAnsi="Arial" w:cs="Arial"/>
          <w:b/>
          <w:sz w:val="22"/>
          <w:szCs w:val="22"/>
        </w:rPr>
      </w:pPr>
    </w:p>
    <w:p w14:paraId="775993F7" w14:textId="77777777" w:rsidR="00F773C7" w:rsidRDefault="00AD7B73">
      <w:pPr>
        <w:pBdr>
          <w:top w:val="nil"/>
          <w:left w:val="nil"/>
          <w:bottom w:val="nil"/>
          <w:right w:val="nil"/>
          <w:between w:val="nil"/>
        </w:pBdr>
        <w:jc w:val="both"/>
        <w:rPr>
          <w:rFonts w:ascii="Arial" w:eastAsia="Arial" w:hAnsi="Arial" w:cs="Arial"/>
        </w:rPr>
      </w:pPr>
      <w:sdt>
        <w:sdtPr>
          <w:tag w:val="goog_rdk_0"/>
          <w:id w:val="694048709"/>
        </w:sdtPr>
        <w:sdtEndPr/>
        <w:sdtContent>
          <w:r>
            <w:rPr>
              <w:rFonts w:ascii="Arial Unicode MS" w:eastAsia="Arial Unicode MS" w:hAnsi="Arial Unicode MS" w:cs="Arial Unicode MS"/>
            </w:rPr>
            <w:t>An electronic analytical balance (MAR</w:t>
          </w:r>
          <w:r>
            <w:rPr>
              <w:rFonts w:ascii="Arial Unicode MS" w:eastAsia="Arial Unicode MS" w:hAnsi="Arial Unicode MS" w:cs="Arial Unicode MS"/>
            </w:rPr>
            <w:t>K 210A, Bel Engineering, Piracicaba, São Paulo, Brazil) with a sensitivity of 0.1 g was used. Before each measurement, the balance was calibrated and allowed a 30-minute warm-up period. Mass variation (</w:t>
          </w:r>
          <w:proofErr w:type="spellStart"/>
          <w:r>
            <w:rPr>
              <w:rFonts w:ascii="Arial Unicode MS" w:eastAsia="Arial Unicode MS" w:hAnsi="Arial Unicode MS" w:cs="Arial Unicode MS"/>
            </w:rPr>
            <w:t>Δm</w:t>
          </w:r>
          <w:proofErr w:type="spellEnd"/>
          <w:r>
            <w:rPr>
              <w:rFonts w:ascii="Arial Unicode MS" w:eastAsia="Arial Unicode MS" w:hAnsi="Arial Unicode MS" w:cs="Arial Unicode MS"/>
            </w:rPr>
            <w:t xml:space="preserve">) was calculated in grams using the formula: </w:t>
          </w:r>
          <w:proofErr w:type="spellStart"/>
          <w:r>
            <w:rPr>
              <w:rFonts w:ascii="Arial Unicode MS" w:eastAsia="Arial Unicode MS" w:hAnsi="Arial Unicode MS" w:cs="Arial Unicode MS"/>
            </w:rPr>
            <w:t>Δm</w:t>
          </w:r>
          <w:proofErr w:type="spellEnd"/>
          <w:r>
            <w:rPr>
              <w:rFonts w:ascii="Arial Unicode MS" w:eastAsia="Arial Unicode MS" w:hAnsi="Arial Unicode MS" w:cs="Arial Unicode MS"/>
            </w:rPr>
            <w:t xml:space="preserve"> = m₁</w:t>
          </w:r>
          <w:r>
            <w:rPr>
              <w:rFonts w:ascii="Arial Unicode MS" w:eastAsia="Arial Unicode MS" w:hAnsi="Arial Unicode MS" w:cs="Arial Unicode MS"/>
            </w:rPr>
            <w:t xml:space="preserve"> − m₂, where m₁ represents the initial weight and m₂ corresponds to the post-brushing weight. Measurements were performed before and after brushing with each </w:t>
          </w:r>
          <w:r>
            <w:rPr>
              <w:rFonts w:ascii="Arial Unicode MS" w:eastAsia="Arial Unicode MS" w:hAnsi="Arial Unicode MS" w:cs="Arial Unicode MS"/>
            </w:rPr>
            <w:lastRenderedPageBreak/>
            <w:t>substance, ensuring that the specimens were previously sonicated with distilled water and dried wi</w:t>
          </w:r>
          <w:r>
            <w:rPr>
              <w:rFonts w:ascii="Arial Unicode MS" w:eastAsia="Arial Unicode MS" w:hAnsi="Arial Unicode MS" w:cs="Arial Unicode MS"/>
            </w:rPr>
            <w:t>th absorbent paper.</w:t>
          </w:r>
        </w:sdtContent>
      </w:sdt>
    </w:p>
    <w:p w14:paraId="428E6F6E" w14:textId="77777777" w:rsidR="00F773C7" w:rsidRDefault="00F773C7">
      <w:pPr>
        <w:pBdr>
          <w:top w:val="nil"/>
          <w:left w:val="nil"/>
          <w:bottom w:val="nil"/>
          <w:right w:val="nil"/>
          <w:between w:val="nil"/>
        </w:pBdr>
        <w:jc w:val="both"/>
        <w:rPr>
          <w:rFonts w:ascii="Arial" w:eastAsia="Arial" w:hAnsi="Arial" w:cs="Arial"/>
        </w:rPr>
      </w:pPr>
    </w:p>
    <w:p w14:paraId="6D559CCF"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2.7 </w:t>
      </w:r>
      <w:r>
        <w:rPr>
          <w:rFonts w:ascii="Arial" w:eastAsia="Arial" w:hAnsi="Arial" w:cs="Arial"/>
          <w:b/>
          <w:sz w:val="22"/>
          <w:szCs w:val="22"/>
        </w:rPr>
        <w:t>Surface Roughness</w:t>
      </w:r>
    </w:p>
    <w:p w14:paraId="086DA6D7" w14:textId="77777777" w:rsidR="00F773C7" w:rsidRDefault="00F773C7">
      <w:pPr>
        <w:jc w:val="both"/>
        <w:rPr>
          <w:rFonts w:ascii="Arial" w:eastAsia="Arial" w:hAnsi="Arial" w:cs="Arial"/>
          <w:b/>
          <w:sz w:val="22"/>
          <w:szCs w:val="22"/>
        </w:rPr>
      </w:pPr>
    </w:p>
    <w:p w14:paraId="71A6407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Surface roughness was measured using a benchtop profilometer (T1000, </w:t>
      </w:r>
      <w:proofErr w:type="spellStart"/>
      <w:r>
        <w:rPr>
          <w:rFonts w:ascii="Arial" w:eastAsia="Arial" w:hAnsi="Arial" w:cs="Arial"/>
        </w:rPr>
        <w:t>Hommel</w:t>
      </w:r>
      <w:proofErr w:type="spellEnd"/>
      <w:r>
        <w:rPr>
          <w:rFonts w:ascii="Arial" w:eastAsia="Arial" w:hAnsi="Arial" w:cs="Arial"/>
        </w:rPr>
        <w:t xml:space="preserve"> Tester, </w:t>
      </w:r>
      <w:proofErr w:type="spellStart"/>
      <w:r>
        <w:rPr>
          <w:rFonts w:ascii="Arial" w:eastAsia="Arial" w:hAnsi="Arial" w:cs="Arial"/>
        </w:rPr>
        <w:t>Hommelwerke</w:t>
      </w:r>
      <w:proofErr w:type="spellEnd"/>
      <w:r>
        <w:rPr>
          <w:rFonts w:ascii="Arial" w:eastAsia="Arial" w:hAnsi="Arial" w:cs="Arial"/>
        </w:rPr>
        <w:t xml:space="preserve">, </w:t>
      </w:r>
      <w:proofErr w:type="spellStart"/>
      <w:r>
        <w:rPr>
          <w:rFonts w:ascii="Arial" w:eastAsia="Arial" w:hAnsi="Arial" w:cs="Arial"/>
        </w:rPr>
        <w:t>Gbh</w:t>
      </w:r>
      <w:proofErr w:type="spellEnd"/>
      <w:r>
        <w:rPr>
          <w:rFonts w:ascii="Arial" w:eastAsia="Arial" w:hAnsi="Arial" w:cs="Arial"/>
        </w:rPr>
        <w:t xml:space="preserve">, </w:t>
      </w:r>
      <w:proofErr w:type="spellStart"/>
      <w:r>
        <w:rPr>
          <w:rFonts w:ascii="Arial" w:eastAsia="Arial" w:hAnsi="Arial" w:cs="Arial"/>
        </w:rPr>
        <w:t>Schwenningen</w:t>
      </w:r>
      <w:proofErr w:type="spellEnd"/>
      <w:r>
        <w:rPr>
          <w:rFonts w:ascii="Arial" w:eastAsia="Arial" w:hAnsi="Arial" w:cs="Arial"/>
        </w:rPr>
        <w:t xml:space="preserve">, </w:t>
      </w:r>
      <w:proofErr w:type="spellStart"/>
      <w:r>
        <w:rPr>
          <w:rFonts w:ascii="Arial" w:eastAsia="Arial" w:hAnsi="Arial" w:cs="Arial"/>
        </w:rPr>
        <w:t>Schwarzwald-Baar</w:t>
      </w:r>
      <w:proofErr w:type="spellEnd"/>
      <w:r>
        <w:rPr>
          <w:rFonts w:ascii="Arial" w:eastAsia="Arial" w:hAnsi="Arial" w:cs="Arial"/>
        </w:rPr>
        <w:t xml:space="preserve">, Germany), which moved a diamond tip with a 5 </w:t>
      </w:r>
      <w:proofErr w:type="spellStart"/>
      <w:r>
        <w:rPr>
          <w:rFonts w:ascii="Arial" w:eastAsia="Arial" w:hAnsi="Arial" w:cs="Arial"/>
        </w:rPr>
        <w:t>μm</w:t>
      </w:r>
      <w:proofErr w:type="spellEnd"/>
      <w:r>
        <w:rPr>
          <w:rFonts w:ascii="Arial" w:eastAsia="Arial" w:hAnsi="Arial" w:cs="Arial"/>
        </w:rPr>
        <w:t xml:space="preserve"> radius along a 4.8 mm path f</w:t>
      </w:r>
      <w:r>
        <w:rPr>
          <w:rFonts w:ascii="Arial" w:eastAsia="Arial" w:hAnsi="Arial" w:cs="Arial"/>
        </w:rPr>
        <w:t>or 10 seconds. Each specimen underwent three roughness (Ra) measurements on the flattest surface. The arithmetic mean of these readings was considered as the statistical unit (Sartori et al., 2008).</w:t>
      </w:r>
    </w:p>
    <w:p w14:paraId="12044EE8" w14:textId="77777777" w:rsidR="00F773C7" w:rsidRDefault="00F773C7">
      <w:pPr>
        <w:pBdr>
          <w:top w:val="nil"/>
          <w:left w:val="nil"/>
          <w:bottom w:val="nil"/>
          <w:right w:val="nil"/>
          <w:between w:val="nil"/>
        </w:pBdr>
        <w:jc w:val="both"/>
        <w:rPr>
          <w:rFonts w:ascii="Arial" w:eastAsia="Arial" w:hAnsi="Arial" w:cs="Arial"/>
        </w:rPr>
      </w:pPr>
    </w:p>
    <w:p w14:paraId="4A53D1F4"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2.8 </w:t>
      </w:r>
      <w:proofErr w:type="spellStart"/>
      <w:r>
        <w:rPr>
          <w:rFonts w:ascii="Arial" w:eastAsia="Arial" w:hAnsi="Arial" w:cs="Arial"/>
          <w:b/>
          <w:sz w:val="22"/>
          <w:szCs w:val="22"/>
        </w:rPr>
        <w:t>Microdureza</w:t>
      </w:r>
      <w:proofErr w:type="spellEnd"/>
      <w:r>
        <w:rPr>
          <w:rFonts w:ascii="Arial" w:eastAsia="Arial" w:hAnsi="Arial" w:cs="Arial"/>
          <w:b/>
          <w:sz w:val="22"/>
          <w:szCs w:val="22"/>
        </w:rPr>
        <w:t xml:space="preserve"> Knoop</w:t>
      </w:r>
    </w:p>
    <w:p w14:paraId="0CAA55E9" w14:textId="77777777" w:rsidR="00F773C7" w:rsidRDefault="00F773C7">
      <w:pPr>
        <w:jc w:val="both"/>
        <w:rPr>
          <w:rFonts w:ascii="Arial" w:eastAsia="Arial" w:hAnsi="Arial" w:cs="Arial"/>
          <w:b/>
          <w:sz w:val="22"/>
          <w:szCs w:val="22"/>
        </w:rPr>
      </w:pPr>
    </w:p>
    <w:p w14:paraId="7DAE7E11"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Microhardness levels were </w:t>
      </w:r>
      <w:r>
        <w:rPr>
          <w:rFonts w:ascii="Arial" w:eastAsia="Arial" w:hAnsi="Arial" w:cs="Arial"/>
        </w:rPr>
        <w:t>evaluated using a microhardness tester (FM-ARS 9000 and FM-100, Future-Tech Corp., Kawasaki, Kanagawa, Japan) connected to a computer with image analysis software. Each specimen was subjected to a calibrated vertical load of 10 g for 5 seconds. Five random</w:t>
      </w:r>
      <w:r>
        <w:rPr>
          <w:rFonts w:ascii="Arial" w:eastAsia="Arial" w:hAnsi="Arial" w:cs="Arial"/>
        </w:rPr>
        <w:t xml:space="preserve"> indentations were made on each specimen. The mean values of the control group were calculated for subsequent comparison with the means of the experimental group (Carvalho-Neto et al., 2021).</w:t>
      </w:r>
    </w:p>
    <w:p w14:paraId="2A275BBF" w14:textId="77777777" w:rsidR="00F773C7" w:rsidRDefault="00F773C7">
      <w:pPr>
        <w:pBdr>
          <w:top w:val="nil"/>
          <w:left w:val="nil"/>
          <w:bottom w:val="nil"/>
          <w:right w:val="nil"/>
          <w:between w:val="nil"/>
        </w:pBdr>
        <w:jc w:val="both"/>
        <w:rPr>
          <w:rFonts w:ascii="Arial" w:eastAsia="Arial" w:hAnsi="Arial" w:cs="Arial"/>
        </w:rPr>
      </w:pPr>
    </w:p>
    <w:p w14:paraId="42F774BF"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2.9 </w:t>
      </w:r>
      <w:r>
        <w:rPr>
          <w:rFonts w:ascii="Arial" w:eastAsia="Arial" w:hAnsi="Arial" w:cs="Arial"/>
          <w:b/>
          <w:sz w:val="22"/>
          <w:szCs w:val="22"/>
        </w:rPr>
        <w:t>Statistical Analysis</w:t>
      </w:r>
    </w:p>
    <w:p w14:paraId="2A468C5E" w14:textId="77777777" w:rsidR="00F773C7" w:rsidRDefault="00F773C7">
      <w:pPr>
        <w:jc w:val="both"/>
        <w:rPr>
          <w:rFonts w:ascii="Arial" w:eastAsia="Arial" w:hAnsi="Arial" w:cs="Arial"/>
          <w:b/>
          <w:sz w:val="22"/>
          <w:szCs w:val="22"/>
        </w:rPr>
      </w:pPr>
    </w:p>
    <w:p w14:paraId="6F83C8D7"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rPr>
        <w:t>Data obtained from surface roughness,</w:t>
      </w:r>
      <w:r>
        <w:rPr>
          <w:rFonts w:ascii="Arial" w:eastAsia="Arial" w:hAnsi="Arial" w:cs="Arial"/>
        </w:rPr>
        <w:t xml:space="preserve"> Knoop microhardness, color change, and mass variation tests were tabulated in Microsoft Excel and transferred to GraphPad Prism 5.0 for statistical analysis. A 95% confidence level and a significance threshold of </w:t>
      </w:r>
      <w:r>
        <w:rPr>
          <w:rFonts w:ascii="Arial" w:eastAsia="Arial" w:hAnsi="Arial" w:cs="Arial"/>
          <w:i/>
        </w:rPr>
        <w:t xml:space="preserve">P </w:t>
      </w:r>
      <w:r>
        <w:rPr>
          <w:rFonts w:ascii="Arial" w:eastAsia="Arial" w:hAnsi="Arial" w:cs="Arial"/>
        </w:rPr>
        <w:t>&lt; 0.05 were adopted. After verifying dat</w:t>
      </w:r>
      <w:r>
        <w:rPr>
          <w:rFonts w:ascii="Arial" w:eastAsia="Arial" w:hAnsi="Arial" w:cs="Arial"/>
        </w:rPr>
        <w:t>a normality using the Kolmogorov-Smirnov test, results were expressed as mean values with standard errors. The data were analyzed by repeated-measures ANOVA, followed by Bonferroni post hoc tests.</w:t>
      </w:r>
    </w:p>
    <w:p w14:paraId="2DBCC004" w14:textId="77777777" w:rsidR="00F773C7" w:rsidRDefault="00F773C7">
      <w:pPr>
        <w:pBdr>
          <w:top w:val="nil"/>
          <w:left w:val="nil"/>
          <w:bottom w:val="nil"/>
          <w:right w:val="nil"/>
          <w:between w:val="nil"/>
        </w:pBdr>
        <w:jc w:val="both"/>
        <w:rPr>
          <w:rFonts w:ascii="Arial" w:eastAsia="Arial" w:hAnsi="Arial" w:cs="Arial"/>
          <w:color w:val="000000"/>
        </w:rPr>
      </w:pPr>
    </w:p>
    <w:p w14:paraId="3D1F201C" w14:textId="77777777" w:rsidR="00F773C7" w:rsidRDefault="00AD7B7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DISCUSSION</w:t>
      </w:r>
    </w:p>
    <w:p w14:paraId="6E1FB706" w14:textId="77777777" w:rsidR="00F773C7" w:rsidRDefault="00F773C7">
      <w:pPr>
        <w:keepNext/>
        <w:pBdr>
          <w:top w:val="nil"/>
          <w:left w:val="nil"/>
          <w:bottom w:val="nil"/>
          <w:right w:val="nil"/>
          <w:between w:val="nil"/>
        </w:pBdr>
        <w:jc w:val="both"/>
        <w:rPr>
          <w:rFonts w:ascii="Arial" w:eastAsia="Arial" w:hAnsi="Arial" w:cs="Arial"/>
          <w:b/>
          <w:smallCaps/>
          <w:sz w:val="22"/>
          <w:szCs w:val="22"/>
        </w:rPr>
      </w:pPr>
    </w:p>
    <w:p w14:paraId="51BD4DC0" w14:textId="77777777" w:rsidR="00F773C7" w:rsidRDefault="00AD7B73">
      <w:pPr>
        <w:jc w:val="both"/>
        <w:rPr>
          <w:rFonts w:ascii="Arial" w:eastAsia="Arial" w:hAnsi="Arial" w:cs="Arial"/>
          <w:b/>
          <w:smallCaps/>
          <w:sz w:val="22"/>
          <w:szCs w:val="22"/>
        </w:rPr>
      </w:pPr>
      <w:r>
        <w:rPr>
          <w:rFonts w:ascii="Arial" w:eastAsia="Arial" w:hAnsi="Arial" w:cs="Arial"/>
          <w:b/>
          <w:smallCaps/>
          <w:sz w:val="22"/>
          <w:szCs w:val="22"/>
        </w:rPr>
        <w:t xml:space="preserve">3.1 </w:t>
      </w:r>
      <w:r>
        <w:rPr>
          <w:rFonts w:ascii="Arial" w:eastAsia="Arial" w:hAnsi="Arial" w:cs="Arial"/>
          <w:b/>
          <w:sz w:val="22"/>
          <w:szCs w:val="22"/>
        </w:rPr>
        <w:t>Results</w:t>
      </w:r>
    </w:p>
    <w:p w14:paraId="665CA03B" w14:textId="77777777" w:rsidR="00F773C7" w:rsidRDefault="00F773C7">
      <w:pPr>
        <w:keepNext/>
        <w:pBdr>
          <w:top w:val="nil"/>
          <w:left w:val="nil"/>
          <w:bottom w:val="nil"/>
          <w:right w:val="nil"/>
          <w:between w:val="nil"/>
        </w:pBdr>
        <w:jc w:val="both"/>
        <w:rPr>
          <w:rFonts w:ascii="Arial" w:eastAsia="Arial" w:hAnsi="Arial" w:cs="Arial"/>
          <w:b/>
          <w:smallCaps/>
          <w:sz w:val="22"/>
          <w:szCs w:val="22"/>
        </w:rPr>
      </w:pPr>
    </w:p>
    <w:p w14:paraId="0A7BDD57" w14:textId="77777777" w:rsidR="00F773C7" w:rsidRDefault="00AD7B73">
      <w:pPr>
        <w:jc w:val="both"/>
        <w:rPr>
          <w:rFonts w:ascii="Arial" w:eastAsia="Arial" w:hAnsi="Arial" w:cs="Arial"/>
        </w:rPr>
      </w:pPr>
      <w:r>
        <w:rPr>
          <w:rFonts w:ascii="Arial" w:eastAsia="Arial" w:hAnsi="Arial" w:cs="Arial"/>
          <w:b/>
          <w:smallCaps/>
          <w:sz w:val="22"/>
          <w:szCs w:val="22"/>
        </w:rPr>
        <w:t xml:space="preserve">3.1.1 </w:t>
      </w:r>
      <w:r>
        <w:rPr>
          <w:rFonts w:ascii="Arial" w:eastAsia="Arial" w:hAnsi="Arial" w:cs="Arial"/>
          <w:b/>
          <w:sz w:val="22"/>
          <w:szCs w:val="22"/>
        </w:rPr>
        <w:t xml:space="preserve">Evaluation </w:t>
      </w:r>
      <w:r>
        <w:rPr>
          <w:rFonts w:ascii="Arial" w:eastAsia="Arial" w:hAnsi="Arial" w:cs="Arial"/>
          <w:b/>
          <w:sz w:val="22"/>
          <w:szCs w:val="22"/>
        </w:rPr>
        <w:t>of Mass</w:t>
      </w:r>
    </w:p>
    <w:p w14:paraId="4CE70748" w14:textId="77777777" w:rsidR="00F773C7" w:rsidRDefault="00F773C7">
      <w:pPr>
        <w:keepNext/>
        <w:pBdr>
          <w:top w:val="nil"/>
          <w:left w:val="nil"/>
          <w:bottom w:val="nil"/>
          <w:right w:val="nil"/>
          <w:between w:val="nil"/>
        </w:pBdr>
        <w:jc w:val="both"/>
        <w:rPr>
          <w:rFonts w:ascii="Arial" w:eastAsia="Arial" w:hAnsi="Arial" w:cs="Arial"/>
          <w:b/>
          <w:smallCaps/>
          <w:sz w:val="22"/>
          <w:szCs w:val="22"/>
        </w:rPr>
      </w:pPr>
    </w:p>
    <w:p w14:paraId="560F233B"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Table 1 presents the mass results recorded before and after the simulated brushing over a period corresponding to 60 months. No statistically significant differences in mass loss were observed among the experimental groups (</w:t>
      </w:r>
      <w:r>
        <w:rPr>
          <w:rFonts w:ascii="Arial" w:eastAsia="Arial" w:hAnsi="Arial" w:cs="Arial"/>
          <w:i/>
        </w:rPr>
        <w:t>P</w:t>
      </w:r>
      <w:r>
        <w:rPr>
          <w:rFonts w:ascii="Arial" w:eastAsia="Arial" w:hAnsi="Arial" w:cs="Arial"/>
        </w:rPr>
        <w:t xml:space="preserve"> = 0.560).</w:t>
      </w:r>
    </w:p>
    <w:p w14:paraId="1DC7729D" w14:textId="77777777" w:rsidR="00F773C7" w:rsidRDefault="00F773C7">
      <w:pPr>
        <w:pBdr>
          <w:top w:val="nil"/>
          <w:left w:val="nil"/>
          <w:bottom w:val="nil"/>
          <w:right w:val="nil"/>
          <w:between w:val="nil"/>
        </w:pBdr>
        <w:jc w:val="both"/>
        <w:rPr>
          <w:rFonts w:ascii="Arial" w:eastAsia="Arial" w:hAnsi="Arial" w:cs="Arial"/>
        </w:rPr>
      </w:pPr>
    </w:p>
    <w:p w14:paraId="0784C542" w14:textId="77777777" w:rsidR="00F773C7" w:rsidRDefault="00AD7B73">
      <w:pPr>
        <w:spacing w:line="360" w:lineRule="auto"/>
        <w:jc w:val="both"/>
        <w:rPr>
          <w:rFonts w:ascii="Arial" w:eastAsia="Arial" w:hAnsi="Arial" w:cs="Arial"/>
          <w:b/>
        </w:rPr>
      </w:pPr>
      <w:r>
        <w:rPr>
          <w:rFonts w:ascii="Arial" w:eastAsia="Arial" w:hAnsi="Arial" w:cs="Arial"/>
          <w:b/>
        </w:rPr>
        <w:t xml:space="preserve">Table 1. </w:t>
      </w:r>
      <w:r>
        <w:rPr>
          <w:rFonts w:ascii="Arial" w:eastAsia="Arial" w:hAnsi="Arial" w:cs="Arial"/>
          <w:b/>
        </w:rPr>
        <w:t>Means and standard deviation of mass, in grams, according to the treatment and time.</w:t>
      </w:r>
    </w:p>
    <w:p w14:paraId="0B902EC0" w14:textId="77777777" w:rsidR="00F773C7" w:rsidRDefault="00AD7B73">
      <w:pPr>
        <w:pStyle w:val="Heading1"/>
        <w:keepNext w:val="0"/>
        <w:spacing w:before="0" w:after="0"/>
        <w:ind w:left="2340" w:right="2040"/>
        <w:jc w:val="center"/>
        <w:rPr>
          <w:sz w:val="20"/>
          <w:szCs w:val="20"/>
        </w:rPr>
      </w:pPr>
      <w:bookmarkStart w:id="2" w:name="_heading=h.a2qev2o4xe5v" w:colFirst="0" w:colLast="0"/>
      <w:bookmarkEnd w:id="2"/>
      <w:r>
        <w:rPr>
          <w:sz w:val="20"/>
          <w:szCs w:val="20"/>
        </w:rPr>
        <w:t>Time</w:t>
      </w:r>
    </w:p>
    <w:tbl>
      <w:tblPr>
        <w:tblStyle w:val="aa"/>
        <w:tblW w:w="8280" w:type="dxa"/>
        <w:tblBorders>
          <w:top w:val="nil"/>
          <w:left w:val="nil"/>
          <w:bottom w:val="nil"/>
          <w:right w:val="nil"/>
          <w:insideH w:val="nil"/>
          <w:insideV w:val="nil"/>
        </w:tblBorders>
        <w:tblLayout w:type="fixed"/>
        <w:tblLook w:val="0600" w:firstRow="0" w:lastRow="0" w:firstColumn="0" w:lastColumn="0" w:noHBand="1" w:noVBand="1"/>
      </w:tblPr>
      <w:tblGrid>
        <w:gridCol w:w="1500"/>
        <w:gridCol w:w="1365"/>
        <w:gridCol w:w="1380"/>
        <w:gridCol w:w="1410"/>
        <w:gridCol w:w="1395"/>
        <w:gridCol w:w="1230"/>
      </w:tblGrid>
      <w:tr w:rsidR="00F773C7" w14:paraId="38640877" w14:textId="77777777">
        <w:trPr>
          <w:trHeight w:val="304"/>
        </w:trPr>
        <w:tc>
          <w:tcPr>
            <w:tcW w:w="1500" w:type="dxa"/>
            <w:tcBorders>
              <w:top w:val="nil"/>
              <w:left w:val="nil"/>
              <w:bottom w:val="single" w:sz="6" w:space="0" w:color="000000"/>
              <w:right w:val="nil"/>
            </w:tcBorders>
            <w:tcMar>
              <w:top w:w="0" w:type="dxa"/>
              <w:left w:w="0" w:type="dxa"/>
              <w:bottom w:w="0" w:type="dxa"/>
              <w:right w:w="0" w:type="dxa"/>
            </w:tcMar>
          </w:tcPr>
          <w:p w14:paraId="355E30F3" w14:textId="77777777" w:rsidR="00F773C7" w:rsidRDefault="00AD7B73">
            <w:pPr>
              <w:ind w:left="120"/>
              <w:rPr>
                <w:rFonts w:ascii="Arial" w:eastAsia="Arial" w:hAnsi="Arial" w:cs="Arial"/>
              </w:rPr>
            </w:pPr>
            <w:r>
              <w:rPr>
                <w:rFonts w:ascii="Arial" w:eastAsia="Arial" w:hAnsi="Arial" w:cs="Arial"/>
              </w:rPr>
              <w:t xml:space="preserve"> </w:t>
            </w:r>
          </w:p>
        </w:tc>
        <w:tc>
          <w:tcPr>
            <w:tcW w:w="1365" w:type="dxa"/>
            <w:tcBorders>
              <w:top w:val="single" w:sz="6" w:space="0" w:color="000000"/>
              <w:left w:val="nil"/>
              <w:bottom w:val="single" w:sz="6" w:space="0" w:color="000000"/>
              <w:right w:val="nil"/>
            </w:tcBorders>
            <w:tcMar>
              <w:top w:w="0" w:type="dxa"/>
              <w:left w:w="0" w:type="dxa"/>
              <w:bottom w:w="0" w:type="dxa"/>
              <w:right w:w="0" w:type="dxa"/>
            </w:tcMar>
          </w:tcPr>
          <w:p w14:paraId="7988B2C4" w14:textId="77777777" w:rsidR="00F773C7" w:rsidRDefault="00AD7B73">
            <w:pPr>
              <w:ind w:left="160" w:right="40"/>
              <w:jc w:val="center"/>
              <w:rPr>
                <w:rFonts w:ascii="Arial" w:eastAsia="Arial" w:hAnsi="Arial" w:cs="Arial"/>
                <w:b/>
              </w:rPr>
            </w:pPr>
            <w:r>
              <w:rPr>
                <w:rFonts w:ascii="Arial" w:eastAsia="Arial" w:hAnsi="Arial" w:cs="Arial"/>
                <w:b/>
              </w:rPr>
              <w:t>T0</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0C3EF6E7" w14:textId="77777777" w:rsidR="00F773C7" w:rsidRDefault="00AD7B73">
            <w:pPr>
              <w:ind w:left="220" w:right="100"/>
              <w:jc w:val="center"/>
              <w:rPr>
                <w:rFonts w:ascii="Arial" w:eastAsia="Arial" w:hAnsi="Arial" w:cs="Arial"/>
                <w:b/>
              </w:rPr>
            </w:pPr>
            <w:r>
              <w:rPr>
                <w:rFonts w:ascii="Arial" w:eastAsia="Arial" w:hAnsi="Arial" w:cs="Arial"/>
                <w:b/>
              </w:rPr>
              <w:t>T1</w:t>
            </w:r>
          </w:p>
        </w:tc>
        <w:tc>
          <w:tcPr>
            <w:tcW w:w="1410" w:type="dxa"/>
            <w:tcBorders>
              <w:top w:val="single" w:sz="6" w:space="0" w:color="000000"/>
              <w:left w:val="nil"/>
              <w:bottom w:val="single" w:sz="6" w:space="0" w:color="000000"/>
              <w:right w:val="nil"/>
            </w:tcBorders>
            <w:tcMar>
              <w:top w:w="0" w:type="dxa"/>
              <w:left w:w="0" w:type="dxa"/>
              <w:bottom w:w="0" w:type="dxa"/>
              <w:right w:w="0" w:type="dxa"/>
            </w:tcMar>
          </w:tcPr>
          <w:p w14:paraId="6692AC65" w14:textId="77777777" w:rsidR="00F773C7" w:rsidRDefault="00AD7B73">
            <w:pPr>
              <w:ind w:left="240" w:right="100"/>
              <w:jc w:val="center"/>
              <w:rPr>
                <w:rFonts w:ascii="Arial" w:eastAsia="Arial" w:hAnsi="Arial" w:cs="Arial"/>
                <w:b/>
              </w:rPr>
            </w:pPr>
            <w:r>
              <w:rPr>
                <w:rFonts w:ascii="Arial" w:eastAsia="Arial" w:hAnsi="Arial" w:cs="Arial"/>
                <w:b/>
              </w:rPr>
              <w:t>T2</w:t>
            </w:r>
          </w:p>
        </w:tc>
        <w:tc>
          <w:tcPr>
            <w:tcW w:w="1395" w:type="dxa"/>
            <w:tcBorders>
              <w:top w:val="single" w:sz="6" w:space="0" w:color="000000"/>
              <w:left w:val="nil"/>
              <w:bottom w:val="single" w:sz="6" w:space="0" w:color="000000"/>
              <w:right w:val="nil"/>
            </w:tcBorders>
            <w:tcMar>
              <w:top w:w="0" w:type="dxa"/>
              <w:left w:w="0" w:type="dxa"/>
              <w:bottom w:w="0" w:type="dxa"/>
              <w:right w:w="0" w:type="dxa"/>
            </w:tcMar>
          </w:tcPr>
          <w:p w14:paraId="23EC8C8A" w14:textId="77777777" w:rsidR="00F773C7" w:rsidRDefault="00AD7B73">
            <w:pPr>
              <w:ind w:left="240" w:right="100"/>
              <w:jc w:val="center"/>
              <w:rPr>
                <w:rFonts w:ascii="Arial" w:eastAsia="Arial" w:hAnsi="Arial" w:cs="Arial"/>
                <w:b/>
              </w:rPr>
            </w:pPr>
            <w:r>
              <w:rPr>
                <w:rFonts w:ascii="Arial" w:eastAsia="Arial" w:hAnsi="Arial" w:cs="Arial"/>
                <w:b/>
              </w:rPr>
              <w:t>T3</w:t>
            </w:r>
          </w:p>
        </w:tc>
        <w:tc>
          <w:tcPr>
            <w:tcW w:w="1230" w:type="dxa"/>
            <w:tcBorders>
              <w:top w:val="nil"/>
              <w:left w:val="nil"/>
              <w:bottom w:val="single" w:sz="6" w:space="0" w:color="000000"/>
              <w:right w:val="nil"/>
            </w:tcBorders>
            <w:tcMar>
              <w:top w:w="0" w:type="dxa"/>
              <w:left w:w="0" w:type="dxa"/>
              <w:bottom w:w="0" w:type="dxa"/>
              <w:right w:w="0" w:type="dxa"/>
            </w:tcMar>
          </w:tcPr>
          <w:p w14:paraId="44D8488C" w14:textId="77777777" w:rsidR="00F773C7" w:rsidRDefault="00AD7B73">
            <w:pPr>
              <w:ind w:left="280" w:right="160"/>
              <w:jc w:val="both"/>
              <w:rPr>
                <w:rFonts w:ascii="Arial" w:eastAsia="Arial" w:hAnsi="Arial" w:cs="Arial"/>
                <w:b/>
              </w:rPr>
            </w:pPr>
            <w:r>
              <w:rPr>
                <w:rFonts w:ascii="Arial" w:eastAsia="Arial" w:hAnsi="Arial" w:cs="Arial"/>
                <w:b/>
                <w:i/>
              </w:rPr>
              <w:t>P</w:t>
            </w:r>
            <w:r>
              <w:rPr>
                <w:rFonts w:ascii="Arial" w:eastAsia="Arial" w:hAnsi="Arial" w:cs="Arial"/>
                <w:b/>
              </w:rPr>
              <w:t>-Value</w:t>
            </w:r>
          </w:p>
        </w:tc>
      </w:tr>
      <w:tr w:rsidR="00F773C7" w14:paraId="6F7DE0C1" w14:textId="77777777">
        <w:trPr>
          <w:trHeight w:val="375"/>
        </w:trPr>
        <w:tc>
          <w:tcPr>
            <w:tcW w:w="1500" w:type="dxa"/>
            <w:tcBorders>
              <w:top w:val="nil"/>
              <w:left w:val="nil"/>
              <w:bottom w:val="nil"/>
              <w:right w:val="nil"/>
            </w:tcBorders>
            <w:tcMar>
              <w:top w:w="0" w:type="dxa"/>
              <w:left w:w="0" w:type="dxa"/>
              <w:bottom w:w="0" w:type="dxa"/>
              <w:right w:w="0" w:type="dxa"/>
            </w:tcMar>
          </w:tcPr>
          <w:p w14:paraId="70A57C64" w14:textId="77777777" w:rsidR="00F773C7" w:rsidRDefault="00AD7B73">
            <w:pPr>
              <w:ind w:left="200"/>
              <w:rPr>
                <w:rFonts w:ascii="Arial" w:eastAsia="Arial" w:hAnsi="Arial" w:cs="Arial"/>
                <w:b/>
              </w:rPr>
            </w:pPr>
            <w:r>
              <w:rPr>
                <w:rFonts w:ascii="Arial" w:eastAsia="Arial" w:hAnsi="Arial" w:cs="Arial"/>
                <w:b/>
              </w:rPr>
              <w:t>Mass</w:t>
            </w:r>
          </w:p>
        </w:tc>
        <w:tc>
          <w:tcPr>
            <w:tcW w:w="1365" w:type="dxa"/>
            <w:tcBorders>
              <w:top w:val="nil"/>
              <w:left w:val="nil"/>
              <w:bottom w:val="nil"/>
              <w:right w:val="nil"/>
            </w:tcBorders>
            <w:tcMar>
              <w:top w:w="0" w:type="dxa"/>
              <w:left w:w="0" w:type="dxa"/>
              <w:bottom w:w="0" w:type="dxa"/>
              <w:right w:w="0" w:type="dxa"/>
            </w:tcMar>
          </w:tcPr>
          <w:p w14:paraId="17A20D41" w14:textId="77777777" w:rsidR="00F773C7" w:rsidRDefault="00AD7B73">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3EE33315" w14:textId="77777777" w:rsidR="00F773C7" w:rsidRDefault="00AD7B73">
            <w:pPr>
              <w:ind w:left="120"/>
              <w:rPr>
                <w:rFonts w:ascii="Arial" w:eastAsia="Arial" w:hAnsi="Arial" w:cs="Arial"/>
              </w:rPr>
            </w:pPr>
            <w:r>
              <w:rPr>
                <w:rFonts w:ascii="Arial" w:eastAsia="Arial" w:hAnsi="Arial" w:cs="Arial"/>
              </w:rPr>
              <w:t xml:space="preserve"> </w:t>
            </w:r>
          </w:p>
        </w:tc>
        <w:tc>
          <w:tcPr>
            <w:tcW w:w="1410" w:type="dxa"/>
            <w:tcBorders>
              <w:top w:val="nil"/>
              <w:left w:val="nil"/>
              <w:bottom w:val="nil"/>
              <w:right w:val="nil"/>
            </w:tcBorders>
            <w:tcMar>
              <w:top w:w="0" w:type="dxa"/>
              <w:left w:w="0" w:type="dxa"/>
              <w:bottom w:w="0" w:type="dxa"/>
              <w:right w:w="0" w:type="dxa"/>
            </w:tcMar>
          </w:tcPr>
          <w:p w14:paraId="2D2B7682" w14:textId="77777777" w:rsidR="00F773C7" w:rsidRDefault="00AD7B73">
            <w:pPr>
              <w:ind w:left="120"/>
              <w:rPr>
                <w:rFonts w:ascii="Arial" w:eastAsia="Arial" w:hAnsi="Arial" w:cs="Arial"/>
              </w:rPr>
            </w:pPr>
            <w:r>
              <w:rPr>
                <w:rFonts w:ascii="Arial" w:eastAsia="Arial" w:hAnsi="Arial" w:cs="Arial"/>
              </w:rPr>
              <w:t xml:space="preserve"> </w:t>
            </w:r>
          </w:p>
        </w:tc>
        <w:tc>
          <w:tcPr>
            <w:tcW w:w="1395" w:type="dxa"/>
            <w:tcBorders>
              <w:top w:val="nil"/>
              <w:left w:val="nil"/>
              <w:bottom w:val="nil"/>
              <w:right w:val="nil"/>
            </w:tcBorders>
            <w:tcMar>
              <w:top w:w="0" w:type="dxa"/>
              <w:left w:w="0" w:type="dxa"/>
              <w:bottom w:w="0" w:type="dxa"/>
              <w:right w:w="0" w:type="dxa"/>
            </w:tcMar>
          </w:tcPr>
          <w:p w14:paraId="776E36CF" w14:textId="77777777" w:rsidR="00F773C7" w:rsidRDefault="00AD7B73">
            <w:pPr>
              <w:ind w:left="120"/>
              <w:rPr>
                <w:rFonts w:ascii="Arial" w:eastAsia="Arial" w:hAnsi="Arial" w:cs="Arial"/>
              </w:rPr>
            </w:pPr>
            <w:r>
              <w:rPr>
                <w:rFonts w:ascii="Arial" w:eastAsia="Arial" w:hAnsi="Arial" w:cs="Arial"/>
              </w:rPr>
              <w:t xml:space="preserve"> </w:t>
            </w:r>
          </w:p>
        </w:tc>
        <w:tc>
          <w:tcPr>
            <w:tcW w:w="1230" w:type="dxa"/>
            <w:tcBorders>
              <w:top w:val="nil"/>
              <w:left w:val="nil"/>
              <w:bottom w:val="nil"/>
              <w:right w:val="nil"/>
            </w:tcBorders>
            <w:tcMar>
              <w:top w:w="0" w:type="dxa"/>
              <w:left w:w="0" w:type="dxa"/>
              <w:bottom w:w="0" w:type="dxa"/>
              <w:right w:w="0" w:type="dxa"/>
            </w:tcMar>
          </w:tcPr>
          <w:p w14:paraId="5A399E61" w14:textId="77777777" w:rsidR="00F773C7" w:rsidRDefault="00AD7B73">
            <w:pPr>
              <w:ind w:left="120"/>
              <w:rPr>
                <w:rFonts w:ascii="Arial" w:eastAsia="Arial" w:hAnsi="Arial" w:cs="Arial"/>
              </w:rPr>
            </w:pPr>
            <w:r>
              <w:rPr>
                <w:rFonts w:ascii="Arial" w:eastAsia="Arial" w:hAnsi="Arial" w:cs="Arial"/>
              </w:rPr>
              <w:t xml:space="preserve"> </w:t>
            </w:r>
          </w:p>
        </w:tc>
      </w:tr>
      <w:tr w:rsidR="00F773C7" w14:paraId="4674D18F" w14:textId="77777777">
        <w:trPr>
          <w:trHeight w:val="510"/>
        </w:trPr>
        <w:tc>
          <w:tcPr>
            <w:tcW w:w="1500" w:type="dxa"/>
            <w:tcBorders>
              <w:top w:val="nil"/>
              <w:left w:val="nil"/>
              <w:bottom w:val="nil"/>
              <w:right w:val="nil"/>
            </w:tcBorders>
            <w:tcMar>
              <w:top w:w="0" w:type="dxa"/>
              <w:left w:w="0" w:type="dxa"/>
              <w:bottom w:w="0" w:type="dxa"/>
              <w:right w:w="0" w:type="dxa"/>
            </w:tcMar>
          </w:tcPr>
          <w:p w14:paraId="4B242D12" w14:textId="77777777" w:rsidR="00F773C7" w:rsidRDefault="00AD7B73">
            <w:pPr>
              <w:ind w:left="260"/>
              <w:rPr>
                <w:rFonts w:ascii="Arial" w:eastAsia="Arial" w:hAnsi="Arial" w:cs="Arial"/>
              </w:rPr>
            </w:pPr>
            <w:r>
              <w:rPr>
                <w:rFonts w:ascii="Arial" w:eastAsia="Arial" w:hAnsi="Arial" w:cs="Arial"/>
              </w:rPr>
              <w:t>DW</w:t>
            </w:r>
          </w:p>
        </w:tc>
        <w:tc>
          <w:tcPr>
            <w:tcW w:w="1365" w:type="dxa"/>
            <w:tcBorders>
              <w:top w:val="nil"/>
              <w:left w:val="nil"/>
              <w:bottom w:val="nil"/>
              <w:right w:val="nil"/>
            </w:tcBorders>
            <w:tcMar>
              <w:top w:w="0" w:type="dxa"/>
              <w:left w:w="0" w:type="dxa"/>
              <w:bottom w:w="0" w:type="dxa"/>
              <w:right w:w="0" w:type="dxa"/>
            </w:tcMar>
          </w:tcPr>
          <w:p w14:paraId="45E1E72D" w14:textId="77777777" w:rsidR="00F773C7" w:rsidRDefault="00AD7B73">
            <w:pPr>
              <w:ind w:left="160" w:right="40"/>
              <w:jc w:val="center"/>
              <w:rPr>
                <w:rFonts w:ascii="Arial" w:eastAsia="Arial" w:hAnsi="Arial" w:cs="Arial"/>
                <w:vertAlign w:val="superscript"/>
              </w:rPr>
            </w:pPr>
            <w:r>
              <w:rPr>
                <w:rFonts w:ascii="Arial" w:eastAsia="Arial" w:hAnsi="Arial" w:cs="Arial"/>
              </w:rPr>
              <w:t>3.15±0.21</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066E88CF" w14:textId="77777777" w:rsidR="00F773C7" w:rsidRDefault="00AD7B73">
            <w:pPr>
              <w:ind w:left="220" w:right="100"/>
              <w:jc w:val="center"/>
              <w:rPr>
                <w:rFonts w:ascii="Arial" w:eastAsia="Arial" w:hAnsi="Arial" w:cs="Arial"/>
                <w:vertAlign w:val="superscript"/>
              </w:rPr>
            </w:pPr>
            <w:r>
              <w:rPr>
                <w:rFonts w:ascii="Arial" w:eastAsia="Arial" w:hAnsi="Arial" w:cs="Arial"/>
              </w:rPr>
              <w:t>3.14±0.22</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59833069" w14:textId="77777777" w:rsidR="00F773C7" w:rsidRDefault="00AD7B73">
            <w:pPr>
              <w:ind w:left="240" w:right="120"/>
              <w:jc w:val="center"/>
              <w:rPr>
                <w:rFonts w:ascii="Arial" w:eastAsia="Arial" w:hAnsi="Arial" w:cs="Arial"/>
                <w:vertAlign w:val="superscript"/>
              </w:rPr>
            </w:pPr>
            <w:r>
              <w:rPr>
                <w:rFonts w:ascii="Arial" w:eastAsia="Arial" w:hAnsi="Arial" w:cs="Arial"/>
              </w:rPr>
              <w:t>3.14±0.22</w:t>
            </w:r>
            <w:r>
              <w:rPr>
                <w:rFonts w:ascii="Arial" w:eastAsia="Arial" w:hAnsi="Arial" w:cs="Arial"/>
                <w:vertAlign w:val="superscript"/>
              </w:rPr>
              <w:t>Aa</w:t>
            </w:r>
          </w:p>
        </w:tc>
        <w:tc>
          <w:tcPr>
            <w:tcW w:w="1395" w:type="dxa"/>
            <w:tcBorders>
              <w:top w:val="nil"/>
              <w:left w:val="nil"/>
              <w:bottom w:val="nil"/>
              <w:right w:val="nil"/>
            </w:tcBorders>
            <w:tcMar>
              <w:top w:w="0" w:type="dxa"/>
              <w:left w:w="0" w:type="dxa"/>
              <w:bottom w:w="0" w:type="dxa"/>
              <w:right w:w="0" w:type="dxa"/>
            </w:tcMar>
          </w:tcPr>
          <w:p w14:paraId="18E5035D" w14:textId="77777777" w:rsidR="00F773C7" w:rsidRDefault="00AD7B73">
            <w:pPr>
              <w:ind w:left="240" w:right="120"/>
              <w:jc w:val="center"/>
              <w:rPr>
                <w:rFonts w:ascii="Arial" w:eastAsia="Arial" w:hAnsi="Arial" w:cs="Arial"/>
                <w:vertAlign w:val="superscript"/>
              </w:rPr>
            </w:pPr>
            <w:r>
              <w:rPr>
                <w:rFonts w:ascii="Arial" w:eastAsia="Arial" w:hAnsi="Arial" w:cs="Arial"/>
              </w:rPr>
              <w:t>3.14±0.22</w:t>
            </w:r>
            <w:r>
              <w:rPr>
                <w:rFonts w:ascii="Arial" w:eastAsia="Arial" w:hAnsi="Arial" w:cs="Arial"/>
                <w:vertAlign w:val="superscript"/>
              </w:rPr>
              <w:t>Aa</w:t>
            </w:r>
          </w:p>
        </w:tc>
        <w:tc>
          <w:tcPr>
            <w:tcW w:w="1230" w:type="dxa"/>
            <w:tcBorders>
              <w:top w:val="nil"/>
              <w:left w:val="nil"/>
              <w:bottom w:val="nil"/>
              <w:right w:val="nil"/>
            </w:tcBorders>
            <w:tcMar>
              <w:top w:w="0" w:type="dxa"/>
              <w:left w:w="0" w:type="dxa"/>
              <w:bottom w:w="0" w:type="dxa"/>
              <w:right w:w="0" w:type="dxa"/>
            </w:tcMar>
          </w:tcPr>
          <w:p w14:paraId="24BECABF" w14:textId="77777777" w:rsidR="00F773C7" w:rsidRDefault="00AD7B73">
            <w:pPr>
              <w:ind w:left="280" w:right="160"/>
              <w:jc w:val="center"/>
              <w:rPr>
                <w:rFonts w:ascii="Arial" w:eastAsia="Arial" w:hAnsi="Arial" w:cs="Arial"/>
              </w:rPr>
            </w:pPr>
            <w:r>
              <w:rPr>
                <w:rFonts w:ascii="Arial" w:eastAsia="Arial" w:hAnsi="Arial" w:cs="Arial"/>
              </w:rPr>
              <w:t>1.000</w:t>
            </w:r>
          </w:p>
        </w:tc>
      </w:tr>
      <w:tr w:rsidR="00F773C7" w14:paraId="4546EC15" w14:textId="77777777">
        <w:trPr>
          <w:trHeight w:val="510"/>
        </w:trPr>
        <w:tc>
          <w:tcPr>
            <w:tcW w:w="1500" w:type="dxa"/>
            <w:tcBorders>
              <w:top w:val="nil"/>
              <w:left w:val="nil"/>
              <w:bottom w:val="nil"/>
              <w:right w:val="nil"/>
            </w:tcBorders>
            <w:tcMar>
              <w:top w:w="0" w:type="dxa"/>
              <w:left w:w="0" w:type="dxa"/>
              <w:bottom w:w="0" w:type="dxa"/>
              <w:right w:w="0" w:type="dxa"/>
            </w:tcMar>
          </w:tcPr>
          <w:p w14:paraId="0A98426E" w14:textId="77777777" w:rsidR="00F773C7" w:rsidRDefault="00AD7B73">
            <w:pPr>
              <w:ind w:left="260"/>
              <w:rPr>
                <w:rFonts w:ascii="Arial" w:eastAsia="Arial" w:hAnsi="Arial" w:cs="Arial"/>
              </w:rPr>
            </w:pPr>
            <w:r>
              <w:rPr>
                <w:rFonts w:ascii="Arial" w:eastAsia="Arial" w:hAnsi="Arial" w:cs="Arial"/>
              </w:rPr>
              <w:t>PD</w:t>
            </w:r>
          </w:p>
        </w:tc>
        <w:tc>
          <w:tcPr>
            <w:tcW w:w="1365" w:type="dxa"/>
            <w:tcBorders>
              <w:top w:val="nil"/>
              <w:left w:val="nil"/>
              <w:bottom w:val="nil"/>
              <w:right w:val="nil"/>
            </w:tcBorders>
            <w:tcMar>
              <w:top w:w="0" w:type="dxa"/>
              <w:left w:w="0" w:type="dxa"/>
              <w:bottom w:w="0" w:type="dxa"/>
              <w:right w:w="0" w:type="dxa"/>
            </w:tcMar>
          </w:tcPr>
          <w:p w14:paraId="0E392385" w14:textId="77777777" w:rsidR="00F773C7" w:rsidRDefault="00AD7B73">
            <w:pPr>
              <w:ind w:left="160" w:right="40"/>
              <w:jc w:val="center"/>
              <w:rPr>
                <w:rFonts w:ascii="Arial" w:eastAsia="Arial" w:hAnsi="Arial" w:cs="Arial"/>
                <w:vertAlign w:val="superscript"/>
              </w:rPr>
            </w:pPr>
            <w:r>
              <w:rPr>
                <w:rFonts w:ascii="Arial" w:eastAsia="Arial" w:hAnsi="Arial" w:cs="Arial"/>
              </w:rPr>
              <w:t>3.13±0.22</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41146994" w14:textId="77777777" w:rsidR="00F773C7" w:rsidRDefault="00AD7B73">
            <w:pPr>
              <w:ind w:left="220" w:right="100"/>
              <w:jc w:val="center"/>
              <w:rPr>
                <w:rFonts w:ascii="Arial" w:eastAsia="Arial" w:hAnsi="Arial" w:cs="Arial"/>
                <w:vertAlign w:val="superscript"/>
              </w:rPr>
            </w:pPr>
            <w:r>
              <w:rPr>
                <w:rFonts w:ascii="Arial" w:eastAsia="Arial" w:hAnsi="Arial" w:cs="Arial"/>
              </w:rPr>
              <w:t>3.05±0.33</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47231873" w14:textId="77777777" w:rsidR="00F773C7" w:rsidRDefault="00AD7B73">
            <w:pPr>
              <w:ind w:left="240" w:right="120"/>
              <w:jc w:val="center"/>
              <w:rPr>
                <w:rFonts w:ascii="Arial" w:eastAsia="Arial" w:hAnsi="Arial" w:cs="Arial"/>
                <w:vertAlign w:val="superscript"/>
              </w:rPr>
            </w:pPr>
            <w:r>
              <w:rPr>
                <w:rFonts w:ascii="Arial" w:eastAsia="Arial" w:hAnsi="Arial" w:cs="Arial"/>
              </w:rPr>
              <w:t>3.04±0.33</w:t>
            </w:r>
            <w:r>
              <w:rPr>
                <w:rFonts w:ascii="Arial" w:eastAsia="Arial" w:hAnsi="Arial" w:cs="Arial"/>
                <w:vertAlign w:val="superscript"/>
              </w:rPr>
              <w:t>Aa</w:t>
            </w:r>
          </w:p>
        </w:tc>
        <w:tc>
          <w:tcPr>
            <w:tcW w:w="1395" w:type="dxa"/>
            <w:tcBorders>
              <w:top w:val="nil"/>
              <w:left w:val="nil"/>
              <w:bottom w:val="nil"/>
              <w:right w:val="nil"/>
            </w:tcBorders>
            <w:tcMar>
              <w:top w:w="0" w:type="dxa"/>
              <w:left w:w="0" w:type="dxa"/>
              <w:bottom w:w="0" w:type="dxa"/>
              <w:right w:w="0" w:type="dxa"/>
            </w:tcMar>
          </w:tcPr>
          <w:p w14:paraId="286DCAC5" w14:textId="77777777" w:rsidR="00F773C7" w:rsidRDefault="00AD7B73">
            <w:pPr>
              <w:ind w:left="240" w:right="120"/>
              <w:jc w:val="center"/>
              <w:rPr>
                <w:rFonts w:ascii="Arial" w:eastAsia="Arial" w:hAnsi="Arial" w:cs="Arial"/>
                <w:vertAlign w:val="superscript"/>
              </w:rPr>
            </w:pPr>
            <w:r>
              <w:rPr>
                <w:rFonts w:ascii="Arial" w:eastAsia="Arial" w:hAnsi="Arial" w:cs="Arial"/>
              </w:rPr>
              <w:t>3.05±0.33</w:t>
            </w:r>
            <w:r>
              <w:rPr>
                <w:rFonts w:ascii="Arial" w:eastAsia="Arial" w:hAnsi="Arial" w:cs="Arial"/>
                <w:vertAlign w:val="superscript"/>
              </w:rPr>
              <w:t>Aa</w:t>
            </w:r>
          </w:p>
        </w:tc>
        <w:tc>
          <w:tcPr>
            <w:tcW w:w="1230" w:type="dxa"/>
            <w:tcBorders>
              <w:top w:val="nil"/>
              <w:left w:val="nil"/>
              <w:bottom w:val="nil"/>
              <w:right w:val="nil"/>
            </w:tcBorders>
            <w:tcMar>
              <w:top w:w="0" w:type="dxa"/>
              <w:left w:w="0" w:type="dxa"/>
              <w:bottom w:w="0" w:type="dxa"/>
              <w:right w:w="0" w:type="dxa"/>
            </w:tcMar>
          </w:tcPr>
          <w:p w14:paraId="1708BCFD" w14:textId="77777777" w:rsidR="00F773C7" w:rsidRDefault="00AD7B73">
            <w:pPr>
              <w:ind w:left="280" w:right="160"/>
              <w:jc w:val="center"/>
              <w:rPr>
                <w:rFonts w:ascii="Arial" w:eastAsia="Arial" w:hAnsi="Arial" w:cs="Arial"/>
              </w:rPr>
            </w:pPr>
            <w:r>
              <w:rPr>
                <w:rFonts w:ascii="Arial" w:eastAsia="Arial" w:hAnsi="Arial" w:cs="Arial"/>
              </w:rPr>
              <w:t>0.792</w:t>
            </w:r>
          </w:p>
        </w:tc>
      </w:tr>
      <w:tr w:rsidR="00F773C7" w14:paraId="057B30C3" w14:textId="77777777">
        <w:trPr>
          <w:trHeight w:val="525"/>
        </w:trPr>
        <w:tc>
          <w:tcPr>
            <w:tcW w:w="1500" w:type="dxa"/>
            <w:tcBorders>
              <w:top w:val="nil"/>
              <w:left w:val="nil"/>
              <w:bottom w:val="single" w:sz="6" w:space="0" w:color="000000"/>
              <w:right w:val="nil"/>
            </w:tcBorders>
            <w:tcMar>
              <w:top w:w="0" w:type="dxa"/>
              <w:left w:w="0" w:type="dxa"/>
              <w:bottom w:w="0" w:type="dxa"/>
              <w:right w:w="0" w:type="dxa"/>
            </w:tcMar>
          </w:tcPr>
          <w:p w14:paraId="4CDBC7FB" w14:textId="77777777" w:rsidR="00F773C7" w:rsidRDefault="00AD7B73">
            <w:pPr>
              <w:ind w:left="260"/>
              <w:rPr>
                <w:rFonts w:ascii="Arial" w:eastAsia="Arial" w:hAnsi="Arial" w:cs="Arial"/>
              </w:rPr>
            </w:pPr>
            <w:r>
              <w:rPr>
                <w:rFonts w:ascii="Arial" w:eastAsia="Arial" w:hAnsi="Arial" w:cs="Arial"/>
              </w:rPr>
              <w:lastRenderedPageBreak/>
              <w:t>CD</w:t>
            </w:r>
          </w:p>
        </w:tc>
        <w:tc>
          <w:tcPr>
            <w:tcW w:w="1365" w:type="dxa"/>
            <w:tcBorders>
              <w:top w:val="nil"/>
              <w:left w:val="nil"/>
              <w:bottom w:val="single" w:sz="6" w:space="0" w:color="000000"/>
              <w:right w:val="nil"/>
            </w:tcBorders>
            <w:tcMar>
              <w:top w:w="0" w:type="dxa"/>
              <w:left w:w="0" w:type="dxa"/>
              <w:bottom w:w="0" w:type="dxa"/>
              <w:right w:w="0" w:type="dxa"/>
            </w:tcMar>
          </w:tcPr>
          <w:p w14:paraId="2693C6AC" w14:textId="77777777" w:rsidR="00F773C7" w:rsidRDefault="00AD7B73">
            <w:pPr>
              <w:ind w:left="160" w:right="40"/>
              <w:jc w:val="center"/>
              <w:rPr>
                <w:rFonts w:ascii="Arial" w:eastAsia="Arial" w:hAnsi="Arial" w:cs="Arial"/>
                <w:vertAlign w:val="superscript"/>
              </w:rPr>
            </w:pPr>
            <w:r>
              <w:rPr>
                <w:rFonts w:ascii="Arial" w:eastAsia="Arial" w:hAnsi="Arial" w:cs="Arial"/>
              </w:rPr>
              <w:t>3.14±0.21</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0E3969D6" w14:textId="77777777" w:rsidR="00F773C7" w:rsidRDefault="00AD7B73">
            <w:pPr>
              <w:ind w:left="220" w:right="100"/>
              <w:jc w:val="center"/>
              <w:rPr>
                <w:rFonts w:ascii="Arial" w:eastAsia="Arial" w:hAnsi="Arial" w:cs="Arial"/>
                <w:vertAlign w:val="superscript"/>
              </w:rPr>
            </w:pPr>
            <w:r>
              <w:rPr>
                <w:rFonts w:ascii="Arial" w:eastAsia="Arial" w:hAnsi="Arial" w:cs="Arial"/>
              </w:rPr>
              <w:t>3.16±0.18</w:t>
            </w:r>
            <w:r>
              <w:rPr>
                <w:rFonts w:ascii="Arial" w:eastAsia="Arial" w:hAnsi="Arial" w:cs="Arial"/>
                <w:vertAlign w:val="superscript"/>
              </w:rPr>
              <w:t>Aa</w:t>
            </w:r>
          </w:p>
        </w:tc>
        <w:tc>
          <w:tcPr>
            <w:tcW w:w="1410" w:type="dxa"/>
            <w:tcBorders>
              <w:top w:val="nil"/>
              <w:left w:val="nil"/>
              <w:bottom w:val="single" w:sz="6" w:space="0" w:color="000000"/>
              <w:right w:val="nil"/>
            </w:tcBorders>
            <w:tcMar>
              <w:top w:w="0" w:type="dxa"/>
              <w:left w:w="0" w:type="dxa"/>
              <w:bottom w:w="0" w:type="dxa"/>
              <w:right w:w="0" w:type="dxa"/>
            </w:tcMar>
          </w:tcPr>
          <w:p w14:paraId="4B9DF6CE" w14:textId="77777777" w:rsidR="00F773C7" w:rsidRDefault="00AD7B73">
            <w:pPr>
              <w:ind w:left="240" w:right="120"/>
              <w:jc w:val="center"/>
              <w:rPr>
                <w:rFonts w:ascii="Arial" w:eastAsia="Arial" w:hAnsi="Arial" w:cs="Arial"/>
                <w:vertAlign w:val="superscript"/>
              </w:rPr>
            </w:pPr>
            <w:r>
              <w:rPr>
                <w:rFonts w:ascii="Arial" w:eastAsia="Arial" w:hAnsi="Arial" w:cs="Arial"/>
              </w:rPr>
              <w:t>3.17±0.18</w:t>
            </w:r>
            <w:r>
              <w:rPr>
                <w:rFonts w:ascii="Arial" w:eastAsia="Arial" w:hAnsi="Arial" w:cs="Arial"/>
                <w:vertAlign w:val="superscript"/>
              </w:rPr>
              <w:t>Aa</w:t>
            </w:r>
          </w:p>
        </w:tc>
        <w:tc>
          <w:tcPr>
            <w:tcW w:w="1395" w:type="dxa"/>
            <w:tcBorders>
              <w:top w:val="nil"/>
              <w:left w:val="nil"/>
              <w:bottom w:val="single" w:sz="6" w:space="0" w:color="000000"/>
              <w:right w:val="nil"/>
            </w:tcBorders>
            <w:tcMar>
              <w:top w:w="0" w:type="dxa"/>
              <w:left w:w="0" w:type="dxa"/>
              <w:bottom w:w="0" w:type="dxa"/>
              <w:right w:w="0" w:type="dxa"/>
            </w:tcMar>
          </w:tcPr>
          <w:p w14:paraId="0612224B" w14:textId="77777777" w:rsidR="00F773C7" w:rsidRDefault="00AD7B73">
            <w:pPr>
              <w:ind w:left="240" w:right="120"/>
              <w:jc w:val="center"/>
              <w:rPr>
                <w:rFonts w:ascii="Arial" w:eastAsia="Arial" w:hAnsi="Arial" w:cs="Arial"/>
                <w:vertAlign w:val="superscript"/>
              </w:rPr>
            </w:pPr>
            <w:r>
              <w:rPr>
                <w:rFonts w:ascii="Arial" w:eastAsia="Arial" w:hAnsi="Arial" w:cs="Arial"/>
              </w:rPr>
              <w:t>3.17±0.19</w:t>
            </w:r>
            <w:r>
              <w:rPr>
                <w:rFonts w:ascii="Arial" w:eastAsia="Arial" w:hAnsi="Arial" w:cs="Arial"/>
                <w:vertAlign w:val="superscript"/>
              </w:rPr>
              <w:t>Aa</w:t>
            </w:r>
          </w:p>
        </w:tc>
        <w:tc>
          <w:tcPr>
            <w:tcW w:w="1230" w:type="dxa"/>
            <w:tcBorders>
              <w:top w:val="nil"/>
              <w:left w:val="nil"/>
              <w:bottom w:val="single" w:sz="6" w:space="0" w:color="000000"/>
              <w:right w:val="nil"/>
            </w:tcBorders>
            <w:tcMar>
              <w:top w:w="0" w:type="dxa"/>
              <w:left w:w="0" w:type="dxa"/>
              <w:bottom w:w="0" w:type="dxa"/>
              <w:right w:w="0" w:type="dxa"/>
            </w:tcMar>
          </w:tcPr>
          <w:p w14:paraId="00BA487A" w14:textId="77777777" w:rsidR="00F773C7" w:rsidRDefault="00AD7B73">
            <w:pPr>
              <w:ind w:left="280" w:right="160"/>
              <w:jc w:val="center"/>
              <w:rPr>
                <w:rFonts w:ascii="Arial" w:eastAsia="Arial" w:hAnsi="Arial" w:cs="Arial"/>
              </w:rPr>
            </w:pPr>
            <w:r>
              <w:rPr>
                <w:rFonts w:ascii="Arial" w:eastAsia="Arial" w:hAnsi="Arial" w:cs="Arial"/>
              </w:rPr>
              <w:t>0.893</w:t>
            </w:r>
          </w:p>
        </w:tc>
      </w:tr>
      <w:tr w:rsidR="00F773C7" w14:paraId="7C17BDE0" w14:textId="77777777">
        <w:trPr>
          <w:trHeight w:val="420"/>
        </w:trPr>
        <w:tc>
          <w:tcPr>
            <w:tcW w:w="1500" w:type="dxa"/>
            <w:tcBorders>
              <w:top w:val="nil"/>
              <w:left w:val="nil"/>
              <w:bottom w:val="single" w:sz="6" w:space="0" w:color="000000"/>
              <w:right w:val="nil"/>
            </w:tcBorders>
            <w:tcMar>
              <w:top w:w="0" w:type="dxa"/>
              <w:left w:w="0" w:type="dxa"/>
              <w:bottom w:w="0" w:type="dxa"/>
              <w:right w:w="0" w:type="dxa"/>
            </w:tcMar>
          </w:tcPr>
          <w:p w14:paraId="620A6468"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365" w:type="dxa"/>
            <w:tcBorders>
              <w:top w:val="nil"/>
              <w:left w:val="nil"/>
              <w:bottom w:val="single" w:sz="6" w:space="0" w:color="000000"/>
              <w:right w:val="nil"/>
            </w:tcBorders>
            <w:tcMar>
              <w:top w:w="0" w:type="dxa"/>
              <w:left w:w="0" w:type="dxa"/>
              <w:bottom w:w="0" w:type="dxa"/>
              <w:right w:w="0" w:type="dxa"/>
            </w:tcMar>
          </w:tcPr>
          <w:p w14:paraId="43BADEA1" w14:textId="77777777" w:rsidR="00F773C7" w:rsidRDefault="00AD7B73">
            <w:pPr>
              <w:ind w:left="160" w:right="40"/>
              <w:jc w:val="center"/>
              <w:rPr>
                <w:rFonts w:ascii="Arial" w:eastAsia="Arial" w:hAnsi="Arial" w:cs="Arial"/>
              </w:rPr>
            </w:pPr>
            <w:r>
              <w:rPr>
                <w:rFonts w:ascii="Arial" w:eastAsia="Arial" w:hAnsi="Arial" w:cs="Arial"/>
              </w:rPr>
              <w:t>1.000</w:t>
            </w:r>
          </w:p>
        </w:tc>
        <w:tc>
          <w:tcPr>
            <w:tcW w:w="1380" w:type="dxa"/>
            <w:tcBorders>
              <w:top w:val="nil"/>
              <w:left w:val="nil"/>
              <w:bottom w:val="single" w:sz="6" w:space="0" w:color="000000"/>
              <w:right w:val="nil"/>
            </w:tcBorders>
            <w:tcMar>
              <w:top w:w="0" w:type="dxa"/>
              <w:left w:w="0" w:type="dxa"/>
              <w:bottom w:w="0" w:type="dxa"/>
              <w:right w:w="0" w:type="dxa"/>
            </w:tcMar>
          </w:tcPr>
          <w:p w14:paraId="72FB8FD7" w14:textId="77777777" w:rsidR="00F773C7" w:rsidRDefault="00AD7B73">
            <w:pPr>
              <w:ind w:left="220" w:right="100"/>
              <w:jc w:val="center"/>
              <w:rPr>
                <w:rFonts w:ascii="Arial" w:eastAsia="Arial" w:hAnsi="Arial" w:cs="Arial"/>
              </w:rPr>
            </w:pPr>
            <w:r>
              <w:rPr>
                <w:rFonts w:ascii="Arial" w:eastAsia="Arial" w:hAnsi="Arial" w:cs="Arial"/>
              </w:rPr>
              <w:t>0.567</w:t>
            </w:r>
          </w:p>
        </w:tc>
        <w:tc>
          <w:tcPr>
            <w:tcW w:w="1410" w:type="dxa"/>
            <w:tcBorders>
              <w:top w:val="nil"/>
              <w:left w:val="nil"/>
              <w:bottom w:val="single" w:sz="6" w:space="0" w:color="000000"/>
              <w:right w:val="nil"/>
            </w:tcBorders>
            <w:tcMar>
              <w:top w:w="0" w:type="dxa"/>
              <w:left w:w="0" w:type="dxa"/>
              <w:bottom w:w="0" w:type="dxa"/>
              <w:right w:w="0" w:type="dxa"/>
            </w:tcMar>
          </w:tcPr>
          <w:p w14:paraId="37CA24A4" w14:textId="77777777" w:rsidR="00F773C7" w:rsidRDefault="00AD7B73">
            <w:pPr>
              <w:ind w:left="240" w:right="100"/>
              <w:jc w:val="center"/>
              <w:rPr>
                <w:rFonts w:ascii="Arial" w:eastAsia="Arial" w:hAnsi="Arial" w:cs="Arial"/>
              </w:rPr>
            </w:pPr>
            <w:r>
              <w:rPr>
                <w:rFonts w:ascii="Arial" w:eastAsia="Arial" w:hAnsi="Arial" w:cs="Arial"/>
              </w:rPr>
              <w:t>0.529</w:t>
            </w:r>
          </w:p>
        </w:tc>
        <w:tc>
          <w:tcPr>
            <w:tcW w:w="1395" w:type="dxa"/>
            <w:tcBorders>
              <w:top w:val="nil"/>
              <w:left w:val="nil"/>
              <w:bottom w:val="single" w:sz="6" w:space="0" w:color="000000"/>
              <w:right w:val="nil"/>
            </w:tcBorders>
            <w:tcMar>
              <w:top w:w="0" w:type="dxa"/>
              <w:left w:w="0" w:type="dxa"/>
              <w:bottom w:w="0" w:type="dxa"/>
              <w:right w:w="0" w:type="dxa"/>
            </w:tcMar>
          </w:tcPr>
          <w:p w14:paraId="60EC7307" w14:textId="77777777" w:rsidR="00F773C7" w:rsidRDefault="00AD7B73">
            <w:pPr>
              <w:ind w:left="240" w:right="100"/>
              <w:jc w:val="center"/>
              <w:rPr>
                <w:rFonts w:ascii="Arial" w:eastAsia="Arial" w:hAnsi="Arial" w:cs="Arial"/>
              </w:rPr>
            </w:pPr>
            <w:r>
              <w:rPr>
                <w:rFonts w:ascii="Arial" w:eastAsia="Arial" w:hAnsi="Arial" w:cs="Arial"/>
              </w:rPr>
              <w:t>0.560</w:t>
            </w:r>
          </w:p>
        </w:tc>
        <w:tc>
          <w:tcPr>
            <w:tcW w:w="1230" w:type="dxa"/>
            <w:tcBorders>
              <w:top w:val="nil"/>
              <w:left w:val="nil"/>
              <w:bottom w:val="single" w:sz="6" w:space="0" w:color="000000"/>
              <w:right w:val="nil"/>
            </w:tcBorders>
            <w:tcMar>
              <w:top w:w="0" w:type="dxa"/>
              <w:left w:w="0" w:type="dxa"/>
              <w:bottom w:w="0" w:type="dxa"/>
              <w:right w:w="0" w:type="dxa"/>
            </w:tcMar>
          </w:tcPr>
          <w:p w14:paraId="6A05D05F" w14:textId="77777777" w:rsidR="00F773C7" w:rsidRDefault="00AD7B73">
            <w:pPr>
              <w:ind w:left="120"/>
              <w:rPr>
                <w:rFonts w:ascii="Arial" w:eastAsia="Arial" w:hAnsi="Arial" w:cs="Arial"/>
              </w:rPr>
            </w:pPr>
            <w:r>
              <w:rPr>
                <w:rFonts w:ascii="Arial" w:eastAsia="Arial" w:hAnsi="Arial" w:cs="Arial"/>
              </w:rPr>
              <w:t xml:space="preserve"> </w:t>
            </w:r>
          </w:p>
        </w:tc>
      </w:tr>
    </w:tbl>
    <w:p w14:paraId="35DC33C3" w14:textId="77777777" w:rsidR="00F773C7" w:rsidRDefault="00AD7B73">
      <w:pPr>
        <w:jc w:val="both"/>
        <w:rPr>
          <w:rFonts w:ascii="Arial" w:eastAsia="Arial" w:hAnsi="Arial" w:cs="Arial"/>
          <w:i/>
          <w:sz w:val="18"/>
          <w:szCs w:val="18"/>
        </w:rPr>
      </w:pPr>
      <w:r>
        <w:rPr>
          <w:rFonts w:ascii="Arial" w:eastAsia="Arial" w:hAnsi="Arial" w:cs="Arial"/>
          <w:i/>
          <w:sz w:val="18"/>
          <w:szCs w:val="18"/>
        </w:rPr>
        <w:t xml:space="preserve">Different lowercase letters = significant difference between evaluation periods of the same group. Different capital letters = significant difference between groups </w:t>
      </w:r>
      <w:r>
        <w:rPr>
          <w:rFonts w:ascii="Arial" w:eastAsia="Arial" w:hAnsi="Arial" w:cs="Arial"/>
          <w:i/>
          <w:sz w:val="18"/>
          <w:szCs w:val="18"/>
        </w:rPr>
        <w:t>in the same evaluation period.</w:t>
      </w:r>
    </w:p>
    <w:p w14:paraId="5BBA7D34" w14:textId="77777777" w:rsidR="00F773C7" w:rsidRDefault="00F773C7">
      <w:pPr>
        <w:pBdr>
          <w:top w:val="nil"/>
          <w:left w:val="nil"/>
          <w:bottom w:val="nil"/>
          <w:right w:val="nil"/>
          <w:between w:val="nil"/>
        </w:pBdr>
        <w:jc w:val="both"/>
        <w:rPr>
          <w:rFonts w:ascii="Arial" w:eastAsia="Arial" w:hAnsi="Arial" w:cs="Arial"/>
        </w:rPr>
      </w:pPr>
    </w:p>
    <w:p w14:paraId="1C622B07" w14:textId="77777777" w:rsidR="00F773C7" w:rsidRDefault="00F773C7">
      <w:pPr>
        <w:pBdr>
          <w:top w:val="nil"/>
          <w:left w:val="nil"/>
          <w:bottom w:val="nil"/>
          <w:right w:val="nil"/>
          <w:between w:val="nil"/>
        </w:pBdr>
        <w:jc w:val="both"/>
        <w:rPr>
          <w:rFonts w:ascii="Arial" w:eastAsia="Arial" w:hAnsi="Arial" w:cs="Arial"/>
        </w:rPr>
      </w:pPr>
    </w:p>
    <w:p w14:paraId="7D197E09" w14:textId="77777777" w:rsidR="00F773C7" w:rsidRDefault="00F773C7">
      <w:pPr>
        <w:pBdr>
          <w:top w:val="nil"/>
          <w:left w:val="nil"/>
          <w:bottom w:val="nil"/>
          <w:right w:val="nil"/>
          <w:between w:val="nil"/>
        </w:pBdr>
        <w:jc w:val="both"/>
        <w:rPr>
          <w:rFonts w:ascii="Arial" w:eastAsia="Arial" w:hAnsi="Arial" w:cs="Arial"/>
        </w:rPr>
      </w:pPr>
    </w:p>
    <w:p w14:paraId="56051EF2" w14:textId="77777777" w:rsidR="00F773C7" w:rsidRDefault="00AD7B73">
      <w:pPr>
        <w:jc w:val="both"/>
        <w:rPr>
          <w:rFonts w:ascii="Arial" w:eastAsia="Arial" w:hAnsi="Arial" w:cs="Arial"/>
        </w:rPr>
      </w:pPr>
      <w:r>
        <w:rPr>
          <w:rFonts w:ascii="Arial" w:eastAsia="Arial" w:hAnsi="Arial" w:cs="Arial"/>
          <w:b/>
          <w:smallCaps/>
          <w:sz w:val="22"/>
          <w:szCs w:val="22"/>
        </w:rPr>
        <w:t xml:space="preserve">3.1.2 </w:t>
      </w:r>
      <w:r>
        <w:rPr>
          <w:rFonts w:ascii="Arial" w:eastAsia="Arial" w:hAnsi="Arial" w:cs="Arial"/>
          <w:b/>
          <w:sz w:val="22"/>
          <w:szCs w:val="22"/>
        </w:rPr>
        <w:t>Surface Roughness (Ra)</w:t>
      </w:r>
    </w:p>
    <w:p w14:paraId="1D811789" w14:textId="77777777" w:rsidR="00F773C7" w:rsidRDefault="00F773C7">
      <w:pPr>
        <w:pBdr>
          <w:top w:val="nil"/>
          <w:left w:val="nil"/>
          <w:bottom w:val="nil"/>
          <w:right w:val="nil"/>
          <w:between w:val="nil"/>
        </w:pBdr>
        <w:jc w:val="both"/>
        <w:rPr>
          <w:rFonts w:ascii="Arial" w:eastAsia="Arial" w:hAnsi="Arial" w:cs="Arial"/>
        </w:rPr>
      </w:pPr>
    </w:p>
    <w:p w14:paraId="7C70B2A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At the end of the simulated brushing period, a significant increase in surface roughness (Ra) was observed in the CD group (</w:t>
      </w:r>
      <w:r>
        <w:rPr>
          <w:rFonts w:ascii="Arial" w:eastAsia="Arial" w:hAnsi="Arial" w:cs="Arial"/>
          <w:i/>
        </w:rPr>
        <w:t>P</w:t>
      </w:r>
      <w:r>
        <w:rPr>
          <w:rFonts w:ascii="Arial" w:eastAsia="Arial" w:hAnsi="Arial" w:cs="Arial"/>
        </w:rPr>
        <w:t xml:space="preserve"> &lt; 0.001) compared to the other groups (</w:t>
      </w:r>
      <w:r>
        <w:rPr>
          <w:rFonts w:ascii="Arial" w:eastAsia="Arial" w:hAnsi="Arial" w:cs="Arial"/>
          <w:i/>
        </w:rPr>
        <w:t>P</w:t>
      </w:r>
      <w:r>
        <w:rPr>
          <w:rFonts w:ascii="Arial" w:eastAsia="Arial" w:hAnsi="Arial" w:cs="Arial"/>
        </w:rPr>
        <w:t xml:space="preserve"> = 0.009). Table 2 details</w:t>
      </w:r>
      <w:r>
        <w:rPr>
          <w:rFonts w:ascii="Arial" w:eastAsia="Arial" w:hAnsi="Arial" w:cs="Arial"/>
        </w:rPr>
        <w:t xml:space="preserve"> the Ra values for all groups.</w:t>
      </w:r>
    </w:p>
    <w:p w14:paraId="0A822F8C" w14:textId="77777777" w:rsidR="00F773C7" w:rsidRDefault="00F773C7">
      <w:pPr>
        <w:pBdr>
          <w:top w:val="nil"/>
          <w:left w:val="nil"/>
          <w:bottom w:val="nil"/>
          <w:right w:val="nil"/>
          <w:between w:val="nil"/>
        </w:pBdr>
        <w:jc w:val="both"/>
        <w:rPr>
          <w:rFonts w:ascii="Arial" w:eastAsia="Arial" w:hAnsi="Arial" w:cs="Arial"/>
        </w:rPr>
      </w:pPr>
    </w:p>
    <w:p w14:paraId="3F66CBFA" w14:textId="77777777" w:rsidR="00F773C7" w:rsidRDefault="00AD7B73">
      <w:pPr>
        <w:spacing w:line="360" w:lineRule="auto"/>
        <w:jc w:val="both"/>
        <w:rPr>
          <w:rFonts w:ascii="Arial" w:eastAsia="Arial" w:hAnsi="Arial" w:cs="Arial"/>
          <w:b/>
        </w:rPr>
      </w:pPr>
      <w:r>
        <w:rPr>
          <w:rFonts w:ascii="Arial" w:eastAsia="Arial" w:hAnsi="Arial" w:cs="Arial"/>
          <w:b/>
        </w:rPr>
        <w:t>Table 2. Means and standard deviation of roughness (µm), according to the treatment and time.</w:t>
      </w:r>
    </w:p>
    <w:p w14:paraId="65ABFF8C" w14:textId="77777777" w:rsidR="00F773C7" w:rsidRDefault="00AD7B73">
      <w:pPr>
        <w:pStyle w:val="Heading1"/>
        <w:keepNext w:val="0"/>
        <w:spacing w:before="0" w:after="0"/>
        <w:ind w:left="2340" w:right="2040"/>
        <w:jc w:val="center"/>
        <w:rPr>
          <w:sz w:val="20"/>
          <w:szCs w:val="20"/>
        </w:rPr>
      </w:pPr>
      <w:bookmarkStart w:id="3" w:name="_heading=h.i57hchvbz6ba" w:colFirst="0" w:colLast="0"/>
      <w:bookmarkEnd w:id="3"/>
      <w:r>
        <w:rPr>
          <w:sz w:val="20"/>
          <w:szCs w:val="20"/>
        </w:rPr>
        <w:t>Time</w:t>
      </w:r>
    </w:p>
    <w:tbl>
      <w:tblPr>
        <w:tblStyle w:val="ab"/>
        <w:tblW w:w="8208" w:type="dxa"/>
        <w:tblBorders>
          <w:top w:val="nil"/>
          <w:left w:val="nil"/>
          <w:bottom w:val="nil"/>
          <w:right w:val="nil"/>
          <w:insideH w:val="nil"/>
          <w:insideV w:val="nil"/>
        </w:tblBorders>
        <w:tblLayout w:type="fixed"/>
        <w:tblLook w:val="0600" w:firstRow="0" w:lastRow="0" w:firstColumn="0" w:lastColumn="0" w:noHBand="1" w:noVBand="1"/>
      </w:tblPr>
      <w:tblGrid>
        <w:gridCol w:w="1506"/>
        <w:gridCol w:w="1361"/>
        <w:gridCol w:w="1375"/>
        <w:gridCol w:w="1375"/>
        <w:gridCol w:w="1375"/>
        <w:gridCol w:w="1216"/>
      </w:tblGrid>
      <w:tr w:rsidR="00F773C7" w14:paraId="253B42AD" w14:textId="77777777">
        <w:trPr>
          <w:trHeight w:val="405"/>
        </w:trPr>
        <w:tc>
          <w:tcPr>
            <w:tcW w:w="1505" w:type="dxa"/>
            <w:tcBorders>
              <w:top w:val="nil"/>
              <w:left w:val="nil"/>
              <w:bottom w:val="single" w:sz="6" w:space="0" w:color="000000"/>
              <w:right w:val="nil"/>
            </w:tcBorders>
            <w:tcMar>
              <w:top w:w="0" w:type="dxa"/>
              <w:left w:w="0" w:type="dxa"/>
              <w:bottom w:w="0" w:type="dxa"/>
              <w:right w:w="0" w:type="dxa"/>
            </w:tcMar>
          </w:tcPr>
          <w:p w14:paraId="127793E0" w14:textId="77777777" w:rsidR="00F773C7" w:rsidRDefault="00AD7B73">
            <w:pPr>
              <w:ind w:left="120"/>
              <w:rPr>
                <w:rFonts w:ascii="Arial" w:eastAsia="Arial" w:hAnsi="Arial" w:cs="Arial"/>
              </w:rPr>
            </w:pPr>
            <w:r>
              <w:rPr>
                <w:rFonts w:ascii="Arial" w:eastAsia="Arial" w:hAnsi="Arial" w:cs="Arial"/>
              </w:rPr>
              <w:t xml:space="preserve"> </w:t>
            </w:r>
          </w:p>
        </w:tc>
        <w:tc>
          <w:tcPr>
            <w:tcW w:w="1360" w:type="dxa"/>
            <w:tcBorders>
              <w:top w:val="single" w:sz="6" w:space="0" w:color="000000"/>
              <w:left w:val="nil"/>
              <w:bottom w:val="single" w:sz="6" w:space="0" w:color="000000"/>
              <w:right w:val="nil"/>
            </w:tcBorders>
            <w:tcMar>
              <w:top w:w="0" w:type="dxa"/>
              <w:left w:w="0" w:type="dxa"/>
              <w:bottom w:w="0" w:type="dxa"/>
              <w:right w:w="0" w:type="dxa"/>
            </w:tcMar>
          </w:tcPr>
          <w:p w14:paraId="1070AF13" w14:textId="77777777" w:rsidR="00F773C7" w:rsidRDefault="00AD7B73">
            <w:pPr>
              <w:ind w:left="160" w:right="40"/>
              <w:jc w:val="center"/>
              <w:rPr>
                <w:rFonts w:ascii="Arial" w:eastAsia="Arial" w:hAnsi="Arial" w:cs="Arial"/>
                <w:b/>
              </w:rPr>
            </w:pPr>
            <w:r>
              <w:rPr>
                <w:rFonts w:ascii="Arial" w:eastAsia="Arial" w:hAnsi="Arial" w:cs="Arial"/>
                <w:b/>
              </w:rPr>
              <w:t>T0</w:t>
            </w:r>
          </w:p>
        </w:tc>
        <w:tc>
          <w:tcPr>
            <w:tcW w:w="1375" w:type="dxa"/>
            <w:tcBorders>
              <w:top w:val="single" w:sz="6" w:space="0" w:color="000000"/>
              <w:left w:val="nil"/>
              <w:bottom w:val="single" w:sz="6" w:space="0" w:color="000000"/>
              <w:right w:val="nil"/>
            </w:tcBorders>
            <w:tcMar>
              <w:top w:w="0" w:type="dxa"/>
              <w:left w:w="0" w:type="dxa"/>
              <w:bottom w:w="0" w:type="dxa"/>
              <w:right w:w="0" w:type="dxa"/>
            </w:tcMar>
          </w:tcPr>
          <w:p w14:paraId="4DF9364E" w14:textId="77777777" w:rsidR="00F773C7" w:rsidRDefault="00AD7B73">
            <w:pPr>
              <w:ind w:left="220" w:right="100"/>
              <w:jc w:val="center"/>
              <w:rPr>
                <w:rFonts w:ascii="Arial" w:eastAsia="Arial" w:hAnsi="Arial" w:cs="Arial"/>
                <w:b/>
              </w:rPr>
            </w:pPr>
            <w:r>
              <w:rPr>
                <w:rFonts w:ascii="Arial" w:eastAsia="Arial" w:hAnsi="Arial" w:cs="Arial"/>
                <w:b/>
              </w:rPr>
              <w:t>T1</w:t>
            </w:r>
          </w:p>
        </w:tc>
        <w:tc>
          <w:tcPr>
            <w:tcW w:w="1375" w:type="dxa"/>
            <w:tcBorders>
              <w:top w:val="single" w:sz="6" w:space="0" w:color="000000"/>
              <w:left w:val="nil"/>
              <w:bottom w:val="single" w:sz="6" w:space="0" w:color="000000"/>
              <w:right w:val="nil"/>
            </w:tcBorders>
            <w:tcMar>
              <w:top w:w="0" w:type="dxa"/>
              <w:left w:w="0" w:type="dxa"/>
              <w:bottom w:w="0" w:type="dxa"/>
              <w:right w:w="0" w:type="dxa"/>
            </w:tcMar>
          </w:tcPr>
          <w:p w14:paraId="6CA53656" w14:textId="77777777" w:rsidR="00F773C7" w:rsidRDefault="00AD7B73">
            <w:pPr>
              <w:ind w:left="240" w:right="120"/>
              <w:jc w:val="center"/>
              <w:rPr>
                <w:rFonts w:ascii="Arial" w:eastAsia="Arial" w:hAnsi="Arial" w:cs="Arial"/>
                <w:b/>
              </w:rPr>
            </w:pPr>
            <w:r>
              <w:rPr>
                <w:rFonts w:ascii="Arial" w:eastAsia="Arial" w:hAnsi="Arial" w:cs="Arial"/>
                <w:b/>
              </w:rPr>
              <w:t>T2</w:t>
            </w:r>
          </w:p>
        </w:tc>
        <w:tc>
          <w:tcPr>
            <w:tcW w:w="1375" w:type="dxa"/>
            <w:tcBorders>
              <w:top w:val="single" w:sz="6" w:space="0" w:color="000000"/>
              <w:left w:val="nil"/>
              <w:bottom w:val="single" w:sz="6" w:space="0" w:color="000000"/>
              <w:right w:val="nil"/>
            </w:tcBorders>
            <w:tcMar>
              <w:top w:w="0" w:type="dxa"/>
              <w:left w:w="0" w:type="dxa"/>
              <w:bottom w:w="0" w:type="dxa"/>
              <w:right w:w="0" w:type="dxa"/>
            </w:tcMar>
          </w:tcPr>
          <w:p w14:paraId="19225F94" w14:textId="77777777" w:rsidR="00F773C7" w:rsidRDefault="00AD7B73">
            <w:pPr>
              <w:ind w:left="220" w:right="100"/>
              <w:jc w:val="center"/>
              <w:rPr>
                <w:rFonts w:ascii="Arial" w:eastAsia="Arial" w:hAnsi="Arial" w:cs="Arial"/>
                <w:b/>
              </w:rPr>
            </w:pPr>
            <w:r>
              <w:rPr>
                <w:rFonts w:ascii="Arial" w:eastAsia="Arial" w:hAnsi="Arial" w:cs="Arial"/>
                <w:b/>
              </w:rPr>
              <w:t>T3</w:t>
            </w:r>
          </w:p>
        </w:tc>
        <w:tc>
          <w:tcPr>
            <w:tcW w:w="1216" w:type="dxa"/>
            <w:tcBorders>
              <w:top w:val="nil"/>
              <w:left w:val="nil"/>
              <w:bottom w:val="single" w:sz="6" w:space="0" w:color="000000"/>
              <w:right w:val="nil"/>
            </w:tcBorders>
            <w:tcMar>
              <w:top w:w="0" w:type="dxa"/>
              <w:left w:w="0" w:type="dxa"/>
              <w:bottom w:w="0" w:type="dxa"/>
              <w:right w:w="0" w:type="dxa"/>
            </w:tcMar>
          </w:tcPr>
          <w:p w14:paraId="56B97E9D"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r>
      <w:tr w:rsidR="00F773C7" w14:paraId="43CD6888" w14:textId="77777777">
        <w:trPr>
          <w:trHeight w:val="375"/>
        </w:trPr>
        <w:tc>
          <w:tcPr>
            <w:tcW w:w="1505" w:type="dxa"/>
            <w:tcBorders>
              <w:top w:val="nil"/>
              <w:left w:val="nil"/>
              <w:bottom w:val="nil"/>
              <w:right w:val="nil"/>
            </w:tcBorders>
            <w:tcMar>
              <w:top w:w="0" w:type="dxa"/>
              <w:left w:w="0" w:type="dxa"/>
              <w:bottom w:w="0" w:type="dxa"/>
              <w:right w:w="0" w:type="dxa"/>
            </w:tcMar>
          </w:tcPr>
          <w:p w14:paraId="6D79A111" w14:textId="77777777" w:rsidR="00F773C7" w:rsidRDefault="00AD7B73">
            <w:pPr>
              <w:ind w:left="200"/>
              <w:rPr>
                <w:rFonts w:ascii="Arial" w:eastAsia="Arial" w:hAnsi="Arial" w:cs="Arial"/>
                <w:b/>
              </w:rPr>
            </w:pPr>
            <w:r>
              <w:rPr>
                <w:rFonts w:ascii="Arial" w:eastAsia="Arial" w:hAnsi="Arial" w:cs="Arial"/>
                <w:b/>
              </w:rPr>
              <w:t>Roughness</w:t>
            </w:r>
          </w:p>
        </w:tc>
        <w:tc>
          <w:tcPr>
            <w:tcW w:w="1360" w:type="dxa"/>
            <w:tcBorders>
              <w:top w:val="nil"/>
              <w:left w:val="nil"/>
              <w:bottom w:val="nil"/>
              <w:right w:val="nil"/>
            </w:tcBorders>
            <w:tcMar>
              <w:top w:w="0" w:type="dxa"/>
              <w:left w:w="0" w:type="dxa"/>
              <w:bottom w:w="0" w:type="dxa"/>
              <w:right w:w="0" w:type="dxa"/>
            </w:tcMar>
          </w:tcPr>
          <w:p w14:paraId="6E24E82F" w14:textId="77777777" w:rsidR="00F773C7" w:rsidRDefault="00AD7B73">
            <w:pPr>
              <w:ind w:left="120"/>
              <w:rPr>
                <w:rFonts w:ascii="Arial" w:eastAsia="Arial" w:hAnsi="Arial" w:cs="Arial"/>
              </w:rPr>
            </w:pPr>
            <w:r>
              <w:rPr>
                <w:rFonts w:ascii="Arial" w:eastAsia="Arial" w:hAnsi="Arial" w:cs="Arial"/>
              </w:rPr>
              <w:t xml:space="preserve"> </w:t>
            </w:r>
          </w:p>
        </w:tc>
        <w:tc>
          <w:tcPr>
            <w:tcW w:w="1375" w:type="dxa"/>
            <w:tcBorders>
              <w:top w:val="nil"/>
              <w:left w:val="nil"/>
              <w:bottom w:val="nil"/>
              <w:right w:val="nil"/>
            </w:tcBorders>
            <w:tcMar>
              <w:top w:w="0" w:type="dxa"/>
              <w:left w:w="0" w:type="dxa"/>
              <w:bottom w:w="0" w:type="dxa"/>
              <w:right w:w="0" w:type="dxa"/>
            </w:tcMar>
          </w:tcPr>
          <w:p w14:paraId="18EC3934" w14:textId="77777777" w:rsidR="00F773C7" w:rsidRDefault="00AD7B73">
            <w:pPr>
              <w:ind w:left="120"/>
              <w:rPr>
                <w:rFonts w:ascii="Arial" w:eastAsia="Arial" w:hAnsi="Arial" w:cs="Arial"/>
              </w:rPr>
            </w:pPr>
            <w:r>
              <w:rPr>
                <w:rFonts w:ascii="Arial" w:eastAsia="Arial" w:hAnsi="Arial" w:cs="Arial"/>
              </w:rPr>
              <w:t xml:space="preserve"> </w:t>
            </w:r>
          </w:p>
        </w:tc>
        <w:tc>
          <w:tcPr>
            <w:tcW w:w="1375" w:type="dxa"/>
            <w:tcBorders>
              <w:top w:val="nil"/>
              <w:left w:val="nil"/>
              <w:bottom w:val="nil"/>
              <w:right w:val="nil"/>
            </w:tcBorders>
            <w:tcMar>
              <w:top w:w="0" w:type="dxa"/>
              <w:left w:w="0" w:type="dxa"/>
              <w:bottom w:w="0" w:type="dxa"/>
              <w:right w:w="0" w:type="dxa"/>
            </w:tcMar>
          </w:tcPr>
          <w:p w14:paraId="395B498C" w14:textId="77777777" w:rsidR="00F773C7" w:rsidRDefault="00AD7B73">
            <w:pPr>
              <w:ind w:left="120"/>
              <w:rPr>
                <w:rFonts w:ascii="Arial" w:eastAsia="Arial" w:hAnsi="Arial" w:cs="Arial"/>
              </w:rPr>
            </w:pPr>
            <w:r>
              <w:rPr>
                <w:rFonts w:ascii="Arial" w:eastAsia="Arial" w:hAnsi="Arial" w:cs="Arial"/>
              </w:rPr>
              <w:t xml:space="preserve"> </w:t>
            </w:r>
          </w:p>
        </w:tc>
        <w:tc>
          <w:tcPr>
            <w:tcW w:w="1375" w:type="dxa"/>
            <w:tcBorders>
              <w:top w:val="nil"/>
              <w:left w:val="nil"/>
              <w:bottom w:val="nil"/>
              <w:right w:val="nil"/>
            </w:tcBorders>
            <w:tcMar>
              <w:top w:w="0" w:type="dxa"/>
              <w:left w:w="0" w:type="dxa"/>
              <w:bottom w:w="0" w:type="dxa"/>
              <w:right w:w="0" w:type="dxa"/>
            </w:tcMar>
          </w:tcPr>
          <w:p w14:paraId="7E214889" w14:textId="77777777" w:rsidR="00F773C7" w:rsidRDefault="00AD7B73">
            <w:pPr>
              <w:ind w:left="120"/>
              <w:rPr>
                <w:rFonts w:ascii="Arial" w:eastAsia="Arial" w:hAnsi="Arial" w:cs="Arial"/>
              </w:rPr>
            </w:pPr>
            <w:r>
              <w:rPr>
                <w:rFonts w:ascii="Arial" w:eastAsia="Arial" w:hAnsi="Arial" w:cs="Arial"/>
              </w:rPr>
              <w:t xml:space="preserve"> </w:t>
            </w:r>
          </w:p>
        </w:tc>
        <w:tc>
          <w:tcPr>
            <w:tcW w:w="1216" w:type="dxa"/>
            <w:tcBorders>
              <w:top w:val="nil"/>
              <w:left w:val="nil"/>
              <w:bottom w:val="nil"/>
              <w:right w:val="nil"/>
            </w:tcBorders>
            <w:tcMar>
              <w:top w:w="0" w:type="dxa"/>
              <w:left w:w="0" w:type="dxa"/>
              <w:bottom w:w="0" w:type="dxa"/>
              <w:right w:w="0" w:type="dxa"/>
            </w:tcMar>
          </w:tcPr>
          <w:p w14:paraId="5DE8B750" w14:textId="77777777" w:rsidR="00F773C7" w:rsidRDefault="00AD7B73">
            <w:pPr>
              <w:ind w:left="120"/>
              <w:rPr>
                <w:rFonts w:ascii="Arial" w:eastAsia="Arial" w:hAnsi="Arial" w:cs="Arial"/>
              </w:rPr>
            </w:pPr>
            <w:r>
              <w:rPr>
                <w:rFonts w:ascii="Arial" w:eastAsia="Arial" w:hAnsi="Arial" w:cs="Arial"/>
              </w:rPr>
              <w:t xml:space="preserve"> </w:t>
            </w:r>
          </w:p>
        </w:tc>
      </w:tr>
      <w:tr w:rsidR="00F773C7" w14:paraId="450C2D22" w14:textId="77777777">
        <w:trPr>
          <w:trHeight w:val="510"/>
        </w:trPr>
        <w:tc>
          <w:tcPr>
            <w:tcW w:w="1505" w:type="dxa"/>
            <w:tcBorders>
              <w:top w:val="nil"/>
              <w:left w:val="nil"/>
              <w:bottom w:val="nil"/>
              <w:right w:val="nil"/>
            </w:tcBorders>
            <w:tcMar>
              <w:top w:w="0" w:type="dxa"/>
              <w:left w:w="0" w:type="dxa"/>
              <w:bottom w:w="0" w:type="dxa"/>
              <w:right w:w="0" w:type="dxa"/>
            </w:tcMar>
          </w:tcPr>
          <w:p w14:paraId="3A2FF589" w14:textId="77777777" w:rsidR="00F773C7" w:rsidRDefault="00AD7B73">
            <w:pPr>
              <w:ind w:left="200"/>
              <w:rPr>
                <w:rFonts w:ascii="Arial" w:eastAsia="Arial" w:hAnsi="Arial" w:cs="Arial"/>
              </w:rPr>
            </w:pPr>
            <w:r>
              <w:rPr>
                <w:rFonts w:ascii="Arial" w:eastAsia="Arial" w:hAnsi="Arial" w:cs="Arial"/>
              </w:rPr>
              <w:t>DW</w:t>
            </w:r>
          </w:p>
        </w:tc>
        <w:tc>
          <w:tcPr>
            <w:tcW w:w="1360" w:type="dxa"/>
            <w:tcBorders>
              <w:top w:val="nil"/>
              <w:left w:val="nil"/>
              <w:bottom w:val="nil"/>
              <w:right w:val="nil"/>
            </w:tcBorders>
            <w:tcMar>
              <w:top w:w="0" w:type="dxa"/>
              <w:left w:w="0" w:type="dxa"/>
              <w:bottom w:w="0" w:type="dxa"/>
              <w:right w:w="0" w:type="dxa"/>
            </w:tcMar>
          </w:tcPr>
          <w:p w14:paraId="5CEB5139" w14:textId="77777777" w:rsidR="00F773C7" w:rsidRDefault="00AD7B73">
            <w:pPr>
              <w:ind w:left="160" w:right="40"/>
              <w:jc w:val="center"/>
              <w:rPr>
                <w:rFonts w:ascii="Arial" w:eastAsia="Arial" w:hAnsi="Arial" w:cs="Arial"/>
                <w:vertAlign w:val="superscript"/>
              </w:rPr>
            </w:pPr>
            <w:r>
              <w:rPr>
                <w:rFonts w:ascii="Arial" w:eastAsia="Arial" w:hAnsi="Arial" w:cs="Arial"/>
              </w:rPr>
              <w:t>0.22±0.15</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4A97EA59" w14:textId="77777777" w:rsidR="00F773C7" w:rsidRDefault="00AD7B73">
            <w:pPr>
              <w:ind w:left="220" w:right="120"/>
              <w:jc w:val="center"/>
              <w:rPr>
                <w:rFonts w:ascii="Arial" w:eastAsia="Arial" w:hAnsi="Arial" w:cs="Arial"/>
                <w:vertAlign w:val="superscript"/>
              </w:rPr>
            </w:pPr>
            <w:r>
              <w:rPr>
                <w:rFonts w:ascii="Arial" w:eastAsia="Arial" w:hAnsi="Arial" w:cs="Arial"/>
              </w:rPr>
              <w:t>0.22±0.15</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41062EBA" w14:textId="77777777" w:rsidR="00F773C7" w:rsidRDefault="00AD7B73">
            <w:pPr>
              <w:ind w:left="220" w:right="120"/>
              <w:jc w:val="center"/>
              <w:rPr>
                <w:rFonts w:ascii="Arial" w:eastAsia="Arial" w:hAnsi="Arial" w:cs="Arial"/>
                <w:vertAlign w:val="superscript"/>
              </w:rPr>
            </w:pPr>
            <w:r>
              <w:rPr>
                <w:rFonts w:ascii="Arial" w:eastAsia="Arial" w:hAnsi="Arial" w:cs="Arial"/>
              </w:rPr>
              <w:t>0.21±0.15</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253B599B" w14:textId="77777777" w:rsidR="00F773C7" w:rsidRDefault="00AD7B73">
            <w:pPr>
              <w:ind w:left="220" w:right="120"/>
              <w:jc w:val="center"/>
              <w:rPr>
                <w:rFonts w:ascii="Arial" w:eastAsia="Arial" w:hAnsi="Arial" w:cs="Arial"/>
                <w:vertAlign w:val="superscript"/>
              </w:rPr>
            </w:pPr>
            <w:r>
              <w:rPr>
                <w:rFonts w:ascii="Arial" w:eastAsia="Arial" w:hAnsi="Arial" w:cs="Arial"/>
              </w:rPr>
              <w:t>0.22±0.13</w:t>
            </w:r>
            <w:r>
              <w:rPr>
                <w:rFonts w:ascii="Arial" w:eastAsia="Arial" w:hAnsi="Arial" w:cs="Arial"/>
                <w:vertAlign w:val="superscript"/>
              </w:rPr>
              <w:t>Aa</w:t>
            </w:r>
          </w:p>
        </w:tc>
        <w:tc>
          <w:tcPr>
            <w:tcW w:w="1216" w:type="dxa"/>
            <w:tcBorders>
              <w:top w:val="nil"/>
              <w:left w:val="nil"/>
              <w:bottom w:val="nil"/>
              <w:right w:val="nil"/>
            </w:tcBorders>
            <w:tcMar>
              <w:top w:w="0" w:type="dxa"/>
              <w:left w:w="0" w:type="dxa"/>
              <w:bottom w:w="0" w:type="dxa"/>
              <w:right w:w="0" w:type="dxa"/>
            </w:tcMar>
          </w:tcPr>
          <w:p w14:paraId="70E96673" w14:textId="77777777" w:rsidR="00F773C7" w:rsidRDefault="00AD7B73">
            <w:pPr>
              <w:ind w:left="280" w:right="160"/>
              <w:jc w:val="center"/>
              <w:rPr>
                <w:rFonts w:ascii="Arial" w:eastAsia="Arial" w:hAnsi="Arial" w:cs="Arial"/>
              </w:rPr>
            </w:pPr>
            <w:r>
              <w:rPr>
                <w:rFonts w:ascii="Arial" w:eastAsia="Arial" w:hAnsi="Arial" w:cs="Arial"/>
              </w:rPr>
              <w:t>0.810</w:t>
            </w:r>
          </w:p>
        </w:tc>
      </w:tr>
      <w:tr w:rsidR="00F773C7" w14:paraId="7CABA76D" w14:textId="77777777">
        <w:trPr>
          <w:trHeight w:val="510"/>
        </w:trPr>
        <w:tc>
          <w:tcPr>
            <w:tcW w:w="1505" w:type="dxa"/>
            <w:tcBorders>
              <w:top w:val="nil"/>
              <w:left w:val="nil"/>
              <w:bottom w:val="nil"/>
              <w:right w:val="nil"/>
            </w:tcBorders>
            <w:tcMar>
              <w:top w:w="0" w:type="dxa"/>
              <w:left w:w="0" w:type="dxa"/>
              <w:bottom w:w="0" w:type="dxa"/>
              <w:right w:w="0" w:type="dxa"/>
            </w:tcMar>
          </w:tcPr>
          <w:p w14:paraId="7F2C45CB" w14:textId="77777777" w:rsidR="00F773C7" w:rsidRDefault="00AD7B73">
            <w:pPr>
              <w:ind w:left="200"/>
              <w:rPr>
                <w:rFonts w:ascii="Arial" w:eastAsia="Arial" w:hAnsi="Arial" w:cs="Arial"/>
              </w:rPr>
            </w:pPr>
            <w:r>
              <w:rPr>
                <w:rFonts w:ascii="Arial" w:eastAsia="Arial" w:hAnsi="Arial" w:cs="Arial"/>
              </w:rPr>
              <w:t>PD</w:t>
            </w:r>
          </w:p>
        </w:tc>
        <w:tc>
          <w:tcPr>
            <w:tcW w:w="1360" w:type="dxa"/>
            <w:tcBorders>
              <w:top w:val="nil"/>
              <w:left w:val="nil"/>
              <w:bottom w:val="nil"/>
              <w:right w:val="nil"/>
            </w:tcBorders>
            <w:tcMar>
              <w:top w:w="0" w:type="dxa"/>
              <w:left w:w="0" w:type="dxa"/>
              <w:bottom w:w="0" w:type="dxa"/>
              <w:right w:w="0" w:type="dxa"/>
            </w:tcMar>
          </w:tcPr>
          <w:p w14:paraId="607E71C8" w14:textId="77777777" w:rsidR="00F773C7" w:rsidRDefault="00AD7B73">
            <w:pPr>
              <w:ind w:left="160" w:right="40"/>
              <w:jc w:val="center"/>
              <w:rPr>
                <w:rFonts w:ascii="Arial" w:eastAsia="Arial" w:hAnsi="Arial" w:cs="Arial"/>
                <w:vertAlign w:val="superscript"/>
              </w:rPr>
            </w:pPr>
            <w:r>
              <w:rPr>
                <w:rFonts w:ascii="Arial" w:eastAsia="Arial" w:hAnsi="Arial" w:cs="Arial"/>
              </w:rPr>
              <w:t>0.19±0.08</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6DDFFB5E" w14:textId="77777777" w:rsidR="00F773C7" w:rsidRDefault="00AD7B73">
            <w:pPr>
              <w:ind w:left="220" w:right="120"/>
              <w:jc w:val="center"/>
              <w:rPr>
                <w:rFonts w:ascii="Arial" w:eastAsia="Arial" w:hAnsi="Arial" w:cs="Arial"/>
                <w:vertAlign w:val="superscript"/>
              </w:rPr>
            </w:pPr>
            <w:r>
              <w:rPr>
                <w:rFonts w:ascii="Arial" w:eastAsia="Arial" w:hAnsi="Arial" w:cs="Arial"/>
              </w:rPr>
              <w:t>0.20±0.06</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44BB2CB3" w14:textId="77777777" w:rsidR="00F773C7" w:rsidRDefault="00AD7B73">
            <w:pPr>
              <w:ind w:left="220" w:right="120"/>
              <w:jc w:val="center"/>
              <w:rPr>
                <w:rFonts w:ascii="Arial" w:eastAsia="Arial" w:hAnsi="Arial" w:cs="Arial"/>
                <w:vertAlign w:val="superscript"/>
              </w:rPr>
            </w:pPr>
            <w:r>
              <w:rPr>
                <w:rFonts w:ascii="Arial" w:eastAsia="Arial" w:hAnsi="Arial" w:cs="Arial"/>
              </w:rPr>
              <w:t>0.21±0.07</w:t>
            </w:r>
            <w:r>
              <w:rPr>
                <w:rFonts w:ascii="Arial" w:eastAsia="Arial" w:hAnsi="Arial" w:cs="Arial"/>
                <w:vertAlign w:val="superscript"/>
              </w:rPr>
              <w:t>Aa</w:t>
            </w:r>
          </w:p>
        </w:tc>
        <w:tc>
          <w:tcPr>
            <w:tcW w:w="1375" w:type="dxa"/>
            <w:tcBorders>
              <w:top w:val="nil"/>
              <w:left w:val="nil"/>
              <w:bottom w:val="nil"/>
              <w:right w:val="nil"/>
            </w:tcBorders>
            <w:tcMar>
              <w:top w:w="0" w:type="dxa"/>
              <w:left w:w="0" w:type="dxa"/>
              <w:bottom w:w="0" w:type="dxa"/>
              <w:right w:w="0" w:type="dxa"/>
            </w:tcMar>
          </w:tcPr>
          <w:p w14:paraId="5BAEAA10" w14:textId="77777777" w:rsidR="00F773C7" w:rsidRDefault="00AD7B73">
            <w:pPr>
              <w:ind w:left="220" w:right="120"/>
              <w:jc w:val="center"/>
              <w:rPr>
                <w:rFonts w:ascii="Arial" w:eastAsia="Arial" w:hAnsi="Arial" w:cs="Arial"/>
                <w:vertAlign w:val="superscript"/>
              </w:rPr>
            </w:pPr>
            <w:r>
              <w:rPr>
                <w:rFonts w:ascii="Arial" w:eastAsia="Arial" w:hAnsi="Arial" w:cs="Arial"/>
              </w:rPr>
              <w:t>0.22±0.09</w:t>
            </w:r>
            <w:r>
              <w:rPr>
                <w:rFonts w:ascii="Arial" w:eastAsia="Arial" w:hAnsi="Arial" w:cs="Arial"/>
                <w:vertAlign w:val="superscript"/>
              </w:rPr>
              <w:t>Aa</w:t>
            </w:r>
          </w:p>
        </w:tc>
        <w:tc>
          <w:tcPr>
            <w:tcW w:w="1216" w:type="dxa"/>
            <w:tcBorders>
              <w:top w:val="nil"/>
              <w:left w:val="nil"/>
              <w:bottom w:val="nil"/>
              <w:right w:val="nil"/>
            </w:tcBorders>
            <w:tcMar>
              <w:top w:w="0" w:type="dxa"/>
              <w:left w:w="0" w:type="dxa"/>
              <w:bottom w:w="0" w:type="dxa"/>
              <w:right w:w="0" w:type="dxa"/>
            </w:tcMar>
          </w:tcPr>
          <w:p w14:paraId="56BF1C40" w14:textId="77777777" w:rsidR="00F773C7" w:rsidRDefault="00AD7B73">
            <w:pPr>
              <w:ind w:left="280" w:right="160"/>
              <w:jc w:val="center"/>
              <w:rPr>
                <w:rFonts w:ascii="Arial" w:eastAsia="Arial" w:hAnsi="Arial" w:cs="Arial"/>
              </w:rPr>
            </w:pPr>
            <w:r>
              <w:rPr>
                <w:rFonts w:ascii="Arial" w:eastAsia="Arial" w:hAnsi="Arial" w:cs="Arial"/>
              </w:rPr>
              <w:t>0.206</w:t>
            </w:r>
          </w:p>
        </w:tc>
      </w:tr>
      <w:tr w:rsidR="00F773C7" w14:paraId="3A7160C2" w14:textId="77777777">
        <w:trPr>
          <w:trHeight w:val="525"/>
        </w:trPr>
        <w:tc>
          <w:tcPr>
            <w:tcW w:w="1505" w:type="dxa"/>
            <w:tcBorders>
              <w:top w:val="nil"/>
              <w:left w:val="nil"/>
              <w:bottom w:val="single" w:sz="6" w:space="0" w:color="000000"/>
              <w:right w:val="nil"/>
            </w:tcBorders>
            <w:tcMar>
              <w:top w:w="0" w:type="dxa"/>
              <w:left w:w="0" w:type="dxa"/>
              <w:bottom w:w="0" w:type="dxa"/>
              <w:right w:w="0" w:type="dxa"/>
            </w:tcMar>
          </w:tcPr>
          <w:p w14:paraId="6042FB2E" w14:textId="77777777" w:rsidR="00F773C7" w:rsidRDefault="00AD7B73">
            <w:pPr>
              <w:ind w:left="200"/>
              <w:rPr>
                <w:rFonts w:ascii="Arial" w:eastAsia="Arial" w:hAnsi="Arial" w:cs="Arial"/>
              </w:rPr>
            </w:pPr>
            <w:r>
              <w:rPr>
                <w:rFonts w:ascii="Arial" w:eastAsia="Arial" w:hAnsi="Arial" w:cs="Arial"/>
              </w:rPr>
              <w:t>CD</w:t>
            </w:r>
          </w:p>
        </w:tc>
        <w:tc>
          <w:tcPr>
            <w:tcW w:w="1360" w:type="dxa"/>
            <w:tcBorders>
              <w:top w:val="nil"/>
              <w:left w:val="nil"/>
              <w:bottom w:val="single" w:sz="6" w:space="0" w:color="000000"/>
              <w:right w:val="nil"/>
            </w:tcBorders>
            <w:tcMar>
              <w:top w:w="0" w:type="dxa"/>
              <w:left w:w="0" w:type="dxa"/>
              <w:bottom w:w="0" w:type="dxa"/>
              <w:right w:w="0" w:type="dxa"/>
            </w:tcMar>
          </w:tcPr>
          <w:p w14:paraId="04AAF3D9" w14:textId="77777777" w:rsidR="00F773C7" w:rsidRDefault="00AD7B73">
            <w:pPr>
              <w:ind w:left="160" w:right="40"/>
              <w:jc w:val="center"/>
              <w:rPr>
                <w:rFonts w:ascii="Arial" w:eastAsia="Arial" w:hAnsi="Arial" w:cs="Arial"/>
                <w:vertAlign w:val="superscript"/>
              </w:rPr>
            </w:pPr>
            <w:r>
              <w:rPr>
                <w:rFonts w:ascii="Arial" w:eastAsia="Arial" w:hAnsi="Arial" w:cs="Arial"/>
              </w:rPr>
              <w:t>0.21±0.13</w:t>
            </w:r>
            <w:r>
              <w:rPr>
                <w:rFonts w:ascii="Arial" w:eastAsia="Arial" w:hAnsi="Arial" w:cs="Arial"/>
                <w:vertAlign w:val="superscript"/>
              </w:rPr>
              <w:t>Aa</w:t>
            </w:r>
          </w:p>
        </w:tc>
        <w:tc>
          <w:tcPr>
            <w:tcW w:w="1375" w:type="dxa"/>
            <w:tcBorders>
              <w:top w:val="nil"/>
              <w:left w:val="nil"/>
              <w:bottom w:val="single" w:sz="6" w:space="0" w:color="000000"/>
              <w:right w:val="nil"/>
            </w:tcBorders>
            <w:tcMar>
              <w:top w:w="0" w:type="dxa"/>
              <w:left w:w="0" w:type="dxa"/>
              <w:bottom w:w="0" w:type="dxa"/>
              <w:right w:w="0" w:type="dxa"/>
            </w:tcMar>
          </w:tcPr>
          <w:p w14:paraId="2D598108" w14:textId="77777777" w:rsidR="00F773C7" w:rsidRDefault="00AD7B73">
            <w:pPr>
              <w:ind w:left="220" w:right="120"/>
              <w:jc w:val="center"/>
              <w:rPr>
                <w:rFonts w:ascii="Arial" w:eastAsia="Arial" w:hAnsi="Arial" w:cs="Arial"/>
                <w:vertAlign w:val="superscript"/>
              </w:rPr>
            </w:pPr>
            <w:r>
              <w:rPr>
                <w:rFonts w:ascii="Arial" w:eastAsia="Arial" w:hAnsi="Arial" w:cs="Arial"/>
              </w:rPr>
              <w:t>0.27±0.13</w:t>
            </w:r>
            <w:r>
              <w:rPr>
                <w:rFonts w:ascii="Arial" w:eastAsia="Arial" w:hAnsi="Arial" w:cs="Arial"/>
                <w:vertAlign w:val="superscript"/>
              </w:rPr>
              <w:t>Aa</w:t>
            </w:r>
          </w:p>
        </w:tc>
        <w:tc>
          <w:tcPr>
            <w:tcW w:w="1375" w:type="dxa"/>
            <w:tcBorders>
              <w:top w:val="nil"/>
              <w:left w:val="nil"/>
              <w:bottom w:val="single" w:sz="6" w:space="0" w:color="000000"/>
              <w:right w:val="nil"/>
            </w:tcBorders>
            <w:tcMar>
              <w:top w:w="0" w:type="dxa"/>
              <w:left w:w="0" w:type="dxa"/>
              <w:bottom w:w="0" w:type="dxa"/>
              <w:right w:w="0" w:type="dxa"/>
            </w:tcMar>
          </w:tcPr>
          <w:p w14:paraId="5DB7E865" w14:textId="77777777" w:rsidR="00F773C7" w:rsidRDefault="00AD7B73">
            <w:pPr>
              <w:ind w:left="240" w:right="100"/>
              <w:jc w:val="center"/>
              <w:rPr>
                <w:rFonts w:ascii="Arial" w:eastAsia="Arial" w:hAnsi="Arial" w:cs="Arial"/>
                <w:vertAlign w:val="superscript"/>
              </w:rPr>
            </w:pPr>
            <w:r>
              <w:rPr>
                <w:rFonts w:ascii="Arial" w:eastAsia="Arial" w:hAnsi="Arial" w:cs="Arial"/>
              </w:rPr>
              <w:t>0.38±0.19</w:t>
            </w:r>
            <w:r>
              <w:rPr>
                <w:rFonts w:ascii="Arial" w:eastAsia="Arial" w:hAnsi="Arial" w:cs="Arial"/>
                <w:vertAlign w:val="superscript"/>
              </w:rPr>
              <w:t>Bb</w:t>
            </w:r>
          </w:p>
        </w:tc>
        <w:tc>
          <w:tcPr>
            <w:tcW w:w="1375" w:type="dxa"/>
            <w:tcBorders>
              <w:top w:val="nil"/>
              <w:left w:val="nil"/>
              <w:bottom w:val="single" w:sz="6" w:space="0" w:color="000000"/>
              <w:right w:val="nil"/>
            </w:tcBorders>
            <w:tcMar>
              <w:top w:w="0" w:type="dxa"/>
              <w:left w:w="0" w:type="dxa"/>
              <w:bottom w:w="0" w:type="dxa"/>
              <w:right w:w="0" w:type="dxa"/>
            </w:tcMar>
          </w:tcPr>
          <w:p w14:paraId="735B5862" w14:textId="77777777" w:rsidR="00F773C7" w:rsidRDefault="00AD7B73">
            <w:pPr>
              <w:ind w:left="220" w:right="100"/>
              <w:jc w:val="center"/>
              <w:rPr>
                <w:rFonts w:ascii="Arial" w:eastAsia="Arial" w:hAnsi="Arial" w:cs="Arial"/>
                <w:vertAlign w:val="superscript"/>
              </w:rPr>
            </w:pPr>
            <w:r>
              <w:rPr>
                <w:rFonts w:ascii="Arial" w:eastAsia="Arial" w:hAnsi="Arial" w:cs="Arial"/>
              </w:rPr>
              <w:t>0.39±0.16</w:t>
            </w:r>
            <w:r>
              <w:rPr>
                <w:rFonts w:ascii="Arial" w:eastAsia="Arial" w:hAnsi="Arial" w:cs="Arial"/>
                <w:vertAlign w:val="superscript"/>
              </w:rPr>
              <w:t>Bb</w:t>
            </w:r>
          </w:p>
        </w:tc>
        <w:tc>
          <w:tcPr>
            <w:tcW w:w="1216" w:type="dxa"/>
            <w:tcBorders>
              <w:top w:val="nil"/>
              <w:left w:val="nil"/>
              <w:bottom w:val="single" w:sz="6" w:space="0" w:color="000000"/>
              <w:right w:val="nil"/>
            </w:tcBorders>
            <w:tcMar>
              <w:top w:w="0" w:type="dxa"/>
              <w:left w:w="0" w:type="dxa"/>
              <w:bottom w:w="0" w:type="dxa"/>
              <w:right w:w="0" w:type="dxa"/>
            </w:tcMar>
          </w:tcPr>
          <w:p w14:paraId="125AA4CF" w14:textId="77777777" w:rsidR="00F773C7" w:rsidRDefault="00AD7B73">
            <w:pPr>
              <w:ind w:left="280" w:right="160"/>
              <w:jc w:val="center"/>
              <w:rPr>
                <w:rFonts w:ascii="Arial" w:eastAsia="Arial" w:hAnsi="Arial" w:cs="Arial"/>
                <w:b/>
                <w:i/>
              </w:rPr>
            </w:pPr>
            <w:r>
              <w:rPr>
                <w:rFonts w:ascii="Arial" w:eastAsia="Arial" w:hAnsi="Arial" w:cs="Arial"/>
                <w:b/>
                <w:i/>
              </w:rPr>
              <w:t>&lt; 0.001</w:t>
            </w:r>
          </w:p>
        </w:tc>
      </w:tr>
      <w:tr w:rsidR="00F773C7" w14:paraId="3BCDED7D" w14:textId="77777777">
        <w:trPr>
          <w:trHeight w:val="405"/>
        </w:trPr>
        <w:tc>
          <w:tcPr>
            <w:tcW w:w="1505" w:type="dxa"/>
            <w:tcBorders>
              <w:top w:val="nil"/>
              <w:left w:val="nil"/>
              <w:bottom w:val="single" w:sz="6" w:space="0" w:color="000000"/>
              <w:right w:val="nil"/>
            </w:tcBorders>
            <w:tcMar>
              <w:top w:w="0" w:type="dxa"/>
              <w:left w:w="0" w:type="dxa"/>
              <w:bottom w:w="0" w:type="dxa"/>
              <w:right w:w="0" w:type="dxa"/>
            </w:tcMar>
          </w:tcPr>
          <w:p w14:paraId="2A99B7DD"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360" w:type="dxa"/>
            <w:tcBorders>
              <w:top w:val="nil"/>
              <w:left w:val="nil"/>
              <w:bottom w:val="single" w:sz="6" w:space="0" w:color="000000"/>
              <w:right w:val="nil"/>
            </w:tcBorders>
            <w:tcMar>
              <w:top w:w="0" w:type="dxa"/>
              <w:left w:w="0" w:type="dxa"/>
              <w:bottom w:w="0" w:type="dxa"/>
              <w:right w:w="0" w:type="dxa"/>
            </w:tcMar>
          </w:tcPr>
          <w:p w14:paraId="662F5467" w14:textId="77777777" w:rsidR="00F773C7" w:rsidRDefault="00AD7B73">
            <w:pPr>
              <w:ind w:left="160" w:right="40"/>
              <w:jc w:val="center"/>
              <w:rPr>
                <w:rFonts w:ascii="Arial" w:eastAsia="Arial" w:hAnsi="Arial" w:cs="Arial"/>
              </w:rPr>
            </w:pPr>
            <w:r>
              <w:rPr>
                <w:rFonts w:ascii="Arial" w:eastAsia="Arial" w:hAnsi="Arial" w:cs="Arial"/>
              </w:rPr>
              <w:t>0.123</w:t>
            </w:r>
          </w:p>
        </w:tc>
        <w:tc>
          <w:tcPr>
            <w:tcW w:w="1375" w:type="dxa"/>
            <w:tcBorders>
              <w:top w:val="nil"/>
              <w:left w:val="nil"/>
              <w:bottom w:val="single" w:sz="6" w:space="0" w:color="000000"/>
              <w:right w:val="nil"/>
            </w:tcBorders>
            <w:tcMar>
              <w:top w:w="0" w:type="dxa"/>
              <w:left w:w="0" w:type="dxa"/>
              <w:bottom w:w="0" w:type="dxa"/>
              <w:right w:w="0" w:type="dxa"/>
            </w:tcMar>
          </w:tcPr>
          <w:p w14:paraId="40C5D952" w14:textId="77777777" w:rsidR="00F773C7" w:rsidRDefault="00AD7B73">
            <w:pPr>
              <w:ind w:left="220" w:right="100"/>
              <w:jc w:val="center"/>
              <w:rPr>
                <w:rFonts w:ascii="Arial" w:eastAsia="Arial" w:hAnsi="Arial" w:cs="Arial"/>
              </w:rPr>
            </w:pPr>
            <w:r>
              <w:rPr>
                <w:rFonts w:ascii="Arial" w:eastAsia="Arial" w:hAnsi="Arial" w:cs="Arial"/>
              </w:rPr>
              <w:t>0.451</w:t>
            </w:r>
          </w:p>
        </w:tc>
        <w:tc>
          <w:tcPr>
            <w:tcW w:w="1375" w:type="dxa"/>
            <w:tcBorders>
              <w:top w:val="nil"/>
              <w:left w:val="nil"/>
              <w:bottom w:val="single" w:sz="6" w:space="0" w:color="000000"/>
              <w:right w:val="nil"/>
            </w:tcBorders>
            <w:tcMar>
              <w:top w:w="0" w:type="dxa"/>
              <w:left w:w="0" w:type="dxa"/>
              <w:bottom w:w="0" w:type="dxa"/>
              <w:right w:w="0" w:type="dxa"/>
            </w:tcMar>
          </w:tcPr>
          <w:p w14:paraId="012EF9D5" w14:textId="77777777" w:rsidR="00F773C7" w:rsidRDefault="00AD7B73">
            <w:pPr>
              <w:ind w:left="240" w:right="120"/>
              <w:jc w:val="center"/>
              <w:rPr>
                <w:rFonts w:ascii="Arial" w:eastAsia="Arial" w:hAnsi="Arial" w:cs="Arial"/>
                <w:b/>
                <w:i/>
              </w:rPr>
            </w:pPr>
            <w:r>
              <w:rPr>
                <w:rFonts w:ascii="Arial" w:eastAsia="Arial" w:hAnsi="Arial" w:cs="Arial"/>
                <w:b/>
                <w:i/>
              </w:rPr>
              <w:t>0.020</w:t>
            </w:r>
          </w:p>
        </w:tc>
        <w:tc>
          <w:tcPr>
            <w:tcW w:w="1375" w:type="dxa"/>
            <w:tcBorders>
              <w:top w:val="nil"/>
              <w:left w:val="nil"/>
              <w:bottom w:val="single" w:sz="6" w:space="0" w:color="000000"/>
              <w:right w:val="nil"/>
            </w:tcBorders>
            <w:tcMar>
              <w:top w:w="0" w:type="dxa"/>
              <w:left w:w="0" w:type="dxa"/>
              <w:bottom w:w="0" w:type="dxa"/>
              <w:right w:w="0" w:type="dxa"/>
            </w:tcMar>
          </w:tcPr>
          <w:p w14:paraId="02330818" w14:textId="77777777" w:rsidR="00F773C7" w:rsidRDefault="00AD7B73">
            <w:pPr>
              <w:ind w:left="220" w:right="100"/>
              <w:jc w:val="center"/>
              <w:rPr>
                <w:rFonts w:ascii="Arial" w:eastAsia="Arial" w:hAnsi="Arial" w:cs="Arial"/>
                <w:b/>
                <w:i/>
              </w:rPr>
            </w:pPr>
            <w:r>
              <w:rPr>
                <w:rFonts w:ascii="Arial" w:eastAsia="Arial" w:hAnsi="Arial" w:cs="Arial"/>
                <w:b/>
                <w:i/>
              </w:rPr>
              <w:t>0.009</w:t>
            </w:r>
          </w:p>
        </w:tc>
        <w:tc>
          <w:tcPr>
            <w:tcW w:w="1216" w:type="dxa"/>
            <w:tcBorders>
              <w:top w:val="nil"/>
              <w:left w:val="nil"/>
              <w:bottom w:val="single" w:sz="6" w:space="0" w:color="000000"/>
              <w:right w:val="nil"/>
            </w:tcBorders>
            <w:tcMar>
              <w:top w:w="0" w:type="dxa"/>
              <w:left w:w="0" w:type="dxa"/>
              <w:bottom w:w="0" w:type="dxa"/>
              <w:right w:w="0" w:type="dxa"/>
            </w:tcMar>
          </w:tcPr>
          <w:p w14:paraId="7ACA3E88" w14:textId="77777777" w:rsidR="00F773C7" w:rsidRDefault="00AD7B73">
            <w:pPr>
              <w:ind w:left="120"/>
              <w:rPr>
                <w:rFonts w:ascii="Arial" w:eastAsia="Arial" w:hAnsi="Arial" w:cs="Arial"/>
              </w:rPr>
            </w:pPr>
            <w:r>
              <w:rPr>
                <w:rFonts w:ascii="Arial" w:eastAsia="Arial" w:hAnsi="Arial" w:cs="Arial"/>
              </w:rPr>
              <w:t xml:space="preserve"> </w:t>
            </w:r>
          </w:p>
        </w:tc>
      </w:tr>
    </w:tbl>
    <w:p w14:paraId="661CAC4D" w14:textId="77777777" w:rsidR="00F773C7" w:rsidRDefault="00AD7B73">
      <w:pPr>
        <w:jc w:val="both"/>
        <w:rPr>
          <w:rFonts w:ascii="Arial" w:eastAsia="Arial" w:hAnsi="Arial" w:cs="Arial"/>
          <w:i/>
          <w:sz w:val="18"/>
          <w:szCs w:val="18"/>
        </w:rPr>
      </w:pPr>
      <w:r>
        <w:rPr>
          <w:rFonts w:ascii="Arial" w:eastAsia="Arial" w:hAnsi="Arial" w:cs="Arial"/>
          <w:i/>
          <w:sz w:val="18"/>
          <w:szCs w:val="18"/>
        </w:rPr>
        <w:t xml:space="preserve">Different lowercase letters = significant difference between evaluation periods of the same group. Different capital </w:t>
      </w:r>
      <w:r>
        <w:rPr>
          <w:rFonts w:ascii="Arial" w:eastAsia="Arial" w:hAnsi="Arial" w:cs="Arial"/>
          <w:i/>
          <w:sz w:val="18"/>
          <w:szCs w:val="18"/>
        </w:rPr>
        <w:t>letters = significant difference between groups in the same evaluation period.</w:t>
      </w:r>
    </w:p>
    <w:p w14:paraId="750AE248" w14:textId="77777777" w:rsidR="00F773C7" w:rsidRDefault="00F773C7">
      <w:pPr>
        <w:pBdr>
          <w:top w:val="nil"/>
          <w:left w:val="nil"/>
          <w:bottom w:val="nil"/>
          <w:right w:val="nil"/>
          <w:between w:val="nil"/>
        </w:pBdr>
        <w:jc w:val="both"/>
        <w:rPr>
          <w:rFonts w:ascii="Arial" w:eastAsia="Arial" w:hAnsi="Arial" w:cs="Arial"/>
        </w:rPr>
      </w:pPr>
    </w:p>
    <w:p w14:paraId="3D97DBF8" w14:textId="77777777" w:rsidR="00F773C7" w:rsidRDefault="00AD7B73">
      <w:pPr>
        <w:jc w:val="both"/>
        <w:rPr>
          <w:rFonts w:ascii="Arial" w:eastAsia="Arial" w:hAnsi="Arial" w:cs="Arial"/>
          <w:b/>
          <w:sz w:val="22"/>
          <w:szCs w:val="22"/>
        </w:rPr>
      </w:pPr>
      <w:r>
        <w:rPr>
          <w:rFonts w:ascii="Arial" w:eastAsia="Arial" w:hAnsi="Arial" w:cs="Arial"/>
          <w:b/>
          <w:smallCaps/>
          <w:sz w:val="22"/>
          <w:szCs w:val="22"/>
        </w:rPr>
        <w:t xml:space="preserve">3.1.3. </w:t>
      </w:r>
      <w:r>
        <w:rPr>
          <w:rFonts w:ascii="Arial" w:eastAsia="Arial" w:hAnsi="Arial" w:cs="Arial"/>
          <w:b/>
          <w:sz w:val="22"/>
          <w:szCs w:val="22"/>
        </w:rPr>
        <w:t xml:space="preserve">Microhardness Analysis </w:t>
      </w:r>
    </w:p>
    <w:p w14:paraId="05DE7DA8" w14:textId="77777777" w:rsidR="00F773C7" w:rsidRDefault="00F773C7">
      <w:pPr>
        <w:pBdr>
          <w:top w:val="nil"/>
          <w:left w:val="nil"/>
          <w:bottom w:val="nil"/>
          <w:right w:val="nil"/>
          <w:between w:val="nil"/>
        </w:pBdr>
        <w:jc w:val="both"/>
        <w:rPr>
          <w:rFonts w:ascii="Arial" w:eastAsia="Arial" w:hAnsi="Arial" w:cs="Arial"/>
        </w:rPr>
      </w:pPr>
    </w:p>
    <w:p w14:paraId="4387513A"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rPr>
        <w:t>At the end of the 60-month simulated brushing period, the mean microhardness did not differ significantly among any of the groups. Table 3 prese</w:t>
      </w:r>
      <w:r>
        <w:rPr>
          <w:rFonts w:ascii="Arial" w:eastAsia="Arial" w:hAnsi="Arial" w:cs="Arial"/>
        </w:rPr>
        <w:t>nts the hardness means throughout the study.</w:t>
      </w:r>
    </w:p>
    <w:p w14:paraId="3943E494" w14:textId="77777777" w:rsidR="00F773C7" w:rsidRDefault="00F773C7">
      <w:pPr>
        <w:pBdr>
          <w:top w:val="nil"/>
          <w:left w:val="nil"/>
          <w:bottom w:val="nil"/>
          <w:right w:val="nil"/>
          <w:between w:val="nil"/>
        </w:pBdr>
        <w:jc w:val="both"/>
        <w:rPr>
          <w:rFonts w:ascii="Arial" w:eastAsia="Arial" w:hAnsi="Arial" w:cs="Arial"/>
        </w:rPr>
      </w:pPr>
    </w:p>
    <w:p w14:paraId="7CA4D8AE" w14:textId="77777777" w:rsidR="00F773C7" w:rsidRDefault="00AD7B73">
      <w:pPr>
        <w:spacing w:line="360" w:lineRule="auto"/>
        <w:jc w:val="both"/>
        <w:rPr>
          <w:rFonts w:ascii="Arial" w:eastAsia="Arial" w:hAnsi="Arial" w:cs="Arial"/>
          <w:sz w:val="24"/>
          <w:szCs w:val="24"/>
        </w:rPr>
      </w:pPr>
      <w:r>
        <w:rPr>
          <w:rFonts w:ascii="Arial" w:eastAsia="Arial" w:hAnsi="Arial" w:cs="Arial"/>
          <w:b/>
        </w:rPr>
        <w:t>Table 3. Means and standard deviation of microhardness according to the treatment and time.</w:t>
      </w:r>
    </w:p>
    <w:p w14:paraId="5B198006" w14:textId="77777777" w:rsidR="00F773C7" w:rsidRDefault="00AD7B73">
      <w:pPr>
        <w:pStyle w:val="Heading1"/>
        <w:keepNext w:val="0"/>
        <w:spacing w:before="0" w:after="0"/>
        <w:ind w:left="2340" w:right="2040"/>
        <w:jc w:val="center"/>
        <w:rPr>
          <w:sz w:val="20"/>
          <w:szCs w:val="20"/>
        </w:rPr>
      </w:pPr>
      <w:bookmarkStart w:id="4" w:name="_heading=h.8w759wx0b2fl" w:colFirst="0" w:colLast="0"/>
      <w:bookmarkEnd w:id="4"/>
      <w:r>
        <w:rPr>
          <w:sz w:val="20"/>
          <w:szCs w:val="20"/>
        </w:rPr>
        <w:t>Time</w:t>
      </w:r>
    </w:p>
    <w:tbl>
      <w:tblPr>
        <w:tblStyle w:val="ac"/>
        <w:tblW w:w="8360"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1640"/>
        <w:gridCol w:w="1380"/>
        <w:gridCol w:w="1380"/>
        <w:gridCol w:w="1380"/>
        <w:gridCol w:w="1380"/>
        <w:gridCol w:w="1200"/>
      </w:tblGrid>
      <w:tr w:rsidR="00F773C7" w14:paraId="37A5C956" w14:textId="77777777">
        <w:trPr>
          <w:trHeight w:val="420"/>
        </w:trPr>
        <w:tc>
          <w:tcPr>
            <w:tcW w:w="1640" w:type="dxa"/>
            <w:tcBorders>
              <w:top w:val="nil"/>
              <w:left w:val="nil"/>
              <w:bottom w:val="single" w:sz="6" w:space="0" w:color="000000"/>
              <w:right w:val="nil"/>
            </w:tcBorders>
            <w:tcMar>
              <w:top w:w="0" w:type="dxa"/>
              <w:left w:w="0" w:type="dxa"/>
              <w:bottom w:w="0" w:type="dxa"/>
              <w:right w:w="0" w:type="dxa"/>
            </w:tcMar>
          </w:tcPr>
          <w:p w14:paraId="7C5146E9" w14:textId="77777777" w:rsidR="00F773C7" w:rsidRDefault="00AD7B73">
            <w:pPr>
              <w:ind w:left="120"/>
              <w:rPr>
                <w:rFonts w:ascii="Arial" w:eastAsia="Arial" w:hAnsi="Arial" w:cs="Arial"/>
              </w:rPr>
            </w:pPr>
            <w:r>
              <w:rPr>
                <w:rFonts w:ascii="Arial" w:eastAsia="Arial" w:hAnsi="Arial" w:cs="Arial"/>
              </w:rPr>
              <w:t xml:space="preserve"> </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551A4597" w14:textId="77777777" w:rsidR="00F773C7" w:rsidRDefault="00AD7B73">
            <w:pPr>
              <w:ind w:left="160" w:right="40"/>
              <w:jc w:val="center"/>
              <w:rPr>
                <w:rFonts w:ascii="Arial" w:eastAsia="Arial" w:hAnsi="Arial" w:cs="Arial"/>
                <w:b/>
              </w:rPr>
            </w:pPr>
            <w:r>
              <w:rPr>
                <w:rFonts w:ascii="Arial" w:eastAsia="Arial" w:hAnsi="Arial" w:cs="Arial"/>
                <w:b/>
              </w:rPr>
              <w:t>T0</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6BEC8FE3" w14:textId="77777777" w:rsidR="00F773C7" w:rsidRDefault="00AD7B73">
            <w:pPr>
              <w:ind w:left="160" w:right="40"/>
              <w:jc w:val="center"/>
              <w:rPr>
                <w:rFonts w:ascii="Arial" w:eastAsia="Arial" w:hAnsi="Arial" w:cs="Arial"/>
                <w:b/>
              </w:rPr>
            </w:pPr>
            <w:r>
              <w:rPr>
                <w:rFonts w:ascii="Arial" w:eastAsia="Arial" w:hAnsi="Arial" w:cs="Arial"/>
                <w:b/>
              </w:rPr>
              <w:t>T1</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6D58F617" w14:textId="77777777" w:rsidR="00F773C7" w:rsidRDefault="00AD7B73">
            <w:pPr>
              <w:ind w:left="160" w:right="40"/>
              <w:jc w:val="center"/>
              <w:rPr>
                <w:rFonts w:ascii="Arial" w:eastAsia="Arial" w:hAnsi="Arial" w:cs="Arial"/>
                <w:b/>
              </w:rPr>
            </w:pPr>
            <w:r>
              <w:rPr>
                <w:rFonts w:ascii="Arial" w:eastAsia="Arial" w:hAnsi="Arial" w:cs="Arial"/>
                <w:b/>
              </w:rPr>
              <w:t>T2</w:t>
            </w:r>
          </w:p>
        </w:tc>
        <w:tc>
          <w:tcPr>
            <w:tcW w:w="1380" w:type="dxa"/>
            <w:tcBorders>
              <w:top w:val="single" w:sz="6" w:space="0" w:color="000000"/>
              <w:left w:val="nil"/>
              <w:bottom w:val="single" w:sz="6" w:space="0" w:color="000000"/>
              <w:right w:val="nil"/>
            </w:tcBorders>
            <w:tcMar>
              <w:top w:w="0" w:type="dxa"/>
              <w:left w:w="0" w:type="dxa"/>
              <w:bottom w:w="0" w:type="dxa"/>
              <w:right w:w="0" w:type="dxa"/>
            </w:tcMar>
          </w:tcPr>
          <w:p w14:paraId="08E5CFAA" w14:textId="77777777" w:rsidR="00F773C7" w:rsidRDefault="00AD7B73">
            <w:pPr>
              <w:ind w:left="160" w:right="40"/>
              <w:jc w:val="center"/>
              <w:rPr>
                <w:rFonts w:ascii="Arial" w:eastAsia="Arial" w:hAnsi="Arial" w:cs="Arial"/>
                <w:b/>
              </w:rPr>
            </w:pPr>
            <w:r>
              <w:rPr>
                <w:rFonts w:ascii="Arial" w:eastAsia="Arial" w:hAnsi="Arial" w:cs="Arial"/>
                <w:b/>
              </w:rPr>
              <w:t>T3</w:t>
            </w:r>
          </w:p>
        </w:tc>
        <w:tc>
          <w:tcPr>
            <w:tcW w:w="1200" w:type="dxa"/>
            <w:tcBorders>
              <w:top w:val="nil"/>
              <w:left w:val="nil"/>
              <w:bottom w:val="single" w:sz="6" w:space="0" w:color="000000"/>
              <w:right w:val="nil"/>
            </w:tcBorders>
            <w:tcMar>
              <w:top w:w="0" w:type="dxa"/>
              <w:left w:w="0" w:type="dxa"/>
              <w:bottom w:w="0" w:type="dxa"/>
              <w:right w:w="0" w:type="dxa"/>
            </w:tcMar>
          </w:tcPr>
          <w:p w14:paraId="735C513F"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r>
      <w:tr w:rsidR="00F773C7" w14:paraId="7C96656B" w14:textId="77777777">
        <w:trPr>
          <w:trHeight w:val="375"/>
        </w:trPr>
        <w:tc>
          <w:tcPr>
            <w:tcW w:w="1640" w:type="dxa"/>
            <w:tcBorders>
              <w:top w:val="nil"/>
              <w:left w:val="nil"/>
              <w:bottom w:val="nil"/>
              <w:right w:val="nil"/>
            </w:tcBorders>
            <w:tcMar>
              <w:top w:w="0" w:type="dxa"/>
              <w:left w:w="0" w:type="dxa"/>
              <w:bottom w:w="0" w:type="dxa"/>
              <w:right w:w="0" w:type="dxa"/>
            </w:tcMar>
          </w:tcPr>
          <w:p w14:paraId="6E29ADFF" w14:textId="77777777" w:rsidR="00F773C7" w:rsidRDefault="00AD7B73">
            <w:pPr>
              <w:ind w:left="200"/>
              <w:rPr>
                <w:rFonts w:ascii="Arial" w:eastAsia="Arial" w:hAnsi="Arial" w:cs="Arial"/>
                <w:b/>
              </w:rPr>
            </w:pPr>
            <w:r>
              <w:rPr>
                <w:rFonts w:ascii="Arial" w:eastAsia="Arial" w:hAnsi="Arial" w:cs="Arial"/>
                <w:b/>
              </w:rPr>
              <w:t>Microhardness</w:t>
            </w:r>
          </w:p>
        </w:tc>
        <w:tc>
          <w:tcPr>
            <w:tcW w:w="1380" w:type="dxa"/>
            <w:tcBorders>
              <w:top w:val="nil"/>
              <w:left w:val="nil"/>
              <w:bottom w:val="nil"/>
              <w:right w:val="nil"/>
            </w:tcBorders>
            <w:tcMar>
              <w:top w:w="0" w:type="dxa"/>
              <w:left w:w="0" w:type="dxa"/>
              <w:bottom w:w="0" w:type="dxa"/>
              <w:right w:w="0" w:type="dxa"/>
            </w:tcMar>
          </w:tcPr>
          <w:p w14:paraId="500513F6" w14:textId="77777777" w:rsidR="00F773C7" w:rsidRDefault="00AD7B73">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6DDB95D0" w14:textId="77777777" w:rsidR="00F773C7" w:rsidRDefault="00AD7B73">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1C0F376A" w14:textId="77777777" w:rsidR="00F773C7" w:rsidRDefault="00AD7B73">
            <w:pPr>
              <w:ind w:left="120"/>
              <w:rPr>
                <w:rFonts w:ascii="Arial" w:eastAsia="Arial" w:hAnsi="Arial" w:cs="Arial"/>
              </w:rPr>
            </w:pPr>
            <w:r>
              <w:rPr>
                <w:rFonts w:ascii="Arial" w:eastAsia="Arial" w:hAnsi="Arial" w:cs="Arial"/>
              </w:rPr>
              <w:t xml:space="preserve"> </w:t>
            </w:r>
          </w:p>
        </w:tc>
        <w:tc>
          <w:tcPr>
            <w:tcW w:w="1380" w:type="dxa"/>
            <w:tcBorders>
              <w:top w:val="nil"/>
              <w:left w:val="nil"/>
              <w:bottom w:val="nil"/>
              <w:right w:val="nil"/>
            </w:tcBorders>
            <w:tcMar>
              <w:top w:w="0" w:type="dxa"/>
              <w:left w:w="0" w:type="dxa"/>
              <w:bottom w:w="0" w:type="dxa"/>
              <w:right w:w="0" w:type="dxa"/>
            </w:tcMar>
          </w:tcPr>
          <w:p w14:paraId="0ECD91E3" w14:textId="77777777" w:rsidR="00F773C7" w:rsidRDefault="00AD7B73">
            <w:pPr>
              <w:ind w:left="120"/>
              <w:rPr>
                <w:rFonts w:ascii="Arial" w:eastAsia="Arial" w:hAnsi="Arial" w:cs="Arial"/>
              </w:rPr>
            </w:pPr>
            <w:r>
              <w:rPr>
                <w:rFonts w:ascii="Arial" w:eastAsia="Arial" w:hAnsi="Arial" w:cs="Arial"/>
              </w:rPr>
              <w:t xml:space="preserve"> </w:t>
            </w:r>
          </w:p>
        </w:tc>
        <w:tc>
          <w:tcPr>
            <w:tcW w:w="1200" w:type="dxa"/>
            <w:tcBorders>
              <w:top w:val="nil"/>
              <w:left w:val="nil"/>
              <w:bottom w:val="nil"/>
              <w:right w:val="nil"/>
            </w:tcBorders>
            <w:tcMar>
              <w:top w:w="0" w:type="dxa"/>
              <w:left w:w="0" w:type="dxa"/>
              <w:bottom w:w="0" w:type="dxa"/>
              <w:right w:w="0" w:type="dxa"/>
            </w:tcMar>
          </w:tcPr>
          <w:p w14:paraId="7F6263AA" w14:textId="77777777" w:rsidR="00F773C7" w:rsidRDefault="00AD7B73">
            <w:pPr>
              <w:ind w:left="120"/>
              <w:rPr>
                <w:rFonts w:ascii="Arial" w:eastAsia="Arial" w:hAnsi="Arial" w:cs="Arial"/>
              </w:rPr>
            </w:pPr>
            <w:r>
              <w:rPr>
                <w:rFonts w:ascii="Arial" w:eastAsia="Arial" w:hAnsi="Arial" w:cs="Arial"/>
              </w:rPr>
              <w:t xml:space="preserve"> </w:t>
            </w:r>
          </w:p>
        </w:tc>
      </w:tr>
      <w:tr w:rsidR="00F773C7" w14:paraId="7C36183A" w14:textId="77777777">
        <w:trPr>
          <w:trHeight w:val="510"/>
        </w:trPr>
        <w:tc>
          <w:tcPr>
            <w:tcW w:w="1640" w:type="dxa"/>
            <w:tcBorders>
              <w:top w:val="nil"/>
              <w:left w:val="nil"/>
              <w:bottom w:val="nil"/>
              <w:right w:val="nil"/>
            </w:tcBorders>
            <w:tcMar>
              <w:top w:w="0" w:type="dxa"/>
              <w:left w:w="0" w:type="dxa"/>
              <w:bottom w:w="0" w:type="dxa"/>
              <w:right w:w="0" w:type="dxa"/>
            </w:tcMar>
          </w:tcPr>
          <w:p w14:paraId="30BDB308" w14:textId="77777777" w:rsidR="00F773C7" w:rsidRDefault="00AD7B73">
            <w:pPr>
              <w:ind w:left="280"/>
              <w:rPr>
                <w:rFonts w:ascii="Arial" w:eastAsia="Arial" w:hAnsi="Arial" w:cs="Arial"/>
              </w:rPr>
            </w:pPr>
            <w:r>
              <w:rPr>
                <w:rFonts w:ascii="Arial" w:eastAsia="Arial" w:hAnsi="Arial" w:cs="Arial"/>
              </w:rPr>
              <w:t>DW</w:t>
            </w:r>
          </w:p>
        </w:tc>
        <w:tc>
          <w:tcPr>
            <w:tcW w:w="1380" w:type="dxa"/>
            <w:tcBorders>
              <w:top w:val="nil"/>
              <w:left w:val="nil"/>
              <w:bottom w:val="nil"/>
              <w:right w:val="nil"/>
            </w:tcBorders>
            <w:tcMar>
              <w:top w:w="0" w:type="dxa"/>
              <w:left w:w="0" w:type="dxa"/>
              <w:bottom w:w="0" w:type="dxa"/>
              <w:right w:w="0" w:type="dxa"/>
            </w:tcMar>
          </w:tcPr>
          <w:p w14:paraId="788A08CD" w14:textId="77777777" w:rsidR="00F773C7" w:rsidRDefault="00AD7B73">
            <w:pPr>
              <w:ind w:left="160" w:right="40"/>
              <w:jc w:val="center"/>
              <w:rPr>
                <w:rFonts w:ascii="Arial" w:eastAsia="Arial" w:hAnsi="Arial" w:cs="Arial"/>
                <w:vertAlign w:val="superscript"/>
              </w:rPr>
            </w:pPr>
            <w:r>
              <w:rPr>
                <w:rFonts w:ascii="Arial" w:eastAsia="Arial" w:hAnsi="Arial" w:cs="Arial"/>
              </w:rPr>
              <w:t>20.40±3.90</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6280AAF0" w14:textId="77777777" w:rsidR="00F773C7" w:rsidRDefault="00AD7B73">
            <w:pPr>
              <w:ind w:left="160" w:right="40"/>
              <w:jc w:val="center"/>
              <w:rPr>
                <w:rFonts w:ascii="Arial" w:eastAsia="Arial" w:hAnsi="Arial" w:cs="Arial"/>
                <w:vertAlign w:val="superscript"/>
              </w:rPr>
            </w:pPr>
            <w:r>
              <w:rPr>
                <w:rFonts w:ascii="Arial" w:eastAsia="Arial" w:hAnsi="Arial" w:cs="Arial"/>
              </w:rPr>
              <w:t>19.14±2.59</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7D2AACCC" w14:textId="77777777" w:rsidR="00F773C7" w:rsidRDefault="00AD7B73">
            <w:pPr>
              <w:ind w:left="160" w:right="40"/>
              <w:jc w:val="center"/>
              <w:rPr>
                <w:rFonts w:ascii="Arial" w:eastAsia="Arial" w:hAnsi="Arial" w:cs="Arial"/>
                <w:vertAlign w:val="superscript"/>
              </w:rPr>
            </w:pPr>
            <w:r>
              <w:rPr>
                <w:rFonts w:ascii="Arial" w:eastAsia="Arial" w:hAnsi="Arial" w:cs="Arial"/>
              </w:rPr>
              <w:t>18.06±2.14</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693418B9" w14:textId="77777777" w:rsidR="00F773C7" w:rsidRDefault="00AD7B73">
            <w:pPr>
              <w:ind w:left="160" w:right="60"/>
              <w:jc w:val="center"/>
              <w:rPr>
                <w:rFonts w:ascii="Arial" w:eastAsia="Arial" w:hAnsi="Arial" w:cs="Arial"/>
                <w:vertAlign w:val="superscript"/>
              </w:rPr>
            </w:pPr>
            <w:r>
              <w:rPr>
                <w:rFonts w:ascii="Arial" w:eastAsia="Arial" w:hAnsi="Arial" w:cs="Arial"/>
              </w:rPr>
              <w:t>20.14±3.67</w:t>
            </w:r>
            <w:r>
              <w:rPr>
                <w:rFonts w:ascii="Arial" w:eastAsia="Arial" w:hAnsi="Arial" w:cs="Arial"/>
                <w:vertAlign w:val="superscript"/>
              </w:rPr>
              <w:t>Aa</w:t>
            </w:r>
          </w:p>
        </w:tc>
        <w:tc>
          <w:tcPr>
            <w:tcW w:w="1200" w:type="dxa"/>
            <w:tcBorders>
              <w:top w:val="nil"/>
              <w:left w:val="nil"/>
              <w:bottom w:val="nil"/>
              <w:right w:val="nil"/>
            </w:tcBorders>
            <w:tcMar>
              <w:top w:w="0" w:type="dxa"/>
              <w:left w:w="0" w:type="dxa"/>
              <w:bottom w:w="0" w:type="dxa"/>
              <w:right w:w="0" w:type="dxa"/>
            </w:tcMar>
          </w:tcPr>
          <w:p w14:paraId="0EA572E9" w14:textId="77777777" w:rsidR="00F773C7" w:rsidRDefault="00AD7B73">
            <w:pPr>
              <w:ind w:left="280" w:right="160"/>
              <w:jc w:val="center"/>
              <w:rPr>
                <w:rFonts w:ascii="Arial" w:eastAsia="Arial" w:hAnsi="Arial" w:cs="Arial"/>
              </w:rPr>
            </w:pPr>
            <w:r>
              <w:rPr>
                <w:rFonts w:ascii="Arial" w:eastAsia="Arial" w:hAnsi="Arial" w:cs="Arial"/>
              </w:rPr>
              <w:t>0.274</w:t>
            </w:r>
          </w:p>
        </w:tc>
      </w:tr>
      <w:tr w:rsidR="00F773C7" w14:paraId="0FF0E653" w14:textId="77777777">
        <w:trPr>
          <w:trHeight w:val="510"/>
        </w:trPr>
        <w:tc>
          <w:tcPr>
            <w:tcW w:w="1640" w:type="dxa"/>
            <w:tcBorders>
              <w:top w:val="nil"/>
              <w:left w:val="nil"/>
              <w:bottom w:val="nil"/>
              <w:right w:val="nil"/>
            </w:tcBorders>
            <w:tcMar>
              <w:top w:w="0" w:type="dxa"/>
              <w:left w:w="0" w:type="dxa"/>
              <w:bottom w:w="0" w:type="dxa"/>
              <w:right w:w="0" w:type="dxa"/>
            </w:tcMar>
          </w:tcPr>
          <w:p w14:paraId="424C6321" w14:textId="77777777" w:rsidR="00F773C7" w:rsidRDefault="00AD7B73">
            <w:pPr>
              <w:ind w:left="280"/>
              <w:rPr>
                <w:rFonts w:ascii="Arial" w:eastAsia="Arial" w:hAnsi="Arial" w:cs="Arial"/>
              </w:rPr>
            </w:pPr>
            <w:r>
              <w:rPr>
                <w:rFonts w:ascii="Arial" w:eastAsia="Arial" w:hAnsi="Arial" w:cs="Arial"/>
              </w:rPr>
              <w:t>PD</w:t>
            </w:r>
          </w:p>
        </w:tc>
        <w:tc>
          <w:tcPr>
            <w:tcW w:w="1380" w:type="dxa"/>
            <w:tcBorders>
              <w:top w:val="nil"/>
              <w:left w:val="nil"/>
              <w:bottom w:val="nil"/>
              <w:right w:val="nil"/>
            </w:tcBorders>
            <w:tcMar>
              <w:top w:w="0" w:type="dxa"/>
              <w:left w:w="0" w:type="dxa"/>
              <w:bottom w:w="0" w:type="dxa"/>
              <w:right w:w="0" w:type="dxa"/>
            </w:tcMar>
          </w:tcPr>
          <w:p w14:paraId="0783BEC9" w14:textId="77777777" w:rsidR="00F773C7" w:rsidRDefault="00AD7B73">
            <w:pPr>
              <w:ind w:left="160" w:right="40"/>
              <w:jc w:val="center"/>
              <w:rPr>
                <w:rFonts w:ascii="Arial" w:eastAsia="Arial" w:hAnsi="Arial" w:cs="Arial"/>
                <w:vertAlign w:val="superscript"/>
              </w:rPr>
            </w:pPr>
            <w:r>
              <w:rPr>
                <w:rFonts w:ascii="Arial" w:eastAsia="Arial" w:hAnsi="Arial" w:cs="Arial"/>
              </w:rPr>
              <w:t>16.34±1.72</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643AD7AB" w14:textId="77777777" w:rsidR="00F773C7" w:rsidRDefault="00AD7B73">
            <w:pPr>
              <w:ind w:left="160" w:right="40"/>
              <w:jc w:val="center"/>
              <w:rPr>
                <w:rFonts w:ascii="Arial" w:eastAsia="Arial" w:hAnsi="Arial" w:cs="Arial"/>
                <w:vertAlign w:val="superscript"/>
              </w:rPr>
            </w:pPr>
            <w:r>
              <w:rPr>
                <w:rFonts w:ascii="Arial" w:eastAsia="Arial" w:hAnsi="Arial" w:cs="Arial"/>
              </w:rPr>
              <w:t>18.00±2.24</w:t>
            </w:r>
            <w:r>
              <w:rPr>
                <w:rFonts w:ascii="Arial" w:eastAsia="Arial" w:hAnsi="Arial" w:cs="Arial"/>
                <w:vertAlign w:val="superscript"/>
              </w:rPr>
              <w:t>Aa</w:t>
            </w:r>
          </w:p>
        </w:tc>
        <w:tc>
          <w:tcPr>
            <w:tcW w:w="1380" w:type="dxa"/>
            <w:tcBorders>
              <w:top w:val="nil"/>
              <w:left w:val="nil"/>
              <w:bottom w:val="nil"/>
              <w:right w:val="nil"/>
            </w:tcBorders>
            <w:tcMar>
              <w:top w:w="0" w:type="dxa"/>
              <w:left w:w="0" w:type="dxa"/>
              <w:bottom w:w="0" w:type="dxa"/>
              <w:right w:w="0" w:type="dxa"/>
            </w:tcMar>
          </w:tcPr>
          <w:p w14:paraId="4070B33B" w14:textId="77777777" w:rsidR="00F773C7" w:rsidRDefault="00AD7B73">
            <w:pPr>
              <w:ind w:left="160" w:right="40"/>
              <w:jc w:val="center"/>
              <w:rPr>
                <w:rFonts w:ascii="Arial" w:eastAsia="Arial" w:hAnsi="Arial" w:cs="Arial"/>
                <w:vertAlign w:val="superscript"/>
              </w:rPr>
            </w:pPr>
            <w:r>
              <w:rPr>
                <w:rFonts w:ascii="Arial" w:eastAsia="Arial" w:hAnsi="Arial" w:cs="Arial"/>
              </w:rPr>
              <w:t>18.43±2.92</w:t>
            </w:r>
            <w:r>
              <w:rPr>
                <w:rFonts w:ascii="Arial" w:eastAsia="Arial" w:hAnsi="Arial" w:cs="Arial"/>
                <w:vertAlign w:val="superscript"/>
              </w:rPr>
              <w:t>Ab</w:t>
            </w:r>
          </w:p>
        </w:tc>
        <w:tc>
          <w:tcPr>
            <w:tcW w:w="1380" w:type="dxa"/>
            <w:tcBorders>
              <w:top w:val="nil"/>
              <w:left w:val="nil"/>
              <w:bottom w:val="nil"/>
              <w:right w:val="nil"/>
            </w:tcBorders>
            <w:tcMar>
              <w:top w:w="0" w:type="dxa"/>
              <w:left w:w="0" w:type="dxa"/>
              <w:bottom w:w="0" w:type="dxa"/>
              <w:right w:w="0" w:type="dxa"/>
            </w:tcMar>
          </w:tcPr>
          <w:p w14:paraId="3E98BECB" w14:textId="77777777" w:rsidR="00F773C7" w:rsidRDefault="00AD7B73">
            <w:pPr>
              <w:ind w:left="160" w:right="60"/>
              <w:jc w:val="center"/>
              <w:rPr>
                <w:rFonts w:ascii="Arial" w:eastAsia="Arial" w:hAnsi="Arial" w:cs="Arial"/>
                <w:vertAlign w:val="superscript"/>
              </w:rPr>
            </w:pPr>
            <w:r>
              <w:rPr>
                <w:rFonts w:ascii="Arial" w:eastAsia="Arial" w:hAnsi="Arial" w:cs="Arial"/>
              </w:rPr>
              <w:t>16.43±2.97</w:t>
            </w:r>
            <w:r>
              <w:rPr>
                <w:rFonts w:ascii="Arial" w:eastAsia="Arial" w:hAnsi="Arial" w:cs="Arial"/>
                <w:vertAlign w:val="superscript"/>
              </w:rPr>
              <w:t>Aa</w:t>
            </w:r>
          </w:p>
        </w:tc>
        <w:tc>
          <w:tcPr>
            <w:tcW w:w="1200" w:type="dxa"/>
            <w:tcBorders>
              <w:top w:val="nil"/>
              <w:left w:val="nil"/>
              <w:bottom w:val="nil"/>
              <w:right w:val="nil"/>
            </w:tcBorders>
            <w:tcMar>
              <w:top w:w="0" w:type="dxa"/>
              <w:left w:w="0" w:type="dxa"/>
              <w:bottom w:w="0" w:type="dxa"/>
              <w:right w:w="0" w:type="dxa"/>
            </w:tcMar>
          </w:tcPr>
          <w:p w14:paraId="04DC3BDB" w14:textId="77777777" w:rsidR="00F773C7" w:rsidRDefault="00AD7B73">
            <w:pPr>
              <w:ind w:left="280" w:right="160"/>
              <w:jc w:val="center"/>
              <w:rPr>
                <w:rFonts w:ascii="Arial" w:eastAsia="Arial" w:hAnsi="Arial" w:cs="Arial"/>
                <w:b/>
                <w:i/>
              </w:rPr>
            </w:pPr>
            <w:r>
              <w:rPr>
                <w:rFonts w:ascii="Arial" w:eastAsia="Arial" w:hAnsi="Arial" w:cs="Arial"/>
                <w:b/>
                <w:i/>
              </w:rPr>
              <w:t>0.010</w:t>
            </w:r>
          </w:p>
        </w:tc>
      </w:tr>
      <w:tr w:rsidR="00F773C7" w14:paraId="514E5C5E" w14:textId="77777777">
        <w:trPr>
          <w:trHeight w:val="525"/>
        </w:trPr>
        <w:tc>
          <w:tcPr>
            <w:tcW w:w="1640" w:type="dxa"/>
            <w:tcBorders>
              <w:top w:val="nil"/>
              <w:left w:val="nil"/>
              <w:bottom w:val="single" w:sz="6" w:space="0" w:color="000000"/>
              <w:right w:val="nil"/>
            </w:tcBorders>
            <w:tcMar>
              <w:top w:w="0" w:type="dxa"/>
              <w:left w:w="0" w:type="dxa"/>
              <w:bottom w:w="0" w:type="dxa"/>
              <w:right w:w="0" w:type="dxa"/>
            </w:tcMar>
          </w:tcPr>
          <w:p w14:paraId="27C0C69C" w14:textId="77777777" w:rsidR="00F773C7" w:rsidRDefault="00AD7B73">
            <w:pPr>
              <w:ind w:left="280"/>
              <w:rPr>
                <w:rFonts w:ascii="Arial" w:eastAsia="Arial" w:hAnsi="Arial" w:cs="Arial"/>
              </w:rPr>
            </w:pPr>
            <w:r>
              <w:rPr>
                <w:rFonts w:ascii="Arial" w:eastAsia="Arial" w:hAnsi="Arial" w:cs="Arial"/>
              </w:rPr>
              <w:lastRenderedPageBreak/>
              <w:t>CD</w:t>
            </w:r>
          </w:p>
        </w:tc>
        <w:tc>
          <w:tcPr>
            <w:tcW w:w="1380" w:type="dxa"/>
            <w:tcBorders>
              <w:top w:val="nil"/>
              <w:left w:val="nil"/>
              <w:bottom w:val="single" w:sz="6" w:space="0" w:color="000000"/>
              <w:right w:val="nil"/>
            </w:tcBorders>
            <w:tcMar>
              <w:top w:w="0" w:type="dxa"/>
              <w:left w:w="0" w:type="dxa"/>
              <w:bottom w:w="0" w:type="dxa"/>
              <w:right w:w="0" w:type="dxa"/>
            </w:tcMar>
          </w:tcPr>
          <w:p w14:paraId="29901AF3" w14:textId="77777777" w:rsidR="00F773C7" w:rsidRDefault="00AD7B73">
            <w:pPr>
              <w:ind w:left="160" w:right="40"/>
              <w:jc w:val="center"/>
              <w:rPr>
                <w:rFonts w:ascii="Arial" w:eastAsia="Arial" w:hAnsi="Arial" w:cs="Arial"/>
                <w:vertAlign w:val="superscript"/>
              </w:rPr>
            </w:pPr>
            <w:r>
              <w:rPr>
                <w:rFonts w:ascii="Arial" w:eastAsia="Arial" w:hAnsi="Arial" w:cs="Arial"/>
              </w:rPr>
              <w:t>16.88±3.16</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1866B2AC" w14:textId="77777777" w:rsidR="00F773C7" w:rsidRDefault="00AD7B73">
            <w:pPr>
              <w:ind w:left="160" w:right="40"/>
              <w:jc w:val="center"/>
              <w:rPr>
                <w:rFonts w:ascii="Arial" w:eastAsia="Arial" w:hAnsi="Arial" w:cs="Arial"/>
                <w:vertAlign w:val="superscript"/>
              </w:rPr>
            </w:pPr>
            <w:r>
              <w:rPr>
                <w:rFonts w:ascii="Arial" w:eastAsia="Arial" w:hAnsi="Arial" w:cs="Arial"/>
              </w:rPr>
              <w:t>18.18±3.16</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36E13485" w14:textId="77777777" w:rsidR="00F773C7" w:rsidRDefault="00AD7B73">
            <w:pPr>
              <w:ind w:left="160" w:right="40"/>
              <w:jc w:val="center"/>
              <w:rPr>
                <w:rFonts w:ascii="Arial" w:eastAsia="Arial" w:hAnsi="Arial" w:cs="Arial"/>
                <w:vertAlign w:val="superscript"/>
              </w:rPr>
            </w:pPr>
            <w:r>
              <w:rPr>
                <w:rFonts w:ascii="Arial" w:eastAsia="Arial" w:hAnsi="Arial" w:cs="Arial"/>
              </w:rPr>
              <w:t>17.34±3.11</w:t>
            </w:r>
            <w:r>
              <w:rPr>
                <w:rFonts w:ascii="Arial" w:eastAsia="Arial" w:hAnsi="Arial" w:cs="Arial"/>
                <w:vertAlign w:val="superscript"/>
              </w:rPr>
              <w:t>Aa</w:t>
            </w:r>
          </w:p>
        </w:tc>
        <w:tc>
          <w:tcPr>
            <w:tcW w:w="1380" w:type="dxa"/>
            <w:tcBorders>
              <w:top w:val="nil"/>
              <w:left w:val="nil"/>
              <w:bottom w:val="single" w:sz="6" w:space="0" w:color="000000"/>
              <w:right w:val="nil"/>
            </w:tcBorders>
            <w:tcMar>
              <w:top w:w="0" w:type="dxa"/>
              <w:left w:w="0" w:type="dxa"/>
              <w:bottom w:w="0" w:type="dxa"/>
              <w:right w:w="0" w:type="dxa"/>
            </w:tcMar>
          </w:tcPr>
          <w:p w14:paraId="78A8A974" w14:textId="77777777" w:rsidR="00F773C7" w:rsidRDefault="00AD7B73">
            <w:pPr>
              <w:ind w:left="160" w:right="60"/>
              <w:jc w:val="center"/>
              <w:rPr>
                <w:rFonts w:ascii="Arial" w:eastAsia="Arial" w:hAnsi="Arial" w:cs="Arial"/>
                <w:vertAlign w:val="superscript"/>
              </w:rPr>
            </w:pPr>
            <w:r>
              <w:rPr>
                <w:rFonts w:ascii="Arial" w:eastAsia="Arial" w:hAnsi="Arial" w:cs="Arial"/>
              </w:rPr>
              <w:t>18.34±2.96</w:t>
            </w:r>
            <w:r>
              <w:rPr>
                <w:rFonts w:ascii="Arial" w:eastAsia="Arial" w:hAnsi="Arial" w:cs="Arial"/>
                <w:vertAlign w:val="superscript"/>
              </w:rPr>
              <w:t>Aa</w:t>
            </w:r>
          </w:p>
        </w:tc>
        <w:tc>
          <w:tcPr>
            <w:tcW w:w="1200" w:type="dxa"/>
            <w:tcBorders>
              <w:top w:val="nil"/>
              <w:left w:val="nil"/>
              <w:bottom w:val="single" w:sz="6" w:space="0" w:color="000000"/>
              <w:right w:val="nil"/>
            </w:tcBorders>
            <w:tcMar>
              <w:top w:w="0" w:type="dxa"/>
              <w:left w:w="0" w:type="dxa"/>
              <w:bottom w:w="0" w:type="dxa"/>
              <w:right w:w="0" w:type="dxa"/>
            </w:tcMar>
          </w:tcPr>
          <w:p w14:paraId="7979D0DB" w14:textId="77777777" w:rsidR="00F773C7" w:rsidRDefault="00AD7B73">
            <w:pPr>
              <w:ind w:left="280" w:right="160"/>
              <w:jc w:val="center"/>
              <w:rPr>
                <w:rFonts w:ascii="Arial" w:eastAsia="Arial" w:hAnsi="Arial" w:cs="Arial"/>
              </w:rPr>
            </w:pPr>
            <w:r>
              <w:rPr>
                <w:rFonts w:ascii="Arial" w:eastAsia="Arial" w:hAnsi="Arial" w:cs="Arial"/>
              </w:rPr>
              <w:t>0.634</w:t>
            </w:r>
          </w:p>
        </w:tc>
      </w:tr>
      <w:tr w:rsidR="00F773C7" w14:paraId="30B57D18" w14:textId="77777777">
        <w:trPr>
          <w:trHeight w:val="420"/>
        </w:trPr>
        <w:tc>
          <w:tcPr>
            <w:tcW w:w="1640" w:type="dxa"/>
            <w:tcBorders>
              <w:top w:val="nil"/>
              <w:left w:val="nil"/>
              <w:bottom w:val="single" w:sz="6" w:space="0" w:color="000000"/>
              <w:right w:val="nil"/>
            </w:tcBorders>
            <w:tcMar>
              <w:top w:w="0" w:type="dxa"/>
              <w:left w:w="0" w:type="dxa"/>
              <w:bottom w:w="0" w:type="dxa"/>
              <w:right w:w="0" w:type="dxa"/>
            </w:tcMar>
          </w:tcPr>
          <w:p w14:paraId="463A50E6"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380" w:type="dxa"/>
            <w:tcBorders>
              <w:top w:val="nil"/>
              <w:left w:val="nil"/>
              <w:bottom w:val="single" w:sz="6" w:space="0" w:color="000000"/>
              <w:right w:val="nil"/>
            </w:tcBorders>
            <w:tcMar>
              <w:top w:w="0" w:type="dxa"/>
              <w:left w:w="0" w:type="dxa"/>
              <w:bottom w:w="0" w:type="dxa"/>
              <w:right w:w="0" w:type="dxa"/>
            </w:tcMar>
          </w:tcPr>
          <w:p w14:paraId="463E5DB9" w14:textId="77777777" w:rsidR="00F773C7" w:rsidRDefault="00AD7B73">
            <w:pPr>
              <w:ind w:left="160" w:right="40"/>
              <w:jc w:val="center"/>
              <w:rPr>
                <w:rFonts w:ascii="Arial" w:eastAsia="Arial" w:hAnsi="Arial" w:cs="Arial"/>
              </w:rPr>
            </w:pPr>
            <w:r>
              <w:rPr>
                <w:rFonts w:ascii="Arial" w:eastAsia="Arial" w:hAnsi="Arial" w:cs="Arial"/>
              </w:rPr>
              <w:t>0.810</w:t>
            </w:r>
          </w:p>
        </w:tc>
        <w:tc>
          <w:tcPr>
            <w:tcW w:w="1380" w:type="dxa"/>
            <w:tcBorders>
              <w:top w:val="nil"/>
              <w:left w:val="nil"/>
              <w:bottom w:val="single" w:sz="6" w:space="0" w:color="000000"/>
              <w:right w:val="nil"/>
            </w:tcBorders>
            <w:tcMar>
              <w:top w:w="0" w:type="dxa"/>
              <w:left w:w="0" w:type="dxa"/>
              <w:bottom w:w="0" w:type="dxa"/>
              <w:right w:w="0" w:type="dxa"/>
            </w:tcMar>
          </w:tcPr>
          <w:p w14:paraId="619E57B3" w14:textId="77777777" w:rsidR="00F773C7" w:rsidRDefault="00AD7B73">
            <w:pPr>
              <w:ind w:left="160" w:right="40"/>
              <w:jc w:val="center"/>
              <w:rPr>
                <w:rFonts w:ascii="Arial" w:eastAsia="Arial" w:hAnsi="Arial" w:cs="Arial"/>
              </w:rPr>
            </w:pPr>
            <w:r>
              <w:rPr>
                <w:rFonts w:ascii="Arial" w:eastAsia="Arial" w:hAnsi="Arial" w:cs="Arial"/>
              </w:rPr>
              <w:t>0.600</w:t>
            </w:r>
          </w:p>
        </w:tc>
        <w:tc>
          <w:tcPr>
            <w:tcW w:w="1380" w:type="dxa"/>
            <w:tcBorders>
              <w:top w:val="nil"/>
              <w:left w:val="nil"/>
              <w:bottom w:val="single" w:sz="6" w:space="0" w:color="000000"/>
              <w:right w:val="nil"/>
            </w:tcBorders>
            <w:tcMar>
              <w:top w:w="0" w:type="dxa"/>
              <w:left w:w="0" w:type="dxa"/>
              <w:bottom w:w="0" w:type="dxa"/>
              <w:right w:w="0" w:type="dxa"/>
            </w:tcMar>
          </w:tcPr>
          <w:p w14:paraId="12975189" w14:textId="77777777" w:rsidR="00F773C7" w:rsidRDefault="00AD7B73">
            <w:pPr>
              <w:ind w:left="160" w:right="40"/>
              <w:jc w:val="center"/>
              <w:rPr>
                <w:rFonts w:ascii="Arial" w:eastAsia="Arial" w:hAnsi="Arial" w:cs="Arial"/>
              </w:rPr>
            </w:pPr>
            <w:r>
              <w:rPr>
                <w:rFonts w:ascii="Arial" w:eastAsia="Arial" w:hAnsi="Arial" w:cs="Arial"/>
              </w:rPr>
              <w:t>0.671</w:t>
            </w:r>
          </w:p>
        </w:tc>
        <w:tc>
          <w:tcPr>
            <w:tcW w:w="1380" w:type="dxa"/>
            <w:tcBorders>
              <w:top w:val="nil"/>
              <w:left w:val="nil"/>
              <w:bottom w:val="single" w:sz="6" w:space="0" w:color="000000"/>
              <w:right w:val="nil"/>
            </w:tcBorders>
            <w:tcMar>
              <w:top w:w="0" w:type="dxa"/>
              <w:left w:w="0" w:type="dxa"/>
              <w:bottom w:w="0" w:type="dxa"/>
              <w:right w:w="0" w:type="dxa"/>
            </w:tcMar>
          </w:tcPr>
          <w:p w14:paraId="521FB0A3" w14:textId="77777777" w:rsidR="00F773C7" w:rsidRDefault="00AD7B73">
            <w:pPr>
              <w:ind w:left="160" w:right="40"/>
              <w:jc w:val="center"/>
              <w:rPr>
                <w:rFonts w:ascii="Arial" w:eastAsia="Arial" w:hAnsi="Arial" w:cs="Arial"/>
              </w:rPr>
            </w:pPr>
            <w:r>
              <w:rPr>
                <w:rFonts w:ascii="Arial" w:eastAsia="Arial" w:hAnsi="Arial" w:cs="Arial"/>
              </w:rPr>
              <w:t>0.053</w:t>
            </w:r>
          </w:p>
        </w:tc>
        <w:tc>
          <w:tcPr>
            <w:tcW w:w="1200" w:type="dxa"/>
            <w:tcBorders>
              <w:top w:val="nil"/>
              <w:left w:val="nil"/>
              <w:bottom w:val="single" w:sz="6" w:space="0" w:color="000000"/>
              <w:right w:val="nil"/>
            </w:tcBorders>
            <w:tcMar>
              <w:top w:w="0" w:type="dxa"/>
              <w:left w:w="0" w:type="dxa"/>
              <w:bottom w:w="0" w:type="dxa"/>
              <w:right w:w="0" w:type="dxa"/>
            </w:tcMar>
          </w:tcPr>
          <w:p w14:paraId="24C83C13" w14:textId="77777777" w:rsidR="00F773C7" w:rsidRDefault="00AD7B73">
            <w:pPr>
              <w:ind w:left="120"/>
              <w:rPr>
                <w:rFonts w:ascii="Arial" w:eastAsia="Arial" w:hAnsi="Arial" w:cs="Arial"/>
              </w:rPr>
            </w:pPr>
            <w:r>
              <w:rPr>
                <w:rFonts w:ascii="Arial" w:eastAsia="Arial" w:hAnsi="Arial" w:cs="Arial"/>
              </w:rPr>
              <w:t xml:space="preserve"> </w:t>
            </w:r>
          </w:p>
        </w:tc>
      </w:tr>
    </w:tbl>
    <w:p w14:paraId="3D8CD38A" w14:textId="77777777" w:rsidR="00F773C7" w:rsidRDefault="00AD7B73">
      <w:pPr>
        <w:jc w:val="both"/>
        <w:rPr>
          <w:rFonts w:ascii="Arial" w:eastAsia="Arial" w:hAnsi="Arial" w:cs="Arial"/>
          <w:i/>
          <w:sz w:val="18"/>
          <w:szCs w:val="18"/>
        </w:rPr>
      </w:pPr>
      <w:r>
        <w:rPr>
          <w:rFonts w:ascii="Arial" w:eastAsia="Arial" w:hAnsi="Arial" w:cs="Arial"/>
          <w:i/>
          <w:sz w:val="18"/>
          <w:szCs w:val="18"/>
        </w:rPr>
        <w:t xml:space="preserve">Different lowercase letters = significant difference between evaluation periods of the same group. </w:t>
      </w:r>
      <w:r>
        <w:rPr>
          <w:rFonts w:ascii="Arial" w:eastAsia="Arial" w:hAnsi="Arial" w:cs="Arial"/>
          <w:i/>
          <w:sz w:val="18"/>
          <w:szCs w:val="18"/>
        </w:rPr>
        <w:t>Different capital letters = significant difference between groups in the same evaluation period.</w:t>
      </w:r>
    </w:p>
    <w:p w14:paraId="5E9C3C75" w14:textId="77777777" w:rsidR="00F773C7" w:rsidRDefault="00F773C7">
      <w:pPr>
        <w:jc w:val="both"/>
        <w:rPr>
          <w:rFonts w:ascii="Arial" w:eastAsia="Arial" w:hAnsi="Arial" w:cs="Arial"/>
          <w:b/>
          <w:smallCaps/>
          <w:sz w:val="22"/>
          <w:szCs w:val="22"/>
        </w:rPr>
      </w:pPr>
    </w:p>
    <w:p w14:paraId="2AC840DA" w14:textId="77777777" w:rsidR="00F773C7" w:rsidRDefault="00AD7B73">
      <w:pPr>
        <w:jc w:val="both"/>
        <w:rPr>
          <w:rFonts w:ascii="Arial" w:eastAsia="Arial" w:hAnsi="Arial" w:cs="Arial"/>
        </w:rPr>
      </w:pPr>
      <w:r>
        <w:rPr>
          <w:rFonts w:ascii="Arial" w:eastAsia="Arial" w:hAnsi="Arial" w:cs="Arial"/>
          <w:b/>
          <w:smallCaps/>
          <w:sz w:val="22"/>
          <w:szCs w:val="22"/>
        </w:rPr>
        <w:t xml:space="preserve">3.1.4 </w:t>
      </w:r>
      <w:r>
        <w:rPr>
          <w:rFonts w:ascii="Arial" w:eastAsia="Arial" w:hAnsi="Arial" w:cs="Arial"/>
          <w:b/>
          <w:sz w:val="22"/>
          <w:szCs w:val="22"/>
        </w:rPr>
        <w:t xml:space="preserve">Color Stability </w:t>
      </w:r>
    </w:p>
    <w:p w14:paraId="5F6CB7B2" w14:textId="77777777" w:rsidR="00F773C7" w:rsidRDefault="00F773C7">
      <w:pPr>
        <w:pBdr>
          <w:top w:val="nil"/>
          <w:left w:val="nil"/>
          <w:bottom w:val="nil"/>
          <w:right w:val="nil"/>
          <w:between w:val="nil"/>
        </w:pBdr>
        <w:jc w:val="both"/>
        <w:rPr>
          <w:rFonts w:ascii="Arial" w:eastAsia="Arial" w:hAnsi="Arial" w:cs="Arial"/>
        </w:rPr>
      </w:pPr>
    </w:p>
    <w:p w14:paraId="68D012F6"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The mean color variations are presented in Table 4. No statistically significant differences in color changes were observed among the </w:t>
      </w:r>
      <w:r>
        <w:rPr>
          <w:rFonts w:ascii="Arial" w:eastAsia="Arial" w:hAnsi="Arial" w:cs="Arial"/>
        </w:rPr>
        <w:t>experimental groups, and none of the changes were considered clinically unacceptable (ΔE &gt; 3.3).</w:t>
      </w:r>
    </w:p>
    <w:p w14:paraId="11744568" w14:textId="77777777" w:rsidR="00F773C7" w:rsidRDefault="00F773C7">
      <w:pPr>
        <w:pBdr>
          <w:top w:val="nil"/>
          <w:left w:val="nil"/>
          <w:bottom w:val="nil"/>
          <w:right w:val="nil"/>
          <w:between w:val="nil"/>
        </w:pBdr>
        <w:jc w:val="both"/>
        <w:rPr>
          <w:rFonts w:ascii="Arial" w:eastAsia="Arial" w:hAnsi="Arial" w:cs="Arial"/>
        </w:rPr>
      </w:pPr>
    </w:p>
    <w:p w14:paraId="349758AF" w14:textId="77777777" w:rsidR="00F773C7" w:rsidRDefault="00AD7B73">
      <w:pPr>
        <w:jc w:val="both"/>
        <w:rPr>
          <w:rFonts w:ascii="Arial" w:eastAsia="Arial" w:hAnsi="Arial" w:cs="Arial"/>
          <w:b/>
        </w:rPr>
      </w:pPr>
      <w:r>
        <w:rPr>
          <w:rFonts w:ascii="Arial" w:eastAsia="Arial" w:hAnsi="Arial" w:cs="Arial"/>
          <w:b/>
        </w:rPr>
        <w:t xml:space="preserve">Table 4: Means and standard deviation for </w:t>
      </w:r>
      <w:r>
        <w:rPr>
          <w:rFonts w:ascii="Arial" w:eastAsia="Arial" w:hAnsi="Arial" w:cs="Arial"/>
          <w:b/>
          <w:color w:val="202124"/>
          <w:highlight w:val="white"/>
        </w:rPr>
        <w:t xml:space="preserve">ΔE, in different </w:t>
      </w:r>
      <w:proofErr w:type="spellStart"/>
      <w:r>
        <w:rPr>
          <w:rFonts w:ascii="Arial" w:eastAsia="Arial" w:hAnsi="Arial" w:cs="Arial"/>
          <w:b/>
          <w:color w:val="202124"/>
          <w:highlight w:val="white"/>
        </w:rPr>
        <w:t>periodos</w:t>
      </w:r>
      <w:proofErr w:type="spellEnd"/>
      <w:r>
        <w:rPr>
          <w:rFonts w:ascii="Arial" w:eastAsia="Arial" w:hAnsi="Arial" w:cs="Arial"/>
          <w:b/>
          <w:color w:val="202124"/>
          <w:highlight w:val="white"/>
        </w:rPr>
        <w:t xml:space="preserve"> in relation to the baseline,</w:t>
      </w:r>
      <w:r>
        <w:rPr>
          <w:rFonts w:ascii="Arial" w:eastAsia="Arial" w:hAnsi="Arial" w:cs="Arial"/>
          <w:b/>
        </w:rPr>
        <w:t xml:space="preserve"> according to the treatment and time. </w:t>
      </w:r>
    </w:p>
    <w:p w14:paraId="2D320A5E" w14:textId="77777777" w:rsidR="00F773C7" w:rsidRDefault="00AD7B73">
      <w:pPr>
        <w:ind w:left="980"/>
        <w:jc w:val="center"/>
        <w:rPr>
          <w:rFonts w:ascii="Arial" w:eastAsia="Arial" w:hAnsi="Arial" w:cs="Arial"/>
          <w:b/>
        </w:rPr>
      </w:pPr>
      <w:r>
        <w:rPr>
          <w:rFonts w:ascii="Arial" w:eastAsia="Arial" w:hAnsi="Arial" w:cs="Arial"/>
          <w:b/>
        </w:rPr>
        <w:t>Time</w:t>
      </w:r>
    </w:p>
    <w:tbl>
      <w:tblPr>
        <w:tblStyle w:val="ad"/>
        <w:tblW w:w="8340" w:type="dxa"/>
        <w:tblBorders>
          <w:top w:val="nil"/>
          <w:left w:val="nil"/>
          <w:bottom w:val="nil"/>
          <w:right w:val="nil"/>
          <w:insideH w:val="nil"/>
          <w:insideV w:val="nil"/>
        </w:tblBorders>
        <w:tblLayout w:type="fixed"/>
        <w:tblLook w:val="0600" w:firstRow="0" w:lastRow="0" w:firstColumn="0" w:lastColumn="0" w:noHBand="1" w:noVBand="1"/>
      </w:tblPr>
      <w:tblGrid>
        <w:gridCol w:w="1395"/>
        <w:gridCol w:w="1245"/>
        <w:gridCol w:w="1665"/>
        <w:gridCol w:w="1410"/>
        <w:gridCol w:w="1410"/>
        <w:gridCol w:w="1215"/>
      </w:tblGrid>
      <w:tr w:rsidR="00F773C7" w14:paraId="1EC8ADD9" w14:textId="77777777">
        <w:trPr>
          <w:trHeight w:val="420"/>
        </w:trPr>
        <w:tc>
          <w:tcPr>
            <w:tcW w:w="1395" w:type="dxa"/>
            <w:tcBorders>
              <w:top w:val="nil"/>
              <w:left w:val="nil"/>
              <w:bottom w:val="single" w:sz="6" w:space="0" w:color="000000"/>
              <w:right w:val="nil"/>
            </w:tcBorders>
            <w:tcMar>
              <w:top w:w="0" w:type="dxa"/>
              <w:left w:w="0" w:type="dxa"/>
              <w:bottom w:w="0" w:type="dxa"/>
              <w:right w:w="0" w:type="dxa"/>
            </w:tcMar>
          </w:tcPr>
          <w:p w14:paraId="73C474FD" w14:textId="77777777" w:rsidR="00F773C7" w:rsidRDefault="00AD7B73">
            <w:pPr>
              <w:ind w:left="120"/>
              <w:rPr>
                <w:rFonts w:ascii="Arial" w:eastAsia="Arial" w:hAnsi="Arial" w:cs="Arial"/>
              </w:rPr>
            </w:pPr>
            <w:r>
              <w:rPr>
                <w:rFonts w:ascii="Arial" w:eastAsia="Arial" w:hAnsi="Arial" w:cs="Arial"/>
              </w:rPr>
              <w:t xml:space="preserve"> </w:t>
            </w:r>
          </w:p>
        </w:tc>
        <w:tc>
          <w:tcPr>
            <w:tcW w:w="1245" w:type="dxa"/>
            <w:tcBorders>
              <w:top w:val="single" w:sz="6" w:space="0" w:color="000000"/>
              <w:left w:val="nil"/>
              <w:bottom w:val="single" w:sz="6" w:space="0" w:color="000000"/>
              <w:right w:val="nil"/>
            </w:tcBorders>
            <w:tcMar>
              <w:top w:w="0" w:type="dxa"/>
              <w:left w:w="0" w:type="dxa"/>
              <w:bottom w:w="0" w:type="dxa"/>
              <w:right w:w="0" w:type="dxa"/>
            </w:tcMar>
          </w:tcPr>
          <w:p w14:paraId="52C8FAA1" w14:textId="77777777" w:rsidR="00F773C7" w:rsidRDefault="00AD7B73">
            <w:pPr>
              <w:ind w:left="660" w:right="280"/>
              <w:jc w:val="center"/>
              <w:rPr>
                <w:rFonts w:ascii="Arial" w:eastAsia="Arial" w:hAnsi="Arial" w:cs="Arial"/>
                <w:b/>
              </w:rPr>
            </w:pPr>
            <w:r>
              <w:rPr>
                <w:rFonts w:ascii="Arial" w:eastAsia="Arial" w:hAnsi="Arial" w:cs="Arial"/>
                <w:b/>
              </w:rPr>
              <w:t>T0</w:t>
            </w:r>
          </w:p>
        </w:tc>
        <w:tc>
          <w:tcPr>
            <w:tcW w:w="1665" w:type="dxa"/>
            <w:tcBorders>
              <w:top w:val="single" w:sz="6" w:space="0" w:color="000000"/>
              <w:left w:val="nil"/>
              <w:bottom w:val="single" w:sz="6" w:space="0" w:color="000000"/>
              <w:right w:val="nil"/>
            </w:tcBorders>
            <w:tcMar>
              <w:top w:w="0" w:type="dxa"/>
              <w:left w:w="0" w:type="dxa"/>
              <w:bottom w:w="0" w:type="dxa"/>
              <w:right w:w="0" w:type="dxa"/>
            </w:tcMar>
          </w:tcPr>
          <w:p w14:paraId="0343E1E9" w14:textId="77777777" w:rsidR="00F773C7" w:rsidRDefault="00AD7B73">
            <w:pPr>
              <w:ind w:left="500" w:right="100"/>
              <w:jc w:val="center"/>
              <w:rPr>
                <w:rFonts w:ascii="Arial" w:eastAsia="Arial" w:hAnsi="Arial" w:cs="Arial"/>
                <w:b/>
              </w:rPr>
            </w:pPr>
            <w:r>
              <w:rPr>
                <w:rFonts w:ascii="Arial" w:eastAsia="Arial" w:hAnsi="Arial" w:cs="Arial"/>
                <w:b/>
              </w:rPr>
              <w:t>T1</w:t>
            </w:r>
          </w:p>
        </w:tc>
        <w:tc>
          <w:tcPr>
            <w:tcW w:w="1410" w:type="dxa"/>
            <w:tcBorders>
              <w:top w:val="single" w:sz="6" w:space="0" w:color="000000"/>
              <w:left w:val="nil"/>
              <w:bottom w:val="single" w:sz="6" w:space="0" w:color="000000"/>
              <w:right w:val="nil"/>
            </w:tcBorders>
            <w:tcMar>
              <w:top w:w="0" w:type="dxa"/>
              <w:left w:w="0" w:type="dxa"/>
              <w:bottom w:w="0" w:type="dxa"/>
              <w:right w:w="0" w:type="dxa"/>
            </w:tcMar>
          </w:tcPr>
          <w:p w14:paraId="5E3E5EF1" w14:textId="77777777" w:rsidR="00F773C7" w:rsidRDefault="00AD7B73">
            <w:pPr>
              <w:ind w:left="240" w:right="100"/>
              <w:jc w:val="center"/>
              <w:rPr>
                <w:rFonts w:ascii="Arial" w:eastAsia="Arial" w:hAnsi="Arial" w:cs="Arial"/>
                <w:b/>
              </w:rPr>
            </w:pPr>
            <w:r>
              <w:rPr>
                <w:rFonts w:ascii="Arial" w:eastAsia="Arial" w:hAnsi="Arial" w:cs="Arial"/>
                <w:b/>
              </w:rPr>
              <w:t>T2</w:t>
            </w:r>
          </w:p>
        </w:tc>
        <w:tc>
          <w:tcPr>
            <w:tcW w:w="1410" w:type="dxa"/>
            <w:tcBorders>
              <w:top w:val="single" w:sz="6" w:space="0" w:color="000000"/>
              <w:left w:val="nil"/>
              <w:bottom w:val="single" w:sz="6" w:space="0" w:color="000000"/>
              <w:right w:val="nil"/>
            </w:tcBorders>
            <w:tcMar>
              <w:top w:w="0" w:type="dxa"/>
              <w:left w:w="0" w:type="dxa"/>
              <w:bottom w:w="0" w:type="dxa"/>
              <w:right w:w="0" w:type="dxa"/>
            </w:tcMar>
          </w:tcPr>
          <w:p w14:paraId="19CD1F58" w14:textId="77777777" w:rsidR="00F773C7" w:rsidRDefault="00AD7B73">
            <w:pPr>
              <w:ind w:left="240" w:right="100"/>
              <w:jc w:val="center"/>
              <w:rPr>
                <w:rFonts w:ascii="Arial" w:eastAsia="Arial" w:hAnsi="Arial" w:cs="Arial"/>
                <w:b/>
              </w:rPr>
            </w:pPr>
            <w:r>
              <w:rPr>
                <w:rFonts w:ascii="Arial" w:eastAsia="Arial" w:hAnsi="Arial" w:cs="Arial"/>
                <w:b/>
              </w:rPr>
              <w:t>T3</w:t>
            </w:r>
          </w:p>
        </w:tc>
        <w:tc>
          <w:tcPr>
            <w:tcW w:w="1215" w:type="dxa"/>
            <w:tcBorders>
              <w:top w:val="nil"/>
              <w:left w:val="nil"/>
              <w:bottom w:val="single" w:sz="6" w:space="0" w:color="000000"/>
              <w:right w:val="nil"/>
            </w:tcBorders>
            <w:tcMar>
              <w:top w:w="0" w:type="dxa"/>
              <w:left w:w="0" w:type="dxa"/>
              <w:bottom w:w="0" w:type="dxa"/>
              <w:right w:w="0" w:type="dxa"/>
            </w:tcMar>
          </w:tcPr>
          <w:p w14:paraId="6D382AA3"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r>
      <w:tr w:rsidR="00F773C7" w14:paraId="74E8E71B" w14:textId="77777777">
        <w:trPr>
          <w:trHeight w:val="375"/>
        </w:trPr>
        <w:tc>
          <w:tcPr>
            <w:tcW w:w="1395" w:type="dxa"/>
            <w:tcBorders>
              <w:top w:val="nil"/>
              <w:left w:val="nil"/>
              <w:bottom w:val="nil"/>
              <w:right w:val="nil"/>
            </w:tcBorders>
            <w:tcMar>
              <w:top w:w="0" w:type="dxa"/>
              <w:left w:w="0" w:type="dxa"/>
              <w:bottom w:w="0" w:type="dxa"/>
              <w:right w:w="0" w:type="dxa"/>
            </w:tcMar>
          </w:tcPr>
          <w:p w14:paraId="13C21069" w14:textId="77777777" w:rsidR="00F773C7" w:rsidRDefault="00AD7B73">
            <w:pPr>
              <w:ind w:left="200"/>
              <w:rPr>
                <w:rFonts w:ascii="Arial" w:eastAsia="Arial" w:hAnsi="Arial" w:cs="Arial"/>
                <w:b/>
              </w:rPr>
            </w:pPr>
            <w:r>
              <w:rPr>
                <w:rFonts w:ascii="Arial" w:eastAsia="Arial" w:hAnsi="Arial" w:cs="Arial"/>
                <w:b/>
              </w:rPr>
              <w:t>Color</w:t>
            </w:r>
          </w:p>
        </w:tc>
        <w:tc>
          <w:tcPr>
            <w:tcW w:w="1245" w:type="dxa"/>
            <w:tcBorders>
              <w:top w:val="nil"/>
              <w:left w:val="nil"/>
              <w:bottom w:val="nil"/>
              <w:right w:val="nil"/>
            </w:tcBorders>
            <w:tcMar>
              <w:top w:w="0" w:type="dxa"/>
              <w:left w:w="0" w:type="dxa"/>
              <w:bottom w:w="0" w:type="dxa"/>
              <w:right w:w="0" w:type="dxa"/>
            </w:tcMar>
          </w:tcPr>
          <w:p w14:paraId="16FC56ED" w14:textId="77777777" w:rsidR="00F773C7" w:rsidRDefault="00AD7B73">
            <w:pPr>
              <w:ind w:left="120"/>
              <w:rPr>
                <w:rFonts w:ascii="Arial" w:eastAsia="Arial" w:hAnsi="Arial" w:cs="Arial"/>
              </w:rPr>
            </w:pPr>
            <w:r>
              <w:rPr>
                <w:rFonts w:ascii="Arial" w:eastAsia="Arial" w:hAnsi="Arial" w:cs="Arial"/>
              </w:rPr>
              <w:t xml:space="preserve"> </w:t>
            </w:r>
          </w:p>
        </w:tc>
        <w:tc>
          <w:tcPr>
            <w:tcW w:w="1665" w:type="dxa"/>
            <w:tcBorders>
              <w:top w:val="nil"/>
              <w:left w:val="nil"/>
              <w:bottom w:val="nil"/>
              <w:right w:val="nil"/>
            </w:tcBorders>
            <w:tcMar>
              <w:top w:w="0" w:type="dxa"/>
              <w:left w:w="0" w:type="dxa"/>
              <w:bottom w:w="0" w:type="dxa"/>
              <w:right w:w="0" w:type="dxa"/>
            </w:tcMar>
          </w:tcPr>
          <w:p w14:paraId="699F8036" w14:textId="77777777" w:rsidR="00F773C7" w:rsidRDefault="00AD7B73">
            <w:pPr>
              <w:ind w:left="120"/>
              <w:rPr>
                <w:rFonts w:ascii="Arial" w:eastAsia="Arial" w:hAnsi="Arial" w:cs="Arial"/>
              </w:rPr>
            </w:pPr>
            <w:r>
              <w:rPr>
                <w:rFonts w:ascii="Arial" w:eastAsia="Arial" w:hAnsi="Arial" w:cs="Arial"/>
              </w:rPr>
              <w:t xml:space="preserve"> </w:t>
            </w:r>
          </w:p>
        </w:tc>
        <w:tc>
          <w:tcPr>
            <w:tcW w:w="1410" w:type="dxa"/>
            <w:tcBorders>
              <w:top w:val="nil"/>
              <w:left w:val="nil"/>
              <w:bottom w:val="nil"/>
              <w:right w:val="nil"/>
            </w:tcBorders>
            <w:tcMar>
              <w:top w:w="0" w:type="dxa"/>
              <w:left w:w="0" w:type="dxa"/>
              <w:bottom w:w="0" w:type="dxa"/>
              <w:right w:w="0" w:type="dxa"/>
            </w:tcMar>
          </w:tcPr>
          <w:p w14:paraId="270687B6" w14:textId="77777777" w:rsidR="00F773C7" w:rsidRDefault="00AD7B73">
            <w:pPr>
              <w:ind w:left="120"/>
              <w:rPr>
                <w:rFonts w:ascii="Arial" w:eastAsia="Arial" w:hAnsi="Arial" w:cs="Arial"/>
              </w:rPr>
            </w:pPr>
            <w:r>
              <w:rPr>
                <w:rFonts w:ascii="Arial" w:eastAsia="Arial" w:hAnsi="Arial" w:cs="Arial"/>
              </w:rPr>
              <w:t xml:space="preserve"> </w:t>
            </w:r>
          </w:p>
        </w:tc>
        <w:tc>
          <w:tcPr>
            <w:tcW w:w="1410" w:type="dxa"/>
            <w:tcBorders>
              <w:top w:val="nil"/>
              <w:left w:val="nil"/>
              <w:bottom w:val="nil"/>
              <w:right w:val="nil"/>
            </w:tcBorders>
            <w:tcMar>
              <w:top w:w="0" w:type="dxa"/>
              <w:left w:w="0" w:type="dxa"/>
              <w:bottom w:w="0" w:type="dxa"/>
              <w:right w:w="0" w:type="dxa"/>
            </w:tcMar>
          </w:tcPr>
          <w:p w14:paraId="409120C4" w14:textId="77777777" w:rsidR="00F773C7" w:rsidRDefault="00AD7B73">
            <w:pPr>
              <w:ind w:left="120"/>
              <w:rPr>
                <w:rFonts w:ascii="Arial" w:eastAsia="Arial" w:hAnsi="Arial" w:cs="Arial"/>
              </w:rPr>
            </w:pPr>
            <w:r>
              <w:rPr>
                <w:rFonts w:ascii="Arial" w:eastAsia="Arial" w:hAnsi="Arial" w:cs="Arial"/>
              </w:rPr>
              <w:t xml:space="preserve"> </w:t>
            </w:r>
          </w:p>
        </w:tc>
        <w:tc>
          <w:tcPr>
            <w:tcW w:w="1215" w:type="dxa"/>
            <w:tcBorders>
              <w:top w:val="nil"/>
              <w:left w:val="nil"/>
              <w:bottom w:val="nil"/>
              <w:right w:val="nil"/>
            </w:tcBorders>
            <w:tcMar>
              <w:top w:w="0" w:type="dxa"/>
              <w:left w:w="0" w:type="dxa"/>
              <w:bottom w:w="0" w:type="dxa"/>
              <w:right w:w="0" w:type="dxa"/>
            </w:tcMar>
          </w:tcPr>
          <w:p w14:paraId="1AA2DC44" w14:textId="77777777" w:rsidR="00F773C7" w:rsidRDefault="00AD7B73">
            <w:pPr>
              <w:ind w:left="120"/>
              <w:rPr>
                <w:rFonts w:ascii="Arial" w:eastAsia="Arial" w:hAnsi="Arial" w:cs="Arial"/>
              </w:rPr>
            </w:pPr>
            <w:r>
              <w:rPr>
                <w:rFonts w:ascii="Arial" w:eastAsia="Arial" w:hAnsi="Arial" w:cs="Arial"/>
              </w:rPr>
              <w:t xml:space="preserve"> </w:t>
            </w:r>
          </w:p>
        </w:tc>
      </w:tr>
      <w:tr w:rsidR="00F773C7" w14:paraId="770425A5" w14:textId="77777777">
        <w:trPr>
          <w:trHeight w:val="510"/>
        </w:trPr>
        <w:tc>
          <w:tcPr>
            <w:tcW w:w="1395" w:type="dxa"/>
            <w:tcBorders>
              <w:top w:val="nil"/>
              <w:left w:val="nil"/>
              <w:bottom w:val="nil"/>
              <w:right w:val="nil"/>
            </w:tcBorders>
            <w:tcMar>
              <w:top w:w="0" w:type="dxa"/>
              <w:left w:w="0" w:type="dxa"/>
              <w:bottom w:w="0" w:type="dxa"/>
              <w:right w:w="0" w:type="dxa"/>
            </w:tcMar>
          </w:tcPr>
          <w:p w14:paraId="25F6DED0" w14:textId="77777777" w:rsidR="00F773C7" w:rsidRDefault="00AD7B73">
            <w:pPr>
              <w:ind w:left="260"/>
              <w:rPr>
                <w:rFonts w:ascii="Arial" w:eastAsia="Arial" w:hAnsi="Arial" w:cs="Arial"/>
              </w:rPr>
            </w:pPr>
            <w:r>
              <w:rPr>
                <w:rFonts w:ascii="Arial" w:eastAsia="Arial" w:hAnsi="Arial" w:cs="Arial"/>
              </w:rPr>
              <w:t>DW</w:t>
            </w:r>
          </w:p>
        </w:tc>
        <w:tc>
          <w:tcPr>
            <w:tcW w:w="1245" w:type="dxa"/>
            <w:tcBorders>
              <w:top w:val="nil"/>
              <w:left w:val="nil"/>
              <w:bottom w:val="nil"/>
              <w:right w:val="nil"/>
            </w:tcBorders>
            <w:tcMar>
              <w:top w:w="0" w:type="dxa"/>
              <w:left w:w="0" w:type="dxa"/>
              <w:bottom w:w="0" w:type="dxa"/>
              <w:right w:w="0" w:type="dxa"/>
            </w:tcMar>
          </w:tcPr>
          <w:p w14:paraId="0ACE898A" w14:textId="77777777" w:rsidR="00F773C7" w:rsidRDefault="00AD7B73">
            <w:pPr>
              <w:ind w:left="400"/>
              <w:jc w:val="center"/>
              <w:rPr>
                <w:rFonts w:ascii="Arial" w:eastAsia="Arial" w:hAnsi="Arial" w:cs="Arial"/>
              </w:rPr>
            </w:pPr>
            <w:r>
              <w:rPr>
                <w:rFonts w:ascii="Arial" w:eastAsia="Arial" w:hAnsi="Arial" w:cs="Arial"/>
              </w:rPr>
              <w:t>-</w:t>
            </w:r>
          </w:p>
        </w:tc>
        <w:tc>
          <w:tcPr>
            <w:tcW w:w="1665" w:type="dxa"/>
            <w:tcBorders>
              <w:top w:val="nil"/>
              <w:left w:val="nil"/>
              <w:bottom w:val="nil"/>
              <w:right w:val="nil"/>
            </w:tcBorders>
            <w:tcMar>
              <w:top w:w="0" w:type="dxa"/>
              <w:left w:w="0" w:type="dxa"/>
              <w:bottom w:w="0" w:type="dxa"/>
              <w:right w:w="0" w:type="dxa"/>
            </w:tcMar>
          </w:tcPr>
          <w:p w14:paraId="307F1A8C" w14:textId="77777777" w:rsidR="00F773C7" w:rsidRDefault="00AD7B73">
            <w:pPr>
              <w:ind w:left="500" w:right="120"/>
              <w:jc w:val="both"/>
              <w:rPr>
                <w:rFonts w:ascii="Arial" w:eastAsia="Arial" w:hAnsi="Arial" w:cs="Arial"/>
                <w:vertAlign w:val="superscript"/>
              </w:rPr>
            </w:pPr>
            <w:r>
              <w:rPr>
                <w:rFonts w:ascii="Arial" w:eastAsia="Arial" w:hAnsi="Arial" w:cs="Arial"/>
              </w:rPr>
              <w:t>2.22±1.53</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172A352B" w14:textId="77777777" w:rsidR="00F773C7" w:rsidRDefault="00AD7B73">
            <w:pPr>
              <w:ind w:left="240" w:right="100"/>
              <w:jc w:val="both"/>
              <w:rPr>
                <w:rFonts w:ascii="Arial" w:eastAsia="Arial" w:hAnsi="Arial" w:cs="Arial"/>
                <w:vertAlign w:val="superscript"/>
              </w:rPr>
            </w:pPr>
            <w:r>
              <w:rPr>
                <w:rFonts w:ascii="Arial" w:eastAsia="Arial" w:hAnsi="Arial" w:cs="Arial"/>
              </w:rPr>
              <w:t>1.40±0.91</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494670F6" w14:textId="77777777" w:rsidR="00F773C7" w:rsidRDefault="00AD7B73">
            <w:pPr>
              <w:ind w:left="240" w:right="120"/>
              <w:jc w:val="both"/>
              <w:rPr>
                <w:rFonts w:ascii="Arial" w:eastAsia="Arial" w:hAnsi="Arial" w:cs="Arial"/>
                <w:vertAlign w:val="superscript"/>
              </w:rPr>
            </w:pPr>
            <w:r>
              <w:rPr>
                <w:rFonts w:ascii="Arial" w:eastAsia="Arial" w:hAnsi="Arial" w:cs="Arial"/>
              </w:rPr>
              <w:t>1.85±0.90</w:t>
            </w:r>
            <w:r>
              <w:rPr>
                <w:rFonts w:ascii="Arial" w:eastAsia="Arial" w:hAnsi="Arial" w:cs="Arial"/>
                <w:vertAlign w:val="superscript"/>
              </w:rPr>
              <w:t>Aa</w:t>
            </w:r>
          </w:p>
        </w:tc>
        <w:tc>
          <w:tcPr>
            <w:tcW w:w="1215" w:type="dxa"/>
            <w:tcBorders>
              <w:top w:val="nil"/>
              <w:left w:val="nil"/>
              <w:bottom w:val="nil"/>
              <w:right w:val="nil"/>
            </w:tcBorders>
            <w:tcMar>
              <w:top w:w="0" w:type="dxa"/>
              <w:left w:w="0" w:type="dxa"/>
              <w:bottom w:w="0" w:type="dxa"/>
              <w:right w:w="0" w:type="dxa"/>
            </w:tcMar>
          </w:tcPr>
          <w:p w14:paraId="2E686C01" w14:textId="77777777" w:rsidR="00F773C7" w:rsidRDefault="00AD7B73">
            <w:pPr>
              <w:ind w:left="280" w:right="160"/>
              <w:jc w:val="both"/>
              <w:rPr>
                <w:rFonts w:ascii="Arial" w:eastAsia="Arial" w:hAnsi="Arial" w:cs="Arial"/>
              </w:rPr>
            </w:pPr>
            <w:r>
              <w:rPr>
                <w:rFonts w:ascii="Arial" w:eastAsia="Arial" w:hAnsi="Arial" w:cs="Arial"/>
              </w:rPr>
              <w:t>0.207</w:t>
            </w:r>
          </w:p>
        </w:tc>
      </w:tr>
      <w:tr w:rsidR="00F773C7" w14:paraId="6775F217" w14:textId="77777777">
        <w:trPr>
          <w:trHeight w:val="510"/>
        </w:trPr>
        <w:tc>
          <w:tcPr>
            <w:tcW w:w="1395" w:type="dxa"/>
            <w:tcBorders>
              <w:top w:val="nil"/>
              <w:left w:val="nil"/>
              <w:bottom w:val="nil"/>
              <w:right w:val="nil"/>
            </w:tcBorders>
            <w:tcMar>
              <w:top w:w="0" w:type="dxa"/>
              <w:left w:w="0" w:type="dxa"/>
              <w:bottom w:w="0" w:type="dxa"/>
              <w:right w:w="0" w:type="dxa"/>
            </w:tcMar>
          </w:tcPr>
          <w:p w14:paraId="75252F7D" w14:textId="77777777" w:rsidR="00F773C7" w:rsidRDefault="00AD7B73">
            <w:pPr>
              <w:ind w:left="260"/>
              <w:rPr>
                <w:rFonts w:ascii="Arial" w:eastAsia="Arial" w:hAnsi="Arial" w:cs="Arial"/>
              </w:rPr>
            </w:pPr>
            <w:r>
              <w:rPr>
                <w:rFonts w:ascii="Arial" w:eastAsia="Arial" w:hAnsi="Arial" w:cs="Arial"/>
              </w:rPr>
              <w:t>PD</w:t>
            </w:r>
          </w:p>
        </w:tc>
        <w:tc>
          <w:tcPr>
            <w:tcW w:w="1245" w:type="dxa"/>
            <w:tcBorders>
              <w:top w:val="nil"/>
              <w:left w:val="nil"/>
              <w:bottom w:val="nil"/>
              <w:right w:val="nil"/>
            </w:tcBorders>
            <w:tcMar>
              <w:top w:w="0" w:type="dxa"/>
              <w:left w:w="0" w:type="dxa"/>
              <w:bottom w:w="0" w:type="dxa"/>
              <w:right w:w="0" w:type="dxa"/>
            </w:tcMar>
          </w:tcPr>
          <w:p w14:paraId="2E9BB4B0" w14:textId="77777777" w:rsidR="00F773C7" w:rsidRDefault="00AD7B73">
            <w:pPr>
              <w:ind w:left="400"/>
              <w:jc w:val="center"/>
              <w:rPr>
                <w:rFonts w:ascii="Arial" w:eastAsia="Arial" w:hAnsi="Arial" w:cs="Arial"/>
              </w:rPr>
            </w:pPr>
            <w:r>
              <w:rPr>
                <w:rFonts w:ascii="Arial" w:eastAsia="Arial" w:hAnsi="Arial" w:cs="Arial"/>
              </w:rPr>
              <w:t>-</w:t>
            </w:r>
          </w:p>
        </w:tc>
        <w:tc>
          <w:tcPr>
            <w:tcW w:w="1665" w:type="dxa"/>
            <w:tcBorders>
              <w:top w:val="nil"/>
              <w:left w:val="nil"/>
              <w:bottom w:val="nil"/>
              <w:right w:val="nil"/>
            </w:tcBorders>
            <w:tcMar>
              <w:top w:w="0" w:type="dxa"/>
              <w:left w:w="0" w:type="dxa"/>
              <w:bottom w:w="0" w:type="dxa"/>
              <w:right w:w="0" w:type="dxa"/>
            </w:tcMar>
          </w:tcPr>
          <w:p w14:paraId="266F9B88" w14:textId="77777777" w:rsidR="00F773C7" w:rsidRDefault="00AD7B73">
            <w:pPr>
              <w:ind w:left="500" w:right="120"/>
              <w:jc w:val="both"/>
              <w:rPr>
                <w:rFonts w:ascii="Arial" w:eastAsia="Arial" w:hAnsi="Arial" w:cs="Arial"/>
                <w:vertAlign w:val="superscript"/>
              </w:rPr>
            </w:pPr>
            <w:r>
              <w:rPr>
                <w:rFonts w:ascii="Arial" w:eastAsia="Arial" w:hAnsi="Arial" w:cs="Arial"/>
              </w:rPr>
              <w:t>1.67±0.85</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22AE70D9" w14:textId="77777777" w:rsidR="00F773C7" w:rsidRDefault="00AD7B73">
            <w:pPr>
              <w:ind w:left="240" w:right="100"/>
              <w:jc w:val="both"/>
              <w:rPr>
                <w:rFonts w:ascii="Arial" w:eastAsia="Arial" w:hAnsi="Arial" w:cs="Arial"/>
                <w:vertAlign w:val="superscript"/>
              </w:rPr>
            </w:pPr>
            <w:r>
              <w:rPr>
                <w:rFonts w:ascii="Arial" w:eastAsia="Arial" w:hAnsi="Arial" w:cs="Arial"/>
              </w:rPr>
              <w:t>1.76±1.31</w:t>
            </w:r>
            <w:r>
              <w:rPr>
                <w:rFonts w:ascii="Arial" w:eastAsia="Arial" w:hAnsi="Arial" w:cs="Arial"/>
                <w:vertAlign w:val="superscript"/>
              </w:rPr>
              <w:t>Aa</w:t>
            </w:r>
          </w:p>
        </w:tc>
        <w:tc>
          <w:tcPr>
            <w:tcW w:w="1410" w:type="dxa"/>
            <w:tcBorders>
              <w:top w:val="nil"/>
              <w:left w:val="nil"/>
              <w:bottom w:val="nil"/>
              <w:right w:val="nil"/>
            </w:tcBorders>
            <w:tcMar>
              <w:top w:w="0" w:type="dxa"/>
              <w:left w:w="0" w:type="dxa"/>
              <w:bottom w:w="0" w:type="dxa"/>
              <w:right w:w="0" w:type="dxa"/>
            </w:tcMar>
          </w:tcPr>
          <w:p w14:paraId="192BF067" w14:textId="77777777" w:rsidR="00F773C7" w:rsidRDefault="00AD7B73">
            <w:pPr>
              <w:ind w:left="240" w:right="120"/>
              <w:jc w:val="both"/>
              <w:rPr>
                <w:rFonts w:ascii="Arial" w:eastAsia="Arial" w:hAnsi="Arial" w:cs="Arial"/>
                <w:vertAlign w:val="superscript"/>
              </w:rPr>
            </w:pPr>
            <w:r>
              <w:rPr>
                <w:rFonts w:ascii="Arial" w:eastAsia="Arial" w:hAnsi="Arial" w:cs="Arial"/>
              </w:rPr>
              <w:t>2.17±1.01</w:t>
            </w:r>
            <w:r>
              <w:rPr>
                <w:rFonts w:ascii="Arial" w:eastAsia="Arial" w:hAnsi="Arial" w:cs="Arial"/>
                <w:vertAlign w:val="superscript"/>
              </w:rPr>
              <w:t>Aa</w:t>
            </w:r>
          </w:p>
        </w:tc>
        <w:tc>
          <w:tcPr>
            <w:tcW w:w="1215" w:type="dxa"/>
            <w:tcBorders>
              <w:top w:val="nil"/>
              <w:left w:val="nil"/>
              <w:bottom w:val="nil"/>
              <w:right w:val="nil"/>
            </w:tcBorders>
            <w:tcMar>
              <w:top w:w="0" w:type="dxa"/>
              <w:left w:w="0" w:type="dxa"/>
              <w:bottom w:w="0" w:type="dxa"/>
              <w:right w:w="0" w:type="dxa"/>
            </w:tcMar>
          </w:tcPr>
          <w:p w14:paraId="45B26267" w14:textId="77777777" w:rsidR="00F773C7" w:rsidRDefault="00AD7B73">
            <w:pPr>
              <w:ind w:left="280" w:right="160"/>
              <w:jc w:val="both"/>
              <w:rPr>
                <w:rFonts w:ascii="Arial" w:eastAsia="Arial" w:hAnsi="Arial" w:cs="Arial"/>
              </w:rPr>
            </w:pPr>
            <w:r>
              <w:rPr>
                <w:rFonts w:ascii="Arial" w:eastAsia="Arial" w:hAnsi="Arial" w:cs="Arial"/>
              </w:rPr>
              <w:t>0.220</w:t>
            </w:r>
          </w:p>
        </w:tc>
      </w:tr>
      <w:tr w:rsidR="00F773C7" w14:paraId="78DCEEAB" w14:textId="77777777">
        <w:trPr>
          <w:trHeight w:val="525"/>
        </w:trPr>
        <w:tc>
          <w:tcPr>
            <w:tcW w:w="1395" w:type="dxa"/>
            <w:tcBorders>
              <w:top w:val="nil"/>
              <w:left w:val="nil"/>
              <w:bottom w:val="single" w:sz="6" w:space="0" w:color="000000"/>
              <w:right w:val="nil"/>
            </w:tcBorders>
            <w:tcMar>
              <w:top w:w="0" w:type="dxa"/>
              <w:left w:w="0" w:type="dxa"/>
              <w:bottom w:w="0" w:type="dxa"/>
              <w:right w:w="0" w:type="dxa"/>
            </w:tcMar>
          </w:tcPr>
          <w:p w14:paraId="32D5530B" w14:textId="77777777" w:rsidR="00F773C7" w:rsidRDefault="00AD7B73">
            <w:pPr>
              <w:ind w:left="260"/>
              <w:rPr>
                <w:rFonts w:ascii="Arial" w:eastAsia="Arial" w:hAnsi="Arial" w:cs="Arial"/>
              </w:rPr>
            </w:pPr>
            <w:r>
              <w:rPr>
                <w:rFonts w:ascii="Arial" w:eastAsia="Arial" w:hAnsi="Arial" w:cs="Arial"/>
              </w:rPr>
              <w:t>CD</w:t>
            </w:r>
          </w:p>
        </w:tc>
        <w:tc>
          <w:tcPr>
            <w:tcW w:w="1245" w:type="dxa"/>
            <w:tcBorders>
              <w:top w:val="nil"/>
              <w:left w:val="nil"/>
              <w:bottom w:val="single" w:sz="6" w:space="0" w:color="000000"/>
              <w:right w:val="nil"/>
            </w:tcBorders>
            <w:tcMar>
              <w:top w:w="0" w:type="dxa"/>
              <w:left w:w="0" w:type="dxa"/>
              <w:bottom w:w="0" w:type="dxa"/>
              <w:right w:w="0" w:type="dxa"/>
            </w:tcMar>
          </w:tcPr>
          <w:p w14:paraId="3CDF9C0C" w14:textId="77777777" w:rsidR="00F773C7" w:rsidRDefault="00AD7B73">
            <w:pPr>
              <w:ind w:left="400"/>
              <w:jc w:val="center"/>
              <w:rPr>
                <w:rFonts w:ascii="Arial" w:eastAsia="Arial" w:hAnsi="Arial" w:cs="Arial"/>
              </w:rPr>
            </w:pPr>
            <w:r>
              <w:rPr>
                <w:rFonts w:ascii="Arial" w:eastAsia="Arial" w:hAnsi="Arial" w:cs="Arial"/>
              </w:rPr>
              <w:t>-</w:t>
            </w:r>
          </w:p>
        </w:tc>
        <w:tc>
          <w:tcPr>
            <w:tcW w:w="1665" w:type="dxa"/>
            <w:tcBorders>
              <w:top w:val="nil"/>
              <w:left w:val="nil"/>
              <w:bottom w:val="single" w:sz="6" w:space="0" w:color="000000"/>
              <w:right w:val="nil"/>
            </w:tcBorders>
            <w:tcMar>
              <w:top w:w="0" w:type="dxa"/>
              <w:left w:w="0" w:type="dxa"/>
              <w:bottom w:w="0" w:type="dxa"/>
              <w:right w:w="0" w:type="dxa"/>
            </w:tcMar>
          </w:tcPr>
          <w:p w14:paraId="69724409" w14:textId="77777777" w:rsidR="00F773C7" w:rsidRDefault="00AD7B73">
            <w:pPr>
              <w:ind w:left="500" w:right="120"/>
              <w:jc w:val="both"/>
              <w:rPr>
                <w:rFonts w:ascii="Arial" w:eastAsia="Arial" w:hAnsi="Arial" w:cs="Arial"/>
                <w:vertAlign w:val="superscript"/>
              </w:rPr>
            </w:pPr>
            <w:r>
              <w:rPr>
                <w:rFonts w:ascii="Arial" w:eastAsia="Arial" w:hAnsi="Arial" w:cs="Arial"/>
              </w:rPr>
              <w:t>1.55±1.26</w:t>
            </w:r>
            <w:r>
              <w:rPr>
                <w:rFonts w:ascii="Arial" w:eastAsia="Arial" w:hAnsi="Arial" w:cs="Arial"/>
                <w:vertAlign w:val="superscript"/>
              </w:rPr>
              <w:t>Aa</w:t>
            </w:r>
          </w:p>
        </w:tc>
        <w:tc>
          <w:tcPr>
            <w:tcW w:w="1410" w:type="dxa"/>
            <w:tcBorders>
              <w:top w:val="nil"/>
              <w:left w:val="nil"/>
              <w:bottom w:val="single" w:sz="6" w:space="0" w:color="000000"/>
              <w:right w:val="nil"/>
            </w:tcBorders>
            <w:tcMar>
              <w:top w:w="0" w:type="dxa"/>
              <w:left w:w="0" w:type="dxa"/>
              <w:bottom w:w="0" w:type="dxa"/>
              <w:right w:w="0" w:type="dxa"/>
            </w:tcMar>
          </w:tcPr>
          <w:p w14:paraId="5FA8F8A4" w14:textId="77777777" w:rsidR="00F773C7" w:rsidRDefault="00AD7B73">
            <w:pPr>
              <w:ind w:left="240" w:right="100"/>
              <w:jc w:val="both"/>
              <w:rPr>
                <w:rFonts w:ascii="Arial" w:eastAsia="Arial" w:hAnsi="Arial" w:cs="Arial"/>
                <w:vertAlign w:val="superscript"/>
              </w:rPr>
            </w:pPr>
            <w:r>
              <w:rPr>
                <w:rFonts w:ascii="Arial" w:eastAsia="Arial" w:hAnsi="Arial" w:cs="Arial"/>
              </w:rPr>
              <w:t>2.14±1.02</w:t>
            </w:r>
            <w:r>
              <w:rPr>
                <w:rFonts w:ascii="Arial" w:eastAsia="Arial" w:hAnsi="Arial" w:cs="Arial"/>
                <w:vertAlign w:val="superscript"/>
              </w:rPr>
              <w:t>Aa</w:t>
            </w:r>
          </w:p>
        </w:tc>
        <w:tc>
          <w:tcPr>
            <w:tcW w:w="1410" w:type="dxa"/>
            <w:tcBorders>
              <w:top w:val="nil"/>
              <w:left w:val="nil"/>
              <w:bottom w:val="single" w:sz="6" w:space="0" w:color="000000"/>
              <w:right w:val="nil"/>
            </w:tcBorders>
            <w:tcMar>
              <w:top w:w="0" w:type="dxa"/>
              <w:left w:w="0" w:type="dxa"/>
              <w:bottom w:w="0" w:type="dxa"/>
              <w:right w:w="0" w:type="dxa"/>
            </w:tcMar>
          </w:tcPr>
          <w:p w14:paraId="70579094" w14:textId="77777777" w:rsidR="00F773C7" w:rsidRDefault="00AD7B73">
            <w:pPr>
              <w:ind w:left="240" w:right="120"/>
              <w:jc w:val="both"/>
              <w:rPr>
                <w:rFonts w:ascii="Arial" w:eastAsia="Arial" w:hAnsi="Arial" w:cs="Arial"/>
                <w:vertAlign w:val="superscript"/>
              </w:rPr>
            </w:pPr>
            <w:r>
              <w:rPr>
                <w:rFonts w:ascii="Arial" w:eastAsia="Arial" w:hAnsi="Arial" w:cs="Arial"/>
              </w:rPr>
              <w:t>1.87±0.98</w:t>
            </w:r>
            <w:r>
              <w:rPr>
                <w:rFonts w:ascii="Arial" w:eastAsia="Arial" w:hAnsi="Arial" w:cs="Arial"/>
                <w:vertAlign w:val="superscript"/>
              </w:rPr>
              <w:t>Aa</w:t>
            </w:r>
          </w:p>
        </w:tc>
        <w:tc>
          <w:tcPr>
            <w:tcW w:w="1215" w:type="dxa"/>
            <w:tcBorders>
              <w:top w:val="nil"/>
              <w:left w:val="nil"/>
              <w:bottom w:val="single" w:sz="6" w:space="0" w:color="000000"/>
              <w:right w:val="nil"/>
            </w:tcBorders>
            <w:tcMar>
              <w:top w:w="0" w:type="dxa"/>
              <w:left w:w="0" w:type="dxa"/>
              <w:bottom w:w="0" w:type="dxa"/>
              <w:right w:w="0" w:type="dxa"/>
            </w:tcMar>
          </w:tcPr>
          <w:p w14:paraId="6A527845" w14:textId="77777777" w:rsidR="00F773C7" w:rsidRDefault="00AD7B73">
            <w:pPr>
              <w:ind w:left="280" w:right="160"/>
              <w:jc w:val="both"/>
              <w:rPr>
                <w:rFonts w:ascii="Arial" w:eastAsia="Arial" w:hAnsi="Arial" w:cs="Arial"/>
              </w:rPr>
            </w:pPr>
            <w:r>
              <w:rPr>
                <w:rFonts w:ascii="Arial" w:eastAsia="Arial" w:hAnsi="Arial" w:cs="Arial"/>
              </w:rPr>
              <w:t>0.522</w:t>
            </w:r>
          </w:p>
        </w:tc>
      </w:tr>
      <w:tr w:rsidR="00F773C7" w14:paraId="59B53791" w14:textId="77777777">
        <w:trPr>
          <w:trHeight w:val="420"/>
        </w:trPr>
        <w:tc>
          <w:tcPr>
            <w:tcW w:w="1395" w:type="dxa"/>
            <w:tcBorders>
              <w:top w:val="nil"/>
              <w:left w:val="nil"/>
              <w:bottom w:val="single" w:sz="6" w:space="0" w:color="000000"/>
              <w:right w:val="nil"/>
            </w:tcBorders>
            <w:tcMar>
              <w:top w:w="0" w:type="dxa"/>
              <w:left w:w="0" w:type="dxa"/>
              <w:bottom w:w="0" w:type="dxa"/>
              <w:right w:w="0" w:type="dxa"/>
            </w:tcMar>
          </w:tcPr>
          <w:p w14:paraId="4EBCFCC6" w14:textId="77777777" w:rsidR="00F773C7" w:rsidRDefault="00AD7B73">
            <w:pPr>
              <w:ind w:left="400"/>
              <w:rPr>
                <w:rFonts w:ascii="Arial" w:eastAsia="Arial" w:hAnsi="Arial" w:cs="Arial"/>
                <w:b/>
              </w:rPr>
            </w:pPr>
            <w:r>
              <w:rPr>
                <w:rFonts w:ascii="Arial" w:eastAsia="Arial" w:hAnsi="Arial" w:cs="Arial"/>
                <w:b/>
                <w:i/>
              </w:rPr>
              <w:t>P</w:t>
            </w:r>
            <w:r>
              <w:rPr>
                <w:rFonts w:ascii="Arial" w:eastAsia="Arial" w:hAnsi="Arial" w:cs="Arial"/>
                <w:b/>
              </w:rPr>
              <w:t>-Value</w:t>
            </w:r>
          </w:p>
        </w:tc>
        <w:tc>
          <w:tcPr>
            <w:tcW w:w="1245" w:type="dxa"/>
            <w:tcBorders>
              <w:top w:val="nil"/>
              <w:left w:val="nil"/>
              <w:bottom w:val="single" w:sz="6" w:space="0" w:color="000000"/>
              <w:right w:val="nil"/>
            </w:tcBorders>
            <w:tcMar>
              <w:top w:w="0" w:type="dxa"/>
              <w:left w:w="0" w:type="dxa"/>
              <w:bottom w:w="0" w:type="dxa"/>
              <w:right w:w="0" w:type="dxa"/>
            </w:tcMar>
          </w:tcPr>
          <w:p w14:paraId="433A0C13" w14:textId="77777777" w:rsidR="00F773C7" w:rsidRDefault="00AD7B73">
            <w:pPr>
              <w:ind w:left="120"/>
              <w:rPr>
                <w:rFonts w:ascii="Arial" w:eastAsia="Arial" w:hAnsi="Arial" w:cs="Arial"/>
              </w:rPr>
            </w:pPr>
            <w:r>
              <w:rPr>
                <w:rFonts w:ascii="Arial" w:eastAsia="Arial" w:hAnsi="Arial" w:cs="Arial"/>
              </w:rPr>
              <w:t xml:space="preserve"> </w:t>
            </w:r>
          </w:p>
        </w:tc>
        <w:tc>
          <w:tcPr>
            <w:tcW w:w="1665" w:type="dxa"/>
            <w:tcBorders>
              <w:top w:val="nil"/>
              <w:left w:val="nil"/>
              <w:bottom w:val="single" w:sz="6" w:space="0" w:color="000000"/>
              <w:right w:val="nil"/>
            </w:tcBorders>
            <w:tcMar>
              <w:top w:w="0" w:type="dxa"/>
              <w:left w:w="0" w:type="dxa"/>
              <w:bottom w:w="0" w:type="dxa"/>
              <w:right w:w="0" w:type="dxa"/>
            </w:tcMar>
          </w:tcPr>
          <w:p w14:paraId="24EE0E12" w14:textId="77777777" w:rsidR="00F773C7" w:rsidRDefault="00AD7B73">
            <w:pPr>
              <w:ind w:left="500" w:right="100"/>
              <w:jc w:val="center"/>
              <w:rPr>
                <w:rFonts w:ascii="Arial" w:eastAsia="Arial" w:hAnsi="Arial" w:cs="Arial"/>
              </w:rPr>
            </w:pPr>
            <w:r>
              <w:rPr>
                <w:rFonts w:ascii="Arial" w:eastAsia="Arial" w:hAnsi="Arial" w:cs="Arial"/>
              </w:rPr>
              <w:t>0.456</w:t>
            </w:r>
          </w:p>
        </w:tc>
        <w:tc>
          <w:tcPr>
            <w:tcW w:w="1410" w:type="dxa"/>
            <w:tcBorders>
              <w:top w:val="nil"/>
              <w:left w:val="nil"/>
              <w:bottom w:val="single" w:sz="6" w:space="0" w:color="000000"/>
              <w:right w:val="nil"/>
            </w:tcBorders>
            <w:tcMar>
              <w:top w:w="0" w:type="dxa"/>
              <w:left w:w="0" w:type="dxa"/>
              <w:bottom w:w="0" w:type="dxa"/>
              <w:right w:w="0" w:type="dxa"/>
            </w:tcMar>
          </w:tcPr>
          <w:p w14:paraId="5B9E81DC" w14:textId="77777777" w:rsidR="00F773C7" w:rsidRDefault="00AD7B73">
            <w:pPr>
              <w:ind w:left="240" w:right="100"/>
              <w:jc w:val="center"/>
              <w:rPr>
                <w:rFonts w:ascii="Arial" w:eastAsia="Arial" w:hAnsi="Arial" w:cs="Arial"/>
              </w:rPr>
            </w:pPr>
            <w:r>
              <w:rPr>
                <w:rFonts w:ascii="Arial" w:eastAsia="Arial" w:hAnsi="Arial" w:cs="Arial"/>
              </w:rPr>
              <w:t>0.339</w:t>
            </w:r>
          </w:p>
        </w:tc>
        <w:tc>
          <w:tcPr>
            <w:tcW w:w="1410" w:type="dxa"/>
            <w:tcBorders>
              <w:top w:val="nil"/>
              <w:left w:val="nil"/>
              <w:bottom w:val="single" w:sz="6" w:space="0" w:color="000000"/>
              <w:right w:val="nil"/>
            </w:tcBorders>
            <w:tcMar>
              <w:top w:w="0" w:type="dxa"/>
              <w:left w:w="0" w:type="dxa"/>
              <w:bottom w:w="0" w:type="dxa"/>
              <w:right w:w="0" w:type="dxa"/>
            </w:tcMar>
          </w:tcPr>
          <w:p w14:paraId="6AE8AD09" w14:textId="77777777" w:rsidR="00F773C7" w:rsidRDefault="00AD7B73">
            <w:pPr>
              <w:ind w:left="240" w:right="100"/>
              <w:jc w:val="center"/>
              <w:rPr>
                <w:rFonts w:ascii="Arial" w:eastAsia="Arial" w:hAnsi="Arial" w:cs="Arial"/>
              </w:rPr>
            </w:pPr>
            <w:r>
              <w:rPr>
                <w:rFonts w:ascii="Arial" w:eastAsia="Arial" w:hAnsi="Arial" w:cs="Arial"/>
              </w:rPr>
              <w:t>0.712</w:t>
            </w:r>
          </w:p>
        </w:tc>
        <w:tc>
          <w:tcPr>
            <w:tcW w:w="1215" w:type="dxa"/>
            <w:tcBorders>
              <w:top w:val="nil"/>
              <w:left w:val="nil"/>
              <w:bottom w:val="single" w:sz="6" w:space="0" w:color="000000"/>
              <w:right w:val="nil"/>
            </w:tcBorders>
            <w:tcMar>
              <w:top w:w="0" w:type="dxa"/>
              <w:left w:w="0" w:type="dxa"/>
              <w:bottom w:w="0" w:type="dxa"/>
              <w:right w:w="0" w:type="dxa"/>
            </w:tcMar>
          </w:tcPr>
          <w:p w14:paraId="7B43237C" w14:textId="77777777" w:rsidR="00F773C7" w:rsidRDefault="00AD7B73">
            <w:pPr>
              <w:ind w:left="120"/>
              <w:rPr>
                <w:rFonts w:ascii="Arial" w:eastAsia="Arial" w:hAnsi="Arial" w:cs="Arial"/>
              </w:rPr>
            </w:pPr>
            <w:r>
              <w:rPr>
                <w:rFonts w:ascii="Arial" w:eastAsia="Arial" w:hAnsi="Arial" w:cs="Arial"/>
              </w:rPr>
              <w:t xml:space="preserve"> </w:t>
            </w:r>
          </w:p>
        </w:tc>
      </w:tr>
    </w:tbl>
    <w:p w14:paraId="1821A8B2" w14:textId="77777777" w:rsidR="00F773C7" w:rsidRDefault="00AD7B73">
      <w:pPr>
        <w:jc w:val="both"/>
        <w:rPr>
          <w:rFonts w:ascii="Arial" w:eastAsia="Arial" w:hAnsi="Arial" w:cs="Arial"/>
          <w:i/>
          <w:sz w:val="18"/>
          <w:szCs w:val="18"/>
        </w:rPr>
      </w:pPr>
      <w:r>
        <w:rPr>
          <w:rFonts w:ascii="Arial" w:eastAsia="Arial" w:hAnsi="Arial" w:cs="Arial"/>
          <w:i/>
          <w:sz w:val="18"/>
          <w:szCs w:val="18"/>
        </w:rPr>
        <w:t xml:space="preserve">Different lowercase letters = significant difference </w:t>
      </w:r>
      <w:r>
        <w:rPr>
          <w:rFonts w:ascii="Arial" w:eastAsia="Arial" w:hAnsi="Arial" w:cs="Arial"/>
          <w:i/>
          <w:sz w:val="18"/>
          <w:szCs w:val="18"/>
        </w:rPr>
        <w:t>between evaluation periods of the same group. Different capital letters = significant difference between groups in the same evaluation period.</w:t>
      </w:r>
    </w:p>
    <w:p w14:paraId="5E51612C" w14:textId="77777777" w:rsidR="00F773C7" w:rsidRDefault="00F773C7">
      <w:pPr>
        <w:jc w:val="both"/>
        <w:rPr>
          <w:rFonts w:ascii="Arial" w:eastAsia="Arial" w:hAnsi="Arial" w:cs="Arial"/>
          <w:i/>
          <w:sz w:val="18"/>
          <w:szCs w:val="18"/>
        </w:rPr>
      </w:pPr>
    </w:p>
    <w:p w14:paraId="7309AAC6" w14:textId="77777777" w:rsidR="00F773C7" w:rsidRDefault="00AD7B73">
      <w:pPr>
        <w:jc w:val="both"/>
        <w:rPr>
          <w:rFonts w:ascii="Arial" w:eastAsia="Arial" w:hAnsi="Arial" w:cs="Arial"/>
        </w:rPr>
      </w:pPr>
      <w:r>
        <w:rPr>
          <w:rFonts w:ascii="Arial" w:eastAsia="Arial" w:hAnsi="Arial" w:cs="Arial"/>
          <w:b/>
          <w:smallCaps/>
          <w:sz w:val="22"/>
          <w:szCs w:val="22"/>
        </w:rPr>
        <w:t xml:space="preserve">3.2 </w:t>
      </w:r>
      <w:r>
        <w:rPr>
          <w:rFonts w:ascii="Arial" w:eastAsia="Arial" w:hAnsi="Arial" w:cs="Arial"/>
          <w:b/>
          <w:sz w:val="22"/>
          <w:szCs w:val="22"/>
        </w:rPr>
        <w:t xml:space="preserve">Discussion </w:t>
      </w:r>
    </w:p>
    <w:p w14:paraId="54E96D4F" w14:textId="77777777" w:rsidR="00F773C7" w:rsidRDefault="00F773C7">
      <w:pPr>
        <w:pBdr>
          <w:top w:val="nil"/>
          <w:left w:val="nil"/>
          <w:bottom w:val="nil"/>
          <w:right w:val="nil"/>
          <w:between w:val="nil"/>
        </w:pBdr>
        <w:jc w:val="both"/>
        <w:rPr>
          <w:rFonts w:ascii="Arial" w:eastAsia="Arial" w:hAnsi="Arial" w:cs="Arial"/>
        </w:rPr>
      </w:pPr>
    </w:p>
    <w:p w14:paraId="1A134173"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Based on the obtained data, the null hypothesis was accepted for the parameters of color, mass,</w:t>
      </w:r>
      <w:r>
        <w:rPr>
          <w:rFonts w:ascii="Arial" w:eastAsia="Arial" w:hAnsi="Arial" w:cs="Arial"/>
        </w:rPr>
        <w:t xml:space="preserve"> and microhardness, as no significant differences were observed between the PD and CD groups. However, for surface roughness, the null hypothesis was rejected, as the CD group exhibited significantly higher Ra values compared to the PD and WD groups.</w:t>
      </w:r>
    </w:p>
    <w:p w14:paraId="6FC292C5" w14:textId="77777777" w:rsidR="00F773C7" w:rsidRDefault="00F773C7">
      <w:pPr>
        <w:pBdr>
          <w:top w:val="nil"/>
          <w:left w:val="nil"/>
          <w:bottom w:val="nil"/>
          <w:right w:val="nil"/>
          <w:between w:val="nil"/>
        </w:pBdr>
        <w:jc w:val="both"/>
        <w:rPr>
          <w:rFonts w:ascii="Arial" w:eastAsia="Arial" w:hAnsi="Arial" w:cs="Arial"/>
        </w:rPr>
      </w:pPr>
    </w:p>
    <w:p w14:paraId="1685800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An i</w:t>
      </w:r>
      <w:r>
        <w:rPr>
          <w:rFonts w:ascii="Arial" w:eastAsia="Arial" w:hAnsi="Arial" w:cs="Arial"/>
        </w:rPr>
        <w:t xml:space="preserve">ncrease in the surface roughness of complete dentures may promote the retention of microorganisms such as </w:t>
      </w:r>
      <w:r>
        <w:rPr>
          <w:rFonts w:ascii="Arial" w:eastAsia="Arial" w:hAnsi="Arial" w:cs="Arial"/>
          <w:i/>
        </w:rPr>
        <w:t>Candida albicans</w:t>
      </w:r>
      <w:r>
        <w:rPr>
          <w:rFonts w:ascii="Arial" w:eastAsia="Arial" w:hAnsi="Arial" w:cs="Arial"/>
        </w:rPr>
        <w:t xml:space="preserve"> on their surfaces. Furthermore, adequate hardness of the denture material is essential to withstand wear caused by daily use and the abrasive action of cleaning agents (Bianchi et al., 2016; Carvalho-Neto et al., 2021; Gad et al., 2020). Studies indicate </w:t>
      </w:r>
      <w:r>
        <w:rPr>
          <w:rFonts w:ascii="Arial" w:eastAsia="Arial" w:hAnsi="Arial" w:cs="Arial"/>
        </w:rPr>
        <w:t>that adverse changes in these surface properties of denture base materials are directly associated with a higher incidence of denture stomatitis (Bianchi et al., 2016; Freire et al., 2018).</w:t>
      </w:r>
    </w:p>
    <w:p w14:paraId="1A8DA579" w14:textId="77777777" w:rsidR="00F773C7" w:rsidRDefault="00F773C7">
      <w:pPr>
        <w:pBdr>
          <w:top w:val="nil"/>
          <w:left w:val="nil"/>
          <w:bottom w:val="nil"/>
          <w:right w:val="nil"/>
          <w:between w:val="nil"/>
        </w:pBdr>
        <w:jc w:val="both"/>
        <w:rPr>
          <w:rFonts w:ascii="Arial" w:eastAsia="Arial" w:hAnsi="Arial" w:cs="Arial"/>
        </w:rPr>
      </w:pPr>
    </w:p>
    <w:p w14:paraId="4711E26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Increased surface roughness is often attributed to the high abras</w:t>
      </w:r>
      <w:r>
        <w:rPr>
          <w:rFonts w:ascii="Arial" w:eastAsia="Arial" w:hAnsi="Arial" w:cs="Arial"/>
        </w:rPr>
        <w:t>iveness of dentifrices routinely used for denture cleaning, due to their cost-effectiveness, simplicity, and wide availability (Bianchi et al., 2016; Freitas-Pontes et al., 2016; Gad et al., 2020; McReynolds et al., 2023). The abrasive nature of a dentifri</w:t>
      </w:r>
      <w:r>
        <w:rPr>
          <w:rFonts w:ascii="Arial" w:eastAsia="Arial" w:hAnsi="Arial" w:cs="Arial"/>
        </w:rPr>
        <w:t>ce is critical for removing organic deposits and preventing staining on dentures (Freire et al., 2018). Therefore, the abrasive capacity of dentifrices for dentures must balance cleaning efficiency without excessively affecting the surface roughness of the</w:t>
      </w:r>
      <w:r>
        <w:rPr>
          <w:rFonts w:ascii="Arial" w:eastAsia="Arial" w:hAnsi="Arial" w:cs="Arial"/>
        </w:rPr>
        <w:t xml:space="preserve"> material.</w:t>
      </w:r>
    </w:p>
    <w:p w14:paraId="142691C3" w14:textId="77777777" w:rsidR="00F773C7" w:rsidRDefault="00F773C7">
      <w:pPr>
        <w:pBdr>
          <w:top w:val="nil"/>
          <w:left w:val="nil"/>
          <w:bottom w:val="nil"/>
          <w:right w:val="nil"/>
          <w:between w:val="nil"/>
        </w:pBdr>
        <w:jc w:val="both"/>
        <w:rPr>
          <w:rFonts w:ascii="Arial" w:eastAsia="Arial" w:hAnsi="Arial" w:cs="Arial"/>
        </w:rPr>
      </w:pPr>
    </w:p>
    <w:p w14:paraId="26B2963F"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In this study, the pomegranate-based experimental dentifrice did not significantly alter the surface roughness of the acrylic resin after a simulated five-year brushing period. However, specimens cleaned with the commercial dentifrice exhibited</w:t>
      </w:r>
      <w:r>
        <w:rPr>
          <w:rFonts w:ascii="Arial" w:eastAsia="Arial" w:hAnsi="Arial" w:cs="Arial"/>
        </w:rPr>
        <w:t xml:space="preserve"> a significant increase in surface roughness (</w:t>
      </w:r>
      <w:r>
        <w:rPr>
          <w:rFonts w:ascii="Arial" w:eastAsia="Arial" w:hAnsi="Arial" w:cs="Arial"/>
          <w:i/>
        </w:rPr>
        <w:t>P</w:t>
      </w:r>
      <w:r>
        <w:rPr>
          <w:rFonts w:ascii="Arial" w:eastAsia="Arial" w:hAnsi="Arial" w:cs="Arial"/>
        </w:rPr>
        <w:t xml:space="preserve"> = 0.009).</w:t>
      </w:r>
    </w:p>
    <w:p w14:paraId="2C3AAF67" w14:textId="77777777" w:rsidR="00F773C7" w:rsidRDefault="00F773C7">
      <w:pPr>
        <w:pBdr>
          <w:top w:val="nil"/>
          <w:left w:val="nil"/>
          <w:bottom w:val="nil"/>
          <w:right w:val="nil"/>
          <w:between w:val="nil"/>
        </w:pBdr>
        <w:jc w:val="both"/>
        <w:rPr>
          <w:rFonts w:ascii="Arial" w:eastAsia="Arial" w:hAnsi="Arial" w:cs="Arial"/>
        </w:rPr>
      </w:pPr>
    </w:p>
    <w:p w14:paraId="6267C4F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The low abrasiveness of the pomegranate-based experimental dentifrice can be attributed to its composition, which includes only one abrasive agent: micronized calcium carbonate. In contrast, the Ev</w:t>
      </w:r>
      <w:r>
        <w:rPr>
          <w:rFonts w:ascii="Arial" w:eastAsia="Arial" w:hAnsi="Arial" w:cs="Arial"/>
        </w:rPr>
        <w:t>en® dentifrice incorporates two abrasive agents: calcium carbonate and sodium silicate. A study highlighted that the calcium carbonate particles in conventional dentifrices, used as abrasives, are spherical and exhibit irregular sizes and weights, contribu</w:t>
      </w:r>
      <w:r>
        <w:rPr>
          <w:rFonts w:ascii="Arial" w:eastAsia="Arial" w:hAnsi="Arial" w:cs="Arial"/>
        </w:rPr>
        <w:t>ting to more uneven and aggressive wear (Pisani et al., 2010). Conversely, micronized calcium carbonate particles have more uniform sizes and are less abrasive. Ramadan et al. (2018) observed that the complexity of abrasive agents in conventional dentifric</w:t>
      </w:r>
      <w:r>
        <w:rPr>
          <w:rFonts w:ascii="Arial" w:eastAsia="Arial" w:hAnsi="Arial" w:cs="Arial"/>
        </w:rPr>
        <w:t xml:space="preserve">es was positively correlated with increased surface roughness in acrylic resin specimens. Based on these findings, </w:t>
      </w:r>
      <w:proofErr w:type="spellStart"/>
      <w:r>
        <w:rPr>
          <w:rFonts w:ascii="Arial" w:eastAsia="Arial" w:hAnsi="Arial" w:cs="Arial"/>
        </w:rPr>
        <w:t>Sorgini</w:t>
      </w:r>
      <w:proofErr w:type="spellEnd"/>
      <w:r>
        <w:rPr>
          <w:rFonts w:ascii="Arial" w:eastAsia="Arial" w:hAnsi="Arial" w:cs="Arial"/>
        </w:rPr>
        <w:t xml:space="preserve"> et al. (2015) emphasized the importance of using denture-specific cleaning agents, as they observed significantly lower surface rough</w:t>
      </w:r>
      <w:r>
        <w:rPr>
          <w:rFonts w:ascii="Arial" w:eastAsia="Arial" w:hAnsi="Arial" w:cs="Arial"/>
        </w:rPr>
        <w:t>ness following denture hygiene with these products compared to conventional options.</w:t>
      </w:r>
    </w:p>
    <w:p w14:paraId="41FBA9DE" w14:textId="77777777" w:rsidR="00F773C7" w:rsidRDefault="00F773C7">
      <w:pPr>
        <w:pBdr>
          <w:top w:val="nil"/>
          <w:left w:val="nil"/>
          <w:bottom w:val="nil"/>
          <w:right w:val="nil"/>
          <w:between w:val="nil"/>
        </w:pBdr>
        <w:jc w:val="both"/>
        <w:rPr>
          <w:rFonts w:ascii="Arial" w:eastAsia="Arial" w:hAnsi="Arial" w:cs="Arial"/>
        </w:rPr>
      </w:pPr>
    </w:p>
    <w:p w14:paraId="6EB092B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Although brushing is a widely adopted method, it should be applied with caution. The main precaution is to use denture-specific dentifrices containing mild abrasives, alo</w:t>
      </w:r>
      <w:r>
        <w:rPr>
          <w:rFonts w:ascii="Arial" w:eastAsia="Arial" w:hAnsi="Arial" w:cs="Arial"/>
        </w:rPr>
        <w:t>ng with soft-bristled brushes, which should be replaced frequently for denture hygiene. Furthermore, it is crucial that dentures be cleaned outside the mouth at least once daily and stored in clean water when not in use (Felton et al., 2011; Freitas-Pontes</w:t>
      </w:r>
      <w:r>
        <w:rPr>
          <w:rFonts w:ascii="Arial" w:eastAsia="Arial" w:hAnsi="Arial" w:cs="Arial"/>
        </w:rPr>
        <w:t xml:space="preserve"> et al., 2009; Freitas-Pontes et al., 2016; McReynolds et al., 2023).</w:t>
      </w:r>
    </w:p>
    <w:p w14:paraId="06F8A9D5" w14:textId="77777777" w:rsidR="00F773C7" w:rsidRDefault="00F773C7">
      <w:pPr>
        <w:pBdr>
          <w:top w:val="nil"/>
          <w:left w:val="nil"/>
          <w:bottom w:val="nil"/>
          <w:right w:val="nil"/>
          <w:between w:val="nil"/>
        </w:pBdr>
        <w:jc w:val="both"/>
        <w:rPr>
          <w:rFonts w:ascii="Arial" w:eastAsia="Arial" w:hAnsi="Arial" w:cs="Arial"/>
        </w:rPr>
      </w:pPr>
    </w:p>
    <w:p w14:paraId="0C980AE7"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Regarding color stability, an essential factor from an aesthetic perspective, no clinically significant changes were observed in any group, indicating the adequate aesthetic durability </w:t>
      </w:r>
      <w:r>
        <w:rPr>
          <w:rFonts w:ascii="Arial" w:eastAsia="Arial" w:hAnsi="Arial" w:cs="Arial"/>
        </w:rPr>
        <w:t>of the material, particularly under the conditions simulated in this study. The preservation of the acrylic resin’s surface polish in denture bases is also crucial for aesthetics, as materials with increased surface roughness can absorb and retain food dye</w:t>
      </w:r>
      <w:r>
        <w:rPr>
          <w:rFonts w:ascii="Arial" w:eastAsia="Arial" w:hAnsi="Arial" w:cs="Arial"/>
        </w:rPr>
        <w:t>s, becoming discolored or stained (</w:t>
      </w:r>
      <w:proofErr w:type="spellStart"/>
      <w:r>
        <w:rPr>
          <w:rFonts w:ascii="Arial" w:eastAsia="Arial" w:hAnsi="Arial" w:cs="Arial"/>
        </w:rPr>
        <w:t>Bajunaid</w:t>
      </w:r>
      <w:proofErr w:type="spellEnd"/>
      <w:r>
        <w:rPr>
          <w:rFonts w:ascii="Arial" w:eastAsia="Arial" w:hAnsi="Arial" w:cs="Arial"/>
        </w:rPr>
        <w:t xml:space="preserve"> et al., 2022, Costa et al., 2025, </w:t>
      </w:r>
      <w:proofErr w:type="spellStart"/>
      <w:r>
        <w:rPr>
          <w:rFonts w:ascii="Arial" w:eastAsia="Arial" w:hAnsi="Arial" w:cs="Arial"/>
        </w:rPr>
        <w:t>Takhtdar</w:t>
      </w:r>
      <w:proofErr w:type="spellEnd"/>
      <w:r>
        <w:rPr>
          <w:rFonts w:ascii="Arial" w:eastAsia="Arial" w:hAnsi="Arial" w:cs="Arial"/>
        </w:rPr>
        <w:t xml:space="preserve"> et al., 2023).</w:t>
      </w:r>
    </w:p>
    <w:p w14:paraId="3FE6EE13" w14:textId="77777777" w:rsidR="00F773C7" w:rsidRDefault="00F773C7">
      <w:pPr>
        <w:pBdr>
          <w:top w:val="nil"/>
          <w:left w:val="nil"/>
          <w:bottom w:val="nil"/>
          <w:right w:val="nil"/>
          <w:between w:val="nil"/>
        </w:pBdr>
        <w:jc w:val="both"/>
        <w:rPr>
          <w:rFonts w:ascii="Arial" w:eastAsia="Arial" w:hAnsi="Arial" w:cs="Arial"/>
        </w:rPr>
      </w:pPr>
    </w:p>
    <w:p w14:paraId="1948248C"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In this study, no notable color changes were detected after five years of brushing with the pomegranate-based dentifrice. Ideally, a denture cleaner shou</w:t>
      </w:r>
      <w:r>
        <w:rPr>
          <w:rFonts w:ascii="Arial" w:eastAsia="Arial" w:hAnsi="Arial" w:cs="Arial"/>
        </w:rPr>
        <w:t>ld not alter the color of the acrylic resin, ensuring the longevity of the prosthesis (Badaró et al., 2019). However, another study using a similar pomegranate-based dentifrice reported different results in artificial teeth. Carvalho-Neto et al. (2021) obs</w:t>
      </w:r>
      <w:r>
        <w:rPr>
          <w:rFonts w:ascii="Arial" w:eastAsia="Arial" w:hAnsi="Arial" w:cs="Arial"/>
        </w:rPr>
        <w:t>erved significant color variations in artificial teeth used in complete dentures cleaned with a pomegranate-based dentifrice, although the mean ΔE values remained within clinically acceptable limits (below 3.3). Based on these acceptable variations, the po</w:t>
      </w:r>
      <w:r>
        <w:rPr>
          <w:rFonts w:ascii="Arial" w:eastAsia="Arial" w:hAnsi="Arial" w:cs="Arial"/>
        </w:rPr>
        <w:t>megranate-based dentifrice remains a promising candidate for future denture-cleaning protocols.</w:t>
      </w:r>
    </w:p>
    <w:p w14:paraId="7FAED9EF" w14:textId="77777777" w:rsidR="00F773C7" w:rsidRDefault="00F773C7">
      <w:pPr>
        <w:pBdr>
          <w:top w:val="nil"/>
          <w:left w:val="nil"/>
          <w:bottom w:val="nil"/>
          <w:right w:val="nil"/>
          <w:between w:val="nil"/>
        </w:pBdr>
        <w:jc w:val="both"/>
        <w:rPr>
          <w:rFonts w:ascii="Arial" w:eastAsia="Arial" w:hAnsi="Arial" w:cs="Arial"/>
        </w:rPr>
      </w:pPr>
    </w:p>
    <w:p w14:paraId="71EBA62C"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Mass variations highlighted remarkable stability in this material after the 60-month simulated brushing test. This suggests that the structural integrity of th</w:t>
      </w:r>
      <w:r>
        <w:rPr>
          <w:rFonts w:ascii="Arial" w:eastAsia="Arial" w:hAnsi="Arial" w:cs="Arial"/>
        </w:rPr>
        <w:t>e heat-polymerized acrylic resin is minimally affected by abrasion from brushing and the abrasiveness of the tested substances. This characteristic is important for prosthetic materials, ensuring longevity and reducing the need for frequent replacements (C</w:t>
      </w:r>
      <w:r>
        <w:rPr>
          <w:rFonts w:ascii="Arial" w:eastAsia="Arial" w:hAnsi="Arial" w:cs="Arial"/>
        </w:rPr>
        <w:t>ampos et al., 2023).</w:t>
      </w:r>
    </w:p>
    <w:p w14:paraId="7852EC07" w14:textId="77777777" w:rsidR="00F773C7" w:rsidRDefault="00F773C7">
      <w:pPr>
        <w:pBdr>
          <w:top w:val="nil"/>
          <w:left w:val="nil"/>
          <w:bottom w:val="nil"/>
          <w:right w:val="nil"/>
          <w:between w:val="nil"/>
        </w:pBdr>
        <w:jc w:val="both"/>
        <w:rPr>
          <w:rFonts w:ascii="Arial" w:eastAsia="Arial" w:hAnsi="Arial" w:cs="Arial"/>
        </w:rPr>
      </w:pPr>
    </w:p>
    <w:p w14:paraId="2035C71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Regarding microhardness, the study showed some fluctuations in values, particularly notable in the PD group. Although microhardness increased during the first 36 months, it returned to values close to the initial levels by the end of </w:t>
      </w:r>
      <w:r>
        <w:rPr>
          <w:rFonts w:ascii="Arial" w:eastAsia="Arial" w:hAnsi="Arial" w:cs="Arial"/>
        </w:rPr>
        <w:t xml:space="preserve">the study, showing no statistical difference from the negative control after 60 months. Material hardness is intrinsically linked to its strength </w:t>
      </w:r>
      <w:r>
        <w:rPr>
          <w:rFonts w:ascii="Arial" w:eastAsia="Arial" w:hAnsi="Arial" w:cs="Arial"/>
        </w:rPr>
        <w:lastRenderedPageBreak/>
        <w:t>and wear resistance over time. Panariello et al. (2015) emphasized in their study the correlation between abra</w:t>
      </w:r>
      <w:r>
        <w:rPr>
          <w:rFonts w:ascii="Arial" w:eastAsia="Arial" w:hAnsi="Arial" w:cs="Arial"/>
        </w:rPr>
        <w:t>sion resistance and surface hardness. These fluctuations may be attributed to the properties of the dentifrice or the effects of the brushing machine.</w:t>
      </w:r>
    </w:p>
    <w:p w14:paraId="4A23DBFA" w14:textId="77777777" w:rsidR="00F773C7" w:rsidRDefault="00F773C7">
      <w:pPr>
        <w:pBdr>
          <w:top w:val="nil"/>
          <w:left w:val="nil"/>
          <w:bottom w:val="nil"/>
          <w:right w:val="nil"/>
          <w:between w:val="nil"/>
        </w:pBdr>
        <w:jc w:val="both"/>
        <w:rPr>
          <w:rFonts w:ascii="Arial" w:eastAsia="Arial" w:hAnsi="Arial" w:cs="Arial"/>
        </w:rPr>
      </w:pPr>
    </w:p>
    <w:p w14:paraId="5CBAF41D"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rPr>
        <w:t>Although the results reported thus far suggest the feasibility of using this experimental pomegranate de</w:t>
      </w:r>
      <w:r>
        <w:rPr>
          <w:rFonts w:ascii="Arial" w:eastAsia="Arial" w:hAnsi="Arial" w:cs="Arial"/>
        </w:rPr>
        <w:t>ntifrice for brushing complete dentures without damaging their structure, the present study was limited to evaluating laboratory parameters related to the polymer’s structural integrity. Therefore, it is also relevant to assess, through further studies, th</w:t>
      </w:r>
      <w:r>
        <w:rPr>
          <w:rFonts w:ascii="Arial" w:eastAsia="Arial" w:hAnsi="Arial" w:cs="Arial"/>
        </w:rPr>
        <w:t>e dentifrice’s biofilm removal capacity, as well as to confirm the initially reported fungicidal effects.</w:t>
      </w:r>
      <w:r>
        <w:rPr>
          <w:rFonts w:ascii="Arial" w:eastAsia="Arial" w:hAnsi="Arial" w:cs="Arial"/>
          <w:color w:val="000000"/>
        </w:rPr>
        <w:t xml:space="preserve"> </w:t>
      </w:r>
    </w:p>
    <w:p w14:paraId="0B33E4C4" w14:textId="77777777" w:rsidR="00F773C7" w:rsidRDefault="00F773C7">
      <w:pPr>
        <w:pBdr>
          <w:top w:val="nil"/>
          <w:left w:val="nil"/>
          <w:bottom w:val="nil"/>
          <w:right w:val="nil"/>
          <w:between w:val="nil"/>
        </w:pBdr>
        <w:jc w:val="both"/>
        <w:rPr>
          <w:rFonts w:ascii="Arial" w:eastAsia="Arial" w:hAnsi="Arial" w:cs="Arial"/>
          <w:color w:val="000000"/>
        </w:rPr>
      </w:pPr>
    </w:p>
    <w:p w14:paraId="60DBD9B7" w14:textId="77777777" w:rsidR="00F773C7" w:rsidRDefault="00AD7B7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sz w:val="22"/>
          <w:szCs w:val="22"/>
        </w:rPr>
        <w:t>CONCLUSION</w:t>
      </w:r>
    </w:p>
    <w:p w14:paraId="6D3C2941" w14:textId="77777777" w:rsidR="00F773C7" w:rsidRDefault="00F773C7">
      <w:pPr>
        <w:keepNext/>
        <w:pBdr>
          <w:top w:val="nil"/>
          <w:left w:val="nil"/>
          <w:bottom w:val="nil"/>
          <w:right w:val="nil"/>
          <w:between w:val="nil"/>
        </w:pBdr>
        <w:jc w:val="both"/>
        <w:rPr>
          <w:rFonts w:ascii="Arial" w:eastAsia="Arial" w:hAnsi="Arial" w:cs="Arial"/>
          <w:b/>
          <w:smallCaps/>
          <w:color w:val="000000"/>
          <w:sz w:val="22"/>
          <w:szCs w:val="22"/>
        </w:rPr>
      </w:pPr>
    </w:p>
    <w:p w14:paraId="38079268" w14:textId="77777777" w:rsidR="00F773C7" w:rsidRDefault="00AD7B73">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After a simulated five-year brushing regimen with a </w:t>
      </w:r>
      <w:r>
        <w:rPr>
          <w:rFonts w:ascii="Arial" w:eastAsia="Arial" w:hAnsi="Arial" w:cs="Arial"/>
          <w:i/>
        </w:rPr>
        <w:t>Punica granatum</w:t>
      </w:r>
      <w:r>
        <w:rPr>
          <w:rFonts w:ascii="Arial" w:eastAsia="Arial" w:hAnsi="Arial" w:cs="Arial"/>
        </w:rPr>
        <w:t xml:space="preserve"> Linné-based dentifrice on heat-polymerized acrylic resin specimens, no significant changes were observed in color, mass variation, surface roughness, or microhardness compared to the negative control. These findings suggest that this experimental dentifri</w:t>
      </w:r>
      <w:r>
        <w:rPr>
          <w:rFonts w:ascii="Arial" w:eastAsia="Arial" w:hAnsi="Arial" w:cs="Arial"/>
        </w:rPr>
        <w:t>ce preserves the properties of complete denture acrylic resin, even after prolonged use.</w:t>
      </w:r>
    </w:p>
    <w:p w14:paraId="158879EC" w14:textId="77777777" w:rsidR="00F773C7" w:rsidRDefault="00F773C7">
      <w:pPr>
        <w:pBdr>
          <w:top w:val="nil"/>
          <w:left w:val="nil"/>
          <w:bottom w:val="nil"/>
          <w:right w:val="nil"/>
          <w:between w:val="nil"/>
        </w:pBdr>
        <w:jc w:val="both"/>
        <w:rPr>
          <w:rFonts w:ascii="Arial" w:eastAsia="Arial" w:hAnsi="Arial" w:cs="Arial"/>
          <w:color w:val="000000"/>
        </w:rPr>
      </w:pPr>
    </w:p>
    <w:p w14:paraId="4F5D50BD" w14:textId="77777777" w:rsidR="00764307" w:rsidRDefault="00764307">
      <w:pPr>
        <w:keepNext/>
        <w:pBdr>
          <w:top w:val="nil"/>
          <w:left w:val="nil"/>
          <w:bottom w:val="nil"/>
          <w:right w:val="nil"/>
          <w:between w:val="nil"/>
        </w:pBdr>
        <w:jc w:val="both"/>
        <w:rPr>
          <w:rFonts w:ascii="Arial" w:eastAsia="Arial" w:hAnsi="Arial" w:cs="Arial"/>
        </w:rPr>
      </w:pPr>
    </w:p>
    <w:p w14:paraId="4928F282" w14:textId="77777777" w:rsidR="00764307" w:rsidRDefault="00764307">
      <w:pPr>
        <w:keepNext/>
        <w:pBdr>
          <w:top w:val="nil"/>
          <w:left w:val="nil"/>
          <w:bottom w:val="nil"/>
          <w:right w:val="nil"/>
          <w:between w:val="nil"/>
        </w:pBdr>
        <w:jc w:val="both"/>
        <w:rPr>
          <w:rFonts w:ascii="Arial" w:eastAsia="Arial" w:hAnsi="Arial" w:cs="Arial"/>
        </w:rPr>
      </w:pPr>
    </w:p>
    <w:p w14:paraId="590B1B16" w14:textId="77777777" w:rsidR="00764307" w:rsidRPr="00764307" w:rsidRDefault="00764307" w:rsidP="00764307">
      <w:pPr>
        <w:spacing w:after="200" w:line="276" w:lineRule="auto"/>
        <w:jc w:val="both"/>
        <w:outlineLvl w:val="0"/>
        <w:rPr>
          <w:rFonts w:ascii="Arial" w:eastAsiaTheme="minorEastAsia" w:hAnsi="Arial" w:cs="Arial"/>
          <w:sz w:val="22"/>
          <w:szCs w:val="22"/>
          <w:lang w:val="en-GB" w:eastAsia="en-GB"/>
        </w:rPr>
      </w:pPr>
      <w:r w:rsidRPr="00764307">
        <w:rPr>
          <w:rFonts w:ascii="Arial" w:eastAsiaTheme="minorEastAsia" w:hAnsi="Arial" w:cs="Arial"/>
          <w:b/>
          <w:bCs/>
          <w:sz w:val="22"/>
          <w:szCs w:val="22"/>
          <w:lang w:val="en-GB" w:eastAsia="en-GB"/>
        </w:rPr>
        <w:t>COMPETING INTERESTS DISCLAIMER:</w:t>
      </w:r>
    </w:p>
    <w:p w14:paraId="1A1B11C2" w14:textId="77777777" w:rsidR="00764307" w:rsidRPr="00764307" w:rsidRDefault="00764307" w:rsidP="00764307">
      <w:pPr>
        <w:spacing w:after="200" w:line="276" w:lineRule="auto"/>
        <w:rPr>
          <w:rFonts w:asciiTheme="minorHAnsi" w:eastAsiaTheme="minorEastAsia" w:hAnsiTheme="minorHAnsi" w:cstheme="minorBidi"/>
          <w:sz w:val="22"/>
          <w:szCs w:val="22"/>
          <w:lang w:val="en-GB" w:eastAsia="en-GB"/>
        </w:rPr>
      </w:pPr>
      <w:r w:rsidRPr="00764307">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061C55B" w14:textId="77777777" w:rsidR="00764307" w:rsidRDefault="00764307">
      <w:pPr>
        <w:keepNext/>
        <w:pBdr>
          <w:top w:val="nil"/>
          <w:left w:val="nil"/>
          <w:bottom w:val="nil"/>
          <w:right w:val="nil"/>
          <w:between w:val="nil"/>
        </w:pBdr>
        <w:jc w:val="both"/>
        <w:rPr>
          <w:rFonts w:ascii="Arial" w:eastAsia="Arial" w:hAnsi="Arial" w:cs="Arial"/>
        </w:rPr>
      </w:pPr>
    </w:p>
    <w:p w14:paraId="509CA599" w14:textId="77777777" w:rsidR="00F773C7" w:rsidRDefault="00F773C7">
      <w:pPr>
        <w:keepNext/>
        <w:pBdr>
          <w:top w:val="nil"/>
          <w:left w:val="nil"/>
          <w:bottom w:val="nil"/>
          <w:right w:val="nil"/>
          <w:between w:val="nil"/>
        </w:pBdr>
        <w:jc w:val="both"/>
        <w:rPr>
          <w:rFonts w:ascii="Arial" w:eastAsia="Arial" w:hAnsi="Arial" w:cs="Arial"/>
          <w:color w:val="000000"/>
        </w:rPr>
      </w:pPr>
    </w:p>
    <w:p w14:paraId="2489B174" w14:textId="77777777" w:rsidR="00F773C7" w:rsidRDefault="00AD7B7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516984EF" w14:textId="77777777" w:rsidR="00F773C7" w:rsidRDefault="00F773C7">
      <w:pPr>
        <w:pBdr>
          <w:top w:val="nil"/>
          <w:left w:val="nil"/>
          <w:bottom w:val="nil"/>
          <w:right w:val="nil"/>
          <w:between w:val="nil"/>
        </w:pBdr>
        <w:jc w:val="both"/>
        <w:rPr>
          <w:rFonts w:ascii="Arial" w:eastAsia="Arial" w:hAnsi="Arial" w:cs="Arial"/>
          <w:color w:val="000000"/>
        </w:rPr>
      </w:pPr>
    </w:p>
    <w:p w14:paraId="581D9DD6"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Almeida, N</w:t>
      </w:r>
      <w:r>
        <w:rPr>
          <w:rFonts w:ascii="Arial" w:eastAsia="Arial" w:hAnsi="Arial" w:cs="Arial"/>
        </w:rPr>
        <w:t xml:space="preserve">. L. M., Saldanha, L. L., Silva, R. A., Pinke, K. H., Costa, E. F. &amp; Porto, V. C. et al. (2017). Antimicrobial activity of denture adhesive associated with Equisetum giganteum - and </w:t>
      </w:r>
      <w:r>
        <w:rPr>
          <w:rFonts w:ascii="Arial" w:eastAsia="Arial" w:hAnsi="Arial" w:cs="Arial"/>
          <w:i/>
        </w:rPr>
        <w:t xml:space="preserve">Punica granatum </w:t>
      </w:r>
      <w:r>
        <w:rPr>
          <w:rFonts w:ascii="Arial" w:eastAsia="Arial" w:hAnsi="Arial" w:cs="Arial"/>
        </w:rPr>
        <w:t xml:space="preserve">- enriched fractions against </w:t>
      </w:r>
      <w:r>
        <w:rPr>
          <w:rFonts w:ascii="Arial" w:eastAsia="Arial" w:hAnsi="Arial" w:cs="Arial"/>
          <w:i/>
        </w:rPr>
        <w:t>Candida albicans</w:t>
      </w:r>
      <w:r>
        <w:rPr>
          <w:rFonts w:ascii="Arial" w:eastAsia="Arial" w:hAnsi="Arial" w:cs="Arial"/>
        </w:rPr>
        <w:t xml:space="preserve"> biofilms on acrylic resin surfaces. </w:t>
      </w:r>
      <w:r>
        <w:rPr>
          <w:rFonts w:ascii="Arial" w:eastAsia="Arial" w:hAnsi="Arial" w:cs="Arial"/>
          <w:i/>
        </w:rPr>
        <w:t>Biofouling</w:t>
      </w:r>
      <w:r>
        <w:rPr>
          <w:rFonts w:ascii="Arial" w:eastAsia="Arial" w:hAnsi="Arial" w:cs="Arial"/>
        </w:rPr>
        <w:t xml:space="preserve">, 34(1), 62–73. </w:t>
      </w:r>
      <w:hyperlink r:id="rId15">
        <w:r w:rsidR="00F773C7">
          <w:rPr>
            <w:rFonts w:ascii="Arial" w:eastAsia="Arial" w:hAnsi="Arial" w:cs="Arial"/>
            <w:color w:val="1155CC"/>
            <w:u w:val="single"/>
          </w:rPr>
          <w:t>https://doi.org/10.1080/08927014.2017.1407408</w:t>
        </w:r>
      </w:hyperlink>
    </w:p>
    <w:p w14:paraId="033D12DB" w14:textId="77777777" w:rsidR="00F773C7" w:rsidRDefault="00F773C7">
      <w:pPr>
        <w:pBdr>
          <w:top w:val="nil"/>
          <w:left w:val="nil"/>
          <w:bottom w:val="nil"/>
          <w:right w:val="nil"/>
          <w:between w:val="nil"/>
        </w:pBdr>
        <w:jc w:val="both"/>
        <w:rPr>
          <w:rFonts w:ascii="Arial" w:eastAsia="Arial" w:hAnsi="Arial" w:cs="Arial"/>
        </w:rPr>
      </w:pPr>
    </w:p>
    <w:p w14:paraId="5909158D" w14:textId="77777777" w:rsidR="00F773C7" w:rsidRDefault="00AD7B73">
      <w:pPr>
        <w:pBdr>
          <w:top w:val="nil"/>
          <w:left w:val="nil"/>
          <w:bottom w:val="nil"/>
          <w:right w:val="nil"/>
          <w:between w:val="nil"/>
        </w:pBdr>
        <w:jc w:val="both"/>
        <w:rPr>
          <w:rFonts w:ascii="Arial" w:eastAsia="Arial" w:hAnsi="Arial" w:cs="Arial"/>
        </w:rPr>
      </w:pPr>
      <w:proofErr w:type="spellStart"/>
      <w:r>
        <w:rPr>
          <w:rFonts w:ascii="Arial" w:eastAsia="Arial" w:hAnsi="Arial" w:cs="Arial"/>
        </w:rPr>
        <w:t>Altarawneh</w:t>
      </w:r>
      <w:proofErr w:type="spellEnd"/>
      <w:r>
        <w:rPr>
          <w:rFonts w:ascii="Arial" w:eastAsia="Arial" w:hAnsi="Arial" w:cs="Arial"/>
        </w:rPr>
        <w:t xml:space="preserve">, S., </w:t>
      </w:r>
      <w:proofErr w:type="spellStart"/>
      <w:r>
        <w:rPr>
          <w:rFonts w:ascii="Arial" w:eastAsia="Arial" w:hAnsi="Arial" w:cs="Arial"/>
        </w:rPr>
        <w:t>Bencharit</w:t>
      </w:r>
      <w:proofErr w:type="spellEnd"/>
      <w:r>
        <w:rPr>
          <w:rFonts w:ascii="Arial" w:eastAsia="Arial" w:hAnsi="Arial" w:cs="Arial"/>
        </w:rPr>
        <w:t>, S., Mendoza, L., Curran, A., Barrow, D. &amp; Barros, S. e</w:t>
      </w:r>
      <w:r>
        <w:rPr>
          <w:rFonts w:ascii="Arial" w:eastAsia="Arial" w:hAnsi="Arial" w:cs="Arial"/>
        </w:rPr>
        <w:t xml:space="preserve">t al. (2012). Clinical and Histological Findings of Denture Stomatitis as Related to Intraoral Colonization Patterns of </w:t>
      </w:r>
      <w:r>
        <w:rPr>
          <w:rFonts w:ascii="Arial" w:eastAsia="Arial" w:hAnsi="Arial" w:cs="Arial"/>
          <w:i/>
        </w:rPr>
        <w:t>Candida albicans</w:t>
      </w:r>
      <w:r>
        <w:rPr>
          <w:rFonts w:ascii="Arial" w:eastAsia="Arial" w:hAnsi="Arial" w:cs="Arial"/>
        </w:rPr>
        <w:t xml:space="preserve">, Salivary Flow, and Dry Mouth. </w:t>
      </w:r>
      <w:r>
        <w:rPr>
          <w:rFonts w:ascii="Arial" w:eastAsia="Arial" w:hAnsi="Arial" w:cs="Arial"/>
          <w:i/>
        </w:rPr>
        <w:t>Journal of Prosthodontics</w:t>
      </w:r>
      <w:r>
        <w:rPr>
          <w:rFonts w:ascii="Arial" w:eastAsia="Arial" w:hAnsi="Arial" w:cs="Arial"/>
        </w:rPr>
        <w:t xml:space="preserve">, 22(1), 13–22. </w:t>
      </w:r>
      <w:hyperlink r:id="rId16">
        <w:r w:rsidR="00F773C7">
          <w:rPr>
            <w:rFonts w:ascii="Arial" w:eastAsia="Arial" w:hAnsi="Arial" w:cs="Arial"/>
            <w:color w:val="1155CC"/>
            <w:u w:val="single"/>
          </w:rPr>
          <w:t>https://doi.org/10.1111/j.1532-849x.2012.00906.x</w:t>
        </w:r>
      </w:hyperlink>
    </w:p>
    <w:p w14:paraId="4C8CB2B1" w14:textId="77777777" w:rsidR="00F773C7" w:rsidRDefault="00F773C7">
      <w:pPr>
        <w:pBdr>
          <w:top w:val="nil"/>
          <w:left w:val="nil"/>
          <w:bottom w:val="nil"/>
          <w:right w:val="nil"/>
          <w:between w:val="nil"/>
        </w:pBdr>
        <w:jc w:val="both"/>
        <w:rPr>
          <w:rFonts w:ascii="Arial" w:eastAsia="Arial" w:hAnsi="Arial" w:cs="Arial"/>
        </w:rPr>
      </w:pPr>
    </w:p>
    <w:p w14:paraId="4CB0136E"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‌Badaró, M. M., Bueno, F. L., Arnez, R. M., Oliveira, V. C., Macedo, A. P. &amp; Souza, R. F. et al. (2020). The effects of three disinfection protocols on Candida spp., denture stomatitis,</w:t>
      </w:r>
      <w:r>
        <w:rPr>
          <w:rFonts w:ascii="Arial" w:eastAsia="Arial" w:hAnsi="Arial" w:cs="Arial"/>
        </w:rPr>
        <w:t xml:space="preserve"> and biofilm: A parallel group randomized controlled trial. </w:t>
      </w:r>
      <w:r>
        <w:rPr>
          <w:rFonts w:ascii="Arial" w:eastAsia="Arial" w:hAnsi="Arial" w:cs="Arial"/>
          <w:i/>
        </w:rPr>
        <w:t>The Journal of Prosthetic Dentistry</w:t>
      </w:r>
      <w:r>
        <w:rPr>
          <w:rFonts w:ascii="Arial" w:eastAsia="Arial" w:hAnsi="Arial" w:cs="Arial"/>
        </w:rPr>
        <w:t xml:space="preserve">, 124(6), 690–698. </w:t>
      </w:r>
      <w:hyperlink r:id="rId17">
        <w:r w:rsidR="00F773C7">
          <w:rPr>
            <w:rFonts w:ascii="Arial" w:eastAsia="Arial" w:hAnsi="Arial" w:cs="Arial"/>
            <w:color w:val="1155CC"/>
            <w:u w:val="single"/>
          </w:rPr>
          <w:t>https://doi.org/10.1016/j.prosdent.2019.09.024</w:t>
        </w:r>
      </w:hyperlink>
      <w:r>
        <w:rPr>
          <w:rFonts w:ascii="Arial" w:eastAsia="Arial" w:hAnsi="Arial" w:cs="Arial"/>
        </w:rPr>
        <w:t xml:space="preserve"> </w:t>
      </w:r>
    </w:p>
    <w:p w14:paraId="19E648B7" w14:textId="77777777" w:rsidR="00F773C7" w:rsidRDefault="00F773C7">
      <w:pPr>
        <w:pBdr>
          <w:top w:val="nil"/>
          <w:left w:val="nil"/>
          <w:bottom w:val="nil"/>
          <w:right w:val="nil"/>
          <w:between w:val="nil"/>
        </w:pBdr>
        <w:jc w:val="both"/>
        <w:rPr>
          <w:rFonts w:ascii="Arial" w:eastAsia="Arial" w:hAnsi="Arial" w:cs="Arial"/>
        </w:rPr>
      </w:pPr>
    </w:p>
    <w:p w14:paraId="32806195"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Badaró, M. M., Prates, T. P</w:t>
      </w:r>
      <w:r>
        <w:rPr>
          <w:rFonts w:ascii="Arial" w:eastAsia="Arial" w:hAnsi="Arial" w:cs="Arial"/>
        </w:rPr>
        <w:t xml:space="preserve">., Leite-Fernandes, V. M. F., Oliveira, V. C., Paranhos, H. F. O., &amp; Silva-Lovato, C. H. (2019). In Vitro Evaluation of Resilient Liner after Brushing with Conventional and Experimental Ricinus communis-Based Dentifrices. </w:t>
      </w:r>
      <w:r>
        <w:rPr>
          <w:rFonts w:ascii="Arial" w:eastAsia="Arial" w:hAnsi="Arial" w:cs="Arial"/>
          <w:i/>
        </w:rPr>
        <w:t>Journal of Prosthodontics</w:t>
      </w:r>
      <w:r>
        <w:rPr>
          <w:rFonts w:ascii="Arial" w:eastAsia="Arial" w:hAnsi="Arial" w:cs="Arial"/>
        </w:rPr>
        <w:t xml:space="preserve">, 28(2), </w:t>
      </w:r>
      <w:r>
        <w:rPr>
          <w:rFonts w:ascii="Arial" w:eastAsia="Arial" w:hAnsi="Arial" w:cs="Arial"/>
        </w:rPr>
        <w:t xml:space="preserve">857–862. </w:t>
      </w:r>
      <w:hyperlink r:id="rId18">
        <w:r w:rsidR="00F773C7">
          <w:rPr>
            <w:rFonts w:ascii="Arial" w:eastAsia="Arial" w:hAnsi="Arial" w:cs="Arial"/>
            <w:color w:val="1155CC"/>
            <w:u w:val="single"/>
          </w:rPr>
          <w:t>https://doi.org/10.1111/jopr.12680</w:t>
        </w:r>
      </w:hyperlink>
    </w:p>
    <w:p w14:paraId="022C6773" w14:textId="77777777" w:rsidR="00F773C7" w:rsidRDefault="00F773C7">
      <w:pPr>
        <w:pBdr>
          <w:top w:val="nil"/>
          <w:left w:val="nil"/>
          <w:bottom w:val="nil"/>
          <w:right w:val="nil"/>
          <w:between w:val="nil"/>
        </w:pBdr>
        <w:jc w:val="both"/>
        <w:rPr>
          <w:rFonts w:ascii="Arial" w:eastAsia="Arial" w:hAnsi="Arial" w:cs="Arial"/>
        </w:rPr>
      </w:pPr>
    </w:p>
    <w:p w14:paraId="7C8963D7" w14:textId="77777777" w:rsidR="00F773C7" w:rsidRDefault="00AD7B73">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Bajunaid</w:t>
      </w:r>
      <w:proofErr w:type="spellEnd"/>
      <w:r>
        <w:rPr>
          <w:rFonts w:ascii="Arial" w:eastAsia="Arial" w:hAnsi="Arial" w:cs="Arial"/>
        </w:rPr>
        <w:t>, S. O., Baras, B. H., Weir, M. D., &amp; Xu, H. H. K. (2022). Denture Acrylic Resin Material with Antibacterial and Protein-Repelling Properties for the</w:t>
      </w:r>
      <w:r>
        <w:rPr>
          <w:rFonts w:ascii="Arial" w:eastAsia="Arial" w:hAnsi="Arial" w:cs="Arial"/>
        </w:rPr>
        <w:t xml:space="preserve"> Prevention of Denture Stomatitis. </w:t>
      </w:r>
      <w:r>
        <w:rPr>
          <w:rFonts w:ascii="Arial" w:eastAsia="Arial" w:hAnsi="Arial" w:cs="Arial"/>
          <w:i/>
        </w:rPr>
        <w:t>Polymers</w:t>
      </w:r>
      <w:r>
        <w:rPr>
          <w:rFonts w:ascii="Arial" w:eastAsia="Arial" w:hAnsi="Arial" w:cs="Arial"/>
        </w:rPr>
        <w:t xml:space="preserve">, 14(2), e230. </w:t>
      </w:r>
      <w:hyperlink r:id="rId19">
        <w:r w:rsidR="00F773C7">
          <w:rPr>
            <w:rFonts w:ascii="Arial" w:eastAsia="Arial" w:hAnsi="Arial" w:cs="Arial"/>
            <w:color w:val="1155CC"/>
            <w:u w:val="single"/>
          </w:rPr>
          <w:t>https://doi.org/10.3390/polym14020230</w:t>
        </w:r>
      </w:hyperlink>
    </w:p>
    <w:p w14:paraId="3DC830BC" w14:textId="77777777" w:rsidR="00F773C7" w:rsidRDefault="00F773C7">
      <w:pPr>
        <w:pBdr>
          <w:top w:val="nil"/>
          <w:left w:val="nil"/>
          <w:bottom w:val="nil"/>
          <w:right w:val="nil"/>
          <w:between w:val="nil"/>
        </w:pBdr>
        <w:jc w:val="both"/>
        <w:rPr>
          <w:rFonts w:ascii="Arial" w:eastAsia="Arial" w:hAnsi="Arial" w:cs="Arial"/>
        </w:rPr>
      </w:pPr>
    </w:p>
    <w:p w14:paraId="44026FFE"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‌Barreto, J. O., Bruna, F., Fonseca, C., Sampaio, L. S., Silva, C. R. &amp; Andrade-Neto, J. B. et al. (2021). Microbiological evaluation of an experimental denture cleanser containing essential oil of </w:t>
      </w:r>
      <w:proofErr w:type="spellStart"/>
      <w:r>
        <w:rPr>
          <w:rFonts w:ascii="Arial" w:eastAsia="Arial" w:hAnsi="Arial" w:cs="Arial"/>
        </w:rPr>
        <w:t>Lippia</w:t>
      </w:r>
      <w:proofErr w:type="spellEnd"/>
      <w:r>
        <w:rPr>
          <w:rFonts w:ascii="Arial" w:eastAsia="Arial" w:hAnsi="Arial" w:cs="Arial"/>
        </w:rPr>
        <w:t xml:space="preserve"> </w:t>
      </w:r>
      <w:proofErr w:type="spellStart"/>
      <w:r>
        <w:rPr>
          <w:rFonts w:ascii="Arial" w:eastAsia="Arial" w:hAnsi="Arial" w:cs="Arial"/>
        </w:rPr>
        <w:t>sidoides</w:t>
      </w:r>
      <w:proofErr w:type="spellEnd"/>
      <w:r>
        <w:rPr>
          <w:rFonts w:ascii="Arial" w:eastAsia="Arial" w:hAnsi="Arial" w:cs="Arial"/>
        </w:rPr>
        <w:t xml:space="preserve">. </w:t>
      </w:r>
      <w:r>
        <w:rPr>
          <w:rFonts w:ascii="Arial" w:eastAsia="Arial" w:hAnsi="Arial" w:cs="Arial"/>
          <w:i/>
        </w:rPr>
        <w:t>Biofouling</w:t>
      </w:r>
      <w:r>
        <w:rPr>
          <w:rFonts w:ascii="Arial" w:eastAsia="Arial" w:hAnsi="Arial" w:cs="Arial"/>
        </w:rPr>
        <w:t xml:space="preserve">, 37(1), 117–130. </w:t>
      </w:r>
      <w:hyperlink r:id="rId20">
        <w:r w:rsidR="00F773C7">
          <w:rPr>
            <w:rFonts w:ascii="Arial" w:eastAsia="Arial" w:hAnsi="Arial" w:cs="Arial"/>
            <w:color w:val="1155CC"/>
            <w:u w:val="single"/>
          </w:rPr>
          <w:t>https://doi.org/10.1080/08927014.2021.1885649</w:t>
        </w:r>
      </w:hyperlink>
    </w:p>
    <w:p w14:paraId="2C8F38FE" w14:textId="77777777" w:rsidR="00F773C7" w:rsidRDefault="00F773C7">
      <w:pPr>
        <w:pBdr>
          <w:top w:val="nil"/>
          <w:left w:val="nil"/>
          <w:bottom w:val="nil"/>
          <w:right w:val="nil"/>
          <w:between w:val="nil"/>
        </w:pBdr>
        <w:jc w:val="both"/>
        <w:rPr>
          <w:rFonts w:ascii="Arial" w:eastAsia="Arial" w:hAnsi="Arial" w:cs="Arial"/>
        </w:rPr>
      </w:pPr>
    </w:p>
    <w:p w14:paraId="0D8A3A53"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‌Bianchi, C. M. P. C., Bianchi, H. A., Tadano, T., Paula, C. R., Hoffmann-Santos, H. D., Leite-Jr, D. P. et al. (2016). Factors related to oral candidiasis i</w:t>
      </w:r>
      <w:r>
        <w:rPr>
          <w:rFonts w:ascii="Arial" w:eastAsia="Arial" w:hAnsi="Arial" w:cs="Arial"/>
        </w:rPr>
        <w:t xml:space="preserve">n elderly users and non-users of removable dental prostheses. </w:t>
      </w:r>
      <w:proofErr w:type="spellStart"/>
      <w:r>
        <w:rPr>
          <w:rFonts w:ascii="Arial" w:eastAsia="Arial" w:hAnsi="Arial" w:cs="Arial"/>
          <w:i/>
        </w:rPr>
        <w:t>Revista</w:t>
      </w:r>
      <w:proofErr w:type="spellEnd"/>
      <w:r>
        <w:rPr>
          <w:rFonts w:ascii="Arial" w:eastAsia="Arial" w:hAnsi="Arial" w:cs="Arial"/>
          <w:i/>
        </w:rPr>
        <w:t xml:space="preserve"> do Instituto de Medicina Tropical de São Paulo</w:t>
      </w:r>
      <w:r>
        <w:rPr>
          <w:rFonts w:ascii="Arial" w:eastAsia="Arial" w:hAnsi="Arial" w:cs="Arial"/>
        </w:rPr>
        <w:t xml:space="preserve">, 58(17). </w:t>
      </w:r>
      <w:hyperlink r:id="rId21">
        <w:r w:rsidR="00F773C7">
          <w:rPr>
            <w:rFonts w:ascii="Arial" w:eastAsia="Arial" w:hAnsi="Arial" w:cs="Arial"/>
            <w:color w:val="1155CC"/>
            <w:u w:val="single"/>
          </w:rPr>
          <w:t>https://doi.org/10.1590/S1678-9946201658017</w:t>
        </w:r>
      </w:hyperlink>
    </w:p>
    <w:p w14:paraId="0AEC31A9" w14:textId="77777777" w:rsidR="00F773C7" w:rsidRDefault="00F773C7">
      <w:pPr>
        <w:pBdr>
          <w:top w:val="nil"/>
          <w:left w:val="nil"/>
          <w:bottom w:val="nil"/>
          <w:right w:val="nil"/>
          <w:between w:val="nil"/>
        </w:pBdr>
        <w:jc w:val="both"/>
        <w:rPr>
          <w:rFonts w:ascii="Arial" w:eastAsia="Arial" w:hAnsi="Arial" w:cs="Arial"/>
        </w:rPr>
      </w:pPr>
    </w:p>
    <w:p w14:paraId="2239DA0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Campos, D. E. S., Ferr</w:t>
      </w:r>
      <w:r>
        <w:rPr>
          <w:rFonts w:ascii="Arial" w:eastAsia="Arial" w:hAnsi="Arial" w:cs="Arial"/>
        </w:rPr>
        <w:t xml:space="preserve">eira-Muniz, Í. A., Costa, T. K. V. L., Lima, R. B. W., </w:t>
      </w:r>
      <w:proofErr w:type="spellStart"/>
      <w:r>
        <w:rPr>
          <w:rFonts w:ascii="Arial" w:eastAsia="Arial" w:hAnsi="Arial" w:cs="Arial"/>
        </w:rPr>
        <w:t>Neppelenbroek</w:t>
      </w:r>
      <w:proofErr w:type="spellEnd"/>
      <w:r>
        <w:rPr>
          <w:rFonts w:ascii="Arial" w:eastAsia="Arial" w:hAnsi="Arial" w:cs="Arial"/>
        </w:rPr>
        <w:t>, K. H., &amp; Batista, A. U. D. (2023). Effect of simulated brushing with dentifrices on surface roughness and the mass loss of acrylic resin: A systematic review and meta-analysis of in vitr</w:t>
      </w:r>
      <w:r>
        <w:rPr>
          <w:rFonts w:ascii="Arial" w:eastAsia="Arial" w:hAnsi="Arial" w:cs="Arial"/>
        </w:rPr>
        <w:t xml:space="preserve">o studies. </w:t>
      </w:r>
      <w:r>
        <w:rPr>
          <w:rFonts w:ascii="Arial" w:eastAsia="Arial" w:hAnsi="Arial" w:cs="Arial"/>
          <w:i/>
        </w:rPr>
        <w:t>The Journal of Prosthetic Dentistry</w:t>
      </w:r>
      <w:r>
        <w:rPr>
          <w:rFonts w:ascii="Arial" w:eastAsia="Arial" w:hAnsi="Arial" w:cs="Arial"/>
        </w:rPr>
        <w:t xml:space="preserve">, 133(5), 1209–1220. </w:t>
      </w:r>
      <w:hyperlink r:id="rId22">
        <w:r w:rsidR="00F773C7">
          <w:rPr>
            <w:rFonts w:ascii="Arial" w:eastAsia="Arial" w:hAnsi="Arial" w:cs="Arial"/>
            <w:color w:val="1155CC"/>
            <w:u w:val="single"/>
          </w:rPr>
          <w:t>https://doi.org/10.1016/j.prosdent.2023.06.027</w:t>
        </w:r>
      </w:hyperlink>
    </w:p>
    <w:p w14:paraId="206D9915" w14:textId="77777777" w:rsidR="00F773C7" w:rsidRDefault="00F773C7">
      <w:pPr>
        <w:pBdr>
          <w:top w:val="nil"/>
          <w:left w:val="nil"/>
          <w:bottom w:val="nil"/>
          <w:right w:val="nil"/>
          <w:between w:val="nil"/>
        </w:pBdr>
        <w:jc w:val="both"/>
        <w:rPr>
          <w:rFonts w:ascii="Arial" w:eastAsia="Arial" w:hAnsi="Arial" w:cs="Arial"/>
        </w:rPr>
      </w:pPr>
    </w:p>
    <w:p w14:paraId="27967500"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‌Carvalho-Neto, G. L., Diniz, T. C., Barreto, J. O., </w:t>
      </w:r>
      <w:proofErr w:type="spellStart"/>
      <w:r>
        <w:rPr>
          <w:rFonts w:ascii="Arial" w:eastAsia="Arial" w:hAnsi="Arial" w:cs="Arial"/>
        </w:rPr>
        <w:t>Valadas</w:t>
      </w:r>
      <w:proofErr w:type="spellEnd"/>
      <w:r>
        <w:rPr>
          <w:rFonts w:ascii="Arial" w:eastAsia="Arial" w:hAnsi="Arial" w:cs="Arial"/>
        </w:rPr>
        <w:t>, L. A. R., Rod</w:t>
      </w:r>
      <w:r>
        <w:rPr>
          <w:rFonts w:ascii="Arial" w:eastAsia="Arial" w:hAnsi="Arial" w:cs="Arial"/>
        </w:rPr>
        <w:t xml:space="preserve">rigues-Neto, E. M., &amp; Fiallos, N. M. et al. (2021). Mechanical brushing effects in vitro of a dentifrice </w:t>
      </w:r>
      <w:proofErr w:type="spellStart"/>
      <w:r>
        <w:rPr>
          <w:rFonts w:ascii="Arial" w:eastAsia="Arial" w:hAnsi="Arial" w:cs="Arial"/>
        </w:rPr>
        <w:t>containg</w:t>
      </w:r>
      <w:proofErr w:type="spellEnd"/>
      <w:r>
        <w:rPr>
          <w:rFonts w:ascii="Arial" w:eastAsia="Arial" w:hAnsi="Arial" w:cs="Arial"/>
        </w:rPr>
        <w:t xml:space="preserve"> </w:t>
      </w:r>
      <w:proofErr w:type="spellStart"/>
      <w:r>
        <w:rPr>
          <w:rFonts w:ascii="Arial" w:eastAsia="Arial" w:hAnsi="Arial" w:cs="Arial"/>
          <w:i/>
        </w:rPr>
        <w:t>Punica</w:t>
      </w:r>
      <w:proofErr w:type="spellEnd"/>
      <w:r>
        <w:rPr>
          <w:rFonts w:ascii="Arial" w:eastAsia="Arial" w:hAnsi="Arial" w:cs="Arial"/>
          <w:i/>
        </w:rPr>
        <w:t xml:space="preserve"> </w:t>
      </w:r>
      <w:proofErr w:type="spellStart"/>
      <w:r>
        <w:rPr>
          <w:rFonts w:ascii="Arial" w:eastAsia="Arial" w:hAnsi="Arial" w:cs="Arial"/>
          <w:i/>
        </w:rPr>
        <w:t>granatum</w:t>
      </w:r>
      <w:proofErr w:type="spellEnd"/>
      <w:r>
        <w:rPr>
          <w:rFonts w:ascii="Arial" w:eastAsia="Arial" w:hAnsi="Arial" w:cs="Arial"/>
        </w:rPr>
        <w:t xml:space="preserve"> </w:t>
      </w:r>
      <w:proofErr w:type="spellStart"/>
      <w:r>
        <w:rPr>
          <w:rFonts w:ascii="Arial" w:eastAsia="Arial" w:hAnsi="Arial" w:cs="Arial"/>
        </w:rPr>
        <w:t>linné</w:t>
      </w:r>
      <w:proofErr w:type="spellEnd"/>
      <w:r>
        <w:rPr>
          <w:rFonts w:ascii="Arial" w:eastAsia="Arial" w:hAnsi="Arial" w:cs="Arial"/>
        </w:rPr>
        <w:t xml:space="preserve">. </w:t>
      </w:r>
      <w:r>
        <w:rPr>
          <w:rFonts w:ascii="Arial" w:eastAsia="Arial" w:hAnsi="Arial" w:cs="Arial"/>
          <w:i/>
        </w:rPr>
        <w:t>Journal of Young Pharmacists</w:t>
      </w:r>
      <w:r>
        <w:rPr>
          <w:rFonts w:ascii="Arial" w:eastAsia="Arial" w:hAnsi="Arial" w:cs="Arial"/>
        </w:rPr>
        <w:t xml:space="preserve">, 13(1), 54-57. </w:t>
      </w:r>
      <w:hyperlink r:id="rId23">
        <w:r w:rsidR="00F773C7">
          <w:rPr>
            <w:rFonts w:ascii="Arial" w:eastAsia="Arial" w:hAnsi="Arial" w:cs="Arial"/>
            <w:color w:val="1155CC"/>
            <w:u w:val="single"/>
          </w:rPr>
          <w:t>https://dx.doi.org/10.5530/jyp.2021.13.12</w:t>
        </w:r>
      </w:hyperlink>
    </w:p>
    <w:p w14:paraId="52134795" w14:textId="77777777" w:rsidR="00F773C7" w:rsidRDefault="00F773C7">
      <w:pPr>
        <w:pBdr>
          <w:top w:val="nil"/>
          <w:left w:val="nil"/>
          <w:bottom w:val="nil"/>
          <w:right w:val="nil"/>
          <w:between w:val="nil"/>
        </w:pBdr>
        <w:jc w:val="both"/>
        <w:rPr>
          <w:rFonts w:ascii="Arial" w:eastAsia="Arial" w:hAnsi="Arial" w:cs="Arial"/>
        </w:rPr>
      </w:pPr>
    </w:p>
    <w:p w14:paraId="48ADFD0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Costa, B., Neves, C. B., Roque, J. C., Anes, V., &amp; Santos, V. (2025). Influence of Food Pigments and Thermal Aging on the Color Stability of Denture Base Resins. </w:t>
      </w:r>
      <w:r>
        <w:rPr>
          <w:rFonts w:ascii="Arial" w:eastAsia="Arial" w:hAnsi="Arial" w:cs="Arial"/>
          <w:i/>
        </w:rPr>
        <w:t>Applied Sciences</w:t>
      </w:r>
      <w:r>
        <w:rPr>
          <w:rFonts w:ascii="Arial" w:eastAsia="Arial" w:hAnsi="Arial" w:cs="Arial"/>
        </w:rPr>
        <w:t xml:space="preserve">, 15(3), 1503–1503. </w:t>
      </w:r>
      <w:hyperlink r:id="rId24">
        <w:r w:rsidR="00F773C7">
          <w:rPr>
            <w:rFonts w:ascii="Arial" w:eastAsia="Arial" w:hAnsi="Arial" w:cs="Arial"/>
            <w:color w:val="1155CC"/>
            <w:u w:val="single"/>
          </w:rPr>
          <w:t>https://doi.org/10.3390/app15031503</w:t>
        </w:r>
      </w:hyperlink>
      <w:r>
        <w:rPr>
          <w:rFonts w:ascii="Arial" w:eastAsia="Arial" w:hAnsi="Arial" w:cs="Arial"/>
        </w:rPr>
        <w:t xml:space="preserve"> </w:t>
      </w:r>
    </w:p>
    <w:p w14:paraId="55D04CC8" w14:textId="77777777" w:rsidR="00F773C7" w:rsidRDefault="00F773C7">
      <w:pPr>
        <w:pBdr>
          <w:top w:val="nil"/>
          <w:left w:val="nil"/>
          <w:bottom w:val="nil"/>
          <w:right w:val="nil"/>
          <w:between w:val="nil"/>
        </w:pBdr>
        <w:jc w:val="both"/>
        <w:rPr>
          <w:rFonts w:ascii="Arial" w:eastAsia="Arial" w:hAnsi="Arial" w:cs="Arial"/>
        </w:rPr>
      </w:pPr>
    </w:p>
    <w:p w14:paraId="331E75B1"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Felton, D., Cooper, L., </w:t>
      </w:r>
      <w:proofErr w:type="spellStart"/>
      <w:r>
        <w:rPr>
          <w:rFonts w:ascii="Arial" w:eastAsia="Arial" w:hAnsi="Arial" w:cs="Arial"/>
        </w:rPr>
        <w:t>Duqum</w:t>
      </w:r>
      <w:proofErr w:type="spellEnd"/>
      <w:r>
        <w:rPr>
          <w:rFonts w:ascii="Arial" w:eastAsia="Arial" w:hAnsi="Arial" w:cs="Arial"/>
        </w:rPr>
        <w:t xml:space="preserve">, I., </w:t>
      </w:r>
      <w:proofErr w:type="spellStart"/>
      <w:r>
        <w:rPr>
          <w:rFonts w:ascii="Arial" w:eastAsia="Arial" w:hAnsi="Arial" w:cs="Arial"/>
        </w:rPr>
        <w:t>Minsley</w:t>
      </w:r>
      <w:proofErr w:type="spellEnd"/>
      <w:r>
        <w:rPr>
          <w:rFonts w:ascii="Arial" w:eastAsia="Arial" w:hAnsi="Arial" w:cs="Arial"/>
        </w:rPr>
        <w:t>, G., Guckes, A. &amp; Haug, S. et al. (2011). Evidence-based guidelines for the care and maintenance of complete dentures: a p</w:t>
      </w:r>
      <w:r>
        <w:rPr>
          <w:rFonts w:ascii="Arial" w:eastAsia="Arial" w:hAnsi="Arial" w:cs="Arial"/>
        </w:rPr>
        <w:t xml:space="preserve">ublication of the American College of Prosthodontists. </w:t>
      </w:r>
      <w:r>
        <w:rPr>
          <w:rFonts w:ascii="Arial" w:eastAsia="Arial" w:hAnsi="Arial" w:cs="Arial"/>
          <w:i/>
        </w:rPr>
        <w:t>Journal of Prosthodontics</w:t>
      </w:r>
      <w:r>
        <w:rPr>
          <w:rFonts w:ascii="Arial" w:eastAsia="Arial" w:hAnsi="Arial" w:cs="Arial"/>
        </w:rPr>
        <w:t xml:space="preserve">, 20(1), 1–12. </w:t>
      </w:r>
      <w:hyperlink r:id="rId25">
        <w:r w:rsidR="00F773C7">
          <w:rPr>
            <w:rFonts w:ascii="Arial" w:eastAsia="Arial" w:hAnsi="Arial" w:cs="Arial"/>
            <w:color w:val="1155CC"/>
            <w:u w:val="single"/>
          </w:rPr>
          <w:t>https://doi.org/10.1111/j.1532-849X.2010.00683.x</w:t>
        </w:r>
      </w:hyperlink>
    </w:p>
    <w:p w14:paraId="3295C365" w14:textId="77777777" w:rsidR="00F773C7" w:rsidRDefault="00F773C7">
      <w:pPr>
        <w:pBdr>
          <w:top w:val="nil"/>
          <w:left w:val="nil"/>
          <w:bottom w:val="nil"/>
          <w:right w:val="nil"/>
          <w:between w:val="nil"/>
        </w:pBdr>
        <w:jc w:val="both"/>
        <w:rPr>
          <w:rFonts w:ascii="Arial" w:eastAsia="Arial" w:hAnsi="Arial" w:cs="Arial"/>
        </w:rPr>
      </w:pPr>
    </w:p>
    <w:p w14:paraId="3675C718"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Fouda, S. M., Gad, M. M., </w:t>
      </w:r>
      <w:proofErr w:type="spellStart"/>
      <w:r>
        <w:rPr>
          <w:rFonts w:ascii="Arial" w:eastAsia="Arial" w:hAnsi="Arial" w:cs="Arial"/>
        </w:rPr>
        <w:t>Ellakany</w:t>
      </w:r>
      <w:proofErr w:type="spellEnd"/>
      <w:r>
        <w:rPr>
          <w:rFonts w:ascii="Arial" w:eastAsia="Arial" w:hAnsi="Arial" w:cs="Arial"/>
        </w:rPr>
        <w:t xml:space="preserve">, P., El </w:t>
      </w:r>
      <w:r>
        <w:rPr>
          <w:rFonts w:ascii="Arial" w:eastAsia="Arial" w:hAnsi="Arial" w:cs="Arial"/>
        </w:rPr>
        <w:t xml:space="preserve">Zayat, M., Farooqi, F. A. &amp; Akhtar, S. et al. (2025). Influence of denture brushing on the surface properties and color stability of CAD-CAM, thermoformed, and conventionally fabricated denture base resins. </w:t>
      </w:r>
      <w:r>
        <w:rPr>
          <w:rFonts w:ascii="Arial" w:eastAsia="Arial" w:hAnsi="Arial" w:cs="Arial"/>
          <w:i/>
        </w:rPr>
        <w:t>Journal of Prosthodontics</w:t>
      </w:r>
      <w:r>
        <w:rPr>
          <w:rFonts w:ascii="Arial" w:eastAsia="Arial" w:hAnsi="Arial" w:cs="Arial"/>
        </w:rPr>
        <w:t xml:space="preserve">, 34(1), 91–100. </w:t>
      </w:r>
      <w:hyperlink r:id="rId26">
        <w:r w:rsidR="00F773C7">
          <w:rPr>
            <w:rFonts w:ascii="Arial" w:eastAsia="Arial" w:hAnsi="Arial" w:cs="Arial"/>
            <w:color w:val="1155CC"/>
            <w:u w:val="single"/>
          </w:rPr>
          <w:t>https://doi.org/10.1111/jopr.13801</w:t>
        </w:r>
      </w:hyperlink>
      <w:r>
        <w:rPr>
          <w:rFonts w:ascii="Arial" w:eastAsia="Arial" w:hAnsi="Arial" w:cs="Arial"/>
        </w:rPr>
        <w:t xml:space="preserve"> </w:t>
      </w:r>
    </w:p>
    <w:p w14:paraId="5F63AF8B" w14:textId="77777777" w:rsidR="00F773C7" w:rsidRDefault="00F773C7">
      <w:pPr>
        <w:pBdr>
          <w:top w:val="nil"/>
          <w:left w:val="nil"/>
          <w:bottom w:val="nil"/>
          <w:right w:val="nil"/>
          <w:between w:val="nil"/>
        </w:pBdr>
        <w:jc w:val="both"/>
        <w:rPr>
          <w:rFonts w:ascii="Arial" w:eastAsia="Arial" w:hAnsi="Arial" w:cs="Arial"/>
        </w:rPr>
      </w:pPr>
    </w:p>
    <w:p w14:paraId="0E5260CF"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Freire, J. C. P., Ribeiro, E. D., Batista, A. U. D., Pereira, J. V., &amp; Lima, E. O. (2018). </w:t>
      </w:r>
      <w:proofErr w:type="spellStart"/>
      <w:r>
        <w:rPr>
          <w:rFonts w:ascii="Arial" w:eastAsia="Arial" w:hAnsi="Arial" w:cs="Arial"/>
        </w:rPr>
        <w:t>Presença</w:t>
      </w:r>
      <w:proofErr w:type="spellEnd"/>
      <w:r>
        <w:rPr>
          <w:rFonts w:ascii="Arial" w:eastAsia="Arial" w:hAnsi="Arial" w:cs="Arial"/>
        </w:rPr>
        <w:t xml:space="preserve"> de Candida spp.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usuários</w:t>
      </w:r>
      <w:proofErr w:type="spellEnd"/>
      <w:r>
        <w:rPr>
          <w:rFonts w:ascii="Arial" w:eastAsia="Arial" w:hAnsi="Arial" w:cs="Arial"/>
        </w:rPr>
        <w:t xml:space="preserve"> de </w:t>
      </w:r>
      <w:proofErr w:type="spellStart"/>
      <w:r>
        <w:rPr>
          <w:rFonts w:ascii="Arial" w:eastAsia="Arial" w:hAnsi="Arial" w:cs="Arial"/>
        </w:rPr>
        <w:t>próteses</w:t>
      </w:r>
      <w:proofErr w:type="spellEnd"/>
      <w:r>
        <w:rPr>
          <w:rFonts w:ascii="Arial" w:eastAsia="Arial" w:hAnsi="Arial" w:cs="Arial"/>
        </w:rPr>
        <w:t xml:space="preserve"> </w:t>
      </w:r>
      <w:proofErr w:type="spellStart"/>
      <w:r>
        <w:rPr>
          <w:rFonts w:ascii="Arial" w:eastAsia="Arial" w:hAnsi="Arial" w:cs="Arial"/>
        </w:rPr>
        <w:t>dentárias</w:t>
      </w:r>
      <w:proofErr w:type="spellEnd"/>
      <w:r>
        <w:rPr>
          <w:rFonts w:ascii="Arial" w:eastAsia="Arial" w:hAnsi="Arial" w:cs="Arial"/>
        </w:rPr>
        <w:t xml:space="preserve"> </w:t>
      </w:r>
      <w:proofErr w:type="spellStart"/>
      <w:r>
        <w:rPr>
          <w:rFonts w:ascii="Arial" w:eastAsia="Arial" w:hAnsi="Arial" w:cs="Arial"/>
        </w:rPr>
        <w:t>removíveis</w:t>
      </w:r>
      <w:proofErr w:type="spellEnd"/>
      <w:r>
        <w:rPr>
          <w:rFonts w:ascii="Arial" w:eastAsia="Arial" w:hAnsi="Arial" w:cs="Arial"/>
        </w:rPr>
        <w:t xml:space="preserve">. </w:t>
      </w:r>
      <w:proofErr w:type="spellStart"/>
      <w:r>
        <w:rPr>
          <w:rFonts w:ascii="Arial" w:eastAsia="Arial" w:hAnsi="Arial" w:cs="Arial"/>
          <w:i/>
        </w:rPr>
        <w:t>Revista</w:t>
      </w:r>
      <w:proofErr w:type="spellEnd"/>
      <w:r>
        <w:rPr>
          <w:rFonts w:ascii="Arial" w:eastAsia="Arial" w:hAnsi="Arial" w:cs="Arial"/>
          <w:i/>
        </w:rPr>
        <w:t xml:space="preserve"> </w:t>
      </w:r>
      <w:proofErr w:type="spellStart"/>
      <w:r>
        <w:rPr>
          <w:rFonts w:ascii="Arial" w:eastAsia="Arial" w:hAnsi="Arial" w:cs="Arial"/>
          <w:i/>
        </w:rPr>
        <w:t>Cu</w:t>
      </w:r>
      <w:r>
        <w:rPr>
          <w:rFonts w:ascii="Arial" w:eastAsia="Arial" w:hAnsi="Arial" w:cs="Arial"/>
          <w:i/>
        </w:rPr>
        <w:t>bana</w:t>
      </w:r>
      <w:proofErr w:type="spellEnd"/>
      <w:r>
        <w:rPr>
          <w:rFonts w:ascii="Arial" w:eastAsia="Arial" w:hAnsi="Arial" w:cs="Arial"/>
          <w:i/>
        </w:rPr>
        <w:t xml:space="preserve"> de </w:t>
      </w:r>
      <w:proofErr w:type="spellStart"/>
      <w:r>
        <w:rPr>
          <w:rFonts w:ascii="Arial" w:eastAsia="Arial" w:hAnsi="Arial" w:cs="Arial"/>
          <w:i/>
        </w:rPr>
        <w:t>Estomatología</w:t>
      </w:r>
      <w:proofErr w:type="spellEnd"/>
      <w:r>
        <w:rPr>
          <w:rFonts w:ascii="Arial" w:eastAsia="Arial" w:hAnsi="Arial" w:cs="Arial"/>
        </w:rPr>
        <w:t>, 55(4), 1-</w:t>
      </w:r>
      <w:proofErr w:type="gramStart"/>
      <w:r>
        <w:rPr>
          <w:rFonts w:ascii="Arial" w:eastAsia="Arial" w:hAnsi="Arial" w:cs="Arial"/>
        </w:rPr>
        <w:t>11..</w:t>
      </w:r>
      <w:proofErr w:type="gramEnd"/>
    </w:p>
    <w:p w14:paraId="09589B9A" w14:textId="77777777" w:rsidR="00F773C7" w:rsidRDefault="00F773C7">
      <w:pPr>
        <w:pBdr>
          <w:top w:val="nil"/>
          <w:left w:val="nil"/>
          <w:bottom w:val="nil"/>
          <w:right w:val="nil"/>
          <w:between w:val="nil"/>
        </w:pBdr>
        <w:jc w:val="both"/>
        <w:rPr>
          <w:rFonts w:ascii="Arial" w:eastAsia="Arial" w:hAnsi="Arial" w:cs="Arial"/>
        </w:rPr>
      </w:pPr>
    </w:p>
    <w:p w14:paraId="2756117A"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Freitas-Pontes, K. M., Holanda, J. C., </w:t>
      </w:r>
      <w:proofErr w:type="spellStart"/>
      <w:r>
        <w:rPr>
          <w:rFonts w:ascii="Arial" w:eastAsia="Arial" w:hAnsi="Arial" w:cs="Arial"/>
        </w:rPr>
        <w:t>Fonteles</w:t>
      </w:r>
      <w:proofErr w:type="spellEnd"/>
      <w:r>
        <w:rPr>
          <w:rFonts w:ascii="Arial" w:eastAsia="Arial" w:hAnsi="Arial" w:cs="Arial"/>
        </w:rPr>
        <w:t xml:space="preserve">, C. S. R., Pontes, C. B., Silva, C. H. L., &amp; Paranhos, H. F. O (2016). Effect of toothbrushes and denture brushes on heat-polymerized acrylic resins. </w:t>
      </w:r>
      <w:r>
        <w:rPr>
          <w:rFonts w:ascii="Arial" w:eastAsia="Arial" w:hAnsi="Arial" w:cs="Arial"/>
          <w:i/>
        </w:rPr>
        <w:t>General Dentistry</w:t>
      </w:r>
      <w:r>
        <w:rPr>
          <w:rFonts w:ascii="Arial" w:eastAsia="Arial" w:hAnsi="Arial" w:cs="Arial"/>
        </w:rPr>
        <w:t>, 6</w:t>
      </w:r>
      <w:r>
        <w:rPr>
          <w:rFonts w:ascii="Arial" w:eastAsia="Arial" w:hAnsi="Arial" w:cs="Arial"/>
        </w:rPr>
        <w:t xml:space="preserve">4(1), 49–53. </w:t>
      </w:r>
      <w:hyperlink r:id="rId27">
        <w:r w:rsidR="00F773C7">
          <w:rPr>
            <w:rFonts w:ascii="Arial" w:eastAsia="Arial" w:hAnsi="Arial" w:cs="Arial"/>
            <w:color w:val="1155CC"/>
            <w:u w:val="single"/>
          </w:rPr>
          <w:t>https://pubmed.ncbi.nlm.nih.gov/26742168/</w:t>
        </w:r>
      </w:hyperlink>
    </w:p>
    <w:p w14:paraId="2BE94771" w14:textId="77777777" w:rsidR="00F773C7" w:rsidRDefault="00F773C7">
      <w:pPr>
        <w:pBdr>
          <w:top w:val="nil"/>
          <w:left w:val="nil"/>
          <w:bottom w:val="nil"/>
          <w:right w:val="nil"/>
          <w:between w:val="nil"/>
        </w:pBdr>
        <w:jc w:val="both"/>
        <w:rPr>
          <w:rFonts w:ascii="Arial" w:eastAsia="Arial" w:hAnsi="Arial" w:cs="Arial"/>
        </w:rPr>
      </w:pPr>
    </w:p>
    <w:p w14:paraId="2F6696E3"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‌Freitas-Pontes, K. M., Silva-Lovato, C. H., &amp; Paranhos, H. F. (2009). Mass loss of four commercially available heat-polymerized acrylic re</w:t>
      </w:r>
      <w:r>
        <w:rPr>
          <w:rFonts w:ascii="Arial" w:eastAsia="Arial" w:hAnsi="Arial" w:cs="Arial"/>
        </w:rPr>
        <w:t xml:space="preserve">sins after toothbrushing with three different dentifrices. </w:t>
      </w:r>
      <w:r>
        <w:rPr>
          <w:rFonts w:ascii="Arial" w:eastAsia="Arial" w:hAnsi="Arial" w:cs="Arial"/>
          <w:i/>
        </w:rPr>
        <w:t>Journal of Applied Oral Science</w:t>
      </w:r>
      <w:r>
        <w:rPr>
          <w:rFonts w:ascii="Arial" w:eastAsia="Arial" w:hAnsi="Arial" w:cs="Arial"/>
        </w:rPr>
        <w:t xml:space="preserve">, 17(2), 116–121. </w:t>
      </w:r>
      <w:hyperlink r:id="rId28">
        <w:r w:rsidR="00F773C7">
          <w:rPr>
            <w:rFonts w:ascii="Arial" w:eastAsia="Arial" w:hAnsi="Arial" w:cs="Arial"/>
            <w:color w:val="1155CC"/>
            <w:u w:val="single"/>
          </w:rPr>
          <w:t>https://doi.org/10.1590/s1678-77572009000200009</w:t>
        </w:r>
      </w:hyperlink>
    </w:p>
    <w:p w14:paraId="0DB75E55" w14:textId="77777777" w:rsidR="00F773C7" w:rsidRDefault="00F773C7">
      <w:pPr>
        <w:pBdr>
          <w:top w:val="nil"/>
          <w:left w:val="nil"/>
          <w:bottom w:val="nil"/>
          <w:right w:val="nil"/>
          <w:between w:val="nil"/>
        </w:pBdr>
        <w:jc w:val="both"/>
        <w:rPr>
          <w:rFonts w:ascii="Arial" w:eastAsia="Arial" w:hAnsi="Arial" w:cs="Arial"/>
        </w:rPr>
      </w:pPr>
    </w:p>
    <w:p w14:paraId="4EAA8A8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lastRenderedPageBreak/>
        <w:t>Gad, M. M., &amp; Fouda, S. M. (2020</w:t>
      </w:r>
      <w:r>
        <w:rPr>
          <w:rFonts w:ascii="Arial" w:eastAsia="Arial" w:hAnsi="Arial" w:cs="Arial"/>
        </w:rPr>
        <w:t xml:space="preserve">). Current perspectives and the future of </w:t>
      </w:r>
      <w:r>
        <w:rPr>
          <w:rFonts w:ascii="Arial" w:eastAsia="Arial" w:hAnsi="Arial" w:cs="Arial"/>
          <w:i/>
        </w:rPr>
        <w:t>Candida albicans</w:t>
      </w:r>
      <w:r>
        <w:rPr>
          <w:rFonts w:ascii="Arial" w:eastAsia="Arial" w:hAnsi="Arial" w:cs="Arial"/>
        </w:rPr>
        <w:t xml:space="preserve"> - associated denture stomatitis treatment. </w:t>
      </w:r>
      <w:r>
        <w:rPr>
          <w:rFonts w:ascii="Arial" w:eastAsia="Arial" w:hAnsi="Arial" w:cs="Arial"/>
          <w:i/>
        </w:rPr>
        <w:t>Dental and Medical Problems</w:t>
      </w:r>
      <w:r>
        <w:rPr>
          <w:rFonts w:ascii="Arial" w:eastAsia="Arial" w:hAnsi="Arial" w:cs="Arial"/>
        </w:rPr>
        <w:t xml:space="preserve">, 57(1), 95–102. </w:t>
      </w:r>
      <w:hyperlink r:id="rId29">
        <w:r w:rsidR="00F773C7">
          <w:rPr>
            <w:rFonts w:ascii="Arial" w:eastAsia="Arial" w:hAnsi="Arial" w:cs="Arial"/>
            <w:color w:val="1155CC"/>
            <w:u w:val="single"/>
          </w:rPr>
          <w:t>https://doi.org/10.17219/dmp/112861</w:t>
        </w:r>
      </w:hyperlink>
      <w:r>
        <w:rPr>
          <w:rFonts w:ascii="Arial" w:eastAsia="Arial" w:hAnsi="Arial" w:cs="Arial"/>
        </w:rPr>
        <w:t xml:space="preserve"> </w:t>
      </w:r>
    </w:p>
    <w:p w14:paraId="7F90C729" w14:textId="77777777" w:rsidR="00F773C7" w:rsidRDefault="00F773C7">
      <w:pPr>
        <w:pBdr>
          <w:top w:val="nil"/>
          <w:left w:val="nil"/>
          <w:bottom w:val="nil"/>
          <w:right w:val="nil"/>
          <w:between w:val="nil"/>
        </w:pBdr>
        <w:jc w:val="both"/>
        <w:rPr>
          <w:rFonts w:ascii="Arial" w:eastAsia="Arial" w:hAnsi="Arial" w:cs="Arial"/>
        </w:rPr>
      </w:pPr>
    </w:p>
    <w:p w14:paraId="70356E98"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Gendreau, L., &amp; L</w:t>
      </w:r>
      <w:r>
        <w:rPr>
          <w:rFonts w:ascii="Arial" w:eastAsia="Arial" w:hAnsi="Arial" w:cs="Arial"/>
        </w:rPr>
        <w:t xml:space="preserve">oewy, Z. G. (2011). Epidemiology and Etiology of Denture Stomatitis. </w:t>
      </w:r>
      <w:r>
        <w:rPr>
          <w:rFonts w:ascii="Arial" w:eastAsia="Arial" w:hAnsi="Arial" w:cs="Arial"/>
          <w:i/>
        </w:rPr>
        <w:t>Journal of Prosthodontics</w:t>
      </w:r>
      <w:r>
        <w:rPr>
          <w:rFonts w:ascii="Arial" w:eastAsia="Arial" w:hAnsi="Arial" w:cs="Arial"/>
        </w:rPr>
        <w:t xml:space="preserve">, 20(4), 251–260. </w:t>
      </w:r>
      <w:hyperlink r:id="rId30">
        <w:r w:rsidR="00F773C7">
          <w:rPr>
            <w:rFonts w:ascii="Arial" w:eastAsia="Arial" w:hAnsi="Arial" w:cs="Arial"/>
            <w:color w:val="1155CC"/>
            <w:u w:val="single"/>
          </w:rPr>
          <w:t>https://doi.org/10.1111/j.1532-849x.2011.00698.x</w:t>
        </w:r>
      </w:hyperlink>
    </w:p>
    <w:p w14:paraId="4CE0C36A" w14:textId="77777777" w:rsidR="00F773C7" w:rsidRDefault="00F773C7">
      <w:pPr>
        <w:pBdr>
          <w:top w:val="nil"/>
          <w:left w:val="nil"/>
          <w:bottom w:val="nil"/>
          <w:right w:val="nil"/>
          <w:between w:val="nil"/>
        </w:pBdr>
        <w:jc w:val="both"/>
        <w:rPr>
          <w:rFonts w:ascii="Arial" w:eastAsia="Arial" w:hAnsi="Arial" w:cs="Arial"/>
        </w:rPr>
      </w:pPr>
    </w:p>
    <w:p w14:paraId="65B59FA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‌Hilgert, J. B., Giordani, J. M. A., Souza, R. F., Wendland, E. M. D. R., D’Avila, O. P., &amp; Hugo, F. N. (2016). Interventions for the Management of Denture Stomatitis: A Systematic Review and Meta-Analysis. </w:t>
      </w:r>
      <w:r>
        <w:rPr>
          <w:rFonts w:ascii="Arial" w:eastAsia="Arial" w:hAnsi="Arial" w:cs="Arial"/>
          <w:i/>
        </w:rPr>
        <w:t>Journal of the American Geriatrics Society</w:t>
      </w:r>
      <w:r>
        <w:rPr>
          <w:rFonts w:ascii="Arial" w:eastAsia="Arial" w:hAnsi="Arial" w:cs="Arial"/>
        </w:rPr>
        <w:t>, 64(12</w:t>
      </w:r>
      <w:r>
        <w:rPr>
          <w:rFonts w:ascii="Arial" w:eastAsia="Arial" w:hAnsi="Arial" w:cs="Arial"/>
        </w:rPr>
        <w:t xml:space="preserve">), 2539–2545. </w:t>
      </w:r>
      <w:hyperlink r:id="rId31">
        <w:r w:rsidR="00F773C7">
          <w:rPr>
            <w:rFonts w:ascii="Arial" w:eastAsia="Arial" w:hAnsi="Arial" w:cs="Arial"/>
            <w:color w:val="1155CC"/>
            <w:u w:val="single"/>
          </w:rPr>
          <w:t>https://doi.org/10.1111/jgs.14399</w:t>
        </w:r>
      </w:hyperlink>
    </w:p>
    <w:p w14:paraId="03B9F9CC" w14:textId="77777777" w:rsidR="00F773C7" w:rsidRDefault="00F773C7">
      <w:pPr>
        <w:pBdr>
          <w:top w:val="nil"/>
          <w:left w:val="nil"/>
          <w:bottom w:val="nil"/>
          <w:right w:val="nil"/>
          <w:between w:val="nil"/>
        </w:pBdr>
        <w:jc w:val="both"/>
        <w:rPr>
          <w:rFonts w:ascii="Arial" w:eastAsia="Arial" w:hAnsi="Arial" w:cs="Arial"/>
        </w:rPr>
      </w:pPr>
    </w:p>
    <w:p w14:paraId="10B0C8D3"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‌Johnston W. M. (2009). Color measurement in dentistry. </w:t>
      </w:r>
      <w:r>
        <w:rPr>
          <w:rFonts w:ascii="Arial" w:eastAsia="Arial" w:hAnsi="Arial" w:cs="Arial"/>
          <w:i/>
        </w:rPr>
        <w:t>Journal of Dentistry</w:t>
      </w:r>
      <w:r>
        <w:rPr>
          <w:rFonts w:ascii="Arial" w:eastAsia="Arial" w:hAnsi="Arial" w:cs="Arial"/>
        </w:rPr>
        <w:t xml:space="preserve">, 37(1), 2–6. </w:t>
      </w:r>
      <w:hyperlink r:id="rId32">
        <w:r w:rsidR="00F773C7">
          <w:rPr>
            <w:rFonts w:ascii="Arial" w:eastAsia="Arial" w:hAnsi="Arial" w:cs="Arial"/>
            <w:color w:val="1155CC"/>
            <w:u w:val="single"/>
          </w:rPr>
          <w:t>https://doi.org/10.1016/j.jdent.2009.03.011</w:t>
        </w:r>
      </w:hyperlink>
    </w:p>
    <w:p w14:paraId="69150597" w14:textId="77777777" w:rsidR="00F773C7" w:rsidRDefault="00F773C7">
      <w:pPr>
        <w:pBdr>
          <w:top w:val="nil"/>
          <w:left w:val="nil"/>
          <w:bottom w:val="nil"/>
          <w:right w:val="nil"/>
          <w:between w:val="nil"/>
        </w:pBdr>
        <w:jc w:val="both"/>
        <w:rPr>
          <w:rFonts w:ascii="Arial" w:eastAsia="Arial" w:hAnsi="Arial" w:cs="Arial"/>
        </w:rPr>
      </w:pPr>
    </w:p>
    <w:p w14:paraId="668461DF"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Jurenka, J. S. (2008). Therapeutic applications of pomegranate (</w:t>
      </w:r>
      <w:r>
        <w:rPr>
          <w:rFonts w:ascii="Arial" w:eastAsia="Arial" w:hAnsi="Arial" w:cs="Arial"/>
          <w:i/>
        </w:rPr>
        <w:t>Punica granatum</w:t>
      </w:r>
      <w:r>
        <w:rPr>
          <w:rFonts w:ascii="Arial" w:eastAsia="Arial" w:hAnsi="Arial" w:cs="Arial"/>
        </w:rPr>
        <w:t xml:space="preserve"> L.): a review. </w:t>
      </w:r>
      <w:r>
        <w:rPr>
          <w:rFonts w:ascii="Arial" w:eastAsia="Arial" w:hAnsi="Arial" w:cs="Arial"/>
          <w:i/>
        </w:rPr>
        <w:t>Alternative Medicine Review</w:t>
      </w:r>
      <w:r>
        <w:rPr>
          <w:rFonts w:ascii="Arial" w:eastAsia="Arial" w:hAnsi="Arial" w:cs="Arial"/>
        </w:rPr>
        <w:t xml:space="preserve">, 13(2), 128–144. </w:t>
      </w:r>
      <w:hyperlink r:id="rId33">
        <w:r w:rsidR="00F773C7">
          <w:rPr>
            <w:rFonts w:ascii="Arial" w:eastAsia="Arial" w:hAnsi="Arial" w:cs="Arial"/>
            <w:color w:val="1155CC"/>
            <w:u w:val="single"/>
          </w:rPr>
          <w:t>https://pubmed.ncbi.nlm.nih.gov/18590349/</w:t>
        </w:r>
      </w:hyperlink>
    </w:p>
    <w:p w14:paraId="7FAB970D" w14:textId="77777777" w:rsidR="00F773C7" w:rsidRDefault="00F773C7">
      <w:pPr>
        <w:pBdr>
          <w:top w:val="nil"/>
          <w:left w:val="nil"/>
          <w:bottom w:val="nil"/>
          <w:right w:val="nil"/>
          <w:between w:val="nil"/>
        </w:pBdr>
        <w:jc w:val="both"/>
        <w:rPr>
          <w:rFonts w:ascii="Arial" w:eastAsia="Arial" w:hAnsi="Arial" w:cs="Arial"/>
        </w:rPr>
      </w:pPr>
    </w:p>
    <w:p w14:paraId="74CED544"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Manikandan, S., Vinesh, E., Selvi, Dt., Kannan, </w:t>
      </w:r>
      <w:proofErr w:type="spellStart"/>
      <w:r>
        <w:rPr>
          <w:rFonts w:ascii="Arial" w:eastAsia="Arial" w:hAnsi="Arial" w:cs="Arial"/>
        </w:rPr>
        <w:t>Rk</w:t>
      </w:r>
      <w:proofErr w:type="spellEnd"/>
      <w:r>
        <w:rPr>
          <w:rFonts w:ascii="Arial" w:eastAsia="Arial" w:hAnsi="Arial" w:cs="Arial"/>
        </w:rPr>
        <w:t xml:space="preserve">., Jayakumar, A., &amp; Dinakaran, J. (2022). Prevalence of Candida among denture wearers and </w:t>
      </w:r>
      <w:proofErr w:type="spellStart"/>
      <w:r>
        <w:rPr>
          <w:rFonts w:ascii="Arial" w:eastAsia="Arial" w:hAnsi="Arial" w:cs="Arial"/>
        </w:rPr>
        <w:t>nondenture</w:t>
      </w:r>
      <w:proofErr w:type="spellEnd"/>
      <w:r>
        <w:rPr>
          <w:rFonts w:ascii="Arial" w:eastAsia="Arial" w:hAnsi="Arial" w:cs="Arial"/>
        </w:rPr>
        <w:t xml:space="preserve"> wearers. </w:t>
      </w:r>
      <w:r>
        <w:rPr>
          <w:rFonts w:ascii="Arial" w:eastAsia="Arial" w:hAnsi="Arial" w:cs="Arial"/>
          <w:i/>
        </w:rPr>
        <w:t xml:space="preserve">Journal of Pharmacy and </w:t>
      </w:r>
      <w:proofErr w:type="spellStart"/>
      <w:r>
        <w:rPr>
          <w:rFonts w:ascii="Arial" w:eastAsia="Arial" w:hAnsi="Arial" w:cs="Arial"/>
          <w:i/>
        </w:rPr>
        <w:t>Bioallied</w:t>
      </w:r>
      <w:proofErr w:type="spellEnd"/>
      <w:r>
        <w:rPr>
          <w:rFonts w:ascii="Arial" w:eastAsia="Arial" w:hAnsi="Arial" w:cs="Arial"/>
          <w:i/>
        </w:rPr>
        <w:t xml:space="preserve"> Sciences</w:t>
      </w:r>
      <w:r>
        <w:rPr>
          <w:rFonts w:ascii="Arial" w:eastAsia="Arial" w:hAnsi="Arial" w:cs="Arial"/>
        </w:rPr>
        <w:t>, 14(5), 70</w:t>
      </w:r>
      <w:r>
        <w:rPr>
          <w:rFonts w:ascii="Arial" w:eastAsia="Arial" w:hAnsi="Arial" w:cs="Arial"/>
        </w:rPr>
        <w:t xml:space="preserve">2–705. </w:t>
      </w:r>
      <w:hyperlink r:id="rId34">
        <w:r w:rsidR="00F773C7">
          <w:rPr>
            <w:rFonts w:ascii="Arial" w:eastAsia="Arial" w:hAnsi="Arial" w:cs="Arial"/>
            <w:color w:val="1155CC"/>
            <w:u w:val="single"/>
          </w:rPr>
          <w:t>https://doi.org/10.4103/jpbs.jpbs_781_21</w:t>
        </w:r>
      </w:hyperlink>
    </w:p>
    <w:p w14:paraId="3DD8822C" w14:textId="77777777" w:rsidR="00F773C7" w:rsidRDefault="00F773C7">
      <w:pPr>
        <w:pBdr>
          <w:top w:val="nil"/>
          <w:left w:val="nil"/>
          <w:bottom w:val="nil"/>
          <w:right w:val="nil"/>
          <w:between w:val="nil"/>
        </w:pBdr>
        <w:jc w:val="both"/>
        <w:rPr>
          <w:rFonts w:ascii="Arial" w:eastAsia="Arial" w:hAnsi="Arial" w:cs="Arial"/>
        </w:rPr>
      </w:pPr>
    </w:p>
    <w:p w14:paraId="36069E30"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‌McReynolds, D. E., Moorthy, A., </w:t>
      </w:r>
      <w:proofErr w:type="spellStart"/>
      <w:r>
        <w:rPr>
          <w:rFonts w:ascii="Arial" w:eastAsia="Arial" w:hAnsi="Arial" w:cs="Arial"/>
        </w:rPr>
        <w:t>Moneley</w:t>
      </w:r>
      <w:proofErr w:type="spellEnd"/>
      <w:r>
        <w:rPr>
          <w:rFonts w:ascii="Arial" w:eastAsia="Arial" w:hAnsi="Arial" w:cs="Arial"/>
        </w:rPr>
        <w:t>, J. O., Jabra‐Rizk, M. A., &amp; Sultan, A. S. (2023). Denture stomatitis — An interdisciplinary clinical revi</w:t>
      </w:r>
      <w:r>
        <w:rPr>
          <w:rFonts w:ascii="Arial" w:eastAsia="Arial" w:hAnsi="Arial" w:cs="Arial"/>
        </w:rPr>
        <w:t xml:space="preserve">ew. </w:t>
      </w:r>
      <w:r>
        <w:rPr>
          <w:rFonts w:ascii="Arial" w:eastAsia="Arial" w:hAnsi="Arial" w:cs="Arial"/>
          <w:i/>
        </w:rPr>
        <w:t>Journal of Prosthodontics</w:t>
      </w:r>
      <w:r>
        <w:rPr>
          <w:rFonts w:ascii="Arial" w:eastAsia="Arial" w:hAnsi="Arial" w:cs="Arial"/>
        </w:rPr>
        <w:t xml:space="preserve">, 32(7), 560-570. </w:t>
      </w:r>
      <w:hyperlink r:id="rId35">
        <w:r w:rsidR="00F773C7">
          <w:rPr>
            <w:rFonts w:ascii="Arial" w:eastAsia="Arial" w:hAnsi="Arial" w:cs="Arial"/>
            <w:color w:val="1155CC"/>
            <w:u w:val="single"/>
          </w:rPr>
          <w:t>https://doi.org/10.1111/jopr.13687</w:t>
        </w:r>
      </w:hyperlink>
    </w:p>
    <w:p w14:paraId="36EF66DD" w14:textId="77777777" w:rsidR="00F773C7" w:rsidRDefault="00F773C7">
      <w:pPr>
        <w:pBdr>
          <w:top w:val="nil"/>
          <w:left w:val="nil"/>
          <w:bottom w:val="nil"/>
          <w:right w:val="nil"/>
          <w:between w:val="nil"/>
        </w:pBdr>
        <w:jc w:val="both"/>
        <w:rPr>
          <w:rFonts w:ascii="Arial" w:eastAsia="Arial" w:hAnsi="Arial" w:cs="Arial"/>
        </w:rPr>
      </w:pPr>
    </w:p>
    <w:p w14:paraId="1949F47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Panariello, B. H., </w:t>
      </w:r>
      <w:proofErr w:type="spellStart"/>
      <w:r>
        <w:rPr>
          <w:rFonts w:ascii="Arial" w:eastAsia="Arial" w:hAnsi="Arial" w:cs="Arial"/>
        </w:rPr>
        <w:t>Izumida</w:t>
      </w:r>
      <w:proofErr w:type="spellEnd"/>
      <w:r>
        <w:rPr>
          <w:rFonts w:ascii="Arial" w:eastAsia="Arial" w:hAnsi="Arial" w:cs="Arial"/>
        </w:rPr>
        <w:t xml:space="preserve">, F. E., Moffa, E. B., </w:t>
      </w:r>
      <w:proofErr w:type="spellStart"/>
      <w:r>
        <w:rPr>
          <w:rFonts w:ascii="Arial" w:eastAsia="Arial" w:hAnsi="Arial" w:cs="Arial"/>
        </w:rPr>
        <w:t>Pavarina</w:t>
      </w:r>
      <w:proofErr w:type="spellEnd"/>
      <w:r>
        <w:rPr>
          <w:rFonts w:ascii="Arial" w:eastAsia="Arial" w:hAnsi="Arial" w:cs="Arial"/>
        </w:rPr>
        <w:t>, A. C., Jorge, J. H., &amp; Giampaolo, E. T. (2015). Effects of s</w:t>
      </w:r>
      <w:r>
        <w:rPr>
          <w:rFonts w:ascii="Arial" w:eastAsia="Arial" w:hAnsi="Arial" w:cs="Arial"/>
        </w:rPr>
        <w:t xml:space="preserve">hort-term immersion and brushing with different denture cleansers on the roughness, hardness, and color of two types of acrylic resin. </w:t>
      </w:r>
      <w:r>
        <w:rPr>
          <w:rFonts w:ascii="Arial" w:eastAsia="Arial" w:hAnsi="Arial" w:cs="Arial"/>
          <w:i/>
        </w:rPr>
        <w:t>American Journal of Dentistry</w:t>
      </w:r>
      <w:r>
        <w:rPr>
          <w:rFonts w:ascii="Arial" w:eastAsia="Arial" w:hAnsi="Arial" w:cs="Arial"/>
        </w:rPr>
        <w:t xml:space="preserve">, 28(3), 150–156. </w:t>
      </w:r>
      <w:hyperlink r:id="rId36">
        <w:r w:rsidR="00F773C7">
          <w:rPr>
            <w:rFonts w:ascii="Arial" w:eastAsia="Arial" w:hAnsi="Arial" w:cs="Arial"/>
            <w:color w:val="1155CC"/>
            <w:u w:val="single"/>
          </w:rPr>
          <w:t>https://pubmed.ncbi.nlm.nih.gov/26201226</w:t>
        </w:r>
      </w:hyperlink>
    </w:p>
    <w:p w14:paraId="453369D1" w14:textId="77777777" w:rsidR="00F773C7" w:rsidRDefault="00F773C7">
      <w:pPr>
        <w:pBdr>
          <w:top w:val="nil"/>
          <w:left w:val="nil"/>
          <w:bottom w:val="nil"/>
          <w:right w:val="nil"/>
          <w:between w:val="nil"/>
        </w:pBdr>
        <w:jc w:val="both"/>
        <w:rPr>
          <w:rFonts w:ascii="Arial" w:eastAsia="Arial" w:hAnsi="Arial" w:cs="Arial"/>
        </w:rPr>
      </w:pPr>
    </w:p>
    <w:p w14:paraId="606F5DCD"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Patel, C., </w:t>
      </w:r>
      <w:proofErr w:type="spellStart"/>
      <w:r>
        <w:rPr>
          <w:rFonts w:ascii="Arial" w:eastAsia="Arial" w:hAnsi="Arial" w:cs="Arial"/>
        </w:rPr>
        <w:t>Dadhaniya</w:t>
      </w:r>
      <w:proofErr w:type="spellEnd"/>
      <w:r>
        <w:rPr>
          <w:rFonts w:ascii="Arial" w:eastAsia="Arial" w:hAnsi="Arial" w:cs="Arial"/>
        </w:rPr>
        <w:t xml:space="preserve">, P., Hingorani, L., &amp; Soni, M. G. (2008). Safety assessment of pomegranate fruit extract: Acute and </w:t>
      </w:r>
      <w:proofErr w:type="spellStart"/>
      <w:r>
        <w:rPr>
          <w:rFonts w:ascii="Arial" w:eastAsia="Arial" w:hAnsi="Arial" w:cs="Arial"/>
        </w:rPr>
        <w:t>subchronic</w:t>
      </w:r>
      <w:proofErr w:type="spellEnd"/>
      <w:r>
        <w:rPr>
          <w:rFonts w:ascii="Arial" w:eastAsia="Arial" w:hAnsi="Arial" w:cs="Arial"/>
        </w:rPr>
        <w:t xml:space="preserve"> toxicity studies. </w:t>
      </w:r>
      <w:r>
        <w:rPr>
          <w:rFonts w:ascii="Arial" w:eastAsia="Arial" w:hAnsi="Arial" w:cs="Arial"/>
          <w:i/>
        </w:rPr>
        <w:t>Food and Chemical Toxicology</w:t>
      </w:r>
      <w:r>
        <w:rPr>
          <w:rFonts w:ascii="Arial" w:eastAsia="Arial" w:hAnsi="Arial" w:cs="Arial"/>
        </w:rPr>
        <w:t xml:space="preserve">, 46(8), 2728–2735. </w:t>
      </w:r>
      <w:hyperlink r:id="rId37">
        <w:r w:rsidR="00F773C7">
          <w:rPr>
            <w:rFonts w:ascii="Arial" w:eastAsia="Arial" w:hAnsi="Arial" w:cs="Arial"/>
            <w:color w:val="1155CC"/>
            <w:u w:val="single"/>
          </w:rPr>
          <w:t>https://doi.org/10.1016/j.fct.2008.04.035</w:t>
        </w:r>
      </w:hyperlink>
    </w:p>
    <w:p w14:paraId="2B6E6A60" w14:textId="77777777" w:rsidR="00F773C7" w:rsidRDefault="00F773C7">
      <w:pPr>
        <w:pBdr>
          <w:top w:val="nil"/>
          <w:left w:val="nil"/>
          <w:bottom w:val="nil"/>
          <w:right w:val="nil"/>
          <w:between w:val="nil"/>
        </w:pBdr>
        <w:jc w:val="both"/>
        <w:rPr>
          <w:rFonts w:ascii="Arial" w:eastAsia="Arial" w:hAnsi="Arial" w:cs="Arial"/>
        </w:rPr>
      </w:pPr>
    </w:p>
    <w:p w14:paraId="45F3A3BD"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Patil, S., Rao, R. S., Majumdar, B., &amp; Anil, S. (2015). Clinical Appearance of Oral Candida Infection and Therapeutic Strategies. </w:t>
      </w:r>
      <w:r>
        <w:rPr>
          <w:rFonts w:ascii="Arial" w:eastAsia="Arial" w:hAnsi="Arial" w:cs="Arial"/>
          <w:i/>
        </w:rPr>
        <w:t>Frontiers in Microbiology</w:t>
      </w:r>
      <w:r>
        <w:rPr>
          <w:rFonts w:ascii="Arial" w:eastAsia="Arial" w:hAnsi="Arial" w:cs="Arial"/>
        </w:rPr>
        <w:t xml:space="preserve">, 6(1391). </w:t>
      </w:r>
      <w:hyperlink r:id="rId38">
        <w:r w:rsidR="00F773C7">
          <w:rPr>
            <w:rFonts w:ascii="Arial" w:eastAsia="Arial" w:hAnsi="Arial" w:cs="Arial"/>
            <w:color w:val="1155CC"/>
            <w:u w:val="single"/>
          </w:rPr>
          <w:t>https://doi.org/10.3389/fmicb.2015.01391</w:t>
        </w:r>
      </w:hyperlink>
    </w:p>
    <w:p w14:paraId="2EDD72B6" w14:textId="77777777" w:rsidR="00F773C7" w:rsidRDefault="00F773C7">
      <w:pPr>
        <w:pBdr>
          <w:top w:val="nil"/>
          <w:left w:val="nil"/>
          <w:bottom w:val="nil"/>
          <w:right w:val="nil"/>
          <w:between w:val="nil"/>
        </w:pBdr>
        <w:jc w:val="both"/>
        <w:rPr>
          <w:rFonts w:ascii="Arial" w:eastAsia="Arial" w:hAnsi="Arial" w:cs="Arial"/>
        </w:rPr>
      </w:pPr>
    </w:p>
    <w:p w14:paraId="00867CEC"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Pérez-Nicolás, C., Pecci-Lloret, M. P., &amp; Guerrero-Gironés, J. (2023). Use and efficacy of mouthwashes in elderly patients: A systematic review of randomized clinical tri</w:t>
      </w:r>
      <w:r>
        <w:rPr>
          <w:rFonts w:ascii="Arial" w:eastAsia="Arial" w:hAnsi="Arial" w:cs="Arial"/>
        </w:rPr>
        <w:t>als.</w:t>
      </w:r>
      <w:r>
        <w:rPr>
          <w:rFonts w:ascii="Arial" w:eastAsia="Arial" w:hAnsi="Arial" w:cs="Arial"/>
          <w:i/>
        </w:rPr>
        <w:t xml:space="preserve"> Annals of Anatomy - </w:t>
      </w:r>
      <w:proofErr w:type="spellStart"/>
      <w:r>
        <w:rPr>
          <w:rFonts w:ascii="Arial" w:eastAsia="Arial" w:hAnsi="Arial" w:cs="Arial"/>
          <w:i/>
        </w:rPr>
        <w:t>Anatomischer</w:t>
      </w:r>
      <w:proofErr w:type="spellEnd"/>
      <w:r>
        <w:rPr>
          <w:rFonts w:ascii="Arial" w:eastAsia="Arial" w:hAnsi="Arial" w:cs="Arial"/>
          <w:i/>
        </w:rPr>
        <w:t xml:space="preserve"> </w:t>
      </w:r>
      <w:proofErr w:type="spellStart"/>
      <w:r>
        <w:rPr>
          <w:rFonts w:ascii="Arial" w:eastAsia="Arial" w:hAnsi="Arial" w:cs="Arial"/>
          <w:i/>
        </w:rPr>
        <w:t>Anzeiger</w:t>
      </w:r>
      <w:proofErr w:type="spellEnd"/>
      <w:r>
        <w:rPr>
          <w:rFonts w:ascii="Arial" w:eastAsia="Arial" w:hAnsi="Arial" w:cs="Arial"/>
        </w:rPr>
        <w:t xml:space="preserve">, 246, e152026. </w:t>
      </w:r>
      <w:hyperlink r:id="rId39">
        <w:r w:rsidR="00F773C7">
          <w:rPr>
            <w:rFonts w:ascii="Arial" w:eastAsia="Arial" w:hAnsi="Arial" w:cs="Arial"/>
            <w:color w:val="1155CC"/>
            <w:u w:val="single"/>
          </w:rPr>
          <w:t>https://doi.org/10.1016/j.aanat.2022.152026</w:t>
        </w:r>
      </w:hyperlink>
    </w:p>
    <w:p w14:paraId="4273242E" w14:textId="77777777" w:rsidR="00F773C7" w:rsidRDefault="00F773C7">
      <w:pPr>
        <w:pBdr>
          <w:top w:val="nil"/>
          <w:left w:val="nil"/>
          <w:bottom w:val="nil"/>
          <w:right w:val="nil"/>
          <w:between w:val="nil"/>
        </w:pBdr>
        <w:jc w:val="both"/>
        <w:rPr>
          <w:rFonts w:ascii="Arial" w:eastAsia="Arial" w:hAnsi="Arial" w:cs="Arial"/>
        </w:rPr>
      </w:pPr>
    </w:p>
    <w:p w14:paraId="563FC643"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Pisani, M. X., Bruhn, J. P., Paranhos, H. F., Silva-Lovato, C. H., Souza, R. F., &amp; Pan</w:t>
      </w:r>
      <w:r>
        <w:rPr>
          <w:rFonts w:ascii="Arial" w:eastAsia="Arial" w:hAnsi="Arial" w:cs="Arial"/>
        </w:rPr>
        <w:t xml:space="preserve">zeri, H. (2010). Evaluation of the abrasiveness of dentifrices for complete dentures. </w:t>
      </w:r>
      <w:r>
        <w:rPr>
          <w:rFonts w:ascii="Arial" w:eastAsia="Arial" w:hAnsi="Arial" w:cs="Arial"/>
          <w:i/>
        </w:rPr>
        <w:t>Journal of Prosthodontics</w:t>
      </w:r>
      <w:r>
        <w:rPr>
          <w:rFonts w:ascii="Arial" w:eastAsia="Arial" w:hAnsi="Arial" w:cs="Arial"/>
        </w:rPr>
        <w:t xml:space="preserve">, 19(5), 369–373. </w:t>
      </w:r>
      <w:hyperlink r:id="rId40">
        <w:r w:rsidR="00F773C7">
          <w:rPr>
            <w:rFonts w:ascii="Arial" w:eastAsia="Arial" w:hAnsi="Arial" w:cs="Arial"/>
            <w:color w:val="1155CC"/>
            <w:u w:val="single"/>
          </w:rPr>
          <w:t>https://doi.org/10.1111/j.1532-849X.2010.00592.x</w:t>
        </w:r>
      </w:hyperlink>
    </w:p>
    <w:p w14:paraId="67A5DD91" w14:textId="77777777" w:rsidR="00F773C7" w:rsidRDefault="00F773C7">
      <w:pPr>
        <w:pBdr>
          <w:top w:val="nil"/>
          <w:left w:val="nil"/>
          <w:bottom w:val="nil"/>
          <w:right w:val="nil"/>
          <w:between w:val="nil"/>
        </w:pBdr>
        <w:jc w:val="both"/>
        <w:rPr>
          <w:rFonts w:ascii="Arial" w:eastAsia="Arial" w:hAnsi="Arial" w:cs="Arial"/>
        </w:rPr>
      </w:pPr>
    </w:p>
    <w:p w14:paraId="6131ECB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‌Commissi</w:t>
      </w:r>
      <w:r>
        <w:rPr>
          <w:rFonts w:ascii="Arial" w:eastAsia="Arial" w:hAnsi="Arial" w:cs="Arial"/>
        </w:rPr>
        <w:t xml:space="preserve">on </w:t>
      </w:r>
      <w:proofErr w:type="spellStart"/>
      <w:r>
        <w:rPr>
          <w:rFonts w:ascii="Arial" w:eastAsia="Arial" w:hAnsi="Arial" w:cs="Arial"/>
        </w:rPr>
        <w:t>Internationale</w:t>
      </w:r>
      <w:proofErr w:type="spellEnd"/>
      <w:r>
        <w:rPr>
          <w:rFonts w:ascii="Arial" w:eastAsia="Arial" w:hAnsi="Arial" w:cs="Arial"/>
        </w:rPr>
        <w:t xml:space="preserve"> de </w:t>
      </w:r>
      <w:proofErr w:type="spellStart"/>
      <w:r>
        <w:rPr>
          <w:rFonts w:ascii="Arial" w:eastAsia="Arial" w:hAnsi="Arial" w:cs="Arial"/>
        </w:rPr>
        <w:t>l’Eclairage</w:t>
      </w:r>
      <w:proofErr w:type="spellEnd"/>
      <w:r>
        <w:rPr>
          <w:rFonts w:ascii="Arial" w:eastAsia="Arial" w:hAnsi="Arial" w:cs="Arial"/>
        </w:rPr>
        <w:t xml:space="preserve">. Recommendations on Uniform Color Spaces, Color Difference Equations and Metric Color Terms. </w:t>
      </w:r>
      <w:r>
        <w:rPr>
          <w:rFonts w:ascii="Arial" w:eastAsia="Arial" w:hAnsi="Arial" w:cs="Arial"/>
          <w:i/>
        </w:rPr>
        <w:t>Bureau Central de la CIE</w:t>
      </w:r>
      <w:r>
        <w:rPr>
          <w:rFonts w:ascii="Arial" w:eastAsia="Arial" w:hAnsi="Arial" w:cs="Arial"/>
        </w:rPr>
        <w:t>. 1978; 15(2).</w:t>
      </w:r>
    </w:p>
    <w:p w14:paraId="5353685F" w14:textId="77777777" w:rsidR="00F773C7" w:rsidRDefault="00F773C7">
      <w:pPr>
        <w:pBdr>
          <w:top w:val="nil"/>
          <w:left w:val="nil"/>
          <w:bottom w:val="nil"/>
          <w:right w:val="nil"/>
          <w:between w:val="nil"/>
        </w:pBdr>
        <w:jc w:val="both"/>
        <w:rPr>
          <w:rFonts w:ascii="Arial" w:eastAsia="Arial" w:hAnsi="Arial" w:cs="Arial"/>
        </w:rPr>
      </w:pPr>
    </w:p>
    <w:p w14:paraId="41D7E55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Ramadhan, I. P. A., Damiyanti, M., &amp; </w:t>
      </w:r>
      <w:proofErr w:type="spellStart"/>
      <w:r>
        <w:rPr>
          <w:rFonts w:ascii="Arial" w:eastAsia="Arial" w:hAnsi="Arial" w:cs="Arial"/>
        </w:rPr>
        <w:t>Triaminingsih</w:t>
      </w:r>
      <w:proofErr w:type="spellEnd"/>
      <w:r>
        <w:rPr>
          <w:rFonts w:ascii="Arial" w:eastAsia="Arial" w:hAnsi="Arial" w:cs="Arial"/>
        </w:rPr>
        <w:t>, S. (2018). Effects of brushing with ab</w:t>
      </w:r>
      <w:r>
        <w:rPr>
          <w:rFonts w:ascii="Arial" w:eastAsia="Arial" w:hAnsi="Arial" w:cs="Arial"/>
        </w:rPr>
        <w:t xml:space="preserve">rasive dentifrices containing various materials on the surface roughness of acrylic resins. </w:t>
      </w:r>
      <w:r>
        <w:rPr>
          <w:rFonts w:ascii="Arial" w:eastAsia="Arial" w:hAnsi="Arial" w:cs="Arial"/>
          <w:i/>
        </w:rPr>
        <w:t>Journal of Physics</w:t>
      </w:r>
      <w:r>
        <w:rPr>
          <w:rFonts w:ascii="Arial" w:eastAsia="Arial" w:hAnsi="Arial" w:cs="Arial"/>
        </w:rPr>
        <w:t xml:space="preserve">, e1073. </w:t>
      </w:r>
      <w:hyperlink r:id="rId41">
        <w:r w:rsidR="00F773C7">
          <w:rPr>
            <w:rFonts w:ascii="Arial" w:eastAsia="Arial" w:hAnsi="Arial" w:cs="Arial"/>
            <w:color w:val="1155CC"/>
            <w:u w:val="single"/>
          </w:rPr>
          <w:t>https://doi.org/10.1088/1742-6596/1073/6/062015</w:t>
        </w:r>
      </w:hyperlink>
    </w:p>
    <w:p w14:paraId="12854858" w14:textId="77777777" w:rsidR="00F773C7" w:rsidRDefault="00F773C7">
      <w:pPr>
        <w:pBdr>
          <w:top w:val="nil"/>
          <w:left w:val="nil"/>
          <w:bottom w:val="nil"/>
          <w:right w:val="nil"/>
          <w:between w:val="nil"/>
        </w:pBdr>
        <w:jc w:val="both"/>
        <w:rPr>
          <w:rFonts w:ascii="Arial" w:eastAsia="Arial" w:hAnsi="Arial" w:cs="Arial"/>
        </w:rPr>
      </w:pPr>
    </w:p>
    <w:p w14:paraId="1E350B5F"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Ribeiro, A. B., </w:t>
      </w:r>
      <w:proofErr w:type="spellStart"/>
      <w:r>
        <w:rPr>
          <w:rFonts w:ascii="Arial" w:eastAsia="Arial" w:hAnsi="Arial" w:cs="Arial"/>
        </w:rPr>
        <w:t>Pizziolo</w:t>
      </w:r>
      <w:proofErr w:type="spellEnd"/>
      <w:r>
        <w:rPr>
          <w:rFonts w:ascii="Arial" w:eastAsia="Arial" w:hAnsi="Arial" w:cs="Arial"/>
        </w:rPr>
        <w:t xml:space="preserve">, P. G., Clemente, L. M., Aguiar, H. C., Poker, B. C. &amp; Silva, A. A. M. E. et al. (2024). Strategies for Preventing and Treating Oral Mucosal Infections Associated with Removable Dentures: A Scoping Review. </w:t>
      </w:r>
      <w:r>
        <w:rPr>
          <w:rFonts w:ascii="Arial" w:eastAsia="Arial" w:hAnsi="Arial" w:cs="Arial"/>
          <w:i/>
        </w:rPr>
        <w:t>Antibiotics (Basel, Switzerland)</w:t>
      </w:r>
      <w:r>
        <w:rPr>
          <w:rFonts w:ascii="Arial" w:eastAsia="Arial" w:hAnsi="Arial" w:cs="Arial"/>
        </w:rPr>
        <w:t xml:space="preserve">, 13(3), e273. </w:t>
      </w:r>
      <w:hyperlink r:id="rId42">
        <w:r w:rsidR="00F773C7">
          <w:rPr>
            <w:rFonts w:ascii="Arial" w:eastAsia="Arial" w:hAnsi="Arial" w:cs="Arial"/>
            <w:color w:val="1155CC"/>
            <w:u w:val="single"/>
          </w:rPr>
          <w:t>https://doi.org/10.3390/antibiotics13030273</w:t>
        </w:r>
      </w:hyperlink>
      <w:r>
        <w:rPr>
          <w:rFonts w:ascii="Arial" w:eastAsia="Arial" w:hAnsi="Arial" w:cs="Arial"/>
        </w:rPr>
        <w:t xml:space="preserve"> </w:t>
      </w:r>
    </w:p>
    <w:p w14:paraId="74020636" w14:textId="77777777" w:rsidR="00F773C7" w:rsidRDefault="00F773C7">
      <w:pPr>
        <w:pBdr>
          <w:top w:val="nil"/>
          <w:left w:val="nil"/>
          <w:bottom w:val="nil"/>
          <w:right w:val="nil"/>
          <w:between w:val="nil"/>
        </w:pBdr>
        <w:jc w:val="both"/>
        <w:rPr>
          <w:rFonts w:ascii="Arial" w:eastAsia="Arial" w:hAnsi="Arial" w:cs="Arial"/>
        </w:rPr>
      </w:pPr>
    </w:p>
    <w:p w14:paraId="0CB5497F"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‌Ruyter, I. E., </w:t>
      </w:r>
      <w:proofErr w:type="spellStart"/>
      <w:r>
        <w:rPr>
          <w:rFonts w:ascii="Arial" w:eastAsia="Arial" w:hAnsi="Arial" w:cs="Arial"/>
        </w:rPr>
        <w:t>Nilner</w:t>
      </w:r>
      <w:proofErr w:type="spellEnd"/>
      <w:r>
        <w:rPr>
          <w:rFonts w:ascii="Arial" w:eastAsia="Arial" w:hAnsi="Arial" w:cs="Arial"/>
        </w:rPr>
        <w:t xml:space="preserve">, K., &amp; Moller, B. (1987). Color stability of dental composite resin materials for crown and bridge veneers. </w:t>
      </w:r>
      <w:r>
        <w:rPr>
          <w:rFonts w:ascii="Arial" w:eastAsia="Arial" w:hAnsi="Arial" w:cs="Arial"/>
          <w:i/>
        </w:rPr>
        <w:t>D</w:t>
      </w:r>
      <w:r>
        <w:rPr>
          <w:rFonts w:ascii="Arial" w:eastAsia="Arial" w:hAnsi="Arial" w:cs="Arial"/>
          <w:i/>
        </w:rPr>
        <w:t>ental Materials</w:t>
      </w:r>
      <w:r>
        <w:rPr>
          <w:rFonts w:ascii="Arial" w:eastAsia="Arial" w:hAnsi="Arial" w:cs="Arial"/>
        </w:rPr>
        <w:t xml:space="preserve">, 3(5), 246–251. </w:t>
      </w:r>
      <w:hyperlink r:id="rId43">
        <w:r w:rsidR="00F773C7">
          <w:rPr>
            <w:rFonts w:ascii="Arial" w:eastAsia="Arial" w:hAnsi="Arial" w:cs="Arial"/>
            <w:color w:val="1155CC"/>
            <w:u w:val="single"/>
          </w:rPr>
          <w:t>https://doi.org/10.1016/S0109-5641(87)80081-7</w:t>
        </w:r>
      </w:hyperlink>
    </w:p>
    <w:p w14:paraId="21D134A0" w14:textId="77777777" w:rsidR="00F773C7" w:rsidRDefault="00F773C7">
      <w:pPr>
        <w:pBdr>
          <w:top w:val="nil"/>
          <w:left w:val="nil"/>
          <w:bottom w:val="nil"/>
          <w:right w:val="nil"/>
          <w:between w:val="nil"/>
        </w:pBdr>
        <w:jc w:val="both"/>
        <w:rPr>
          <w:rFonts w:ascii="Arial" w:eastAsia="Arial" w:hAnsi="Arial" w:cs="Arial"/>
        </w:rPr>
      </w:pPr>
    </w:p>
    <w:p w14:paraId="71DCAD65"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‌Sartori, E. A., Schmidt, C. B., Mota, E. G., Hirakata, L. M., &amp; Shinkai, R. S. (2008). Cumulative effect of dis</w:t>
      </w:r>
      <w:r>
        <w:rPr>
          <w:rFonts w:ascii="Arial" w:eastAsia="Arial" w:hAnsi="Arial" w:cs="Arial"/>
        </w:rPr>
        <w:t xml:space="preserve">infection procedures on microhardness and tridimensional stability of a </w:t>
      </w:r>
      <w:proofErr w:type="gramStart"/>
      <w:r>
        <w:rPr>
          <w:rFonts w:ascii="Arial" w:eastAsia="Arial" w:hAnsi="Arial" w:cs="Arial"/>
        </w:rPr>
        <w:t>poly(</w:t>
      </w:r>
      <w:proofErr w:type="gramEnd"/>
      <w:r>
        <w:rPr>
          <w:rFonts w:ascii="Arial" w:eastAsia="Arial" w:hAnsi="Arial" w:cs="Arial"/>
        </w:rPr>
        <w:t xml:space="preserve">methyl methacrylate) denture base resin. </w:t>
      </w:r>
      <w:r>
        <w:rPr>
          <w:rFonts w:ascii="Arial" w:eastAsia="Arial" w:hAnsi="Arial" w:cs="Arial"/>
          <w:i/>
        </w:rPr>
        <w:t>Journal of Biomedical Materials Research</w:t>
      </w:r>
      <w:r>
        <w:rPr>
          <w:rFonts w:ascii="Arial" w:eastAsia="Arial" w:hAnsi="Arial" w:cs="Arial"/>
        </w:rPr>
        <w:t xml:space="preserve">, 86(2), 360–364. </w:t>
      </w:r>
      <w:hyperlink r:id="rId44">
        <w:r w:rsidR="00F773C7">
          <w:rPr>
            <w:rFonts w:ascii="Arial" w:eastAsia="Arial" w:hAnsi="Arial" w:cs="Arial"/>
            <w:color w:val="1155CC"/>
            <w:u w:val="single"/>
          </w:rPr>
          <w:t>https://doi.org/10.1002/jbm.b.31027</w:t>
        </w:r>
      </w:hyperlink>
    </w:p>
    <w:p w14:paraId="39F502A3" w14:textId="77777777" w:rsidR="00F773C7" w:rsidRDefault="00F773C7">
      <w:pPr>
        <w:pBdr>
          <w:top w:val="nil"/>
          <w:left w:val="nil"/>
          <w:bottom w:val="nil"/>
          <w:right w:val="nil"/>
          <w:between w:val="nil"/>
        </w:pBdr>
        <w:jc w:val="both"/>
        <w:rPr>
          <w:rFonts w:ascii="Arial" w:eastAsia="Arial" w:hAnsi="Arial" w:cs="Arial"/>
        </w:rPr>
      </w:pPr>
    </w:p>
    <w:p w14:paraId="0773064D"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‌Seghi, R. R., Hewlett, E. R., &amp; Kim, J. (1989). Visual and instrumental colorimetric assessments of small color differences on translucent dental porcelain. </w:t>
      </w:r>
      <w:r>
        <w:rPr>
          <w:rFonts w:ascii="Arial" w:eastAsia="Arial" w:hAnsi="Arial" w:cs="Arial"/>
          <w:i/>
        </w:rPr>
        <w:t>Journal of Dental Research</w:t>
      </w:r>
      <w:r>
        <w:rPr>
          <w:rFonts w:ascii="Arial" w:eastAsia="Arial" w:hAnsi="Arial" w:cs="Arial"/>
        </w:rPr>
        <w:t xml:space="preserve">, 68(12), 1760–1764. </w:t>
      </w:r>
      <w:hyperlink r:id="rId45">
        <w:r w:rsidR="00F773C7">
          <w:rPr>
            <w:rFonts w:ascii="Arial" w:eastAsia="Arial" w:hAnsi="Arial" w:cs="Arial"/>
            <w:color w:val="1155CC"/>
            <w:u w:val="single"/>
          </w:rPr>
          <w:t>https://doi.org/10.1177/00220345890680120801</w:t>
        </w:r>
      </w:hyperlink>
    </w:p>
    <w:p w14:paraId="62C57EB4" w14:textId="77777777" w:rsidR="00F773C7" w:rsidRDefault="00F773C7">
      <w:pPr>
        <w:pBdr>
          <w:top w:val="nil"/>
          <w:left w:val="nil"/>
          <w:bottom w:val="nil"/>
          <w:right w:val="nil"/>
          <w:between w:val="nil"/>
        </w:pBdr>
        <w:jc w:val="both"/>
        <w:rPr>
          <w:rFonts w:ascii="Arial" w:eastAsia="Arial" w:hAnsi="Arial" w:cs="Arial"/>
        </w:rPr>
      </w:pPr>
    </w:p>
    <w:p w14:paraId="4D9AAB36"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Singh, R. P., Chidambara-Murthy, K. N., &amp; </w:t>
      </w:r>
      <w:proofErr w:type="spellStart"/>
      <w:r>
        <w:rPr>
          <w:rFonts w:ascii="Arial" w:eastAsia="Arial" w:hAnsi="Arial" w:cs="Arial"/>
        </w:rPr>
        <w:t>Jayaprakasha</w:t>
      </w:r>
      <w:proofErr w:type="spellEnd"/>
      <w:r>
        <w:rPr>
          <w:rFonts w:ascii="Arial" w:eastAsia="Arial" w:hAnsi="Arial" w:cs="Arial"/>
        </w:rPr>
        <w:t>, G. K. (2002). Studies on the Antioxidant Activity of Pomegranate (</w:t>
      </w:r>
      <w:proofErr w:type="spellStart"/>
      <w:r>
        <w:rPr>
          <w:rFonts w:ascii="Arial" w:eastAsia="Arial" w:hAnsi="Arial" w:cs="Arial"/>
        </w:rPr>
        <w:t>Punicagranatum</w:t>
      </w:r>
      <w:proofErr w:type="spellEnd"/>
      <w:r>
        <w:rPr>
          <w:rFonts w:ascii="Arial" w:eastAsia="Arial" w:hAnsi="Arial" w:cs="Arial"/>
        </w:rPr>
        <w:t xml:space="preserve">) Peel and Seed Extracts Using </w:t>
      </w:r>
      <w:proofErr w:type="gramStart"/>
      <w:r>
        <w:rPr>
          <w:rFonts w:ascii="Arial" w:eastAsia="Arial" w:hAnsi="Arial" w:cs="Arial"/>
        </w:rPr>
        <w:t>in Vitro</w:t>
      </w:r>
      <w:proofErr w:type="gramEnd"/>
      <w:r>
        <w:rPr>
          <w:rFonts w:ascii="Arial" w:eastAsia="Arial" w:hAnsi="Arial" w:cs="Arial"/>
        </w:rPr>
        <w:t xml:space="preserve"> Models. </w:t>
      </w:r>
      <w:r>
        <w:rPr>
          <w:rFonts w:ascii="Arial" w:eastAsia="Arial" w:hAnsi="Arial" w:cs="Arial"/>
          <w:i/>
        </w:rPr>
        <w:t>J</w:t>
      </w:r>
      <w:r>
        <w:rPr>
          <w:rFonts w:ascii="Arial" w:eastAsia="Arial" w:hAnsi="Arial" w:cs="Arial"/>
          <w:i/>
        </w:rPr>
        <w:t>ournal of Agricultural and Food Chemistry</w:t>
      </w:r>
      <w:r>
        <w:rPr>
          <w:rFonts w:ascii="Arial" w:eastAsia="Arial" w:hAnsi="Arial" w:cs="Arial"/>
        </w:rPr>
        <w:t xml:space="preserve">, 50(1), 81–86. </w:t>
      </w:r>
      <w:hyperlink r:id="rId46">
        <w:r w:rsidR="00F773C7">
          <w:rPr>
            <w:rFonts w:ascii="Arial" w:eastAsia="Arial" w:hAnsi="Arial" w:cs="Arial"/>
            <w:color w:val="1155CC"/>
            <w:u w:val="single"/>
          </w:rPr>
          <w:t>https://doi.org/10.1021/jf010865b</w:t>
        </w:r>
      </w:hyperlink>
    </w:p>
    <w:p w14:paraId="41A71F11" w14:textId="77777777" w:rsidR="00F773C7" w:rsidRDefault="00F773C7">
      <w:pPr>
        <w:pBdr>
          <w:top w:val="nil"/>
          <w:left w:val="nil"/>
          <w:bottom w:val="nil"/>
          <w:right w:val="nil"/>
          <w:between w:val="nil"/>
        </w:pBdr>
        <w:jc w:val="both"/>
        <w:rPr>
          <w:rFonts w:ascii="Arial" w:eastAsia="Arial" w:hAnsi="Arial" w:cs="Arial"/>
        </w:rPr>
      </w:pPr>
    </w:p>
    <w:p w14:paraId="435FB0F5" w14:textId="77777777" w:rsidR="00F773C7" w:rsidRDefault="00AD7B73">
      <w:pPr>
        <w:pBdr>
          <w:top w:val="nil"/>
          <w:left w:val="nil"/>
          <w:bottom w:val="nil"/>
          <w:right w:val="nil"/>
          <w:between w:val="nil"/>
        </w:pBdr>
        <w:jc w:val="both"/>
        <w:rPr>
          <w:rFonts w:ascii="Arial" w:eastAsia="Arial" w:hAnsi="Arial" w:cs="Arial"/>
        </w:rPr>
      </w:pPr>
      <w:proofErr w:type="spellStart"/>
      <w:r>
        <w:rPr>
          <w:rFonts w:ascii="Arial" w:eastAsia="Arial" w:hAnsi="Arial" w:cs="Arial"/>
        </w:rPr>
        <w:t>Sorgini</w:t>
      </w:r>
      <w:proofErr w:type="spellEnd"/>
      <w:r>
        <w:rPr>
          <w:rFonts w:ascii="Arial" w:eastAsia="Arial" w:hAnsi="Arial" w:cs="Arial"/>
        </w:rPr>
        <w:t>, D. B., Silva-Lovato, C. H., Muglia, V. A., Souza, R. F., Arruda, C. N., &amp; Paranhos, H. F. (2015). Adve</w:t>
      </w:r>
      <w:r>
        <w:rPr>
          <w:rFonts w:ascii="Arial" w:eastAsia="Arial" w:hAnsi="Arial" w:cs="Arial"/>
        </w:rPr>
        <w:t xml:space="preserve">rse effects on PMMA caused by mechanical and combined methods of denture cleansing. </w:t>
      </w:r>
      <w:r>
        <w:rPr>
          <w:rFonts w:ascii="Arial" w:eastAsia="Arial" w:hAnsi="Arial" w:cs="Arial"/>
          <w:i/>
        </w:rPr>
        <w:t>Brazilian Dental Journal</w:t>
      </w:r>
      <w:r>
        <w:rPr>
          <w:rFonts w:ascii="Arial" w:eastAsia="Arial" w:hAnsi="Arial" w:cs="Arial"/>
        </w:rPr>
        <w:t xml:space="preserve">, 26(3), 292–296. </w:t>
      </w:r>
      <w:hyperlink r:id="rId47">
        <w:r w:rsidR="00F773C7">
          <w:rPr>
            <w:rFonts w:ascii="Arial" w:eastAsia="Arial" w:hAnsi="Arial" w:cs="Arial"/>
            <w:color w:val="1155CC"/>
            <w:u w:val="single"/>
          </w:rPr>
          <w:t>https://doi.org/10.1590/0103-6440201300028</w:t>
        </w:r>
      </w:hyperlink>
    </w:p>
    <w:p w14:paraId="4914826B" w14:textId="77777777" w:rsidR="00F773C7" w:rsidRDefault="00F773C7">
      <w:pPr>
        <w:pBdr>
          <w:top w:val="nil"/>
          <w:left w:val="nil"/>
          <w:bottom w:val="nil"/>
          <w:right w:val="nil"/>
          <w:between w:val="nil"/>
        </w:pBdr>
        <w:jc w:val="both"/>
        <w:rPr>
          <w:rFonts w:ascii="Arial" w:eastAsia="Arial" w:hAnsi="Arial" w:cs="Arial"/>
        </w:rPr>
      </w:pPr>
    </w:p>
    <w:p w14:paraId="32DC0D6D" w14:textId="77777777" w:rsidR="00F773C7" w:rsidRDefault="00AD7B73">
      <w:pPr>
        <w:pBdr>
          <w:top w:val="nil"/>
          <w:left w:val="nil"/>
          <w:bottom w:val="nil"/>
          <w:right w:val="nil"/>
          <w:between w:val="nil"/>
        </w:pBdr>
        <w:jc w:val="both"/>
        <w:rPr>
          <w:rFonts w:ascii="Arial" w:eastAsia="Arial" w:hAnsi="Arial" w:cs="Arial"/>
        </w:rPr>
      </w:pPr>
      <w:proofErr w:type="spellStart"/>
      <w:r>
        <w:rPr>
          <w:rFonts w:ascii="Arial" w:eastAsia="Arial" w:hAnsi="Arial" w:cs="Arial"/>
        </w:rPr>
        <w:t>Takhtdar</w:t>
      </w:r>
      <w:proofErr w:type="spellEnd"/>
      <w:r>
        <w:rPr>
          <w:rFonts w:ascii="Arial" w:eastAsia="Arial" w:hAnsi="Arial" w:cs="Arial"/>
        </w:rPr>
        <w:t xml:space="preserve">, M., </w:t>
      </w:r>
      <w:proofErr w:type="spellStart"/>
      <w:r>
        <w:rPr>
          <w:rFonts w:ascii="Arial" w:eastAsia="Arial" w:hAnsi="Arial" w:cs="Arial"/>
        </w:rPr>
        <w:t>Azizimogha</w:t>
      </w:r>
      <w:r>
        <w:rPr>
          <w:rFonts w:ascii="Arial" w:eastAsia="Arial" w:hAnsi="Arial" w:cs="Arial"/>
        </w:rPr>
        <w:t>dam</w:t>
      </w:r>
      <w:proofErr w:type="spellEnd"/>
      <w:r>
        <w:rPr>
          <w:rFonts w:ascii="Arial" w:eastAsia="Arial" w:hAnsi="Arial" w:cs="Arial"/>
        </w:rPr>
        <w:t xml:space="preserve">, N., Kalantari, M. H., &amp; </w:t>
      </w:r>
      <w:proofErr w:type="spellStart"/>
      <w:r>
        <w:rPr>
          <w:rFonts w:ascii="Arial" w:eastAsia="Arial" w:hAnsi="Arial" w:cs="Arial"/>
        </w:rPr>
        <w:t>Mohaghegh</w:t>
      </w:r>
      <w:proofErr w:type="spellEnd"/>
      <w:r>
        <w:rPr>
          <w:rFonts w:ascii="Arial" w:eastAsia="Arial" w:hAnsi="Arial" w:cs="Arial"/>
        </w:rPr>
        <w:t>, M. (2023). Effect of denture cleansers on color stability and surface roughness of denture bases fabricated from three different techniques: Conventional heat-polymerizing, CAD/CAM additive, and CAD/CAM subtractive m</w:t>
      </w:r>
      <w:r>
        <w:rPr>
          <w:rFonts w:ascii="Arial" w:eastAsia="Arial" w:hAnsi="Arial" w:cs="Arial"/>
        </w:rPr>
        <w:t xml:space="preserve">anufacturing. </w:t>
      </w:r>
      <w:r>
        <w:rPr>
          <w:rFonts w:ascii="Arial" w:eastAsia="Arial" w:hAnsi="Arial" w:cs="Arial"/>
          <w:i/>
        </w:rPr>
        <w:t>Clinical and experimental dental research</w:t>
      </w:r>
      <w:r>
        <w:rPr>
          <w:rFonts w:ascii="Arial" w:eastAsia="Arial" w:hAnsi="Arial" w:cs="Arial"/>
        </w:rPr>
        <w:t xml:space="preserve">, 9(5), 840–850. </w:t>
      </w:r>
      <w:hyperlink r:id="rId48">
        <w:r w:rsidR="00F773C7">
          <w:rPr>
            <w:rFonts w:ascii="Arial" w:eastAsia="Arial" w:hAnsi="Arial" w:cs="Arial"/>
            <w:color w:val="1155CC"/>
            <w:u w:val="single"/>
          </w:rPr>
          <w:t>https://doi.org/10.1002/cre2.763</w:t>
        </w:r>
      </w:hyperlink>
      <w:r>
        <w:rPr>
          <w:rFonts w:ascii="Arial" w:eastAsia="Arial" w:hAnsi="Arial" w:cs="Arial"/>
        </w:rPr>
        <w:t xml:space="preserve"> </w:t>
      </w:r>
    </w:p>
    <w:p w14:paraId="3EFBDE2C" w14:textId="77777777" w:rsidR="00F773C7" w:rsidRDefault="00F773C7">
      <w:pPr>
        <w:pBdr>
          <w:top w:val="nil"/>
          <w:left w:val="nil"/>
          <w:bottom w:val="nil"/>
          <w:right w:val="nil"/>
          <w:between w:val="nil"/>
        </w:pBdr>
        <w:jc w:val="both"/>
        <w:rPr>
          <w:rFonts w:ascii="Arial" w:eastAsia="Arial" w:hAnsi="Arial" w:cs="Arial"/>
        </w:rPr>
      </w:pPr>
    </w:p>
    <w:p w14:paraId="5F871413"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Vasconcelos, L. C. S., Sampaio, F. C., Sampaio, M. C. C., Pereira, M. S. V., Higino, J. S., &amp; Pei</w:t>
      </w:r>
      <w:r>
        <w:rPr>
          <w:rFonts w:ascii="Arial" w:eastAsia="Arial" w:hAnsi="Arial" w:cs="Arial"/>
        </w:rPr>
        <w:t xml:space="preserve">xoto, M. H. P. (2006). Minimum inhibitory concentration of adherence of </w:t>
      </w:r>
      <w:r>
        <w:rPr>
          <w:rFonts w:ascii="Arial" w:eastAsia="Arial" w:hAnsi="Arial" w:cs="Arial"/>
          <w:i/>
        </w:rPr>
        <w:t>Punica granatum</w:t>
      </w:r>
      <w:r>
        <w:rPr>
          <w:rFonts w:ascii="Arial" w:eastAsia="Arial" w:hAnsi="Arial" w:cs="Arial"/>
        </w:rPr>
        <w:t xml:space="preserve"> Linn (pomegranate) gel against S. mutans, S. mitis and C. albicans. </w:t>
      </w:r>
      <w:r>
        <w:rPr>
          <w:rFonts w:ascii="Arial" w:eastAsia="Arial" w:hAnsi="Arial" w:cs="Arial"/>
          <w:i/>
        </w:rPr>
        <w:t>Brazilian Dental Journal</w:t>
      </w:r>
      <w:r>
        <w:rPr>
          <w:rFonts w:ascii="Arial" w:eastAsia="Arial" w:hAnsi="Arial" w:cs="Arial"/>
        </w:rPr>
        <w:t xml:space="preserve">, 17(3), 223–227. </w:t>
      </w:r>
      <w:hyperlink r:id="rId49">
        <w:r w:rsidR="00F773C7">
          <w:rPr>
            <w:rFonts w:ascii="Arial" w:eastAsia="Arial" w:hAnsi="Arial" w:cs="Arial"/>
            <w:color w:val="1155CC"/>
            <w:u w:val="single"/>
          </w:rPr>
          <w:t>https://doi.org/10.1590/s0103-64402006000300009</w:t>
        </w:r>
      </w:hyperlink>
    </w:p>
    <w:p w14:paraId="5C1A11CA" w14:textId="77777777" w:rsidR="00F773C7" w:rsidRDefault="00F773C7">
      <w:pPr>
        <w:pBdr>
          <w:top w:val="nil"/>
          <w:left w:val="nil"/>
          <w:bottom w:val="nil"/>
          <w:right w:val="nil"/>
          <w:between w:val="nil"/>
        </w:pBdr>
        <w:jc w:val="both"/>
        <w:rPr>
          <w:rFonts w:ascii="Arial" w:eastAsia="Arial" w:hAnsi="Arial" w:cs="Arial"/>
        </w:rPr>
      </w:pPr>
    </w:p>
    <w:p w14:paraId="6F295A02"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Vasconcelos, L. C. S., Sampaio, M. C. C., Sampaio, F. C., &amp; Higino, J. S. (2003). Use of </w:t>
      </w:r>
      <w:r>
        <w:rPr>
          <w:rFonts w:ascii="Arial" w:eastAsia="Arial" w:hAnsi="Arial" w:cs="Arial"/>
          <w:i/>
        </w:rPr>
        <w:t>Punica granatum</w:t>
      </w:r>
      <w:r>
        <w:rPr>
          <w:rFonts w:ascii="Arial" w:eastAsia="Arial" w:hAnsi="Arial" w:cs="Arial"/>
        </w:rPr>
        <w:t xml:space="preserve"> as an antifungal agent against </w:t>
      </w:r>
      <w:proofErr w:type="spellStart"/>
      <w:r>
        <w:rPr>
          <w:rFonts w:ascii="Arial" w:eastAsia="Arial" w:hAnsi="Arial" w:cs="Arial"/>
        </w:rPr>
        <w:t>candidosis</w:t>
      </w:r>
      <w:proofErr w:type="spellEnd"/>
      <w:r>
        <w:rPr>
          <w:rFonts w:ascii="Arial" w:eastAsia="Arial" w:hAnsi="Arial" w:cs="Arial"/>
        </w:rPr>
        <w:t xml:space="preserve"> associated with denture stomatitis. </w:t>
      </w:r>
      <w:proofErr w:type="spellStart"/>
      <w:r>
        <w:rPr>
          <w:rFonts w:ascii="Arial" w:eastAsia="Arial" w:hAnsi="Arial" w:cs="Arial"/>
        </w:rPr>
        <w:t>Verwendung</w:t>
      </w:r>
      <w:proofErr w:type="spellEnd"/>
      <w:r>
        <w:rPr>
          <w:rFonts w:ascii="Arial" w:eastAsia="Arial" w:hAnsi="Arial" w:cs="Arial"/>
        </w:rPr>
        <w:t xml:space="preserve"> von </w:t>
      </w:r>
      <w:proofErr w:type="spellStart"/>
      <w:r>
        <w:rPr>
          <w:rFonts w:ascii="Arial" w:eastAsia="Arial" w:hAnsi="Arial" w:cs="Arial"/>
          <w:i/>
        </w:rPr>
        <w:t>Punica</w:t>
      </w:r>
      <w:proofErr w:type="spellEnd"/>
      <w:r>
        <w:rPr>
          <w:rFonts w:ascii="Arial" w:eastAsia="Arial" w:hAnsi="Arial" w:cs="Arial"/>
          <w:i/>
        </w:rPr>
        <w:t xml:space="preserve"> </w:t>
      </w:r>
      <w:proofErr w:type="spellStart"/>
      <w:r>
        <w:rPr>
          <w:rFonts w:ascii="Arial" w:eastAsia="Arial" w:hAnsi="Arial" w:cs="Arial"/>
          <w:i/>
        </w:rPr>
        <w:t>granatum</w:t>
      </w:r>
      <w:proofErr w:type="spellEnd"/>
      <w:r>
        <w:rPr>
          <w:rFonts w:ascii="Arial" w:eastAsia="Arial" w:hAnsi="Arial" w:cs="Arial"/>
        </w:rPr>
        <w:t xml:space="preserve"> </w:t>
      </w:r>
      <w:proofErr w:type="spellStart"/>
      <w:r>
        <w:rPr>
          <w:rFonts w:ascii="Arial" w:eastAsia="Arial" w:hAnsi="Arial" w:cs="Arial"/>
        </w:rPr>
        <w:t>als</w:t>
      </w:r>
      <w:proofErr w:type="spellEnd"/>
      <w:r>
        <w:rPr>
          <w:rFonts w:ascii="Arial" w:eastAsia="Arial" w:hAnsi="Arial" w:cs="Arial"/>
        </w:rPr>
        <w:t xml:space="preserve"> </w:t>
      </w:r>
      <w:proofErr w:type="spellStart"/>
      <w:r>
        <w:rPr>
          <w:rFonts w:ascii="Arial" w:eastAsia="Arial" w:hAnsi="Arial" w:cs="Arial"/>
        </w:rPr>
        <w:t>Antimykotikum</w:t>
      </w:r>
      <w:proofErr w:type="spellEnd"/>
      <w:r>
        <w:rPr>
          <w:rFonts w:ascii="Arial" w:eastAsia="Arial" w:hAnsi="Arial" w:cs="Arial"/>
        </w:rPr>
        <w:t xml:space="preserve"> </w:t>
      </w:r>
      <w:proofErr w:type="spellStart"/>
      <w:r>
        <w:rPr>
          <w:rFonts w:ascii="Arial" w:eastAsia="Arial" w:hAnsi="Arial" w:cs="Arial"/>
        </w:rPr>
        <w:t>gegen</w:t>
      </w:r>
      <w:proofErr w:type="spellEnd"/>
      <w:r>
        <w:rPr>
          <w:rFonts w:ascii="Arial" w:eastAsia="Arial" w:hAnsi="Arial" w:cs="Arial"/>
        </w:rPr>
        <w:t xml:space="preserve"> </w:t>
      </w:r>
      <w:proofErr w:type="spellStart"/>
      <w:r>
        <w:rPr>
          <w:rFonts w:ascii="Arial" w:eastAsia="Arial" w:hAnsi="Arial" w:cs="Arial"/>
        </w:rPr>
        <w:t>Candidose</w:t>
      </w:r>
      <w:proofErr w:type="spellEnd"/>
      <w:r>
        <w:rPr>
          <w:rFonts w:ascii="Arial" w:eastAsia="Arial" w:hAnsi="Arial" w:cs="Arial"/>
        </w:rPr>
        <w:t xml:space="preserve"> in </w:t>
      </w:r>
      <w:proofErr w:type="spellStart"/>
      <w:r>
        <w:rPr>
          <w:rFonts w:ascii="Arial" w:eastAsia="Arial" w:hAnsi="Arial" w:cs="Arial"/>
        </w:rPr>
        <w:t>Verbindung</w:t>
      </w:r>
      <w:proofErr w:type="spellEnd"/>
      <w:r>
        <w:rPr>
          <w:rFonts w:ascii="Arial" w:eastAsia="Arial" w:hAnsi="Arial" w:cs="Arial"/>
        </w:rPr>
        <w:t xml:space="preserve"> </w:t>
      </w:r>
      <w:proofErr w:type="spellStart"/>
      <w:r>
        <w:rPr>
          <w:rFonts w:ascii="Arial" w:eastAsia="Arial" w:hAnsi="Arial" w:cs="Arial"/>
        </w:rPr>
        <w:t>mit</w:t>
      </w:r>
      <w:proofErr w:type="spellEnd"/>
      <w:r>
        <w:rPr>
          <w:rFonts w:ascii="Arial" w:eastAsia="Arial" w:hAnsi="Arial" w:cs="Arial"/>
        </w:rPr>
        <w:t xml:space="preserve"> </w:t>
      </w:r>
      <w:proofErr w:type="spellStart"/>
      <w:r>
        <w:rPr>
          <w:rFonts w:ascii="Arial" w:eastAsia="Arial" w:hAnsi="Arial" w:cs="Arial"/>
        </w:rPr>
        <w:t>Zahnprothesen</w:t>
      </w:r>
      <w:proofErr w:type="spellEnd"/>
      <w:r>
        <w:rPr>
          <w:rFonts w:ascii="Arial" w:eastAsia="Arial" w:hAnsi="Arial" w:cs="Arial"/>
        </w:rPr>
        <w:t xml:space="preserve">-Stomatitis. </w:t>
      </w:r>
      <w:r>
        <w:rPr>
          <w:rFonts w:ascii="Arial" w:eastAsia="Arial" w:hAnsi="Arial" w:cs="Arial"/>
          <w:i/>
        </w:rPr>
        <w:t>Mycoses</w:t>
      </w:r>
      <w:r>
        <w:rPr>
          <w:rFonts w:ascii="Arial" w:eastAsia="Arial" w:hAnsi="Arial" w:cs="Arial"/>
        </w:rPr>
        <w:t xml:space="preserve">, 46(5-6), 192–196. </w:t>
      </w:r>
      <w:hyperlink r:id="rId50">
        <w:r w:rsidR="00F773C7">
          <w:rPr>
            <w:rFonts w:ascii="Arial" w:eastAsia="Arial" w:hAnsi="Arial" w:cs="Arial"/>
            <w:color w:val="1155CC"/>
            <w:u w:val="single"/>
          </w:rPr>
          <w:t>https://doi.org/10.1046/j.1439-0507.2003.00884.x</w:t>
        </w:r>
      </w:hyperlink>
    </w:p>
    <w:p w14:paraId="206EE096" w14:textId="77777777" w:rsidR="00F773C7" w:rsidRDefault="00F773C7">
      <w:pPr>
        <w:pBdr>
          <w:top w:val="nil"/>
          <w:left w:val="nil"/>
          <w:bottom w:val="nil"/>
          <w:right w:val="nil"/>
          <w:between w:val="nil"/>
        </w:pBdr>
        <w:jc w:val="both"/>
        <w:rPr>
          <w:rFonts w:ascii="Arial" w:eastAsia="Arial" w:hAnsi="Arial" w:cs="Arial"/>
        </w:rPr>
      </w:pPr>
    </w:p>
    <w:p w14:paraId="58AA96A9" w14:textId="77777777" w:rsidR="00F773C7" w:rsidRDefault="00AD7B73">
      <w:pPr>
        <w:pBdr>
          <w:top w:val="nil"/>
          <w:left w:val="nil"/>
          <w:bottom w:val="nil"/>
          <w:right w:val="nil"/>
          <w:between w:val="nil"/>
        </w:pBdr>
        <w:jc w:val="both"/>
        <w:rPr>
          <w:rFonts w:ascii="Arial" w:eastAsia="Arial" w:hAnsi="Arial" w:cs="Arial"/>
        </w:rPr>
      </w:pPr>
      <w:r>
        <w:rPr>
          <w:rFonts w:ascii="Arial" w:eastAsia="Arial" w:hAnsi="Arial" w:cs="Arial"/>
        </w:rPr>
        <w:t xml:space="preserve">Veilleux, M. P., </w:t>
      </w:r>
      <w:r>
        <w:rPr>
          <w:rFonts w:ascii="Arial" w:eastAsia="Arial" w:hAnsi="Arial" w:cs="Arial"/>
        </w:rPr>
        <w:t xml:space="preserve">&amp; Grenier, D. (2019). Determination of the effects of cinnamon bark fractions on </w:t>
      </w:r>
      <w:r>
        <w:rPr>
          <w:rFonts w:ascii="Arial" w:eastAsia="Arial" w:hAnsi="Arial" w:cs="Arial"/>
          <w:i/>
        </w:rPr>
        <w:t>Candida albicans</w:t>
      </w:r>
      <w:r>
        <w:rPr>
          <w:rFonts w:ascii="Arial" w:eastAsia="Arial" w:hAnsi="Arial" w:cs="Arial"/>
        </w:rPr>
        <w:t xml:space="preserve"> and oral epithelial cells. </w:t>
      </w:r>
      <w:r>
        <w:rPr>
          <w:rFonts w:ascii="Arial" w:eastAsia="Arial" w:hAnsi="Arial" w:cs="Arial"/>
          <w:i/>
        </w:rPr>
        <w:t>BMC Complementary and Alternative Medicine</w:t>
      </w:r>
      <w:r>
        <w:rPr>
          <w:rFonts w:ascii="Arial" w:eastAsia="Arial" w:hAnsi="Arial" w:cs="Arial"/>
        </w:rPr>
        <w:t xml:space="preserve">, 19(1), e303. </w:t>
      </w:r>
      <w:hyperlink r:id="rId51">
        <w:r w:rsidR="00F773C7">
          <w:rPr>
            <w:rFonts w:ascii="Arial" w:eastAsia="Arial" w:hAnsi="Arial" w:cs="Arial"/>
            <w:color w:val="1155CC"/>
            <w:u w:val="single"/>
          </w:rPr>
          <w:t>https://doi.org/10.1186/s12906-019-2730-2</w:t>
        </w:r>
      </w:hyperlink>
    </w:p>
    <w:p w14:paraId="2362A5C4" w14:textId="77777777" w:rsidR="00F773C7" w:rsidRDefault="00F773C7">
      <w:pPr>
        <w:pBdr>
          <w:top w:val="nil"/>
          <w:left w:val="nil"/>
          <w:bottom w:val="nil"/>
          <w:right w:val="nil"/>
          <w:between w:val="nil"/>
        </w:pBdr>
        <w:jc w:val="both"/>
        <w:rPr>
          <w:rFonts w:ascii="Arial" w:eastAsia="Arial" w:hAnsi="Arial" w:cs="Arial"/>
        </w:rPr>
      </w:pPr>
    </w:p>
    <w:p w14:paraId="1A7E17EA" w14:textId="77777777" w:rsidR="00F773C7" w:rsidRDefault="00AD7B73">
      <w:pPr>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rPr>
        <w:lastRenderedPageBreak/>
        <w:t xml:space="preserve">Villalta, P., Lu, H., </w:t>
      </w:r>
      <w:proofErr w:type="spellStart"/>
      <w:r>
        <w:rPr>
          <w:rFonts w:ascii="Arial" w:eastAsia="Arial" w:hAnsi="Arial" w:cs="Arial"/>
        </w:rPr>
        <w:t>Okte</w:t>
      </w:r>
      <w:proofErr w:type="spellEnd"/>
      <w:r>
        <w:rPr>
          <w:rFonts w:ascii="Arial" w:eastAsia="Arial" w:hAnsi="Arial" w:cs="Arial"/>
        </w:rPr>
        <w:t xml:space="preserve">, Z., Garcia-Godoy, F., &amp; Powers, J. M. (2006). Effects of staining and bleaching on color change of dental composite resins. </w:t>
      </w:r>
      <w:r>
        <w:rPr>
          <w:rFonts w:ascii="Arial" w:eastAsia="Arial" w:hAnsi="Arial" w:cs="Arial"/>
          <w:i/>
        </w:rPr>
        <w:t>The Journal of Prosthetic Dentistry</w:t>
      </w:r>
      <w:r>
        <w:rPr>
          <w:rFonts w:ascii="Arial" w:eastAsia="Arial" w:hAnsi="Arial" w:cs="Arial"/>
        </w:rPr>
        <w:t xml:space="preserve">, 95(2), 137–142. </w:t>
      </w:r>
      <w:hyperlink r:id="rId52">
        <w:r w:rsidR="00F773C7">
          <w:rPr>
            <w:rFonts w:ascii="Arial" w:eastAsia="Arial" w:hAnsi="Arial" w:cs="Arial"/>
            <w:color w:val="1155CC"/>
            <w:u w:val="single"/>
          </w:rPr>
          <w:t>https://doi.org/10.1016/j.prosdent.2005.11.019</w:t>
        </w:r>
      </w:hyperlink>
    </w:p>
    <w:sectPr w:rsidR="00F773C7" w:rsidSect="00FD54EC">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47879" w14:textId="77777777" w:rsidR="00AD7B73" w:rsidRDefault="00AD7B73">
      <w:r>
        <w:separator/>
      </w:r>
    </w:p>
  </w:endnote>
  <w:endnote w:type="continuationSeparator" w:id="0">
    <w:p w14:paraId="25E942E9" w14:textId="77777777" w:rsidR="00AD7B73" w:rsidRDefault="00AD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239C2670-AFA6-457B-BDA9-61C52885E05E}"/>
    <w:embedBold r:id="rId2" w:fontKey="{DC825FCD-975B-4DF2-BE9A-43ADE6B3467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3" w:fontKey="{F5B5839C-2C98-4908-AF5A-A31147252216}"/>
  </w:font>
  <w:font w:name="Helvetica">
    <w:panose1 w:val="020B0604020202020204"/>
    <w:charset w:val="00"/>
    <w:family w:val="swiss"/>
    <w:pitch w:val="variable"/>
    <w:sig w:usb0="E0002EFF" w:usb1="C000785B" w:usb2="00000009" w:usb3="00000000" w:csb0="000001FF" w:csb1="00000000"/>
    <w:embedRegular r:id="rId4" w:fontKey="{B8F40808-504B-402E-BB73-80F96B91A119}"/>
  </w:font>
  <w:font w:name="Tahoma">
    <w:panose1 w:val="020B0604030504040204"/>
    <w:charset w:val="00"/>
    <w:family w:val="swiss"/>
    <w:pitch w:val="variable"/>
    <w:sig w:usb0="E1002EFF" w:usb1="C000605B" w:usb2="00000029" w:usb3="00000000" w:csb0="000101FF" w:csb1="00000000"/>
    <w:embedRegular r:id="rId5" w:fontKey="{8857CF54-084B-4B35-AB32-3690EC426A9D}"/>
  </w:font>
  <w:font w:name="Georgia">
    <w:panose1 w:val="02040502050405020303"/>
    <w:charset w:val="00"/>
    <w:family w:val="roman"/>
    <w:pitch w:val="variable"/>
    <w:sig w:usb0="00000287" w:usb1="00000000" w:usb2="00000000" w:usb3="00000000" w:csb0="0000009F" w:csb1="00000000"/>
    <w:embedRegular r:id="rId6" w:fontKey="{79827F03-193F-4129-94C4-77497ED11327}"/>
    <w:embedItalic r:id="rId7" w:fontKey="{F3A57393-A379-4319-BA9C-2C9823E7B4AE}"/>
  </w:font>
  <w:font w:name="Arial Unicode MS">
    <w:panose1 w:val="020B0604020202020204"/>
    <w:charset w:val="80"/>
    <w:family w:val="swiss"/>
    <w:pitch w:val="variable"/>
    <w:sig w:usb0="F7FFAFFF" w:usb1="E9DFFFFF" w:usb2="0000003F" w:usb3="00000000" w:csb0="003F01FF" w:csb1="00000000"/>
    <w:embedRegular r:id="rId8" w:subsetted="1" w:fontKey="{72D7654E-D7D3-4EA2-B5DD-A743B8FCCA3F}"/>
  </w:font>
  <w:font w:name="Cambria">
    <w:panose1 w:val="02040503050406030204"/>
    <w:charset w:val="00"/>
    <w:family w:val="roman"/>
    <w:pitch w:val="variable"/>
    <w:sig w:usb0="E00006FF" w:usb1="420024FF" w:usb2="02000000" w:usb3="00000000" w:csb0="0000019F" w:csb1="00000000"/>
    <w:embedRegular r:id="rId9" w:fontKey="{BAC9EC82-9503-4B47-AFED-80405F613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404F9" w14:textId="77777777" w:rsidR="00F773C7" w:rsidRDefault="00F773C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97A90" w14:textId="77777777" w:rsidR="00FD54EC" w:rsidRDefault="00FD5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E39F" w14:textId="439226A3" w:rsidR="00F773C7" w:rsidRPr="00FF595E" w:rsidRDefault="00F773C7" w:rsidP="00FF595E">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0EAE" w14:textId="77777777" w:rsidR="00F773C7" w:rsidRDefault="00F773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387EA" w14:textId="77777777" w:rsidR="00AD7B73" w:rsidRDefault="00AD7B73">
      <w:r>
        <w:separator/>
      </w:r>
    </w:p>
  </w:footnote>
  <w:footnote w:type="continuationSeparator" w:id="0">
    <w:p w14:paraId="69E23B74" w14:textId="77777777" w:rsidR="00AD7B73" w:rsidRDefault="00AD7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954D" w14:textId="41293E24" w:rsidR="00F773C7" w:rsidRDefault="00FD54EC">
    <w:pPr>
      <w:pBdr>
        <w:top w:val="nil"/>
        <w:left w:val="nil"/>
        <w:bottom w:val="nil"/>
        <w:right w:val="nil"/>
        <w:between w:val="nil"/>
      </w:pBdr>
      <w:tabs>
        <w:tab w:val="center" w:pos="4320"/>
        <w:tab w:val="right" w:pos="8640"/>
      </w:tabs>
      <w:rPr>
        <w:color w:val="000000"/>
      </w:rPr>
    </w:pPr>
    <w:r>
      <w:rPr>
        <w:noProof/>
      </w:rPr>
      <w:pict w14:anchorId="60F20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326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8DA1" w14:textId="68068515" w:rsidR="00F773C7" w:rsidRDefault="00FD54EC">
    <w:pPr>
      <w:pBdr>
        <w:top w:val="nil"/>
        <w:left w:val="nil"/>
        <w:bottom w:val="nil"/>
        <w:right w:val="nil"/>
        <w:between w:val="nil"/>
      </w:pBdr>
      <w:tabs>
        <w:tab w:val="center" w:pos="4320"/>
        <w:tab w:val="right" w:pos="8640"/>
      </w:tabs>
      <w:rPr>
        <w:color w:val="000000"/>
      </w:rPr>
    </w:pPr>
    <w:r>
      <w:rPr>
        <w:noProof/>
      </w:rPr>
      <w:pict w14:anchorId="571F54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326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97A8" w14:textId="526BA54B" w:rsidR="00F773C7" w:rsidRDefault="00FD54EC">
    <w:pPr>
      <w:ind w:left="2160"/>
      <w:jc w:val="center"/>
      <w:rPr>
        <w:rFonts w:ascii="Times New Roman" w:eastAsia="Times New Roman" w:hAnsi="Times New Roman" w:cs="Times New Roman"/>
        <w:i/>
        <w:sz w:val="18"/>
        <w:szCs w:val="18"/>
      </w:rPr>
    </w:pPr>
    <w:r>
      <w:rPr>
        <w:noProof/>
      </w:rPr>
      <w:pict w14:anchorId="5C26A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3268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FCCAC38" w14:textId="77777777" w:rsidR="00F773C7" w:rsidRDefault="00AD7B7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9F7D649" w14:textId="77777777" w:rsidR="00F773C7" w:rsidRDefault="00AD7B7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3E45E66" w14:textId="77777777" w:rsidR="00F773C7" w:rsidRDefault="00AD7B7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B064B83" w14:textId="77777777" w:rsidR="00F773C7" w:rsidRDefault="00AD7B7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B8BE656" w14:textId="77777777" w:rsidR="00F773C7" w:rsidRDefault="00AD7B7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11053ED" w14:textId="77777777" w:rsidR="00F773C7" w:rsidRDefault="00AD7B73">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11B4" w14:textId="4C3A3564" w:rsidR="00FD54EC" w:rsidRDefault="00FD54EC">
    <w:pPr>
      <w:pStyle w:val="Header"/>
    </w:pPr>
    <w:r>
      <w:rPr>
        <w:noProof/>
      </w:rPr>
      <w:pict w14:anchorId="7DDE1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3268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76FA" w14:textId="7B5E1732" w:rsidR="00FD54EC" w:rsidRDefault="00FD54EC">
    <w:pPr>
      <w:pStyle w:val="Header"/>
    </w:pPr>
    <w:r>
      <w:rPr>
        <w:noProof/>
      </w:rPr>
      <w:pict w14:anchorId="1CF84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3268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EE07C" w14:textId="593A46C9" w:rsidR="00FD54EC" w:rsidRDefault="00FD54EC">
    <w:pPr>
      <w:pStyle w:val="Header"/>
    </w:pPr>
    <w:r>
      <w:rPr>
        <w:noProof/>
      </w:rPr>
      <w:pict w14:anchorId="27148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3268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EF6137"/>
    <w:multiLevelType w:val="multilevel"/>
    <w:tmpl w:val="B1EE9BD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3C7"/>
    <w:rsid w:val="00092C3C"/>
    <w:rsid w:val="000B450F"/>
    <w:rsid w:val="00335AE3"/>
    <w:rsid w:val="006527F8"/>
    <w:rsid w:val="00764307"/>
    <w:rsid w:val="0082128A"/>
    <w:rsid w:val="00AD3A74"/>
    <w:rsid w:val="00AD7B73"/>
    <w:rsid w:val="00B977E2"/>
    <w:rsid w:val="00C04C52"/>
    <w:rsid w:val="00D73152"/>
    <w:rsid w:val="00F24008"/>
    <w:rsid w:val="00F773C7"/>
    <w:rsid w:val="00FD54EC"/>
    <w:rsid w:val="00FF595E"/>
    <w:rsid w:val="00FF75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9EC9A0"/>
  <w15:docId w15:val="{3E42464F-9B23-4A8B-85BA-2A2DD3A4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643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111/jopr.12680" TargetMode="External"/><Relationship Id="rId26" Type="http://schemas.openxmlformats.org/officeDocument/2006/relationships/hyperlink" Target="https://doi.org/10.1111/jopr.13801" TargetMode="External"/><Relationship Id="rId39" Type="http://schemas.openxmlformats.org/officeDocument/2006/relationships/hyperlink" Target="https://doi.org/10.1016/j.aanat.2022.152026" TargetMode="External"/><Relationship Id="rId21" Type="http://schemas.openxmlformats.org/officeDocument/2006/relationships/hyperlink" Target="https://doi.org/10.1590/S1678-9946201658017" TargetMode="External"/><Relationship Id="rId34" Type="http://schemas.openxmlformats.org/officeDocument/2006/relationships/hyperlink" Target="https://doi.org/10.4103/jpbs.jpbs_781_21" TargetMode="External"/><Relationship Id="rId42" Type="http://schemas.openxmlformats.org/officeDocument/2006/relationships/hyperlink" Target="https://doi.org/10.3390/antibiotics13030273" TargetMode="External"/><Relationship Id="rId47" Type="http://schemas.openxmlformats.org/officeDocument/2006/relationships/hyperlink" Target="https://doi.org/10.1590/0103-6440201300028" TargetMode="External"/><Relationship Id="rId50" Type="http://schemas.openxmlformats.org/officeDocument/2006/relationships/hyperlink" Target="https://doi.org/10.1046/j.1439-0507.2003.00884.x"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j.1532-849x.2012.00906.x" TargetMode="External"/><Relationship Id="rId29" Type="http://schemas.openxmlformats.org/officeDocument/2006/relationships/hyperlink" Target="https://doi.org/10.17219/dmp/112861" TargetMode="External"/><Relationship Id="rId11" Type="http://schemas.openxmlformats.org/officeDocument/2006/relationships/footer" Target="footer2.xml"/><Relationship Id="rId24" Type="http://schemas.openxmlformats.org/officeDocument/2006/relationships/hyperlink" Target="https://doi.org/10.3390/app15031503" TargetMode="External"/><Relationship Id="rId32" Type="http://schemas.openxmlformats.org/officeDocument/2006/relationships/hyperlink" Target="https://doi.org/10.1016/j.jdent.2009.03.011" TargetMode="External"/><Relationship Id="rId37" Type="http://schemas.openxmlformats.org/officeDocument/2006/relationships/hyperlink" Target="https://doi.org/10.1016/j.fct.2008.04.035" TargetMode="External"/><Relationship Id="rId40" Type="http://schemas.openxmlformats.org/officeDocument/2006/relationships/hyperlink" Target="https://doi.org/10.1111/j.1532-849X.2010.00592.x" TargetMode="External"/><Relationship Id="rId45" Type="http://schemas.openxmlformats.org/officeDocument/2006/relationships/hyperlink" Target="https://doi.org/10.1177/00220345890680120801"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3390/polym1402023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yperlink" Target="https://doi.org/10.1016/j.prosdent.2023.06.027" TargetMode="External"/><Relationship Id="rId27" Type="http://schemas.openxmlformats.org/officeDocument/2006/relationships/hyperlink" Target="https://pubmed.ncbi.nlm.nih.gov/26742168/" TargetMode="External"/><Relationship Id="rId30" Type="http://schemas.openxmlformats.org/officeDocument/2006/relationships/hyperlink" Target="https://doi.org/10.1111/j.1532-849x.2011.00698.x" TargetMode="External"/><Relationship Id="rId35" Type="http://schemas.openxmlformats.org/officeDocument/2006/relationships/hyperlink" Target="https://doi.org/10.1111/jopr.13687" TargetMode="External"/><Relationship Id="rId43" Type="http://schemas.openxmlformats.org/officeDocument/2006/relationships/hyperlink" Target="https://doi.org/10.1016/S0109-5641(87)80081-7" TargetMode="External"/><Relationship Id="rId48" Type="http://schemas.openxmlformats.org/officeDocument/2006/relationships/hyperlink" Target="https://doi.org/10.1002/cre2.763"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1186/s12906-019-2730-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j.prosdent.2019.09.024" TargetMode="External"/><Relationship Id="rId25" Type="http://schemas.openxmlformats.org/officeDocument/2006/relationships/hyperlink" Target="https://doi.org/10.1111/j.1532-849X.2010.00683.x" TargetMode="External"/><Relationship Id="rId33" Type="http://schemas.openxmlformats.org/officeDocument/2006/relationships/hyperlink" Target="https://pubmed.ncbi.nlm.nih.gov/18590349/" TargetMode="External"/><Relationship Id="rId38" Type="http://schemas.openxmlformats.org/officeDocument/2006/relationships/hyperlink" Target="https://doi.org/10.3389/fmicb.2015.01391" TargetMode="External"/><Relationship Id="rId46" Type="http://schemas.openxmlformats.org/officeDocument/2006/relationships/hyperlink" Target="https://doi.org/10.1021/jf010865b" TargetMode="External"/><Relationship Id="rId20" Type="http://schemas.openxmlformats.org/officeDocument/2006/relationships/hyperlink" Target="https://doi.org/10.1080/08927014.2021.1885649" TargetMode="External"/><Relationship Id="rId41" Type="http://schemas.openxmlformats.org/officeDocument/2006/relationships/hyperlink" Target="https://doi.org/10.1088/1742-6596/1073/6/062015"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08927014.2017.1407408" TargetMode="External"/><Relationship Id="rId23" Type="http://schemas.openxmlformats.org/officeDocument/2006/relationships/hyperlink" Target="https://dx.doi.org/10.5530/jyp.2021.13.12" TargetMode="External"/><Relationship Id="rId28" Type="http://schemas.openxmlformats.org/officeDocument/2006/relationships/hyperlink" Target="https://doi.org/10.1590/s1678-77572009000200009" TargetMode="External"/><Relationship Id="rId36" Type="http://schemas.openxmlformats.org/officeDocument/2006/relationships/hyperlink" Target="https://pubmed.ncbi.nlm.nih.gov/26201226" TargetMode="External"/><Relationship Id="rId49" Type="http://schemas.openxmlformats.org/officeDocument/2006/relationships/hyperlink" Target="https://doi.org/10.1590/s0103-64402006000300009"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doi.org/10.1111/jgs.14399" TargetMode="External"/><Relationship Id="rId44" Type="http://schemas.openxmlformats.org/officeDocument/2006/relationships/hyperlink" Target="https://doi.org/10.1002/jbm.b.31027" TargetMode="External"/><Relationship Id="rId52" Type="http://schemas.openxmlformats.org/officeDocument/2006/relationships/hyperlink" Target="https://doi.org/10.1016/j.prosdent.2005.11.0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7Ngwve9dws4mjG82bCM6wg4hlA==">CgMxLjAaJAoBMBIfCh0IB0IZCgVBcmlhbBIQQXJpYWwgVW5pY29kZSBNUzIOaC5hMnFldjJvNHhlNXYyDmguaTU3aGNodmJ6NmJhMg5oLjh3NzU5d3gwYjJmbDgAciExOE84UklEb2QzZXY0dWRRRml2ZV9IdlV6N0pwSG9xSE4=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5571</Words>
  <Characters>31758</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9</cp:revision>
  <dcterms:created xsi:type="dcterms:W3CDTF">2025-08-26T13:09:00Z</dcterms:created>
  <dcterms:modified xsi:type="dcterms:W3CDTF">2025-08-27T10:08:00Z</dcterms:modified>
</cp:coreProperties>
</file>