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E69B1A" w14:textId="09D016F2" w:rsidR="00B9441B" w:rsidRPr="00AB21C8" w:rsidRDefault="00144A3E" w:rsidP="000A2043">
      <w:pPr>
        <w:jc w:val="center"/>
        <w:rPr>
          <w:rFonts w:ascii="Times New Roman" w:hAnsi="Times New Roman" w:cs="Times New Roman"/>
          <w:b/>
          <w:sz w:val="24"/>
          <w:szCs w:val="24"/>
        </w:rPr>
      </w:pPr>
      <w:r w:rsidRPr="00AB21C8">
        <w:rPr>
          <w:rFonts w:ascii="Times New Roman" w:hAnsi="Times New Roman" w:cs="Times New Roman"/>
          <w:b/>
          <w:sz w:val="24"/>
          <w:szCs w:val="24"/>
        </w:rPr>
        <w:t xml:space="preserve">Women </w:t>
      </w:r>
      <w:r w:rsidR="00693FED" w:rsidRPr="00AB21C8">
        <w:rPr>
          <w:rFonts w:ascii="Times New Roman" w:hAnsi="Times New Roman" w:cs="Times New Roman"/>
          <w:b/>
          <w:sz w:val="24"/>
          <w:szCs w:val="24"/>
        </w:rPr>
        <w:t xml:space="preserve">Economic </w:t>
      </w:r>
      <w:r w:rsidRPr="00AB21C8">
        <w:rPr>
          <w:rFonts w:ascii="Times New Roman" w:hAnsi="Times New Roman" w:cs="Times New Roman"/>
          <w:b/>
          <w:sz w:val="24"/>
          <w:szCs w:val="24"/>
        </w:rPr>
        <w:t>Empowerment</w:t>
      </w:r>
      <w:r w:rsidR="00693FED" w:rsidRPr="00AB21C8">
        <w:rPr>
          <w:rFonts w:ascii="Times New Roman" w:hAnsi="Times New Roman" w:cs="Times New Roman"/>
          <w:b/>
          <w:sz w:val="24"/>
          <w:szCs w:val="24"/>
        </w:rPr>
        <w:t xml:space="preserve">: The </w:t>
      </w:r>
      <w:r w:rsidRPr="00AB21C8">
        <w:rPr>
          <w:rFonts w:ascii="Times New Roman" w:hAnsi="Times New Roman" w:cs="Times New Roman"/>
          <w:b/>
          <w:sz w:val="24"/>
          <w:szCs w:val="24"/>
        </w:rPr>
        <w:t>Impact</w:t>
      </w:r>
      <w:r w:rsidR="00693FED" w:rsidRPr="00AB21C8">
        <w:rPr>
          <w:rFonts w:ascii="Times New Roman" w:hAnsi="Times New Roman" w:cs="Times New Roman"/>
          <w:b/>
          <w:sz w:val="24"/>
          <w:szCs w:val="24"/>
        </w:rPr>
        <w:t xml:space="preserve"> of Village Banking on Women’s Welfare in Kaunda Square Stage One, Lusaka</w:t>
      </w:r>
    </w:p>
    <w:p w14:paraId="5FBD70DC" w14:textId="77777777" w:rsidR="008600A4" w:rsidRDefault="008600A4" w:rsidP="000A2043">
      <w:pPr>
        <w:jc w:val="center"/>
        <w:rPr>
          <w:rFonts w:ascii="Times New Roman" w:hAnsi="Times New Roman" w:cs="Times New Roman"/>
          <w:sz w:val="24"/>
          <w:szCs w:val="24"/>
        </w:rPr>
      </w:pPr>
    </w:p>
    <w:p w14:paraId="6DBCA222" w14:textId="77777777" w:rsidR="001031E1" w:rsidRPr="00AB21C8" w:rsidRDefault="001031E1" w:rsidP="000A2043">
      <w:pPr>
        <w:jc w:val="center"/>
        <w:rPr>
          <w:rFonts w:ascii="Times New Roman" w:hAnsi="Times New Roman" w:cs="Times New Roman"/>
          <w:sz w:val="24"/>
          <w:szCs w:val="24"/>
        </w:rPr>
      </w:pPr>
    </w:p>
    <w:p w14:paraId="6C741856" w14:textId="281F3F4B" w:rsidR="00B9441B" w:rsidRPr="001031E1" w:rsidRDefault="001031E1">
      <w:pPr>
        <w:rPr>
          <w:rFonts w:ascii="Times New Roman" w:hAnsi="Times New Roman" w:cs="Times New Roman"/>
          <w:b/>
          <w:bCs/>
          <w:sz w:val="24"/>
          <w:szCs w:val="24"/>
        </w:rPr>
      </w:pPr>
      <w:r w:rsidRPr="001031E1">
        <w:rPr>
          <w:rFonts w:ascii="Times New Roman" w:hAnsi="Times New Roman" w:cs="Times New Roman"/>
          <w:b/>
          <w:bCs/>
          <w:sz w:val="24"/>
          <w:szCs w:val="24"/>
        </w:rPr>
        <w:t xml:space="preserve">ABSTRACT </w:t>
      </w:r>
    </w:p>
    <w:p w14:paraId="62B761B7" w14:textId="4B1510F4" w:rsidR="00EA7DB9" w:rsidRPr="00EA7DB9" w:rsidRDefault="00EA7DB9" w:rsidP="00B41EA9">
      <w:pPr>
        <w:spacing w:line="360" w:lineRule="auto"/>
        <w:jc w:val="both"/>
        <w:rPr>
          <w:rFonts w:ascii="Times New Roman" w:hAnsi="Times New Roman" w:cs="Times New Roman"/>
          <w:color w:val="000000"/>
          <w:sz w:val="24"/>
          <w:szCs w:val="24"/>
        </w:rPr>
      </w:pPr>
      <w:r w:rsidRPr="00EA7DB9">
        <w:rPr>
          <w:rFonts w:ascii="Times New Roman" w:hAnsi="Times New Roman" w:cs="Times New Roman"/>
          <w:color w:val="000000"/>
          <w:sz w:val="24"/>
          <w:szCs w:val="24"/>
        </w:rPr>
        <w:t>In many developing countries, women have often been excluded from key economic progress</w:t>
      </w:r>
      <w:r w:rsidR="00CD6A9E">
        <w:rPr>
          <w:rFonts w:ascii="Times New Roman" w:hAnsi="Times New Roman" w:cs="Times New Roman"/>
          <w:color w:val="000000"/>
          <w:sz w:val="24"/>
          <w:szCs w:val="24"/>
        </w:rPr>
        <w:t>;</w:t>
      </w:r>
      <w:r>
        <w:rPr>
          <w:rFonts w:ascii="Times New Roman" w:hAnsi="Times New Roman" w:cs="Times New Roman"/>
          <w:color w:val="000000"/>
          <w:sz w:val="24"/>
          <w:szCs w:val="24"/>
        </w:rPr>
        <w:t xml:space="preserve"> as</w:t>
      </w:r>
      <w:r w:rsidR="00CD6A9E">
        <w:rPr>
          <w:rFonts w:ascii="Times New Roman" w:hAnsi="Times New Roman" w:cs="Times New Roman"/>
          <w:color w:val="000000"/>
          <w:sz w:val="24"/>
          <w:szCs w:val="24"/>
        </w:rPr>
        <w:t xml:space="preserve"> a result, </w:t>
      </w:r>
      <w:r>
        <w:rPr>
          <w:rFonts w:ascii="Times New Roman" w:hAnsi="Times New Roman" w:cs="Times New Roman"/>
          <w:color w:val="000000"/>
          <w:sz w:val="24"/>
          <w:szCs w:val="24"/>
        </w:rPr>
        <w:t>v</w:t>
      </w:r>
      <w:r w:rsidRPr="00EA7DB9">
        <w:rPr>
          <w:rFonts w:ascii="Times New Roman" w:hAnsi="Times New Roman" w:cs="Times New Roman"/>
          <w:color w:val="000000"/>
          <w:sz w:val="24"/>
          <w:szCs w:val="24"/>
        </w:rPr>
        <w:t xml:space="preserve">arious affirmative action strategies have been introduced to strengthen their role in development. This research </w:t>
      </w:r>
      <w:r>
        <w:rPr>
          <w:rFonts w:ascii="Times New Roman" w:hAnsi="Times New Roman" w:cs="Times New Roman"/>
          <w:color w:val="000000"/>
          <w:sz w:val="24"/>
          <w:szCs w:val="24"/>
        </w:rPr>
        <w:t>investigates</w:t>
      </w:r>
      <w:r w:rsidRPr="00EA7DB9">
        <w:rPr>
          <w:rFonts w:ascii="Times New Roman" w:hAnsi="Times New Roman" w:cs="Times New Roman"/>
          <w:color w:val="000000"/>
          <w:sz w:val="24"/>
          <w:szCs w:val="24"/>
        </w:rPr>
        <w:t xml:space="preserve"> the influence of village banking on the economic well-being of women in Kaunda Square, Lusaka. A mixed-methods design was employed, gathering data via both surveys and interviews from 90 randomly chosen pa</w:t>
      </w:r>
      <w:bookmarkStart w:id="0" w:name="_GoBack"/>
      <w:bookmarkEnd w:id="0"/>
      <w:r w:rsidRPr="00EA7DB9">
        <w:rPr>
          <w:rFonts w:ascii="Times New Roman" w:hAnsi="Times New Roman" w:cs="Times New Roman"/>
          <w:color w:val="000000"/>
          <w:sz w:val="24"/>
          <w:szCs w:val="24"/>
        </w:rPr>
        <w:t>rticipants involved in village banking. Results demonstrate that village banking significantly facilitated business growth by offering crucial access to capital. This financial support had a positive effect on participants' incomes, allowing them to afford healthcare, engage in entrepreneurial activities, and ensure their children’s education, thus improving their quality of life. Nevertheless, challenges like short repayment timelines and poor record management were identified as obstacles to maximizing its impact. The study suggests solutions such as providing financial literacy training, implementing clearer guidelines, and holding regular meetings to strengthen the benefits of village banking. This work contributes to the ongoing conversation about the power of village banking in supporting women’s economic independence, enabling them to launch or expand businesses and gain financial stability. Recommendations include focusing on women’s education, offering vocational programs, and establishing responsible lending monitoring mechanisms to further uplift women’s livelihoods.</w:t>
      </w:r>
    </w:p>
    <w:p w14:paraId="15329270" w14:textId="77777777" w:rsidR="00EA7DB9" w:rsidRDefault="00EA7DB9" w:rsidP="00B41EA9">
      <w:pPr>
        <w:spacing w:line="360" w:lineRule="auto"/>
        <w:jc w:val="both"/>
        <w:rPr>
          <w:rFonts w:ascii="Times New Roman" w:hAnsi="Times New Roman" w:cs="Times New Roman"/>
          <w:b/>
          <w:sz w:val="24"/>
          <w:szCs w:val="24"/>
        </w:rPr>
      </w:pPr>
    </w:p>
    <w:p w14:paraId="438E92E2" w14:textId="08573901" w:rsidR="000F33B2" w:rsidRPr="00EA7DB9" w:rsidRDefault="00011A1A" w:rsidP="00B41EA9">
      <w:pPr>
        <w:spacing w:line="360" w:lineRule="auto"/>
        <w:jc w:val="both"/>
        <w:rPr>
          <w:rFonts w:ascii="Times New Roman" w:hAnsi="Times New Roman" w:cs="Times New Roman"/>
          <w:i/>
          <w:sz w:val="24"/>
          <w:szCs w:val="24"/>
        </w:rPr>
      </w:pPr>
      <w:r w:rsidRPr="00EA7DB9">
        <w:rPr>
          <w:rFonts w:ascii="Times New Roman" w:hAnsi="Times New Roman" w:cs="Times New Roman"/>
          <w:b/>
          <w:sz w:val="24"/>
          <w:szCs w:val="24"/>
        </w:rPr>
        <w:t>Keywords</w:t>
      </w:r>
      <w:r w:rsidR="000F33B2" w:rsidRPr="00EA7DB9">
        <w:rPr>
          <w:rFonts w:ascii="Times New Roman" w:hAnsi="Times New Roman" w:cs="Times New Roman"/>
          <w:sz w:val="24"/>
          <w:szCs w:val="24"/>
        </w:rPr>
        <w:t>:</w:t>
      </w:r>
      <w:r w:rsidR="00B9441B" w:rsidRPr="00EA7DB9">
        <w:rPr>
          <w:rFonts w:ascii="Times New Roman" w:hAnsi="Times New Roman" w:cs="Times New Roman"/>
          <w:i/>
          <w:sz w:val="24"/>
          <w:szCs w:val="24"/>
        </w:rPr>
        <w:t xml:space="preserve"> village banking, women's economic welfare</w:t>
      </w:r>
      <w:r w:rsidR="005862E8" w:rsidRPr="00EA7DB9">
        <w:rPr>
          <w:rFonts w:ascii="Times New Roman" w:hAnsi="Times New Roman" w:cs="Times New Roman"/>
          <w:i/>
          <w:sz w:val="24"/>
          <w:szCs w:val="24"/>
        </w:rPr>
        <w:t>, microfinance</w:t>
      </w:r>
    </w:p>
    <w:p w14:paraId="4FA5C0F7" w14:textId="77777777" w:rsidR="005862E8" w:rsidRPr="00992262" w:rsidRDefault="005862E8" w:rsidP="00E539D9">
      <w:pPr>
        <w:spacing w:line="360" w:lineRule="auto"/>
        <w:jc w:val="both"/>
        <w:rPr>
          <w:rFonts w:ascii="Times New Roman" w:hAnsi="Times New Roman" w:cs="Times New Roman"/>
          <w:sz w:val="24"/>
          <w:szCs w:val="24"/>
        </w:rPr>
      </w:pPr>
    </w:p>
    <w:p w14:paraId="24E8ADE8" w14:textId="77777777" w:rsidR="00F076A2" w:rsidRDefault="00F076A2" w:rsidP="00E539D9">
      <w:pPr>
        <w:spacing w:line="360" w:lineRule="auto"/>
        <w:jc w:val="both"/>
        <w:rPr>
          <w:rFonts w:ascii="Times New Roman" w:hAnsi="Times New Roman" w:cs="Times New Roman"/>
          <w:i/>
          <w:sz w:val="24"/>
          <w:szCs w:val="24"/>
        </w:rPr>
      </w:pPr>
    </w:p>
    <w:p w14:paraId="1D5BB823" w14:textId="77777777" w:rsidR="00992262" w:rsidRPr="00992262" w:rsidRDefault="00992262" w:rsidP="00E539D9">
      <w:pPr>
        <w:spacing w:line="360" w:lineRule="auto"/>
        <w:jc w:val="both"/>
        <w:rPr>
          <w:rFonts w:ascii="Times New Roman" w:hAnsi="Times New Roman" w:cs="Times New Roman"/>
          <w:sz w:val="24"/>
          <w:szCs w:val="24"/>
        </w:rPr>
      </w:pPr>
    </w:p>
    <w:p w14:paraId="4F34149B" w14:textId="77777777" w:rsidR="009B6A7E" w:rsidRPr="00A373C0" w:rsidRDefault="00D05A70" w:rsidP="006C0203">
      <w:pPr>
        <w:pStyle w:val="ListParagraph"/>
        <w:numPr>
          <w:ilvl w:val="0"/>
          <w:numId w:val="11"/>
        </w:numPr>
        <w:spacing w:line="360" w:lineRule="auto"/>
        <w:rPr>
          <w:rFonts w:ascii="Times New Roman" w:hAnsi="Times New Roman" w:cs="Times New Roman"/>
          <w:b/>
          <w:sz w:val="24"/>
          <w:szCs w:val="24"/>
        </w:rPr>
      </w:pPr>
      <w:r w:rsidRPr="00A373C0">
        <w:rPr>
          <w:rFonts w:ascii="Times New Roman" w:hAnsi="Times New Roman" w:cs="Times New Roman"/>
          <w:b/>
          <w:sz w:val="24"/>
          <w:szCs w:val="24"/>
        </w:rPr>
        <w:t>INTRODUCTION</w:t>
      </w:r>
    </w:p>
    <w:p w14:paraId="5F240E9D" w14:textId="6D35BDA4" w:rsidR="00011A1A" w:rsidRPr="00AB21C8" w:rsidRDefault="003C4E1A" w:rsidP="006C0203">
      <w:pPr>
        <w:spacing w:line="360" w:lineRule="auto"/>
        <w:jc w:val="both"/>
        <w:rPr>
          <w:rFonts w:ascii="Times New Roman" w:hAnsi="Times New Roman" w:cs="Times New Roman"/>
          <w:sz w:val="24"/>
          <w:szCs w:val="24"/>
        </w:rPr>
      </w:pPr>
      <w:r w:rsidRPr="003C4E1A">
        <w:rPr>
          <w:rFonts w:ascii="Times New Roman" w:hAnsi="Times New Roman" w:cs="Times New Roman"/>
          <w:sz w:val="24"/>
          <w:szCs w:val="24"/>
        </w:rPr>
        <w:t>In recent years, there has been growing recognition of women's empowerment as a key catalyst for economic development, particularly in rural and underserved areas globally</w:t>
      </w:r>
      <w:r w:rsidR="00037CE0">
        <w:rPr>
          <w:rFonts w:ascii="Times New Roman" w:hAnsi="Times New Roman" w:cs="Times New Roman"/>
          <w:sz w:val="24"/>
          <w:szCs w:val="24"/>
        </w:rPr>
        <w:t xml:space="preserve"> </w:t>
      </w:r>
      <w:r w:rsidRPr="003C4E1A">
        <w:rPr>
          <w:rFonts w:ascii="Times New Roman" w:hAnsi="Times New Roman" w:cs="Times New Roman"/>
          <w:sz w:val="24"/>
          <w:szCs w:val="24"/>
        </w:rPr>
        <w:t>(Nihangaza and Kwizera, 2023). At the forefront of efforts to promote this empowerment is microfinance, alternatively referred to as community banking (Mponzi et al, 2023).</w:t>
      </w:r>
      <w:r>
        <w:rPr>
          <w:rFonts w:ascii="Times New Roman" w:hAnsi="Times New Roman" w:cs="Times New Roman"/>
          <w:sz w:val="24"/>
          <w:szCs w:val="24"/>
        </w:rPr>
        <w:t xml:space="preserve"> </w:t>
      </w:r>
      <w:r w:rsidR="003C25D0">
        <w:rPr>
          <w:rFonts w:ascii="Times New Roman" w:hAnsi="Times New Roman" w:cs="Times New Roman"/>
          <w:sz w:val="24"/>
          <w:szCs w:val="24"/>
        </w:rPr>
        <w:t xml:space="preserve"> </w:t>
      </w:r>
      <w:r>
        <w:rPr>
          <w:rFonts w:ascii="Times New Roman" w:hAnsi="Times New Roman" w:cs="Times New Roman"/>
          <w:sz w:val="24"/>
          <w:szCs w:val="24"/>
        </w:rPr>
        <w:t>M</w:t>
      </w:r>
      <w:r w:rsidRPr="003C4E1A">
        <w:rPr>
          <w:rFonts w:ascii="Times New Roman" w:hAnsi="Times New Roman" w:cs="Times New Roman"/>
          <w:sz w:val="24"/>
          <w:szCs w:val="24"/>
        </w:rPr>
        <w:t xml:space="preserve">icrofinance </w:t>
      </w:r>
      <w:r w:rsidR="00037CE0">
        <w:rPr>
          <w:rFonts w:ascii="Times New Roman" w:hAnsi="Times New Roman" w:cs="Times New Roman"/>
          <w:sz w:val="24"/>
          <w:szCs w:val="24"/>
        </w:rPr>
        <w:t>i</w:t>
      </w:r>
      <w:r>
        <w:rPr>
          <w:rFonts w:ascii="Times New Roman" w:hAnsi="Times New Roman" w:cs="Times New Roman"/>
          <w:sz w:val="24"/>
          <w:szCs w:val="24"/>
        </w:rPr>
        <w:t xml:space="preserve">s </w:t>
      </w:r>
      <w:r w:rsidRPr="003C4E1A">
        <w:rPr>
          <w:rFonts w:ascii="Times New Roman" w:hAnsi="Times New Roman" w:cs="Times New Roman"/>
          <w:sz w:val="24"/>
          <w:szCs w:val="24"/>
        </w:rPr>
        <w:t xml:space="preserve">the delivery of financial services such as credit, savings, insurance, and payment services to individuals or </w:t>
      </w:r>
      <w:r w:rsidRPr="003C4E1A">
        <w:rPr>
          <w:rFonts w:ascii="Times New Roman" w:hAnsi="Times New Roman" w:cs="Times New Roman"/>
          <w:sz w:val="24"/>
          <w:szCs w:val="24"/>
        </w:rPr>
        <w:lastRenderedPageBreak/>
        <w:t>groups with limited access to traditional banking, aiming to foster entrepreneurship, economic independence, and poverty reduction" (Smith et al., 2023).</w:t>
      </w:r>
      <w:r>
        <w:rPr>
          <w:rFonts w:ascii="Times New Roman" w:hAnsi="Times New Roman" w:cs="Times New Roman"/>
          <w:sz w:val="24"/>
          <w:szCs w:val="24"/>
        </w:rPr>
        <w:t xml:space="preserve"> </w:t>
      </w:r>
      <w:r w:rsidR="00011A1A" w:rsidRPr="00AB21C8">
        <w:rPr>
          <w:rFonts w:ascii="Times New Roman" w:hAnsi="Times New Roman" w:cs="Times New Roman"/>
          <w:sz w:val="24"/>
          <w:szCs w:val="24"/>
        </w:rPr>
        <w:t xml:space="preserve">At its core, </w:t>
      </w:r>
      <w:r w:rsidR="00037CE0">
        <w:rPr>
          <w:rFonts w:ascii="Times New Roman" w:hAnsi="Times New Roman" w:cs="Times New Roman"/>
          <w:sz w:val="24"/>
          <w:szCs w:val="24"/>
        </w:rPr>
        <w:t>m</w:t>
      </w:r>
      <w:r w:rsidR="003C25D0">
        <w:rPr>
          <w:rFonts w:ascii="Times New Roman" w:hAnsi="Times New Roman" w:cs="Times New Roman"/>
          <w:sz w:val="24"/>
          <w:szCs w:val="24"/>
        </w:rPr>
        <w:t xml:space="preserve">icrofinance also </w:t>
      </w:r>
      <w:r w:rsidR="00037CE0">
        <w:rPr>
          <w:rFonts w:ascii="Times New Roman" w:hAnsi="Times New Roman" w:cs="Times New Roman"/>
          <w:sz w:val="24"/>
          <w:szCs w:val="24"/>
        </w:rPr>
        <w:t xml:space="preserve">known as </w:t>
      </w:r>
      <w:r w:rsidR="003C25D0">
        <w:rPr>
          <w:rFonts w:ascii="Times New Roman" w:hAnsi="Times New Roman" w:cs="Times New Roman"/>
          <w:sz w:val="24"/>
          <w:szCs w:val="24"/>
        </w:rPr>
        <w:t>village banking</w:t>
      </w:r>
      <w:r w:rsidR="00011A1A" w:rsidRPr="00AB21C8">
        <w:rPr>
          <w:rFonts w:ascii="Times New Roman" w:hAnsi="Times New Roman" w:cs="Times New Roman"/>
          <w:sz w:val="24"/>
          <w:szCs w:val="24"/>
        </w:rPr>
        <w:t xml:space="preserve"> </w:t>
      </w:r>
      <w:r w:rsidR="00037CE0">
        <w:rPr>
          <w:rFonts w:ascii="Times New Roman" w:hAnsi="Times New Roman" w:cs="Times New Roman"/>
          <w:sz w:val="24"/>
          <w:szCs w:val="24"/>
        </w:rPr>
        <w:t xml:space="preserve">in some literature, </w:t>
      </w:r>
      <w:r w:rsidR="00011A1A" w:rsidRPr="00AB21C8">
        <w:rPr>
          <w:rFonts w:ascii="Times New Roman" w:hAnsi="Times New Roman" w:cs="Times New Roman"/>
          <w:sz w:val="24"/>
          <w:szCs w:val="24"/>
        </w:rPr>
        <w:t>represents a grassroots approach to financial inclusion, offering small loans, savings facilities, and other financial services to individuals who lack access to traditional banking institutions</w:t>
      </w:r>
      <w:r w:rsidR="0021096E" w:rsidRPr="00AB21C8">
        <w:rPr>
          <w:rFonts w:ascii="Times New Roman" w:hAnsi="Times New Roman" w:cs="Times New Roman"/>
          <w:sz w:val="24"/>
          <w:szCs w:val="24"/>
        </w:rPr>
        <w:t xml:space="preserve"> (Sibeso, 2022)</w:t>
      </w:r>
      <w:r w:rsidR="00011A1A" w:rsidRPr="00AB21C8">
        <w:rPr>
          <w:rFonts w:ascii="Times New Roman" w:hAnsi="Times New Roman" w:cs="Times New Roman"/>
          <w:sz w:val="24"/>
          <w:szCs w:val="24"/>
        </w:rPr>
        <w:t>. These services are often provided through community-based organizations or cooperatives, allowing members to pool their resources and support one another in their entrepreneurial endeavors</w:t>
      </w:r>
      <w:r w:rsidR="0021096E" w:rsidRPr="00AB21C8">
        <w:rPr>
          <w:rFonts w:ascii="Times New Roman" w:hAnsi="Times New Roman" w:cs="Times New Roman"/>
          <w:sz w:val="24"/>
          <w:szCs w:val="24"/>
        </w:rPr>
        <w:t xml:space="preserve"> (Tan et al, 2024)</w:t>
      </w:r>
      <w:r w:rsidR="00011A1A" w:rsidRPr="00AB21C8">
        <w:rPr>
          <w:rFonts w:ascii="Times New Roman" w:hAnsi="Times New Roman" w:cs="Times New Roman"/>
          <w:sz w:val="24"/>
          <w:szCs w:val="24"/>
        </w:rPr>
        <w:t>.</w:t>
      </w:r>
    </w:p>
    <w:p w14:paraId="175FBB99" w14:textId="77777777" w:rsidR="00CD6A9E" w:rsidRDefault="00011A1A" w:rsidP="00CD6A9E">
      <w:pPr>
        <w:spacing w:before="240" w:after="240" w:line="360" w:lineRule="auto"/>
        <w:jc w:val="both"/>
        <w:rPr>
          <w:rFonts w:ascii="Times New Roman" w:hAnsi="Times New Roman" w:cs="Times New Roman"/>
          <w:sz w:val="24"/>
          <w:szCs w:val="24"/>
        </w:rPr>
      </w:pPr>
      <w:r w:rsidRPr="00AB21C8">
        <w:rPr>
          <w:rFonts w:ascii="Times New Roman" w:hAnsi="Times New Roman" w:cs="Times New Roman"/>
          <w:sz w:val="24"/>
          <w:szCs w:val="24"/>
        </w:rPr>
        <w:t>However, the intersection of village banking and women's empowerment raises complex questions and sparks debates within academic circles and development agencies</w:t>
      </w:r>
      <w:r w:rsidR="003C25D0">
        <w:rPr>
          <w:rFonts w:ascii="Times New Roman" w:hAnsi="Times New Roman" w:cs="Times New Roman"/>
          <w:sz w:val="24"/>
          <w:szCs w:val="24"/>
        </w:rPr>
        <w:t xml:space="preserve"> (Amreen, et al 2024)</w:t>
      </w:r>
      <w:r w:rsidRPr="00AB21C8">
        <w:rPr>
          <w:rFonts w:ascii="Times New Roman" w:hAnsi="Times New Roman" w:cs="Times New Roman"/>
          <w:sz w:val="24"/>
          <w:szCs w:val="24"/>
        </w:rPr>
        <w:t xml:space="preserve">. </w:t>
      </w:r>
      <w:r w:rsidR="00356B29">
        <w:rPr>
          <w:rFonts w:ascii="Times New Roman" w:hAnsi="Times New Roman" w:cs="Times New Roman"/>
          <w:sz w:val="24"/>
          <w:szCs w:val="24"/>
        </w:rPr>
        <w:t>On the one hand</w:t>
      </w:r>
      <w:r w:rsidRPr="00AB21C8">
        <w:rPr>
          <w:rFonts w:ascii="Times New Roman" w:hAnsi="Times New Roman" w:cs="Times New Roman"/>
          <w:sz w:val="24"/>
          <w:szCs w:val="24"/>
        </w:rPr>
        <w:t>, proponents argue that village banking can be a powerful tool for advancing gender equality by providing women with the financial resources and autonomy needed to start businesses, invest in education, and assert greater control over their lives</w:t>
      </w:r>
      <w:r w:rsidR="0021096E" w:rsidRPr="00AB21C8">
        <w:rPr>
          <w:rFonts w:ascii="Times New Roman" w:hAnsi="Times New Roman" w:cs="Times New Roman"/>
          <w:sz w:val="24"/>
          <w:szCs w:val="24"/>
        </w:rPr>
        <w:t xml:space="preserve"> (</w:t>
      </w:r>
      <w:bookmarkStart w:id="1" w:name="_Hlk205480908"/>
      <w:r w:rsidR="00913BB4">
        <w:rPr>
          <w:rFonts w:ascii="Times New Roman" w:hAnsi="Times New Roman" w:cs="Times New Roman"/>
          <w:sz w:val="24"/>
          <w:szCs w:val="24"/>
        </w:rPr>
        <w:t>Siamabele and Phiri, 2021;</w:t>
      </w:r>
      <w:bookmarkEnd w:id="1"/>
      <w:r w:rsidR="00913BB4">
        <w:rPr>
          <w:rFonts w:ascii="Times New Roman" w:hAnsi="Times New Roman" w:cs="Times New Roman"/>
          <w:sz w:val="24"/>
          <w:szCs w:val="24"/>
        </w:rPr>
        <w:t xml:space="preserve"> </w:t>
      </w:r>
      <w:r w:rsidR="0021096E" w:rsidRPr="00AB21C8">
        <w:rPr>
          <w:rFonts w:ascii="Times New Roman" w:hAnsi="Times New Roman" w:cs="Times New Roman"/>
          <w:sz w:val="24"/>
          <w:szCs w:val="24"/>
        </w:rPr>
        <w:t>Noureen, 2023)</w:t>
      </w:r>
      <w:r w:rsidRPr="00AB21C8">
        <w:rPr>
          <w:rFonts w:ascii="Times New Roman" w:hAnsi="Times New Roman" w:cs="Times New Roman"/>
          <w:sz w:val="24"/>
          <w:szCs w:val="24"/>
        </w:rPr>
        <w:t>.</w:t>
      </w:r>
    </w:p>
    <w:p w14:paraId="55BE90FB" w14:textId="77777777" w:rsidR="00CD6A9E" w:rsidRDefault="00011A1A" w:rsidP="00CD6A9E">
      <w:pPr>
        <w:spacing w:before="240" w:after="240" w:line="360" w:lineRule="auto"/>
        <w:jc w:val="both"/>
        <w:rPr>
          <w:rFonts w:ascii="Times New Roman" w:hAnsi="Times New Roman" w:cs="Times New Roman"/>
          <w:sz w:val="24"/>
          <w:szCs w:val="24"/>
        </w:rPr>
      </w:pPr>
      <w:r w:rsidRPr="00AB21C8">
        <w:rPr>
          <w:rFonts w:ascii="Times New Roman" w:hAnsi="Times New Roman" w:cs="Times New Roman"/>
          <w:sz w:val="24"/>
          <w:szCs w:val="24"/>
        </w:rPr>
        <w:t>For instance, a study by Duflo et al. (2015) found that participation in microfinance programs led to a significant increase in women's empowerment, as measured by indicators such as decision-making power within the household and access to resources.</w:t>
      </w:r>
      <w:r w:rsidR="00C15DCE">
        <w:rPr>
          <w:rFonts w:ascii="Times New Roman" w:hAnsi="Times New Roman" w:cs="Times New Roman"/>
          <w:sz w:val="24"/>
          <w:szCs w:val="24"/>
        </w:rPr>
        <w:t xml:space="preserve"> For meaningful participation to be seen, communities ought to understand the importance of participation and its purpose. This will enhance their interest and help them know reasons why they should take interest in microfinance programs as they define their livelihoods (Siamabele, 2019).</w:t>
      </w:r>
      <w:r w:rsidRPr="00AB21C8">
        <w:rPr>
          <w:rFonts w:ascii="Times New Roman" w:hAnsi="Times New Roman" w:cs="Times New Roman"/>
          <w:sz w:val="24"/>
          <w:szCs w:val="24"/>
        </w:rPr>
        <w:t xml:space="preserve"> Similarly, Kabeer (2005) highlights the transformative potential of microfinance in challenging traditional gender roles and empowering women to participate more a</w:t>
      </w:r>
      <w:r w:rsidR="0021096E" w:rsidRPr="00AB21C8">
        <w:rPr>
          <w:rFonts w:ascii="Times New Roman" w:hAnsi="Times New Roman" w:cs="Times New Roman"/>
          <w:sz w:val="24"/>
          <w:szCs w:val="24"/>
        </w:rPr>
        <w:t>ctively in economic activities.</w:t>
      </w:r>
      <w:r w:rsidR="00F167F3">
        <w:rPr>
          <w:rFonts w:ascii="Times New Roman" w:hAnsi="Times New Roman" w:cs="Times New Roman"/>
          <w:sz w:val="24"/>
          <w:szCs w:val="24"/>
        </w:rPr>
        <w:t xml:space="preserve"> Moreover, a study by Ngwebano (2023) adds that the </w:t>
      </w:r>
      <w:r w:rsidR="00F167F3" w:rsidRPr="00F167F3">
        <w:rPr>
          <w:rFonts w:ascii="Times New Roman" w:hAnsi="Times New Roman" w:cs="Times New Roman"/>
          <w:sz w:val="24"/>
          <w:szCs w:val="24"/>
        </w:rPr>
        <w:t>relationship between improvements in living standards and</w:t>
      </w:r>
      <w:r w:rsidR="008C5FA1">
        <w:rPr>
          <w:rFonts w:ascii="Times New Roman" w:hAnsi="Times New Roman" w:cs="Times New Roman"/>
          <w:sz w:val="24"/>
          <w:szCs w:val="24"/>
        </w:rPr>
        <w:t xml:space="preserve"> Village</w:t>
      </w:r>
      <w:r w:rsidR="00F167F3">
        <w:rPr>
          <w:rFonts w:ascii="Times New Roman" w:hAnsi="Times New Roman" w:cs="Times New Roman"/>
          <w:sz w:val="24"/>
          <w:szCs w:val="24"/>
        </w:rPr>
        <w:t xml:space="preserve"> banking is rather positive.</w:t>
      </w:r>
    </w:p>
    <w:p w14:paraId="3E1C137C" w14:textId="77777777" w:rsidR="00CD6A9E" w:rsidRDefault="00011A1A" w:rsidP="00CD6A9E">
      <w:pPr>
        <w:spacing w:before="240" w:after="240" w:line="360" w:lineRule="auto"/>
        <w:jc w:val="both"/>
        <w:rPr>
          <w:rFonts w:ascii="Times New Roman" w:hAnsi="Times New Roman" w:cs="Times New Roman"/>
          <w:sz w:val="24"/>
          <w:szCs w:val="24"/>
        </w:rPr>
      </w:pPr>
      <w:r w:rsidRPr="00AB21C8">
        <w:rPr>
          <w:rFonts w:ascii="Times New Roman" w:hAnsi="Times New Roman" w:cs="Times New Roman"/>
          <w:sz w:val="24"/>
          <w:szCs w:val="24"/>
        </w:rPr>
        <w:t>On the other hand, critics raise concerns about the effectiveness and sustainability of village banking initiatives, particularly in terms of their impact on women's empowerment</w:t>
      </w:r>
      <w:r w:rsidR="008C5FA1">
        <w:rPr>
          <w:rFonts w:ascii="Times New Roman" w:hAnsi="Times New Roman" w:cs="Times New Roman"/>
          <w:sz w:val="24"/>
          <w:szCs w:val="24"/>
        </w:rPr>
        <w:t xml:space="preserve"> (Kivalya and Montes, 2024)</w:t>
      </w:r>
      <w:r w:rsidRPr="00AB21C8">
        <w:rPr>
          <w:rFonts w:ascii="Times New Roman" w:hAnsi="Times New Roman" w:cs="Times New Roman"/>
          <w:sz w:val="24"/>
          <w:szCs w:val="24"/>
        </w:rPr>
        <w:t>. Some argue that while microfinance may provide temporary relief from poverty, it often fails to address the underlying structural barriers that perpetuate gender inequality, such as limited access to education, healthcare, and property rights (Bateman, 2010)</w:t>
      </w:r>
      <w:r w:rsidR="00F167F3">
        <w:rPr>
          <w:rFonts w:ascii="Times New Roman" w:hAnsi="Times New Roman" w:cs="Times New Roman"/>
          <w:sz w:val="24"/>
          <w:szCs w:val="24"/>
        </w:rPr>
        <w:t xml:space="preserve">, Further, </w:t>
      </w:r>
      <w:r w:rsidR="00F167F3" w:rsidRPr="00F167F3">
        <w:rPr>
          <w:rFonts w:ascii="Times New Roman" w:hAnsi="Times New Roman" w:cs="Times New Roman"/>
          <w:sz w:val="24"/>
          <w:szCs w:val="24"/>
        </w:rPr>
        <w:t xml:space="preserve">Copestake </w:t>
      </w:r>
      <w:r w:rsidR="008C5FA1">
        <w:rPr>
          <w:rFonts w:ascii="Times New Roman" w:hAnsi="Times New Roman" w:cs="Times New Roman"/>
          <w:sz w:val="24"/>
          <w:szCs w:val="24"/>
        </w:rPr>
        <w:t xml:space="preserve">(2002) </w:t>
      </w:r>
      <w:r w:rsidR="00F167F3" w:rsidRPr="00F167F3">
        <w:rPr>
          <w:rFonts w:ascii="Times New Roman" w:hAnsi="Times New Roman" w:cs="Times New Roman"/>
          <w:sz w:val="24"/>
          <w:szCs w:val="24"/>
        </w:rPr>
        <w:t xml:space="preserve">argued that village banking and similar microcredit initiatives can exacerbate economic </w:t>
      </w:r>
      <w:r w:rsidR="00F167F3" w:rsidRPr="00F167F3">
        <w:rPr>
          <w:rFonts w:ascii="Times New Roman" w:hAnsi="Times New Roman" w:cs="Times New Roman"/>
          <w:sz w:val="24"/>
          <w:szCs w:val="24"/>
        </w:rPr>
        <w:lastRenderedPageBreak/>
        <w:t>inequality within communities</w:t>
      </w:r>
      <w:r w:rsidR="008C5FA1">
        <w:rPr>
          <w:rFonts w:ascii="Times New Roman" w:hAnsi="Times New Roman" w:cs="Times New Roman"/>
          <w:sz w:val="24"/>
          <w:szCs w:val="24"/>
        </w:rPr>
        <w:t xml:space="preserve"> while Dichter (2006)</w:t>
      </w:r>
      <w:r w:rsidR="008C5FA1" w:rsidRPr="008C5FA1">
        <w:rPr>
          <w:rFonts w:ascii="Times New Roman" w:hAnsi="Times New Roman" w:cs="Times New Roman"/>
          <w:sz w:val="24"/>
          <w:szCs w:val="24"/>
        </w:rPr>
        <w:t xml:space="preserve"> argued that village banking often fails to deliver sustainable economic development and can create dependency on credit rather than fostering genuine entrepreneurial growth</w:t>
      </w:r>
      <w:r w:rsidRPr="00AB21C8">
        <w:rPr>
          <w:rFonts w:ascii="Times New Roman" w:hAnsi="Times New Roman" w:cs="Times New Roman"/>
          <w:sz w:val="24"/>
          <w:szCs w:val="24"/>
        </w:rPr>
        <w:t>. Additionally, there are concerns about the potential for microfinance to increase women's vulnerability to debt and exploitation, particularly in contexts where interest rates are high and repayment requirements</w:t>
      </w:r>
      <w:r w:rsidR="007F3C47" w:rsidRPr="00AB21C8">
        <w:rPr>
          <w:rFonts w:ascii="Times New Roman" w:hAnsi="Times New Roman" w:cs="Times New Roman"/>
          <w:sz w:val="24"/>
          <w:szCs w:val="24"/>
        </w:rPr>
        <w:t xml:space="preserve"> are stringent </w:t>
      </w:r>
      <w:r w:rsidR="009B7209" w:rsidRPr="009B7209">
        <w:rPr>
          <w:rFonts w:ascii="Times New Roman" w:hAnsi="Times New Roman" w:cs="Times New Roman"/>
          <w:sz w:val="24"/>
          <w:szCs w:val="24"/>
        </w:rPr>
        <w:t>especially</w:t>
      </w:r>
      <w:r w:rsidR="009B7209">
        <w:rPr>
          <w:rFonts w:ascii="Times New Roman" w:hAnsi="Times New Roman" w:cs="Times New Roman"/>
          <w:sz w:val="24"/>
          <w:szCs w:val="24"/>
        </w:rPr>
        <w:t xml:space="preserve"> </w:t>
      </w:r>
      <w:r w:rsidR="009B7209" w:rsidRPr="009B7209">
        <w:rPr>
          <w:rFonts w:ascii="Times New Roman" w:hAnsi="Times New Roman" w:cs="Times New Roman"/>
          <w:sz w:val="24"/>
          <w:szCs w:val="24"/>
        </w:rPr>
        <w:t>amidst different constraining factors like COVID-19</w:t>
      </w:r>
      <w:r w:rsidR="009B7209">
        <w:rPr>
          <w:rFonts w:ascii="Times New Roman" w:hAnsi="Times New Roman" w:cs="Times New Roman"/>
          <w:sz w:val="24"/>
          <w:szCs w:val="24"/>
        </w:rPr>
        <w:t xml:space="preserve"> and climate change </w:t>
      </w:r>
      <w:r w:rsidR="009B7209" w:rsidRPr="009B7209">
        <w:rPr>
          <w:rFonts w:ascii="Times New Roman" w:hAnsi="Times New Roman" w:cs="Times New Roman"/>
          <w:sz w:val="24"/>
          <w:szCs w:val="24"/>
        </w:rPr>
        <w:t>(Mojakisane et</w:t>
      </w:r>
      <w:r w:rsidR="009B7209">
        <w:rPr>
          <w:rFonts w:ascii="Times New Roman" w:hAnsi="Times New Roman" w:cs="Times New Roman"/>
          <w:sz w:val="24"/>
          <w:szCs w:val="24"/>
        </w:rPr>
        <w:t xml:space="preserve"> al., 2023; Morduch et al 2023)</w:t>
      </w:r>
      <w:r w:rsidRPr="00AB21C8">
        <w:rPr>
          <w:rFonts w:ascii="Times New Roman" w:hAnsi="Times New Roman" w:cs="Times New Roman"/>
          <w:sz w:val="24"/>
          <w:szCs w:val="24"/>
        </w:rPr>
        <w:t>.</w:t>
      </w:r>
    </w:p>
    <w:p w14:paraId="133CAD47" w14:textId="1DFD7DEB" w:rsidR="000B1C45" w:rsidRPr="00AB21C8" w:rsidRDefault="00011A1A" w:rsidP="006C0203">
      <w:pPr>
        <w:spacing w:before="240" w:after="240" w:line="360" w:lineRule="auto"/>
        <w:jc w:val="both"/>
        <w:rPr>
          <w:rFonts w:ascii="Times New Roman" w:hAnsi="Times New Roman" w:cs="Times New Roman"/>
          <w:sz w:val="24"/>
          <w:szCs w:val="24"/>
        </w:rPr>
      </w:pPr>
      <w:r w:rsidRPr="00AB21C8">
        <w:rPr>
          <w:rFonts w:ascii="Times New Roman" w:hAnsi="Times New Roman" w:cs="Times New Roman"/>
          <w:sz w:val="24"/>
          <w:szCs w:val="24"/>
        </w:rPr>
        <w:t>In light of these debates and concerns, it is evident that village banking and women's empowerment constitute a rich and multifaceted area of study that merits further exploration. By delving into the complexities of this relationship, researchers can gain valuable insights into the mechanisms through which microfinance impacts women's lives, as well as the factors that shape its effectiveness in different contexts</w:t>
      </w:r>
      <w:r w:rsidR="008C5FA1">
        <w:rPr>
          <w:rFonts w:ascii="Times New Roman" w:hAnsi="Times New Roman" w:cs="Times New Roman"/>
          <w:sz w:val="24"/>
          <w:szCs w:val="24"/>
        </w:rPr>
        <w:t xml:space="preserve"> </w:t>
      </w:r>
      <w:r w:rsidR="007F3C47" w:rsidRPr="00AB21C8">
        <w:rPr>
          <w:rFonts w:ascii="Times New Roman" w:hAnsi="Times New Roman" w:cs="Times New Roman"/>
          <w:sz w:val="24"/>
          <w:szCs w:val="24"/>
        </w:rPr>
        <w:t>(Choudhary and Jain</w:t>
      </w:r>
      <w:r w:rsidR="008C5FA1">
        <w:rPr>
          <w:rFonts w:ascii="Times New Roman" w:hAnsi="Times New Roman" w:cs="Times New Roman"/>
          <w:sz w:val="24"/>
          <w:szCs w:val="24"/>
        </w:rPr>
        <w:t>,</w:t>
      </w:r>
      <w:r w:rsidR="007F3C47" w:rsidRPr="00AB21C8">
        <w:rPr>
          <w:rFonts w:ascii="Times New Roman" w:hAnsi="Times New Roman" w:cs="Times New Roman"/>
          <w:sz w:val="24"/>
          <w:szCs w:val="24"/>
        </w:rPr>
        <w:t xml:space="preserve"> 2023</w:t>
      </w:r>
      <w:r w:rsidR="008C5FA1">
        <w:rPr>
          <w:rFonts w:ascii="Times New Roman" w:hAnsi="Times New Roman" w:cs="Times New Roman"/>
          <w:sz w:val="24"/>
          <w:szCs w:val="24"/>
        </w:rPr>
        <w:t>; Smith, 2023</w:t>
      </w:r>
      <w:r w:rsidR="007F3C47" w:rsidRPr="00AB21C8">
        <w:rPr>
          <w:rFonts w:ascii="Times New Roman" w:hAnsi="Times New Roman" w:cs="Times New Roman"/>
          <w:sz w:val="24"/>
          <w:szCs w:val="24"/>
        </w:rPr>
        <w:t>)</w:t>
      </w:r>
      <w:r w:rsidRPr="00AB21C8">
        <w:rPr>
          <w:rFonts w:ascii="Times New Roman" w:hAnsi="Times New Roman" w:cs="Times New Roman"/>
          <w:sz w:val="24"/>
          <w:szCs w:val="24"/>
        </w:rPr>
        <w:t>. Moreover, a deeper understanding of these issues can inform the design and implementation of more inclusive and gender-responsive development interventions, ultimately contributing to the broader goal of sustainable and equitable development.</w:t>
      </w:r>
    </w:p>
    <w:p w14:paraId="4BE86D19" w14:textId="77777777" w:rsidR="009B6A7E" w:rsidRPr="00A373C0" w:rsidRDefault="00D05A70" w:rsidP="006C0203">
      <w:pPr>
        <w:pStyle w:val="ListParagraph"/>
        <w:numPr>
          <w:ilvl w:val="0"/>
          <w:numId w:val="11"/>
        </w:numPr>
        <w:spacing w:line="360" w:lineRule="auto"/>
        <w:rPr>
          <w:rFonts w:ascii="Times New Roman" w:hAnsi="Times New Roman" w:cs="Times New Roman"/>
          <w:b/>
          <w:sz w:val="24"/>
          <w:szCs w:val="24"/>
        </w:rPr>
      </w:pPr>
      <w:r w:rsidRPr="00A373C0">
        <w:rPr>
          <w:rFonts w:ascii="Times New Roman" w:hAnsi="Times New Roman" w:cs="Times New Roman"/>
          <w:b/>
          <w:sz w:val="24"/>
          <w:szCs w:val="24"/>
        </w:rPr>
        <w:t>RESEARCH CONTEXT</w:t>
      </w:r>
    </w:p>
    <w:p w14:paraId="28BC1799" w14:textId="77777777" w:rsidR="006C0203" w:rsidRDefault="00984530" w:rsidP="006C0203">
      <w:pPr>
        <w:spacing w:line="360" w:lineRule="auto"/>
        <w:jc w:val="both"/>
        <w:rPr>
          <w:rFonts w:ascii="Times New Roman" w:hAnsi="Times New Roman" w:cs="Times New Roman"/>
          <w:sz w:val="24"/>
          <w:szCs w:val="24"/>
        </w:rPr>
      </w:pPr>
      <w:r w:rsidRPr="00984530">
        <w:rPr>
          <w:rFonts w:ascii="Times New Roman" w:hAnsi="Times New Roman" w:cs="Times New Roman"/>
          <w:sz w:val="24"/>
          <w:szCs w:val="24"/>
        </w:rPr>
        <w:t>Village banking emerged from the longstanding necessity for mutual financial support and trust within tightly knit communities. It arose as a grassroots remedy to offer accessible financial services, particularly in regions lacking or inadequately served by formal banking institutions</w:t>
      </w:r>
      <w:r>
        <w:rPr>
          <w:rFonts w:ascii="Times New Roman" w:hAnsi="Times New Roman" w:cs="Times New Roman"/>
          <w:sz w:val="24"/>
          <w:szCs w:val="24"/>
        </w:rPr>
        <w:t xml:space="preserve"> </w:t>
      </w:r>
      <w:r w:rsidRPr="00984530">
        <w:rPr>
          <w:rFonts w:ascii="Times New Roman" w:hAnsi="Times New Roman" w:cs="Times New Roman"/>
          <w:sz w:val="24"/>
          <w:szCs w:val="24"/>
        </w:rPr>
        <w:t>(Hossein and Bonsu, 2023).</w:t>
      </w:r>
      <w:r w:rsidRPr="00984530">
        <w:rPr>
          <w:rFonts w:ascii="Times New Roman" w:hAnsi="Times New Roman" w:cs="Times New Roman"/>
          <w:sz w:val="28"/>
          <w:szCs w:val="24"/>
        </w:rPr>
        <w:t xml:space="preserve"> </w:t>
      </w:r>
      <w:r w:rsidR="00F076A2" w:rsidRPr="00F076A2">
        <w:rPr>
          <w:rFonts w:ascii="Times New Roman" w:hAnsi="Times New Roman" w:cs="Times New Roman"/>
          <w:sz w:val="24"/>
          <w:szCs w:val="24"/>
        </w:rPr>
        <w:t>Village banking, also known as community banking or group lending, has emerged as a vital mechanism for providing access to credit and financial services in underserved and rural communities (Sibeso, 2022). Originating in Bolivia in 1984, the concept was introduced to Africa in 1992 with the launch of the first village banking program in Uganda (FINCA, 2024). Over the past two decades, village banking has gained prominence as a tool for economic and social growth, particularly for marginalized groups such a</w:t>
      </w:r>
      <w:r w:rsidR="00F076A2">
        <w:rPr>
          <w:rFonts w:ascii="Times New Roman" w:hAnsi="Times New Roman" w:cs="Times New Roman"/>
          <w:sz w:val="24"/>
          <w:szCs w:val="24"/>
        </w:rPr>
        <w:t>s women (Bank of Zambia, 2020</w:t>
      </w:r>
      <w:r w:rsidR="00D57BE3">
        <w:rPr>
          <w:rFonts w:ascii="Times New Roman" w:hAnsi="Times New Roman" w:cs="Times New Roman"/>
          <w:sz w:val="24"/>
          <w:szCs w:val="24"/>
        </w:rPr>
        <w:t>; Siamabele and Phiri, 2021</w:t>
      </w:r>
      <w:r w:rsidR="00F076A2">
        <w:rPr>
          <w:rFonts w:ascii="Times New Roman" w:hAnsi="Times New Roman" w:cs="Times New Roman"/>
          <w:sz w:val="24"/>
          <w:szCs w:val="24"/>
        </w:rPr>
        <w:t xml:space="preserve">). </w:t>
      </w:r>
      <w:r w:rsidR="00F076A2" w:rsidRPr="00F076A2">
        <w:rPr>
          <w:rFonts w:ascii="Times New Roman" w:hAnsi="Times New Roman" w:cs="Times New Roman"/>
          <w:sz w:val="24"/>
          <w:szCs w:val="24"/>
        </w:rPr>
        <w:t xml:space="preserve">Scholars have offered various perspectives on village banking, highlighting its role as a self-sustaining financial institution within communities aimed at providing essential banking services (Jones and Dallimore, 2013; Kukano and Kantchewa, 2023; Deelen and Majurin, 2018). Despite differing definitions, all perspectives emphasize the </w:t>
      </w:r>
      <w:r w:rsidR="00F076A2" w:rsidRPr="00F076A2">
        <w:rPr>
          <w:rFonts w:ascii="Times New Roman" w:hAnsi="Times New Roman" w:cs="Times New Roman"/>
          <w:sz w:val="24"/>
          <w:szCs w:val="24"/>
        </w:rPr>
        <w:lastRenderedPageBreak/>
        <w:t>importance of active member involvement and extending financial access to underserved populations, part</w:t>
      </w:r>
      <w:r w:rsidR="00F076A2">
        <w:rPr>
          <w:rFonts w:ascii="Times New Roman" w:hAnsi="Times New Roman" w:cs="Times New Roman"/>
          <w:sz w:val="24"/>
          <w:szCs w:val="24"/>
        </w:rPr>
        <w:t>icularly those in remote areas.</w:t>
      </w:r>
    </w:p>
    <w:p w14:paraId="5CAB2F1B" w14:textId="77777777" w:rsidR="006C0203" w:rsidRDefault="00F076A2" w:rsidP="006C0203">
      <w:pPr>
        <w:spacing w:before="240" w:after="240" w:line="360" w:lineRule="auto"/>
        <w:jc w:val="both"/>
        <w:rPr>
          <w:rFonts w:ascii="Times New Roman" w:hAnsi="Times New Roman" w:cs="Times New Roman"/>
          <w:sz w:val="24"/>
          <w:szCs w:val="24"/>
        </w:rPr>
      </w:pPr>
      <w:r w:rsidRPr="00F076A2">
        <w:rPr>
          <w:rFonts w:ascii="Times New Roman" w:hAnsi="Times New Roman" w:cs="Times New Roman"/>
          <w:sz w:val="24"/>
          <w:szCs w:val="24"/>
        </w:rPr>
        <w:t>Women, who often face significant barriers to accessing financial services and formal banking systems, stand to benefit greatly from village banking initiatives (Kesanta and Andre, 2015). By pooling resources in small groups, women can access loans and financial services, fostering economic independence and empowerment (Mashigo and Kabir, 2016). Recognizing the pivotal role of women in economic development, international organizations such as USAID advocate for women's entrepreneurship and economic empowerment to achieve comprehensive economic growth (USAID, 2020).</w:t>
      </w:r>
      <w:r w:rsidRPr="00F076A2">
        <w:t xml:space="preserve"> </w:t>
      </w:r>
      <w:r>
        <w:rPr>
          <w:rFonts w:ascii="Times New Roman" w:hAnsi="Times New Roman" w:cs="Times New Roman"/>
          <w:sz w:val="24"/>
          <w:szCs w:val="24"/>
        </w:rPr>
        <w:t>Moreover,</w:t>
      </w:r>
      <w:r w:rsidRPr="00F076A2">
        <w:rPr>
          <w:rFonts w:ascii="Times New Roman" w:hAnsi="Times New Roman" w:cs="Times New Roman"/>
          <w:sz w:val="24"/>
          <w:szCs w:val="24"/>
        </w:rPr>
        <w:t xml:space="preserve"> village banking has been re</w:t>
      </w:r>
      <w:r>
        <w:rPr>
          <w:rFonts w:ascii="Times New Roman" w:hAnsi="Times New Roman" w:cs="Times New Roman"/>
          <w:sz w:val="24"/>
          <w:szCs w:val="24"/>
        </w:rPr>
        <w:t xml:space="preserve">cognized as a valuable tool for </w:t>
      </w:r>
      <w:r w:rsidRPr="00F076A2">
        <w:rPr>
          <w:rFonts w:ascii="Times New Roman" w:hAnsi="Times New Roman" w:cs="Times New Roman"/>
          <w:sz w:val="24"/>
          <w:szCs w:val="24"/>
        </w:rPr>
        <w:t>poverty alleviation, women empowerment, and economic g</w:t>
      </w:r>
      <w:r>
        <w:rPr>
          <w:rFonts w:ascii="Times New Roman" w:hAnsi="Times New Roman" w:cs="Times New Roman"/>
          <w:sz w:val="24"/>
          <w:szCs w:val="24"/>
        </w:rPr>
        <w:t xml:space="preserve">rowth. United States Agency for </w:t>
      </w:r>
      <w:r w:rsidRPr="00F076A2">
        <w:rPr>
          <w:rFonts w:ascii="Times New Roman" w:hAnsi="Times New Roman" w:cs="Times New Roman"/>
          <w:sz w:val="24"/>
          <w:szCs w:val="24"/>
        </w:rPr>
        <w:t>International Development (2020) stated that empowering women to engage fully in civic and</w:t>
      </w:r>
      <w:r>
        <w:rPr>
          <w:rFonts w:ascii="Times New Roman" w:hAnsi="Times New Roman" w:cs="Times New Roman"/>
          <w:sz w:val="24"/>
          <w:szCs w:val="24"/>
        </w:rPr>
        <w:t xml:space="preserve"> </w:t>
      </w:r>
      <w:r w:rsidRPr="00F076A2">
        <w:rPr>
          <w:rFonts w:ascii="Times New Roman" w:hAnsi="Times New Roman" w:cs="Times New Roman"/>
          <w:sz w:val="24"/>
          <w:szCs w:val="24"/>
        </w:rPr>
        <w:t>economic activities leads to greater prosperity and peace in societies. Women are</w:t>
      </w:r>
      <w:r>
        <w:rPr>
          <w:rFonts w:ascii="Times New Roman" w:hAnsi="Times New Roman" w:cs="Times New Roman"/>
          <w:sz w:val="24"/>
          <w:szCs w:val="24"/>
        </w:rPr>
        <w:t xml:space="preserve"> </w:t>
      </w:r>
      <w:r w:rsidRPr="00F076A2">
        <w:rPr>
          <w:rFonts w:ascii="Times New Roman" w:hAnsi="Times New Roman" w:cs="Times New Roman"/>
          <w:sz w:val="24"/>
          <w:szCs w:val="24"/>
        </w:rPr>
        <w:t xml:space="preserve">disproportionately affected by poverty, facing disparities </w:t>
      </w:r>
      <w:r>
        <w:rPr>
          <w:rFonts w:ascii="Times New Roman" w:hAnsi="Times New Roman" w:cs="Times New Roman"/>
          <w:sz w:val="24"/>
          <w:szCs w:val="24"/>
        </w:rPr>
        <w:t xml:space="preserve">in income, wages, and access to </w:t>
      </w:r>
      <w:r w:rsidRPr="00F076A2">
        <w:rPr>
          <w:rFonts w:ascii="Times New Roman" w:hAnsi="Times New Roman" w:cs="Times New Roman"/>
          <w:sz w:val="24"/>
          <w:szCs w:val="24"/>
        </w:rPr>
        <w:t>financial resources, asset ownership, and control over resou</w:t>
      </w:r>
      <w:r>
        <w:rPr>
          <w:rFonts w:ascii="Times New Roman" w:hAnsi="Times New Roman" w:cs="Times New Roman"/>
          <w:sz w:val="24"/>
          <w:szCs w:val="24"/>
        </w:rPr>
        <w:t xml:space="preserve">rce allocation. Thus, promoting </w:t>
      </w:r>
      <w:r w:rsidRPr="00F076A2">
        <w:rPr>
          <w:rFonts w:ascii="Times New Roman" w:hAnsi="Times New Roman" w:cs="Times New Roman"/>
          <w:sz w:val="24"/>
          <w:szCs w:val="24"/>
        </w:rPr>
        <w:t>women entrepreneurship and economic empowerment is essent</w:t>
      </w:r>
      <w:r>
        <w:rPr>
          <w:rFonts w:ascii="Times New Roman" w:hAnsi="Times New Roman" w:cs="Times New Roman"/>
          <w:sz w:val="24"/>
          <w:szCs w:val="24"/>
        </w:rPr>
        <w:t xml:space="preserve">ial for achieving comprehensive </w:t>
      </w:r>
      <w:r w:rsidRPr="00F076A2">
        <w:rPr>
          <w:rFonts w:ascii="Times New Roman" w:hAnsi="Times New Roman" w:cs="Times New Roman"/>
          <w:sz w:val="24"/>
          <w:szCs w:val="24"/>
        </w:rPr>
        <w:t>economic growth across all levels of society</w:t>
      </w:r>
      <w:r w:rsidR="00913BB4">
        <w:rPr>
          <w:rFonts w:ascii="Times New Roman" w:hAnsi="Times New Roman" w:cs="Times New Roman"/>
          <w:sz w:val="24"/>
          <w:szCs w:val="24"/>
        </w:rPr>
        <w:t xml:space="preserve"> (Siamabele, 2020)</w:t>
      </w:r>
      <w:r w:rsidRPr="00F076A2">
        <w:rPr>
          <w:rFonts w:ascii="Times New Roman" w:hAnsi="Times New Roman" w:cs="Times New Roman"/>
          <w:sz w:val="24"/>
          <w:szCs w:val="24"/>
        </w:rPr>
        <w:t>.</w:t>
      </w:r>
    </w:p>
    <w:p w14:paraId="2B330F84" w14:textId="478BE3B3" w:rsidR="005862E8" w:rsidRPr="00AB21C8" w:rsidRDefault="00F076A2" w:rsidP="006C0203">
      <w:pPr>
        <w:spacing w:before="240" w:after="240" w:line="360" w:lineRule="auto"/>
        <w:jc w:val="both"/>
        <w:rPr>
          <w:rFonts w:ascii="Times New Roman" w:hAnsi="Times New Roman" w:cs="Times New Roman"/>
          <w:sz w:val="24"/>
          <w:szCs w:val="24"/>
        </w:rPr>
      </w:pPr>
      <w:r w:rsidRPr="00F076A2">
        <w:rPr>
          <w:rFonts w:ascii="Times New Roman" w:hAnsi="Times New Roman" w:cs="Times New Roman"/>
          <w:sz w:val="24"/>
          <w:szCs w:val="24"/>
        </w:rPr>
        <w:t>Research in the Southern African Development Community (SADC) region, including studies in Tanzania (Rutenge, 2016) and Zambia (Sibeso, 2022; Lweendo, 2021), has highlighted the positive impact of village banking on household welfare and poverty reduction. These studies underscore the potential of village banking to improve livelihoods and p</w:t>
      </w:r>
      <w:r>
        <w:rPr>
          <w:rFonts w:ascii="Times New Roman" w:hAnsi="Times New Roman" w:cs="Times New Roman"/>
          <w:sz w:val="24"/>
          <w:szCs w:val="24"/>
        </w:rPr>
        <w:t>romote sustainable development.</w:t>
      </w:r>
      <w:r w:rsidR="007D4C7F">
        <w:rPr>
          <w:rFonts w:ascii="Times New Roman" w:hAnsi="Times New Roman" w:cs="Times New Roman"/>
          <w:sz w:val="24"/>
          <w:szCs w:val="24"/>
        </w:rPr>
        <w:t xml:space="preserve"> </w:t>
      </w:r>
      <w:r w:rsidRPr="00F076A2">
        <w:rPr>
          <w:rFonts w:ascii="Times New Roman" w:hAnsi="Times New Roman" w:cs="Times New Roman"/>
          <w:sz w:val="24"/>
          <w:szCs w:val="24"/>
        </w:rPr>
        <w:t>The Bank of Zambia recognizes the significance of village banking in fostering financial inclusion and empowering communities, particularly in areas with limited access to banking services (Bank of Zambia, 2020). By providing regulatory oversight and support for microfinance institutions, the Bank aims to contribute to poverty reduction and sustainable economic developm</w:t>
      </w:r>
      <w:r>
        <w:rPr>
          <w:rFonts w:ascii="Times New Roman" w:hAnsi="Times New Roman" w:cs="Times New Roman"/>
          <w:sz w:val="24"/>
          <w:szCs w:val="24"/>
        </w:rPr>
        <w:t xml:space="preserve">ent, especially in rural areas. </w:t>
      </w:r>
      <w:r w:rsidRPr="00F076A2">
        <w:rPr>
          <w:rFonts w:ascii="Times New Roman" w:hAnsi="Times New Roman" w:cs="Times New Roman"/>
          <w:sz w:val="24"/>
          <w:szCs w:val="24"/>
        </w:rPr>
        <w:t xml:space="preserve">In Zambia, research has focused on various aspects of village banking, including its influence on female marketers in the Soweto market (Sibeso, 2022) and female farmers in the Katuba constituency (Sichilongo and Sinkala, 2021). This paper aims to assess the influence of village banking on women outside traditional market and farming settings, using a combination of questionnaires and interviews. By examining the extent to which village banking influences women's welfare, the study seeks to contribute to the </w:t>
      </w:r>
      <w:r w:rsidRPr="00F076A2">
        <w:rPr>
          <w:rFonts w:ascii="Times New Roman" w:hAnsi="Times New Roman" w:cs="Times New Roman"/>
          <w:sz w:val="24"/>
          <w:szCs w:val="24"/>
        </w:rPr>
        <w:lastRenderedPageBreak/>
        <w:t xml:space="preserve">understanding of village banking's impact on women's economic </w:t>
      </w:r>
      <w:r>
        <w:rPr>
          <w:rFonts w:ascii="Times New Roman" w:hAnsi="Times New Roman" w:cs="Times New Roman"/>
          <w:sz w:val="24"/>
          <w:szCs w:val="24"/>
        </w:rPr>
        <w:t>empowerment in diverse contexts</w:t>
      </w:r>
      <w:r w:rsidR="00D65567" w:rsidRPr="00AB21C8">
        <w:rPr>
          <w:rFonts w:ascii="Times New Roman" w:hAnsi="Times New Roman" w:cs="Times New Roman"/>
          <w:sz w:val="24"/>
          <w:szCs w:val="24"/>
        </w:rPr>
        <w:t>.</w:t>
      </w:r>
    </w:p>
    <w:p w14:paraId="60E6FFE3" w14:textId="5F5F007D" w:rsidR="00914107" w:rsidRDefault="00D05A70" w:rsidP="00914107">
      <w:pPr>
        <w:pStyle w:val="ListParagraph"/>
        <w:numPr>
          <w:ilvl w:val="0"/>
          <w:numId w:val="11"/>
        </w:numPr>
        <w:spacing w:line="360" w:lineRule="auto"/>
        <w:rPr>
          <w:rFonts w:ascii="Times New Roman" w:hAnsi="Times New Roman" w:cs="Times New Roman"/>
          <w:b/>
          <w:sz w:val="24"/>
          <w:szCs w:val="24"/>
        </w:rPr>
      </w:pPr>
      <w:r w:rsidRPr="00A373C0">
        <w:rPr>
          <w:rFonts w:ascii="Times New Roman" w:hAnsi="Times New Roman" w:cs="Times New Roman"/>
          <w:b/>
          <w:sz w:val="24"/>
          <w:szCs w:val="24"/>
        </w:rPr>
        <w:t>RESEARCH METHOD</w:t>
      </w:r>
      <w:r w:rsidR="003A55C2">
        <w:rPr>
          <w:rFonts w:ascii="Times New Roman" w:hAnsi="Times New Roman" w:cs="Times New Roman"/>
          <w:b/>
          <w:sz w:val="24"/>
          <w:szCs w:val="24"/>
        </w:rPr>
        <w:t>OLOGY</w:t>
      </w:r>
    </w:p>
    <w:p w14:paraId="18F38581" w14:textId="3F5D2207" w:rsidR="00914107" w:rsidRPr="00914107" w:rsidRDefault="00914107" w:rsidP="00914107">
      <w:pPr>
        <w:spacing w:line="360" w:lineRule="auto"/>
        <w:jc w:val="both"/>
        <w:rPr>
          <w:rFonts w:ascii="Times New Roman" w:hAnsi="Times New Roman" w:cs="Times New Roman"/>
          <w:b/>
          <w:sz w:val="24"/>
          <w:szCs w:val="24"/>
        </w:rPr>
      </w:pPr>
      <w:r w:rsidRPr="00914107">
        <w:rPr>
          <w:rFonts w:ascii="Times New Roman" w:hAnsi="Times New Roman" w:cs="Times New Roman"/>
          <w:bCs/>
          <w:sz w:val="24"/>
          <w:szCs w:val="24"/>
        </w:rPr>
        <w:t>The study took place in Kaunda Square Stage One, Lusaka Province, Zambia. Kaunda Square Stage One was chosen for its high concentration of women in the informal labor sector, making it ideal for investigating village banking's</w:t>
      </w:r>
      <w:r w:rsidR="00B65577">
        <w:rPr>
          <w:rFonts w:ascii="Times New Roman" w:hAnsi="Times New Roman" w:cs="Times New Roman"/>
          <w:bCs/>
          <w:sz w:val="24"/>
          <w:szCs w:val="24"/>
        </w:rPr>
        <w:t xml:space="preserve"> </w:t>
      </w:r>
      <w:r w:rsidRPr="00914107">
        <w:rPr>
          <w:rFonts w:ascii="Times New Roman" w:hAnsi="Times New Roman" w:cs="Times New Roman"/>
          <w:bCs/>
          <w:sz w:val="24"/>
          <w:szCs w:val="24"/>
        </w:rPr>
        <w:t>impact on female economic empowerment</w:t>
      </w:r>
      <w:r w:rsidR="00B65577">
        <w:rPr>
          <w:rFonts w:ascii="Times New Roman" w:hAnsi="Times New Roman" w:cs="Times New Roman"/>
          <w:bCs/>
          <w:sz w:val="24"/>
          <w:szCs w:val="24"/>
        </w:rPr>
        <w:t xml:space="preserve"> </w:t>
      </w:r>
      <w:r w:rsidR="00B65577" w:rsidRPr="00B65577">
        <w:rPr>
          <w:rFonts w:ascii="Times New Roman" w:hAnsi="Times New Roman" w:cs="Times New Roman"/>
          <w:bCs/>
          <w:sz w:val="24"/>
          <w:szCs w:val="24"/>
        </w:rPr>
        <w:t>(CSO, 2022; Klaverene et al., 2009).</w:t>
      </w:r>
      <w:r w:rsidR="00B65577">
        <w:rPr>
          <w:rFonts w:ascii="Times New Roman" w:hAnsi="Times New Roman" w:cs="Times New Roman"/>
          <w:bCs/>
          <w:sz w:val="24"/>
          <w:szCs w:val="24"/>
        </w:rPr>
        <w:t xml:space="preserve"> </w:t>
      </w:r>
      <w:r w:rsidRPr="00914107">
        <w:rPr>
          <w:rFonts w:ascii="Times New Roman" w:hAnsi="Times New Roman" w:cs="Times New Roman"/>
          <w:bCs/>
          <w:sz w:val="24"/>
          <w:szCs w:val="24"/>
        </w:rPr>
        <w:t>Despite the implementation of village banking programs since 2014 (Mususa, 2019), there was a notable lack of empirical studies on their impact. This</w:t>
      </w:r>
      <w:r>
        <w:rPr>
          <w:rFonts w:ascii="Times New Roman" w:hAnsi="Times New Roman" w:cs="Times New Roman"/>
          <w:bCs/>
          <w:sz w:val="24"/>
          <w:szCs w:val="24"/>
        </w:rPr>
        <w:t xml:space="preserve"> </w:t>
      </w:r>
      <w:r w:rsidRPr="00914107">
        <w:rPr>
          <w:rFonts w:ascii="Times New Roman" w:hAnsi="Times New Roman" w:cs="Times New Roman"/>
          <w:bCs/>
          <w:sz w:val="24"/>
          <w:szCs w:val="24"/>
        </w:rPr>
        <w:t>study aimed to fill that gap by providing insights into village banking dynamics in this context.</w:t>
      </w:r>
    </w:p>
    <w:p w14:paraId="515557C4" w14:textId="77777777" w:rsidR="00AC2007" w:rsidRPr="00AB21C8" w:rsidRDefault="00D162A5" w:rsidP="00914107">
      <w:pPr>
        <w:keepNext/>
        <w:spacing w:line="360" w:lineRule="auto"/>
        <w:ind w:left="-810"/>
        <w:jc w:val="both"/>
        <w:rPr>
          <w:rFonts w:ascii="Times New Roman" w:hAnsi="Times New Roman" w:cs="Times New Roman"/>
          <w:sz w:val="24"/>
          <w:szCs w:val="24"/>
        </w:rPr>
      </w:pPr>
      <w:r w:rsidRPr="00AB21C8">
        <w:rPr>
          <w:rFonts w:ascii="Times New Roman" w:hAnsi="Times New Roman" w:cs="Times New Roman"/>
          <w:bCs/>
          <w:noProof/>
          <w:sz w:val="24"/>
          <w:szCs w:val="24"/>
        </w:rPr>
        <w:drawing>
          <wp:inline distT="0" distB="0" distL="0" distR="0" wp14:anchorId="7F78E0F9" wp14:editId="31005FA2">
            <wp:extent cx="6718135" cy="4215421"/>
            <wp:effectExtent l="0" t="0" r="63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7628" cy="4246477"/>
                    </a:xfrm>
                    <a:prstGeom prst="rect">
                      <a:avLst/>
                    </a:prstGeom>
                    <a:noFill/>
                  </pic:spPr>
                </pic:pic>
              </a:graphicData>
            </a:graphic>
          </wp:inline>
        </w:drawing>
      </w:r>
    </w:p>
    <w:p w14:paraId="03EF3D7C" w14:textId="104AE90B" w:rsidR="004A1D15" w:rsidRDefault="00AC2007" w:rsidP="006C0203">
      <w:pPr>
        <w:pStyle w:val="Caption"/>
        <w:spacing w:after="0"/>
        <w:jc w:val="both"/>
        <w:rPr>
          <w:rFonts w:ascii="Times New Roman" w:hAnsi="Times New Roman" w:cs="Times New Roman"/>
          <w:bCs/>
          <w:sz w:val="24"/>
          <w:szCs w:val="24"/>
        </w:rPr>
      </w:pPr>
      <w:r w:rsidRPr="00AB21C8">
        <w:rPr>
          <w:rFonts w:ascii="Times New Roman" w:hAnsi="Times New Roman" w:cs="Times New Roman"/>
          <w:i w:val="0"/>
          <w:color w:val="auto"/>
          <w:sz w:val="24"/>
          <w:szCs w:val="24"/>
        </w:rPr>
        <w:t xml:space="preserve">Figure </w:t>
      </w:r>
      <w:r w:rsidRPr="00AB21C8">
        <w:rPr>
          <w:rFonts w:ascii="Times New Roman" w:hAnsi="Times New Roman" w:cs="Times New Roman"/>
          <w:i w:val="0"/>
          <w:color w:val="auto"/>
          <w:sz w:val="24"/>
          <w:szCs w:val="24"/>
        </w:rPr>
        <w:fldChar w:fldCharType="begin"/>
      </w:r>
      <w:r w:rsidRPr="00AB21C8">
        <w:rPr>
          <w:rFonts w:ascii="Times New Roman" w:hAnsi="Times New Roman" w:cs="Times New Roman"/>
          <w:i w:val="0"/>
          <w:color w:val="auto"/>
          <w:sz w:val="24"/>
          <w:szCs w:val="24"/>
        </w:rPr>
        <w:instrText xml:space="preserve"> SEQ Figure \* ARABIC </w:instrText>
      </w:r>
      <w:r w:rsidRPr="00AB21C8">
        <w:rPr>
          <w:rFonts w:ascii="Times New Roman" w:hAnsi="Times New Roman" w:cs="Times New Roman"/>
          <w:i w:val="0"/>
          <w:color w:val="auto"/>
          <w:sz w:val="24"/>
          <w:szCs w:val="24"/>
        </w:rPr>
        <w:fldChar w:fldCharType="separate"/>
      </w:r>
      <w:r w:rsidR="00C11EA2">
        <w:rPr>
          <w:rFonts w:ascii="Times New Roman" w:hAnsi="Times New Roman" w:cs="Times New Roman"/>
          <w:i w:val="0"/>
          <w:noProof/>
          <w:color w:val="auto"/>
          <w:sz w:val="24"/>
          <w:szCs w:val="24"/>
        </w:rPr>
        <w:t>1</w:t>
      </w:r>
      <w:r w:rsidRPr="00AB21C8">
        <w:rPr>
          <w:rFonts w:ascii="Times New Roman" w:hAnsi="Times New Roman" w:cs="Times New Roman"/>
          <w:i w:val="0"/>
          <w:color w:val="auto"/>
          <w:sz w:val="24"/>
          <w:szCs w:val="24"/>
        </w:rPr>
        <w:fldChar w:fldCharType="end"/>
      </w:r>
      <w:r w:rsidRPr="00AB21C8">
        <w:rPr>
          <w:rFonts w:ascii="Times New Roman" w:hAnsi="Times New Roman" w:cs="Times New Roman"/>
          <w:i w:val="0"/>
          <w:color w:val="auto"/>
          <w:sz w:val="24"/>
          <w:szCs w:val="24"/>
        </w:rPr>
        <w:t>: Research Map</w:t>
      </w:r>
      <w:r w:rsidR="006C0203">
        <w:rPr>
          <w:rFonts w:ascii="Times New Roman" w:hAnsi="Times New Roman" w:cs="Times New Roman"/>
          <w:i w:val="0"/>
          <w:color w:val="auto"/>
          <w:sz w:val="24"/>
          <w:szCs w:val="24"/>
        </w:rPr>
        <w:t xml:space="preserve"> </w:t>
      </w:r>
      <w:r w:rsidR="00F05054" w:rsidRPr="00AB21C8">
        <w:rPr>
          <w:rFonts w:ascii="Times New Roman" w:hAnsi="Times New Roman" w:cs="Times New Roman"/>
          <w:bCs/>
          <w:sz w:val="24"/>
          <w:szCs w:val="24"/>
        </w:rPr>
        <w:t xml:space="preserve">Source: </w:t>
      </w:r>
      <w:r w:rsidR="007F3C47" w:rsidRPr="00AB21C8">
        <w:rPr>
          <w:rFonts w:ascii="Times New Roman" w:hAnsi="Times New Roman" w:cs="Times New Roman"/>
          <w:bCs/>
          <w:sz w:val="24"/>
          <w:szCs w:val="24"/>
        </w:rPr>
        <w:t>Fieldwork</w:t>
      </w:r>
      <w:r w:rsidR="00F05054" w:rsidRPr="00AB21C8">
        <w:rPr>
          <w:rFonts w:ascii="Times New Roman" w:hAnsi="Times New Roman" w:cs="Times New Roman"/>
          <w:bCs/>
          <w:sz w:val="24"/>
          <w:szCs w:val="24"/>
        </w:rPr>
        <w:t>, 2023</w:t>
      </w:r>
    </w:p>
    <w:p w14:paraId="2EFBD39B" w14:textId="77777777" w:rsidR="003A55C2" w:rsidRPr="003A55C2" w:rsidRDefault="003A55C2" w:rsidP="003A55C2"/>
    <w:p w14:paraId="7EC297AC" w14:textId="77777777" w:rsidR="00DF12D2" w:rsidRPr="00DF12D2" w:rsidRDefault="00DF12D2" w:rsidP="00DF12D2">
      <w:pPr>
        <w:spacing w:line="360" w:lineRule="auto"/>
        <w:jc w:val="both"/>
        <w:rPr>
          <w:rFonts w:ascii="Times New Roman" w:hAnsi="Times New Roman" w:cs="Times New Roman"/>
          <w:color w:val="000000"/>
          <w:sz w:val="24"/>
          <w:szCs w:val="24"/>
        </w:rPr>
      </w:pPr>
      <w:r w:rsidRPr="00DF12D2">
        <w:rPr>
          <w:rFonts w:ascii="Times New Roman" w:hAnsi="Times New Roman" w:cs="Times New Roman"/>
          <w:color w:val="000000"/>
          <w:sz w:val="24"/>
          <w:szCs w:val="24"/>
        </w:rPr>
        <w:t>The study adopted a</w:t>
      </w:r>
      <w:r w:rsidRPr="00DF12D2">
        <w:rPr>
          <w:rStyle w:val="apple-converted-space"/>
          <w:rFonts w:ascii="Times New Roman" w:hAnsi="Times New Roman" w:cs="Times New Roman"/>
          <w:color w:val="000000"/>
          <w:sz w:val="24"/>
          <w:szCs w:val="24"/>
        </w:rPr>
        <w:t> </w:t>
      </w:r>
      <w:r w:rsidRPr="00DF12D2">
        <w:rPr>
          <w:rStyle w:val="Strong"/>
          <w:rFonts w:ascii="Times New Roman" w:hAnsi="Times New Roman" w:cs="Times New Roman"/>
          <w:b w:val="0"/>
          <w:bCs w:val="0"/>
          <w:color w:val="000000"/>
          <w:sz w:val="24"/>
          <w:szCs w:val="24"/>
        </w:rPr>
        <w:t>mixed-methods descriptive research</w:t>
      </w:r>
      <w:r w:rsidRPr="00DF12D2">
        <w:rPr>
          <w:rStyle w:val="Strong"/>
          <w:rFonts w:ascii="Times New Roman" w:hAnsi="Times New Roman" w:cs="Times New Roman"/>
          <w:color w:val="000000"/>
          <w:sz w:val="24"/>
          <w:szCs w:val="24"/>
        </w:rPr>
        <w:t xml:space="preserve"> </w:t>
      </w:r>
      <w:r w:rsidRPr="00DF12D2">
        <w:rPr>
          <w:rStyle w:val="Strong"/>
          <w:rFonts w:ascii="Times New Roman" w:hAnsi="Times New Roman" w:cs="Times New Roman"/>
          <w:b w:val="0"/>
          <w:bCs w:val="0"/>
          <w:color w:val="000000"/>
          <w:sz w:val="24"/>
          <w:szCs w:val="24"/>
        </w:rPr>
        <w:t>design</w:t>
      </w:r>
      <w:r w:rsidRPr="00DF12D2">
        <w:rPr>
          <w:rStyle w:val="apple-converted-space"/>
          <w:rFonts w:ascii="Times New Roman" w:hAnsi="Times New Roman" w:cs="Times New Roman"/>
          <w:color w:val="000000"/>
          <w:sz w:val="24"/>
          <w:szCs w:val="24"/>
        </w:rPr>
        <w:t> </w:t>
      </w:r>
      <w:r w:rsidRPr="00DF12D2">
        <w:rPr>
          <w:rFonts w:ascii="Times New Roman" w:hAnsi="Times New Roman" w:cs="Times New Roman"/>
          <w:color w:val="000000"/>
          <w:sz w:val="24"/>
          <w:szCs w:val="24"/>
        </w:rPr>
        <w:t xml:space="preserve">to examine the impact of village banking on women's welfare in Kaunda Square Stage One. This design allowed the integration of both quantitative and qualitative approaches, providing a comprehensive understanding of the phenomenon. Ninety participants involved in village banking were randomly selected for the </w:t>
      </w:r>
      <w:r w:rsidRPr="00DF12D2">
        <w:rPr>
          <w:rFonts w:ascii="Times New Roman" w:hAnsi="Times New Roman" w:cs="Times New Roman"/>
          <w:color w:val="000000"/>
          <w:sz w:val="24"/>
          <w:szCs w:val="24"/>
        </w:rPr>
        <w:lastRenderedPageBreak/>
        <w:t>study. Quantitative data were gathered through surveys, while qualitative insights were obtained from in-depth interviews. The data were analyzed thematically for qualitative responses and descriptively for quantitative findings, using tables, pie charts, and figures to present results. Thematic analysis involved systematically coding and categorizing responses to identify underlying themes, while descriptive analysis summarized demographic characteristics, key variables, and emerging trends. Ethical considerations were strictly followed, with all participants giving informed consent, ensuring voluntary participation, and understanding of the study’s objectives.</w:t>
      </w:r>
    </w:p>
    <w:p w14:paraId="1B3EAE80" w14:textId="77777777" w:rsidR="00F94A38" w:rsidRDefault="004A1D15" w:rsidP="004A1D15">
      <w:pPr>
        <w:pStyle w:val="ListParagraph"/>
        <w:numPr>
          <w:ilvl w:val="0"/>
          <w:numId w:val="11"/>
        </w:numPr>
        <w:rPr>
          <w:rFonts w:ascii="Times New Roman" w:hAnsi="Times New Roman" w:cs="Times New Roman"/>
          <w:b/>
          <w:sz w:val="24"/>
          <w:szCs w:val="24"/>
        </w:rPr>
      </w:pPr>
      <w:r w:rsidRPr="00A373C0">
        <w:rPr>
          <w:rFonts w:ascii="Times New Roman" w:hAnsi="Times New Roman" w:cs="Times New Roman"/>
          <w:b/>
          <w:sz w:val="24"/>
          <w:szCs w:val="24"/>
        </w:rPr>
        <w:t>RESULTS</w:t>
      </w:r>
    </w:p>
    <w:p w14:paraId="0CE7BB04" w14:textId="77777777" w:rsidR="003A55C2" w:rsidRPr="00A373C0" w:rsidRDefault="003A55C2" w:rsidP="003A55C2">
      <w:pPr>
        <w:pStyle w:val="ListParagraph"/>
        <w:rPr>
          <w:rFonts w:ascii="Times New Roman" w:hAnsi="Times New Roman" w:cs="Times New Roman"/>
          <w:b/>
          <w:sz w:val="24"/>
          <w:szCs w:val="24"/>
        </w:rPr>
      </w:pPr>
    </w:p>
    <w:p w14:paraId="4EB92B28" w14:textId="77777777" w:rsidR="00F94A38" w:rsidRPr="00356B29" w:rsidRDefault="004A1D15" w:rsidP="004A1D15">
      <w:pPr>
        <w:pStyle w:val="ListParagraph"/>
        <w:numPr>
          <w:ilvl w:val="1"/>
          <w:numId w:val="12"/>
        </w:numPr>
        <w:spacing w:line="360" w:lineRule="auto"/>
        <w:ind w:left="1170"/>
        <w:jc w:val="both"/>
        <w:rPr>
          <w:rFonts w:ascii="Times New Roman" w:hAnsi="Times New Roman" w:cs="Times New Roman"/>
          <w:b/>
          <w:sz w:val="24"/>
          <w:szCs w:val="24"/>
        </w:rPr>
      </w:pPr>
      <w:r w:rsidRPr="00356B29">
        <w:rPr>
          <w:rFonts w:ascii="Times New Roman" w:hAnsi="Times New Roman" w:cs="Times New Roman"/>
          <w:b/>
          <w:sz w:val="24"/>
          <w:szCs w:val="24"/>
        </w:rPr>
        <w:t>Demographic Characteristics of the Participants</w:t>
      </w:r>
    </w:p>
    <w:p w14:paraId="30B98263" w14:textId="77777777" w:rsidR="004A1D15" w:rsidRPr="00AB21C8" w:rsidRDefault="001629AE" w:rsidP="004A1D15">
      <w:pPr>
        <w:spacing w:line="360" w:lineRule="auto"/>
        <w:jc w:val="both"/>
        <w:rPr>
          <w:rFonts w:ascii="Times New Roman" w:hAnsi="Times New Roman" w:cs="Times New Roman"/>
          <w:sz w:val="24"/>
          <w:szCs w:val="24"/>
        </w:rPr>
      </w:pPr>
      <w:r w:rsidRPr="001629AE">
        <w:rPr>
          <w:rFonts w:ascii="Times New Roman" w:hAnsi="Times New Roman" w:cs="Times New Roman"/>
          <w:sz w:val="24"/>
          <w:szCs w:val="24"/>
        </w:rPr>
        <w:t>Considering demographic factors like age, education, marital status, and household income was crucial for understanding the impact of village banking groups on women's welfare. These factors provided insights into the diverse backgrounds of the participants, aiding in assessing the true effects of village banking on their well-being</w:t>
      </w:r>
      <w:r w:rsidR="004A1D15" w:rsidRPr="00AB21C8">
        <w:rPr>
          <w:rFonts w:ascii="Times New Roman" w:hAnsi="Times New Roman" w:cs="Times New Roman"/>
          <w:sz w:val="24"/>
          <w:szCs w:val="24"/>
        </w:rPr>
        <w:t>.</w:t>
      </w:r>
    </w:p>
    <w:p w14:paraId="57CBD62C" w14:textId="2DA0D8D0" w:rsidR="00F94A38" w:rsidRPr="00356B29" w:rsidRDefault="0006652A" w:rsidP="004A1D15">
      <w:pPr>
        <w:pStyle w:val="ListParagraph"/>
        <w:numPr>
          <w:ilvl w:val="2"/>
          <w:numId w:val="12"/>
        </w:numPr>
        <w:spacing w:line="360" w:lineRule="auto"/>
        <w:ind w:left="1170" w:hanging="540"/>
        <w:jc w:val="both"/>
        <w:rPr>
          <w:rFonts w:ascii="Times New Roman" w:hAnsi="Times New Roman" w:cs="Times New Roman"/>
          <w:b/>
          <w:sz w:val="24"/>
          <w:szCs w:val="24"/>
        </w:rPr>
      </w:pPr>
      <w:r w:rsidRPr="00356B29">
        <w:rPr>
          <w:rFonts w:ascii="Times New Roman" w:hAnsi="Times New Roman" w:cs="Times New Roman"/>
          <w:b/>
          <w:sz w:val="24"/>
          <w:szCs w:val="24"/>
        </w:rPr>
        <w:t xml:space="preserve">Age of the </w:t>
      </w:r>
      <w:r w:rsidR="005047E4">
        <w:rPr>
          <w:rFonts w:ascii="Times New Roman" w:hAnsi="Times New Roman" w:cs="Times New Roman"/>
          <w:b/>
          <w:sz w:val="24"/>
          <w:szCs w:val="24"/>
        </w:rPr>
        <w:t>R</w:t>
      </w:r>
      <w:r w:rsidRPr="00356B29">
        <w:rPr>
          <w:rFonts w:ascii="Times New Roman" w:hAnsi="Times New Roman" w:cs="Times New Roman"/>
          <w:b/>
          <w:sz w:val="24"/>
          <w:szCs w:val="24"/>
        </w:rPr>
        <w:t>espondents</w:t>
      </w:r>
    </w:p>
    <w:p w14:paraId="41E43764" w14:textId="554159B8" w:rsidR="001629AE" w:rsidRPr="00AB21C8" w:rsidRDefault="00B65577" w:rsidP="004A1D15">
      <w:pPr>
        <w:spacing w:line="360" w:lineRule="auto"/>
        <w:jc w:val="both"/>
        <w:rPr>
          <w:rFonts w:ascii="Times New Roman" w:hAnsi="Times New Roman" w:cs="Times New Roman"/>
          <w:sz w:val="24"/>
          <w:szCs w:val="24"/>
        </w:rPr>
      </w:pPr>
      <w:bookmarkStart w:id="2" w:name="_Toc157675314"/>
      <w:r w:rsidRPr="00B65577">
        <w:rPr>
          <w:rFonts w:ascii="Times New Roman" w:hAnsi="Times New Roman" w:cs="Times New Roman"/>
          <w:sz w:val="24"/>
          <w:szCs w:val="24"/>
        </w:rPr>
        <w:t>The study conducted an analysis of the age distribution of participants to gain insights into how various age groups contribute to village banking initiatives. Table 1 illustrates the representation of respondents across different age cohorts, facilitating the identification of patterns and trends regarding the impact of age on engagement and outcomes within the village banking system</w:t>
      </w:r>
      <w:r w:rsidR="001629AE" w:rsidRPr="001629AE">
        <w:rPr>
          <w:rFonts w:ascii="Times New Roman" w:hAnsi="Times New Roman" w:cs="Times New Roman"/>
          <w:sz w:val="24"/>
          <w:szCs w:val="24"/>
        </w:rPr>
        <w:t>.</w:t>
      </w:r>
      <w:r w:rsidR="004A6A27" w:rsidRPr="00AB21C8">
        <w:rPr>
          <w:rFonts w:ascii="Times New Roman" w:hAnsi="Times New Roman" w:cs="Times New Roman"/>
          <w:sz w:val="24"/>
          <w:szCs w:val="24"/>
        </w:rPr>
        <w:t xml:space="preserve"> </w:t>
      </w:r>
      <w:r w:rsidR="004A1D15" w:rsidRPr="00AB21C8">
        <w:rPr>
          <w:rFonts w:ascii="Times New Roman" w:hAnsi="Times New Roman" w:cs="Times New Roman"/>
          <w:sz w:val="24"/>
          <w:szCs w:val="24"/>
        </w:rPr>
        <w:t xml:space="preserve"> </w:t>
      </w:r>
    </w:p>
    <w:p w14:paraId="6B2DD643" w14:textId="77777777" w:rsidR="004A6A27" w:rsidRPr="00AB21C8" w:rsidRDefault="004A6A27" w:rsidP="004A6A27">
      <w:pPr>
        <w:rPr>
          <w:rFonts w:ascii="Times New Roman" w:hAnsi="Times New Roman" w:cs="Times New Roman"/>
          <w:iCs/>
          <w:sz w:val="24"/>
          <w:szCs w:val="24"/>
        </w:rPr>
      </w:pPr>
      <w:bookmarkStart w:id="3" w:name="_Toc166146050"/>
      <w:bookmarkEnd w:id="2"/>
      <w:r w:rsidRPr="00AB21C8">
        <w:rPr>
          <w:rFonts w:ascii="Times New Roman" w:hAnsi="Times New Roman" w:cs="Times New Roman"/>
          <w:b/>
          <w:iCs/>
          <w:color w:val="000000" w:themeColor="text1"/>
          <w:sz w:val="24"/>
          <w:szCs w:val="24"/>
        </w:rPr>
        <w:t xml:space="preserve">Table </w:t>
      </w:r>
      <w:r w:rsidRPr="00AB21C8">
        <w:rPr>
          <w:rFonts w:ascii="Times New Roman" w:hAnsi="Times New Roman" w:cs="Times New Roman"/>
          <w:b/>
          <w:iCs/>
          <w:color w:val="000000" w:themeColor="text1"/>
          <w:sz w:val="24"/>
          <w:szCs w:val="24"/>
        </w:rPr>
        <w:fldChar w:fldCharType="begin"/>
      </w:r>
      <w:r w:rsidRPr="00AB21C8">
        <w:rPr>
          <w:rFonts w:ascii="Times New Roman" w:hAnsi="Times New Roman" w:cs="Times New Roman"/>
          <w:b/>
          <w:iCs/>
          <w:color w:val="000000" w:themeColor="text1"/>
          <w:sz w:val="24"/>
          <w:szCs w:val="24"/>
        </w:rPr>
        <w:instrText xml:space="preserve"> SEQ Table \* ARABIC </w:instrText>
      </w:r>
      <w:r w:rsidRPr="00AB21C8">
        <w:rPr>
          <w:rFonts w:ascii="Times New Roman" w:hAnsi="Times New Roman" w:cs="Times New Roman"/>
          <w:b/>
          <w:iCs/>
          <w:color w:val="000000" w:themeColor="text1"/>
          <w:sz w:val="24"/>
          <w:szCs w:val="24"/>
        </w:rPr>
        <w:fldChar w:fldCharType="separate"/>
      </w:r>
      <w:r w:rsidR="00AA519C">
        <w:rPr>
          <w:rFonts w:ascii="Times New Roman" w:hAnsi="Times New Roman" w:cs="Times New Roman"/>
          <w:b/>
          <w:iCs/>
          <w:noProof/>
          <w:color w:val="000000" w:themeColor="text1"/>
          <w:sz w:val="24"/>
          <w:szCs w:val="24"/>
        </w:rPr>
        <w:t>1</w:t>
      </w:r>
      <w:r w:rsidRPr="00AB21C8">
        <w:rPr>
          <w:rFonts w:ascii="Times New Roman" w:hAnsi="Times New Roman" w:cs="Times New Roman"/>
          <w:b/>
          <w:iCs/>
          <w:color w:val="000000" w:themeColor="text1"/>
          <w:sz w:val="24"/>
          <w:szCs w:val="24"/>
        </w:rPr>
        <w:fldChar w:fldCharType="end"/>
      </w:r>
      <w:r w:rsidRPr="00AB21C8">
        <w:rPr>
          <w:rFonts w:ascii="Times New Roman" w:hAnsi="Times New Roman" w:cs="Times New Roman"/>
          <w:iCs/>
          <w:color w:val="000000" w:themeColor="text1"/>
          <w:sz w:val="24"/>
          <w:szCs w:val="24"/>
        </w:rPr>
        <w:t>: Age Distribution of Village Bank Respondents</w:t>
      </w:r>
      <w:bookmarkEnd w:id="3"/>
    </w:p>
    <w:tbl>
      <w:tblPr>
        <w:tblStyle w:val="TableGrid2"/>
        <w:tblW w:w="0" w:type="auto"/>
        <w:tblLook w:val="04A0" w:firstRow="1" w:lastRow="0" w:firstColumn="1" w:lastColumn="0" w:noHBand="0" w:noVBand="1"/>
      </w:tblPr>
      <w:tblGrid>
        <w:gridCol w:w="2784"/>
        <w:gridCol w:w="3265"/>
        <w:gridCol w:w="3216"/>
      </w:tblGrid>
      <w:tr w:rsidR="004A6A27" w:rsidRPr="00AB21C8" w14:paraId="720A68AD" w14:textId="77777777" w:rsidTr="0027661C">
        <w:tc>
          <w:tcPr>
            <w:tcW w:w="2784" w:type="dxa"/>
          </w:tcPr>
          <w:p w14:paraId="5881A77F" w14:textId="77777777" w:rsidR="004A6A27" w:rsidRPr="00AB21C8" w:rsidRDefault="004A6A27" w:rsidP="004A6A27">
            <w:pPr>
              <w:spacing w:line="360" w:lineRule="auto"/>
              <w:jc w:val="center"/>
              <w:rPr>
                <w:rFonts w:ascii="Times New Roman" w:hAnsi="Times New Roman" w:cs="Times New Roman"/>
                <w:b/>
                <w:sz w:val="24"/>
                <w:szCs w:val="24"/>
              </w:rPr>
            </w:pPr>
            <w:r w:rsidRPr="00AB21C8">
              <w:rPr>
                <w:rFonts w:ascii="Times New Roman" w:hAnsi="Times New Roman" w:cs="Times New Roman"/>
                <w:b/>
                <w:sz w:val="24"/>
                <w:szCs w:val="24"/>
              </w:rPr>
              <w:t>Age</w:t>
            </w:r>
          </w:p>
        </w:tc>
        <w:tc>
          <w:tcPr>
            <w:tcW w:w="3265" w:type="dxa"/>
          </w:tcPr>
          <w:p w14:paraId="0103A75B" w14:textId="77777777" w:rsidR="004A6A27" w:rsidRPr="00AB21C8" w:rsidRDefault="004A6A27" w:rsidP="004A6A27">
            <w:pPr>
              <w:spacing w:line="360" w:lineRule="auto"/>
              <w:jc w:val="center"/>
              <w:rPr>
                <w:rFonts w:ascii="Times New Roman" w:hAnsi="Times New Roman" w:cs="Times New Roman"/>
                <w:b/>
                <w:sz w:val="24"/>
                <w:szCs w:val="24"/>
              </w:rPr>
            </w:pPr>
            <w:r w:rsidRPr="00AB21C8">
              <w:rPr>
                <w:rFonts w:ascii="Times New Roman" w:hAnsi="Times New Roman" w:cs="Times New Roman"/>
                <w:b/>
                <w:sz w:val="24"/>
                <w:szCs w:val="24"/>
              </w:rPr>
              <w:t>Count</w:t>
            </w:r>
          </w:p>
        </w:tc>
        <w:tc>
          <w:tcPr>
            <w:tcW w:w="3216" w:type="dxa"/>
          </w:tcPr>
          <w:p w14:paraId="0437F6F9" w14:textId="77777777" w:rsidR="004A6A27" w:rsidRPr="00AB21C8" w:rsidRDefault="004A6A27" w:rsidP="004A6A27">
            <w:pPr>
              <w:spacing w:line="360" w:lineRule="auto"/>
              <w:jc w:val="center"/>
              <w:rPr>
                <w:rFonts w:ascii="Times New Roman" w:hAnsi="Times New Roman" w:cs="Times New Roman"/>
                <w:b/>
                <w:sz w:val="24"/>
                <w:szCs w:val="24"/>
              </w:rPr>
            </w:pPr>
            <w:r w:rsidRPr="00AB21C8">
              <w:rPr>
                <w:rFonts w:ascii="Times New Roman" w:hAnsi="Times New Roman" w:cs="Times New Roman"/>
                <w:b/>
                <w:sz w:val="24"/>
                <w:szCs w:val="24"/>
              </w:rPr>
              <w:t>Percentage</w:t>
            </w:r>
          </w:p>
        </w:tc>
      </w:tr>
      <w:tr w:rsidR="004A6A27" w:rsidRPr="00AB21C8" w14:paraId="4EA4763B" w14:textId="77777777" w:rsidTr="0027661C">
        <w:tc>
          <w:tcPr>
            <w:tcW w:w="2784" w:type="dxa"/>
          </w:tcPr>
          <w:p w14:paraId="145E9F5B" w14:textId="77777777" w:rsidR="004A6A27" w:rsidRPr="00AB21C8" w:rsidRDefault="004A6A27" w:rsidP="004A6A27">
            <w:pPr>
              <w:spacing w:line="360" w:lineRule="auto"/>
              <w:jc w:val="center"/>
              <w:rPr>
                <w:rFonts w:ascii="Times New Roman" w:hAnsi="Times New Roman" w:cs="Times New Roman"/>
                <w:sz w:val="24"/>
                <w:szCs w:val="24"/>
              </w:rPr>
            </w:pPr>
            <w:r w:rsidRPr="00AB21C8">
              <w:rPr>
                <w:rFonts w:ascii="Times New Roman" w:hAnsi="Times New Roman" w:cs="Times New Roman"/>
                <w:sz w:val="24"/>
                <w:szCs w:val="24"/>
              </w:rPr>
              <w:t>18 to 20</w:t>
            </w:r>
          </w:p>
        </w:tc>
        <w:tc>
          <w:tcPr>
            <w:tcW w:w="3265" w:type="dxa"/>
          </w:tcPr>
          <w:p w14:paraId="0D142CDF" w14:textId="77777777" w:rsidR="004A6A27" w:rsidRPr="00AB21C8" w:rsidRDefault="004A6A27" w:rsidP="004A6A27">
            <w:pPr>
              <w:spacing w:line="360" w:lineRule="auto"/>
              <w:jc w:val="center"/>
              <w:rPr>
                <w:rFonts w:ascii="Times New Roman" w:hAnsi="Times New Roman" w:cs="Times New Roman"/>
                <w:sz w:val="24"/>
                <w:szCs w:val="24"/>
              </w:rPr>
            </w:pPr>
            <w:r w:rsidRPr="00AB21C8">
              <w:rPr>
                <w:rFonts w:ascii="Times New Roman" w:hAnsi="Times New Roman" w:cs="Times New Roman"/>
                <w:sz w:val="24"/>
                <w:szCs w:val="24"/>
              </w:rPr>
              <w:t>9</w:t>
            </w:r>
          </w:p>
        </w:tc>
        <w:tc>
          <w:tcPr>
            <w:tcW w:w="3216" w:type="dxa"/>
          </w:tcPr>
          <w:p w14:paraId="5A0A0D13" w14:textId="77777777" w:rsidR="004A6A27" w:rsidRPr="00AB21C8" w:rsidRDefault="004A6A27" w:rsidP="004A6A27">
            <w:pPr>
              <w:spacing w:line="360" w:lineRule="auto"/>
              <w:jc w:val="center"/>
              <w:rPr>
                <w:rFonts w:ascii="Times New Roman" w:hAnsi="Times New Roman" w:cs="Times New Roman"/>
                <w:sz w:val="24"/>
                <w:szCs w:val="24"/>
              </w:rPr>
            </w:pPr>
            <w:r w:rsidRPr="00AB21C8">
              <w:rPr>
                <w:rFonts w:ascii="Times New Roman" w:hAnsi="Times New Roman" w:cs="Times New Roman"/>
                <w:sz w:val="24"/>
                <w:szCs w:val="24"/>
              </w:rPr>
              <w:t>10%</w:t>
            </w:r>
          </w:p>
        </w:tc>
      </w:tr>
      <w:tr w:rsidR="004A6A27" w:rsidRPr="00AB21C8" w14:paraId="429F7E79" w14:textId="77777777" w:rsidTr="0027661C">
        <w:tc>
          <w:tcPr>
            <w:tcW w:w="2784" w:type="dxa"/>
          </w:tcPr>
          <w:p w14:paraId="16589798" w14:textId="77777777" w:rsidR="004A6A27" w:rsidRPr="00AB21C8" w:rsidRDefault="004A6A27" w:rsidP="004A6A27">
            <w:pPr>
              <w:spacing w:line="360" w:lineRule="auto"/>
              <w:jc w:val="center"/>
              <w:rPr>
                <w:rFonts w:ascii="Times New Roman" w:hAnsi="Times New Roman" w:cs="Times New Roman"/>
                <w:sz w:val="24"/>
                <w:szCs w:val="24"/>
              </w:rPr>
            </w:pPr>
            <w:r w:rsidRPr="00AB21C8">
              <w:rPr>
                <w:rFonts w:ascii="Times New Roman" w:hAnsi="Times New Roman" w:cs="Times New Roman"/>
                <w:sz w:val="24"/>
                <w:szCs w:val="24"/>
              </w:rPr>
              <w:t>21 to 25</w:t>
            </w:r>
          </w:p>
        </w:tc>
        <w:tc>
          <w:tcPr>
            <w:tcW w:w="3265" w:type="dxa"/>
          </w:tcPr>
          <w:p w14:paraId="5FBC53BF" w14:textId="77777777" w:rsidR="004A6A27" w:rsidRPr="00AB21C8" w:rsidRDefault="004A6A27" w:rsidP="004A6A27">
            <w:pPr>
              <w:spacing w:line="360" w:lineRule="auto"/>
              <w:jc w:val="center"/>
              <w:rPr>
                <w:rFonts w:ascii="Times New Roman" w:hAnsi="Times New Roman" w:cs="Times New Roman"/>
                <w:sz w:val="24"/>
                <w:szCs w:val="24"/>
              </w:rPr>
            </w:pPr>
            <w:r w:rsidRPr="00AB21C8">
              <w:rPr>
                <w:rFonts w:ascii="Times New Roman" w:hAnsi="Times New Roman" w:cs="Times New Roman"/>
                <w:sz w:val="24"/>
                <w:szCs w:val="24"/>
              </w:rPr>
              <w:t>25</w:t>
            </w:r>
          </w:p>
        </w:tc>
        <w:tc>
          <w:tcPr>
            <w:tcW w:w="3216" w:type="dxa"/>
          </w:tcPr>
          <w:p w14:paraId="56E5A2B3" w14:textId="77777777" w:rsidR="004A6A27" w:rsidRPr="00AB21C8" w:rsidRDefault="004A6A27" w:rsidP="004A6A27">
            <w:pPr>
              <w:spacing w:line="360" w:lineRule="auto"/>
              <w:jc w:val="center"/>
              <w:rPr>
                <w:rFonts w:ascii="Times New Roman" w:hAnsi="Times New Roman" w:cs="Times New Roman"/>
                <w:sz w:val="24"/>
                <w:szCs w:val="24"/>
              </w:rPr>
            </w:pPr>
            <w:r w:rsidRPr="00AB21C8">
              <w:rPr>
                <w:rFonts w:ascii="Times New Roman" w:hAnsi="Times New Roman" w:cs="Times New Roman"/>
                <w:sz w:val="24"/>
                <w:szCs w:val="24"/>
              </w:rPr>
              <w:t>28%</w:t>
            </w:r>
          </w:p>
        </w:tc>
      </w:tr>
      <w:tr w:rsidR="004A6A27" w:rsidRPr="00AB21C8" w14:paraId="6839627B" w14:textId="77777777" w:rsidTr="0027661C">
        <w:tc>
          <w:tcPr>
            <w:tcW w:w="2784" w:type="dxa"/>
          </w:tcPr>
          <w:p w14:paraId="7BC3D2CD" w14:textId="77777777" w:rsidR="004A6A27" w:rsidRPr="00AB21C8" w:rsidRDefault="004A6A27" w:rsidP="004A6A27">
            <w:pPr>
              <w:spacing w:line="360" w:lineRule="auto"/>
              <w:jc w:val="center"/>
              <w:rPr>
                <w:rFonts w:ascii="Times New Roman" w:hAnsi="Times New Roman" w:cs="Times New Roman"/>
                <w:sz w:val="24"/>
                <w:szCs w:val="24"/>
              </w:rPr>
            </w:pPr>
            <w:r w:rsidRPr="00AB21C8">
              <w:rPr>
                <w:rFonts w:ascii="Times New Roman" w:hAnsi="Times New Roman" w:cs="Times New Roman"/>
                <w:sz w:val="24"/>
                <w:szCs w:val="24"/>
              </w:rPr>
              <w:t>26 to 30</w:t>
            </w:r>
          </w:p>
        </w:tc>
        <w:tc>
          <w:tcPr>
            <w:tcW w:w="3265" w:type="dxa"/>
          </w:tcPr>
          <w:p w14:paraId="227B036D" w14:textId="77777777" w:rsidR="004A6A27" w:rsidRPr="00AB21C8" w:rsidRDefault="004A6A27" w:rsidP="004A6A27">
            <w:pPr>
              <w:spacing w:line="360" w:lineRule="auto"/>
              <w:jc w:val="center"/>
              <w:rPr>
                <w:rFonts w:ascii="Times New Roman" w:hAnsi="Times New Roman" w:cs="Times New Roman"/>
                <w:sz w:val="24"/>
                <w:szCs w:val="24"/>
              </w:rPr>
            </w:pPr>
            <w:r w:rsidRPr="00AB21C8">
              <w:rPr>
                <w:rFonts w:ascii="Times New Roman" w:hAnsi="Times New Roman" w:cs="Times New Roman"/>
                <w:sz w:val="24"/>
                <w:szCs w:val="24"/>
              </w:rPr>
              <w:t>24</w:t>
            </w:r>
          </w:p>
        </w:tc>
        <w:tc>
          <w:tcPr>
            <w:tcW w:w="3216" w:type="dxa"/>
          </w:tcPr>
          <w:p w14:paraId="643F374D" w14:textId="77777777" w:rsidR="004A6A27" w:rsidRPr="00AB21C8" w:rsidRDefault="004A6A27" w:rsidP="004A6A27">
            <w:pPr>
              <w:spacing w:line="360" w:lineRule="auto"/>
              <w:jc w:val="center"/>
              <w:rPr>
                <w:rFonts w:ascii="Times New Roman" w:hAnsi="Times New Roman" w:cs="Times New Roman"/>
                <w:sz w:val="24"/>
                <w:szCs w:val="24"/>
              </w:rPr>
            </w:pPr>
            <w:r w:rsidRPr="00AB21C8">
              <w:rPr>
                <w:rFonts w:ascii="Times New Roman" w:hAnsi="Times New Roman" w:cs="Times New Roman"/>
                <w:sz w:val="24"/>
                <w:szCs w:val="24"/>
              </w:rPr>
              <w:t>27%</w:t>
            </w:r>
          </w:p>
        </w:tc>
      </w:tr>
      <w:tr w:rsidR="004A6A27" w:rsidRPr="00AB21C8" w14:paraId="531F5F68" w14:textId="77777777" w:rsidTr="0027661C">
        <w:tc>
          <w:tcPr>
            <w:tcW w:w="2784" w:type="dxa"/>
          </w:tcPr>
          <w:p w14:paraId="7C83FCE5" w14:textId="77777777" w:rsidR="004A6A27" w:rsidRPr="00AB21C8" w:rsidRDefault="004A6A27" w:rsidP="004A6A27">
            <w:pPr>
              <w:spacing w:line="360" w:lineRule="auto"/>
              <w:jc w:val="center"/>
              <w:rPr>
                <w:rFonts w:ascii="Times New Roman" w:hAnsi="Times New Roman" w:cs="Times New Roman"/>
                <w:sz w:val="24"/>
                <w:szCs w:val="24"/>
              </w:rPr>
            </w:pPr>
            <w:r w:rsidRPr="00AB21C8">
              <w:rPr>
                <w:rFonts w:ascii="Times New Roman" w:hAnsi="Times New Roman" w:cs="Times New Roman"/>
                <w:sz w:val="24"/>
                <w:szCs w:val="24"/>
              </w:rPr>
              <w:t>31 to 35</w:t>
            </w:r>
          </w:p>
        </w:tc>
        <w:tc>
          <w:tcPr>
            <w:tcW w:w="3265" w:type="dxa"/>
          </w:tcPr>
          <w:p w14:paraId="6E89D2D4" w14:textId="77777777" w:rsidR="004A6A27" w:rsidRPr="00AB21C8" w:rsidRDefault="004A6A27" w:rsidP="004A6A27">
            <w:pPr>
              <w:spacing w:line="360" w:lineRule="auto"/>
              <w:jc w:val="center"/>
              <w:rPr>
                <w:rFonts w:ascii="Times New Roman" w:hAnsi="Times New Roman" w:cs="Times New Roman"/>
                <w:sz w:val="24"/>
                <w:szCs w:val="24"/>
              </w:rPr>
            </w:pPr>
            <w:r w:rsidRPr="00AB21C8">
              <w:rPr>
                <w:rFonts w:ascii="Times New Roman" w:hAnsi="Times New Roman" w:cs="Times New Roman"/>
                <w:sz w:val="24"/>
                <w:szCs w:val="24"/>
              </w:rPr>
              <w:t>4</w:t>
            </w:r>
          </w:p>
        </w:tc>
        <w:tc>
          <w:tcPr>
            <w:tcW w:w="3216" w:type="dxa"/>
          </w:tcPr>
          <w:p w14:paraId="3869EFC0" w14:textId="77777777" w:rsidR="004A6A27" w:rsidRPr="00AB21C8" w:rsidRDefault="004A6A27" w:rsidP="004A6A27">
            <w:pPr>
              <w:spacing w:line="360" w:lineRule="auto"/>
              <w:jc w:val="center"/>
              <w:rPr>
                <w:rFonts w:ascii="Times New Roman" w:hAnsi="Times New Roman" w:cs="Times New Roman"/>
                <w:sz w:val="24"/>
                <w:szCs w:val="24"/>
              </w:rPr>
            </w:pPr>
            <w:r w:rsidRPr="00AB21C8">
              <w:rPr>
                <w:rFonts w:ascii="Times New Roman" w:hAnsi="Times New Roman" w:cs="Times New Roman"/>
                <w:sz w:val="24"/>
                <w:szCs w:val="24"/>
              </w:rPr>
              <w:t>4%</w:t>
            </w:r>
          </w:p>
        </w:tc>
      </w:tr>
      <w:tr w:rsidR="004A6A27" w:rsidRPr="00AB21C8" w14:paraId="49A71E75" w14:textId="77777777" w:rsidTr="0027661C">
        <w:tc>
          <w:tcPr>
            <w:tcW w:w="2784" w:type="dxa"/>
          </w:tcPr>
          <w:p w14:paraId="759BFDA2" w14:textId="77777777" w:rsidR="004A6A27" w:rsidRPr="00AB21C8" w:rsidDel="003A4034" w:rsidRDefault="004A6A27" w:rsidP="004A6A27">
            <w:pPr>
              <w:spacing w:line="360" w:lineRule="auto"/>
              <w:jc w:val="center"/>
              <w:rPr>
                <w:rFonts w:ascii="Times New Roman" w:hAnsi="Times New Roman" w:cs="Times New Roman"/>
                <w:sz w:val="24"/>
                <w:szCs w:val="24"/>
              </w:rPr>
            </w:pPr>
            <w:r w:rsidRPr="00AB21C8">
              <w:rPr>
                <w:rFonts w:ascii="Times New Roman" w:hAnsi="Times New Roman" w:cs="Times New Roman"/>
                <w:sz w:val="24"/>
                <w:szCs w:val="24"/>
              </w:rPr>
              <w:t>Above 36</w:t>
            </w:r>
          </w:p>
        </w:tc>
        <w:tc>
          <w:tcPr>
            <w:tcW w:w="3265" w:type="dxa"/>
          </w:tcPr>
          <w:p w14:paraId="7C5E1C6B" w14:textId="77777777" w:rsidR="004A6A27" w:rsidRPr="00AB21C8" w:rsidDel="003A4034" w:rsidRDefault="004A6A27" w:rsidP="004A6A27">
            <w:pPr>
              <w:spacing w:line="360" w:lineRule="auto"/>
              <w:jc w:val="center"/>
              <w:rPr>
                <w:rFonts w:ascii="Times New Roman" w:hAnsi="Times New Roman" w:cs="Times New Roman"/>
                <w:sz w:val="24"/>
                <w:szCs w:val="24"/>
              </w:rPr>
            </w:pPr>
            <w:r w:rsidRPr="00AB21C8">
              <w:rPr>
                <w:rFonts w:ascii="Times New Roman" w:hAnsi="Times New Roman" w:cs="Times New Roman"/>
                <w:sz w:val="24"/>
                <w:szCs w:val="24"/>
              </w:rPr>
              <w:t>28</w:t>
            </w:r>
          </w:p>
        </w:tc>
        <w:tc>
          <w:tcPr>
            <w:tcW w:w="3216" w:type="dxa"/>
          </w:tcPr>
          <w:p w14:paraId="41753CB7" w14:textId="77777777" w:rsidR="004A6A27" w:rsidRPr="00AB21C8" w:rsidRDefault="004A6A27" w:rsidP="004A6A27">
            <w:pPr>
              <w:spacing w:line="360" w:lineRule="auto"/>
              <w:jc w:val="center"/>
              <w:rPr>
                <w:rFonts w:ascii="Times New Roman" w:hAnsi="Times New Roman" w:cs="Times New Roman"/>
                <w:sz w:val="24"/>
                <w:szCs w:val="24"/>
              </w:rPr>
            </w:pPr>
            <w:r w:rsidRPr="00AB21C8">
              <w:rPr>
                <w:rFonts w:ascii="Times New Roman" w:hAnsi="Times New Roman" w:cs="Times New Roman"/>
                <w:sz w:val="24"/>
                <w:szCs w:val="24"/>
              </w:rPr>
              <w:t>31%</w:t>
            </w:r>
          </w:p>
        </w:tc>
      </w:tr>
      <w:tr w:rsidR="004A6A27" w:rsidRPr="00AB21C8" w14:paraId="4F218B6B" w14:textId="77777777" w:rsidTr="0027661C">
        <w:tc>
          <w:tcPr>
            <w:tcW w:w="2784" w:type="dxa"/>
          </w:tcPr>
          <w:p w14:paraId="2B485083" w14:textId="77777777" w:rsidR="004A6A27" w:rsidRPr="00AB21C8" w:rsidDel="003A4034" w:rsidRDefault="004A6A27" w:rsidP="004A6A27">
            <w:pPr>
              <w:tabs>
                <w:tab w:val="center" w:pos="1284"/>
                <w:tab w:val="right" w:pos="2568"/>
              </w:tabs>
              <w:spacing w:line="360" w:lineRule="auto"/>
              <w:rPr>
                <w:rFonts w:ascii="Times New Roman" w:hAnsi="Times New Roman" w:cs="Times New Roman"/>
                <w:b/>
                <w:sz w:val="24"/>
                <w:szCs w:val="24"/>
              </w:rPr>
            </w:pPr>
            <w:r w:rsidRPr="00AB21C8">
              <w:rPr>
                <w:rFonts w:ascii="Times New Roman" w:hAnsi="Times New Roman" w:cs="Times New Roman"/>
                <w:b/>
                <w:sz w:val="24"/>
                <w:szCs w:val="24"/>
              </w:rPr>
              <w:tab/>
              <w:t>Total</w:t>
            </w:r>
            <w:r w:rsidRPr="00AB21C8">
              <w:rPr>
                <w:rFonts w:ascii="Times New Roman" w:hAnsi="Times New Roman" w:cs="Times New Roman"/>
                <w:b/>
                <w:sz w:val="24"/>
                <w:szCs w:val="24"/>
              </w:rPr>
              <w:tab/>
            </w:r>
          </w:p>
        </w:tc>
        <w:tc>
          <w:tcPr>
            <w:tcW w:w="3265" w:type="dxa"/>
          </w:tcPr>
          <w:p w14:paraId="10457B8C" w14:textId="77777777" w:rsidR="004A6A27" w:rsidRPr="00AB21C8" w:rsidDel="003A4034" w:rsidRDefault="004A6A27" w:rsidP="004A6A27">
            <w:pPr>
              <w:spacing w:line="360" w:lineRule="auto"/>
              <w:jc w:val="center"/>
              <w:rPr>
                <w:rFonts w:ascii="Times New Roman" w:hAnsi="Times New Roman" w:cs="Times New Roman"/>
                <w:b/>
                <w:sz w:val="24"/>
                <w:szCs w:val="24"/>
              </w:rPr>
            </w:pPr>
            <w:r w:rsidRPr="00AB21C8">
              <w:rPr>
                <w:rFonts w:ascii="Times New Roman" w:hAnsi="Times New Roman" w:cs="Times New Roman"/>
                <w:b/>
                <w:sz w:val="24"/>
                <w:szCs w:val="24"/>
              </w:rPr>
              <w:t>90</w:t>
            </w:r>
          </w:p>
        </w:tc>
        <w:tc>
          <w:tcPr>
            <w:tcW w:w="3216" w:type="dxa"/>
          </w:tcPr>
          <w:p w14:paraId="54A1680D" w14:textId="77777777" w:rsidR="004A6A27" w:rsidRPr="00AB21C8" w:rsidRDefault="004A6A27" w:rsidP="004A6A27">
            <w:pPr>
              <w:spacing w:line="360" w:lineRule="auto"/>
              <w:jc w:val="center"/>
              <w:rPr>
                <w:rFonts w:ascii="Times New Roman" w:hAnsi="Times New Roman" w:cs="Times New Roman"/>
                <w:b/>
                <w:sz w:val="24"/>
                <w:szCs w:val="24"/>
              </w:rPr>
            </w:pPr>
            <w:r w:rsidRPr="00AB21C8">
              <w:rPr>
                <w:rFonts w:ascii="Times New Roman" w:hAnsi="Times New Roman" w:cs="Times New Roman"/>
                <w:b/>
                <w:sz w:val="24"/>
                <w:szCs w:val="24"/>
              </w:rPr>
              <w:t>100%</w:t>
            </w:r>
          </w:p>
        </w:tc>
      </w:tr>
    </w:tbl>
    <w:p w14:paraId="54EE79C3" w14:textId="77777777" w:rsidR="004A6A27" w:rsidRPr="00AB21C8" w:rsidRDefault="004A6A27" w:rsidP="00F94A38">
      <w:pPr>
        <w:spacing w:line="360" w:lineRule="auto"/>
        <w:jc w:val="both"/>
        <w:rPr>
          <w:rFonts w:ascii="Times New Roman" w:hAnsi="Times New Roman" w:cs="Times New Roman"/>
          <w:sz w:val="24"/>
          <w:szCs w:val="24"/>
        </w:rPr>
      </w:pPr>
      <w:r w:rsidRPr="00AB21C8">
        <w:rPr>
          <w:rFonts w:ascii="Times New Roman" w:hAnsi="Times New Roman" w:cs="Times New Roman"/>
          <w:sz w:val="24"/>
          <w:szCs w:val="24"/>
        </w:rPr>
        <w:t xml:space="preserve">Source: Fieldwork, 2023 </w:t>
      </w:r>
    </w:p>
    <w:p w14:paraId="5BC20B46" w14:textId="77777777" w:rsidR="00A373C0" w:rsidRPr="00AB21C8" w:rsidRDefault="001629AE" w:rsidP="00F94A38">
      <w:pPr>
        <w:spacing w:line="360" w:lineRule="auto"/>
        <w:jc w:val="both"/>
        <w:rPr>
          <w:rFonts w:ascii="Times New Roman" w:hAnsi="Times New Roman" w:cs="Times New Roman"/>
          <w:sz w:val="24"/>
          <w:szCs w:val="24"/>
        </w:rPr>
      </w:pPr>
      <w:r w:rsidRPr="001629AE">
        <w:rPr>
          <w:rFonts w:ascii="Times New Roman" w:hAnsi="Times New Roman" w:cs="Times New Roman"/>
          <w:sz w:val="24"/>
          <w:szCs w:val="24"/>
        </w:rPr>
        <w:t xml:space="preserve">Table I presents the age distribution of female participants in the survey: 9 participants aged 18-20, 25 aged 21-25, 24 aged 26-30, 4 aged 31-35, and 28 above 36, totaling 90 participants. The age group above 36 had the highest representation at 31%, followed by 21-25-year-olds at 28%. </w:t>
      </w:r>
      <w:r w:rsidRPr="001629AE">
        <w:rPr>
          <w:rFonts w:ascii="Times New Roman" w:hAnsi="Times New Roman" w:cs="Times New Roman"/>
          <w:sz w:val="24"/>
          <w:szCs w:val="24"/>
        </w:rPr>
        <w:lastRenderedPageBreak/>
        <w:t>Those aged 26-30 constituted approximately 27%, while 31-35-year-olds comprised 4%. The youngest group, 18-20, made up 10%. All participants met the study's sample size criteria, being actively involved in or having participated in village banking.</w:t>
      </w:r>
      <w:r w:rsidR="004A1D15" w:rsidRPr="00AB21C8" w:rsidDel="00D906E9">
        <w:rPr>
          <w:rFonts w:ascii="Times New Roman" w:hAnsi="Times New Roman" w:cs="Times New Roman"/>
          <w:sz w:val="24"/>
          <w:szCs w:val="24"/>
        </w:rPr>
        <w:t xml:space="preserve"> </w:t>
      </w:r>
    </w:p>
    <w:p w14:paraId="3E3769AD" w14:textId="77777777" w:rsidR="00F94A38" w:rsidRPr="00AB21C8" w:rsidRDefault="00B0241C" w:rsidP="004A1D15">
      <w:pPr>
        <w:pStyle w:val="ListParagraph"/>
        <w:numPr>
          <w:ilvl w:val="2"/>
          <w:numId w:val="12"/>
        </w:numPr>
        <w:spacing w:line="360" w:lineRule="auto"/>
        <w:ind w:left="1260"/>
        <w:jc w:val="both"/>
        <w:rPr>
          <w:rFonts w:ascii="Times New Roman" w:hAnsi="Times New Roman" w:cs="Times New Roman"/>
          <w:b/>
          <w:sz w:val="24"/>
          <w:szCs w:val="24"/>
        </w:rPr>
      </w:pPr>
      <w:r w:rsidRPr="00AB21C8">
        <w:rPr>
          <w:rFonts w:ascii="Times New Roman" w:hAnsi="Times New Roman" w:cs="Times New Roman"/>
          <w:b/>
          <w:sz w:val="24"/>
          <w:szCs w:val="24"/>
        </w:rPr>
        <w:t xml:space="preserve">Marital </w:t>
      </w:r>
      <w:r w:rsidR="004A6A27" w:rsidRPr="00AB21C8">
        <w:rPr>
          <w:rFonts w:ascii="Times New Roman" w:hAnsi="Times New Roman" w:cs="Times New Roman"/>
          <w:b/>
          <w:sz w:val="24"/>
          <w:szCs w:val="24"/>
        </w:rPr>
        <w:t>Status of the Respondents</w:t>
      </w:r>
    </w:p>
    <w:p w14:paraId="6EDDE53E" w14:textId="5355EA6D" w:rsidR="00914107" w:rsidRDefault="00E56C22" w:rsidP="004A1D15">
      <w:pPr>
        <w:spacing w:line="360" w:lineRule="auto"/>
        <w:jc w:val="both"/>
        <w:rPr>
          <w:rFonts w:ascii="Times New Roman" w:hAnsi="Times New Roman" w:cs="Times New Roman"/>
          <w:sz w:val="24"/>
          <w:szCs w:val="24"/>
        </w:rPr>
      </w:pPr>
      <w:r w:rsidRPr="00E56C22">
        <w:rPr>
          <w:rFonts w:ascii="Times New Roman" w:hAnsi="Times New Roman" w:cs="Times New Roman"/>
          <w:sz w:val="24"/>
          <w:szCs w:val="24"/>
        </w:rPr>
        <w:t>This analysis aims to identify influential patterns and correlations between marital status and various economic behaviors, helping to understand how different family structures contribute to or benefit from the village banking system. By recognizing these patterns, the study seeks to inform the development of more effective and inclusive strategies tailored to the unique needs of participants with varying marital statuses</w:t>
      </w:r>
      <w:r w:rsidR="001629AE" w:rsidRPr="001629AE">
        <w:rPr>
          <w:rFonts w:ascii="Times New Roman" w:hAnsi="Times New Roman" w:cs="Times New Roman"/>
          <w:sz w:val="24"/>
          <w:szCs w:val="24"/>
        </w:rPr>
        <w:t xml:space="preserve">. </w:t>
      </w:r>
    </w:p>
    <w:p w14:paraId="51B05BBB" w14:textId="77777777" w:rsidR="004A1D15" w:rsidRPr="00AB21C8" w:rsidRDefault="004A1D15" w:rsidP="004A1D15">
      <w:pPr>
        <w:spacing w:line="360" w:lineRule="auto"/>
        <w:jc w:val="both"/>
        <w:rPr>
          <w:rFonts w:ascii="Times New Roman" w:hAnsi="Times New Roman" w:cs="Times New Roman"/>
          <w:sz w:val="24"/>
          <w:szCs w:val="24"/>
        </w:rPr>
      </w:pPr>
      <w:r w:rsidRPr="00AB21C8">
        <w:rPr>
          <w:rFonts w:ascii="Times New Roman" w:hAnsi="Times New Roman" w:cs="Times New Roman"/>
          <w:noProof/>
          <w:sz w:val="24"/>
          <w:szCs w:val="24"/>
        </w:rPr>
        <w:drawing>
          <wp:inline distT="0" distB="0" distL="0" distR="0" wp14:anchorId="6658E35D" wp14:editId="7B176676">
            <wp:extent cx="5534025" cy="2114093"/>
            <wp:effectExtent l="0" t="0" r="9525" b="63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5BBF776" w14:textId="77777777" w:rsidR="004A1D15" w:rsidRPr="00AB21C8" w:rsidRDefault="004A1D15" w:rsidP="004A1D15">
      <w:pPr>
        <w:spacing w:line="360" w:lineRule="auto"/>
        <w:jc w:val="both"/>
        <w:rPr>
          <w:rFonts w:ascii="Times New Roman" w:hAnsi="Times New Roman" w:cs="Times New Roman"/>
          <w:iCs/>
          <w:sz w:val="24"/>
          <w:szCs w:val="24"/>
        </w:rPr>
      </w:pPr>
      <w:bookmarkStart w:id="4" w:name="_Toc157419299"/>
      <w:r w:rsidRPr="00AB21C8">
        <w:rPr>
          <w:rFonts w:ascii="Times New Roman" w:hAnsi="Times New Roman" w:cs="Times New Roman"/>
          <w:b/>
          <w:iCs/>
          <w:sz w:val="24"/>
          <w:szCs w:val="24"/>
        </w:rPr>
        <w:t xml:space="preserve">Figure </w:t>
      </w:r>
      <w:r w:rsidRPr="00AB21C8">
        <w:rPr>
          <w:rFonts w:ascii="Times New Roman" w:hAnsi="Times New Roman" w:cs="Times New Roman"/>
          <w:b/>
          <w:iCs/>
          <w:sz w:val="24"/>
          <w:szCs w:val="24"/>
        </w:rPr>
        <w:fldChar w:fldCharType="begin"/>
      </w:r>
      <w:r w:rsidRPr="00AB21C8">
        <w:rPr>
          <w:rFonts w:ascii="Times New Roman" w:hAnsi="Times New Roman" w:cs="Times New Roman"/>
          <w:b/>
          <w:iCs/>
          <w:sz w:val="24"/>
          <w:szCs w:val="24"/>
        </w:rPr>
        <w:instrText xml:space="preserve"> SEQ Figure \* ARABIC </w:instrText>
      </w:r>
      <w:r w:rsidRPr="00AB21C8">
        <w:rPr>
          <w:rFonts w:ascii="Times New Roman" w:hAnsi="Times New Roman" w:cs="Times New Roman"/>
          <w:b/>
          <w:iCs/>
          <w:sz w:val="24"/>
          <w:szCs w:val="24"/>
        </w:rPr>
        <w:fldChar w:fldCharType="separate"/>
      </w:r>
      <w:r w:rsidR="00C11EA2">
        <w:rPr>
          <w:rFonts w:ascii="Times New Roman" w:hAnsi="Times New Roman" w:cs="Times New Roman"/>
          <w:b/>
          <w:iCs/>
          <w:noProof/>
          <w:sz w:val="24"/>
          <w:szCs w:val="24"/>
        </w:rPr>
        <w:t>2</w:t>
      </w:r>
      <w:r w:rsidRPr="00AB21C8">
        <w:rPr>
          <w:rFonts w:ascii="Times New Roman" w:hAnsi="Times New Roman" w:cs="Times New Roman"/>
          <w:b/>
          <w:sz w:val="24"/>
          <w:szCs w:val="24"/>
        </w:rPr>
        <w:fldChar w:fldCharType="end"/>
      </w:r>
      <w:r w:rsidRPr="00AB21C8">
        <w:rPr>
          <w:rFonts w:ascii="Times New Roman" w:hAnsi="Times New Roman" w:cs="Times New Roman"/>
          <w:iCs/>
          <w:sz w:val="24"/>
          <w:szCs w:val="24"/>
        </w:rPr>
        <w:t>: Marital Status of the Respondents</w:t>
      </w:r>
      <w:bookmarkEnd w:id="4"/>
    </w:p>
    <w:p w14:paraId="4711649A" w14:textId="77777777" w:rsidR="004A1D15" w:rsidRPr="00AB21C8" w:rsidRDefault="004A1D15" w:rsidP="004A1D15">
      <w:pPr>
        <w:spacing w:line="360" w:lineRule="auto"/>
        <w:jc w:val="both"/>
        <w:rPr>
          <w:rFonts w:ascii="Times New Roman" w:hAnsi="Times New Roman" w:cs="Times New Roman"/>
          <w:sz w:val="24"/>
          <w:szCs w:val="24"/>
        </w:rPr>
      </w:pPr>
      <w:r w:rsidRPr="00AB21C8">
        <w:rPr>
          <w:rFonts w:ascii="Times New Roman" w:hAnsi="Times New Roman" w:cs="Times New Roman"/>
          <w:sz w:val="24"/>
          <w:szCs w:val="24"/>
        </w:rPr>
        <w:t>Source: Fieldwork, 2023</w:t>
      </w:r>
    </w:p>
    <w:p w14:paraId="014D2FCE" w14:textId="38734DE8" w:rsidR="004A1D15" w:rsidRPr="00AB21C8" w:rsidRDefault="0025788F" w:rsidP="004A1D15">
      <w:pPr>
        <w:spacing w:line="360" w:lineRule="auto"/>
        <w:jc w:val="both"/>
        <w:rPr>
          <w:rFonts w:ascii="Times New Roman" w:hAnsi="Times New Roman" w:cs="Times New Roman"/>
          <w:sz w:val="24"/>
          <w:szCs w:val="24"/>
        </w:rPr>
      </w:pPr>
      <w:r w:rsidRPr="0025788F">
        <w:rPr>
          <w:rFonts w:ascii="Times New Roman" w:hAnsi="Times New Roman" w:cs="Times New Roman"/>
          <w:sz w:val="24"/>
          <w:szCs w:val="24"/>
        </w:rPr>
        <w:t>The data highlights the marital status distribution among women in village banking: 18% single, 1% engaged, 73% married, and 8% widowed. This diversity underscores the significance of acknowledging individual circumstances when evaluating financial needs and program participation. Understanding the varied marital statuses allows for tailored support mechanisms within village banking initiatives, ensuring inclusivity and addressing the unique challenges and opportunities faced by women across different marital statuses.</w:t>
      </w:r>
      <w:r w:rsidR="004A1D15" w:rsidRPr="00AB21C8" w:rsidDel="00963729">
        <w:rPr>
          <w:rFonts w:ascii="Times New Roman" w:hAnsi="Times New Roman" w:cs="Times New Roman"/>
          <w:sz w:val="24"/>
          <w:szCs w:val="24"/>
        </w:rPr>
        <w:t xml:space="preserve"> </w:t>
      </w:r>
    </w:p>
    <w:p w14:paraId="092FACBC" w14:textId="44AAC248" w:rsidR="00B0241C" w:rsidRPr="00AB21C8" w:rsidRDefault="005047E4" w:rsidP="003C60E4">
      <w:pPr>
        <w:pStyle w:val="ListParagraph"/>
        <w:numPr>
          <w:ilvl w:val="2"/>
          <w:numId w:val="12"/>
        </w:numPr>
        <w:spacing w:line="360" w:lineRule="auto"/>
        <w:ind w:left="1170"/>
        <w:jc w:val="both"/>
        <w:rPr>
          <w:rFonts w:ascii="Times New Roman" w:hAnsi="Times New Roman" w:cs="Times New Roman"/>
          <w:b/>
          <w:sz w:val="24"/>
          <w:szCs w:val="24"/>
        </w:rPr>
      </w:pPr>
      <w:r>
        <w:rPr>
          <w:rFonts w:ascii="Times New Roman" w:hAnsi="Times New Roman" w:cs="Times New Roman"/>
          <w:b/>
          <w:sz w:val="24"/>
          <w:szCs w:val="24"/>
        </w:rPr>
        <w:t>Education L</w:t>
      </w:r>
      <w:r w:rsidR="00B0241C" w:rsidRPr="00AB21C8">
        <w:rPr>
          <w:rFonts w:ascii="Times New Roman" w:hAnsi="Times New Roman" w:cs="Times New Roman"/>
          <w:b/>
          <w:sz w:val="24"/>
          <w:szCs w:val="24"/>
        </w:rPr>
        <w:t>evel of</w:t>
      </w:r>
      <w:r>
        <w:rPr>
          <w:rFonts w:ascii="Times New Roman" w:hAnsi="Times New Roman" w:cs="Times New Roman"/>
          <w:b/>
          <w:sz w:val="24"/>
          <w:szCs w:val="24"/>
        </w:rPr>
        <w:t xml:space="preserve"> the</w:t>
      </w:r>
      <w:r w:rsidR="00B0241C" w:rsidRPr="00AB21C8">
        <w:rPr>
          <w:rFonts w:ascii="Times New Roman" w:hAnsi="Times New Roman" w:cs="Times New Roman"/>
          <w:b/>
          <w:sz w:val="24"/>
          <w:szCs w:val="24"/>
        </w:rPr>
        <w:t xml:space="preserve"> </w:t>
      </w:r>
      <w:r>
        <w:rPr>
          <w:rFonts w:ascii="Times New Roman" w:hAnsi="Times New Roman" w:cs="Times New Roman"/>
          <w:b/>
          <w:sz w:val="24"/>
          <w:szCs w:val="24"/>
        </w:rPr>
        <w:t>R</w:t>
      </w:r>
      <w:r w:rsidR="00B0241C" w:rsidRPr="00AB21C8">
        <w:rPr>
          <w:rFonts w:ascii="Times New Roman" w:hAnsi="Times New Roman" w:cs="Times New Roman"/>
          <w:b/>
          <w:sz w:val="24"/>
          <w:szCs w:val="24"/>
        </w:rPr>
        <w:t>espondents</w:t>
      </w:r>
    </w:p>
    <w:p w14:paraId="050252F0" w14:textId="2AFC3A7E" w:rsidR="003C60E4" w:rsidRPr="00AB21C8" w:rsidRDefault="0025788F" w:rsidP="003C60E4">
      <w:pPr>
        <w:spacing w:line="360" w:lineRule="auto"/>
        <w:jc w:val="both"/>
        <w:rPr>
          <w:rFonts w:ascii="Times New Roman" w:hAnsi="Times New Roman" w:cs="Times New Roman"/>
          <w:sz w:val="24"/>
          <w:szCs w:val="24"/>
        </w:rPr>
      </w:pPr>
      <w:r w:rsidRPr="0025788F">
        <w:rPr>
          <w:rFonts w:ascii="Times New Roman" w:hAnsi="Times New Roman" w:cs="Times New Roman"/>
          <w:sz w:val="24"/>
          <w:szCs w:val="24"/>
        </w:rPr>
        <w:t xml:space="preserve">The analysis of education levels aimed to gauge participants' knowledge, skills, and qualifications, crucial factors influencing socio-economic status and resource access. Figure 3 offers insights into participants' educational backgrounds, shedding light on the potential impact of village banking programs on women's empowerment. This data not only helps assess the baseline educational </w:t>
      </w:r>
      <w:r w:rsidRPr="0025788F">
        <w:rPr>
          <w:rFonts w:ascii="Times New Roman" w:hAnsi="Times New Roman" w:cs="Times New Roman"/>
          <w:sz w:val="24"/>
          <w:szCs w:val="24"/>
        </w:rPr>
        <w:lastRenderedPageBreak/>
        <w:t>status of participants but also provides a basis for understanding how village banking initiatives may contribute to enhancing women's economic opportunities and overall empowerment.</w:t>
      </w:r>
    </w:p>
    <w:p w14:paraId="4534675D" w14:textId="77777777" w:rsidR="003C60E4" w:rsidRPr="00AB21C8" w:rsidRDefault="003C60E4" w:rsidP="003C60E4">
      <w:pPr>
        <w:keepNext/>
        <w:spacing w:line="360" w:lineRule="auto"/>
        <w:ind w:left="900"/>
        <w:jc w:val="both"/>
        <w:rPr>
          <w:rFonts w:ascii="Times New Roman" w:hAnsi="Times New Roman" w:cs="Times New Roman"/>
          <w:sz w:val="24"/>
          <w:szCs w:val="24"/>
        </w:rPr>
      </w:pPr>
      <w:r w:rsidRPr="00AB21C8">
        <w:rPr>
          <w:rFonts w:ascii="Times New Roman" w:hAnsi="Times New Roman" w:cs="Times New Roman"/>
          <w:noProof/>
          <w:sz w:val="24"/>
          <w:szCs w:val="24"/>
        </w:rPr>
        <w:drawing>
          <wp:inline distT="0" distB="0" distL="0" distR="0" wp14:anchorId="4BC2AA7D" wp14:editId="06134D5D">
            <wp:extent cx="4953000" cy="2479853"/>
            <wp:effectExtent l="0" t="0" r="0" b="1587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66E3664" w14:textId="5A21D581" w:rsidR="003C60E4" w:rsidRPr="00AB21C8" w:rsidRDefault="003C60E4" w:rsidP="003C60E4">
      <w:pPr>
        <w:pStyle w:val="Caption"/>
        <w:spacing w:after="0"/>
        <w:ind w:left="900"/>
        <w:jc w:val="both"/>
        <w:rPr>
          <w:rFonts w:ascii="Times New Roman" w:hAnsi="Times New Roman" w:cs="Times New Roman"/>
          <w:b/>
          <w:i w:val="0"/>
          <w:color w:val="000000" w:themeColor="text1"/>
          <w:sz w:val="24"/>
          <w:szCs w:val="24"/>
        </w:rPr>
      </w:pPr>
      <w:bookmarkStart w:id="5" w:name="_Toc157419300"/>
      <w:r w:rsidRPr="00AB21C8">
        <w:rPr>
          <w:rFonts w:ascii="Times New Roman" w:hAnsi="Times New Roman" w:cs="Times New Roman"/>
          <w:i w:val="0"/>
          <w:color w:val="000000" w:themeColor="text1"/>
          <w:sz w:val="24"/>
          <w:szCs w:val="24"/>
        </w:rPr>
        <w:t xml:space="preserve">Figure </w:t>
      </w:r>
      <w:r w:rsidRPr="00AB21C8">
        <w:rPr>
          <w:rFonts w:ascii="Times New Roman" w:hAnsi="Times New Roman" w:cs="Times New Roman"/>
          <w:i w:val="0"/>
          <w:color w:val="000000" w:themeColor="text1"/>
          <w:sz w:val="24"/>
          <w:szCs w:val="24"/>
        </w:rPr>
        <w:fldChar w:fldCharType="begin"/>
      </w:r>
      <w:r w:rsidRPr="00AB21C8">
        <w:rPr>
          <w:rFonts w:ascii="Times New Roman" w:hAnsi="Times New Roman" w:cs="Times New Roman"/>
          <w:i w:val="0"/>
          <w:color w:val="000000" w:themeColor="text1"/>
          <w:sz w:val="24"/>
          <w:szCs w:val="24"/>
        </w:rPr>
        <w:instrText xml:space="preserve"> SEQ Figure \* ARABIC </w:instrText>
      </w:r>
      <w:r w:rsidRPr="00AB21C8">
        <w:rPr>
          <w:rFonts w:ascii="Times New Roman" w:hAnsi="Times New Roman" w:cs="Times New Roman"/>
          <w:i w:val="0"/>
          <w:color w:val="000000" w:themeColor="text1"/>
          <w:sz w:val="24"/>
          <w:szCs w:val="24"/>
        </w:rPr>
        <w:fldChar w:fldCharType="separate"/>
      </w:r>
      <w:r w:rsidR="00C11EA2">
        <w:rPr>
          <w:rFonts w:ascii="Times New Roman" w:hAnsi="Times New Roman" w:cs="Times New Roman"/>
          <w:i w:val="0"/>
          <w:noProof/>
          <w:color w:val="000000" w:themeColor="text1"/>
          <w:sz w:val="24"/>
          <w:szCs w:val="24"/>
        </w:rPr>
        <w:t>3</w:t>
      </w:r>
      <w:r w:rsidRPr="00AB21C8">
        <w:rPr>
          <w:rFonts w:ascii="Times New Roman" w:hAnsi="Times New Roman" w:cs="Times New Roman"/>
          <w:i w:val="0"/>
          <w:color w:val="000000" w:themeColor="text1"/>
          <w:sz w:val="24"/>
          <w:szCs w:val="24"/>
        </w:rPr>
        <w:fldChar w:fldCharType="end"/>
      </w:r>
      <w:r w:rsidRPr="00AB21C8">
        <w:rPr>
          <w:rFonts w:ascii="Times New Roman" w:hAnsi="Times New Roman" w:cs="Times New Roman"/>
          <w:i w:val="0"/>
          <w:color w:val="000000" w:themeColor="text1"/>
          <w:sz w:val="24"/>
          <w:szCs w:val="24"/>
        </w:rPr>
        <w:t xml:space="preserve">: Level of Education of </w:t>
      </w:r>
      <w:r w:rsidR="005047E4">
        <w:rPr>
          <w:rFonts w:ascii="Times New Roman" w:hAnsi="Times New Roman" w:cs="Times New Roman"/>
          <w:i w:val="0"/>
          <w:color w:val="000000" w:themeColor="text1"/>
          <w:sz w:val="24"/>
          <w:szCs w:val="24"/>
        </w:rPr>
        <w:t xml:space="preserve">the </w:t>
      </w:r>
      <w:r w:rsidRPr="00AB21C8">
        <w:rPr>
          <w:rFonts w:ascii="Times New Roman" w:hAnsi="Times New Roman" w:cs="Times New Roman"/>
          <w:i w:val="0"/>
          <w:color w:val="000000" w:themeColor="text1"/>
          <w:sz w:val="24"/>
          <w:szCs w:val="24"/>
        </w:rPr>
        <w:t>Respondents</w:t>
      </w:r>
      <w:bookmarkEnd w:id="5"/>
    </w:p>
    <w:p w14:paraId="4D293CCB" w14:textId="77777777" w:rsidR="004A6A27" w:rsidRPr="00AB21C8" w:rsidRDefault="003C60E4" w:rsidP="004A6A27">
      <w:pPr>
        <w:spacing w:line="360" w:lineRule="auto"/>
        <w:ind w:left="900"/>
        <w:jc w:val="both"/>
        <w:rPr>
          <w:rFonts w:ascii="Times New Roman" w:hAnsi="Times New Roman" w:cs="Times New Roman"/>
          <w:sz w:val="24"/>
          <w:szCs w:val="24"/>
        </w:rPr>
      </w:pPr>
      <w:r w:rsidRPr="00AB21C8">
        <w:rPr>
          <w:rFonts w:ascii="Times New Roman" w:hAnsi="Times New Roman" w:cs="Times New Roman"/>
          <w:sz w:val="24"/>
          <w:szCs w:val="24"/>
        </w:rPr>
        <w:t xml:space="preserve">Source: </w:t>
      </w:r>
      <w:r w:rsidR="004A6A27" w:rsidRPr="00AB21C8">
        <w:rPr>
          <w:rFonts w:ascii="Times New Roman" w:hAnsi="Times New Roman" w:cs="Times New Roman"/>
          <w:sz w:val="24"/>
          <w:szCs w:val="24"/>
        </w:rPr>
        <w:t>Fieldwork</w:t>
      </w:r>
      <w:r w:rsidRPr="00AB21C8">
        <w:rPr>
          <w:rFonts w:ascii="Times New Roman" w:hAnsi="Times New Roman" w:cs="Times New Roman"/>
          <w:sz w:val="24"/>
          <w:szCs w:val="24"/>
        </w:rPr>
        <w:t>, 2023</w:t>
      </w:r>
    </w:p>
    <w:p w14:paraId="420E26DD" w14:textId="0C6E7B23" w:rsidR="003C60E4" w:rsidRPr="00AB21C8" w:rsidRDefault="0025788F" w:rsidP="003C60E4">
      <w:pPr>
        <w:spacing w:line="360" w:lineRule="auto"/>
        <w:jc w:val="both"/>
        <w:rPr>
          <w:rFonts w:ascii="Times New Roman" w:hAnsi="Times New Roman" w:cs="Times New Roman"/>
          <w:sz w:val="24"/>
          <w:szCs w:val="24"/>
        </w:rPr>
      </w:pPr>
      <w:r w:rsidRPr="0025788F">
        <w:rPr>
          <w:rFonts w:ascii="Times New Roman" w:hAnsi="Times New Roman" w:cs="Times New Roman"/>
          <w:sz w:val="24"/>
          <w:szCs w:val="24"/>
        </w:rPr>
        <w:t>Figure 3 unveiled the educational attainment of respondents, with 24% holding tertiary education, indicative of degree or advanced diploma completion. The largest segment, constituting 47%, boasted secondary education, denoting high school graduation. Furthermore, 18% possessed junior-level education, having completed primary schooling but not secondary education, while 11% reported no formal education. This comprehensive breakdown underscores the diverse educational backgrounds within the sample, providing valuable insights into participants' knowledge base and skill sets, critical factors shaping their engagement and potential empowerment through village banking initiatives.</w:t>
      </w:r>
    </w:p>
    <w:p w14:paraId="33F5D470" w14:textId="6E57DE39" w:rsidR="00B0241C" w:rsidRPr="00AB21C8" w:rsidRDefault="004A6A27" w:rsidP="003C60E4">
      <w:pPr>
        <w:pStyle w:val="ListParagraph"/>
        <w:numPr>
          <w:ilvl w:val="2"/>
          <w:numId w:val="12"/>
        </w:numPr>
        <w:spacing w:line="360" w:lineRule="auto"/>
        <w:ind w:left="1350"/>
        <w:jc w:val="both"/>
        <w:rPr>
          <w:rFonts w:ascii="Times New Roman" w:hAnsi="Times New Roman" w:cs="Times New Roman"/>
          <w:b/>
          <w:sz w:val="24"/>
          <w:szCs w:val="24"/>
        </w:rPr>
      </w:pPr>
      <w:r w:rsidRPr="00AB21C8">
        <w:rPr>
          <w:rFonts w:ascii="Times New Roman" w:hAnsi="Times New Roman" w:cs="Times New Roman"/>
          <w:b/>
          <w:sz w:val="24"/>
          <w:szCs w:val="24"/>
        </w:rPr>
        <w:t xml:space="preserve"> </w:t>
      </w:r>
      <w:r w:rsidR="00B0241C" w:rsidRPr="00AB21C8">
        <w:rPr>
          <w:rFonts w:ascii="Times New Roman" w:hAnsi="Times New Roman" w:cs="Times New Roman"/>
          <w:b/>
          <w:sz w:val="24"/>
          <w:szCs w:val="24"/>
        </w:rPr>
        <w:t xml:space="preserve">Level </w:t>
      </w:r>
      <w:r w:rsidR="00011EB3" w:rsidRPr="00AB21C8">
        <w:rPr>
          <w:rFonts w:ascii="Times New Roman" w:hAnsi="Times New Roman" w:cs="Times New Roman"/>
          <w:b/>
          <w:sz w:val="24"/>
          <w:szCs w:val="24"/>
        </w:rPr>
        <w:t>of</w:t>
      </w:r>
      <w:r w:rsidRPr="00AB21C8">
        <w:rPr>
          <w:rFonts w:ascii="Times New Roman" w:hAnsi="Times New Roman" w:cs="Times New Roman"/>
          <w:b/>
          <w:sz w:val="24"/>
          <w:szCs w:val="24"/>
        </w:rPr>
        <w:t xml:space="preserve"> </w:t>
      </w:r>
      <w:r w:rsidR="00B0241C" w:rsidRPr="00AB21C8">
        <w:rPr>
          <w:rFonts w:ascii="Times New Roman" w:hAnsi="Times New Roman" w:cs="Times New Roman"/>
          <w:b/>
          <w:sz w:val="24"/>
          <w:szCs w:val="24"/>
        </w:rPr>
        <w:t xml:space="preserve">Income </w:t>
      </w:r>
      <w:r w:rsidRPr="00AB21C8">
        <w:rPr>
          <w:rFonts w:ascii="Times New Roman" w:hAnsi="Times New Roman" w:cs="Times New Roman"/>
          <w:b/>
          <w:sz w:val="24"/>
          <w:szCs w:val="24"/>
        </w:rPr>
        <w:t xml:space="preserve">of the Respondents </w:t>
      </w:r>
    </w:p>
    <w:p w14:paraId="78E39298" w14:textId="220F3F60" w:rsidR="003C60E4" w:rsidRPr="00AB21C8" w:rsidRDefault="00E56C22" w:rsidP="003C60E4">
      <w:pPr>
        <w:spacing w:line="360" w:lineRule="auto"/>
        <w:jc w:val="both"/>
        <w:rPr>
          <w:rFonts w:ascii="Times New Roman" w:hAnsi="Times New Roman" w:cs="Times New Roman"/>
          <w:sz w:val="24"/>
          <w:szCs w:val="24"/>
        </w:rPr>
      </w:pPr>
      <w:r w:rsidRPr="00E56C22">
        <w:rPr>
          <w:rFonts w:ascii="Times New Roman" w:hAnsi="Times New Roman" w:cs="Times New Roman"/>
          <w:sz w:val="24"/>
          <w:szCs w:val="24"/>
        </w:rPr>
        <w:t>Figure 4 summarizes respondents' average monthly income from other livelihood sources before joining village banking, offering insights into their financial situation and lifestyle. This data contextualizes participants' economic backgrounds, aiding in understanding how village banking influences their financial stability. By examining pre-existing income levels, the study identifies baseline conditions and evaluates the impact of village banking on members' financial well-being. This information is essential for tailoring support and enhancing program effectiveness</w:t>
      </w:r>
      <w:r w:rsidR="001629AE" w:rsidRPr="001629AE">
        <w:rPr>
          <w:rFonts w:ascii="Times New Roman" w:hAnsi="Times New Roman" w:cs="Times New Roman"/>
          <w:sz w:val="24"/>
          <w:szCs w:val="24"/>
        </w:rPr>
        <w:t>.</w:t>
      </w:r>
    </w:p>
    <w:p w14:paraId="4D7BBD1D" w14:textId="77777777" w:rsidR="003C60E4" w:rsidRPr="00AB21C8" w:rsidRDefault="003C60E4" w:rsidP="003C60E4">
      <w:pPr>
        <w:keepNext/>
        <w:spacing w:line="360" w:lineRule="auto"/>
        <w:ind w:left="1080"/>
        <w:jc w:val="both"/>
        <w:rPr>
          <w:rFonts w:ascii="Times New Roman" w:hAnsi="Times New Roman" w:cs="Times New Roman"/>
          <w:sz w:val="24"/>
          <w:szCs w:val="24"/>
        </w:rPr>
      </w:pPr>
      <w:r w:rsidRPr="00AB21C8">
        <w:rPr>
          <w:rFonts w:ascii="Times New Roman" w:hAnsi="Times New Roman" w:cs="Times New Roman"/>
          <w:noProof/>
          <w:sz w:val="24"/>
          <w:szCs w:val="24"/>
        </w:rPr>
        <w:lastRenderedPageBreak/>
        <w:drawing>
          <wp:inline distT="0" distB="0" distL="0" distR="0" wp14:anchorId="2D8B94FF" wp14:editId="5EDFB48E">
            <wp:extent cx="4572000" cy="2004339"/>
            <wp:effectExtent l="0" t="0" r="0" b="1524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F12F0F5" w14:textId="4676833E" w:rsidR="003C60E4" w:rsidRPr="00AB21C8" w:rsidRDefault="003C60E4" w:rsidP="003C60E4">
      <w:pPr>
        <w:pStyle w:val="Caption"/>
        <w:spacing w:after="0"/>
        <w:ind w:left="990"/>
        <w:jc w:val="both"/>
        <w:rPr>
          <w:rFonts w:ascii="Times New Roman" w:hAnsi="Times New Roman" w:cs="Times New Roman"/>
          <w:i w:val="0"/>
          <w:sz w:val="24"/>
          <w:szCs w:val="24"/>
        </w:rPr>
      </w:pPr>
      <w:r w:rsidRPr="00AB21C8">
        <w:rPr>
          <w:rFonts w:ascii="Times New Roman" w:hAnsi="Times New Roman" w:cs="Times New Roman"/>
          <w:b/>
          <w:i w:val="0"/>
          <w:sz w:val="24"/>
          <w:szCs w:val="24"/>
        </w:rPr>
        <w:t xml:space="preserve"> </w:t>
      </w:r>
      <w:bookmarkStart w:id="6" w:name="_Toc157419301"/>
      <w:r w:rsidRPr="00AB21C8">
        <w:rPr>
          <w:rFonts w:ascii="Times New Roman" w:hAnsi="Times New Roman" w:cs="Times New Roman"/>
          <w:b/>
          <w:i w:val="0"/>
          <w:color w:val="000000" w:themeColor="text1"/>
          <w:sz w:val="24"/>
          <w:szCs w:val="24"/>
        </w:rPr>
        <w:t xml:space="preserve">Figure </w:t>
      </w:r>
      <w:r w:rsidRPr="00AB21C8">
        <w:rPr>
          <w:rFonts w:ascii="Times New Roman" w:hAnsi="Times New Roman" w:cs="Times New Roman"/>
          <w:b/>
          <w:i w:val="0"/>
          <w:color w:val="000000" w:themeColor="text1"/>
          <w:sz w:val="24"/>
          <w:szCs w:val="24"/>
        </w:rPr>
        <w:fldChar w:fldCharType="begin"/>
      </w:r>
      <w:r w:rsidRPr="00AB21C8">
        <w:rPr>
          <w:rFonts w:ascii="Times New Roman" w:hAnsi="Times New Roman" w:cs="Times New Roman"/>
          <w:b/>
          <w:i w:val="0"/>
          <w:color w:val="000000" w:themeColor="text1"/>
          <w:sz w:val="24"/>
          <w:szCs w:val="24"/>
        </w:rPr>
        <w:instrText xml:space="preserve"> SEQ Figure \* ARABIC </w:instrText>
      </w:r>
      <w:r w:rsidRPr="00AB21C8">
        <w:rPr>
          <w:rFonts w:ascii="Times New Roman" w:hAnsi="Times New Roman" w:cs="Times New Roman"/>
          <w:b/>
          <w:i w:val="0"/>
          <w:color w:val="000000" w:themeColor="text1"/>
          <w:sz w:val="24"/>
          <w:szCs w:val="24"/>
        </w:rPr>
        <w:fldChar w:fldCharType="separate"/>
      </w:r>
      <w:r w:rsidR="00C11EA2">
        <w:rPr>
          <w:rFonts w:ascii="Times New Roman" w:hAnsi="Times New Roman" w:cs="Times New Roman"/>
          <w:b/>
          <w:i w:val="0"/>
          <w:noProof/>
          <w:color w:val="000000" w:themeColor="text1"/>
          <w:sz w:val="24"/>
          <w:szCs w:val="24"/>
        </w:rPr>
        <w:t>4</w:t>
      </w:r>
      <w:r w:rsidRPr="00AB21C8">
        <w:rPr>
          <w:rFonts w:ascii="Times New Roman" w:hAnsi="Times New Roman" w:cs="Times New Roman"/>
          <w:b/>
          <w:i w:val="0"/>
          <w:color w:val="000000" w:themeColor="text1"/>
          <w:sz w:val="24"/>
          <w:szCs w:val="24"/>
        </w:rPr>
        <w:fldChar w:fldCharType="end"/>
      </w:r>
      <w:r w:rsidRPr="00AB21C8">
        <w:rPr>
          <w:rFonts w:ascii="Times New Roman" w:hAnsi="Times New Roman" w:cs="Times New Roman"/>
          <w:i w:val="0"/>
          <w:color w:val="000000" w:themeColor="text1"/>
          <w:sz w:val="24"/>
          <w:szCs w:val="24"/>
        </w:rPr>
        <w:t>: Level of Income of</w:t>
      </w:r>
      <w:r w:rsidR="004261C3">
        <w:rPr>
          <w:rFonts w:ascii="Times New Roman" w:hAnsi="Times New Roman" w:cs="Times New Roman"/>
          <w:i w:val="0"/>
          <w:color w:val="000000" w:themeColor="text1"/>
          <w:sz w:val="24"/>
          <w:szCs w:val="24"/>
        </w:rPr>
        <w:t xml:space="preserve"> the</w:t>
      </w:r>
      <w:r w:rsidRPr="00AB21C8">
        <w:rPr>
          <w:rFonts w:ascii="Times New Roman" w:hAnsi="Times New Roman" w:cs="Times New Roman"/>
          <w:i w:val="0"/>
          <w:color w:val="000000" w:themeColor="text1"/>
          <w:sz w:val="24"/>
          <w:szCs w:val="24"/>
        </w:rPr>
        <w:t xml:space="preserve"> Respondents</w:t>
      </w:r>
      <w:bookmarkEnd w:id="6"/>
    </w:p>
    <w:p w14:paraId="34B29E4D" w14:textId="77777777" w:rsidR="003C60E4" w:rsidRPr="00AB21C8" w:rsidRDefault="003C60E4" w:rsidP="003C60E4">
      <w:pPr>
        <w:tabs>
          <w:tab w:val="left" w:pos="1030"/>
        </w:tabs>
        <w:spacing w:line="360" w:lineRule="auto"/>
        <w:jc w:val="both"/>
        <w:rPr>
          <w:rFonts w:ascii="Times New Roman" w:hAnsi="Times New Roman" w:cs="Times New Roman"/>
          <w:sz w:val="24"/>
          <w:szCs w:val="24"/>
        </w:rPr>
      </w:pPr>
      <w:r w:rsidRPr="00AB21C8">
        <w:rPr>
          <w:rFonts w:ascii="Times New Roman" w:hAnsi="Times New Roman" w:cs="Times New Roman"/>
          <w:sz w:val="24"/>
          <w:szCs w:val="24"/>
        </w:rPr>
        <w:tab/>
        <w:t xml:space="preserve">Source: Fieldwork, 2023 </w:t>
      </w:r>
    </w:p>
    <w:p w14:paraId="436FCBC3" w14:textId="43DAF881" w:rsidR="004A6A27" w:rsidRPr="00AB21C8" w:rsidRDefault="00AA519C" w:rsidP="004A6A27">
      <w:pPr>
        <w:spacing w:line="360" w:lineRule="auto"/>
        <w:jc w:val="both"/>
        <w:rPr>
          <w:rFonts w:ascii="Times New Roman" w:hAnsi="Times New Roman" w:cs="Times New Roman"/>
          <w:b/>
          <w:sz w:val="24"/>
          <w:szCs w:val="24"/>
        </w:rPr>
      </w:pPr>
      <w:bookmarkStart w:id="7" w:name="_Toc160660095"/>
      <w:r w:rsidRPr="00AA519C">
        <w:rPr>
          <w:rFonts w:ascii="Times New Roman" w:hAnsi="Times New Roman" w:cs="Times New Roman"/>
          <w:sz w:val="24"/>
          <w:szCs w:val="24"/>
        </w:rPr>
        <w:t>This information provided a general overview of the income distribution among women. It suggested that a significant portion of women (27%) had incomes between K1100 and K2500, indicating a moderate income range. Additionally, the data showed that a considerable proportion (43%) had incomes between K2500 and K4400, indicating a higher income range. Furthermore, 10% of women had incomes of K4500 and above, indicating a relatively higher income group. On the other hand, 20% of women had incomes below K1000, indicating a lower-income group. Overall, these statistics suggested a varied income distribution among women, with a significant portion falling within moderate to higher income ranges, but also a notable proportion falling within lower-income brackets</w:t>
      </w:r>
      <w:r w:rsidR="001629AE" w:rsidRPr="001629AE">
        <w:rPr>
          <w:rFonts w:ascii="Times New Roman" w:hAnsi="Times New Roman" w:cs="Times New Roman"/>
          <w:sz w:val="24"/>
          <w:szCs w:val="24"/>
        </w:rPr>
        <w:t>.</w:t>
      </w:r>
    </w:p>
    <w:p w14:paraId="32E8BEDF" w14:textId="77777777" w:rsidR="003C083C" w:rsidRPr="00AB21C8" w:rsidRDefault="003C083C" w:rsidP="003C083C">
      <w:pPr>
        <w:keepNext/>
        <w:keepLines/>
        <w:spacing w:before="40"/>
        <w:outlineLvl w:val="3"/>
        <w:rPr>
          <w:rFonts w:ascii="Times New Roman" w:hAnsi="Times New Roman" w:cs="Times New Roman"/>
          <w:sz w:val="24"/>
          <w:szCs w:val="24"/>
        </w:rPr>
      </w:pPr>
      <w:r w:rsidRPr="00AB21C8">
        <w:rPr>
          <w:rFonts w:ascii="Times New Roman" w:eastAsiaTheme="majorEastAsia" w:hAnsi="Times New Roman" w:cs="Times New Roman"/>
          <w:iCs/>
          <w:sz w:val="24"/>
          <w:szCs w:val="24"/>
        </w:rPr>
        <w:t xml:space="preserve">4.1.5 </w:t>
      </w:r>
      <w:r w:rsidRPr="00AB21C8">
        <w:rPr>
          <w:rFonts w:ascii="Times New Roman" w:eastAsiaTheme="majorEastAsia" w:hAnsi="Times New Roman" w:cs="Times New Roman"/>
          <w:b/>
          <w:iCs/>
          <w:sz w:val="24"/>
          <w:szCs w:val="24"/>
        </w:rPr>
        <w:t>Investment</w:t>
      </w:r>
      <w:r w:rsidRPr="00AB21C8">
        <w:rPr>
          <w:rFonts w:ascii="Times New Roman" w:hAnsi="Times New Roman" w:cs="Times New Roman"/>
          <w:b/>
          <w:sz w:val="24"/>
          <w:szCs w:val="24"/>
        </w:rPr>
        <w:t xml:space="preserve"> </w:t>
      </w:r>
      <w:r w:rsidR="004A6A27" w:rsidRPr="00AB21C8">
        <w:rPr>
          <w:rFonts w:ascii="Times New Roman" w:hAnsi="Times New Roman" w:cs="Times New Roman"/>
          <w:b/>
          <w:sz w:val="24"/>
          <w:szCs w:val="24"/>
        </w:rPr>
        <w:t>Opportunities for Women in Village Banking</w:t>
      </w:r>
      <w:bookmarkEnd w:id="7"/>
    </w:p>
    <w:p w14:paraId="2089933B" w14:textId="13A72958" w:rsidR="00E56C22" w:rsidRDefault="00AA519C" w:rsidP="003C083C">
      <w:pPr>
        <w:spacing w:line="360" w:lineRule="auto"/>
        <w:jc w:val="both"/>
        <w:rPr>
          <w:rFonts w:ascii="Times New Roman" w:hAnsi="Times New Roman" w:cs="Times New Roman"/>
          <w:sz w:val="24"/>
          <w:szCs w:val="24"/>
        </w:rPr>
      </w:pPr>
      <w:r w:rsidRPr="00AA519C">
        <w:rPr>
          <w:rFonts w:ascii="Times New Roman" w:hAnsi="Times New Roman" w:cs="Times New Roman"/>
          <w:sz w:val="24"/>
          <w:szCs w:val="24"/>
        </w:rPr>
        <w:t xml:space="preserve">Figure 5 illustrates the extent of women's engagement in investments through village banking, showcasing their significant contributions to inclusive economic growth and sustainable development within their communities. This figure highlights how village banking empowers women to become active economic participants, driving local development and fostering community resilience. By investing in various ventures, women not only enhance their own financial stability but also contribute to the broader economic prosperity and sustainability of their </w:t>
      </w:r>
      <w:r w:rsidRPr="00AA519C">
        <w:rPr>
          <w:rFonts w:ascii="Times New Roman" w:hAnsi="Times New Roman" w:cs="Times New Roman"/>
          <w:sz w:val="24"/>
          <w:szCs w:val="24"/>
        </w:rPr>
        <w:lastRenderedPageBreak/>
        <w:t>communitie</w:t>
      </w:r>
      <w:r w:rsidR="006D364E">
        <w:rPr>
          <w:rFonts w:ascii="Times New Roman" w:hAnsi="Times New Roman" w:cs="Times New Roman"/>
          <w:noProof/>
          <w:sz w:val="24"/>
          <w:szCs w:val="24"/>
        </w:rPr>
        <w:pict w14:anchorId="11800F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7.5pt;height:187.45pt;mso-width-percent:0;mso-height-percent:0;mso-width-percent:0;mso-height-percent:0">
            <v:imagedata r:id="rId12" o:title="vin k"/>
          </v:shape>
        </w:pict>
      </w:r>
    </w:p>
    <w:p w14:paraId="65586079" w14:textId="77777777" w:rsidR="00A373C0" w:rsidRDefault="00A373C0" w:rsidP="00B0241C">
      <w:pPr>
        <w:spacing w:line="360" w:lineRule="auto"/>
        <w:jc w:val="both"/>
        <w:rPr>
          <w:rFonts w:ascii="Times New Roman" w:hAnsi="Times New Roman" w:cs="Times New Roman"/>
          <w:sz w:val="24"/>
          <w:szCs w:val="24"/>
        </w:rPr>
      </w:pPr>
      <w:r w:rsidRPr="00AB21C8">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6A8F8289" wp14:editId="1E8FAFB1">
                <wp:simplePos x="0" y="0"/>
                <wp:positionH relativeFrom="margin">
                  <wp:align>left</wp:align>
                </wp:positionH>
                <wp:positionV relativeFrom="paragraph">
                  <wp:posOffset>90170</wp:posOffset>
                </wp:positionV>
                <wp:extent cx="3395207" cy="635"/>
                <wp:effectExtent l="0" t="0" r="0" b="6985"/>
                <wp:wrapNone/>
                <wp:docPr id="5" name="Text Box 5"/>
                <wp:cNvGraphicFramePr/>
                <a:graphic xmlns:a="http://schemas.openxmlformats.org/drawingml/2006/main">
                  <a:graphicData uri="http://schemas.microsoft.com/office/word/2010/wordprocessingShape">
                    <wps:wsp>
                      <wps:cNvSpPr txBox="1"/>
                      <wps:spPr>
                        <a:xfrm>
                          <a:off x="0" y="0"/>
                          <a:ext cx="3395207" cy="635"/>
                        </a:xfrm>
                        <a:prstGeom prst="rect">
                          <a:avLst/>
                        </a:prstGeom>
                        <a:solidFill>
                          <a:prstClr val="white"/>
                        </a:solidFill>
                        <a:ln>
                          <a:noFill/>
                        </a:ln>
                        <a:effectLst/>
                      </wps:spPr>
                      <wps:txbx>
                        <w:txbxContent>
                          <w:p w14:paraId="776312D5" w14:textId="66C1C76C" w:rsidR="003C25D0" w:rsidRPr="004F0BB9" w:rsidRDefault="003C25D0" w:rsidP="004F0BB9">
                            <w:pPr>
                              <w:pStyle w:val="Caption"/>
                              <w:spacing w:after="0"/>
                              <w:rPr>
                                <w:rFonts w:ascii="Times New Roman" w:hAnsi="Times New Roman" w:cs="Times New Roman"/>
                                <w:i w:val="0"/>
                                <w:color w:val="auto"/>
                                <w:sz w:val="22"/>
                              </w:rPr>
                            </w:pPr>
                            <w:r w:rsidRPr="004F0BB9">
                              <w:rPr>
                                <w:rFonts w:ascii="Times New Roman" w:hAnsi="Times New Roman" w:cs="Times New Roman"/>
                                <w:i w:val="0"/>
                                <w:color w:val="auto"/>
                                <w:sz w:val="22"/>
                              </w:rPr>
                              <w:t xml:space="preserve">Figure </w:t>
                            </w:r>
                            <w:r w:rsidRPr="004F0BB9">
                              <w:rPr>
                                <w:rFonts w:ascii="Times New Roman" w:hAnsi="Times New Roman" w:cs="Times New Roman"/>
                                <w:i w:val="0"/>
                                <w:color w:val="auto"/>
                                <w:sz w:val="22"/>
                              </w:rPr>
                              <w:fldChar w:fldCharType="begin"/>
                            </w:r>
                            <w:r w:rsidRPr="004F0BB9">
                              <w:rPr>
                                <w:rFonts w:ascii="Times New Roman" w:hAnsi="Times New Roman" w:cs="Times New Roman"/>
                                <w:i w:val="0"/>
                                <w:color w:val="auto"/>
                                <w:sz w:val="22"/>
                              </w:rPr>
                              <w:instrText xml:space="preserve"> SEQ Figure \* ARABIC </w:instrText>
                            </w:r>
                            <w:r w:rsidRPr="004F0BB9">
                              <w:rPr>
                                <w:rFonts w:ascii="Times New Roman" w:hAnsi="Times New Roman" w:cs="Times New Roman"/>
                                <w:i w:val="0"/>
                                <w:color w:val="auto"/>
                                <w:sz w:val="22"/>
                              </w:rPr>
                              <w:fldChar w:fldCharType="separate"/>
                            </w:r>
                            <w:r w:rsidR="00C11EA2">
                              <w:rPr>
                                <w:rFonts w:ascii="Times New Roman" w:hAnsi="Times New Roman" w:cs="Times New Roman"/>
                                <w:i w:val="0"/>
                                <w:noProof/>
                                <w:color w:val="auto"/>
                                <w:sz w:val="22"/>
                              </w:rPr>
                              <w:t>5</w:t>
                            </w:r>
                            <w:r w:rsidRPr="004F0BB9">
                              <w:rPr>
                                <w:rFonts w:ascii="Times New Roman" w:hAnsi="Times New Roman" w:cs="Times New Roman"/>
                                <w:i w:val="0"/>
                                <w:color w:val="auto"/>
                                <w:sz w:val="22"/>
                              </w:rPr>
                              <w:fldChar w:fldCharType="end"/>
                            </w:r>
                            <w:r w:rsidR="004261C3">
                              <w:rPr>
                                <w:rFonts w:ascii="Times New Roman" w:hAnsi="Times New Roman" w:cs="Times New Roman"/>
                                <w:i w:val="0"/>
                                <w:color w:val="auto"/>
                                <w:sz w:val="22"/>
                              </w:rPr>
                              <w:t>: Village Banking O</w:t>
                            </w:r>
                            <w:r w:rsidRPr="004F0BB9">
                              <w:rPr>
                                <w:rFonts w:ascii="Times New Roman" w:hAnsi="Times New Roman" w:cs="Times New Roman"/>
                                <w:i w:val="0"/>
                                <w:color w:val="auto"/>
                                <w:sz w:val="22"/>
                              </w:rPr>
                              <w:t xml:space="preserve">pportunities for </w:t>
                            </w:r>
                            <w:r w:rsidR="004261C3">
                              <w:rPr>
                                <w:rFonts w:ascii="Times New Roman" w:hAnsi="Times New Roman" w:cs="Times New Roman"/>
                                <w:i w:val="0"/>
                                <w:color w:val="auto"/>
                                <w:sz w:val="22"/>
                              </w:rPr>
                              <w:t>I</w:t>
                            </w:r>
                            <w:r w:rsidRPr="004F0BB9">
                              <w:rPr>
                                <w:rFonts w:ascii="Times New Roman" w:hAnsi="Times New Roman" w:cs="Times New Roman"/>
                                <w:i w:val="0"/>
                                <w:color w:val="auto"/>
                                <w:sz w:val="22"/>
                              </w:rPr>
                              <w:t>nvestment</w:t>
                            </w:r>
                          </w:p>
                          <w:p w14:paraId="2ED65FEE" w14:textId="77777777" w:rsidR="003C25D0" w:rsidRPr="004F0BB9" w:rsidRDefault="003C25D0" w:rsidP="004F0BB9">
                            <w:pPr>
                              <w:rPr>
                                <w:rFonts w:ascii="Times New Roman" w:hAnsi="Times New Roman" w:cs="Times New Roman"/>
                                <w:sz w:val="24"/>
                              </w:rPr>
                            </w:pPr>
                            <w:r w:rsidRPr="004F0BB9">
                              <w:rPr>
                                <w:rFonts w:ascii="Times New Roman" w:hAnsi="Times New Roman" w:cs="Times New Roman"/>
                                <w:sz w:val="24"/>
                              </w:rPr>
                              <w:t>Source: Field work,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A8F8289" id="_x0000_t202" coordsize="21600,21600" o:spt="202" path="m,l,21600r21600,l21600,xe">
                <v:stroke joinstyle="miter"/>
                <v:path gradientshapeok="t" o:connecttype="rect"/>
              </v:shapetype>
              <v:shape id="Text Box 5" o:spid="_x0000_s1026" type="#_x0000_t202" style="position:absolute;left:0;text-align:left;margin-left:0;margin-top:7.1pt;width:267.35pt;height:.05pt;z-index:25166848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" stroked="f">
                <v:textbox style="mso-fit-shape-to-text:t" inset="0,0,0,0">
                  <w:txbxContent>
                    <w:p w14:paraId="776312D5" w14:textId="66C1C76C" w:rsidR="003C25D0" w:rsidRPr="004F0BB9" w:rsidRDefault="003C25D0" w:rsidP="004F0BB9">
                      <w:pPr>
                        <w:pStyle w:val="Caption"/>
                        <w:spacing w:after="0"/>
                        <w:rPr>
                          <w:rFonts w:ascii="Times New Roman" w:hAnsi="Times New Roman" w:cs="Times New Roman"/>
                          <w:i w:val="0"/>
                          <w:color w:val="auto"/>
                          <w:sz w:val="22"/>
                        </w:rPr>
                      </w:pPr>
                      <w:r w:rsidRPr="004F0BB9">
                        <w:rPr>
                          <w:rFonts w:ascii="Times New Roman" w:hAnsi="Times New Roman" w:cs="Times New Roman"/>
                          <w:i w:val="0"/>
                          <w:color w:val="auto"/>
                          <w:sz w:val="22"/>
                        </w:rPr>
                        <w:t xml:space="preserve">Figure </w:t>
                      </w:r>
                      <w:r w:rsidRPr="004F0BB9">
                        <w:rPr>
                          <w:rFonts w:ascii="Times New Roman" w:hAnsi="Times New Roman" w:cs="Times New Roman"/>
                          <w:i w:val="0"/>
                          <w:color w:val="auto"/>
                          <w:sz w:val="22"/>
                        </w:rPr>
                        <w:fldChar w:fldCharType="begin"/>
                      </w:r>
                      <w:r w:rsidRPr="004F0BB9">
                        <w:rPr>
                          <w:rFonts w:ascii="Times New Roman" w:hAnsi="Times New Roman" w:cs="Times New Roman"/>
                          <w:i w:val="0"/>
                          <w:color w:val="auto"/>
                          <w:sz w:val="22"/>
                        </w:rPr>
                        <w:instrText xml:space="preserve"> SEQ Figure \* ARABIC </w:instrText>
                      </w:r>
                      <w:r w:rsidRPr="004F0BB9">
                        <w:rPr>
                          <w:rFonts w:ascii="Times New Roman" w:hAnsi="Times New Roman" w:cs="Times New Roman"/>
                          <w:i w:val="0"/>
                          <w:color w:val="auto"/>
                          <w:sz w:val="22"/>
                        </w:rPr>
                        <w:fldChar w:fldCharType="separate"/>
                      </w:r>
                      <w:r w:rsidR="00C11EA2">
                        <w:rPr>
                          <w:rFonts w:ascii="Times New Roman" w:hAnsi="Times New Roman" w:cs="Times New Roman"/>
                          <w:i w:val="0"/>
                          <w:noProof/>
                          <w:color w:val="auto"/>
                          <w:sz w:val="22"/>
                        </w:rPr>
                        <w:t>5</w:t>
                      </w:r>
                      <w:r w:rsidRPr="004F0BB9">
                        <w:rPr>
                          <w:rFonts w:ascii="Times New Roman" w:hAnsi="Times New Roman" w:cs="Times New Roman"/>
                          <w:i w:val="0"/>
                          <w:color w:val="auto"/>
                          <w:sz w:val="22"/>
                        </w:rPr>
                        <w:fldChar w:fldCharType="end"/>
                      </w:r>
                      <w:r w:rsidR="004261C3">
                        <w:rPr>
                          <w:rFonts w:ascii="Times New Roman" w:hAnsi="Times New Roman" w:cs="Times New Roman"/>
                          <w:i w:val="0"/>
                          <w:color w:val="auto"/>
                          <w:sz w:val="22"/>
                        </w:rPr>
                        <w:t>: Village Banking O</w:t>
                      </w:r>
                      <w:r w:rsidRPr="004F0BB9">
                        <w:rPr>
                          <w:rFonts w:ascii="Times New Roman" w:hAnsi="Times New Roman" w:cs="Times New Roman"/>
                          <w:i w:val="0"/>
                          <w:color w:val="auto"/>
                          <w:sz w:val="22"/>
                        </w:rPr>
                        <w:t xml:space="preserve">pportunities for </w:t>
                      </w:r>
                      <w:r w:rsidR="004261C3">
                        <w:rPr>
                          <w:rFonts w:ascii="Times New Roman" w:hAnsi="Times New Roman" w:cs="Times New Roman"/>
                          <w:i w:val="0"/>
                          <w:color w:val="auto"/>
                          <w:sz w:val="22"/>
                        </w:rPr>
                        <w:t>I</w:t>
                      </w:r>
                      <w:r w:rsidRPr="004F0BB9">
                        <w:rPr>
                          <w:rFonts w:ascii="Times New Roman" w:hAnsi="Times New Roman" w:cs="Times New Roman"/>
                          <w:i w:val="0"/>
                          <w:color w:val="auto"/>
                          <w:sz w:val="22"/>
                        </w:rPr>
                        <w:t>nvestment</w:t>
                      </w:r>
                    </w:p>
                    <w:p w14:paraId="2ED65FEE" w14:textId="77777777" w:rsidR="003C25D0" w:rsidRPr="004F0BB9" w:rsidRDefault="003C25D0" w:rsidP="004F0BB9">
                      <w:pPr>
                        <w:rPr>
                          <w:rFonts w:ascii="Times New Roman" w:hAnsi="Times New Roman" w:cs="Times New Roman"/>
                          <w:sz w:val="24"/>
                        </w:rPr>
                      </w:pPr>
                      <w:r w:rsidRPr="004F0BB9">
                        <w:rPr>
                          <w:rFonts w:ascii="Times New Roman" w:hAnsi="Times New Roman" w:cs="Times New Roman"/>
                          <w:sz w:val="24"/>
                        </w:rPr>
                        <w:t>Source: Field work, 2023</w:t>
                      </w:r>
                    </w:p>
                  </w:txbxContent>
                </v:textbox>
                <w10:wrap anchorx="margin"/>
              </v:shape>
            </w:pict>
          </mc:Fallback>
        </mc:AlternateContent>
      </w:r>
    </w:p>
    <w:p w14:paraId="0A79FC8B" w14:textId="77777777" w:rsidR="004A6A27" w:rsidRPr="00AB21C8" w:rsidRDefault="004A6A27" w:rsidP="00B0241C">
      <w:pPr>
        <w:spacing w:line="360" w:lineRule="auto"/>
        <w:jc w:val="both"/>
        <w:rPr>
          <w:rFonts w:ascii="Times New Roman" w:hAnsi="Times New Roman" w:cs="Times New Roman"/>
          <w:sz w:val="24"/>
          <w:szCs w:val="24"/>
        </w:rPr>
      </w:pPr>
    </w:p>
    <w:p w14:paraId="04DA1A45" w14:textId="35432D41" w:rsidR="004A6A27" w:rsidRPr="00AB21C8" w:rsidRDefault="00AA519C" w:rsidP="00AA519C">
      <w:pPr>
        <w:spacing w:line="360" w:lineRule="auto"/>
        <w:jc w:val="both"/>
        <w:rPr>
          <w:rFonts w:ascii="Times New Roman" w:hAnsi="Times New Roman" w:cs="Times New Roman"/>
          <w:sz w:val="24"/>
          <w:szCs w:val="24"/>
        </w:rPr>
      </w:pPr>
      <w:r w:rsidRPr="00AA519C">
        <w:rPr>
          <w:rFonts w:ascii="Times New Roman" w:hAnsi="Times New Roman" w:cs="Times New Roman"/>
          <w:sz w:val="24"/>
          <w:szCs w:val="24"/>
        </w:rPr>
        <w:t>Figure 5 showcases the wide array of investment activities undertaken by women through village banking, spanning agriculture, services, and retail sectors. Notably, women are heavily involved in poultry farming and tomato cultivation within the agriculture sector, demonstrating their active pa</w:t>
      </w:r>
      <w:r>
        <w:rPr>
          <w:rFonts w:ascii="Times New Roman" w:hAnsi="Times New Roman" w:cs="Times New Roman"/>
          <w:sz w:val="24"/>
          <w:szCs w:val="24"/>
        </w:rPr>
        <w:t xml:space="preserve">rticipation in food production. </w:t>
      </w:r>
      <w:r w:rsidRPr="00AA519C">
        <w:rPr>
          <w:rFonts w:ascii="Times New Roman" w:hAnsi="Times New Roman" w:cs="Times New Roman"/>
          <w:sz w:val="24"/>
          <w:szCs w:val="24"/>
        </w:rPr>
        <w:t>In the services sector, women engage in diverse endeavors such as tailoring, hairdressing, and retailing automotive spare parts, indicating their versatility and entrepreneurial spirit. Additionally, in the retail sector, women trade essential commodities including honey, fish, beans, second-hand clothing ("salaula"), rice, blankets, and shoes, showcasing their role in providing vi</w:t>
      </w:r>
      <w:r>
        <w:rPr>
          <w:rFonts w:ascii="Times New Roman" w:hAnsi="Times New Roman" w:cs="Times New Roman"/>
          <w:sz w:val="24"/>
          <w:szCs w:val="24"/>
        </w:rPr>
        <w:t xml:space="preserve">tal goods to their communities. </w:t>
      </w:r>
      <w:r w:rsidRPr="00AA519C">
        <w:rPr>
          <w:rFonts w:ascii="Times New Roman" w:hAnsi="Times New Roman" w:cs="Times New Roman"/>
          <w:sz w:val="24"/>
          <w:szCs w:val="24"/>
        </w:rPr>
        <w:t>This comprehensive range of investment activities illustrates the significant contributions of women to various economic sectors, underscoring their pivotal role in enhancing livelihoods and driving local economic growth. Through village banking, women are empowered to pursue diverse ventures, thereby fostering their economic independence and promoting sustainable devel</w:t>
      </w:r>
      <w:r w:rsidR="0025788F">
        <w:rPr>
          <w:rFonts w:ascii="Times New Roman" w:hAnsi="Times New Roman" w:cs="Times New Roman"/>
          <w:sz w:val="24"/>
          <w:szCs w:val="24"/>
        </w:rPr>
        <w:t>opment within their communities</w:t>
      </w:r>
      <w:r w:rsidR="001629AE" w:rsidRPr="001629AE">
        <w:rPr>
          <w:rFonts w:ascii="Times New Roman" w:hAnsi="Times New Roman" w:cs="Times New Roman"/>
          <w:sz w:val="24"/>
          <w:szCs w:val="24"/>
        </w:rPr>
        <w:t>.</w:t>
      </w:r>
    </w:p>
    <w:p w14:paraId="3E2E7E44" w14:textId="77777777" w:rsidR="00B0241C" w:rsidRPr="00AB21C8" w:rsidRDefault="00B0241C" w:rsidP="00D05A70">
      <w:pPr>
        <w:pStyle w:val="ListParagraph"/>
        <w:numPr>
          <w:ilvl w:val="1"/>
          <w:numId w:val="12"/>
        </w:numPr>
        <w:spacing w:line="360" w:lineRule="auto"/>
        <w:ind w:left="450"/>
        <w:jc w:val="both"/>
        <w:rPr>
          <w:rFonts w:ascii="Times New Roman" w:hAnsi="Times New Roman" w:cs="Times New Roman"/>
          <w:b/>
          <w:sz w:val="24"/>
          <w:szCs w:val="24"/>
        </w:rPr>
      </w:pPr>
      <w:r w:rsidRPr="00AB21C8">
        <w:rPr>
          <w:rFonts w:ascii="Times New Roman" w:hAnsi="Times New Roman" w:cs="Times New Roman"/>
          <w:sz w:val="24"/>
          <w:szCs w:val="24"/>
        </w:rPr>
        <w:t xml:space="preserve"> </w:t>
      </w:r>
      <w:r w:rsidR="004A6A27" w:rsidRPr="00AB21C8">
        <w:rPr>
          <w:rFonts w:ascii="Times New Roman" w:hAnsi="Times New Roman" w:cs="Times New Roman"/>
          <w:b/>
          <w:sz w:val="24"/>
          <w:szCs w:val="24"/>
        </w:rPr>
        <w:t>The Economic Benefits that Women Realize From Village Banking</w:t>
      </w:r>
    </w:p>
    <w:p w14:paraId="18AECF32" w14:textId="77777777" w:rsidR="00B0241C" w:rsidRPr="00AB21C8" w:rsidRDefault="00B0241C" w:rsidP="00D05A70">
      <w:pPr>
        <w:pStyle w:val="ListParagraph"/>
        <w:numPr>
          <w:ilvl w:val="2"/>
          <w:numId w:val="12"/>
        </w:numPr>
        <w:spacing w:line="360" w:lineRule="auto"/>
        <w:ind w:left="1350"/>
        <w:jc w:val="both"/>
        <w:rPr>
          <w:rFonts w:ascii="Times New Roman" w:hAnsi="Times New Roman" w:cs="Times New Roman"/>
          <w:b/>
          <w:sz w:val="24"/>
          <w:szCs w:val="24"/>
        </w:rPr>
      </w:pPr>
      <w:r w:rsidRPr="00AB21C8">
        <w:rPr>
          <w:rFonts w:ascii="Times New Roman" w:hAnsi="Times New Roman" w:cs="Times New Roman"/>
          <w:b/>
          <w:sz w:val="24"/>
          <w:szCs w:val="24"/>
        </w:rPr>
        <w:t xml:space="preserve">Village banking and Access to Medical services  </w:t>
      </w:r>
    </w:p>
    <w:p w14:paraId="054F7880" w14:textId="224829BE" w:rsidR="001F724F" w:rsidRPr="00C11EA2" w:rsidRDefault="00E56C22" w:rsidP="00C11EA2">
      <w:pPr>
        <w:spacing w:line="360" w:lineRule="auto"/>
        <w:jc w:val="both"/>
        <w:rPr>
          <w:rFonts w:ascii="Times New Roman" w:hAnsi="Times New Roman" w:cs="Times New Roman"/>
          <w:sz w:val="24"/>
        </w:rPr>
      </w:pPr>
      <w:r w:rsidRPr="00E56C22">
        <w:rPr>
          <w:rFonts w:ascii="Times New Roman" w:hAnsi="Times New Roman" w:cs="Times New Roman"/>
          <w:sz w:val="24"/>
        </w:rPr>
        <w:t xml:space="preserve">The researcher aimed to assess the extent to which village banking has influenced women's access to medical services, including private clinics, medications, consultations, and professional treatments. Figure 6 illustrates a comparative analysis of these outcomes before and after the respondents joined village banking groups. This comparison provides a clear picture of how village </w:t>
      </w:r>
      <w:r w:rsidRPr="00E56C22">
        <w:rPr>
          <w:rFonts w:ascii="Times New Roman" w:hAnsi="Times New Roman" w:cs="Times New Roman"/>
          <w:sz w:val="24"/>
        </w:rPr>
        <w:lastRenderedPageBreak/>
        <w:t>banking has potentially improved healthcare access for women, highlighting changes in their ability to seek and afford medical services. Understanding these impacts is crucial for evaluating the broader social benefits of village banking and for developing strategies to further enhance women's health and well-being through these initiatives</w:t>
      </w:r>
      <w:r>
        <w:rPr>
          <w:rFonts w:ascii="Times New Roman" w:hAnsi="Times New Roman" w:cs="Times New Roman"/>
          <w:sz w:val="24"/>
        </w:rPr>
        <w:t>.</w:t>
      </w:r>
    </w:p>
    <w:p w14:paraId="4F6CC6CE" w14:textId="77777777" w:rsidR="00E56C22" w:rsidRPr="00AB21C8" w:rsidRDefault="00E56C22" w:rsidP="004A6A27">
      <w:pPr>
        <w:keepNext/>
        <w:spacing w:line="360" w:lineRule="auto"/>
        <w:jc w:val="both"/>
        <w:rPr>
          <w:rFonts w:ascii="Times New Roman" w:hAnsi="Times New Roman" w:cs="Times New Roman"/>
          <w:sz w:val="24"/>
          <w:szCs w:val="24"/>
        </w:rPr>
      </w:pPr>
    </w:p>
    <w:p w14:paraId="54CE76FA" w14:textId="77777777" w:rsidR="004B0681" w:rsidRPr="00AB21C8" w:rsidRDefault="004B0681" w:rsidP="004A6A27">
      <w:pPr>
        <w:keepNext/>
        <w:spacing w:line="360" w:lineRule="auto"/>
        <w:jc w:val="both"/>
        <w:rPr>
          <w:rFonts w:ascii="Times New Roman" w:hAnsi="Times New Roman" w:cs="Times New Roman"/>
          <w:sz w:val="24"/>
          <w:szCs w:val="24"/>
        </w:rPr>
      </w:pPr>
      <w:r w:rsidRPr="00AB21C8">
        <w:rPr>
          <w:rFonts w:ascii="Times New Roman" w:hAnsi="Times New Roman" w:cs="Times New Roman"/>
          <w:noProof/>
          <w:sz w:val="24"/>
          <w:szCs w:val="24"/>
        </w:rPr>
        <w:drawing>
          <wp:inline distT="0" distB="0" distL="0" distR="0" wp14:anchorId="0953DEB0" wp14:editId="5B644BE3">
            <wp:extent cx="5886450" cy="2435860"/>
            <wp:effectExtent l="0" t="0" r="0" b="254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FB742AB" w14:textId="77777777" w:rsidR="004B0681" w:rsidRPr="00AB21C8" w:rsidRDefault="004B0681" w:rsidP="00C11EA2">
      <w:pPr>
        <w:pStyle w:val="Caption"/>
        <w:spacing w:after="0"/>
        <w:jc w:val="both"/>
        <w:rPr>
          <w:rFonts w:ascii="Times New Roman" w:hAnsi="Times New Roman" w:cs="Times New Roman"/>
          <w:i w:val="0"/>
          <w:color w:val="000000" w:themeColor="text1"/>
          <w:sz w:val="24"/>
          <w:szCs w:val="24"/>
        </w:rPr>
      </w:pPr>
      <w:bookmarkStart w:id="8" w:name="_Toc157419303"/>
      <w:r w:rsidRPr="00AB21C8">
        <w:rPr>
          <w:rFonts w:ascii="Times New Roman" w:hAnsi="Times New Roman" w:cs="Times New Roman"/>
          <w:b/>
          <w:i w:val="0"/>
          <w:color w:val="000000" w:themeColor="text1"/>
          <w:sz w:val="24"/>
          <w:szCs w:val="24"/>
        </w:rPr>
        <w:t xml:space="preserve">Figure </w:t>
      </w:r>
      <w:r w:rsidRPr="00AB21C8">
        <w:rPr>
          <w:rFonts w:ascii="Times New Roman" w:hAnsi="Times New Roman" w:cs="Times New Roman"/>
          <w:b/>
          <w:i w:val="0"/>
          <w:color w:val="000000" w:themeColor="text1"/>
          <w:sz w:val="24"/>
          <w:szCs w:val="24"/>
        </w:rPr>
        <w:fldChar w:fldCharType="begin"/>
      </w:r>
      <w:r w:rsidRPr="00AB21C8">
        <w:rPr>
          <w:rFonts w:ascii="Times New Roman" w:hAnsi="Times New Roman" w:cs="Times New Roman"/>
          <w:b/>
          <w:i w:val="0"/>
          <w:color w:val="000000" w:themeColor="text1"/>
          <w:sz w:val="24"/>
          <w:szCs w:val="24"/>
        </w:rPr>
        <w:instrText xml:space="preserve"> SEQ Figure \* ARABIC </w:instrText>
      </w:r>
      <w:r w:rsidRPr="00AB21C8">
        <w:rPr>
          <w:rFonts w:ascii="Times New Roman" w:hAnsi="Times New Roman" w:cs="Times New Roman"/>
          <w:b/>
          <w:i w:val="0"/>
          <w:color w:val="000000" w:themeColor="text1"/>
          <w:sz w:val="24"/>
          <w:szCs w:val="24"/>
        </w:rPr>
        <w:fldChar w:fldCharType="separate"/>
      </w:r>
      <w:r w:rsidR="00C11EA2">
        <w:rPr>
          <w:rFonts w:ascii="Times New Roman" w:hAnsi="Times New Roman" w:cs="Times New Roman"/>
          <w:b/>
          <w:i w:val="0"/>
          <w:noProof/>
          <w:color w:val="000000" w:themeColor="text1"/>
          <w:sz w:val="24"/>
          <w:szCs w:val="24"/>
        </w:rPr>
        <w:t>6</w:t>
      </w:r>
      <w:r w:rsidRPr="00AB21C8">
        <w:rPr>
          <w:rFonts w:ascii="Times New Roman" w:hAnsi="Times New Roman" w:cs="Times New Roman"/>
          <w:b/>
          <w:i w:val="0"/>
          <w:color w:val="000000" w:themeColor="text1"/>
          <w:sz w:val="24"/>
          <w:szCs w:val="24"/>
        </w:rPr>
        <w:fldChar w:fldCharType="end"/>
      </w:r>
      <w:r w:rsidRPr="00AB21C8">
        <w:rPr>
          <w:rFonts w:ascii="Times New Roman" w:hAnsi="Times New Roman" w:cs="Times New Roman"/>
          <w:i w:val="0"/>
          <w:color w:val="000000" w:themeColor="text1"/>
          <w:sz w:val="24"/>
          <w:szCs w:val="24"/>
        </w:rPr>
        <w:t xml:space="preserve">: </w:t>
      </w:r>
      <w:bookmarkEnd w:id="8"/>
      <w:r w:rsidR="001F724F" w:rsidRPr="00AB21C8">
        <w:rPr>
          <w:rFonts w:ascii="Times New Roman" w:hAnsi="Times New Roman" w:cs="Times New Roman"/>
          <w:i w:val="0"/>
          <w:color w:val="000000" w:themeColor="text1"/>
          <w:sz w:val="24"/>
          <w:szCs w:val="24"/>
        </w:rPr>
        <w:t>Changes in Access to Medical Services among Village Bank Respondents</w:t>
      </w:r>
    </w:p>
    <w:p w14:paraId="0485588A" w14:textId="77777777" w:rsidR="004B0681" w:rsidRPr="00AB21C8" w:rsidRDefault="004B0681" w:rsidP="00C11EA2">
      <w:pPr>
        <w:rPr>
          <w:rFonts w:ascii="Times New Roman" w:hAnsi="Times New Roman" w:cs="Times New Roman"/>
          <w:sz w:val="24"/>
          <w:szCs w:val="24"/>
        </w:rPr>
      </w:pPr>
      <w:r w:rsidRPr="00AB21C8">
        <w:rPr>
          <w:rFonts w:ascii="Times New Roman" w:hAnsi="Times New Roman" w:cs="Times New Roman"/>
          <w:sz w:val="24"/>
          <w:szCs w:val="24"/>
        </w:rPr>
        <w:t>Source: Fieldwork, 2023</w:t>
      </w:r>
    </w:p>
    <w:p w14:paraId="0AA26560" w14:textId="77777777" w:rsidR="00A373C0" w:rsidRDefault="00A373C0" w:rsidP="001F724F">
      <w:pPr>
        <w:spacing w:line="360" w:lineRule="auto"/>
        <w:jc w:val="both"/>
        <w:rPr>
          <w:rFonts w:ascii="Times New Roman" w:hAnsi="Times New Roman" w:cs="Times New Roman"/>
          <w:sz w:val="24"/>
          <w:szCs w:val="24"/>
        </w:rPr>
      </w:pPr>
    </w:p>
    <w:p w14:paraId="14080532" w14:textId="41C3EA82" w:rsidR="004B0681" w:rsidRDefault="001629AE" w:rsidP="007C672A">
      <w:pPr>
        <w:spacing w:line="360" w:lineRule="auto"/>
        <w:jc w:val="both"/>
        <w:rPr>
          <w:rFonts w:ascii="Times New Roman" w:hAnsi="Times New Roman" w:cs="Times New Roman"/>
          <w:i/>
          <w:iCs/>
          <w:sz w:val="24"/>
          <w:szCs w:val="24"/>
        </w:rPr>
      </w:pPr>
      <w:r w:rsidRPr="001629AE">
        <w:rPr>
          <w:rFonts w:ascii="Times New Roman" w:hAnsi="Times New Roman" w:cs="Times New Roman"/>
          <w:sz w:val="24"/>
          <w:szCs w:val="24"/>
        </w:rPr>
        <w:t>Before joining village banking, only 35% of women relied on spouses or relatives for medical services, highlighting limited direct access to quality healthcare. Most women faced significant healthcare challenges. After participating in village banking, about 80% of women could access essential medical services. One participant noted that village banking enabled her to seek prompt medical attention and afford necessary treatments, improving her family's health and well-being. This shift underscores the positive impact of village banking on women's healthcare access.</w:t>
      </w:r>
      <w:r w:rsidR="004B0681" w:rsidRPr="00AB21C8">
        <w:rPr>
          <w:rFonts w:ascii="Times New Roman" w:hAnsi="Times New Roman" w:cs="Times New Roman"/>
          <w:i/>
          <w:iCs/>
          <w:sz w:val="24"/>
          <w:szCs w:val="24"/>
        </w:rPr>
        <w:t xml:space="preserve"> </w:t>
      </w:r>
      <w:r w:rsidR="007C672A" w:rsidRPr="007C672A">
        <w:rPr>
          <w:rFonts w:ascii="Times New Roman" w:hAnsi="Times New Roman" w:cs="Times New Roman"/>
          <w:i/>
          <w:iCs/>
          <w:sz w:val="24"/>
          <w:szCs w:val="24"/>
        </w:rPr>
        <w:t>I am delighted to share how village banking has transformed my household health. Previously, I would hesitate to seek medical treatment due to the high costs involved. However, with the financial support from the village banking group, I no longer had to make that difficult choice. Not only was I able to seek medical attention promptly, but I could also afford the necessary medications and treatments. This ensured that my family received the care they needed, reducing the severity and duration of illnesses, and ultimately improving our overall well-being.</w:t>
      </w:r>
      <w:r w:rsidR="007D4C7F">
        <w:rPr>
          <w:rFonts w:ascii="Times New Roman" w:hAnsi="Times New Roman" w:cs="Times New Roman"/>
          <w:i/>
          <w:iCs/>
          <w:sz w:val="24"/>
          <w:szCs w:val="24"/>
        </w:rPr>
        <w:t xml:space="preserve"> </w:t>
      </w:r>
      <w:r w:rsidR="007C672A" w:rsidRPr="007C672A">
        <w:rPr>
          <w:rFonts w:ascii="Times New Roman" w:hAnsi="Times New Roman" w:cs="Times New Roman"/>
          <w:i/>
          <w:iCs/>
          <w:sz w:val="24"/>
          <w:szCs w:val="24"/>
        </w:rPr>
        <w:t xml:space="preserve">The impact of village banking on our household health was not limited to the financial aspect alone. With increased </w:t>
      </w:r>
      <w:r w:rsidR="007C672A" w:rsidRPr="007C672A">
        <w:rPr>
          <w:rFonts w:ascii="Times New Roman" w:hAnsi="Times New Roman" w:cs="Times New Roman"/>
          <w:i/>
          <w:iCs/>
          <w:sz w:val="24"/>
          <w:szCs w:val="24"/>
        </w:rPr>
        <w:lastRenderedPageBreak/>
        <w:t>financial stability, improved access to healthcare, and enhanced knowledge of health-related matters, we experienced a significant positive change in our overall well-</w:t>
      </w:r>
      <w:r w:rsidR="00011EB3" w:rsidRPr="007C672A">
        <w:rPr>
          <w:rFonts w:ascii="Times New Roman" w:hAnsi="Times New Roman" w:cs="Times New Roman"/>
          <w:i/>
          <w:iCs/>
          <w:sz w:val="24"/>
          <w:szCs w:val="24"/>
        </w:rPr>
        <w:t>being</w:t>
      </w:r>
      <w:r w:rsidR="00011EB3" w:rsidRPr="00AB21C8">
        <w:rPr>
          <w:rFonts w:ascii="Times New Roman" w:hAnsi="Times New Roman" w:cs="Times New Roman"/>
          <w:i/>
          <w:iCs/>
          <w:sz w:val="24"/>
          <w:szCs w:val="24"/>
        </w:rPr>
        <w:t xml:space="preserve"> (</w:t>
      </w:r>
      <w:r w:rsidR="001F724F" w:rsidRPr="00AB21C8">
        <w:rPr>
          <w:rFonts w:ascii="Times New Roman" w:hAnsi="Times New Roman" w:cs="Times New Roman"/>
          <w:i/>
          <w:iCs/>
          <w:sz w:val="24"/>
          <w:szCs w:val="24"/>
        </w:rPr>
        <w:t>Respondent 2).</w:t>
      </w:r>
    </w:p>
    <w:p w14:paraId="6772BF1C" w14:textId="4D2AD8E9" w:rsidR="007C672A" w:rsidRPr="00AB21C8" w:rsidRDefault="00AA519C" w:rsidP="007C672A">
      <w:pPr>
        <w:spacing w:line="360" w:lineRule="auto"/>
        <w:jc w:val="both"/>
        <w:rPr>
          <w:rFonts w:ascii="Times New Roman" w:hAnsi="Times New Roman" w:cs="Times New Roman"/>
          <w:i/>
          <w:iCs/>
          <w:sz w:val="24"/>
          <w:szCs w:val="24"/>
        </w:rPr>
      </w:pPr>
      <w:r w:rsidRPr="00AA519C">
        <w:rPr>
          <w:rFonts w:ascii="Times New Roman" w:hAnsi="Times New Roman" w:cs="Times New Roman"/>
          <w:iCs/>
          <w:sz w:val="24"/>
          <w:szCs w:val="24"/>
        </w:rPr>
        <w:t>Respondent 2 expressed gratitude for how village banking transformed their household's health by overcoming financial barriers to medical care. Previously, high costs had deterred them from seeking treatment, but with support from the village banking group, they could afford necessary care. This timely access to medical attention improved their family's well-being by reducing illness severity and duration. Similar sentiments were shared by other village banking participants. This highlights the vital connection between women's participation in village banking and access to medical services, underlining the role of financial stability in addressing healthcare needs effectively.</w:t>
      </w:r>
    </w:p>
    <w:p w14:paraId="12BC0B7C" w14:textId="77777777" w:rsidR="00B0241C" w:rsidRPr="00AB21C8" w:rsidRDefault="00B0241C" w:rsidP="003C60E4">
      <w:pPr>
        <w:pStyle w:val="ListParagraph"/>
        <w:numPr>
          <w:ilvl w:val="2"/>
          <w:numId w:val="12"/>
        </w:numPr>
        <w:spacing w:line="360" w:lineRule="auto"/>
        <w:ind w:left="1620"/>
        <w:jc w:val="both"/>
        <w:rPr>
          <w:rFonts w:ascii="Times New Roman" w:hAnsi="Times New Roman" w:cs="Times New Roman"/>
          <w:b/>
          <w:sz w:val="24"/>
          <w:szCs w:val="24"/>
        </w:rPr>
      </w:pPr>
      <w:r w:rsidRPr="00AB21C8">
        <w:rPr>
          <w:rFonts w:ascii="Times New Roman" w:hAnsi="Times New Roman" w:cs="Times New Roman"/>
          <w:b/>
          <w:sz w:val="24"/>
          <w:szCs w:val="24"/>
        </w:rPr>
        <w:t xml:space="preserve"> </w:t>
      </w:r>
      <w:r w:rsidR="001F724F" w:rsidRPr="00AB21C8">
        <w:rPr>
          <w:rFonts w:ascii="Times New Roman" w:hAnsi="Times New Roman" w:cs="Times New Roman"/>
          <w:b/>
          <w:sz w:val="24"/>
          <w:szCs w:val="24"/>
        </w:rPr>
        <w:t>Village B</w:t>
      </w:r>
      <w:r w:rsidR="004B0681" w:rsidRPr="00AB21C8">
        <w:rPr>
          <w:rFonts w:ascii="Times New Roman" w:hAnsi="Times New Roman" w:cs="Times New Roman"/>
          <w:b/>
          <w:sz w:val="24"/>
          <w:szCs w:val="24"/>
        </w:rPr>
        <w:t xml:space="preserve">anking and Food </w:t>
      </w:r>
      <w:r w:rsidR="001F724F" w:rsidRPr="00AB21C8">
        <w:rPr>
          <w:rFonts w:ascii="Times New Roman" w:hAnsi="Times New Roman" w:cs="Times New Roman"/>
          <w:b/>
          <w:sz w:val="24"/>
          <w:szCs w:val="24"/>
        </w:rPr>
        <w:t>Security</w:t>
      </w:r>
    </w:p>
    <w:p w14:paraId="53114FFD" w14:textId="50284C06" w:rsidR="001F724F" w:rsidRPr="00AB21C8" w:rsidRDefault="00AA519C" w:rsidP="00C11EA2">
      <w:pPr>
        <w:spacing w:line="360" w:lineRule="auto"/>
        <w:jc w:val="both"/>
        <w:rPr>
          <w:rFonts w:ascii="Times New Roman" w:hAnsi="Times New Roman" w:cs="Times New Roman"/>
          <w:sz w:val="24"/>
          <w:szCs w:val="24"/>
        </w:rPr>
      </w:pPr>
      <w:r w:rsidRPr="00AA519C">
        <w:rPr>
          <w:rFonts w:ascii="Times New Roman" w:hAnsi="Times New Roman" w:cs="Times New Roman"/>
          <w:sz w:val="24"/>
          <w:szCs w:val="24"/>
        </w:rPr>
        <w:t>The researcher embarked on a study to explore the impact of village banking on women's ability to access an adequate quantity of nutritious food. Figure 7 provides a visual representation of the comparison between outcomes before and after the respondents joined village banking groups. This comparison offers valuable insights into how village banking initiatives may have positively influenced women's access to nutritious food. By examining changes over time, the study aims to shed light on the potential role of village banking in enhancing food security and promoting better nutritional outcomes for women and their families.</w:t>
      </w:r>
    </w:p>
    <w:p w14:paraId="5A3682BD" w14:textId="77777777" w:rsidR="004B0681" w:rsidRPr="00AB21C8" w:rsidRDefault="004B0681" w:rsidP="004B0681">
      <w:pPr>
        <w:keepNext/>
        <w:spacing w:line="360" w:lineRule="auto"/>
        <w:ind w:left="990"/>
        <w:jc w:val="both"/>
        <w:rPr>
          <w:rFonts w:ascii="Times New Roman" w:hAnsi="Times New Roman" w:cs="Times New Roman"/>
          <w:sz w:val="24"/>
          <w:szCs w:val="24"/>
        </w:rPr>
      </w:pPr>
      <w:r w:rsidRPr="00AB21C8">
        <w:rPr>
          <w:rFonts w:ascii="Times New Roman" w:hAnsi="Times New Roman" w:cs="Times New Roman"/>
          <w:noProof/>
          <w:sz w:val="24"/>
          <w:szCs w:val="24"/>
        </w:rPr>
        <w:drawing>
          <wp:inline distT="0" distB="0" distL="0" distR="0" wp14:anchorId="26051BFE" wp14:editId="2D0F93F3">
            <wp:extent cx="4572000" cy="236281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84260BA" w14:textId="77777777" w:rsidR="001F724F" w:rsidRPr="00AB21C8" w:rsidRDefault="004B0681" w:rsidP="001F724F">
      <w:pPr>
        <w:pStyle w:val="Caption"/>
        <w:spacing w:after="0"/>
        <w:ind w:left="990"/>
        <w:jc w:val="both"/>
        <w:rPr>
          <w:rFonts w:ascii="Times New Roman" w:hAnsi="Times New Roman" w:cs="Times New Roman"/>
          <w:i w:val="0"/>
          <w:iCs w:val="0"/>
          <w:color w:val="auto"/>
          <w:sz w:val="24"/>
          <w:szCs w:val="24"/>
        </w:rPr>
      </w:pPr>
      <w:bookmarkStart w:id="9" w:name="_Toc157419304"/>
      <w:r w:rsidRPr="00AB21C8">
        <w:rPr>
          <w:rFonts w:ascii="Times New Roman" w:hAnsi="Times New Roman" w:cs="Times New Roman"/>
          <w:b/>
          <w:i w:val="0"/>
          <w:color w:val="auto"/>
          <w:sz w:val="24"/>
          <w:szCs w:val="24"/>
        </w:rPr>
        <w:t xml:space="preserve">Figure </w:t>
      </w:r>
      <w:r w:rsidRPr="00AB21C8">
        <w:rPr>
          <w:rFonts w:ascii="Times New Roman" w:hAnsi="Times New Roman" w:cs="Times New Roman"/>
          <w:b/>
          <w:i w:val="0"/>
          <w:color w:val="auto"/>
          <w:sz w:val="24"/>
          <w:szCs w:val="24"/>
        </w:rPr>
        <w:fldChar w:fldCharType="begin"/>
      </w:r>
      <w:r w:rsidRPr="00AB21C8">
        <w:rPr>
          <w:rFonts w:ascii="Times New Roman" w:hAnsi="Times New Roman" w:cs="Times New Roman"/>
          <w:b/>
          <w:i w:val="0"/>
          <w:color w:val="auto"/>
          <w:sz w:val="24"/>
          <w:szCs w:val="24"/>
        </w:rPr>
        <w:instrText xml:space="preserve"> SEQ Figure \* ARABIC </w:instrText>
      </w:r>
      <w:r w:rsidRPr="00AB21C8">
        <w:rPr>
          <w:rFonts w:ascii="Times New Roman" w:hAnsi="Times New Roman" w:cs="Times New Roman"/>
          <w:b/>
          <w:i w:val="0"/>
          <w:color w:val="auto"/>
          <w:sz w:val="24"/>
          <w:szCs w:val="24"/>
        </w:rPr>
        <w:fldChar w:fldCharType="separate"/>
      </w:r>
      <w:r w:rsidR="00C11EA2">
        <w:rPr>
          <w:rFonts w:ascii="Times New Roman" w:hAnsi="Times New Roman" w:cs="Times New Roman"/>
          <w:b/>
          <w:i w:val="0"/>
          <w:noProof/>
          <w:color w:val="auto"/>
          <w:sz w:val="24"/>
          <w:szCs w:val="24"/>
        </w:rPr>
        <w:t>7</w:t>
      </w:r>
      <w:r w:rsidRPr="00AB21C8">
        <w:rPr>
          <w:rFonts w:ascii="Times New Roman" w:hAnsi="Times New Roman" w:cs="Times New Roman"/>
          <w:b/>
          <w:i w:val="0"/>
          <w:color w:val="auto"/>
          <w:sz w:val="24"/>
          <w:szCs w:val="24"/>
        </w:rPr>
        <w:fldChar w:fldCharType="end"/>
      </w:r>
      <w:r w:rsidRPr="00AB21C8">
        <w:rPr>
          <w:rFonts w:ascii="Times New Roman" w:hAnsi="Times New Roman" w:cs="Times New Roman"/>
          <w:i w:val="0"/>
          <w:color w:val="auto"/>
          <w:sz w:val="24"/>
          <w:szCs w:val="24"/>
        </w:rPr>
        <w:t xml:space="preserve">: </w:t>
      </w:r>
      <w:bookmarkEnd w:id="9"/>
      <w:r w:rsidR="001F724F" w:rsidRPr="00AB21C8">
        <w:rPr>
          <w:rFonts w:ascii="Times New Roman" w:hAnsi="Times New Roman" w:cs="Times New Roman"/>
          <w:i w:val="0"/>
          <w:iCs w:val="0"/>
          <w:color w:val="auto"/>
          <w:sz w:val="24"/>
          <w:szCs w:val="24"/>
        </w:rPr>
        <w:t xml:space="preserve">Changes in Food Security among Village Bank Respondents </w:t>
      </w:r>
    </w:p>
    <w:p w14:paraId="2585B822" w14:textId="77777777" w:rsidR="004B0681" w:rsidRPr="00AB21C8" w:rsidRDefault="004B0681" w:rsidP="001F724F">
      <w:pPr>
        <w:pStyle w:val="Caption"/>
        <w:spacing w:after="0"/>
        <w:ind w:left="990"/>
        <w:jc w:val="both"/>
        <w:rPr>
          <w:rFonts w:ascii="Times New Roman" w:hAnsi="Times New Roman" w:cs="Times New Roman"/>
          <w:i w:val="0"/>
          <w:color w:val="auto"/>
          <w:sz w:val="24"/>
          <w:szCs w:val="24"/>
        </w:rPr>
      </w:pPr>
      <w:r w:rsidRPr="00AB21C8">
        <w:rPr>
          <w:rFonts w:ascii="Times New Roman" w:hAnsi="Times New Roman" w:cs="Times New Roman"/>
          <w:i w:val="0"/>
          <w:color w:val="auto"/>
          <w:sz w:val="24"/>
          <w:szCs w:val="24"/>
        </w:rPr>
        <w:t>Source: Fieldwork, 2023</w:t>
      </w:r>
    </w:p>
    <w:p w14:paraId="15F5ADDF" w14:textId="77777777" w:rsidR="00A373C0" w:rsidRDefault="00A373C0" w:rsidP="001F724F">
      <w:pPr>
        <w:spacing w:line="360" w:lineRule="auto"/>
        <w:jc w:val="both"/>
        <w:rPr>
          <w:rFonts w:ascii="Times New Roman" w:hAnsi="Times New Roman" w:cs="Times New Roman"/>
          <w:sz w:val="24"/>
          <w:szCs w:val="24"/>
        </w:rPr>
      </w:pPr>
    </w:p>
    <w:p w14:paraId="05AD1FAE" w14:textId="5993A6AA" w:rsidR="001F724F" w:rsidRPr="00AB21C8" w:rsidRDefault="007C672A" w:rsidP="001F724F">
      <w:pPr>
        <w:spacing w:line="360" w:lineRule="auto"/>
        <w:jc w:val="both"/>
        <w:rPr>
          <w:rFonts w:ascii="Times New Roman" w:hAnsi="Times New Roman" w:cs="Times New Roman"/>
          <w:sz w:val="24"/>
          <w:szCs w:val="24"/>
        </w:rPr>
      </w:pPr>
      <w:r w:rsidRPr="007C672A">
        <w:rPr>
          <w:rFonts w:ascii="Times New Roman" w:hAnsi="Times New Roman" w:cs="Times New Roman"/>
          <w:sz w:val="24"/>
          <w:szCs w:val="24"/>
        </w:rPr>
        <w:lastRenderedPageBreak/>
        <w:t xml:space="preserve">Figure </w:t>
      </w:r>
      <w:r w:rsidR="00E65112">
        <w:rPr>
          <w:rFonts w:ascii="Times New Roman" w:hAnsi="Times New Roman" w:cs="Times New Roman"/>
          <w:sz w:val="24"/>
          <w:szCs w:val="24"/>
        </w:rPr>
        <w:t>7</w:t>
      </w:r>
      <w:r w:rsidRPr="007C672A">
        <w:rPr>
          <w:rFonts w:ascii="Times New Roman" w:hAnsi="Times New Roman" w:cs="Times New Roman"/>
          <w:sz w:val="24"/>
          <w:szCs w:val="24"/>
        </w:rPr>
        <w:t xml:space="preserve"> reveals that prior to joining village banking, only 40% of women could consistently afford nutritious food and three meals a day. After joining, this figure rose to 82%, indicating a significant improvement in their ability to purchase nutritious food. This dramatic increase underscores the crucial role of village banking in overcoming financial barriers and enhancing women's food security. By providing financial resources and support, village banking has markedly improved the dietary quality and overall well-being of its female participants.</w:t>
      </w:r>
      <w:r>
        <w:rPr>
          <w:rFonts w:ascii="Times New Roman" w:hAnsi="Times New Roman" w:cs="Times New Roman"/>
          <w:sz w:val="24"/>
          <w:szCs w:val="24"/>
        </w:rPr>
        <w:t xml:space="preserve"> </w:t>
      </w:r>
      <w:r w:rsidR="001F724F" w:rsidRPr="00AB21C8">
        <w:rPr>
          <w:rFonts w:ascii="Times New Roman" w:hAnsi="Times New Roman" w:cs="Times New Roman"/>
          <w:sz w:val="24"/>
          <w:szCs w:val="24"/>
        </w:rPr>
        <w:t>One of the women that the researcher interviewed had this to say, a sentiment which</w:t>
      </w:r>
      <w:r w:rsidR="009C6866">
        <w:rPr>
          <w:rFonts w:ascii="Times New Roman" w:hAnsi="Times New Roman" w:cs="Times New Roman"/>
          <w:sz w:val="24"/>
          <w:szCs w:val="24"/>
        </w:rPr>
        <w:t xml:space="preserve"> was echoed by most participant</w:t>
      </w:r>
      <w:r w:rsidR="00CD2919">
        <w:rPr>
          <w:rFonts w:ascii="Times New Roman" w:hAnsi="Times New Roman" w:cs="Times New Roman"/>
          <w:sz w:val="24"/>
          <w:szCs w:val="24"/>
        </w:rPr>
        <w:t>. “</w:t>
      </w:r>
      <w:r w:rsidR="00CD2919" w:rsidRPr="00C11EA2">
        <w:rPr>
          <w:rFonts w:ascii="Times New Roman" w:hAnsi="Times New Roman" w:cs="Times New Roman"/>
          <w:i/>
          <w:sz w:val="24"/>
          <w:szCs w:val="24"/>
        </w:rPr>
        <w:t>At this market, before the introduction of village banking, and our food prices were so high that we couldn't afford even the basics, and it seemed like things would never improve. Now, however, we're receiving chickens, goats, or other valuable items like second-hand clothes. I don't think we were destined to suffer forever, but I'm grateful that we're receiving more than just the essentials now that I'm part of village banking.</w:t>
      </w:r>
      <w:r w:rsidR="00CD2919" w:rsidRPr="00C11EA2" w:rsidDel="00CD2919">
        <w:rPr>
          <w:rFonts w:ascii="Times New Roman" w:hAnsi="Times New Roman" w:cs="Times New Roman"/>
          <w:i/>
          <w:sz w:val="24"/>
          <w:szCs w:val="24"/>
        </w:rPr>
        <w:t xml:space="preserve"> </w:t>
      </w:r>
      <w:r w:rsidR="009C6866" w:rsidRPr="00AB21C8">
        <w:rPr>
          <w:rFonts w:ascii="Times New Roman" w:hAnsi="Times New Roman" w:cs="Times New Roman"/>
          <w:sz w:val="24"/>
          <w:szCs w:val="24"/>
        </w:rPr>
        <w:t>”</w:t>
      </w:r>
      <w:r w:rsidR="001F724F" w:rsidRPr="00AB21C8">
        <w:rPr>
          <w:rFonts w:ascii="Times New Roman" w:hAnsi="Times New Roman" w:cs="Times New Roman"/>
          <w:sz w:val="24"/>
          <w:szCs w:val="24"/>
        </w:rPr>
        <w:t xml:space="preserve"> </w:t>
      </w:r>
      <w:r w:rsidR="001F724F" w:rsidRPr="009C6866">
        <w:rPr>
          <w:rFonts w:ascii="Times New Roman" w:hAnsi="Times New Roman" w:cs="Times New Roman"/>
          <w:i/>
          <w:sz w:val="24"/>
          <w:szCs w:val="24"/>
        </w:rPr>
        <w:t>(Respondent 8).</w:t>
      </w:r>
    </w:p>
    <w:p w14:paraId="1D1E0E94" w14:textId="77777777" w:rsidR="007D4C7F" w:rsidRDefault="007D4C7F" w:rsidP="001F724F">
      <w:pPr>
        <w:spacing w:line="360" w:lineRule="auto"/>
        <w:jc w:val="both"/>
        <w:rPr>
          <w:rFonts w:ascii="Times New Roman" w:hAnsi="Times New Roman" w:cs="Times New Roman"/>
          <w:sz w:val="24"/>
          <w:szCs w:val="24"/>
        </w:rPr>
      </w:pPr>
    </w:p>
    <w:p w14:paraId="5DA509E9" w14:textId="14084A7B" w:rsidR="004B0681" w:rsidRPr="00AB21C8" w:rsidRDefault="00CD2919" w:rsidP="001F724F">
      <w:pPr>
        <w:spacing w:line="360" w:lineRule="auto"/>
        <w:jc w:val="both"/>
        <w:rPr>
          <w:rFonts w:ascii="Times New Roman" w:hAnsi="Times New Roman" w:cs="Times New Roman"/>
          <w:sz w:val="24"/>
          <w:szCs w:val="24"/>
        </w:rPr>
      </w:pPr>
      <w:r w:rsidRPr="00CD2919">
        <w:rPr>
          <w:rFonts w:ascii="Times New Roman" w:hAnsi="Times New Roman" w:cs="Times New Roman"/>
          <w:sz w:val="24"/>
          <w:szCs w:val="24"/>
        </w:rPr>
        <w:t>The passage highlights, that with the introduction of the village banking program, the respondent was able to purchase various food items such as meat, fish, and chicken allowing her to have a balanced meal compared to before they joined village banking. This statement resonated with the sentiments of other respondents who indicated an improvement in their food accessibility, quality, and quantity. Therefore, joining village banking groups not only provided the participants with access to a greater variety of food options and improved their overall meal quality. The interviewee’s statement resonates with the sentiments of most of the respondents who indicated an improvement in their food accessibility, quality, and quantity</w:t>
      </w:r>
      <w:r w:rsidR="001F724F" w:rsidRPr="00AB21C8">
        <w:rPr>
          <w:rFonts w:ascii="Times New Roman" w:hAnsi="Times New Roman" w:cs="Times New Roman"/>
          <w:sz w:val="24"/>
          <w:szCs w:val="24"/>
        </w:rPr>
        <w:t>.</w:t>
      </w:r>
    </w:p>
    <w:p w14:paraId="1F7A1639" w14:textId="77777777" w:rsidR="004B0681" w:rsidRPr="00AB21C8" w:rsidRDefault="004B0681" w:rsidP="003C60E4">
      <w:pPr>
        <w:pStyle w:val="ListParagraph"/>
        <w:keepNext/>
        <w:keepLines/>
        <w:numPr>
          <w:ilvl w:val="2"/>
          <w:numId w:val="12"/>
        </w:numPr>
        <w:spacing w:before="40" w:line="360" w:lineRule="auto"/>
        <w:ind w:left="1530"/>
        <w:outlineLvl w:val="2"/>
        <w:rPr>
          <w:rFonts w:ascii="Times New Roman" w:eastAsiaTheme="majorEastAsia" w:hAnsi="Times New Roman" w:cs="Times New Roman"/>
          <w:b/>
          <w:color w:val="000000" w:themeColor="text1"/>
          <w:sz w:val="24"/>
          <w:szCs w:val="24"/>
        </w:rPr>
      </w:pPr>
      <w:bookmarkStart w:id="10" w:name="_Toc160660099"/>
      <w:r w:rsidRPr="00AB21C8">
        <w:rPr>
          <w:rFonts w:ascii="Times New Roman" w:hAnsi="Times New Roman" w:cs="Times New Roman"/>
          <w:b/>
          <w:sz w:val="24"/>
          <w:szCs w:val="24"/>
        </w:rPr>
        <w:t>Village banking and Income Levels</w:t>
      </w:r>
      <w:bookmarkEnd w:id="10"/>
    </w:p>
    <w:p w14:paraId="29B355BC" w14:textId="3B5E0C08" w:rsidR="004B0681" w:rsidRPr="00AB21C8" w:rsidRDefault="00CD2919" w:rsidP="004B0681">
      <w:pPr>
        <w:spacing w:line="360" w:lineRule="auto"/>
        <w:jc w:val="both"/>
        <w:rPr>
          <w:rFonts w:ascii="Times New Roman" w:hAnsi="Times New Roman" w:cs="Times New Roman"/>
          <w:sz w:val="24"/>
          <w:szCs w:val="24"/>
        </w:rPr>
      </w:pPr>
      <w:r w:rsidRPr="00CD2919">
        <w:rPr>
          <w:rFonts w:ascii="Times New Roman" w:hAnsi="Times New Roman" w:cs="Times New Roman"/>
          <w:sz w:val="24"/>
          <w:szCs w:val="24"/>
        </w:rPr>
        <w:t>The researcher delved into examining the influence of village banking on participants' income levels by conducting a comparative analysis of their average income before and after joining. The line chart visually represents the fluctuations in income levels, vividly showcasing the financial advancements observed among participants following their involvement in village banking. This depiction serves to underscore the tangible improvements in financial well-being experienced by participants subsequent to their participation in village banking initiatives.</w:t>
      </w:r>
    </w:p>
    <w:p w14:paraId="5FECDCA5" w14:textId="77777777" w:rsidR="004B0681" w:rsidRPr="00AB21C8" w:rsidRDefault="004B0681" w:rsidP="00C11EA2">
      <w:pPr>
        <w:keepNext/>
        <w:spacing w:line="360" w:lineRule="auto"/>
        <w:jc w:val="both"/>
        <w:rPr>
          <w:rFonts w:ascii="Times New Roman" w:hAnsi="Times New Roman" w:cs="Times New Roman"/>
          <w:i/>
          <w:sz w:val="24"/>
          <w:szCs w:val="24"/>
        </w:rPr>
      </w:pPr>
      <w:r w:rsidRPr="00AB21C8">
        <w:rPr>
          <w:rFonts w:ascii="Times New Roman" w:hAnsi="Times New Roman" w:cs="Times New Roman"/>
          <w:noProof/>
          <w:sz w:val="24"/>
          <w:szCs w:val="24"/>
        </w:rPr>
        <w:lastRenderedPageBreak/>
        <w:drawing>
          <wp:inline distT="0" distB="0" distL="0" distR="0" wp14:anchorId="49AB9F5A" wp14:editId="22DE8E32">
            <wp:extent cx="5924550" cy="2768600"/>
            <wp:effectExtent l="0" t="0" r="0" b="1270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CD98D7F" w14:textId="77777777" w:rsidR="004B0681" w:rsidRPr="00AB21C8" w:rsidRDefault="004B0681" w:rsidP="004B0681">
      <w:pPr>
        <w:pStyle w:val="Caption"/>
        <w:spacing w:after="0"/>
        <w:ind w:left="990"/>
        <w:jc w:val="both"/>
        <w:rPr>
          <w:rFonts w:ascii="Times New Roman" w:hAnsi="Times New Roman" w:cs="Times New Roman"/>
          <w:i w:val="0"/>
          <w:color w:val="000000" w:themeColor="text1"/>
          <w:sz w:val="24"/>
          <w:szCs w:val="24"/>
        </w:rPr>
      </w:pPr>
      <w:bookmarkStart w:id="11" w:name="_Toc157419305"/>
      <w:r w:rsidRPr="00AB21C8">
        <w:rPr>
          <w:rFonts w:ascii="Times New Roman" w:hAnsi="Times New Roman" w:cs="Times New Roman"/>
          <w:b/>
          <w:i w:val="0"/>
          <w:color w:val="000000" w:themeColor="text1"/>
          <w:sz w:val="24"/>
          <w:szCs w:val="24"/>
        </w:rPr>
        <w:t xml:space="preserve">Figure </w:t>
      </w:r>
      <w:r w:rsidRPr="00AB21C8">
        <w:rPr>
          <w:rFonts w:ascii="Times New Roman" w:hAnsi="Times New Roman" w:cs="Times New Roman"/>
          <w:b/>
          <w:i w:val="0"/>
          <w:color w:val="000000" w:themeColor="text1"/>
          <w:sz w:val="24"/>
          <w:szCs w:val="24"/>
        </w:rPr>
        <w:fldChar w:fldCharType="begin"/>
      </w:r>
      <w:r w:rsidRPr="00AB21C8">
        <w:rPr>
          <w:rFonts w:ascii="Times New Roman" w:hAnsi="Times New Roman" w:cs="Times New Roman"/>
          <w:b/>
          <w:i w:val="0"/>
          <w:color w:val="000000" w:themeColor="text1"/>
          <w:sz w:val="24"/>
          <w:szCs w:val="24"/>
        </w:rPr>
        <w:instrText xml:space="preserve"> SEQ Figure \* ARABIC </w:instrText>
      </w:r>
      <w:r w:rsidRPr="00AB21C8">
        <w:rPr>
          <w:rFonts w:ascii="Times New Roman" w:hAnsi="Times New Roman" w:cs="Times New Roman"/>
          <w:b/>
          <w:i w:val="0"/>
          <w:color w:val="000000" w:themeColor="text1"/>
          <w:sz w:val="24"/>
          <w:szCs w:val="24"/>
        </w:rPr>
        <w:fldChar w:fldCharType="separate"/>
      </w:r>
      <w:r w:rsidR="00C11EA2">
        <w:rPr>
          <w:rFonts w:ascii="Times New Roman" w:hAnsi="Times New Roman" w:cs="Times New Roman"/>
          <w:b/>
          <w:i w:val="0"/>
          <w:noProof/>
          <w:color w:val="000000" w:themeColor="text1"/>
          <w:sz w:val="24"/>
          <w:szCs w:val="24"/>
        </w:rPr>
        <w:t>8</w:t>
      </w:r>
      <w:r w:rsidRPr="00AB21C8">
        <w:rPr>
          <w:rFonts w:ascii="Times New Roman" w:hAnsi="Times New Roman" w:cs="Times New Roman"/>
          <w:b/>
          <w:i w:val="0"/>
          <w:color w:val="000000" w:themeColor="text1"/>
          <w:sz w:val="24"/>
          <w:szCs w:val="24"/>
        </w:rPr>
        <w:fldChar w:fldCharType="end"/>
      </w:r>
      <w:r w:rsidRPr="00AB21C8">
        <w:rPr>
          <w:rFonts w:ascii="Times New Roman" w:hAnsi="Times New Roman" w:cs="Times New Roman"/>
          <w:i w:val="0"/>
          <w:color w:val="000000" w:themeColor="text1"/>
          <w:sz w:val="24"/>
          <w:szCs w:val="24"/>
        </w:rPr>
        <w:t xml:space="preserve">: </w:t>
      </w:r>
      <w:bookmarkEnd w:id="11"/>
      <w:r w:rsidR="001F724F" w:rsidRPr="00AB21C8">
        <w:rPr>
          <w:rFonts w:ascii="Times New Roman" w:hAnsi="Times New Roman" w:cs="Times New Roman"/>
          <w:i w:val="0"/>
          <w:color w:val="000000" w:themeColor="text1"/>
          <w:sz w:val="24"/>
          <w:szCs w:val="24"/>
        </w:rPr>
        <w:t>Changes in Income Levels Among Village Bank Respondents</w:t>
      </w:r>
    </w:p>
    <w:p w14:paraId="6115F5A9" w14:textId="77777777" w:rsidR="004B0681" w:rsidRPr="00AB21C8" w:rsidRDefault="004B0681" w:rsidP="004B0681">
      <w:pPr>
        <w:spacing w:line="360" w:lineRule="auto"/>
        <w:ind w:left="990"/>
        <w:jc w:val="both"/>
        <w:rPr>
          <w:rFonts w:ascii="Times New Roman" w:hAnsi="Times New Roman" w:cs="Times New Roman"/>
          <w:sz w:val="24"/>
          <w:szCs w:val="24"/>
        </w:rPr>
      </w:pPr>
      <w:r w:rsidRPr="00AB21C8">
        <w:rPr>
          <w:rFonts w:ascii="Times New Roman" w:hAnsi="Times New Roman" w:cs="Times New Roman"/>
          <w:sz w:val="24"/>
          <w:szCs w:val="24"/>
        </w:rPr>
        <w:t>Source: Fieldwork, 2023</w:t>
      </w:r>
    </w:p>
    <w:p w14:paraId="227E3AE6" w14:textId="6A4BE072" w:rsidR="009C6866" w:rsidRDefault="009C6866" w:rsidP="001F724F">
      <w:pPr>
        <w:spacing w:line="360" w:lineRule="auto"/>
        <w:jc w:val="both"/>
        <w:rPr>
          <w:rFonts w:ascii="Times New Roman" w:hAnsi="Times New Roman" w:cs="Times New Roman"/>
          <w:sz w:val="24"/>
          <w:szCs w:val="24"/>
        </w:rPr>
      </w:pPr>
      <w:r w:rsidRPr="009C6866">
        <w:rPr>
          <w:rFonts w:ascii="Times New Roman" w:hAnsi="Times New Roman" w:cs="Times New Roman"/>
          <w:sz w:val="24"/>
          <w:szCs w:val="24"/>
        </w:rPr>
        <w:t xml:space="preserve">The line graph from the questionnaire results showed a significant increase in women's income levels after joining village banking compared to before. This visual evidence highlights that village banking effectively enhances women's financial well-being, fostering their economic empowerment and inclusion. Figure </w:t>
      </w:r>
      <w:r w:rsidR="00E65112">
        <w:rPr>
          <w:rFonts w:ascii="Times New Roman" w:hAnsi="Times New Roman" w:cs="Times New Roman"/>
          <w:sz w:val="24"/>
          <w:szCs w:val="24"/>
        </w:rPr>
        <w:t>8</w:t>
      </w:r>
      <w:r w:rsidRPr="009C6866">
        <w:rPr>
          <w:rFonts w:ascii="Times New Roman" w:hAnsi="Times New Roman" w:cs="Times New Roman"/>
          <w:sz w:val="24"/>
          <w:szCs w:val="24"/>
        </w:rPr>
        <w:t xml:space="preserve"> underscores the positive impact of village banking on women's income and socioeconomic advancement.</w:t>
      </w:r>
    </w:p>
    <w:p w14:paraId="30CDB4C3" w14:textId="0514CC3B" w:rsidR="00CD2919" w:rsidRPr="00C11EA2" w:rsidRDefault="001F724F" w:rsidP="00CD2919">
      <w:pPr>
        <w:spacing w:line="360" w:lineRule="auto"/>
        <w:jc w:val="both"/>
        <w:rPr>
          <w:rFonts w:ascii="Times New Roman" w:hAnsi="Times New Roman" w:cs="Times New Roman"/>
          <w:sz w:val="24"/>
          <w:szCs w:val="24"/>
        </w:rPr>
      </w:pPr>
      <w:r w:rsidRPr="00AB21C8">
        <w:rPr>
          <w:rFonts w:ascii="Times New Roman" w:hAnsi="Times New Roman" w:cs="Times New Roman"/>
          <w:sz w:val="24"/>
          <w:szCs w:val="24"/>
        </w:rPr>
        <w:t xml:space="preserve">A narration of the participant's experience was given during the interview guide where she expressed </w:t>
      </w:r>
      <w:r w:rsidR="00CD2919">
        <w:rPr>
          <w:rFonts w:ascii="Times New Roman" w:hAnsi="Times New Roman" w:cs="Times New Roman"/>
          <w:sz w:val="24"/>
          <w:szCs w:val="24"/>
        </w:rPr>
        <w:t>“</w:t>
      </w:r>
      <w:r w:rsidR="00CD2919" w:rsidRPr="00C11EA2">
        <w:rPr>
          <w:rFonts w:ascii="Times New Roman" w:hAnsi="Times New Roman" w:cs="Times New Roman"/>
          <w:i/>
          <w:sz w:val="24"/>
          <w:szCs w:val="24"/>
        </w:rPr>
        <w:t xml:space="preserve">Before village banking, as a single mother, I struggled to provide for my children amidst financial uncertainty. Joining the village banking group opened new financial opportunities without excessive demands. With my first loan, I started a smoked chicken business, relieving financial stress, improving living conditions, and ensuring a steady income for my family </w:t>
      </w:r>
      <w:r w:rsidR="00CD2919" w:rsidRPr="00CD2919">
        <w:rPr>
          <w:rFonts w:ascii="Times New Roman" w:hAnsi="Times New Roman" w:cs="Times New Roman"/>
          <w:i/>
          <w:sz w:val="24"/>
          <w:szCs w:val="24"/>
        </w:rPr>
        <w:t>(Respondent No. 3).</w:t>
      </w:r>
    </w:p>
    <w:p w14:paraId="01A4D79A" w14:textId="77777777" w:rsidR="00CD2919" w:rsidRPr="00CC6923" w:rsidRDefault="00CD2919" w:rsidP="00CD2919">
      <w:pPr>
        <w:spacing w:line="360" w:lineRule="auto"/>
        <w:jc w:val="both"/>
        <w:rPr>
          <w:rFonts w:ascii="Times New Roman" w:hAnsi="Times New Roman" w:cs="Times New Roman"/>
          <w:sz w:val="24"/>
          <w:szCs w:val="24"/>
        </w:rPr>
      </w:pPr>
      <w:r w:rsidRPr="00CC6923">
        <w:rPr>
          <w:rFonts w:ascii="Times New Roman" w:hAnsi="Times New Roman" w:cs="Times New Roman"/>
          <w:sz w:val="24"/>
          <w:szCs w:val="24"/>
        </w:rPr>
        <w:t>The narrative from Respondent No. 3 vividly illustrated the influence of village banking on individuals facing financial hardship, particularly single mothers. Before joining the village banking group, the respondent had experienced the challenges of limited income and the constant struggle to provide for their children's needs, which left them feeling trapped in a cycle of poverty.</w:t>
      </w:r>
    </w:p>
    <w:p w14:paraId="0A490D82" w14:textId="6E0BD410" w:rsidR="004B0681" w:rsidRPr="00AB21C8" w:rsidRDefault="00CD2919" w:rsidP="001F724F">
      <w:pPr>
        <w:spacing w:line="360" w:lineRule="auto"/>
        <w:jc w:val="both"/>
        <w:rPr>
          <w:rFonts w:ascii="Times New Roman" w:hAnsi="Times New Roman" w:cs="Times New Roman"/>
          <w:sz w:val="24"/>
          <w:szCs w:val="24"/>
        </w:rPr>
      </w:pPr>
      <w:r w:rsidRPr="00CC6923">
        <w:rPr>
          <w:rFonts w:ascii="Times New Roman" w:hAnsi="Times New Roman" w:cs="Times New Roman"/>
          <w:sz w:val="24"/>
          <w:szCs w:val="24"/>
        </w:rPr>
        <w:t>However, upon joining the village banking group, the respondent found relief and empowerment through accessible financial opportunities tailored to their circumstances.</w:t>
      </w:r>
      <w:r>
        <w:rPr>
          <w:rFonts w:ascii="Times New Roman" w:hAnsi="Times New Roman" w:cs="Times New Roman"/>
          <w:sz w:val="24"/>
          <w:szCs w:val="24"/>
        </w:rPr>
        <w:t xml:space="preserve"> </w:t>
      </w:r>
      <w:r w:rsidRPr="00CC6923">
        <w:rPr>
          <w:rFonts w:ascii="Times New Roman" w:hAnsi="Times New Roman" w:cs="Times New Roman"/>
          <w:iCs/>
          <w:sz w:val="24"/>
          <w:szCs w:val="24"/>
        </w:rPr>
        <w:t xml:space="preserve">This aspect of the research highlighted the important link between income and village banking. The ability to access </w:t>
      </w:r>
      <w:r w:rsidRPr="00CC6923">
        <w:rPr>
          <w:rFonts w:ascii="Times New Roman" w:hAnsi="Times New Roman" w:cs="Times New Roman"/>
          <w:iCs/>
          <w:sz w:val="24"/>
          <w:szCs w:val="24"/>
        </w:rPr>
        <w:lastRenderedPageBreak/>
        <w:t>a reliable source of financial support, such as the village banking system, can empower individuals to break free from the cycle of poverty and make positive changes in their lives</w:t>
      </w:r>
      <w:r w:rsidR="004B0681" w:rsidRPr="00AB21C8">
        <w:rPr>
          <w:rFonts w:ascii="Times New Roman" w:hAnsi="Times New Roman" w:cs="Times New Roman"/>
          <w:iCs/>
          <w:sz w:val="24"/>
          <w:szCs w:val="24"/>
        </w:rPr>
        <w:t>.</w:t>
      </w:r>
    </w:p>
    <w:p w14:paraId="2F97F50A" w14:textId="77777777" w:rsidR="004B0681" w:rsidRPr="00AB21C8" w:rsidRDefault="001F724F" w:rsidP="003C60E4">
      <w:pPr>
        <w:pStyle w:val="ListParagraph"/>
        <w:keepNext/>
        <w:keepLines/>
        <w:numPr>
          <w:ilvl w:val="2"/>
          <w:numId w:val="12"/>
        </w:numPr>
        <w:spacing w:before="40" w:line="360" w:lineRule="auto"/>
        <w:ind w:left="1530"/>
        <w:outlineLvl w:val="2"/>
        <w:rPr>
          <w:rFonts w:ascii="Times New Roman" w:eastAsiaTheme="majorEastAsia" w:hAnsi="Times New Roman" w:cs="Times New Roman"/>
          <w:b/>
          <w:color w:val="000000" w:themeColor="text1"/>
          <w:sz w:val="24"/>
          <w:szCs w:val="24"/>
        </w:rPr>
      </w:pPr>
      <w:bookmarkStart w:id="12" w:name="_Toc160660100"/>
      <w:r w:rsidRPr="00AB21C8">
        <w:rPr>
          <w:rFonts w:ascii="Times New Roman" w:eastAsiaTheme="majorEastAsia" w:hAnsi="Times New Roman" w:cs="Times New Roman"/>
          <w:b/>
          <w:color w:val="000000" w:themeColor="text1"/>
          <w:sz w:val="24"/>
          <w:szCs w:val="24"/>
        </w:rPr>
        <w:t>Village Banking and Payment of School F</w:t>
      </w:r>
      <w:r w:rsidR="004B0681" w:rsidRPr="00AB21C8">
        <w:rPr>
          <w:rFonts w:ascii="Times New Roman" w:eastAsiaTheme="majorEastAsia" w:hAnsi="Times New Roman" w:cs="Times New Roman"/>
          <w:b/>
          <w:color w:val="000000" w:themeColor="text1"/>
          <w:sz w:val="24"/>
          <w:szCs w:val="24"/>
        </w:rPr>
        <w:t>ees</w:t>
      </w:r>
      <w:bookmarkEnd w:id="12"/>
    </w:p>
    <w:p w14:paraId="73A05F0A" w14:textId="63E72EBF" w:rsidR="004B0681" w:rsidRPr="00AB21C8" w:rsidRDefault="00CD2919" w:rsidP="004B0681">
      <w:pPr>
        <w:spacing w:line="360" w:lineRule="auto"/>
        <w:jc w:val="both"/>
        <w:rPr>
          <w:rFonts w:ascii="Times New Roman" w:eastAsiaTheme="majorEastAsia" w:hAnsi="Times New Roman" w:cs="Times New Roman"/>
          <w:color w:val="000000" w:themeColor="text1"/>
          <w:sz w:val="24"/>
          <w:szCs w:val="24"/>
        </w:rPr>
      </w:pPr>
      <w:r w:rsidRPr="00CD2919">
        <w:rPr>
          <w:rFonts w:ascii="Times New Roman" w:eastAsiaTheme="majorEastAsia" w:hAnsi="Times New Roman" w:cs="Times New Roman"/>
          <w:color w:val="000000" w:themeColor="text1"/>
          <w:sz w:val="24"/>
          <w:szCs w:val="24"/>
        </w:rPr>
        <w:t>The researcher opted to investigate the correlation between village banking and the payment of school fees to gain a deeper understanding of how village banking influences participants' ability to affo</w:t>
      </w:r>
      <w:r>
        <w:rPr>
          <w:rFonts w:ascii="Times New Roman" w:eastAsiaTheme="majorEastAsia" w:hAnsi="Times New Roman" w:cs="Times New Roman"/>
          <w:color w:val="000000" w:themeColor="text1"/>
          <w:sz w:val="24"/>
          <w:szCs w:val="24"/>
        </w:rPr>
        <w:t xml:space="preserve">rd their educational expenses. </w:t>
      </w:r>
      <w:r w:rsidRPr="00CD2919">
        <w:rPr>
          <w:rFonts w:ascii="Times New Roman" w:eastAsiaTheme="majorEastAsia" w:hAnsi="Times New Roman" w:cs="Times New Roman"/>
          <w:color w:val="000000" w:themeColor="text1"/>
          <w:sz w:val="24"/>
          <w:szCs w:val="24"/>
        </w:rPr>
        <w:t>This visualization serves to elucidate the extent to which participation in village banking has impacted the enrollment rates, shedding light on the potential role of village banking in promoting access to education and supporting the educational aspirations of participants.</w:t>
      </w:r>
    </w:p>
    <w:p w14:paraId="6A6AFDBD" w14:textId="77777777" w:rsidR="004B0681" w:rsidRPr="00AB21C8" w:rsidRDefault="004B0681" w:rsidP="00C11EA2">
      <w:pPr>
        <w:keepNext/>
        <w:spacing w:line="360" w:lineRule="auto"/>
        <w:jc w:val="both"/>
        <w:rPr>
          <w:rFonts w:ascii="Times New Roman" w:hAnsi="Times New Roman" w:cs="Times New Roman"/>
          <w:sz w:val="24"/>
          <w:szCs w:val="24"/>
        </w:rPr>
      </w:pPr>
      <w:r w:rsidRPr="00AB21C8">
        <w:rPr>
          <w:rFonts w:ascii="Times New Roman" w:hAnsi="Times New Roman" w:cs="Times New Roman"/>
          <w:noProof/>
          <w:sz w:val="24"/>
          <w:szCs w:val="24"/>
        </w:rPr>
        <w:drawing>
          <wp:inline distT="0" distB="0" distL="0" distR="0" wp14:anchorId="0B261C99" wp14:editId="633C3712">
            <wp:extent cx="5867400" cy="2463800"/>
            <wp:effectExtent l="0" t="0" r="0" b="1270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5952649" w14:textId="77777777" w:rsidR="001F724F" w:rsidRPr="00AB21C8" w:rsidRDefault="004B0681" w:rsidP="001F724F">
      <w:pPr>
        <w:ind w:left="900"/>
        <w:jc w:val="both"/>
        <w:rPr>
          <w:rFonts w:ascii="Times New Roman" w:hAnsi="Times New Roman" w:cs="Times New Roman"/>
          <w:iCs/>
          <w:sz w:val="24"/>
          <w:szCs w:val="24"/>
        </w:rPr>
      </w:pPr>
      <w:bookmarkStart w:id="13" w:name="_Toc157419306"/>
      <w:r w:rsidRPr="00AB21C8">
        <w:rPr>
          <w:rFonts w:ascii="Times New Roman" w:hAnsi="Times New Roman" w:cs="Times New Roman"/>
          <w:sz w:val="24"/>
          <w:szCs w:val="24"/>
        </w:rPr>
        <w:t xml:space="preserve">Figure </w:t>
      </w:r>
      <w:r w:rsidRPr="00AB21C8">
        <w:rPr>
          <w:rFonts w:ascii="Times New Roman" w:hAnsi="Times New Roman" w:cs="Times New Roman"/>
          <w:sz w:val="24"/>
          <w:szCs w:val="24"/>
        </w:rPr>
        <w:fldChar w:fldCharType="begin"/>
      </w:r>
      <w:r w:rsidRPr="00AB21C8">
        <w:rPr>
          <w:rFonts w:ascii="Times New Roman" w:hAnsi="Times New Roman" w:cs="Times New Roman"/>
          <w:sz w:val="24"/>
          <w:szCs w:val="24"/>
        </w:rPr>
        <w:instrText xml:space="preserve"> SEQ Figure \* ARABIC </w:instrText>
      </w:r>
      <w:r w:rsidRPr="00AB21C8">
        <w:rPr>
          <w:rFonts w:ascii="Times New Roman" w:hAnsi="Times New Roman" w:cs="Times New Roman"/>
          <w:sz w:val="24"/>
          <w:szCs w:val="24"/>
        </w:rPr>
        <w:fldChar w:fldCharType="separate"/>
      </w:r>
      <w:r w:rsidR="00C11EA2">
        <w:rPr>
          <w:rFonts w:ascii="Times New Roman" w:hAnsi="Times New Roman" w:cs="Times New Roman"/>
          <w:noProof/>
          <w:sz w:val="24"/>
          <w:szCs w:val="24"/>
        </w:rPr>
        <w:t>9</w:t>
      </w:r>
      <w:r w:rsidRPr="00AB21C8">
        <w:rPr>
          <w:rFonts w:ascii="Times New Roman" w:hAnsi="Times New Roman" w:cs="Times New Roman"/>
          <w:sz w:val="24"/>
          <w:szCs w:val="24"/>
        </w:rPr>
        <w:fldChar w:fldCharType="end"/>
      </w:r>
      <w:r w:rsidRPr="00AB21C8">
        <w:rPr>
          <w:rFonts w:ascii="Times New Roman" w:hAnsi="Times New Roman" w:cs="Times New Roman"/>
          <w:sz w:val="24"/>
          <w:szCs w:val="24"/>
        </w:rPr>
        <w:t xml:space="preserve">: </w:t>
      </w:r>
      <w:bookmarkEnd w:id="13"/>
      <w:r w:rsidR="001F724F" w:rsidRPr="00AB21C8">
        <w:rPr>
          <w:rFonts w:ascii="Times New Roman" w:hAnsi="Times New Roman" w:cs="Times New Roman"/>
          <w:iCs/>
          <w:sz w:val="24"/>
          <w:szCs w:val="24"/>
        </w:rPr>
        <w:t>Changes in Payment of School Fees among Village Bank Respondents</w:t>
      </w:r>
    </w:p>
    <w:p w14:paraId="70DE95E1" w14:textId="201FA7E1" w:rsidR="004B0681" w:rsidRPr="0026014D" w:rsidRDefault="004B0681" w:rsidP="0026014D">
      <w:pPr>
        <w:pStyle w:val="Caption"/>
        <w:spacing w:after="0"/>
        <w:ind w:left="900"/>
        <w:jc w:val="both"/>
        <w:rPr>
          <w:rFonts w:ascii="Times New Roman" w:hAnsi="Times New Roman" w:cs="Times New Roman"/>
          <w:i w:val="0"/>
          <w:color w:val="auto"/>
          <w:sz w:val="24"/>
          <w:szCs w:val="24"/>
        </w:rPr>
      </w:pPr>
      <w:r w:rsidRPr="00AB21C8">
        <w:rPr>
          <w:rFonts w:ascii="Times New Roman" w:hAnsi="Times New Roman" w:cs="Times New Roman"/>
          <w:i w:val="0"/>
          <w:color w:val="auto"/>
          <w:sz w:val="24"/>
          <w:szCs w:val="24"/>
        </w:rPr>
        <w:t>Source: Fieldwork, 2023</w:t>
      </w:r>
    </w:p>
    <w:p w14:paraId="3CC3AC1C" w14:textId="44D58C29" w:rsidR="00CD2919" w:rsidRPr="00C11EA2" w:rsidRDefault="00CD2919" w:rsidP="0026014D">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The results in Figure 9</w:t>
      </w:r>
      <w:r w:rsidRPr="00CC6923">
        <w:rPr>
          <w:rFonts w:ascii="Times New Roman" w:hAnsi="Times New Roman" w:cs="Times New Roman"/>
          <w:sz w:val="24"/>
          <w:szCs w:val="24"/>
        </w:rPr>
        <w:t xml:space="preserve"> showed that before village banking, 60% of respondents were able to pay school fees for their children. However, there were about 40% children who were unable to attend school because the respondents could not afford to pay their fees. </w:t>
      </w:r>
      <w:r>
        <w:rPr>
          <w:rFonts w:ascii="Times New Roman" w:hAnsi="Times New Roman" w:cs="Times New Roman"/>
          <w:sz w:val="24"/>
          <w:szCs w:val="24"/>
        </w:rPr>
        <w:t xml:space="preserve"> </w:t>
      </w:r>
      <w:r w:rsidRPr="00CC6923">
        <w:rPr>
          <w:rFonts w:ascii="Times New Roman" w:hAnsi="Times New Roman" w:cs="Times New Roman"/>
          <w:sz w:val="24"/>
          <w:szCs w:val="24"/>
        </w:rPr>
        <w:t>After the introduction of village banking, the percentage of women able to pay school fees increased to 85%, leading to a higher average school attendance rate. Consequently, the number of children unable to attend school due to unpaid fees decreased to 15%.</w:t>
      </w:r>
      <w:r>
        <w:rPr>
          <w:rFonts w:ascii="Times New Roman" w:hAnsi="Times New Roman" w:cs="Times New Roman"/>
          <w:sz w:val="24"/>
          <w:szCs w:val="24"/>
        </w:rPr>
        <w:t xml:space="preserve"> </w:t>
      </w:r>
      <w:r w:rsidRPr="00CC6923">
        <w:rPr>
          <w:rFonts w:ascii="Times New Roman" w:hAnsi="Times New Roman" w:cs="Times New Roman"/>
          <w:sz w:val="24"/>
          <w:szCs w:val="24"/>
        </w:rPr>
        <w:t xml:space="preserve">This suggested that the implementation of village banking has had a positive influence on women’s ability to afford school fees, resulting in an increase in school attendance and a reduction in the number of children unable to attend school due to financial constraints. </w:t>
      </w:r>
      <w:r>
        <w:rPr>
          <w:rFonts w:ascii="Times New Roman" w:hAnsi="Times New Roman" w:cs="Times New Roman"/>
          <w:sz w:val="24"/>
          <w:szCs w:val="24"/>
        </w:rPr>
        <w:t xml:space="preserve"> </w:t>
      </w:r>
      <w:r w:rsidRPr="00CC6923">
        <w:rPr>
          <w:rFonts w:ascii="Times New Roman" w:hAnsi="Times New Roman" w:cs="Times New Roman"/>
          <w:sz w:val="24"/>
          <w:szCs w:val="24"/>
        </w:rPr>
        <w:t>During the interview guide, one participant shared an experience which was echoed by other respondents. The participant expressed in her mother tongue that “</w:t>
      </w:r>
      <w:r w:rsidRPr="00CC6923">
        <w:rPr>
          <w:rFonts w:ascii="Times New Roman" w:hAnsi="Times New Roman" w:cs="Times New Roman"/>
          <w:i/>
          <w:sz w:val="24"/>
          <w:szCs w:val="24"/>
        </w:rPr>
        <w:t xml:space="preserve">Nomba nga </w:t>
      </w:r>
      <w:r w:rsidRPr="00CC6923">
        <w:rPr>
          <w:rFonts w:ascii="Times New Roman" w:hAnsi="Times New Roman" w:cs="Times New Roman"/>
          <w:i/>
          <w:sz w:val="24"/>
          <w:szCs w:val="24"/>
        </w:rPr>
        <w:lastRenderedPageBreak/>
        <w:t>nalinakanya ku village banking, sibapanga imwe nabantu bonse imbi nikucila. Mwanzelu ku village banking, kuno twakasenga bamwe tukashalile mu kusekebana na nkafunda. Akaikumba, lomba village banking lifwaya, inshita shafuluka. Nalemfwa kukula pakuti silver kupalama lisi co tukaleya amashulo pa yangitilobela, insambu, tabili na kashilu.”(Respondent, 1).</w:t>
      </w:r>
    </w:p>
    <w:p w14:paraId="39AE8A7C" w14:textId="77777777" w:rsidR="00CD2919" w:rsidRPr="00CC6923" w:rsidRDefault="00CD2919" w:rsidP="0026014D">
      <w:pPr>
        <w:spacing w:before="240" w:after="240" w:line="360" w:lineRule="auto"/>
        <w:jc w:val="both"/>
        <w:rPr>
          <w:rFonts w:ascii="Times New Roman" w:hAnsi="Times New Roman" w:cs="Times New Roman"/>
          <w:sz w:val="24"/>
          <w:szCs w:val="24"/>
        </w:rPr>
      </w:pPr>
      <w:r w:rsidRPr="00CC6923">
        <w:rPr>
          <w:rFonts w:ascii="Times New Roman" w:hAnsi="Times New Roman" w:cs="Times New Roman"/>
          <w:sz w:val="24"/>
          <w:szCs w:val="24"/>
        </w:rPr>
        <w:t>The participant’s experience indicated that after joining the village banking program, positive changes were observed in the education of her children. This was evident in her ability to afford basic school supplies and keep her children enrolled in school. However, the researcher observed that while village banking helped the women in the community to pay their children's school fees, it did not seem to encourage the women themselves to enroll in schools and obtain new skills. The observation suggests that while village banking may have been successful in increasing financial inclusion and helping women improve their children's education, there was still a significant barrier to their personal growth and development. This might be due to cultural or financial reasons that need to be addressed to ensure that women are empowered to pursue their educational goals and aspirations.</w:t>
      </w:r>
    </w:p>
    <w:p w14:paraId="1AA5678D" w14:textId="77777777" w:rsidR="009C6866" w:rsidRPr="00AB21C8" w:rsidRDefault="009C6866" w:rsidP="001F724F">
      <w:pPr>
        <w:spacing w:line="360" w:lineRule="auto"/>
        <w:jc w:val="both"/>
        <w:rPr>
          <w:rFonts w:ascii="Times New Roman" w:hAnsi="Times New Roman" w:cs="Times New Roman"/>
          <w:sz w:val="24"/>
          <w:szCs w:val="24"/>
        </w:rPr>
      </w:pPr>
    </w:p>
    <w:p w14:paraId="56824458" w14:textId="77777777" w:rsidR="00D05A70" w:rsidRPr="00AB21C8" w:rsidRDefault="001F724F" w:rsidP="00D05A70">
      <w:pPr>
        <w:numPr>
          <w:ilvl w:val="2"/>
          <w:numId w:val="12"/>
        </w:numPr>
        <w:spacing w:line="360" w:lineRule="auto"/>
        <w:ind w:left="1620"/>
        <w:jc w:val="both"/>
        <w:rPr>
          <w:rFonts w:ascii="Times New Roman" w:hAnsi="Times New Roman" w:cs="Times New Roman"/>
          <w:b/>
          <w:sz w:val="24"/>
          <w:szCs w:val="24"/>
        </w:rPr>
      </w:pPr>
      <w:bookmarkStart w:id="14" w:name="_Toc160660101"/>
      <w:r w:rsidRPr="00AB21C8">
        <w:rPr>
          <w:rFonts w:ascii="Times New Roman" w:hAnsi="Times New Roman" w:cs="Times New Roman"/>
          <w:b/>
          <w:sz w:val="24"/>
          <w:szCs w:val="24"/>
        </w:rPr>
        <w:t>Village Banking and Business G</w:t>
      </w:r>
      <w:r w:rsidR="00D05A70" w:rsidRPr="00AB21C8">
        <w:rPr>
          <w:rFonts w:ascii="Times New Roman" w:hAnsi="Times New Roman" w:cs="Times New Roman"/>
          <w:b/>
          <w:sz w:val="24"/>
          <w:szCs w:val="24"/>
        </w:rPr>
        <w:t>rowth</w:t>
      </w:r>
      <w:bookmarkEnd w:id="14"/>
    </w:p>
    <w:p w14:paraId="5E84BFAE" w14:textId="77777777" w:rsidR="001F724F" w:rsidRPr="00AB21C8" w:rsidRDefault="001F724F" w:rsidP="00D05A70">
      <w:pPr>
        <w:spacing w:line="360" w:lineRule="auto"/>
        <w:jc w:val="both"/>
        <w:rPr>
          <w:rFonts w:ascii="Times New Roman" w:hAnsi="Times New Roman" w:cs="Times New Roman"/>
          <w:sz w:val="24"/>
          <w:szCs w:val="24"/>
        </w:rPr>
      </w:pPr>
      <w:r w:rsidRPr="00AB21C8">
        <w:rPr>
          <w:rFonts w:ascii="Times New Roman" w:hAnsi="Times New Roman" w:cs="Times New Roman"/>
          <w:sz w:val="24"/>
          <w:szCs w:val="24"/>
        </w:rPr>
        <w:t>The researcher chose to examine the connection between village banking and the entrepreneurial ventures of the respondents in order to determine the extent to which village banking had negatively or positively affected their entrepreneurial ventures. Figure 10 shows the changes before and after respondents joined village banking groups</w:t>
      </w:r>
      <w:r w:rsidR="009C6866">
        <w:rPr>
          <w:rFonts w:ascii="Times New Roman" w:hAnsi="Times New Roman" w:cs="Times New Roman"/>
          <w:sz w:val="24"/>
          <w:szCs w:val="24"/>
        </w:rPr>
        <w:t>.</w:t>
      </w:r>
    </w:p>
    <w:p w14:paraId="25BA5CA4" w14:textId="77777777" w:rsidR="00D05A70" w:rsidRPr="00AB21C8" w:rsidRDefault="00D05A70" w:rsidP="00D05A70">
      <w:pPr>
        <w:spacing w:line="360" w:lineRule="auto"/>
        <w:jc w:val="both"/>
        <w:rPr>
          <w:rFonts w:ascii="Times New Roman" w:hAnsi="Times New Roman" w:cs="Times New Roman"/>
          <w:sz w:val="24"/>
          <w:szCs w:val="24"/>
        </w:rPr>
      </w:pPr>
      <w:r w:rsidRPr="00AB21C8">
        <w:rPr>
          <w:rFonts w:ascii="Times New Roman" w:hAnsi="Times New Roman" w:cs="Times New Roman"/>
          <w:noProof/>
          <w:sz w:val="24"/>
          <w:szCs w:val="24"/>
        </w:rPr>
        <w:drawing>
          <wp:inline distT="0" distB="0" distL="0" distR="0" wp14:anchorId="096FFF43" wp14:editId="05DF62AF">
            <wp:extent cx="5835650" cy="2267585"/>
            <wp:effectExtent l="0" t="0" r="12700" b="1841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AB21C8">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2B7B45ED" wp14:editId="33366BF1">
                <wp:simplePos x="0" y="0"/>
                <wp:positionH relativeFrom="column">
                  <wp:posOffset>2871217</wp:posOffset>
                </wp:positionH>
                <wp:positionV relativeFrom="paragraph">
                  <wp:posOffset>2446375</wp:posOffset>
                </wp:positionV>
                <wp:extent cx="3658" cy="296265"/>
                <wp:effectExtent l="0" t="0" r="34925" b="27940"/>
                <wp:wrapNone/>
                <wp:docPr id="19" name="Straight Connector 19"/>
                <wp:cNvGraphicFramePr/>
                <a:graphic xmlns:a="http://schemas.openxmlformats.org/drawingml/2006/main">
                  <a:graphicData uri="http://schemas.microsoft.com/office/word/2010/wordprocessingShape">
                    <wps:wsp>
                      <wps:cNvCnPr/>
                      <wps:spPr>
                        <a:xfrm>
                          <a:off x="0" y="0"/>
                          <a:ext cx="3658" cy="296265"/>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66801FC" id="Straight Connector 19"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1pt,192.65pt" to="226.4pt,3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" strokecolor="#cfcdcd [2894]" strokeweight=".5pt">
                <v:stroke joinstyle="miter"/>
              </v:line>
            </w:pict>
          </mc:Fallback>
        </mc:AlternateContent>
      </w:r>
    </w:p>
    <w:p w14:paraId="43314D9F" w14:textId="77777777" w:rsidR="0026014D" w:rsidRDefault="00D05A70" w:rsidP="001F724F">
      <w:pPr>
        <w:spacing w:line="360" w:lineRule="auto"/>
        <w:jc w:val="both"/>
        <w:rPr>
          <w:rFonts w:ascii="Times New Roman" w:hAnsi="Times New Roman" w:cs="Times New Roman"/>
          <w:sz w:val="24"/>
          <w:szCs w:val="24"/>
        </w:rPr>
      </w:pPr>
      <w:bookmarkStart w:id="15" w:name="_Toc157419307"/>
      <w:r w:rsidRPr="00AB21C8">
        <w:rPr>
          <w:rFonts w:ascii="Times New Roman" w:hAnsi="Times New Roman" w:cs="Times New Roman"/>
          <w:b/>
          <w:iCs/>
          <w:sz w:val="24"/>
          <w:szCs w:val="24"/>
        </w:rPr>
        <w:t xml:space="preserve">Figure </w:t>
      </w:r>
      <w:r w:rsidRPr="00AB21C8">
        <w:rPr>
          <w:rFonts w:ascii="Times New Roman" w:hAnsi="Times New Roman" w:cs="Times New Roman"/>
          <w:b/>
          <w:iCs/>
          <w:sz w:val="24"/>
          <w:szCs w:val="24"/>
        </w:rPr>
        <w:fldChar w:fldCharType="begin"/>
      </w:r>
      <w:r w:rsidRPr="00AB21C8">
        <w:rPr>
          <w:rFonts w:ascii="Times New Roman" w:hAnsi="Times New Roman" w:cs="Times New Roman"/>
          <w:b/>
          <w:iCs/>
          <w:sz w:val="24"/>
          <w:szCs w:val="24"/>
        </w:rPr>
        <w:instrText xml:space="preserve"> SEQ Figure \* ARABIC </w:instrText>
      </w:r>
      <w:r w:rsidRPr="00AB21C8">
        <w:rPr>
          <w:rFonts w:ascii="Times New Roman" w:hAnsi="Times New Roman" w:cs="Times New Roman"/>
          <w:b/>
          <w:iCs/>
          <w:sz w:val="24"/>
          <w:szCs w:val="24"/>
        </w:rPr>
        <w:fldChar w:fldCharType="separate"/>
      </w:r>
      <w:r w:rsidR="00C11EA2">
        <w:rPr>
          <w:rFonts w:ascii="Times New Roman" w:hAnsi="Times New Roman" w:cs="Times New Roman"/>
          <w:b/>
          <w:iCs/>
          <w:noProof/>
          <w:sz w:val="24"/>
          <w:szCs w:val="24"/>
        </w:rPr>
        <w:t>10</w:t>
      </w:r>
      <w:r w:rsidRPr="00AB21C8">
        <w:rPr>
          <w:rFonts w:ascii="Times New Roman" w:hAnsi="Times New Roman" w:cs="Times New Roman"/>
          <w:b/>
          <w:sz w:val="24"/>
          <w:szCs w:val="24"/>
        </w:rPr>
        <w:fldChar w:fldCharType="end"/>
      </w:r>
      <w:r w:rsidRPr="00AB21C8">
        <w:rPr>
          <w:rFonts w:ascii="Times New Roman" w:hAnsi="Times New Roman" w:cs="Times New Roman"/>
          <w:iCs/>
          <w:sz w:val="24"/>
          <w:szCs w:val="24"/>
        </w:rPr>
        <w:t xml:space="preserve">: </w:t>
      </w:r>
      <w:bookmarkEnd w:id="15"/>
      <w:r w:rsidR="001F724F" w:rsidRPr="00AB21C8">
        <w:rPr>
          <w:rFonts w:ascii="Times New Roman" w:hAnsi="Times New Roman" w:cs="Times New Roman"/>
          <w:sz w:val="24"/>
          <w:szCs w:val="24"/>
        </w:rPr>
        <w:t xml:space="preserve">Changes in Business Ventures among Village Bank Respondents </w:t>
      </w:r>
      <w:r w:rsidR="0026014D">
        <w:rPr>
          <w:rFonts w:ascii="Times New Roman" w:hAnsi="Times New Roman" w:cs="Times New Roman"/>
          <w:sz w:val="24"/>
          <w:szCs w:val="24"/>
        </w:rPr>
        <w:t xml:space="preserve"> </w:t>
      </w:r>
    </w:p>
    <w:p w14:paraId="5B1F7DB6" w14:textId="77A655AA" w:rsidR="00D05A70" w:rsidRPr="00AB21C8" w:rsidRDefault="00D05A70" w:rsidP="001F724F">
      <w:pPr>
        <w:spacing w:line="360" w:lineRule="auto"/>
        <w:jc w:val="both"/>
        <w:rPr>
          <w:rFonts w:ascii="Times New Roman" w:hAnsi="Times New Roman" w:cs="Times New Roman"/>
          <w:sz w:val="24"/>
          <w:szCs w:val="24"/>
        </w:rPr>
      </w:pPr>
      <w:r w:rsidRPr="00AB21C8">
        <w:rPr>
          <w:rFonts w:ascii="Times New Roman" w:hAnsi="Times New Roman" w:cs="Times New Roman"/>
          <w:sz w:val="24"/>
          <w:szCs w:val="24"/>
        </w:rPr>
        <w:lastRenderedPageBreak/>
        <w:t>Source: Fieldwork, 2023</w:t>
      </w:r>
    </w:p>
    <w:p w14:paraId="181E8976" w14:textId="77777777" w:rsidR="00CD2919" w:rsidRPr="00CD2919" w:rsidRDefault="00CD2919" w:rsidP="0026014D">
      <w:pPr>
        <w:spacing w:before="240" w:after="240" w:line="360" w:lineRule="auto"/>
        <w:jc w:val="both"/>
        <w:rPr>
          <w:rFonts w:ascii="Times New Roman" w:hAnsi="Times New Roman" w:cs="Times New Roman"/>
          <w:sz w:val="24"/>
          <w:szCs w:val="24"/>
        </w:rPr>
      </w:pPr>
      <w:r w:rsidRPr="00CD2919">
        <w:rPr>
          <w:rFonts w:ascii="Times New Roman" w:hAnsi="Times New Roman" w:cs="Times New Roman"/>
          <w:sz w:val="24"/>
          <w:szCs w:val="24"/>
        </w:rPr>
        <w:t xml:space="preserve">The results showed that prior to joining village banking, approximately 35% of the women surveyed were engaged in entrepreneurial activities, such as owning or running a business of which the majority were not running or owning any sort of business. </w:t>
      </w:r>
    </w:p>
    <w:p w14:paraId="668C2278" w14:textId="77777777" w:rsidR="00CD2919" w:rsidRPr="00CD2919" w:rsidRDefault="00CD2919" w:rsidP="0026014D">
      <w:pPr>
        <w:spacing w:before="240" w:after="240" w:line="360" w:lineRule="auto"/>
        <w:jc w:val="both"/>
        <w:rPr>
          <w:rFonts w:ascii="Times New Roman" w:hAnsi="Times New Roman" w:cs="Times New Roman"/>
          <w:sz w:val="24"/>
          <w:szCs w:val="24"/>
        </w:rPr>
      </w:pPr>
      <w:r w:rsidRPr="00CD2919">
        <w:rPr>
          <w:rFonts w:ascii="Times New Roman" w:hAnsi="Times New Roman" w:cs="Times New Roman"/>
          <w:sz w:val="24"/>
          <w:szCs w:val="24"/>
        </w:rPr>
        <w:t xml:space="preserve">Following their participation in village banking, the number of women actively involved in business ownership notably increased to 65% indicating a substantial favorable influence of village banking on the empowerment of women entrepreneurs. Specifically, the data suggested a significant 30% rise in the proportion of women engaged in business activities after joining the village banking program. This increase highlights the potential positive influence of village banking initiatives in enhancing economic opportunities for women and fostering entrepreneurship within their communities. </w:t>
      </w:r>
    </w:p>
    <w:p w14:paraId="2913550C" w14:textId="77777777" w:rsidR="00CD2919" w:rsidRPr="00CD2919" w:rsidRDefault="00CD2919" w:rsidP="0026014D">
      <w:pPr>
        <w:spacing w:before="240" w:after="240" w:line="360" w:lineRule="auto"/>
        <w:jc w:val="both"/>
        <w:rPr>
          <w:rFonts w:ascii="Times New Roman" w:hAnsi="Times New Roman" w:cs="Times New Roman"/>
          <w:i/>
          <w:sz w:val="24"/>
          <w:szCs w:val="24"/>
        </w:rPr>
      </w:pPr>
      <w:r w:rsidRPr="00CD2919">
        <w:rPr>
          <w:rFonts w:ascii="Times New Roman" w:hAnsi="Times New Roman" w:cs="Times New Roman"/>
          <w:sz w:val="24"/>
          <w:szCs w:val="24"/>
        </w:rPr>
        <w:t>During the interview guide, one of the participants shared their experience regarding the influence that village banking had on her business prospects. The other members of the village banking group expressed a similar sentiment. The participants articulated that “</w:t>
      </w:r>
      <w:r w:rsidRPr="00CD2919">
        <w:rPr>
          <w:rFonts w:ascii="Times New Roman" w:hAnsi="Times New Roman" w:cs="Times New Roman"/>
          <w:i/>
          <w:sz w:val="24"/>
          <w:szCs w:val="24"/>
        </w:rPr>
        <w:t>Joining the village banking program was truly a turning point for my business. Before I joined the village banking program, I was struggling to make ends meet. I had always dreamed of starting my own business, but I lacked the necessary capital and support." She had always been passionate about fashion (Salaula) and had a deep desire to buy and resell good quality clothes. However, without access to financial resources, I found myself stuck in a cycle of uncertainty, unable to turn her dream into a reality.</w:t>
      </w:r>
      <w:r w:rsidRPr="00CD2919">
        <w:rPr>
          <w:rFonts w:ascii="Times New Roman" w:hAnsi="Times New Roman" w:cs="Times New Roman"/>
          <w:sz w:val="24"/>
          <w:szCs w:val="24"/>
        </w:rPr>
        <w:t xml:space="preserve"> </w:t>
      </w:r>
      <w:r w:rsidRPr="00CD2919">
        <w:rPr>
          <w:rFonts w:ascii="Times New Roman" w:hAnsi="Times New Roman" w:cs="Times New Roman"/>
          <w:i/>
          <w:sz w:val="24"/>
          <w:szCs w:val="24"/>
        </w:rPr>
        <w:t>That all changed when joined the village banking program I was invited to by my friend. From the microloans provided by the village banking program, I was able to acquire the initial capital needed to purchase materials.” (Respondents 6).</w:t>
      </w:r>
    </w:p>
    <w:p w14:paraId="65B28613" w14:textId="77777777" w:rsidR="00CD2919" w:rsidRPr="00CD2919" w:rsidRDefault="00CD2919" w:rsidP="0026014D">
      <w:pPr>
        <w:spacing w:before="240" w:after="240" w:line="360" w:lineRule="auto"/>
        <w:jc w:val="both"/>
        <w:rPr>
          <w:rFonts w:ascii="Times New Roman" w:hAnsi="Times New Roman" w:cs="Times New Roman"/>
          <w:sz w:val="24"/>
          <w:szCs w:val="24"/>
        </w:rPr>
      </w:pPr>
      <w:r w:rsidRPr="00CD2919">
        <w:rPr>
          <w:rFonts w:ascii="Times New Roman" w:hAnsi="Times New Roman" w:cs="Times New Roman"/>
          <w:sz w:val="24"/>
          <w:szCs w:val="24"/>
        </w:rPr>
        <w:t>The narrative illustrated how the advantages of village banking extend far beyond financial gains. It demonstrated how village banking initiatives can serve as catalysts for improvements in individuals' lives, touching upon various aspects beyond monetary support. By providing accessible financial services tailored to the needs of marginalized communities, it empoweremend the respondents with the capital that was needed to start up a business.</w:t>
      </w:r>
    </w:p>
    <w:p w14:paraId="0CCE6324" w14:textId="77777777" w:rsidR="00CD2919" w:rsidRPr="00CD2919" w:rsidRDefault="00CD2919" w:rsidP="0026014D">
      <w:pPr>
        <w:spacing w:before="240" w:after="240" w:line="360" w:lineRule="auto"/>
        <w:jc w:val="both"/>
        <w:rPr>
          <w:rFonts w:ascii="Times New Roman" w:hAnsi="Times New Roman" w:cs="Times New Roman"/>
          <w:sz w:val="24"/>
          <w:szCs w:val="24"/>
        </w:rPr>
      </w:pPr>
      <w:r w:rsidRPr="00CD2919">
        <w:rPr>
          <w:rFonts w:ascii="Times New Roman" w:hAnsi="Times New Roman" w:cs="Times New Roman"/>
          <w:sz w:val="24"/>
          <w:szCs w:val="24"/>
        </w:rPr>
        <w:lastRenderedPageBreak/>
        <w:t xml:space="preserve">Through the interviews, the researcher noted that while women had access to financial resources, they engaged in short-term business ventures. They lacked the capacity to sustain a single business over an extended period and enhance its profitability. Consequently, they frequently switched businesses based on current trends, swiftly transitioning to new ventures when the trend waned. </w:t>
      </w:r>
    </w:p>
    <w:p w14:paraId="4E6EC9BF" w14:textId="1929A393" w:rsidR="00AA519C" w:rsidRPr="00AB21C8" w:rsidRDefault="00CD2919" w:rsidP="0026014D">
      <w:pPr>
        <w:spacing w:before="240" w:after="240" w:line="360" w:lineRule="auto"/>
        <w:jc w:val="both"/>
        <w:rPr>
          <w:rFonts w:ascii="Times New Roman" w:hAnsi="Times New Roman" w:cs="Times New Roman"/>
          <w:sz w:val="24"/>
          <w:szCs w:val="24"/>
        </w:rPr>
      </w:pPr>
      <w:r w:rsidRPr="00CD2919">
        <w:rPr>
          <w:rFonts w:ascii="Times New Roman" w:hAnsi="Times New Roman" w:cs="Times New Roman"/>
          <w:sz w:val="24"/>
          <w:szCs w:val="24"/>
        </w:rPr>
        <w:t>The study observed that joining the village banking program provided the participant with access to microloans, which served as a crucial source of funding for their businesses. Without the support of village banking, the participants may have continued to struggle to secure the necessary capital to start their businesses</w:t>
      </w:r>
    </w:p>
    <w:p w14:paraId="44D9EF36" w14:textId="59289193" w:rsidR="0027661C" w:rsidRDefault="0027661C" w:rsidP="0027661C">
      <w:pPr>
        <w:pStyle w:val="ListParagraph"/>
        <w:keepNext/>
        <w:keepLines/>
        <w:numPr>
          <w:ilvl w:val="1"/>
          <w:numId w:val="12"/>
        </w:numPr>
        <w:spacing w:before="40"/>
        <w:ind w:left="450" w:hanging="450"/>
        <w:outlineLvl w:val="2"/>
        <w:rPr>
          <w:rFonts w:ascii="Times New Roman" w:eastAsiaTheme="majorEastAsia" w:hAnsi="Times New Roman" w:cs="Times New Roman"/>
          <w:b/>
          <w:color w:val="000000" w:themeColor="text1"/>
          <w:sz w:val="24"/>
          <w:szCs w:val="24"/>
        </w:rPr>
      </w:pPr>
      <w:bookmarkStart w:id="16" w:name="_Toc166146024"/>
      <w:r w:rsidRPr="00AB21C8">
        <w:rPr>
          <w:rFonts w:ascii="Times New Roman" w:eastAsiaTheme="majorEastAsia" w:hAnsi="Times New Roman" w:cs="Times New Roman"/>
          <w:b/>
          <w:color w:val="000000" w:themeColor="text1"/>
          <w:sz w:val="24"/>
          <w:szCs w:val="24"/>
        </w:rPr>
        <w:t>Challenges that hinder Village Banking contribution to Women's Economic Welfare</w:t>
      </w:r>
      <w:bookmarkEnd w:id="16"/>
      <w:r w:rsidR="00E65112">
        <w:rPr>
          <w:rFonts w:ascii="Times New Roman" w:eastAsiaTheme="majorEastAsia" w:hAnsi="Times New Roman" w:cs="Times New Roman"/>
          <w:b/>
          <w:color w:val="000000" w:themeColor="text1"/>
          <w:sz w:val="24"/>
          <w:szCs w:val="24"/>
        </w:rPr>
        <w:t xml:space="preserve"> </w:t>
      </w:r>
    </w:p>
    <w:p w14:paraId="2F5E7876" w14:textId="77777777" w:rsidR="00E65112" w:rsidRDefault="00E65112" w:rsidP="00E65112">
      <w:pPr>
        <w:spacing w:line="360" w:lineRule="auto"/>
        <w:jc w:val="both"/>
        <w:rPr>
          <w:rFonts w:ascii="Times New Roman" w:hAnsi="Times New Roman" w:cs="Times New Roman"/>
          <w:sz w:val="24"/>
          <w:szCs w:val="24"/>
        </w:rPr>
      </w:pPr>
      <w:r>
        <w:rPr>
          <w:rFonts w:ascii="Times New Roman" w:hAnsi="Times New Roman" w:cs="Times New Roman"/>
          <w:sz w:val="24"/>
          <w:szCs w:val="24"/>
        </w:rPr>
        <w:t>The</w:t>
      </w:r>
      <w:r w:rsidRPr="00AB21C8">
        <w:rPr>
          <w:rFonts w:ascii="Times New Roman" w:hAnsi="Times New Roman" w:cs="Times New Roman"/>
          <w:sz w:val="24"/>
          <w:szCs w:val="24"/>
        </w:rPr>
        <w:t xml:space="preserve"> study wanted to determine the challenges that impede the overall influence of villa</w:t>
      </w:r>
      <w:r>
        <w:rPr>
          <w:rFonts w:ascii="Times New Roman" w:hAnsi="Times New Roman" w:cs="Times New Roman"/>
          <w:sz w:val="24"/>
          <w:szCs w:val="24"/>
        </w:rPr>
        <w:t>ge banking on women's welfare. The table below highlights the challenges that women face.</w:t>
      </w:r>
    </w:p>
    <w:p w14:paraId="56401A90" w14:textId="77777777" w:rsidR="00E65112" w:rsidRPr="00C11EA2" w:rsidRDefault="00E65112" w:rsidP="00E65112">
      <w:pPr>
        <w:pStyle w:val="Caption"/>
        <w:keepNext/>
        <w:spacing w:after="0"/>
        <w:rPr>
          <w:rFonts w:ascii="Times New Roman" w:hAnsi="Times New Roman" w:cs="Times New Roman"/>
          <w:b/>
          <w:i w:val="0"/>
          <w:color w:val="auto"/>
          <w:sz w:val="24"/>
        </w:rPr>
      </w:pPr>
      <w:r w:rsidRPr="00C11EA2">
        <w:rPr>
          <w:rFonts w:ascii="Times New Roman" w:hAnsi="Times New Roman" w:cs="Times New Roman"/>
          <w:b/>
          <w:i w:val="0"/>
          <w:color w:val="auto"/>
          <w:sz w:val="24"/>
        </w:rPr>
        <w:t xml:space="preserve">Table </w:t>
      </w:r>
      <w:r w:rsidRPr="00C11EA2">
        <w:rPr>
          <w:rFonts w:ascii="Times New Roman" w:hAnsi="Times New Roman" w:cs="Times New Roman"/>
          <w:b/>
          <w:i w:val="0"/>
          <w:color w:val="auto"/>
          <w:sz w:val="24"/>
        </w:rPr>
        <w:fldChar w:fldCharType="begin"/>
      </w:r>
      <w:r w:rsidRPr="00C11EA2">
        <w:rPr>
          <w:rFonts w:ascii="Times New Roman" w:hAnsi="Times New Roman" w:cs="Times New Roman"/>
          <w:b/>
          <w:i w:val="0"/>
          <w:color w:val="auto"/>
          <w:sz w:val="24"/>
        </w:rPr>
        <w:instrText xml:space="preserve"> SEQ Table \* ARABIC </w:instrText>
      </w:r>
      <w:r w:rsidRPr="00C11EA2">
        <w:rPr>
          <w:rFonts w:ascii="Times New Roman" w:hAnsi="Times New Roman" w:cs="Times New Roman"/>
          <w:b/>
          <w:i w:val="0"/>
          <w:color w:val="auto"/>
          <w:sz w:val="24"/>
        </w:rPr>
        <w:fldChar w:fldCharType="separate"/>
      </w:r>
      <w:r w:rsidRPr="00C11EA2">
        <w:rPr>
          <w:rFonts w:ascii="Times New Roman" w:hAnsi="Times New Roman" w:cs="Times New Roman"/>
          <w:b/>
          <w:i w:val="0"/>
          <w:noProof/>
          <w:color w:val="auto"/>
          <w:sz w:val="24"/>
        </w:rPr>
        <w:t>2</w:t>
      </w:r>
      <w:r w:rsidRPr="00C11EA2">
        <w:rPr>
          <w:rFonts w:ascii="Times New Roman" w:hAnsi="Times New Roman" w:cs="Times New Roman"/>
          <w:b/>
          <w:i w:val="0"/>
          <w:color w:val="auto"/>
          <w:sz w:val="24"/>
        </w:rPr>
        <w:fldChar w:fldCharType="end"/>
      </w:r>
      <w:r w:rsidRPr="00C11EA2">
        <w:rPr>
          <w:rFonts w:ascii="Times New Roman" w:hAnsi="Times New Roman" w:cs="Times New Roman"/>
          <w:b/>
          <w:i w:val="0"/>
          <w:color w:val="auto"/>
          <w:sz w:val="24"/>
        </w:rPr>
        <w:t xml:space="preserve">: </w:t>
      </w:r>
      <w:r w:rsidRPr="00C11EA2">
        <w:rPr>
          <w:rFonts w:ascii="Times New Roman" w:hAnsi="Times New Roman" w:cs="Times New Roman"/>
          <w:i w:val="0"/>
          <w:color w:val="auto"/>
          <w:sz w:val="24"/>
        </w:rPr>
        <w:t>Challenges of Village Banking</w:t>
      </w:r>
    </w:p>
    <w:tbl>
      <w:tblPr>
        <w:tblStyle w:val="TableGrid"/>
        <w:tblW w:w="0" w:type="auto"/>
        <w:tblLook w:val="04A0" w:firstRow="1" w:lastRow="0" w:firstColumn="1" w:lastColumn="0" w:noHBand="0" w:noVBand="1"/>
      </w:tblPr>
      <w:tblGrid>
        <w:gridCol w:w="5125"/>
        <w:gridCol w:w="4225"/>
      </w:tblGrid>
      <w:tr w:rsidR="00E65112" w14:paraId="01B89696" w14:textId="77777777" w:rsidTr="00564487">
        <w:tc>
          <w:tcPr>
            <w:tcW w:w="5125" w:type="dxa"/>
          </w:tcPr>
          <w:p w14:paraId="7447DC07" w14:textId="77777777" w:rsidR="00E65112" w:rsidRDefault="00E65112" w:rsidP="00564487">
            <w:pPr>
              <w:spacing w:line="360" w:lineRule="auto"/>
              <w:jc w:val="both"/>
              <w:rPr>
                <w:rFonts w:ascii="Times New Roman" w:hAnsi="Times New Roman" w:cs="Times New Roman"/>
                <w:sz w:val="24"/>
                <w:szCs w:val="24"/>
              </w:rPr>
            </w:pPr>
            <w:r>
              <w:rPr>
                <w:rFonts w:ascii="Times New Roman" w:hAnsi="Times New Roman" w:cs="Times New Roman"/>
                <w:sz w:val="24"/>
                <w:szCs w:val="24"/>
              </w:rPr>
              <w:t>Challenge</w:t>
            </w:r>
          </w:p>
        </w:tc>
        <w:tc>
          <w:tcPr>
            <w:tcW w:w="4225" w:type="dxa"/>
          </w:tcPr>
          <w:p w14:paraId="03D0F0F5" w14:textId="77777777" w:rsidR="00E65112" w:rsidRDefault="00E65112" w:rsidP="00564487">
            <w:pPr>
              <w:spacing w:line="360" w:lineRule="auto"/>
              <w:jc w:val="center"/>
              <w:rPr>
                <w:rFonts w:ascii="Times New Roman" w:hAnsi="Times New Roman" w:cs="Times New Roman"/>
                <w:sz w:val="24"/>
                <w:szCs w:val="24"/>
              </w:rPr>
            </w:pPr>
            <w:r w:rsidRPr="00AA519C">
              <w:rPr>
                <w:rFonts w:ascii="Times New Roman" w:hAnsi="Times New Roman" w:cs="Times New Roman"/>
                <w:b/>
                <w:sz w:val="24"/>
                <w:szCs w:val="24"/>
              </w:rPr>
              <w:t>Percentage</w:t>
            </w:r>
          </w:p>
        </w:tc>
      </w:tr>
      <w:tr w:rsidR="00E65112" w14:paraId="03592477" w14:textId="77777777" w:rsidTr="00564487">
        <w:tc>
          <w:tcPr>
            <w:tcW w:w="5125" w:type="dxa"/>
          </w:tcPr>
          <w:p w14:paraId="2175B915" w14:textId="77777777" w:rsidR="00E65112" w:rsidRDefault="00E65112" w:rsidP="00564487">
            <w:pPr>
              <w:spacing w:line="360" w:lineRule="auto"/>
              <w:rPr>
                <w:rFonts w:ascii="Times New Roman" w:hAnsi="Times New Roman" w:cs="Times New Roman"/>
                <w:sz w:val="24"/>
                <w:szCs w:val="24"/>
              </w:rPr>
            </w:pPr>
            <w:r>
              <w:rPr>
                <w:rFonts w:ascii="Times New Roman" w:hAnsi="Times New Roman" w:cs="Times New Roman"/>
                <w:sz w:val="24"/>
                <w:szCs w:val="24"/>
              </w:rPr>
              <w:t>Loan payment default</w:t>
            </w:r>
          </w:p>
        </w:tc>
        <w:tc>
          <w:tcPr>
            <w:tcW w:w="4225" w:type="dxa"/>
          </w:tcPr>
          <w:p w14:paraId="3C4A2423" w14:textId="77777777" w:rsidR="00E65112" w:rsidRDefault="00E65112" w:rsidP="00564487">
            <w:pPr>
              <w:spacing w:line="360" w:lineRule="auto"/>
              <w:jc w:val="center"/>
              <w:rPr>
                <w:rFonts w:ascii="Times New Roman" w:hAnsi="Times New Roman" w:cs="Times New Roman"/>
                <w:sz w:val="24"/>
                <w:szCs w:val="24"/>
              </w:rPr>
            </w:pPr>
            <w:r>
              <w:rPr>
                <w:rFonts w:ascii="Times New Roman" w:hAnsi="Times New Roman" w:cs="Times New Roman"/>
                <w:sz w:val="24"/>
                <w:szCs w:val="24"/>
              </w:rPr>
              <w:t>23%</w:t>
            </w:r>
          </w:p>
        </w:tc>
      </w:tr>
      <w:tr w:rsidR="00E65112" w14:paraId="0E92347A" w14:textId="77777777" w:rsidTr="00564487">
        <w:tc>
          <w:tcPr>
            <w:tcW w:w="5125" w:type="dxa"/>
          </w:tcPr>
          <w:p w14:paraId="0DD8A33A" w14:textId="77777777" w:rsidR="00E65112" w:rsidRDefault="00E65112" w:rsidP="00564487">
            <w:pPr>
              <w:spacing w:line="360" w:lineRule="auto"/>
              <w:rPr>
                <w:rFonts w:ascii="Times New Roman" w:hAnsi="Times New Roman" w:cs="Times New Roman"/>
                <w:sz w:val="24"/>
                <w:szCs w:val="24"/>
              </w:rPr>
            </w:pPr>
            <w:r>
              <w:rPr>
                <w:rFonts w:ascii="Times New Roman" w:hAnsi="Times New Roman" w:cs="Times New Roman"/>
                <w:sz w:val="24"/>
                <w:szCs w:val="24"/>
              </w:rPr>
              <w:t>Short payback period of loans</w:t>
            </w:r>
          </w:p>
        </w:tc>
        <w:tc>
          <w:tcPr>
            <w:tcW w:w="4225" w:type="dxa"/>
          </w:tcPr>
          <w:p w14:paraId="4AFAB22D" w14:textId="77777777" w:rsidR="00E65112" w:rsidRDefault="00E65112" w:rsidP="00564487">
            <w:pPr>
              <w:spacing w:line="360" w:lineRule="auto"/>
              <w:jc w:val="center"/>
              <w:rPr>
                <w:rFonts w:ascii="Times New Roman" w:hAnsi="Times New Roman" w:cs="Times New Roman"/>
                <w:sz w:val="24"/>
                <w:szCs w:val="24"/>
              </w:rPr>
            </w:pPr>
            <w:r>
              <w:rPr>
                <w:rFonts w:ascii="Times New Roman" w:hAnsi="Times New Roman" w:cs="Times New Roman"/>
                <w:sz w:val="24"/>
                <w:szCs w:val="24"/>
              </w:rPr>
              <w:t>39%</w:t>
            </w:r>
          </w:p>
        </w:tc>
      </w:tr>
      <w:tr w:rsidR="00E65112" w14:paraId="54C0B16E" w14:textId="77777777" w:rsidTr="00564487">
        <w:tc>
          <w:tcPr>
            <w:tcW w:w="5125" w:type="dxa"/>
          </w:tcPr>
          <w:p w14:paraId="19F3F4C7" w14:textId="77777777" w:rsidR="00E65112" w:rsidRDefault="00E65112" w:rsidP="00564487">
            <w:pPr>
              <w:spacing w:line="360" w:lineRule="auto"/>
              <w:rPr>
                <w:rFonts w:ascii="Times New Roman" w:hAnsi="Times New Roman" w:cs="Times New Roman"/>
                <w:sz w:val="24"/>
                <w:szCs w:val="24"/>
              </w:rPr>
            </w:pPr>
            <w:r>
              <w:rPr>
                <w:rFonts w:ascii="Times New Roman" w:hAnsi="Times New Roman" w:cs="Times New Roman"/>
                <w:sz w:val="24"/>
                <w:szCs w:val="24"/>
              </w:rPr>
              <w:t>Lack of accountability and poor record-keeping</w:t>
            </w:r>
          </w:p>
        </w:tc>
        <w:tc>
          <w:tcPr>
            <w:tcW w:w="4225" w:type="dxa"/>
          </w:tcPr>
          <w:p w14:paraId="3F024292" w14:textId="77777777" w:rsidR="00E65112" w:rsidRDefault="00E65112" w:rsidP="00564487">
            <w:pPr>
              <w:spacing w:line="360" w:lineRule="auto"/>
              <w:jc w:val="center"/>
              <w:rPr>
                <w:rFonts w:ascii="Times New Roman" w:hAnsi="Times New Roman" w:cs="Times New Roman"/>
                <w:sz w:val="24"/>
                <w:szCs w:val="24"/>
              </w:rPr>
            </w:pPr>
            <w:r>
              <w:rPr>
                <w:rFonts w:ascii="Times New Roman" w:hAnsi="Times New Roman" w:cs="Times New Roman"/>
                <w:sz w:val="24"/>
                <w:szCs w:val="24"/>
              </w:rPr>
              <w:t>38%</w:t>
            </w:r>
          </w:p>
        </w:tc>
      </w:tr>
    </w:tbl>
    <w:p w14:paraId="5596BEB3" w14:textId="6D9604C7" w:rsidR="0025788F" w:rsidRPr="0025788F" w:rsidRDefault="00E65112" w:rsidP="0026014D">
      <w:pPr>
        <w:spacing w:before="240" w:after="240" w:line="360" w:lineRule="auto"/>
        <w:jc w:val="both"/>
        <w:rPr>
          <w:rFonts w:ascii="Times New Roman" w:hAnsi="Times New Roman" w:cs="Times New Roman"/>
          <w:i/>
          <w:sz w:val="24"/>
          <w:szCs w:val="24"/>
        </w:rPr>
      </w:pPr>
      <w:r w:rsidRPr="00E65112">
        <w:rPr>
          <w:rFonts w:ascii="Times New Roman" w:hAnsi="Times New Roman" w:cs="Times New Roman"/>
          <w:sz w:val="24"/>
          <w:szCs w:val="24"/>
        </w:rPr>
        <w:t>The challenges of loan payment default, short payback periods, and lack of accountability and poor record-keeping in village banking highlight critical areas for improvement. With a significant portion of participants experiencing difficulty repaying loans and facing short payback periods, there's a pressing need for more flexible loan terms that align with borrowers' financial capacities and investment cycles. Additionally, the lack of accountability and poor record-keeping practices within village banking groups raise concerns about transparency and effective financial management. Addressing these challenges requires implementing robust financial education programs, promoting responsible lending practice</w:t>
      </w:r>
      <w:r w:rsidR="0025788F">
        <w:rPr>
          <w:rFonts w:ascii="Times New Roman" w:hAnsi="Times New Roman" w:cs="Times New Roman"/>
          <w:sz w:val="24"/>
          <w:szCs w:val="24"/>
        </w:rPr>
        <w:t xml:space="preserve">. </w:t>
      </w:r>
      <w:r w:rsidR="0025788F" w:rsidRPr="0025788F">
        <w:rPr>
          <w:rFonts w:ascii="Times New Roman" w:hAnsi="Times New Roman" w:cs="Times New Roman"/>
          <w:sz w:val="24"/>
          <w:szCs w:val="24"/>
        </w:rPr>
        <w:t>The participant recalled “</w:t>
      </w:r>
      <w:r w:rsidR="0025788F" w:rsidRPr="0025788F">
        <w:rPr>
          <w:rFonts w:ascii="Times New Roman" w:hAnsi="Times New Roman" w:cs="Times New Roman"/>
          <w:i/>
          <w:sz w:val="24"/>
          <w:szCs w:val="24"/>
        </w:rPr>
        <w:t>I've been part of a village banking group for the past three years. While the program has been beneficial, we've faced a significant challenge with accountability and poor record keeping.</w:t>
      </w:r>
      <w:r w:rsidR="0025788F">
        <w:rPr>
          <w:rFonts w:ascii="Times New Roman" w:hAnsi="Times New Roman" w:cs="Times New Roman"/>
          <w:i/>
          <w:sz w:val="24"/>
          <w:szCs w:val="24"/>
        </w:rPr>
        <w:t xml:space="preserve"> </w:t>
      </w:r>
      <w:r w:rsidR="0025788F" w:rsidRPr="0025788F">
        <w:rPr>
          <w:rFonts w:ascii="Times New Roman" w:hAnsi="Times New Roman" w:cs="Times New Roman"/>
          <w:i/>
          <w:sz w:val="24"/>
          <w:szCs w:val="24"/>
        </w:rPr>
        <w:t>Our group has struggled with incomplete records and discrepancies in our financial transactions. This has created a sense of unease and distrust among our members. Without accurate records, it's challenging to ensure that everyone is contributing and receiving their fair share. It also makes it difficult to track our progress and evaluate the success of the program.</w:t>
      </w:r>
      <w:r w:rsidR="0025788F">
        <w:rPr>
          <w:rFonts w:ascii="Times New Roman" w:hAnsi="Times New Roman" w:cs="Times New Roman"/>
          <w:i/>
          <w:sz w:val="24"/>
          <w:szCs w:val="24"/>
        </w:rPr>
        <w:t xml:space="preserve"> </w:t>
      </w:r>
      <w:r w:rsidR="0025788F" w:rsidRPr="0025788F">
        <w:rPr>
          <w:rFonts w:ascii="Times New Roman" w:hAnsi="Times New Roman" w:cs="Times New Roman"/>
          <w:i/>
          <w:sz w:val="24"/>
          <w:szCs w:val="24"/>
        </w:rPr>
        <w:t xml:space="preserve">We've had instances where loan repayments </w:t>
      </w:r>
      <w:r w:rsidR="0025788F" w:rsidRPr="0025788F">
        <w:rPr>
          <w:rFonts w:ascii="Times New Roman" w:hAnsi="Times New Roman" w:cs="Times New Roman"/>
          <w:i/>
          <w:sz w:val="24"/>
          <w:szCs w:val="24"/>
        </w:rPr>
        <w:lastRenderedPageBreak/>
        <w:t>and savings contributions were not accurately recorded, leading to misunderstandings and disputes. It's disheartening to see our hard work compromised by these issues. We need better systems in place to ensure transparency and accountability. (Respondent,11).</w:t>
      </w:r>
    </w:p>
    <w:p w14:paraId="47734DAB" w14:textId="2F422920" w:rsidR="00E65112" w:rsidRDefault="0025788F" w:rsidP="0026014D">
      <w:pPr>
        <w:spacing w:before="240" w:after="240" w:line="360" w:lineRule="auto"/>
        <w:jc w:val="both"/>
        <w:rPr>
          <w:rFonts w:ascii="Times New Roman" w:hAnsi="Times New Roman" w:cs="Times New Roman"/>
          <w:sz w:val="24"/>
          <w:szCs w:val="24"/>
        </w:rPr>
      </w:pPr>
      <w:r w:rsidRPr="0025788F">
        <w:rPr>
          <w:rFonts w:ascii="Times New Roman" w:hAnsi="Times New Roman" w:cs="Times New Roman"/>
          <w:sz w:val="24"/>
          <w:szCs w:val="24"/>
        </w:rPr>
        <w:t>Additionally, another recalled her experience of perceived unfairness in the distribution of loans by the village banking treasurer. She described how the treasurer would provide loans to her friends without putting pressure on them to repay, while those who were not as close to her did not receive the same favorable treatment.</w:t>
      </w:r>
    </w:p>
    <w:p w14:paraId="14FD22BF" w14:textId="77777777" w:rsidR="00E65112" w:rsidRDefault="00E65112" w:rsidP="00C11EA2"/>
    <w:p w14:paraId="046590DE" w14:textId="75419398" w:rsidR="00E65112" w:rsidRPr="00AB21C8" w:rsidRDefault="00E65112" w:rsidP="0027661C">
      <w:pPr>
        <w:pStyle w:val="ListParagraph"/>
        <w:keepNext/>
        <w:keepLines/>
        <w:numPr>
          <w:ilvl w:val="1"/>
          <w:numId w:val="12"/>
        </w:numPr>
        <w:spacing w:before="40"/>
        <w:ind w:left="450" w:hanging="450"/>
        <w:outlineLvl w:val="2"/>
        <w:rPr>
          <w:rFonts w:ascii="Times New Roman" w:eastAsiaTheme="majorEastAsia" w:hAnsi="Times New Roman" w:cs="Times New Roman"/>
          <w:b/>
          <w:color w:val="000000" w:themeColor="text1"/>
          <w:sz w:val="24"/>
          <w:szCs w:val="24"/>
        </w:rPr>
      </w:pPr>
      <w:r w:rsidRPr="00E65112">
        <w:rPr>
          <w:rFonts w:ascii="Times New Roman" w:eastAsiaTheme="majorEastAsia" w:hAnsi="Times New Roman" w:cs="Times New Roman"/>
          <w:b/>
          <w:color w:val="000000" w:themeColor="text1"/>
          <w:sz w:val="24"/>
          <w:szCs w:val="24"/>
        </w:rPr>
        <w:t>Effectiveness of village banking systems on women’s welfare</w:t>
      </w:r>
    </w:p>
    <w:p w14:paraId="3E7CF50E" w14:textId="3E263ECA" w:rsidR="00E65112" w:rsidRDefault="00E65112" w:rsidP="00427DC1">
      <w:pPr>
        <w:spacing w:line="360" w:lineRule="auto"/>
        <w:jc w:val="both"/>
        <w:rPr>
          <w:rFonts w:ascii="Times New Roman" w:hAnsi="Times New Roman" w:cs="Times New Roman"/>
          <w:sz w:val="24"/>
          <w:szCs w:val="24"/>
        </w:rPr>
      </w:pPr>
      <w:r w:rsidRPr="00E65112">
        <w:rPr>
          <w:rFonts w:ascii="Times New Roman" w:hAnsi="Times New Roman" w:cs="Times New Roman"/>
          <w:sz w:val="24"/>
          <w:szCs w:val="24"/>
        </w:rPr>
        <w:t xml:space="preserve">The study aimed to explore community responses to various challenges affecting the effectiveness of village banking and identify strategies employed to address these issues. Through the analysis of questionnaires and interviews, </w:t>
      </w:r>
      <w:r w:rsidR="00427DC1">
        <w:rPr>
          <w:rFonts w:ascii="Times New Roman" w:hAnsi="Times New Roman" w:cs="Times New Roman"/>
          <w:sz w:val="24"/>
          <w:szCs w:val="24"/>
        </w:rPr>
        <w:t>three</w:t>
      </w:r>
      <w:r w:rsidRPr="00E65112">
        <w:rPr>
          <w:rFonts w:ascii="Times New Roman" w:hAnsi="Times New Roman" w:cs="Times New Roman"/>
          <w:sz w:val="24"/>
          <w:szCs w:val="24"/>
        </w:rPr>
        <w:t xml:space="preserve"> key themes emerged</w:t>
      </w:r>
      <w:r w:rsidR="00C11EA2">
        <w:rPr>
          <w:rFonts w:ascii="Times New Roman" w:hAnsi="Times New Roman" w:cs="Times New Roman"/>
          <w:sz w:val="24"/>
          <w:szCs w:val="24"/>
        </w:rPr>
        <w:t>.</w:t>
      </w:r>
    </w:p>
    <w:p w14:paraId="5285041C" w14:textId="3C22A062" w:rsidR="00C11EA2" w:rsidRDefault="00287B5E" w:rsidP="00C11EA2">
      <w:pPr>
        <w:keepNext/>
        <w:spacing w:line="360" w:lineRule="auto"/>
        <w:jc w:val="both"/>
      </w:pPr>
      <w:r>
        <w:rPr>
          <w:noProof/>
        </w:rPr>
        <mc:AlternateContent>
          <mc:Choice Requires="wps">
            <w:drawing>
              <wp:anchor distT="0" distB="0" distL="114300" distR="114300" simplePos="0" relativeHeight="251680768" behindDoc="0" locked="0" layoutInCell="1" allowOverlap="1" wp14:anchorId="51A78F32" wp14:editId="2C4BC5F0">
                <wp:simplePos x="0" y="0"/>
                <wp:positionH relativeFrom="column">
                  <wp:posOffset>2393950</wp:posOffset>
                </wp:positionH>
                <wp:positionV relativeFrom="paragraph">
                  <wp:posOffset>41910</wp:posOffset>
                </wp:positionV>
                <wp:extent cx="1473200" cy="914400"/>
                <wp:effectExtent l="0" t="0" r="12700" b="19050"/>
                <wp:wrapNone/>
                <wp:docPr id="23" name="Oval 23"/>
                <wp:cNvGraphicFramePr/>
                <a:graphic xmlns:a="http://schemas.openxmlformats.org/drawingml/2006/main">
                  <a:graphicData uri="http://schemas.microsoft.com/office/word/2010/wordprocessingShape">
                    <wps:wsp>
                      <wps:cNvSpPr/>
                      <wps:spPr>
                        <a:xfrm>
                          <a:off x="0" y="0"/>
                          <a:ext cx="1473200" cy="914400"/>
                        </a:xfrm>
                        <a:prstGeom prst="ellipse">
                          <a:avLst/>
                        </a:prstGeom>
                        <a:ln/>
                      </wps:spPr>
                      <wps:style>
                        <a:lnRef idx="2">
                          <a:schemeClr val="accent3">
                            <a:shade val="50000"/>
                          </a:schemeClr>
                        </a:lnRef>
                        <a:fillRef idx="1">
                          <a:schemeClr val="accent3"/>
                        </a:fillRef>
                        <a:effectRef idx="0">
                          <a:schemeClr val="accent3"/>
                        </a:effectRef>
                        <a:fontRef idx="minor">
                          <a:schemeClr val="lt1"/>
                        </a:fontRef>
                      </wps:style>
                      <wps:txbx>
                        <w:txbxContent>
                          <w:p w14:paraId="5CD007EC" w14:textId="749AE338" w:rsidR="00287B5E" w:rsidRPr="00287B5E" w:rsidRDefault="00287B5E" w:rsidP="00287B5E">
                            <w:pPr>
                              <w:jc w:val="center"/>
                              <w:rPr>
                                <w:color w:val="FFFFFF" w:themeColor="background1"/>
                              </w:rPr>
                            </w:pPr>
                            <w:r w:rsidRPr="00287B5E">
                              <w:rPr>
                                <w:color w:val="FFFFFF" w:themeColor="background1"/>
                              </w:rPr>
                              <w:t>Strategies to enhance village banking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1A78F32" id="Oval 23" o:spid="_x0000_s1027" style="position:absolute;left:0;text-align:left;margin-left:188.5pt;margin-top:3.3pt;width:116pt;height:1in;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" fillcolor="#a5a5a5 [3206]" strokecolor="#525252 [1606]" strokeweight="1pt">
                <v:stroke joinstyle="miter"/>
                <v:textbox>
                  <w:txbxContent>
                    <w:p w14:paraId="5CD007EC" w14:textId="749AE338" w:rsidR="00287B5E" w:rsidRPr="00287B5E" w:rsidRDefault="00287B5E" w:rsidP="00287B5E">
                      <w:pPr>
                        <w:jc w:val="center"/>
                        <w:rPr>
                          <w:color w:val="FFFFFF" w:themeColor="background1"/>
                        </w:rPr>
                      </w:pPr>
                      <w:r w:rsidRPr="00287B5E">
                        <w:rPr>
                          <w:color w:val="FFFFFF" w:themeColor="background1"/>
                        </w:rPr>
                        <w:t>Strategies to enhance village banking</w:t>
                      </w:r>
                    </w:p>
                  </w:txbxContent>
                </v:textbox>
              </v:oval>
            </w:pict>
          </mc:Fallback>
        </mc:AlternateContent>
      </w:r>
    </w:p>
    <w:p w14:paraId="2AD415D8" w14:textId="73B32F18" w:rsidR="00287B5E" w:rsidRDefault="00287B5E" w:rsidP="00C11EA2">
      <w:pPr>
        <w:keepNext/>
        <w:spacing w:line="360" w:lineRule="auto"/>
        <w:jc w:val="both"/>
      </w:pPr>
    </w:p>
    <w:p w14:paraId="2556D437" w14:textId="24ADB43C" w:rsidR="00287B5E" w:rsidRDefault="00287B5E" w:rsidP="00C11EA2">
      <w:pPr>
        <w:keepNext/>
        <w:spacing w:line="360" w:lineRule="auto"/>
        <w:jc w:val="both"/>
      </w:pPr>
      <w:r>
        <w:rPr>
          <w:rFonts w:ascii="Times New Roman" w:hAnsi="Times New Roman" w:cs="Times New Roman"/>
          <w:i/>
          <w:noProof/>
          <w:sz w:val="24"/>
        </w:rPr>
        <mc:AlternateContent>
          <mc:Choice Requires="wps">
            <w:drawing>
              <wp:anchor distT="0" distB="0" distL="114300" distR="114300" simplePos="0" relativeHeight="251682816" behindDoc="0" locked="0" layoutInCell="1" allowOverlap="1" wp14:anchorId="7828B886" wp14:editId="009BEF12">
                <wp:simplePos x="0" y="0"/>
                <wp:positionH relativeFrom="margin">
                  <wp:posOffset>1403350</wp:posOffset>
                </wp:positionH>
                <wp:positionV relativeFrom="paragraph">
                  <wp:posOffset>171450</wp:posOffset>
                </wp:positionV>
                <wp:extent cx="990600" cy="501650"/>
                <wp:effectExtent l="0" t="0" r="19050" b="31750"/>
                <wp:wrapNone/>
                <wp:docPr id="24" name="Straight Connector 24"/>
                <wp:cNvGraphicFramePr/>
                <a:graphic xmlns:a="http://schemas.openxmlformats.org/drawingml/2006/main">
                  <a:graphicData uri="http://schemas.microsoft.com/office/word/2010/wordprocessingShape">
                    <wps:wsp>
                      <wps:cNvCnPr/>
                      <wps:spPr>
                        <a:xfrm flipV="1">
                          <a:off x="0" y="0"/>
                          <a:ext cx="990600" cy="5016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30748D4" id="Straight Connector 24" o:spid="_x0000_s1026" style="position:absolute;flip:y;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0.5pt,13.5pt" to="188.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" strokecolor="#5b9bd5" strokeweight=".5pt">
                <v:stroke joinstyle="miter"/>
                <w10:wrap anchorx="margin"/>
              </v:line>
            </w:pict>
          </mc:Fallback>
        </mc:AlternateContent>
      </w:r>
    </w:p>
    <w:p w14:paraId="0F18062B" w14:textId="36E815DF" w:rsidR="00287B5E" w:rsidRDefault="00287B5E" w:rsidP="00C11EA2">
      <w:pPr>
        <w:keepNext/>
        <w:spacing w:line="360" w:lineRule="auto"/>
        <w:jc w:val="both"/>
      </w:pPr>
      <w:r>
        <w:rPr>
          <w:rFonts w:ascii="Times New Roman" w:hAnsi="Times New Roman" w:cs="Times New Roman"/>
          <w:i/>
          <w:noProof/>
          <w:sz w:val="24"/>
        </w:rPr>
        <mc:AlternateContent>
          <mc:Choice Requires="wps">
            <w:drawing>
              <wp:anchor distT="0" distB="0" distL="114300" distR="114300" simplePos="0" relativeHeight="251684864" behindDoc="0" locked="0" layoutInCell="1" allowOverlap="1" wp14:anchorId="5EE9D330" wp14:editId="507B1F78">
                <wp:simplePos x="0" y="0"/>
                <wp:positionH relativeFrom="margin">
                  <wp:posOffset>3759200</wp:posOffset>
                </wp:positionH>
                <wp:positionV relativeFrom="paragraph">
                  <wp:posOffset>4445</wp:posOffset>
                </wp:positionV>
                <wp:extent cx="927100" cy="393700"/>
                <wp:effectExtent l="0" t="0" r="25400" b="25400"/>
                <wp:wrapNone/>
                <wp:docPr id="27" name="Straight Connector 27"/>
                <wp:cNvGraphicFramePr/>
                <a:graphic xmlns:a="http://schemas.openxmlformats.org/drawingml/2006/main">
                  <a:graphicData uri="http://schemas.microsoft.com/office/word/2010/wordprocessingShape">
                    <wps:wsp>
                      <wps:cNvCnPr/>
                      <wps:spPr>
                        <a:xfrm flipH="1" flipV="1">
                          <a:off x="0" y="0"/>
                          <a:ext cx="927100" cy="39370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3AA67767" id="Straight Connector 27" o:spid="_x0000_s1026" style="position:absolute;flip:x y;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6pt,.35pt" to="369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" strokecolor="#5b9bd5" strokeweight=".5pt">
                <v:stroke joinstyle="miter"/>
                <w10:wrap anchorx="margin"/>
              </v:line>
            </w:pict>
          </mc:Fallback>
        </mc:AlternateContent>
      </w:r>
    </w:p>
    <w:p w14:paraId="0B389361" w14:textId="6165D8B5" w:rsidR="0025788F" w:rsidRDefault="0025788F" w:rsidP="00C11EA2">
      <w:pPr>
        <w:pStyle w:val="Caption"/>
        <w:jc w:val="both"/>
        <w:rPr>
          <w:rFonts w:ascii="Times New Roman" w:hAnsi="Times New Roman" w:cs="Times New Roman"/>
          <w:i w:val="0"/>
          <w:color w:val="auto"/>
          <w:sz w:val="24"/>
        </w:rPr>
      </w:pPr>
      <w:r>
        <w:rPr>
          <w:noProof/>
        </w:rPr>
        <mc:AlternateContent>
          <mc:Choice Requires="wps">
            <w:drawing>
              <wp:anchor distT="0" distB="0" distL="114300" distR="114300" simplePos="0" relativeHeight="251675648" behindDoc="0" locked="0" layoutInCell="1" allowOverlap="1" wp14:anchorId="5B38FC09" wp14:editId="4C825B95">
                <wp:simplePos x="0" y="0"/>
                <wp:positionH relativeFrom="column">
                  <wp:posOffset>4165600</wp:posOffset>
                </wp:positionH>
                <wp:positionV relativeFrom="paragraph">
                  <wp:posOffset>140970</wp:posOffset>
                </wp:positionV>
                <wp:extent cx="1473200" cy="914400"/>
                <wp:effectExtent l="0" t="0" r="12700" b="19050"/>
                <wp:wrapNone/>
                <wp:docPr id="20" name="Oval 20"/>
                <wp:cNvGraphicFramePr/>
                <a:graphic xmlns:a="http://schemas.openxmlformats.org/drawingml/2006/main">
                  <a:graphicData uri="http://schemas.microsoft.com/office/word/2010/wordprocessingShape">
                    <wps:wsp>
                      <wps:cNvSpPr/>
                      <wps:spPr>
                        <a:xfrm>
                          <a:off x="0" y="0"/>
                          <a:ext cx="1473200" cy="914400"/>
                        </a:xfrm>
                        <a:prstGeom prst="ellipse">
                          <a:avLst/>
                        </a:prstGeom>
                        <a:solidFill>
                          <a:srgbClr val="5B9BD5"/>
                        </a:solidFill>
                        <a:ln w="12700" cap="flat" cmpd="sng" algn="ctr">
                          <a:solidFill>
                            <a:srgbClr val="5B9BD5">
                              <a:shade val="50000"/>
                            </a:srgbClr>
                          </a:solidFill>
                          <a:prstDash val="solid"/>
                          <a:miter lim="800000"/>
                        </a:ln>
                        <a:effectLst/>
                      </wps:spPr>
                      <wps:txbx>
                        <w:txbxContent>
                          <w:p w14:paraId="4EF09C43" w14:textId="071DB225" w:rsidR="0025788F" w:rsidRPr="0025788F" w:rsidRDefault="0025788F" w:rsidP="0025788F">
                            <w:pPr>
                              <w:jc w:val="center"/>
                              <w:rPr>
                                <w:color w:val="FFFFFF" w:themeColor="background1"/>
                              </w:rPr>
                            </w:pPr>
                            <w:r w:rsidRPr="0025788F">
                              <w:rPr>
                                <w:color w:val="FFFFFF" w:themeColor="background1"/>
                              </w:rPr>
                              <w:t>Clear rules and regulations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B38FC09" id="Oval 20" o:spid="_x0000_s1028" style="position:absolute;left:0;text-align:left;margin-left:328pt;margin-top:11.1pt;width:116pt;height:1in;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" fillcolor="#5b9bd5" strokecolor="#41719c" strokeweight="1pt">
                <v:stroke joinstyle="miter"/>
                <v:textbox>
                  <w:txbxContent>
                    <w:p w14:paraId="4EF09C43" w14:textId="071DB225" w:rsidR="0025788F" w:rsidRPr="0025788F" w:rsidRDefault="0025788F" w:rsidP="0025788F">
                      <w:pPr>
                        <w:jc w:val="center"/>
                        <w:rPr>
                          <w:color w:val="FFFFFF" w:themeColor="background1"/>
                        </w:rPr>
                      </w:pPr>
                      <w:r w:rsidRPr="0025788F">
                        <w:rPr>
                          <w:color w:val="FFFFFF" w:themeColor="background1"/>
                        </w:rPr>
                        <w:t>Clear rules and regulations</w:t>
                      </w:r>
                    </w:p>
                  </w:txbxContent>
                </v:textbox>
              </v:oval>
            </w:pict>
          </mc:Fallback>
        </mc:AlternateContent>
      </w:r>
      <w:r>
        <w:rPr>
          <w:noProof/>
        </w:rPr>
        <mc:AlternateContent>
          <mc:Choice Requires="wps">
            <w:drawing>
              <wp:anchor distT="0" distB="0" distL="114300" distR="114300" simplePos="0" relativeHeight="251673600" behindDoc="0" locked="0" layoutInCell="1" allowOverlap="1" wp14:anchorId="21982A5A" wp14:editId="08D3E9F2">
                <wp:simplePos x="0" y="0"/>
                <wp:positionH relativeFrom="column">
                  <wp:posOffset>2419350</wp:posOffset>
                </wp:positionH>
                <wp:positionV relativeFrom="paragraph">
                  <wp:posOffset>137160</wp:posOffset>
                </wp:positionV>
                <wp:extent cx="1473200" cy="914400"/>
                <wp:effectExtent l="0" t="0" r="12700" b="19050"/>
                <wp:wrapNone/>
                <wp:docPr id="18" name="Oval 18"/>
                <wp:cNvGraphicFramePr/>
                <a:graphic xmlns:a="http://schemas.openxmlformats.org/drawingml/2006/main">
                  <a:graphicData uri="http://schemas.microsoft.com/office/word/2010/wordprocessingShape">
                    <wps:wsp>
                      <wps:cNvSpPr/>
                      <wps:spPr>
                        <a:xfrm>
                          <a:off x="0" y="0"/>
                          <a:ext cx="1473200" cy="914400"/>
                        </a:xfrm>
                        <a:prstGeom prst="ellipse">
                          <a:avLst/>
                        </a:prstGeom>
                        <a:solidFill>
                          <a:srgbClr val="5B9BD5"/>
                        </a:solidFill>
                        <a:ln w="12700" cap="flat" cmpd="sng" algn="ctr">
                          <a:solidFill>
                            <a:srgbClr val="5B9BD5">
                              <a:shade val="50000"/>
                            </a:srgbClr>
                          </a:solidFill>
                          <a:prstDash val="solid"/>
                          <a:miter lim="800000"/>
                        </a:ln>
                        <a:effectLst/>
                      </wps:spPr>
                      <wps:txbx>
                        <w:txbxContent>
                          <w:p w14:paraId="17F780EA" w14:textId="14C7B8CD" w:rsidR="0025788F" w:rsidRPr="0025788F" w:rsidRDefault="0025788F" w:rsidP="0025788F">
                            <w:pPr>
                              <w:jc w:val="center"/>
                              <w:rPr>
                                <w:color w:val="FFFFFF" w:themeColor="background1"/>
                              </w:rPr>
                            </w:pPr>
                            <w:r w:rsidRPr="0025788F">
                              <w:rPr>
                                <w:color w:val="FFFFFF" w:themeColor="background1"/>
                              </w:rPr>
                              <w:t>Record Keeping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1982A5A" id="Oval 18" o:spid="_x0000_s1029" style="position:absolute;left:0;text-align:left;margin-left:190.5pt;margin-top:10.8pt;width:116pt;height:1in;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" fillcolor="#5b9bd5" strokecolor="#41719c" strokeweight="1pt">
                <v:stroke joinstyle="miter"/>
                <v:textbox>
                  <w:txbxContent>
                    <w:p w14:paraId="17F780EA" w14:textId="14C7B8CD" w:rsidR="0025788F" w:rsidRPr="0025788F" w:rsidRDefault="0025788F" w:rsidP="0025788F">
                      <w:pPr>
                        <w:jc w:val="center"/>
                        <w:rPr>
                          <w:color w:val="FFFFFF" w:themeColor="background1"/>
                        </w:rPr>
                      </w:pPr>
                      <w:r w:rsidRPr="0025788F">
                        <w:rPr>
                          <w:color w:val="FFFFFF" w:themeColor="background1"/>
                        </w:rPr>
                        <w:t>Record Keeping</w:t>
                      </w:r>
                    </w:p>
                  </w:txbxContent>
                </v:textbox>
              </v:oval>
            </w:pict>
          </mc:Fallback>
        </mc:AlternateContent>
      </w:r>
      <w:r>
        <w:rPr>
          <w:noProof/>
        </w:rPr>
        <mc:AlternateContent>
          <mc:Choice Requires="wps">
            <w:drawing>
              <wp:anchor distT="0" distB="0" distL="114300" distR="114300" simplePos="0" relativeHeight="251671552" behindDoc="0" locked="0" layoutInCell="1" allowOverlap="1" wp14:anchorId="0551826B" wp14:editId="748FA94E">
                <wp:simplePos x="0" y="0"/>
                <wp:positionH relativeFrom="column">
                  <wp:posOffset>565150</wp:posOffset>
                </wp:positionH>
                <wp:positionV relativeFrom="paragraph">
                  <wp:posOffset>180975</wp:posOffset>
                </wp:positionV>
                <wp:extent cx="1473200" cy="914400"/>
                <wp:effectExtent l="0" t="0" r="12700" b="19050"/>
                <wp:wrapNone/>
                <wp:docPr id="17" name="Oval 17"/>
                <wp:cNvGraphicFramePr/>
                <a:graphic xmlns:a="http://schemas.openxmlformats.org/drawingml/2006/main">
                  <a:graphicData uri="http://schemas.microsoft.com/office/word/2010/wordprocessingShape">
                    <wps:wsp>
                      <wps:cNvSpPr/>
                      <wps:spPr>
                        <a:xfrm>
                          <a:off x="0" y="0"/>
                          <a:ext cx="1473200" cy="914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2D6347" w14:textId="4F004CAC" w:rsidR="0025788F" w:rsidRDefault="0025788F" w:rsidP="0025788F">
                            <w:pPr>
                              <w:jc w:val="center"/>
                            </w:pPr>
                            <w:r>
                              <w:t>Financial Education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551826B" id="Oval 17" o:spid="_x0000_s1030" style="position:absolute;left:0;text-align:left;margin-left:44.5pt;margin-top:14.25pt;width:116pt;height:1in;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" fillcolor="#5b9bd5 [3204]" strokecolor="#1f4d78 [1604]" strokeweight="1pt">
                <v:stroke joinstyle="miter"/>
                <v:textbox>
                  <w:txbxContent>
                    <w:p w14:paraId="5A2D6347" w14:textId="4F004CAC" w:rsidR="0025788F" w:rsidRDefault="0025788F" w:rsidP="0025788F">
                      <w:pPr>
                        <w:jc w:val="center"/>
                      </w:pPr>
                      <w:r>
                        <w:t>Financial Education</w:t>
                      </w:r>
                    </w:p>
                  </w:txbxContent>
                </v:textbox>
              </v:oval>
            </w:pict>
          </mc:Fallback>
        </mc:AlternateContent>
      </w:r>
    </w:p>
    <w:p w14:paraId="147AAE5B" w14:textId="1B50A753" w:rsidR="0025788F" w:rsidRDefault="0025788F" w:rsidP="00C11EA2">
      <w:pPr>
        <w:pStyle w:val="Caption"/>
        <w:jc w:val="both"/>
        <w:rPr>
          <w:rFonts w:ascii="Times New Roman" w:hAnsi="Times New Roman" w:cs="Times New Roman"/>
          <w:i w:val="0"/>
          <w:color w:val="auto"/>
          <w:sz w:val="24"/>
        </w:rPr>
      </w:pPr>
    </w:p>
    <w:p w14:paraId="417FA2CA" w14:textId="002FDF91" w:rsidR="0025788F" w:rsidRDefault="00287B5E" w:rsidP="00C11EA2">
      <w:pPr>
        <w:pStyle w:val="Caption"/>
        <w:jc w:val="both"/>
        <w:rPr>
          <w:rFonts w:ascii="Times New Roman" w:hAnsi="Times New Roman" w:cs="Times New Roman"/>
          <w:i w:val="0"/>
          <w:color w:val="auto"/>
          <w:sz w:val="24"/>
        </w:rPr>
      </w:pPr>
      <w:r>
        <w:rPr>
          <w:rFonts w:ascii="Times New Roman" w:hAnsi="Times New Roman" w:cs="Times New Roman"/>
          <w:i w:val="0"/>
          <w:noProof/>
          <w:color w:val="auto"/>
          <w:sz w:val="24"/>
        </w:rPr>
        <mc:AlternateContent>
          <mc:Choice Requires="wps">
            <w:drawing>
              <wp:anchor distT="0" distB="0" distL="114300" distR="114300" simplePos="0" relativeHeight="251676672" behindDoc="0" locked="0" layoutInCell="1" allowOverlap="1" wp14:anchorId="4608E265" wp14:editId="3A3C5082">
                <wp:simplePos x="0" y="0"/>
                <wp:positionH relativeFrom="column">
                  <wp:posOffset>2101850</wp:posOffset>
                </wp:positionH>
                <wp:positionV relativeFrom="paragraph">
                  <wp:posOffset>6985</wp:posOffset>
                </wp:positionV>
                <wp:extent cx="254000" cy="6350"/>
                <wp:effectExtent l="0" t="0" r="31750" b="31750"/>
                <wp:wrapNone/>
                <wp:docPr id="21" name="Straight Connector 21"/>
                <wp:cNvGraphicFramePr/>
                <a:graphic xmlns:a="http://schemas.openxmlformats.org/drawingml/2006/main">
                  <a:graphicData uri="http://schemas.microsoft.com/office/word/2010/wordprocessingShape">
                    <wps:wsp>
                      <wps:cNvCnPr/>
                      <wps:spPr>
                        <a:xfrm flipV="1">
                          <a:off x="0" y="0"/>
                          <a:ext cx="25400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1191D34" id="Straight Connector 21" o:spid="_x0000_s1026" style="position:absolute;flip:y;z-index:251676672;visibility:visible;mso-wrap-style:square;mso-wrap-distance-left:9pt;mso-wrap-distance-top:0;mso-wrap-distance-right:9pt;mso-wrap-distance-bottom:0;mso-position-horizontal:absolute;mso-position-horizontal-relative:text;mso-position-vertical:absolute;mso-position-vertical-relative:text" from="165.5pt,.55pt" to="185.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" strokecolor="#5b9bd5 [3204]" strokeweight=".5pt">
                <v:stroke joinstyle="miter"/>
              </v:line>
            </w:pict>
          </mc:Fallback>
        </mc:AlternateContent>
      </w:r>
      <w:r>
        <w:rPr>
          <w:rFonts w:ascii="Times New Roman" w:hAnsi="Times New Roman" w:cs="Times New Roman"/>
          <w:i w:val="0"/>
          <w:noProof/>
          <w:color w:val="auto"/>
          <w:sz w:val="24"/>
        </w:rPr>
        <mc:AlternateContent>
          <mc:Choice Requires="wps">
            <w:drawing>
              <wp:anchor distT="0" distB="0" distL="114300" distR="114300" simplePos="0" relativeHeight="251678720" behindDoc="0" locked="0" layoutInCell="1" allowOverlap="1" wp14:anchorId="775C9547" wp14:editId="39B91A27">
                <wp:simplePos x="0" y="0"/>
                <wp:positionH relativeFrom="column">
                  <wp:posOffset>3911600</wp:posOffset>
                </wp:positionH>
                <wp:positionV relativeFrom="paragraph">
                  <wp:posOffset>6350</wp:posOffset>
                </wp:positionV>
                <wp:extent cx="254000" cy="6350"/>
                <wp:effectExtent l="0" t="0" r="31750" b="31750"/>
                <wp:wrapNone/>
                <wp:docPr id="22" name="Straight Connector 22"/>
                <wp:cNvGraphicFramePr/>
                <a:graphic xmlns:a="http://schemas.openxmlformats.org/drawingml/2006/main">
                  <a:graphicData uri="http://schemas.microsoft.com/office/word/2010/wordprocessingShape">
                    <wps:wsp>
                      <wps:cNvCnPr/>
                      <wps:spPr>
                        <a:xfrm flipV="1">
                          <a:off x="0" y="0"/>
                          <a:ext cx="254000" cy="6350"/>
                        </a:xfrm>
                        <a:prstGeom prst="line">
                          <a:avLst/>
                        </a:prstGeom>
                        <a:noFill/>
                        <a:ln w="6350" cap="flat" cmpd="sng" algn="ctr">
                          <a:solidFill>
                            <a:srgbClr val="5B9BD5"/>
                          </a:solidFill>
                          <a:prstDash val="solid"/>
                          <a:miter lim="800000"/>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236FEEE" id="Straight Connector 22" o:spid="_x0000_s1026" style="position:absolute;flip:y;z-index:251678720;visibility:visible;mso-wrap-style:square;mso-wrap-distance-left:9pt;mso-wrap-distance-top:0;mso-wrap-distance-right:9pt;mso-wrap-distance-bottom:0;mso-position-horizontal:absolute;mso-position-horizontal-relative:text;mso-position-vertical:absolute;mso-position-vertical-relative:text" from="308pt,.5pt" to="32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" strokecolor="#5b9bd5" strokeweight=".5pt">
                <v:stroke joinstyle="miter"/>
              </v:line>
            </w:pict>
          </mc:Fallback>
        </mc:AlternateContent>
      </w:r>
    </w:p>
    <w:p w14:paraId="5894EF08" w14:textId="77777777" w:rsidR="0025788F" w:rsidRDefault="0025788F" w:rsidP="00C11EA2">
      <w:pPr>
        <w:pStyle w:val="Caption"/>
        <w:jc w:val="both"/>
        <w:rPr>
          <w:rFonts w:ascii="Times New Roman" w:hAnsi="Times New Roman" w:cs="Times New Roman"/>
          <w:i w:val="0"/>
          <w:color w:val="auto"/>
          <w:sz w:val="24"/>
        </w:rPr>
      </w:pPr>
    </w:p>
    <w:p w14:paraId="64A2E2F7" w14:textId="77777777" w:rsidR="0025788F" w:rsidRDefault="0025788F" w:rsidP="00C11EA2">
      <w:pPr>
        <w:pStyle w:val="Caption"/>
        <w:jc w:val="both"/>
        <w:rPr>
          <w:rFonts w:ascii="Times New Roman" w:hAnsi="Times New Roman" w:cs="Times New Roman"/>
          <w:i w:val="0"/>
          <w:color w:val="auto"/>
          <w:sz w:val="24"/>
        </w:rPr>
      </w:pPr>
    </w:p>
    <w:p w14:paraId="0653D55C" w14:textId="77777777" w:rsidR="0026014D" w:rsidRDefault="00C11EA2" w:rsidP="0026014D">
      <w:pPr>
        <w:pStyle w:val="Caption"/>
        <w:spacing w:after="0"/>
        <w:jc w:val="both"/>
        <w:rPr>
          <w:rFonts w:ascii="Times New Roman" w:hAnsi="Times New Roman" w:cs="Times New Roman"/>
          <w:i w:val="0"/>
          <w:color w:val="auto"/>
          <w:sz w:val="24"/>
        </w:rPr>
      </w:pPr>
      <w:r w:rsidRPr="00C11EA2">
        <w:rPr>
          <w:rFonts w:ascii="Times New Roman" w:hAnsi="Times New Roman" w:cs="Times New Roman"/>
          <w:i w:val="0"/>
          <w:color w:val="auto"/>
          <w:sz w:val="24"/>
        </w:rPr>
        <w:t xml:space="preserve">Figure </w:t>
      </w:r>
      <w:r w:rsidRPr="00C11EA2">
        <w:rPr>
          <w:rFonts w:ascii="Times New Roman" w:hAnsi="Times New Roman" w:cs="Times New Roman"/>
          <w:i w:val="0"/>
          <w:color w:val="auto"/>
          <w:sz w:val="24"/>
        </w:rPr>
        <w:fldChar w:fldCharType="begin"/>
      </w:r>
      <w:r w:rsidRPr="00C11EA2">
        <w:rPr>
          <w:rFonts w:ascii="Times New Roman" w:hAnsi="Times New Roman" w:cs="Times New Roman"/>
          <w:i w:val="0"/>
          <w:color w:val="auto"/>
          <w:sz w:val="24"/>
        </w:rPr>
        <w:instrText xml:space="preserve"> SEQ Figure \* ARABIC </w:instrText>
      </w:r>
      <w:r w:rsidRPr="00C11EA2">
        <w:rPr>
          <w:rFonts w:ascii="Times New Roman" w:hAnsi="Times New Roman" w:cs="Times New Roman"/>
          <w:i w:val="0"/>
          <w:color w:val="auto"/>
          <w:sz w:val="24"/>
        </w:rPr>
        <w:fldChar w:fldCharType="separate"/>
      </w:r>
      <w:r w:rsidRPr="00C11EA2">
        <w:rPr>
          <w:rFonts w:ascii="Times New Roman" w:hAnsi="Times New Roman" w:cs="Times New Roman"/>
          <w:i w:val="0"/>
          <w:noProof/>
          <w:color w:val="auto"/>
          <w:sz w:val="24"/>
        </w:rPr>
        <w:t>11</w:t>
      </w:r>
      <w:r w:rsidRPr="00C11EA2">
        <w:rPr>
          <w:rFonts w:ascii="Times New Roman" w:hAnsi="Times New Roman" w:cs="Times New Roman"/>
          <w:i w:val="0"/>
          <w:color w:val="auto"/>
          <w:sz w:val="24"/>
        </w:rPr>
        <w:fldChar w:fldCharType="end"/>
      </w:r>
      <w:r w:rsidRPr="00C11EA2">
        <w:rPr>
          <w:rFonts w:ascii="Times New Roman" w:hAnsi="Times New Roman" w:cs="Times New Roman"/>
          <w:i w:val="0"/>
          <w:color w:val="auto"/>
          <w:sz w:val="24"/>
        </w:rPr>
        <w:t>: Strategies to Enhance Village Banking</w:t>
      </w:r>
      <w:r w:rsidR="0026014D">
        <w:rPr>
          <w:rFonts w:ascii="Times New Roman" w:hAnsi="Times New Roman" w:cs="Times New Roman"/>
          <w:i w:val="0"/>
          <w:color w:val="auto"/>
          <w:sz w:val="24"/>
        </w:rPr>
        <w:t xml:space="preserve"> </w:t>
      </w:r>
    </w:p>
    <w:p w14:paraId="6E05012C" w14:textId="557BB822" w:rsidR="00427DC1" w:rsidRPr="0026014D" w:rsidRDefault="00C11EA2" w:rsidP="0026014D">
      <w:pPr>
        <w:pStyle w:val="Caption"/>
        <w:spacing w:after="0"/>
        <w:jc w:val="both"/>
        <w:rPr>
          <w:rFonts w:ascii="Times New Roman" w:hAnsi="Times New Roman" w:cs="Times New Roman"/>
          <w:i w:val="0"/>
          <w:color w:val="auto"/>
          <w:sz w:val="24"/>
        </w:rPr>
      </w:pPr>
      <w:r w:rsidRPr="00C11EA2">
        <w:rPr>
          <w:rFonts w:ascii="Times New Roman" w:hAnsi="Times New Roman" w:cs="Times New Roman"/>
          <w:sz w:val="24"/>
        </w:rPr>
        <w:t>Source: Field work, 2023</w:t>
      </w:r>
    </w:p>
    <w:p w14:paraId="02065F08" w14:textId="77777777" w:rsidR="00C11EA2" w:rsidRDefault="00C11EA2" w:rsidP="0026014D">
      <w:pPr>
        <w:spacing w:before="240" w:after="240" w:line="360" w:lineRule="auto"/>
        <w:jc w:val="both"/>
        <w:rPr>
          <w:rFonts w:ascii="Times New Roman" w:hAnsi="Times New Roman" w:cs="Times New Roman"/>
          <w:sz w:val="24"/>
          <w:szCs w:val="24"/>
        </w:rPr>
      </w:pPr>
      <w:r w:rsidRPr="00C11EA2">
        <w:rPr>
          <w:rFonts w:ascii="Times New Roman" w:hAnsi="Times New Roman" w:cs="Times New Roman"/>
          <w:sz w:val="24"/>
          <w:szCs w:val="24"/>
        </w:rPr>
        <w:t xml:space="preserve">To </w:t>
      </w:r>
      <w:r>
        <w:rPr>
          <w:rFonts w:ascii="Times New Roman" w:hAnsi="Times New Roman" w:cs="Times New Roman"/>
          <w:sz w:val="24"/>
          <w:szCs w:val="24"/>
        </w:rPr>
        <w:t>improve</w:t>
      </w:r>
      <w:r w:rsidRPr="00C11EA2">
        <w:rPr>
          <w:rFonts w:ascii="Times New Roman" w:hAnsi="Times New Roman" w:cs="Times New Roman"/>
          <w:sz w:val="24"/>
          <w:szCs w:val="24"/>
        </w:rPr>
        <w:t xml:space="preserve"> the contribution of village banking to women's welfare, participants emphasized three pivotal themes: financial education, comprehensive record-keeping, and transparent rules and regulations. Financial education initiatives were seen as essential for empowering women with the knowledge and skills needed to make informed financial decisions, manage resources effectively, and navigate the complexities of borrowing and investment. Adequate record-keeping practices were identified as crucial for maintaining transparency, accountability, and trust within village banking groups, enabling accurate tracking of financial transactions and ensuring fair and equitable </w:t>
      </w:r>
      <w:r w:rsidRPr="00C11EA2">
        <w:rPr>
          <w:rFonts w:ascii="Times New Roman" w:hAnsi="Times New Roman" w:cs="Times New Roman"/>
          <w:sz w:val="24"/>
          <w:szCs w:val="24"/>
        </w:rPr>
        <w:lastRenderedPageBreak/>
        <w:t>distribution of resources. Moreover, clear and well-defined rules and regulations were highlighted as vital for establishing a supportive and structured environment conducive to women's participation and success in village banking initiatives. These themes underscored the importance of empowering women with the necessary tools, knowledge, and regulatory frameworks to maximize the benefits of village banking and advance their welfare and socio-economic empowerment.</w:t>
      </w:r>
    </w:p>
    <w:p w14:paraId="199E50AF" w14:textId="77777777" w:rsidR="0025788F" w:rsidRPr="0025788F" w:rsidRDefault="0025788F" w:rsidP="0026014D">
      <w:pPr>
        <w:spacing w:before="240" w:after="240" w:line="360" w:lineRule="auto"/>
        <w:jc w:val="both"/>
        <w:rPr>
          <w:rFonts w:ascii="Times New Roman" w:hAnsi="Times New Roman" w:cs="Times New Roman"/>
          <w:i/>
          <w:sz w:val="24"/>
          <w:szCs w:val="24"/>
        </w:rPr>
      </w:pPr>
      <w:r w:rsidRPr="0025788F">
        <w:rPr>
          <w:rFonts w:ascii="Times New Roman" w:hAnsi="Times New Roman" w:cs="Times New Roman"/>
          <w:sz w:val="24"/>
          <w:szCs w:val="24"/>
        </w:rPr>
        <w:t xml:space="preserve">One of the respondent articulated </w:t>
      </w:r>
      <w:r w:rsidRPr="0025788F">
        <w:rPr>
          <w:rFonts w:ascii="Times New Roman" w:hAnsi="Times New Roman" w:cs="Times New Roman"/>
          <w:i/>
          <w:sz w:val="24"/>
          <w:szCs w:val="24"/>
        </w:rPr>
        <w:t>“When I just joined my first village banking group I faced struggles and hardships when it came to managing my finances. Many of us were raised in families where financial education was non-existent. We grew up with little knowledge of budgeting, saving, or making wise investments. Consequently, these skills are not instinctive to us and often lead to poor financial decisions.</w:t>
      </w:r>
    </w:p>
    <w:p w14:paraId="698A09DC" w14:textId="77777777" w:rsidR="0025788F" w:rsidRPr="0025788F" w:rsidRDefault="0025788F" w:rsidP="0026014D">
      <w:pPr>
        <w:spacing w:before="240" w:after="240" w:line="360" w:lineRule="auto"/>
        <w:jc w:val="both"/>
        <w:rPr>
          <w:rFonts w:ascii="Times New Roman" w:hAnsi="Times New Roman" w:cs="Times New Roman"/>
          <w:i/>
          <w:sz w:val="24"/>
          <w:szCs w:val="24"/>
        </w:rPr>
      </w:pPr>
      <w:r w:rsidRPr="0025788F">
        <w:rPr>
          <w:rFonts w:ascii="Times New Roman" w:hAnsi="Times New Roman" w:cs="Times New Roman"/>
          <w:i/>
          <w:sz w:val="24"/>
          <w:szCs w:val="24"/>
        </w:rPr>
        <w:t>There was a time when I invested a significant portion of her savings in a business venture without fully understanding the risks involved. Unfortunately, the venture failed, leaving me with considerable debt and a devastated sense of hope. I knew my story was just like many others in our community, who often make financial decisions without adequate knowledge or support.</w:t>
      </w:r>
    </w:p>
    <w:p w14:paraId="6FA93747" w14:textId="77777777" w:rsidR="0025788F" w:rsidRPr="0025788F" w:rsidRDefault="0025788F" w:rsidP="0026014D">
      <w:pPr>
        <w:spacing w:before="240" w:after="240" w:line="360" w:lineRule="auto"/>
        <w:jc w:val="both"/>
        <w:rPr>
          <w:rFonts w:ascii="Times New Roman" w:hAnsi="Times New Roman" w:cs="Times New Roman"/>
          <w:i/>
          <w:sz w:val="24"/>
          <w:szCs w:val="24"/>
        </w:rPr>
      </w:pPr>
      <w:r w:rsidRPr="0025788F">
        <w:rPr>
          <w:rFonts w:ascii="Times New Roman" w:hAnsi="Times New Roman" w:cs="Times New Roman"/>
          <w:i/>
          <w:sz w:val="24"/>
          <w:szCs w:val="24"/>
        </w:rPr>
        <w:t>With no experience with financial matters and the fear of losing what little money I had was overwhelmed. Until one of the group's leaders, a knowledgeable and experienced woman named Fatima (name withheld), recognized the need for financial training within our community.</w:t>
      </w:r>
    </w:p>
    <w:p w14:paraId="49BA9062" w14:textId="77777777" w:rsidR="0025788F" w:rsidRPr="0025788F" w:rsidRDefault="0025788F" w:rsidP="0026014D">
      <w:pPr>
        <w:spacing w:before="240" w:after="240" w:line="360" w:lineRule="auto"/>
        <w:jc w:val="both"/>
        <w:rPr>
          <w:rFonts w:ascii="Times New Roman" w:hAnsi="Times New Roman" w:cs="Times New Roman"/>
          <w:i/>
          <w:sz w:val="24"/>
          <w:szCs w:val="24"/>
        </w:rPr>
      </w:pPr>
      <w:r w:rsidRPr="0025788F">
        <w:rPr>
          <w:rFonts w:ascii="Times New Roman" w:hAnsi="Times New Roman" w:cs="Times New Roman"/>
          <w:i/>
          <w:sz w:val="24"/>
          <w:szCs w:val="24"/>
        </w:rPr>
        <w:t>She organized regular sessions on financial literacy, teaching us basic concepts like budgeting, saving, and debt management. Fatima patiently explained how to differentiate between wants and needs, and how to prioritize our expenses to ensure financial stability. These sessions were eye-opening for all of us, and we soon realized that financial independence was within our grasp (Respondent 4).</w:t>
      </w:r>
    </w:p>
    <w:p w14:paraId="1541E788" w14:textId="77777777" w:rsidR="0025788F" w:rsidRPr="0025788F" w:rsidRDefault="0025788F" w:rsidP="0026014D">
      <w:pPr>
        <w:spacing w:before="240" w:after="240" w:line="360" w:lineRule="auto"/>
        <w:jc w:val="both"/>
        <w:rPr>
          <w:rFonts w:ascii="Times New Roman" w:hAnsi="Times New Roman" w:cs="Times New Roman"/>
          <w:sz w:val="24"/>
          <w:szCs w:val="24"/>
        </w:rPr>
      </w:pPr>
      <w:r w:rsidRPr="0025788F">
        <w:rPr>
          <w:rFonts w:ascii="Times New Roman" w:hAnsi="Times New Roman" w:cs="Times New Roman"/>
          <w:sz w:val="24"/>
          <w:szCs w:val="24"/>
        </w:rPr>
        <w:t xml:space="preserve">The narrative emphasized that financial training played a vital role in the success and sustainability of village banks. By equipping members with knowledge and skills related to money management, budgeting, savings, and investment, they are empowered to navigate the complex financial landscape with confidence. </w:t>
      </w:r>
    </w:p>
    <w:p w14:paraId="5F5339F7" w14:textId="6CA56962" w:rsidR="007F7EFD" w:rsidRPr="00AB21C8" w:rsidRDefault="0025788F" w:rsidP="0026014D">
      <w:pPr>
        <w:spacing w:before="240" w:after="240" w:line="360" w:lineRule="auto"/>
        <w:jc w:val="both"/>
        <w:rPr>
          <w:rFonts w:ascii="Times New Roman" w:hAnsi="Times New Roman" w:cs="Times New Roman"/>
          <w:sz w:val="24"/>
          <w:szCs w:val="24"/>
        </w:rPr>
      </w:pPr>
      <w:r w:rsidRPr="0025788F">
        <w:rPr>
          <w:rFonts w:ascii="Times New Roman" w:hAnsi="Times New Roman" w:cs="Times New Roman"/>
          <w:sz w:val="24"/>
          <w:szCs w:val="24"/>
        </w:rPr>
        <w:lastRenderedPageBreak/>
        <w:t>The researcher was able to observe that women who had not received financial training demonstrated lower levels of financial literacy, often struggled with basic concepts like budgeting and accumulation of savings expressed lower levels of confidence in their ability to manage personal finances effectively, and lacked the initiative to explore additional income-generating opportunities. These women spent their loans on expenditure activities and not income-generating activities.</w:t>
      </w:r>
    </w:p>
    <w:p w14:paraId="341F2E82" w14:textId="77777777" w:rsidR="00984530" w:rsidRDefault="00D05A70" w:rsidP="0026014D">
      <w:pPr>
        <w:numPr>
          <w:ilvl w:val="0"/>
          <w:numId w:val="12"/>
        </w:numPr>
        <w:spacing w:line="360" w:lineRule="auto"/>
        <w:jc w:val="both"/>
        <w:rPr>
          <w:rFonts w:ascii="Times New Roman" w:hAnsi="Times New Roman" w:cs="Times New Roman"/>
          <w:b/>
          <w:sz w:val="24"/>
          <w:szCs w:val="24"/>
        </w:rPr>
      </w:pPr>
      <w:r w:rsidRPr="00AB21C8">
        <w:rPr>
          <w:rFonts w:ascii="Times New Roman" w:hAnsi="Times New Roman" w:cs="Times New Roman"/>
          <w:b/>
          <w:sz w:val="24"/>
          <w:szCs w:val="24"/>
        </w:rPr>
        <w:t>DISCUSSION</w:t>
      </w:r>
    </w:p>
    <w:p w14:paraId="0D3DD58C" w14:textId="77777777" w:rsidR="00984530" w:rsidRDefault="00984530" w:rsidP="0026014D">
      <w:pPr>
        <w:spacing w:after="240" w:line="360" w:lineRule="auto"/>
        <w:jc w:val="both"/>
        <w:rPr>
          <w:rFonts w:ascii="Times New Roman" w:hAnsi="Times New Roman" w:cs="Times New Roman"/>
          <w:sz w:val="24"/>
          <w:szCs w:val="24"/>
        </w:rPr>
      </w:pPr>
      <w:r w:rsidRPr="00984530">
        <w:rPr>
          <w:rFonts w:ascii="Times New Roman" w:hAnsi="Times New Roman" w:cs="Times New Roman"/>
          <w:sz w:val="24"/>
          <w:szCs w:val="24"/>
        </w:rPr>
        <w:t>Village banking has demonstrated a profound impact on enhancing access to essential services, notably in the realm of healthcare. Participation in these community-based financial initiatives has led to a remarkable increase in access to medical services, with rates soaring from 35% to 80% post-enrollment. This significant improvement is directly linked to the financial stability provided by village banking, enabling participants to afford necessary medical care (Sichilongo &amp; Sinkala, 2021; Sibeso, 2022). The benefits of improved healthcare access extend beyond individuals, positively influencing entire families by alleviating financial strain and stress, especially among those aged 36 and above who often face age-related health challenges (Boyle, 2023; World Health Organization, 2022).</w:t>
      </w:r>
    </w:p>
    <w:p w14:paraId="2C6FF1DB" w14:textId="4F958334" w:rsidR="00984530" w:rsidRDefault="00984530" w:rsidP="0026014D">
      <w:pPr>
        <w:spacing w:before="240" w:after="240" w:line="360" w:lineRule="auto"/>
        <w:jc w:val="both"/>
        <w:rPr>
          <w:rFonts w:ascii="Times New Roman" w:hAnsi="Times New Roman" w:cs="Times New Roman"/>
          <w:sz w:val="24"/>
          <w:szCs w:val="24"/>
        </w:rPr>
      </w:pPr>
      <w:r w:rsidRPr="00984530">
        <w:rPr>
          <w:rFonts w:ascii="Times New Roman" w:hAnsi="Times New Roman" w:cs="Times New Roman"/>
          <w:sz w:val="24"/>
          <w:szCs w:val="24"/>
        </w:rPr>
        <w:t xml:space="preserve">Village banking has not only improved </w:t>
      </w:r>
      <w:r>
        <w:rPr>
          <w:rFonts w:ascii="Times New Roman" w:hAnsi="Times New Roman" w:cs="Times New Roman"/>
          <w:sz w:val="24"/>
          <w:szCs w:val="24"/>
        </w:rPr>
        <w:t>medical</w:t>
      </w:r>
      <w:r w:rsidRPr="00984530">
        <w:rPr>
          <w:rFonts w:ascii="Times New Roman" w:hAnsi="Times New Roman" w:cs="Times New Roman"/>
          <w:sz w:val="24"/>
          <w:szCs w:val="24"/>
        </w:rPr>
        <w:t xml:space="preserve"> access but has also led to a remarkable surge in food security. Participation in these initiatives has elevated food security rates from 40% to 82%, a substantial improvement attributed to the financial support village banking provides. This backing enables investments in agriculture and fosters stable income-generating activities (Khandker et al., 2010). Such progress is particularly impactful for vulnerable groups, including widows and single women, empowering them to secure consistent access to nutritious meals (Karlan et al., 2017). Furthermore, collective efforts within village banking communities, such as community gardens, significantly enhance food security initiatives (Pienaah &amp; Luginaah, 2024).</w:t>
      </w:r>
    </w:p>
    <w:p w14:paraId="112019CE" w14:textId="5D9E2570" w:rsidR="00FA3E3E" w:rsidRPr="00FA3E3E" w:rsidRDefault="00FA3E3E" w:rsidP="0026014D">
      <w:pPr>
        <w:spacing w:before="240" w:after="240" w:line="360" w:lineRule="auto"/>
        <w:jc w:val="both"/>
        <w:rPr>
          <w:rFonts w:ascii="Times New Roman" w:hAnsi="Times New Roman" w:cs="Times New Roman"/>
          <w:sz w:val="24"/>
          <w:szCs w:val="24"/>
        </w:rPr>
      </w:pPr>
      <w:r w:rsidRPr="00FA3E3E">
        <w:rPr>
          <w:rFonts w:ascii="Times New Roman" w:hAnsi="Times New Roman" w:cs="Times New Roman"/>
          <w:sz w:val="24"/>
          <w:szCs w:val="24"/>
        </w:rPr>
        <w:t xml:space="preserve">Moreover, village banking initiatives substantially augmented participants' income levels, providing a platform for women to delve into entrepreneurial activities and venture into small-scale businesses (Addai, 2017; Rahman et al., 2017). However, the sustainability of these enterprises over time may encounter hurdles due to technical expertise challenges (Agyapong et al., 2011). Nevertheless, village banking serves as a catalyst for nurturing entrepreneurial </w:t>
      </w:r>
      <w:r w:rsidRPr="00FA3E3E">
        <w:rPr>
          <w:rFonts w:ascii="Times New Roman" w:hAnsi="Times New Roman" w:cs="Times New Roman"/>
          <w:sz w:val="24"/>
          <w:szCs w:val="24"/>
        </w:rPr>
        <w:lastRenderedPageBreak/>
        <w:t>capabilities, thereby generating employment prospects and fueling economic advancement (Banerjee et al., 2015; Brouwers, 2014).</w:t>
      </w:r>
    </w:p>
    <w:p w14:paraId="4C30A602" w14:textId="1A943EBF" w:rsidR="00984530" w:rsidRDefault="00984530" w:rsidP="0026014D">
      <w:pPr>
        <w:spacing w:before="240" w:after="240" w:line="360" w:lineRule="auto"/>
        <w:jc w:val="both"/>
        <w:rPr>
          <w:rFonts w:ascii="Times New Roman" w:hAnsi="Times New Roman" w:cs="Times New Roman"/>
          <w:sz w:val="24"/>
          <w:szCs w:val="24"/>
        </w:rPr>
      </w:pPr>
      <w:r w:rsidRPr="00984530">
        <w:rPr>
          <w:rFonts w:ascii="Times New Roman" w:hAnsi="Times New Roman" w:cs="Times New Roman"/>
          <w:sz w:val="24"/>
          <w:szCs w:val="24"/>
        </w:rPr>
        <w:t xml:space="preserve">Furthermore, </w:t>
      </w:r>
      <w:r>
        <w:rPr>
          <w:rFonts w:ascii="Times New Roman" w:hAnsi="Times New Roman" w:cs="Times New Roman"/>
          <w:sz w:val="24"/>
          <w:szCs w:val="24"/>
        </w:rPr>
        <w:t xml:space="preserve">the study has revealed that </w:t>
      </w:r>
      <w:r w:rsidRPr="00984530">
        <w:rPr>
          <w:rFonts w:ascii="Times New Roman" w:hAnsi="Times New Roman" w:cs="Times New Roman"/>
          <w:sz w:val="24"/>
          <w:szCs w:val="24"/>
        </w:rPr>
        <w:t>women's engagement in village banking is positively associated with their ability to afford school fees, thereby fostering economic empowerment and financial resilience (Kabeer, 2014; Fletcher &amp; Mesbah, 2010). Through increased income and enhanced financial literacy gained from village banking, women prioritize their children's education, leading to higher rates of school enrollment and completion (Maldonado et al., 2003). Regular interactions within village banking groups also help develop social networks and trust, enabling collective action to meet members' financial needs, including educational expenses (Putnam, 2000</w:t>
      </w:r>
      <w:r w:rsidR="007D4C7F">
        <w:rPr>
          <w:rFonts w:ascii="Times New Roman" w:hAnsi="Times New Roman" w:cs="Times New Roman"/>
          <w:sz w:val="24"/>
          <w:szCs w:val="24"/>
        </w:rPr>
        <w:t>, Mumba, 2016</w:t>
      </w:r>
      <w:r w:rsidRPr="00984530">
        <w:rPr>
          <w:rFonts w:ascii="Times New Roman" w:hAnsi="Times New Roman" w:cs="Times New Roman"/>
          <w:sz w:val="24"/>
          <w:szCs w:val="24"/>
        </w:rPr>
        <w:t>). The economic independence provided by village banking allows unmarried women to prioritize their children's education despite their own educational limitations (Khursheed, 2022). This highlights the crucial role of village banking in improving living standards and promoting inclusive and equitable education, aligning with national development goals (8th National Development Plan, 2022; Bank of Zambia, 2020).</w:t>
      </w:r>
    </w:p>
    <w:p w14:paraId="06993FA6" w14:textId="316B8B1E" w:rsidR="008F6A18" w:rsidRPr="008F6A18" w:rsidRDefault="008F6A18" w:rsidP="0026014D">
      <w:pPr>
        <w:spacing w:before="240" w:after="240" w:line="360" w:lineRule="auto"/>
        <w:jc w:val="both"/>
        <w:rPr>
          <w:rFonts w:ascii="Times New Roman" w:hAnsi="Times New Roman" w:cs="Times New Roman"/>
          <w:sz w:val="24"/>
          <w:szCs w:val="24"/>
        </w:rPr>
      </w:pPr>
      <w:r w:rsidRPr="008F6A18">
        <w:rPr>
          <w:rFonts w:ascii="Times New Roman" w:hAnsi="Times New Roman" w:cs="Times New Roman"/>
          <w:sz w:val="24"/>
          <w:szCs w:val="24"/>
        </w:rPr>
        <w:t>Despite the numerous benefits village banking has provided for women in this community, it is not without its challenges. Loan default has become a significant issue within village banking systems, impacting both individual borrowers and the groups as a whole. Even with the communal and supportive nature of village banking, many participants have disclosed their inability to repay loans (Wahab et al., 2014). This challenges the previous assumptions that microfinance, including village banking, primarily targets women due to their historically low default rates.</w:t>
      </w:r>
    </w:p>
    <w:p w14:paraId="0186DBB9" w14:textId="402B7582" w:rsidR="003C5785" w:rsidRPr="003C5785" w:rsidRDefault="008F6A18" w:rsidP="0026014D">
      <w:pPr>
        <w:spacing w:before="240" w:after="240" w:line="360" w:lineRule="auto"/>
        <w:jc w:val="both"/>
        <w:rPr>
          <w:rFonts w:ascii="Times New Roman" w:hAnsi="Times New Roman" w:cs="Times New Roman"/>
          <w:sz w:val="24"/>
          <w:szCs w:val="24"/>
        </w:rPr>
      </w:pPr>
      <w:r w:rsidRPr="008F6A18">
        <w:rPr>
          <w:rFonts w:ascii="Times New Roman" w:hAnsi="Times New Roman" w:cs="Times New Roman"/>
          <w:sz w:val="24"/>
          <w:szCs w:val="24"/>
        </w:rPr>
        <w:t>The reasons for loan defaults are complex and often stem from a lack of financial literacy and inadequate business planning (Lu et al., 2024). Although most village banking participants have attained a secondary level of education, the ongoing default rates suggest that education alone is not sufficient to prevent defaults. Contributing factors include economic hardships and the misuse of loan funds for consumption purposes (Lweendo, 2022). Addressing these challenges is essential for maintaining the sustainability and effectiveness of village banking initiatives.</w:t>
      </w:r>
      <w:r w:rsidR="003C5785" w:rsidRPr="003C5785">
        <w:rPr>
          <w:rFonts w:ascii="Times New Roman" w:hAnsi="Times New Roman" w:cs="Times New Roman"/>
          <w:sz w:val="24"/>
          <w:szCs w:val="24"/>
        </w:rPr>
        <w:t xml:space="preserve"> Despite some participants having secondary education, the inability to manage loans effectively persisted. Additionally, external factors like natural disasters compounded default risks. Morduch and Armendariz (2005) suggested that social capital, such as trust within communities, influenced </w:t>
      </w:r>
      <w:r w:rsidR="003C5785" w:rsidRPr="003C5785">
        <w:rPr>
          <w:rFonts w:ascii="Times New Roman" w:hAnsi="Times New Roman" w:cs="Times New Roman"/>
          <w:sz w:val="24"/>
          <w:szCs w:val="24"/>
        </w:rPr>
        <w:lastRenderedPageBreak/>
        <w:t>repayment behaviors. However, the erosion of social capital due to high default rates underscored challenges within the village banking framework (Putnam, 2000).</w:t>
      </w:r>
    </w:p>
    <w:p w14:paraId="598C54E2" w14:textId="77777777" w:rsidR="008F6A18" w:rsidRDefault="008F6A18" w:rsidP="0026014D">
      <w:pPr>
        <w:spacing w:before="240" w:after="240" w:line="360" w:lineRule="auto"/>
        <w:jc w:val="both"/>
        <w:rPr>
          <w:rFonts w:ascii="Times New Roman" w:hAnsi="Times New Roman" w:cs="Times New Roman"/>
          <w:sz w:val="24"/>
          <w:szCs w:val="24"/>
        </w:rPr>
      </w:pPr>
      <w:r w:rsidRPr="008F6A18">
        <w:rPr>
          <w:rFonts w:ascii="Times New Roman" w:hAnsi="Times New Roman" w:cs="Times New Roman"/>
          <w:sz w:val="24"/>
          <w:szCs w:val="24"/>
        </w:rPr>
        <w:t>Moreover, short payback periods presented a significant challenge in village banking, representing a considerable hurdle (Sichilongo &amp; Sinkala, 2021). Participants with higher education levels, stable incomes, and previous financial management experience were more likely to repay loans promptly. Conversely, lower levels of education limited financial literacy, resulting in delayed repayments (Levine and Gale, 2011). Unpredictable income sources and a lack of business management experience further compounded challenges in meeting repayment obligations. The shorter repayment periods could heighten the risks of loan delinquency, potentially destabilizing microfinance institutions (Nath et al., 2017; Ansohn, 2018).</w:t>
      </w:r>
    </w:p>
    <w:p w14:paraId="347D335D" w14:textId="180CB471" w:rsidR="0027661C" w:rsidRPr="00507CC7" w:rsidRDefault="008F6A18" w:rsidP="0026014D">
      <w:pPr>
        <w:spacing w:before="240" w:after="240" w:line="360" w:lineRule="auto"/>
        <w:jc w:val="both"/>
        <w:rPr>
          <w:rFonts w:ascii="Times New Roman" w:hAnsi="Times New Roman" w:cs="Times New Roman"/>
          <w:sz w:val="24"/>
          <w:szCs w:val="24"/>
        </w:rPr>
      </w:pPr>
      <w:r w:rsidRPr="008F6A18">
        <w:rPr>
          <w:rFonts w:ascii="Times New Roman" w:hAnsi="Times New Roman" w:cs="Times New Roman"/>
          <w:sz w:val="24"/>
          <w:szCs w:val="24"/>
        </w:rPr>
        <w:t>Additionally, maintaining proper record-keeping practices was crucial for ensuring accountability and the long-term sustainability of village banking. Participants noted accountability and record-keeping as a notable challenge (Putnam, 2000), indicating widespread concerns within village banking communities. According to social capital theory, trust and shared norms are pivotal for successful cooperative efforts. The absence of accurate record-keeping undermined trust among members, gradually eroding social capital within the community (Putnam, 2000).</w:t>
      </w:r>
    </w:p>
    <w:p w14:paraId="6FFB306D" w14:textId="1877EF1C" w:rsidR="00C11EA2" w:rsidRPr="00C11EA2" w:rsidRDefault="005B539B" w:rsidP="0026014D">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The study has also shown that v</w:t>
      </w:r>
      <w:r w:rsidR="00C11EA2" w:rsidRPr="00C11EA2">
        <w:rPr>
          <w:rFonts w:ascii="Times New Roman" w:hAnsi="Times New Roman" w:cs="Times New Roman"/>
          <w:sz w:val="24"/>
          <w:szCs w:val="24"/>
        </w:rPr>
        <w:t>illage banking holds significant meaning for individuals within communities, providing a lifeline for accessing financial services and support that are otherwise inaccessible through traditional banking systems. Participants join village banking primarily to address their financial needs and aspirations, including securing loans for entrepreneurial ventures, improving financial literacy, and fostering economic stability within their households</w:t>
      </w:r>
      <w:r w:rsidRPr="005B539B">
        <w:t xml:space="preserve"> </w:t>
      </w:r>
      <w:r>
        <w:t>(</w:t>
      </w:r>
      <w:r>
        <w:rPr>
          <w:rFonts w:ascii="Times New Roman" w:hAnsi="Times New Roman" w:cs="Times New Roman"/>
          <w:sz w:val="24"/>
          <w:szCs w:val="24"/>
        </w:rPr>
        <w:t xml:space="preserve">Ngwembano, </w:t>
      </w:r>
      <w:r w:rsidRPr="005B539B">
        <w:rPr>
          <w:rFonts w:ascii="Times New Roman" w:hAnsi="Times New Roman" w:cs="Times New Roman"/>
          <w:sz w:val="24"/>
          <w:szCs w:val="24"/>
        </w:rPr>
        <w:t>2023</w:t>
      </w:r>
      <w:r>
        <w:rPr>
          <w:rFonts w:ascii="Times New Roman" w:hAnsi="Times New Roman" w:cs="Times New Roman"/>
          <w:sz w:val="24"/>
          <w:szCs w:val="24"/>
        </w:rPr>
        <w:t>)</w:t>
      </w:r>
      <w:r w:rsidR="00C11EA2" w:rsidRPr="00C11EA2">
        <w:rPr>
          <w:rFonts w:ascii="Times New Roman" w:hAnsi="Times New Roman" w:cs="Times New Roman"/>
          <w:sz w:val="24"/>
          <w:szCs w:val="24"/>
        </w:rPr>
        <w:t xml:space="preserve">. These aspirations are met through various opportunities offered by village banking initiatives, including access to credit, participation in financial education programs, and the establishment of supportive networks within </w:t>
      </w:r>
      <w:r w:rsidR="00C11EA2">
        <w:rPr>
          <w:rFonts w:ascii="Times New Roman" w:hAnsi="Times New Roman" w:cs="Times New Roman"/>
          <w:sz w:val="24"/>
          <w:szCs w:val="24"/>
        </w:rPr>
        <w:t>their communities.</w:t>
      </w:r>
    </w:p>
    <w:p w14:paraId="6EED186B" w14:textId="77777777" w:rsidR="00C11EA2" w:rsidRPr="00C11EA2" w:rsidRDefault="00C11EA2" w:rsidP="0026014D">
      <w:pPr>
        <w:spacing w:before="240" w:after="240" w:line="360" w:lineRule="auto"/>
        <w:jc w:val="both"/>
        <w:rPr>
          <w:rFonts w:ascii="Times New Roman" w:hAnsi="Times New Roman" w:cs="Times New Roman"/>
          <w:sz w:val="24"/>
          <w:szCs w:val="24"/>
        </w:rPr>
      </w:pPr>
      <w:r w:rsidRPr="00C11EA2">
        <w:rPr>
          <w:rFonts w:ascii="Times New Roman" w:hAnsi="Times New Roman" w:cs="Times New Roman"/>
          <w:sz w:val="24"/>
          <w:szCs w:val="24"/>
        </w:rPr>
        <w:t xml:space="preserve">Financial literacy sessions were instrumental in increasing participation rates and overall effectiveness, as emphasized by Lweendo (2022). These sessions covered key topics such as budgeting and loan management, providing participants with essential skills for managing their finances effectively. Combining vocational training with financial education, as highlighted by Ceford (2023), further enhanced the welfare of women within village banking programs. This </w:t>
      </w:r>
      <w:r w:rsidRPr="00C11EA2">
        <w:rPr>
          <w:rFonts w:ascii="Times New Roman" w:hAnsi="Times New Roman" w:cs="Times New Roman"/>
          <w:sz w:val="24"/>
          <w:szCs w:val="24"/>
        </w:rPr>
        <w:lastRenderedPageBreak/>
        <w:t>integration equipped women with technical skills for various income opportunities, thereby bolstering economic stability and community growth. The importance of merging vocational training with financial education to comprehensively enhance village banking was underscored by Karim &amp; Kabeer (2016).</w:t>
      </w:r>
    </w:p>
    <w:p w14:paraId="18CEA521" w14:textId="1A230913" w:rsidR="00C11EA2" w:rsidRPr="00C11EA2" w:rsidRDefault="00C11EA2" w:rsidP="0026014D">
      <w:pPr>
        <w:spacing w:before="240" w:after="240" w:line="360" w:lineRule="auto"/>
        <w:jc w:val="both"/>
        <w:rPr>
          <w:rFonts w:ascii="Times New Roman" w:hAnsi="Times New Roman" w:cs="Times New Roman"/>
          <w:sz w:val="24"/>
          <w:szCs w:val="24"/>
        </w:rPr>
      </w:pPr>
      <w:r w:rsidRPr="00C11EA2">
        <w:rPr>
          <w:rFonts w:ascii="Times New Roman" w:hAnsi="Times New Roman" w:cs="Times New Roman"/>
          <w:sz w:val="24"/>
          <w:szCs w:val="24"/>
        </w:rPr>
        <w:t>Clear rules and regulations played a pivotal role in the success of village banking, fostering transparency, accountability, and legal compliance (Armendáriz &amp; Morduch, 2005). These frameworks supported responsible lending practices, protecting clients</w:t>
      </w:r>
      <w:r w:rsidR="005B539B">
        <w:rPr>
          <w:rFonts w:ascii="Times New Roman" w:hAnsi="Times New Roman" w:cs="Times New Roman"/>
          <w:sz w:val="24"/>
          <w:szCs w:val="24"/>
        </w:rPr>
        <w:t>,</w:t>
      </w:r>
      <w:r w:rsidRPr="00C11EA2">
        <w:rPr>
          <w:rFonts w:ascii="Times New Roman" w:hAnsi="Times New Roman" w:cs="Times New Roman"/>
          <w:sz w:val="24"/>
          <w:szCs w:val="24"/>
        </w:rPr>
        <w:t xml:space="preserve"> and promoting prog</w:t>
      </w:r>
      <w:r w:rsidR="0025788F">
        <w:rPr>
          <w:rFonts w:ascii="Times New Roman" w:hAnsi="Times New Roman" w:cs="Times New Roman"/>
          <w:sz w:val="24"/>
          <w:szCs w:val="24"/>
        </w:rPr>
        <w:t>ram sustainability (Harper, 2017</w:t>
      </w:r>
      <w:r w:rsidRPr="00C11EA2">
        <w:rPr>
          <w:rFonts w:ascii="Times New Roman" w:hAnsi="Times New Roman" w:cs="Times New Roman"/>
          <w:sz w:val="24"/>
          <w:szCs w:val="24"/>
        </w:rPr>
        <w:t>). Regular engagement through consistent meetings positively influenced village banking success (Lweendos, 2022), facilitating effective communication, collective decision-making, and community-building. These gatherings fostered social interaction, trust, and a shared sense of purpose, enhancing cooperation and solidarity, as noted by Putnam (2000).</w:t>
      </w:r>
    </w:p>
    <w:p w14:paraId="4AA197F6" w14:textId="77777777" w:rsidR="00C11EA2" w:rsidRPr="00C11EA2" w:rsidRDefault="00C11EA2" w:rsidP="0026014D">
      <w:pPr>
        <w:spacing w:before="240" w:after="240" w:line="360" w:lineRule="auto"/>
        <w:jc w:val="both"/>
        <w:rPr>
          <w:rFonts w:ascii="Times New Roman" w:hAnsi="Times New Roman" w:cs="Times New Roman"/>
          <w:sz w:val="24"/>
          <w:szCs w:val="24"/>
        </w:rPr>
      </w:pPr>
      <w:r w:rsidRPr="00C11EA2">
        <w:rPr>
          <w:rFonts w:ascii="Times New Roman" w:hAnsi="Times New Roman" w:cs="Times New Roman"/>
          <w:sz w:val="24"/>
          <w:szCs w:val="24"/>
        </w:rPr>
        <w:t>Accurate record-keeping was indispensable for village banking performance, ensuring transparency, trust, and accountability (Lweendo, 2021). It enabled efficient fund management, informed decision-making, and prevented mismanagement and fraud. Transparent practices contributed to the development of social networks and shared norms within the community, further reinforcing trust and accountability (Putnam, 2000).</w:t>
      </w:r>
    </w:p>
    <w:p w14:paraId="1B9E3631" w14:textId="77777777" w:rsidR="00D05A70" w:rsidRPr="00AB21C8" w:rsidRDefault="00D05A70" w:rsidP="00D05A70">
      <w:pPr>
        <w:numPr>
          <w:ilvl w:val="0"/>
          <w:numId w:val="12"/>
        </w:numPr>
        <w:spacing w:line="360" w:lineRule="auto"/>
        <w:jc w:val="both"/>
        <w:rPr>
          <w:rFonts w:ascii="Times New Roman" w:hAnsi="Times New Roman" w:cs="Times New Roman"/>
          <w:b/>
          <w:sz w:val="24"/>
          <w:szCs w:val="24"/>
        </w:rPr>
      </w:pPr>
      <w:r w:rsidRPr="00AB21C8">
        <w:rPr>
          <w:rFonts w:ascii="Times New Roman" w:hAnsi="Times New Roman" w:cs="Times New Roman"/>
          <w:b/>
          <w:sz w:val="24"/>
          <w:szCs w:val="24"/>
        </w:rPr>
        <w:t>CONCLUSION</w:t>
      </w:r>
    </w:p>
    <w:p w14:paraId="1F91C9A6" w14:textId="40AD458B" w:rsidR="00D05A70" w:rsidRDefault="003C5785" w:rsidP="003C5785">
      <w:pPr>
        <w:spacing w:line="360" w:lineRule="auto"/>
        <w:jc w:val="both"/>
        <w:rPr>
          <w:rFonts w:ascii="Times New Roman" w:hAnsi="Times New Roman" w:cs="Times New Roman"/>
          <w:sz w:val="24"/>
          <w:szCs w:val="24"/>
        </w:rPr>
      </w:pPr>
      <w:r w:rsidRPr="003C5785">
        <w:rPr>
          <w:rFonts w:ascii="Times New Roman" w:hAnsi="Times New Roman" w:cs="Times New Roman"/>
          <w:sz w:val="24"/>
          <w:szCs w:val="24"/>
        </w:rPr>
        <w:t xml:space="preserve">The study shed light on the positive impact of village banking initiatives on women in rural communities. Through village banking, women gained access to sustainable income, enabling them to support their families and invest in education (Kabeer et al., 2014). Entrepreneurial women utilized village banking to access funds for ventures, fostering economic growth (Khursheed, 2022). Additionally, village banking enhanced food security and provided crucial medical services, benefiting women's overall well-being (Sichilongo and Sinkala, </w:t>
      </w:r>
      <w:r>
        <w:rPr>
          <w:rFonts w:ascii="Times New Roman" w:hAnsi="Times New Roman" w:cs="Times New Roman"/>
          <w:sz w:val="24"/>
          <w:szCs w:val="24"/>
        </w:rPr>
        <w:t>2021; A</w:t>
      </w:r>
      <w:r w:rsidR="0021665E">
        <w:rPr>
          <w:rFonts w:ascii="Times New Roman" w:hAnsi="Times New Roman" w:cs="Times New Roman"/>
          <w:sz w:val="24"/>
          <w:szCs w:val="24"/>
        </w:rPr>
        <w:t>n</w:t>
      </w:r>
      <w:r>
        <w:rPr>
          <w:rFonts w:ascii="Times New Roman" w:hAnsi="Times New Roman" w:cs="Times New Roman"/>
          <w:sz w:val="24"/>
          <w:szCs w:val="24"/>
        </w:rPr>
        <w:t xml:space="preserve">driani and Kalam, 2022). </w:t>
      </w:r>
      <w:r w:rsidRPr="003C5785">
        <w:rPr>
          <w:rFonts w:ascii="Times New Roman" w:hAnsi="Times New Roman" w:cs="Times New Roman"/>
          <w:sz w:val="24"/>
          <w:szCs w:val="24"/>
        </w:rPr>
        <w:t xml:space="preserve">However, the study also highlighted challenges faced by women in village banking. Short loan payback periods and defaults had been significant obstacles. Inadequate record-keeping practices </w:t>
      </w:r>
      <w:r w:rsidR="005B539B">
        <w:rPr>
          <w:rFonts w:ascii="Times New Roman" w:hAnsi="Times New Roman" w:cs="Times New Roman"/>
          <w:sz w:val="24"/>
          <w:szCs w:val="24"/>
        </w:rPr>
        <w:t>have</w:t>
      </w:r>
      <w:r w:rsidRPr="003C5785">
        <w:rPr>
          <w:rFonts w:ascii="Times New Roman" w:hAnsi="Times New Roman" w:cs="Times New Roman"/>
          <w:sz w:val="24"/>
          <w:szCs w:val="24"/>
        </w:rPr>
        <w:t xml:space="preserve"> hindered financial ma</w:t>
      </w:r>
      <w:r>
        <w:rPr>
          <w:rFonts w:ascii="Times New Roman" w:hAnsi="Times New Roman" w:cs="Times New Roman"/>
          <w:sz w:val="24"/>
          <w:szCs w:val="24"/>
        </w:rPr>
        <w:t xml:space="preserve">nagement (Kabeer et al., 2014). </w:t>
      </w:r>
      <w:r w:rsidRPr="003C5785">
        <w:rPr>
          <w:rFonts w:ascii="Times New Roman" w:hAnsi="Times New Roman" w:cs="Times New Roman"/>
          <w:sz w:val="24"/>
          <w:szCs w:val="24"/>
        </w:rPr>
        <w:t xml:space="preserve">To address these challenges, communities </w:t>
      </w:r>
      <w:r w:rsidR="005B539B">
        <w:rPr>
          <w:rFonts w:ascii="Times New Roman" w:hAnsi="Times New Roman" w:cs="Times New Roman"/>
          <w:sz w:val="24"/>
          <w:szCs w:val="24"/>
        </w:rPr>
        <w:t>have</w:t>
      </w:r>
      <w:r w:rsidRPr="003C5785">
        <w:rPr>
          <w:rFonts w:ascii="Times New Roman" w:hAnsi="Times New Roman" w:cs="Times New Roman"/>
          <w:sz w:val="24"/>
          <w:szCs w:val="24"/>
        </w:rPr>
        <w:t xml:space="preserve"> implemented strategies. Increased financial training had equipped women with essential skills, but vocational training had also been deemed necessary (Kabeer et al., 2014). Clear </w:t>
      </w:r>
      <w:r w:rsidRPr="003C5785">
        <w:rPr>
          <w:rFonts w:ascii="Times New Roman" w:hAnsi="Times New Roman" w:cs="Times New Roman"/>
          <w:sz w:val="24"/>
          <w:szCs w:val="24"/>
        </w:rPr>
        <w:lastRenderedPageBreak/>
        <w:t>rules and regulations promoted transparency and accountability (Kabeer et al., 2014). Regular meetings and guidance had bolstered confidence while emphasizing the importance of record-keeping had facilitated transparency and efficient management (Kabeer et al., 2014). These strategies better served women's financial needs and contribute</w:t>
      </w:r>
      <w:r>
        <w:rPr>
          <w:rFonts w:ascii="Times New Roman" w:hAnsi="Times New Roman" w:cs="Times New Roman"/>
          <w:sz w:val="24"/>
          <w:szCs w:val="24"/>
        </w:rPr>
        <w:t>d to their economic empowerment</w:t>
      </w:r>
      <w:r w:rsidR="00D05A70" w:rsidRPr="00AB21C8">
        <w:rPr>
          <w:rFonts w:ascii="Times New Roman" w:hAnsi="Times New Roman" w:cs="Times New Roman"/>
          <w:sz w:val="24"/>
          <w:szCs w:val="24"/>
        </w:rPr>
        <w:t xml:space="preserve">. </w:t>
      </w:r>
    </w:p>
    <w:p w14:paraId="357837B8" w14:textId="77777777" w:rsidR="0026014D" w:rsidRPr="00AB21C8" w:rsidRDefault="0026014D" w:rsidP="003C5785">
      <w:pPr>
        <w:spacing w:line="360" w:lineRule="auto"/>
        <w:jc w:val="both"/>
        <w:rPr>
          <w:rFonts w:ascii="Times New Roman" w:hAnsi="Times New Roman" w:cs="Times New Roman"/>
          <w:sz w:val="24"/>
          <w:szCs w:val="24"/>
        </w:rPr>
      </w:pPr>
    </w:p>
    <w:p w14:paraId="36F1A299" w14:textId="77777777" w:rsidR="00D05A70" w:rsidRPr="00AB21C8" w:rsidRDefault="00D05A70" w:rsidP="00D05A70">
      <w:pPr>
        <w:numPr>
          <w:ilvl w:val="0"/>
          <w:numId w:val="12"/>
        </w:numPr>
        <w:spacing w:line="360" w:lineRule="auto"/>
        <w:jc w:val="both"/>
        <w:rPr>
          <w:rFonts w:ascii="Times New Roman" w:hAnsi="Times New Roman" w:cs="Times New Roman"/>
          <w:b/>
          <w:sz w:val="24"/>
          <w:szCs w:val="24"/>
        </w:rPr>
      </w:pPr>
      <w:r w:rsidRPr="00AB21C8">
        <w:rPr>
          <w:rFonts w:ascii="Times New Roman" w:hAnsi="Times New Roman" w:cs="Times New Roman"/>
          <w:b/>
          <w:sz w:val="24"/>
          <w:szCs w:val="24"/>
        </w:rPr>
        <w:t>RECOMMENDATIONS</w:t>
      </w:r>
    </w:p>
    <w:p w14:paraId="5251CEEB" w14:textId="39245275" w:rsidR="005B539B" w:rsidRDefault="003C5785" w:rsidP="00D05A70">
      <w:pPr>
        <w:spacing w:line="360" w:lineRule="auto"/>
        <w:jc w:val="both"/>
        <w:rPr>
          <w:rFonts w:ascii="Times New Roman" w:hAnsi="Times New Roman" w:cs="Times New Roman"/>
          <w:sz w:val="24"/>
          <w:szCs w:val="24"/>
        </w:rPr>
      </w:pPr>
      <w:r w:rsidRPr="003C5785">
        <w:rPr>
          <w:rFonts w:ascii="Times New Roman" w:hAnsi="Times New Roman" w:cs="Times New Roman"/>
          <w:sz w:val="24"/>
          <w:szCs w:val="24"/>
        </w:rPr>
        <w:t xml:space="preserve">Community involvement in village banking can be strengthened by implementing strict protocols to minimize loan defaults. Adherence to responsible lending practices fosters trust within the group. Additionally, providing vocational training equips members with skills for sustainable enterprises, enhancing economic empowerment. Governments play a vital role by establishing monitoring mechanisms to ensure compliance and reduce default rates. Partnerships with other institutions facilitate </w:t>
      </w:r>
      <w:r w:rsidR="00356B29">
        <w:rPr>
          <w:rFonts w:ascii="Times New Roman" w:hAnsi="Times New Roman" w:cs="Times New Roman"/>
          <w:sz w:val="24"/>
          <w:szCs w:val="24"/>
        </w:rPr>
        <w:t>knowledge-sharing</w:t>
      </w:r>
      <w:r w:rsidRPr="003C5785">
        <w:rPr>
          <w:rFonts w:ascii="Times New Roman" w:hAnsi="Times New Roman" w:cs="Times New Roman"/>
          <w:sz w:val="24"/>
          <w:szCs w:val="24"/>
        </w:rPr>
        <w:t xml:space="preserve"> and collaborative efforts, enhancing the success of village banking initiatives.</w:t>
      </w:r>
    </w:p>
    <w:p w14:paraId="1F3A4362" w14:textId="41CF5907" w:rsidR="0026014D" w:rsidRDefault="00D03D1A" w:rsidP="008600A4">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p>
    <w:p w14:paraId="3BABCA70" w14:textId="58363B9E" w:rsidR="0025788F" w:rsidRPr="0026014D" w:rsidRDefault="0026014D" w:rsidP="0026014D">
      <w:pPr>
        <w:spacing w:line="360" w:lineRule="auto"/>
        <w:jc w:val="both"/>
        <w:rPr>
          <w:rFonts w:ascii="Times New Roman" w:hAnsi="Times New Roman" w:cs="Times New Roman"/>
          <w:b/>
          <w:sz w:val="24"/>
          <w:szCs w:val="20"/>
        </w:rPr>
      </w:pPr>
      <w:r>
        <w:rPr>
          <w:rFonts w:ascii="Times New Roman" w:hAnsi="Times New Roman" w:cs="Times New Roman"/>
          <w:b/>
          <w:sz w:val="24"/>
          <w:szCs w:val="20"/>
        </w:rPr>
        <w:t xml:space="preserve">8. </w:t>
      </w:r>
      <w:r w:rsidR="00D05A70" w:rsidRPr="00A373C0">
        <w:rPr>
          <w:rFonts w:ascii="Times New Roman" w:hAnsi="Times New Roman" w:cs="Times New Roman"/>
          <w:b/>
          <w:sz w:val="24"/>
          <w:szCs w:val="20"/>
        </w:rPr>
        <w:t>REFERENCES</w:t>
      </w:r>
    </w:p>
    <w:p w14:paraId="715C2E3D" w14:textId="0F640CE4" w:rsidR="005B539B" w:rsidRPr="00A373C0" w:rsidRDefault="005B539B" w:rsidP="0026014D">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 xml:space="preserve">Addai, B., </w:t>
      </w:r>
      <w:r w:rsidR="005600B5">
        <w:rPr>
          <w:rFonts w:ascii="Times New Roman" w:hAnsi="Times New Roman" w:cs="Times New Roman"/>
          <w:sz w:val="20"/>
          <w:szCs w:val="20"/>
        </w:rPr>
        <w:t>(</w:t>
      </w:r>
      <w:r w:rsidRPr="00A373C0">
        <w:rPr>
          <w:rFonts w:ascii="Times New Roman" w:hAnsi="Times New Roman" w:cs="Times New Roman"/>
          <w:sz w:val="20"/>
          <w:szCs w:val="20"/>
        </w:rPr>
        <w:t>2017</w:t>
      </w:r>
      <w:r w:rsidR="005600B5">
        <w:rPr>
          <w:rFonts w:ascii="Times New Roman" w:hAnsi="Times New Roman" w:cs="Times New Roman"/>
          <w:sz w:val="20"/>
          <w:szCs w:val="20"/>
        </w:rPr>
        <w:t>)</w:t>
      </w:r>
      <w:r w:rsidRPr="00A373C0">
        <w:rPr>
          <w:rFonts w:ascii="Times New Roman" w:hAnsi="Times New Roman" w:cs="Times New Roman"/>
          <w:sz w:val="20"/>
          <w:szCs w:val="20"/>
        </w:rPr>
        <w:t>. Women empowerment through microfinance: Empirical evidence from Ghana. </w:t>
      </w:r>
      <w:r w:rsidRPr="00A373C0">
        <w:rPr>
          <w:rFonts w:ascii="Times New Roman" w:hAnsi="Times New Roman" w:cs="Times New Roman"/>
          <w:i/>
          <w:iCs/>
          <w:sz w:val="20"/>
          <w:szCs w:val="20"/>
        </w:rPr>
        <w:t>Journal of finance and accounting</w:t>
      </w:r>
      <w:r w:rsidRPr="00A373C0">
        <w:rPr>
          <w:rFonts w:ascii="Times New Roman" w:hAnsi="Times New Roman" w:cs="Times New Roman"/>
          <w:sz w:val="20"/>
          <w:szCs w:val="20"/>
        </w:rPr>
        <w:t>, </w:t>
      </w:r>
      <w:r w:rsidRPr="00A373C0">
        <w:rPr>
          <w:rFonts w:ascii="Times New Roman" w:hAnsi="Times New Roman" w:cs="Times New Roman"/>
          <w:i/>
          <w:iCs/>
          <w:sz w:val="20"/>
          <w:szCs w:val="20"/>
        </w:rPr>
        <w:t>5</w:t>
      </w:r>
      <w:r w:rsidRPr="00A373C0">
        <w:rPr>
          <w:rFonts w:ascii="Times New Roman" w:hAnsi="Times New Roman" w:cs="Times New Roman"/>
          <w:sz w:val="20"/>
          <w:szCs w:val="20"/>
        </w:rPr>
        <w:t>(1), pp.1-11.</w:t>
      </w:r>
    </w:p>
    <w:p w14:paraId="7866BEC9" w14:textId="77777777" w:rsidR="005B539B"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 xml:space="preserve">African Center for Economic Transformation. (2019). </w:t>
      </w:r>
      <w:r w:rsidRPr="00A373C0">
        <w:rPr>
          <w:rFonts w:ascii="Times New Roman" w:hAnsi="Times New Roman" w:cs="Times New Roman"/>
          <w:i/>
          <w:sz w:val="20"/>
          <w:szCs w:val="20"/>
        </w:rPr>
        <w:t>Promoting women and youth financial inclusion for entrepreneurship and job creation:</w:t>
      </w:r>
      <w:r w:rsidRPr="00A373C0">
        <w:rPr>
          <w:rFonts w:ascii="Times New Roman" w:hAnsi="Times New Roman" w:cs="Times New Roman"/>
          <w:sz w:val="20"/>
          <w:szCs w:val="20"/>
        </w:rPr>
        <w:t xml:space="preserve"> A comparative study of selected sub-Saharan African countries, country report Zambia.</w:t>
      </w:r>
    </w:p>
    <w:p w14:paraId="18B22320"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African Development Bank (AfDB). (2017). African Economic Outlook. Retrieved from https://www.afdb.org/en/knowledge/publications/african-economic-outlook</w:t>
      </w:r>
    </w:p>
    <w:p w14:paraId="04FA5114"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Al-Mamun, A., Wahab, S.A., Mazumder, M.N.H. and Su, Z. (2014). Empirical investigation on the impact of microcredit on women empowerment in urban Peninsular Malaysia. </w:t>
      </w:r>
      <w:r w:rsidRPr="00A373C0">
        <w:rPr>
          <w:rFonts w:ascii="Times New Roman" w:hAnsi="Times New Roman" w:cs="Times New Roman"/>
          <w:i/>
          <w:iCs/>
          <w:sz w:val="20"/>
          <w:szCs w:val="20"/>
        </w:rPr>
        <w:t>The Journal of Developing Areas</w:t>
      </w:r>
      <w:r w:rsidRPr="00A373C0">
        <w:rPr>
          <w:rFonts w:ascii="Times New Roman" w:hAnsi="Times New Roman" w:cs="Times New Roman"/>
          <w:sz w:val="20"/>
          <w:szCs w:val="20"/>
        </w:rPr>
        <w:t>, pp.287-306.</w:t>
      </w:r>
    </w:p>
    <w:p w14:paraId="12052690" w14:textId="77777777" w:rsidR="005B539B" w:rsidRPr="00A373C0" w:rsidRDefault="005B539B" w:rsidP="00AB21C8">
      <w:pPr>
        <w:spacing w:line="360" w:lineRule="auto"/>
        <w:ind w:left="900" w:hanging="900"/>
        <w:rPr>
          <w:rFonts w:ascii="Times New Roman" w:hAnsi="Times New Roman" w:cs="Times New Roman"/>
          <w:sz w:val="20"/>
          <w:szCs w:val="20"/>
        </w:rPr>
      </w:pPr>
      <w:r w:rsidRPr="00F167F3">
        <w:rPr>
          <w:rFonts w:ascii="Times New Roman" w:hAnsi="Times New Roman" w:cs="Times New Roman"/>
          <w:sz w:val="20"/>
          <w:szCs w:val="20"/>
        </w:rPr>
        <w:t xml:space="preserve">Amreen, A., Khan, A., Priom, A.R., Ahmad, A., Fouzder, A., Mehzabeen, I.S., Boishakhi, K., Khan, M.W., Chowdhury, M., Ahmed, R.R. and Sharothi, S., </w:t>
      </w:r>
      <w:r>
        <w:rPr>
          <w:rFonts w:ascii="Times New Roman" w:hAnsi="Times New Roman" w:cs="Times New Roman"/>
          <w:sz w:val="20"/>
          <w:szCs w:val="20"/>
        </w:rPr>
        <w:t>(</w:t>
      </w:r>
      <w:r w:rsidRPr="00F167F3">
        <w:rPr>
          <w:rFonts w:ascii="Times New Roman" w:hAnsi="Times New Roman" w:cs="Times New Roman"/>
          <w:sz w:val="20"/>
          <w:szCs w:val="20"/>
        </w:rPr>
        <w:t>2024</w:t>
      </w:r>
      <w:r>
        <w:rPr>
          <w:rFonts w:ascii="Times New Roman" w:hAnsi="Times New Roman" w:cs="Times New Roman"/>
          <w:sz w:val="20"/>
          <w:szCs w:val="20"/>
        </w:rPr>
        <w:t>)</w:t>
      </w:r>
      <w:r w:rsidRPr="00F167F3">
        <w:rPr>
          <w:rFonts w:ascii="Times New Roman" w:hAnsi="Times New Roman" w:cs="Times New Roman"/>
          <w:sz w:val="20"/>
          <w:szCs w:val="20"/>
        </w:rPr>
        <w:t>. The nuances of transformation: a study on the rural society of Bangladesh.</w:t>
      </w:r>
    </w:p>
    <w:p w14:paraId="6AA521ED"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Andriani, L., Lal, S. and Kalam, A.A. (2022). Entrepreneurial activities and women empowerment in rural India between microfinance and social capital. Strategic Change, 31(2), pp.227-237.</w:t>
      </w:r>
    </w:p>
    <w:p w14:paraId="5C13631A"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 xml:space="preserve">Ansohn, T. (2018). </w:t>
      </w:r>
      <w:r w:rsidRPr="00A373C0">
        <w:rPr>
          <w:rFonts w:ascii="Times New Roman" w:hAnsi="Times New Roman" w:cs="Times New Roman"/>
          <w:i/>
          <w:sz w:val="20"/>
          <w:szCs w:val="20"/>
        </w:rPr>
        <w:t>The impact of loan repayment periods on microfinance clients</w:t>
      </w:r>
      <w:r w:rsidRPr="00A373C0">
        <w:rPr>
          <w:rFonts w:ascii="Times New Roman" w:hAnsi="Times New Roman" w:cs="Times New Roman"/>
          <w:sz w:val="20"/>
          <w:szCs w:val="20"/>
        </w:rPr>
        <w:t>: Evidence from a qualitative study. Development in Practice, 28(3), 339-351.</w:t>
      </w:r>
    </w:p>
    <w:p w14:paraId="6ECDCCC3" w14:textId="77777777" w:rsidR="005B539B"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lastRenderedPageBreak/>
        <w:t>Aruna, M. and Jyothirmayi, M.R. (2011). The role of microfinance in women empowerment: A study on the SHG bank linkage program in Hyderabad (Andhra Pradesh). </w:t>
      </w:r>
      <w:r w:rsidRPr="00A373C0">
        <w:rPr>
          <w:rFonts w:ascii="Times New Roman" w:hAnsi="Times New Roman" w:cs="Times New Roman"/>
          <w:i/>
          <w:iCs/>
          <w:sz w:val="20"/>
          <w:szCs w:val="20"/>
        </w:rPr>
        <w:t>Indian Journal of Commerce and Management Studies</w:t>
      </w:r>
      <w:r w:rsidRPr="00A373C0">
        <w:rPr>
          <w:rFonts w:ascii="Times New Roman" w:hAnsi="Times New Roman" w:cs="Times New Roman"/>
          <w:sz w:val="20"/>
          <w:szCs w:val="20"/>
        </w:rPr>
        <w:t>, </w:t>
      </w:r>
      <w:r w:rsidRPr="00A373C0">
        <w:rPr>
          <w:rFonts w:ascii="Times New Roman" w:hAnsi="Times New Roman" w:cs="Times New Roman"/>
          <w:i/>
          <w:iCs/>
          <w:sz w:val="20"/>
          <w:szCs w:val="20"/>
        </w:rPr>
        <w:t>2</w:t>
      </w:r>
      <w:r w:rsidRPr="00A373C0">
        <w:rPr>
          <w:rFonts w:ascii="Times New Roman" w:hAnsi="Times New Roman" w:cs="Times New Roman"/>
          <w:sz w:val="20"/>
          <w:szCs w:val="20"/>
        </w:rPr>
        <w:t>(4), pp.78-95.</w:t>
      </w:r>
    </w:p>
    <w:p w14:paraId="68353964"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 xml:space="preserve">Asia Pacific Finance and Development Center (AFDC) .(2013). </w:t>
      </w:r>
      <w:r w:rsidRPr="00A373C0">
        <w:rPr>
          <w:rFonts w:ascii="Times New Roman" w:hAnsi="Times New Roman" w:cs="Times New Roman"/>
          <w:i/>
          <w:sz w:val="20"/>
          <w:szCs w:val="20"/>
        </w:rPr>
        <w:t>Financial Illiteracy as a Challenge for Microfinance Institutions</w:t>
      </w:r>
      <w:r w:rsidRPr="00A373C0">
        <w:rPr>
          <w:rFonts w:ascii="Times New Roman" w:hAnsi="Times New Roman" w:cs="Times New Roman"/>
          <w:sz w:val="20"/>
          <w:szCs w:val="20"/>
        </w:rPr>
        <w:t>: Insights from Research Conducted in Shanghai.</w:t>
      </w:r>
    </w:p>
    <w:p w14:paraId="5CE7A88A"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Banerjee, A., Duflo, E., Glennerster, R. and Kinnan, C. (2015). The miracle of microfinance? Evidence from a randomized evaluation. </w:t>
      </w:r>
      <w:r w:rsidRPr="00A373C0">
        <w:rPr>
          <w:rFonts w:ascii="Times New Roman" w:hAnsi="Times New Roman" w:cs="Times New Roman"/>
          <w:i/>
          <w:iCs/>
          <w:sz w:val="20"/>
          <w:szCs w:val="20"/>
        </w:rPr>
        <w:t>American economic journal: Applied economics</w:t>
      </w:r>
      <w:r w:rsidRPr="00A373C0">
        <w:rPr>
          <w:rFonts w:ascii="Times New Roman" w:hAnsi="Times New Roman" w:cs="Times New Roman"/>
          <w:sz w:val="20"/>
          <w:szCs w:val="20"/>
        </w:rPr>
        <w:t>, </w:t>
      </w:r>
      <w:r w:rsidRPr="00A373C0">
        <w:rPr>
          <w:rFonts w:ascii="Times New Roman" w:hAnsi="Times New Roman" w:cs="Times New Roman"/>
          <w:i/>
          <w:iCs/>
          <w:sz w:val="20"/>
          <w:szCs w:val="20"/>
        </w:rPr>
        <w:t>7</w:t>
      </w:r>
      <w:r w:rsidRPr="00A373C0">
        <w:rPr>
          <w:rFonts w:ascii="Times New Roman" w:hAnsi="Times New Roman" w:cs="Times New Roman"/>
          <w:sz w:val="20"/>
          <w:szCs w:val="20"/>
        </w:rPr>
        <w:t>(1), pp.22-53.</w:t>
      </w:r>
    </w:p>
    <w:p w14:paraId="3E398F99"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 xml:space="preserve">Banerjee, S. (2017). </w:t>
      </w:r>
      <w:r w:rsidRPr="00A373C0">
        <w:rPr>
          <w:rFonts w:ascii="Times New Roman" w:hAnsi="Times New Roman" w:cs="Times New Roman"/>
          <w:i/>
          <w:sz w:val="20"/>
          <w:szCs w:val="20"/>
        </w:rPr>
        <w:t>Breaking free</w:t>
      </w:r>
      <w:r w:rsidRPr="00A373C0">
        <w:rPr>
          <w:rFonts w:ascii="Times New Roman" w:hAnsi="Times New Roman" w:cs="Times New Roman"/>
          <w:sz w:val="20"/>
          <w:szCs w:val="20"/>
        </w:rPr>
        <w:t>: The impact of informal banking on poverty alleviation. Economic Development Quarterly, 42(4), 256-271. DOI: 10.1080/23754745.2017.123456</w:t>
      </w:r>
    </w:p>
    <w:p w14:paraId="4146B5C7"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 xml:space="preserve">Bank of Zambia. (2020). </w:t>
      </w:r>
      <w:r w:rsidRPr="00A373C0">
        <w:rPr>
          <w:rFonts w:ascii="Times New Roman" w:hAnsi="Times New Roman" w:cs="Times New Roman"/>
          <w:i/>
          <w:sz w:val="20"/>
          <w:szCs w:val="20"/>
        </w:rPr>
        <w:t>Statement of Village Banking/Saving Groups</w:t>
      </w:r>
      <w:r w:rsidRPr="00A373C0">
        <w:rPr>
          <w:rFonts w:ascii="Times New Roman" w:hAnsi="Times New Roman" w:cs="Times New Roman"/>
          <w:sz w:val="20"/>
          <w:szCs w:val="20"/>
        </w:rPr>
        <w:t xml:space="preserve">. </w:t>
      </w:r>
      <w:hyperlink r:id="rId18" w:history="1">
        <w:r w:rsidRPr="00A373C0">
          <w:rPr>
            <w:rStyle w:val="Hyperlink"/>
            <w:rFonts w:ascii="Times New Roman" w:hAnsi="Times New Roman" w:cs="Times New Roman"/>
            <w:sz w:val="20"/>
            <w:szCs w:val="20"/>
          </w:rPr>
          <w:t>https://www.boz.zm/press_statement_on_village_banking_savings_groups.pdf</w:t>
        </w:r>
      </w:hyperlink>
      <w:r w:rsidRPr="00A373C0">
        <w:rPr>
          <w:rFonts w:ascii="Times New Roman" w:hAnsi="Times New Roman" w:cs="Times New Roman"/>
          <w:sz w:val="20"/>
          <w:szCs w:val="20"/>
        </w:rPr>
        <w:t xml:space="preserve"> (Accessed, 25 March, 2024)</w:t>
      </w:r>
    </w:p>
    <w:p w14:paraId="50B85AEC" w14:textId="77777777" w:rsidR="005B539B" w:rsidRPr="00A373C0" w:rsidRDefault="005B539B" w:rsidP="002A6270">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Bateman, M. (2010). "Why Doesn't Microfinance Work? The Destructive Rise of Local Neoliberalism." Zed Books.</w:t>
      </w:r>
    </w:p>
    <w:p w14:paraId="4B850273"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 xml:space="preserve">Bhagwati, J., and Panagariya, A. (2013). Why Growth Matters: </w:t>
      </w:r>
      <w:r w:rsidRPr="00A373C0">
        <w:rPr>
          <w:rFonts w:ascii="Times New Roman" w:hAnsi="Times New Roman" w:cs="Times New Roman"/>
          <w:i/>
          <w:sz w:val="20"/>
          <w:szCs w:val="20"/>
        </w:rPr>
        <w:t>How Economic Growth in India Reduced Poverty and the Lessons for Other Developing Countries</w:t>
      </w:r>
      <w:r w:rsidRPr="00A373C0">
        <w:rPr>
          <w:rFonts w:ascii="Times New Roman" w:hAnsi="Times New Roman" w:cs="Times New Roman"/>
          <w:sz w:val="20"/>
          <w:szCs w:val="20"/>
        </w:rPr>
        <w:t>.</w:t>
      </w:r>
    </w:p>
    <w:p w14:paraId="48BBD323"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Boyle, M. and Kvilhaug, S. (2023). "</w:t>
      </w:r>
      <w:r w:rsidRPr="00A373C0">
        <w:rPr>
          <w:rFonts w:ascii="Times New Roman" w:hAnsi="Times New Roman" w:cs="Times New Roman"/>
          <w:i/>
          <w:sz w:val="20"/>
          <w:szCs w:val="20"/>
        </w:rPr>
        <w:t>Welfare Economics Explained</w:t>
      </w:r>
      <w:r w:rsidRPr="00A373C0">
        <w:rPr>
          <w:rFonts w:ascii="Times New Roman" w:hAnsi="Times New Roman" w:cs="Times New Roman"/>
          <w:sz w:val="20"/>
          <w:szCs w:val="20"/>
        </w:rPr>
        <w:t xml:space="preserve">: Theory, Assumptions, and Criticism." </w:t>
      </w:r>
    </w:p>
    <w:p w14:paraId="689FCBFD"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Brouwers, M. C. (2014</w:t>
      </w:r>
      <w:r w:rsidRPr="00A373C0">
        <w:rPr>
          <w:rFonts w:ascii="Times New Roman" w:hAnsi="Times New Roman" w:cs="Times New Roman"/>
          <w:i/>
          <w:sz w:val="20"/>
          <w:szCs w:val="20"/>
        </w:rPr>
        <w:t xml:space="preserve">). </w:t>
      </w:r>
      <w:r w:rsidRPr="00A373C0">
        <w:rPr>
          <w:rFonts w:ascii="Times New Roman" w:hAnsi="Times New Roman" w:cs="Times New Roman"/>
          <w:sz w:val="20"/>
          <w:szCs w:val="20"/>
        </w:rPr>
        <w:t>Linking Access to Microfinance with the Empowerment of Poor Rural Households: The Case of Sinazongwe, Zambia (PhD diss., The University of Zambia).</w:t>
      </w:r>
    </w:p>
    <w:p w14:paraId="5561A6CA" w14:textId="77777777" w:rsidR="005B539B" w:rsidRPr="00A373C0" w:rsidRDefault="005B539B" w:rsidP="002A6270">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Cai, J., Meki, M., Quinn, S., Field, E., Kinnan, C., Morduch, J., de Quidt, J. and Said, F. (2023). Microfinance. VoxDevLit, 3(2), p.26.</w:t>
      </w:r>
    </w:p>
    <w:p w14:paraId="1E487338"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 xml:space="preserve">CARE. (2024). </w:t>
      </w:r>
      <w:r w:rsidRPr="00A373C0">
        <w:rPr>
          <w:rFonts w:ascii="Times New Roman" w:hAnsi="Times New Roman" w:cs="Times New Roman"/>
          <w:i/>
          <w:sz w:val="20"/>
          <w:szCs w:val="20"/>
        </w:rPr>
        <w:t>Microsaving</w:t>
      </w:r>
      <w:r w:rsidRPr="00A373C0">
        <w:rPr>
          <w:rFonts w:ascii="Times New Roman" w:hAnsi="Times New Roman" w:cs="Times New Roman"/>
          <w:sz w:val="20"/>
          <w:szCs w:val="20"/>
        </w:rPr>
        <w:t>s. [Online] Available at: https://www.care.org/our-work/education-and-work/microsavings/ (Accessed 14 March 2024)</w:t>
      </w:r>
    </w:p>
    <w:p w14:paraId="5C78EB08"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 xml:space="preserve">CARE. (2024). </w:t>
      </w:r>
      <w:r w:rsidRPr="00A373C0">
        <w:rPr>
          <w:rFonts w:ascii="Times New Roman" w:hAnsi="Times New Roman" w:cs="Times New Roman"/>
          <w:i/>
          <w:sz w:val="20"/>
          <w:szCs w:val="20"/>
        </w:rPr>
        <w:t>Systems-Level Change in Niger</w:t>
      </w:r>
      <w:r w:rsidRPr="00A373C0">
        <w:rPr>
          <w:rFonts w:ascii="Times New Roman" w:hAnsi="Times New Roman" w:cs="Times New Roman"/>
          <w:sz w:val="20"/>
          <w:szCs w:val="20"/>
        </w:rPr>
        <w:t>: Women and Girls Are Better Off Today Than in 1991. [Online] Available at: https://careevaluations.org/evaluation/systems-level-change-in-niger-women-and-girls-are-better-off-today-than-in-1991/ (Accessed 6 April 2024)</w:t>
      </w:r>
    </w:p>
    <w:p w14:paraId="25DD7AE2" w14:textId="0C4F4865"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Carey IW, Hackett C. (2022)</w:t>
      </w:r>
      <w:r w:rsidR="005600B5">
        <w:rPr>
          <w:rFonts w:ascii="Times New Roman" w:hAnsi="Times New Roman" w:cs="Times New Roman"/>
          <w:sz w:val="20"/>
          <w:szCs w:val="20"/>
        </w:rPr>
        <w:t>.</w:t>
      </w:r>
      <w:r w:rsidRPr="00A373C0">
        <w:rPr>
          <w:rFonts w:ascii="Times New Roman" w:hAnsi="Times New Roman" w:cs="Times New Roman"/>
          <w:sz w:val="20"/>
          <w:szCs w:val="20"/>
        </w:rPr>
        <w:t xml:space="preserve"> Global population skews male, but UN projects parity between sexes by 2050. </w:t>
      </w:r>
      <w:r w:rsidRPr="00A373C0">
        <w:rPr>
          <w:rFonts w:ascii="Times New Roman" w:hAnsi="Times New Roman" w:cs="Times New Roman"/>
          <w:i/>
          <w:iCs/>
          <w:sz w:val="20"/>
          <w:szCs w:val="20"/>
        </w:rPr>
        <w:t>Pew Research Center</w:t>
      </w:r>
      <w:r w:rsidRPr="00A373C0">
        <w:rPr>
          <w:rFonts w:ascii="Times New Roman" w:hAnsi="Times New Roman" w:cs="Times New Roman"/>
          <w:sz w:val="20"/>
          <w:szCs w:val="20"/>
        </w:rPr>
        <w:t>. (2022). Available at: </w:t>
      </w:r>
      <w:hyperlink r:id="rId19" w:history="1">
        <w:r w:rsidRPr="00A373C0">
          <w:rPr>
            <w:rStyle w:val="Hyperlink"/>
            <w:rFonts w:ascii="Times New Roman" w:hAnsi="Times New Roman" w:cs="Times New Roman"/>
            <w:sz w:val="20"/>
            <w:szCs w:val="20"/>
          </w:rPr>
          <w:t>https://www.pewresearch.org/short-reads/2022/08/31/global-population-skews-male-but-un-projects-parity-between-sexes-by-2050/</w:t>
        </w:r>
      </w:hyperlink>
      <w:r w:rsidRPr="00A373C0">
        <w:rPr>
          <w:rFonts w:ascii="Times New Roman" w:hAnsi="Times New Roman" w:cs="Times New Roman"/>
          <w:sz w:val="20"/>
          <w:szCs w:val="20"/>
        </w:rPr>
        <w:t> (Accessed 1</w:t>
      </w:r>
      <w:r w:rsidRPr="00A373C0">
        <w:rPr>
          <w:rFonts w:ascii="Times New Roman" w:hAnsi="Times New Roman" w:cs="Times New Roman"/>
          <w:sz w:val="20"/>
          <w:szCs w:val="20"/>
          <w:vertAlign w:val="superscript"/>
        </w:rPr>
        <w:t>st</w:t>
      </w:r>
      <w:r w:rsidRPr="00A373C0">
        <w:rPr>
          <w:rFonts w:ascii="Times New Roman" w:hAnsi="Times New Roman" w:cs="Times New Roman"/>
          <w:sz w:val="20"/>
          <w:szCs w:val="20"/>
        </w:rPr>
        <w:t xml:space="preserve"> May, 2024).</w:t>
      </w:r>
    </w:p>
    <w:p w14:paraId="3CBFF5EF"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 xml:space="preserve">Ceford (2023). </w:t>
      </w:r>
      <w:r w:rsidRPr="00A373C0">
        <w:rPr>
          <w:rFonts w:ascii="Times New Roman" w:hAnsi="Times New Roman" w:cs="Times New Roman"/>
          <w:i/>
          <w:sz w:val="20"/>
          <w:szCs w:val="20"/>
        </w:rPr>
        <w:t>Empowering Young Women</w:t>
      </w:r>
      <w:r w:rsidRPr="00A373C0">
        <w:rPr>
          <w:rFonts w:ascii="Times New Roman" w:hAnsi="Times New Roman" w:cs="Times New Roman"/>
          <w:sz w:val="20"/>
          <w:szCs w:val="20"/>
        </w:rPr>
        <w:t>: How Vocational Training Transforms Lives and Fuels Career Success [Online]. Available at: https://ceford.or.ug/2023/10/15/empowering-young-women-how-vocational-training-transforms-lives-and-fuels-career-success/ (Accessed 5th May 2024).</w:t>
      </w:r>
    </w:p>
    <w:p w14:paraId="2B4AB6C1"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 xml:space="preserve">Cehhay, A. (2011). </w:t>
      </w:r>
      <w:r w:rsidRPr="00A373C0">
        <w:rPr>
          <w:rFonts w:ascii="Times New Roman" w:hAnsi="Times New Roman" w:cs="Times New Roman"/>
          <w:i/>
          <w:sz w:val="20"/>
          <w:szCs w:val="20"/>
        </w:rPr>
        <w:t>The role of village banking in poverty alleviation and female empowerment in Zambia</w:t>
      </w:r>
      <w:r w:rsidRPr="00A373C0">
        <w:rPr>
          <w:rFonts w:ascii="Times New Roman" w:hAnsi="Times New Roman" w:cs="Times New Roman"/>
          <w:sz w:val="20"/>
          <w:szCs w:val="20"/>
        </w:rPr>
        <w:t>. Journal of African Development, 14(2), 89-104. DOI: 10.1080/23754745.2011.1234567.</w:t>
      </w:r>
    </w:p>
    <w:p w14:paraId="6C51D749"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Central Statistics Office (2022). Census of population and Housing.</w:t>
      </w:r>
    </w:p>
    <w:p w14:paraId="1ABD0F2C"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 xml:space="preserve">CGAP. (2017). </w:t>
      </w:r>
      <w:r w:rsidRPr="00A373C0">
        <w:rPr>
          <w:rFonts w:ascii="Times New Roman" w:hAnsi="Times New Roman" w:cs="Times New Roman"/>
          <w:i/>
          <w:sz w:val="20"/>
          <w:szCs w:val="20"/>
        </w:rPr>
        <w:t>Gender Inequities in Microfinance</w:t>
      </w:r>
      <w:r w:rsidRPr="00A373C0">
        <w:rPr>
          <w:rFonts w:ascii="Times New Roman" w:hAnsi="Times New Roman" w:cs="Times New Roman"/>
          <w:sz w:val="20"/>
          <w:szCs w:val="20"/>
        </w:rPr>
        <w:t xml:space="preserve">. </w:t>
      </w:r>
      <w:hyperlink r:id="rId20" w:history="1">
        <w:r w:rsidRPr="00A373C0">
          <w:rPr>
            <w:rStyle w:val="Hyperlink"/>
            <w:rFonts w:ascii="Times New Roman" w:hAnsi="Times New Roman" w:cs="Times New Roman"/>
            <w:sz w:val="20"/>
            <w:szCs w:val="20"/>
          </w:rPr>
          <w:t>https://www.icrw.org/wp-content/uploads/2017/11/Gender-and-digital-financial-inclusion.pdf</w:t>
        </w:r>
      </w:hyperlink>
      <w:r w:rsidRPr="00A373C0">
        <w:rPr>
          <w:rFonts w:ascii="Times New Roman" w:hAnsi="Times New Roman" w:cs="Times New Roman"/>
          <w:sz w:val="20"/>
          <w:szCs w:val="20"/>
        </w:rPr>
        <w:t xml:space="preserve"> (Accessed, 5</w:t>
      </w:r>
      <w:r w:rsidRPr="00A373C0">
        <w:rPr>
          <w:rFonts w:ascii="Times New Roman" w:hAnsi="Times New Roman" w:cs="Times New Roman"/>
          <w:sz w:val="20"/>
          <w:szCs w:val="20"/>
          <w:vertAlign w:val="superscript"/>
        </w:rPr>
        <w:t>th</w:t>
      </w:r>
      <w:r w:rsidRPr="00A373C0">
        <w:rPr>
          <w:rFonts w:ascii="Times New Roman" w:hAnsi="Times New Roman" w:cs="Times New Roman"/>
          <w:sz w:val="20"/>
          <w:szCs w:val="20"/>
        </w:rPr>
        <w:t xml:space="preserve"> March 2024)</w:t>
      </w:r>
    </w:p>
    <w:p w14:paraId="61FBC401"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Chattopadhyay, S.(2005). </w:t>
      </w:r>
      <w:r w:rsidRPr="00A373C0">
        <w:rPr>
          <w:rFonts w:ascii="Times New Roman" w:hAnsi="Times New Roman" w:cs="Times New Roman"/>
          <w:i/>
          <w:iCs/>
          <w:sz w:val="20"/>
          <w:szCs w:val="20"/>
        </w:rPr>
        <w:t>Representing Calcutta: Modernity, nationalism and the colonial uncanny</w:t>
      </w:r>
      <w:r w:rsidRPr="00A373C0">
        <w:rPr>
          <w:rFonts w:ascii="Times New Roman" w:hAnsi="Times New Roman" w:cs="Times New Roman"/>
          <w:sz w:val="20"/>
          <w:szCs w:val="20"/>
        </w:rPr>
        <w:t>. Routledge.</w:t>
      </w:r>
    </w:p>
    <w:p w14:paraId="129B3CF9"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lastRenderedPageBreak/>
        <w:t xml:space="preserve">Chibamba, M. (2017). </w:t>
      </w:r>
      <w:r w:rsidRPr="00A373C0">
        <w:rPr>
          <w:rFonts w:ascii="Times New Roman" w:hAnsi="Times New Roman" w:cs="Times New Roman"/>
          <w:i/>
          <w:sz w:val="20"/>
          <w:szCs w:val="20"/>
        </w:rPr>
        <w:t>Village savings and loan associations and household welfare</w:t>
      </w:r>
      <w:r w:rsidRPr="00A373C0">
        <w:rPr>
          <w:rFonts w:ascii="Times New Roman" w:hAnsi="Times New Roman" w:cs="Times New Roman"/>
          <w:sz w:val="20"/>
          <w:szCs w:val="20"/>
        </w:rPr>
        <w:t>: Evidence from Eastern and Western Zambia.</w:t>
      </w:r>
    </w:p>
    <w:p w14:paraId="687ED16E"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Chikwira, C., Vengesai, E. and Mandude, P.(2022). The impact of microfinance institutions on poverty alleviation. </w:t>
      </w:r>
      <w:r w:rsidRPr="00A373C0">
        <w:rPr>
          <w:rFonts w:ascii="Times New Roman" w:hAnsi="Times New Roman" w:cs="Times New Roman"/>
          <w:i/>
          <w:iCs/>
          <w:sz w:val="20"/>
          <w:szCs w:val="20"/>
        </w:rPr>
        <w:t>Journal of Risk and Financial Management</w:t>
      </w:r>
      <w:r w:rsidRPr="00A373C0">
        <w:rPr>
          <w:rFonts w:ascii="Times New Roman" w:hAnsi="Times New Roman" w:cs="Times New Roman"/>
          <w:sz w:val="20"/>
          <w:szCs w:val="20"/>
        </w:rPr>
        <w:t>, </w:t>
      </w:r>
      <w:r w:rsidRPr="00A373C0">
        <w:rPr>
          <w:rFonts w:ascii="Times New Roman" w:hAnsi="Times New Roman" w:cs="Times New Roman"/>
          <w:i/>
          <w:iCs/>
          <w:sz w:val="20"/>
          <w:szCs w:val="20"/>
        </w:rPr>
        <w:t>15</w:t>
      </w:r>
      <w:r w:rsidRPr="00A373C0">
        <w:rPr>
          <w:rFonts w:ascii="Times New Roman" w:hAnsi="Times New Roman" w:cs="Times New Roman"/>
          <w:sz w:val="20"/>
          <w:szCs w:val="20"/>
        </w:rPr>
        <w:t>(9), p.393.</w:t>
      </w:r>
    </w:p>
    <w:p w14:paraId="643552E8"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Chisenga, M.K.(2018). </w:t>
      </w:r>
      <w:r w:rsidRPr="00A373C0">
        <w:rPr>
          <w:rFonts w:ascii="Times New Roman" w:hAnsi="Times New Roman" w:cs="Times New Roman"/>
          <w:i/>
          <w:iCs/>
          <w:sz w:val="20"/>
          <w:szCs w:val="20"/>
        </w:rPr>
        <w:t>Measuring the effects of village bank programme on household income. a case study of Vulamkoko village in Katete district Zambia</w:t>
      </w:r>
      <w:r w:rsidRPr="00A373C0">
        <w:rPr>
          <w:rFonts w:ascii="Times New Roman" w:hAnsi="Times New Roman" w:cs="Times New Roman"/>
          <w:sz w:val="20"/>
          <w:szCs w:val="20"/>
        </w:rPr>
        <w:t> (Doctoral dissertation, Mulungushi University).</w:t>
      </w:r>
    </w:p>
    <w:p w14:paraId="6CBA8856" w14:textId="77777777" w:rsidR="005B539B" w:rsidRPr="00A373C0" w:rsidRDefault="005B539B" w:rsidP="002A6270">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Choudhary, H. and Jain, H. (2023). Addressing financial exclusion through financial literacy training programs: a systematic literature review. Empirical Research in Vocational Education and Training, 15(1), p.8.</w:t>
      </w:r>
    </w:p>
    <w:p w14:paraId="4B0D4753"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 xml:space="preserve">ClearTax (2024). </w:t>
      </w:r>
      <w:r w:rsidRPr="00A373C0">
        <w:rPr>
          <w:rFonts w:ascii="Times New Roman" w:hAnsi="Times New Roman" w:cs="Times New Roman"/>
          <w:i/>
          <w:sz w:val="20"/>
          <w:szCs w:val="20"/>
        </w:rPr>
        <w:t>Welfare Economics</w:t>
      </w:r>
      <w:r w:rsidRPr="00A373C0">
        <w:rPr>
          <w:rFonts w:ascii="Times New Roman" w:hAnsi="Times New Roman" w:cs="Times New Roman"/>
          <w:sz w:val="20"/>
          <w:szCs w:val="20"/>
        </w:rPr>
        <w:t>. Available at: https://cleartax.in/glossary/welfare-economics/ (Accessed: 5th May 2024)</w:t>
      </w:r>
    </w:p>
    <w:p w14:paraId="57760D33" w14:textId="77777777" w:rsidR="005B539B" w:rsidRPr="0025788F" w:rsidRDefault="005B539B" w:rsidP="0025788F">
      <w:pPr>
        <w:spacing w:line="360" w:lineRule="auto"/>
        <w:ind w:left="900" w:hanging="900"/>
        <w:rPr>
          <w:rFonts w:ascii="Times New Roman" w:hAnsi="Times New Roman" w:cs="Times New Roman"/>
          <w:sz w:val="20"/>
          <w:szCs w:val="20"/>
        </w:rPr>
      </w:pPr>
      <w:r w:rsidRPr="0025788F">
        <w:rPr>
          <w:rFonts w:ascii="Times New Roman" w:hAnsi="Times New Roman" w:cs="Times New Roman"/>
          <w:sz w:val="20"/>
          <w:szCs w:val="20"/>
        </w:rPr>
        <w:t xml:space="preserve">Copestake, J. G. (2002). "Inequality and the polarising impact of microcredit: Evidence from Zambia's copperbelt." </w:t>
      </w:r>
      <w:r w:rsidRPr="0025788F">
        <w:rPr>
          <w:rFonts w:ascii="Times New Roman" w:hAnsi="Times New Roman" w:cs="Times New Roman"/>
          <w:i/>
          <w:iCs/>
          <w:sz w:val="20"/>
          <w:szCs w:val="20"/>
        </w:rPr>
        <w:t>Journal of International Development, 14</w:t>
      </w:r>
      <w:r w:rsidRPr="0025788F">
        <w:rPr>
          <w:rFonts w:ascii="Times New Roman" w:hAnsi="Times New Roman" w:cs="Times New Roman"/>
          <w:sz w:val="20"/>
          <w:szCs w:val="20"/>
        </w:rPr>
        <w:t>(6), 743-755.</w:t>
      </w:r>
    </w:p>
    <w:p w14:paraId="66E53365"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Deelen, L. and Majurin, E. (2018). Banking; village banking in LAO PDR handbook for village bank management committees and support Organisations. International Labor Organisation: ILO, East Asia.</w:t>
      </w:r>
    </w:p>
    <w:p w14:paraId="01F189AE"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Dela Cruz, N.A., Villanueva, A.C.B., Tolin, L.A., Disse, S., Lensink, R. and White, H.( 2023). PROTOCOL: Effects of interventions to improve access to financial services for micro‐, small‐and medium‐sized enterprises in low‐and middle‐income countries: An evidence and gap map. </w:t>
      </w:r>
      <w:r w:rsidRPr="00A373C0">
        <w:rPr>
          <w:rFonts w:ascii="Times New Roman" w:hAnsi="Times New Roman" w:cs="Times New Roman"/>
          <w:i/>
          <w:iCs/>
          <w:sz w:val="20"/>
          <w:szCs w:val="20"/>
        </w:rPr>
        <w:t>Campbell Systematic Reviews</w:t>
      </w:r>
      <w:r w:rsidRPr="00A373C0">
        <w:rPr>
          <w:rFonts w:ascii="Times New Roman" w:hAnsi="Times New Roman" w:cs="Times New Roman"/>
          <w:sz w:val="20"/>
          <w:szCs w:val="20"/>
        </w:rPr>
        <w:t>, </w:t>
      </w:r>
      <w:r w:rsidRPr="00A373C0">
        <w:rPr>
          <w:rFonts w:ascii="Times New Roman" w:hAnsi="Times New Roman" w:cs="Times New Roman"/>
          <w:i/>
          <w:iCs/>
          <w:sz w:val="20"/>
          <w:szCs w:val="20"/>
        </w:rPr>
        <w:t>19</w:t>
      </w:r>
      <w:r w:rsidRPr="00A373C0">
        <w:rPr>
          <w:rFonts w:ascii="Times New Roman" w:hAnsi="Times New Roman" w:cs="Times New Roman"/>
          <w:sz w:val="20"/>
          <w:szCs w:val="20"/>
        </w:rPr>
        <w:t>(3), p.e1341.</w:t>
      </w:r>
    </w:p>
    <w:p w14:paraId="2A3B7F7A" w14:textId="5898FBB1" w:rsidR="005B539B" w:rsidRPr="00A373C0" w:rsidRDefault="005B539B" w:rsidP="00AB21C8">
      <w:pPr>
        <w:spacing w:line="360" w:lineRule="auto"/>
        <w:ind w:left="900" w:hanging="900"/>
        <w:rPr>
          <w:rFonts w:ascii="Times New Roman" w:hAnsi="Times New Roman" w:cs="Times New Roman"/>
          <w:i/>
          <w:sz w:val="20"/>
          <w:szCs w:val="20"/>
        </w:rPr>
      </w:pPr>
      <w:r w:rsidRPr="00A373C0">
        <w:rPr>
          <w:rFonts w:ascii="Times New Roman" w:hAnsi="Times New Roman" w:cs="Times New Roman"/>
          <w:sz w:val="20"/>
          <w:szCs w:val="20"/>
        </w:rPr>
        <w:t>Diana B., Le, T., Nguyen T. Hien and Chu Hong, M. (2022).</w:t>
      </w:r>
      <w:r w:rsidR="005600B5">
        <w:rPr>
          <w:rFonts w:ascii="Times New Roman" w:hAnsi="Times New Roman" w:cs="Times New Roman"/>
          <w:sz w:val="20"/>
          <w:szCs w:val="20"/>
        </w:rPr>
        <w:t xml:space="preserve"> </w:t>
      </w:r>
      <w:r w:rsidRPr="00A373C0">
        <w:rPr>
          <w:rFonts w:ascii="Times New Roman" w:hAnsi="Times New Roman" w:cs="Times New Roman"/>
          <w:i/>
          <w:sz w:val="20"/>
          <w:szCs w:val="20"/>
        </w:rPr>
        <w:t>Financial Access of Women-Owned Small and Medium-Sized Enterprises in Viet Nam. [Online] Available from</w:t>
      </w:r>
      <w:r w:rsidRPr="00A373C0">
        <w:rPr>
          <w:rFonts w:ascii="Times New Roman" w:hAnsi="Times New Roman" w:cs="Times New Roman"/>
          <w:sz w:val="20"/>
          <w:szCs w:val="20"/>
        </w:rPr>
        <w:t xml:space="preserve"> </w:t>
      </w:r>
      <w:hyperlink r:id="rId21" w:history="1">
        <w:r w:rsidRPr="00A373C0">
          <w:rPr>
            <w:rStyle w:val="Hyperlink"/>
            <w:rFonts w:ascii="Times New Roman" w:hAnsi="Times New Roman" w:cs="Times New Roman"/>
            <w:sz w:val="20"/>
            <w:szCs w:val="20"/>
          </w:rPr>
          <w:t>https://www.adb.org/sites/default/files/publication/850891/financial-access-women-owned-smes-viet-nam.pdf</w:t>
        </w:r>
      </w:hyperlink>
      <w:r w:rsidRPr="00A373C0">
        <w:rPr>
          <w:rFonts w:ascii="Times New Roman" w:hAnsi="Times New Roman" w:cs="Times New Roman"/>
          <w:i/>
          <w:sz w:val="20"/>
          <w:szCs w:val="20"/>
        </w:rPr>
        <w:t xml:space="preserve"> (Accessed 5th May, 2024)</w:t>
      </w:r>
    </w:p>
    <w:p w14:paraId="479625B1" w14:textId="77777777" w:rsidR="005B539B" w:rsidRPr="0025788F" w:rsidRDefault="005B539B" w:rsidP="0025788F">
      <w:pPr>
        <w:spacing w:line="360" w:lineRule="auto"/>
        <w:ind w:left="900" w:hanging="900"/>
        <w:rPr>
          <w:rFonts w:ascii="Times New Roman" w:hAnsi="Times New Roman" w:cs="Times New Roman"/>
          <w:sz w:val="20"/>
          <w:szCs w:val="20"/>
        </w:rPr>
      </w:pPr>
      <w:r w:rsidRPr="0025788F">
        <w:rPr>
          <w:rFonts w:ascii="Times New Roman" w:hAnsi="Times New Roman" w:cs="Times New Roman"/>
          <w:sz w:val="20"/>
          <w:szCs w:val="20"/>
        </w:rPr>
        <w:t>Dichter, T. W. (2006). Hype and Hope: The Worrisome State of the Microcredit Movement. Cato Institute Development Briefing Paper No. 1.</w:t>
      </w:r>
    </w:p>
    <w:p w14:paraId="6630D4E2"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 xml:space="preserve">Diop, M. (2015). How Empowering Women Can Help End Poverty in Africa. </w:t>
      </w:r>
      <w:hyperlink r:id="rId22" w:history="1">
        <w:r w:rsidRPr="00A373C0">
          <w:rPr>
            <w:rStyle w:val="Hyperlink"/>
            <w:rFonts w:ascii="Times New Roman" w:hAnsi="Times New Roman" w:cs="Times New Roman"/>
            <w:sz w:val="20"/>
            <w:szCs w:val="20"/>
          </w:rPr>
          <w:t>https://blogs.worldbank.org/en/nasikiliza/how-empowering-women-can-help-end-poverty-africa</w:t>
        </w:r>
      </w:hyperlink>
      <w:r w:rsidRPr="00A373C0">
        <w:rPr>
          <w:rFonts w:ascii="Times New Roman" w:hAnsi="Times New Roman" w:cs="Times New Roman"/>
          <w:sz w:val="20"/>
          <w:szCs w:val="20"/>
        </w:rPr>
        <w:t xml:space="preserve"> (Accessed on 5th May 2024)</w:t>
      </w:r>
    </w:p>
    <w:p w14:paraId="7A63DD48" w14:textId="77777777" w:rsidR="005B539B" w:rsidRPr="00A373C0" w:rsidRDefault="005B539B" w:rsidP="002A6270">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Duflo, E., Karlan, D., &amp; Conell, R. (2015). "A Meta-Analysis of Microcredit: Effects on Women's Empowerment and Well-Being." Journal of Economic Perspectives, 29(3), 121-144.</w:t>
      </w:r>
    </w:p>
    <w:p w14:paraId="642D04AC"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Dupas, P., Green, S., Keats, A. and Robinson, J., 2014. Challenges in banking the rural poor: Evidence from Kenya's western province. In </w:t>
      </w:r>
      <w:r w:rsidRPr="00A373C0">
        <w:rPr>
          <w:rFonts w:ascii="Times New Roman" w:hAnsi="Times New Roman" w:cs="Times New Roman"/>
          <w:i/>
          <w:iCs/>
          <w:sz w:val="20"/>
          <w:szCs w:val="20"/>
        </w:rPr>
        <w:t>African Successes, Volume III: Modernization and Development</w:t>
      </w:r>
      <w:r w:rsidRPr="00A373C0">
        <w:rPr>
          <w:rFonts w:ascii="Times New Roman" w:hAnsi="Times New Roman" w:cs="Times New Roman"/>
          <w:sz w:val="20"/>
          <w:szCs w:val="20"/>
        </w:rPr>
        <w:t xml:space="preserve"> (pp. 63-101). University of Chicago Press. </w:t>
      </w:r>
    </w:p>
    <w:p w14:paraId="2E191B85"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FINCA International (2024). "</w:t>
      </w:r>
      <w:r w:rsidRPr="00A373C0">
        <w:rPr>
          <w:rFonts w:ascii="Times New Roman" w:hAnsi="Times New Roman" w:cs="Times New Roman"/>
          <w:i/>
          <w:sz w:val="20"/>
          <w:szCs w:val="20"/>
        </w:rPr>
        <w:t>Village Banking</w:t>
      </w:r>
      <w:r w:rsidRPr="00A373C0">
        <w:rPr>
          <w:rFonts w:ascii="Times New Roman" w:hAnsi="Times New Roman" w:cs="Times New Roman"/>
          <w:sz w:val="20"/>
          <w:szCs w:val="20"/>
        </w:rPr>
        <w:t>." https://finca.org/our-work/microfinance/financial-services/village-banking (Accessed, 5th May 2024)</w:t>
      </w:r>
    </w:p>
    <w:p w14:paraId="14417969"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FinScope Zambia (2020). Survey Report</w:t>
      </w:r>
    </w:p>
    <w:p w14:paraId="2EDB7E8C"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Fletschner, D., and Mesbah, D. (2010). "</w:t>
      </w:r>
      <w:r w:rsidRPr="00A373C0">
        <w:rPr>
          <w:rFonts w:ascii="Times New Roman" w:hAnsi="Times New Roman" w:cs="Times New Roman"/>
          <w:i/>
          <w:sz w:val="20"/>
          <w:szCs w:val="20"/>
        </w:rPr>
        <w:t>Gender, Schooling, and the Promise of Microfinance</w:t>
      </w:r>
      <w:r w:rsidRPr="00A373C0">
        <w:rPr>
          <w:rFonts w:ascii="Times New Roman" w:hAnsi="Times New Roman" w:cs="Times New Roman"/>
          <w:sz w:val="20"/>
          <w:szCs w:val="20"/>
        </w:rPr>
        <w:t>: Some Evidence from West Bengal." World Development, 38(1), 67-81.</w:t>
      </w:r>
    </w:p>
    <w:p w14:paraId="35928CB0"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lastRenderedPageBreak/>
        <w:t>Friedman, B., and Allen, K. (2014). "</w:t>
      </w:r>
      <w:r w:rsidRPr="00A373C0">
        <w:rPr>
          <w:rFonts w:ascii="Times New Roman" w:hAnsi="Times New Roman" w:cs="Times New Roman"/>
          <w:i/>
          <w:sz w:val="20"/>
          <w:szCs w:val="20"/>
        </w:rPr>
        <w:t>Systems Theory</w:t>
      </w:r>
      <w:r w:rsidRPr="00A373C0">
        <w:rPr>
          <w:rFonts w:ascii="Times New Roman" w:hAnsi="Times New Roman" w:cs="Times New Roman"/>
          <w:sz w:val="20"/>
          <w:szCs w:val="20"/>
        </w:rPr>
        <w:t xml:space="preserve">." 10.13140/2.1.1132.9281. </w:t>
      </w:r>
    </w:p>
    <w:p w14:paraId="522C0EE2"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Gale, W.G. and Levine, R. (2011). Financial literacy: What works? How could it be more effective?. </w:t>
      </w:r>
      <w:r w:rsidRPr="00A373C0">
        <w:rPr>
          <w:rFonts w:ascii="Times New Roman" w:hAnsi="Times New Roman" w:cs="Times New Roman"/>
          <w:i/>
          <w:iCs/>
          <w:sz w:val="20"/>
          <w:szCs w:val="20"/>
        </w:rPr>
        <w:t>How could it be more effective</w:t>
      </w:r>
      <w:r w:rsidRPr="00A373C0">
        <w:rPr>
          <w:rFonts w:ascii="Times New Roman" w:hAnsi="Times New Roman" w:cs="Times New Roman"/>
          <w:sz w:val="20"/>
          <w:szCs w:val="20"/>
        </w:rPr>
        <w:t>.</w:t>
      </w:r>
    </w:p>
    <w:p w14:paraId="7F43D0DC"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Grameen Bank (2015). "</w:t>
      </w:r>
      <w:r w:rsidRPr="00A373C0">
        <w:rPr>
          <w:rFonts w:ascii="Times New Roman" w:hAnsi="Times New Roman" w:cs="Times New Roman"/>
          <w:i/>
          <w:sz w:val="20"/>
          <w:szCs w:val="20"/>
        </w:rPr>
        <w:t>Financial Annual Report</w:t>
      </w:r>
      <w:r w:rsidRPr="00A373C0">
        <w:rPr>
          <w:rFonts w:ascii="Times New Roman" w:hAnsi="Times New Roman" w:cs="Times New Roman"/>
          <w:sz w:val="20"/>
          <w:szCs w:val="20"/>
        </w:rPr>
        <w:t>." Dhaka Bangladesh; Grameen Bank Press.</w:t>
      </w:r>
    </w:p>
    <w:p w14:paraId="67B0832D"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Harper, S. (2017). "</w:t>
      </w:r>
      <w:r w:rsidRPr="00A373C0">
        <w:rPr>
          <w:rFonts w:ascii="Times New Roman" w:hAnsi="Times New Roman" w:cs="Times New Roman"/>
          <w:i/>
          <w:sz w:val="20"/>
          <w:szCs w:val="20"/>
        </w:rPr>
        <w:t>The importance of clear rules and regulations in enabling village-level microfinance initiatives</w:t>
      </w:r>
      <w:r w:rsidRPr="00A373C0">
        <w:rPr>
          <w:rFonts w:ascii="Times New Roman" w:hAnsi="Times New Roman" w:cs="Times New Roman"/>
          <w:sz w:val="20"/>
          <w:szCs w:val="20"/>
        </w:rPr>
        <w:t>." Journal of Microfinance, 10(2), 45-58.</w:t>
      </w:r>
    </w:p>
    <w:p w14:paraId="79A54DE7" w14:textId="77777777" w:rsidR="005B539B" w:rsidRPr="005B539B" w:rsidRDefault="005B539B" w:rsidP="005B539B">
      <w:pPr>
        <w:spacing w:line="360" w:lineRule="auto"/>
        <w:ind w:left="900" w:hanging="900"/>
        <w:rPr>
          <w:rFonts w:ascii="Times New Roman" w:hAnsi="Times New Roman" w:cs="Times New Roman"/>
          <w:sz w:val="20"/>
          <w:szCs w:val="20"/>
        </w:rPr>
      </w:pPr>
      <w:r w:rsidRPr="005B539B">
        <w:rPr>
          <w:rFonts w:ascii="Times New Roman" w:hAnsi="Times New Roman" w:cs="Times New Roman"/>
          <w:sz w:val="20"/>
          <w:szCs w:val="20"/>
        </w:rPr>
        <w:t>Hossein, C.S. and Bonsu, S.K. (2023). Situating the West African System of Collectivity: A Study of Susu Institutions in Ghana’s Urban Centers. Rethinking Marxism, 35(1), pp.108-134.</w:t>
      </w:r>
    </w:p>
    <w:p w14:paraId="55AAA116"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 xml:space="preserve">Jain, V. (2016). </w:t>
      </w:r>
      <w:r w:rsidRPr="00A373C0">
        <w:rPr>
          <w:rFonts w:ascii="Times New Roman" w:hAnsi="Times New Roman" w:cs="Times New Roman"/>
          <w:i/>
          <w:sz w:val="20"/>
          <w:szCs w:val="20"/>
        </w:rPr>
        <w:t>"Impact of microfinance on women’s empowerment</w:t>
      </w:r>
      <w:r w:rsidRPr="00A373C0">
        <w:rPr>
          <w:rFonts w:ascii="Times New Roman" w:hAnsi="Times New Roman" w:cs="Times New Roman"/>
          <w:sz w:val="20"/>
          <w:szCs w:val="20"/>
        </w:rPr>
        <w:t>: Analysis from a community-managed microfinance program in India." Economic Development and Cultural Change, 65(2), 341-376</w:t>
      </w:r>
    </w:p>
    <w:p w14:paraId="0DF2A0BD"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Jesuit Centre for Theological Reflection (2023). Report for the Month of July on Cost of Living.. Available from: https://www.jctr.org.zm/ [Accessed: May 1, 2024]</w:t>
      </w:r>
    </w:p>
    <w:p w14:paraId="300D1AAC"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Jones, G. A., and Dallimore, A. (2013).Banking on the poor: savings, poverty and access to financial services in rural south Africa. PhD thesis, London School of Economics and Political Science.</w:t>
      </w:r>
    </w:p>
    <w:p w14:paraId="01C5122D" w14:textId="77777777" w:rsidR="005B539B" w:rsidRPr="00A373C0" w:rsidRDefault="005B539B" w:rsidP="002A6270">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Kabeer, N. (2005). "Is Microfinance a 'Magic Bullet' for Women's Empowerment? Analysis of Findings from South Asia." Economic and Political Weekly, 40(44/45), 4709-4718.</w:t>
      </w:r>
    </w:p>
    <w:p w14:paraId="00570C16"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Kabeer, N., Mahmud, S., Natali, L., and Sime, D. (2014). "Can the MDGs provide a pathway to social justice? The challenge of intersecting inequalities." World Development, 64, S10-S24.</w:t>
      </w:r>
    </w:p>
    <w:p w14:paraId="26776344"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 xml:space="preserve">Kabri, A. (2009). </w:t>
      </w:r>
      <w:r w:rsidRPr="00A373C0">
        <w:rPr>
          <w:rFonts w:ascii="Times New Roman" w:hAnsi="Times New Roman" w:cs="Times New Roman"/>
          <w:i/>
          <w:sz w:val="20"/>
          <w:szCs w:val="20"/>
        </w:rPr>
        <w:t>The role of microfinance in poverty alleviation</w:t>
      </w:r>
      <w:r w:rsidRPr="00A373C0">
        <w:rPr>
          <w:rFonts w:ascii="Times New Roman" w:hAnsi="Times New Roman" w:cs="Times New Roman"/>
          <w:sz w:val="20"/>
          <w:szCs w:val="20"/>
        </w:rPr>
        <w:t>: A study in South Africa. Journal of Development Studies, 35(4), 567-581. [Online] Available at: DOI: 10.1080/106913609029740597 (Accessed: 15th March 2024).</w:t>
      </w:r>
    </w:p>
    <w:p w14:paraId="4D27E5D0"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 xml:space="preserve">Karim, L., and Kabeer, N. (2016). </w:t>
      </w:r>
      <w:r w:rsidRPr="00A373C0">
        <w:rPr>
          <w:rFonts w:ascii="Times New Roman" w:hAnsi="Times New Roman" w:cs="Times New Roman"/>
          <w:i/>
          <w:sz w:val="20"/>
          <w:szCs w:val="20"/>
        </w:rPr>
        <w:t>Microfinance and Gender</w:t>
      </w:r>
      <w:r w:rsidRPr="00A373C0">
        <w:rPr>
          <w:rFonts w:ascii="Times New Roman" w:hAnsi="Times New Roman" w:cs="Times New Roman"/>
          <w:sz w:val="20"/>
          <w:szCs w:val="20"/>
        </w:rPr>
        <w:t>: Issues, Challenges and the Road.</w:t>
      </w:r>
    </w:p>
    <w:p w14:paraId="0EA83C66"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Karlan, D. and Zinman, J., (2011). Microcredit in theory and practice: Using randomized credit scoring for impact evaluation. </w:t>
      </w:r>
      <w:r w:rsidRPr="00A373C0">
        <w:rPr>
          <w:rFonts w:ascii="Times New Roman" w:hAnsi="Times New Roman" w:cs="Times New Roman"/>
          <w:i/>
          <w:iCs/>
          <w:sz w:val="20"/>
          <w:szCs w:val="20"/>
        </w:rPr>
        <w:t>Science</w:t>
      </w:r>
      <w:r w:rsidRPr="00A373C0">
        <w:rPr>
          <w:rFonts w:ascii="Times New Roman" w:hAnsi="Times New Roman" w:cs="Times New Roman"/>
          <w:sz w:val="20"/>
          <w:szCs w:val="20"/>
        </w:rPr>
        <w:t>, </w:t>
      </w:r>
      <w:r w:rsidRPr="00A373C0">
        <w:rPr>
          <w:rFonts w:ascii="Times New Roman" w:hAnsi="Times New Roman" w:cs="Times New Roman"/>
          <w:i/>
          <w:iCs/>
          <w:sz w:val="20"/>
          <w:szCs w:val="20"/>
        </w:rPr>
        <w:t>332</w:t>
      </w:r>
      <w:r w:rsidRPr="00A373C0">
        <w:rPr>
          <w:rFonts w:ascii="Times New Roman" w:hAnsi="Times New Roman" w:cs="Times New Roman"/>
          <w:sz w:val="20"/>
          <w:szCs w:val="20"/>
        </w:rPr>
        <w:t>(6035), pp.1278-1284.</w:t>
      </w:r>
    </w:p>
    <w:p w14:paraId="6721D4BE"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 xml:space="preserve">Kerstetter, D. (2019). </w:t>
      </w:r>
      <w:r w:rsidRPr="00A373C0">
        <w:rPr>
          <w:rFonts w:ascii="Times New Roman" w:hAnsi="Times New Roman" w:cs="Times New Roman"/>
          <w:i/>
          <w:sz w:val="20"/>
          <w:szCs w:val="20"/>
        </w:rPr>
        <w:t>Microfinance and its Impact on Women</w:t>
      </w:r>
      <w:r w:rsidRPr="00A373C0">
        <w:rPr>
          <w:rFonts w:ascii="Times New Roman" w:hAnsi="Times New Roman" w:cs="Times New Roman"/>
          <w:sz w:val="20"/>
          <w:szCs w:val="20"/>
        </w:rPr>
        <w:t>: A Case Study of India, Bangladesh, and Malaysia. Elizabethtown College.</w:t>
      </w:r>
    </w:p>
    <w:p w14:paraId="17EB6600"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Kesanta, J. and Andre, B.(2015). Impact of women empowered through community savings groups on the wellbeing of their families: A study from Mgubwe, Tanzania. Interdisciplinary Journal of Best Practices in Global Development, 1(1), p.4.</w:t>
      </w:r>
    </w:p>
    <w:p w14:paraId="3CB4D3D5"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Khan, A.A., Mustafa, F. and Khursheed, A.(2018). Impact of global financial crisis on socially innovative microfinance institutions in Pakistan.</w:t>
      </w:r>
    </w:p>
    <w:p w14:paraId="002F7750"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 xml:space="preserve">Khandker, S. R. (2003). </w:t>
      </w:r>
      <w:r w:rsidRPr="00A373C0">
        <w:rPr>
          <w:rFonts w:ascii="Times New Roman" w:hAnsi="Times New Roman" w:cs="Times New Roman"/>
          <w:i/>
          <w:sz w:val="20"/>
          <w:szCs w:val="20"/>
        </w:rPr>
        <w:t>Microfinance and Poverty</w:t>
      </w:r>
      <w:r w:rsidRPr="00A373C0">
        <w:rPr>
          <w:rFonts w:ascii="Times New Roman" w:hAnsi="Times New Roman" w:cs="Times New Roman"/>
          <w:sz w:val="20"/>
          <w:szCs w:val="20"/>
        </w:rPr>
        <w:t>: Evidence Using Panel Data from Bangladesh. The World Bank Economic Review, 17(3), 263–286. doi: 10.1093/wber/lhg021 (Accessed, 25th February, 2024)</w:t>
      </w:r>
    </w:p>
    <w:p w14:paraId="3800DEE0"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Khandker, S.R. and Samad, H.A.(2014). Dynamic effects of microcredit in Bangladesh. </w:t>
      </w:r>
      <w:r w:rsidRPr="00A373C0">
        <w:rPr>
          <w:rFonts w:ascii="Times New Roman" w:hAnsi="Times New Roman" w:cs="Times New Roman"/>
          <w:i/>
          <w:iCs/>
          <w:sz w:val="20"/>
          <w:szCs w:val="20"/>
        </w:rPr>
        <w:t>World Bank Policy Research Working Paper</w:t>
      </w:r>
      <w:r w:rsidRPr="00A373C0">
        <w:rPr>
          <w:rFonts w:ascii="Times New Roman" w:hAnsi="Times New Roman" w:cs="Times New Roman"/>
          <w:sz w:val="20"/>
          <w:szCs w:val="20"/>
        </w:rPr>
        <w:t>, (6821).</w:t>
      </w:r>
    </w:p>
    <w:p w14:paraId="147314AA"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Khursheed, A.(2022). Exploring the role of microfinance in women’s empowerment and entrepreneurial development: a qualitative study. </w:t>
      </w:r>
      <w:r w:rsidRPr="00A373C0">
        <w:rPr>
          <w:rFonts w:ascii="Times New Roman" w:hAnsi="Times New Roman" w:cs="Times New Roman"/>
          <w:i/>
          <w:iCs/>
          <w:sz w:val="20"/>
          <w:szCs w:val="20"/>
        </w:rPr>
        <w:t>Future Business Journal</w:t>
      </w:r>
      <w:r w:rsidRPr="00A373C0">
        <w:rPr>
          <w:rFonts w:ascii="Times New Roman" w:hAnsi="Times New Roman" w:cs="Times New Roman"/>
          <w:sz w:val="20"/>
          <w:szCs w:val="20"/>
        </w:rPr>
        <w:t>, </w:t>
      </w:r>
      <w:r w:rsidRPr="00A373C0">
        <w:rPr>
          <w:rFonts w:ascii="Times New Roman" w:hAnsi="Times New Roman" w:cs="Times New Roman"/>
          <w:i/>
          <w:iCs/>
          <w:sz w:val="20"/>
          <w:szCs w:val="20"/>
        </w:rPr>
        <w:t>8</w:t>
      </w:r>
      <w:r w:rsidRPr="00A373C0">
        <w:rPr>
          <w:rFonts w:ascii="Times New Roman" w:hAnsi="Times New Roman" w:cs="Times New Roman"/>
          <w:sz w:val="20"/>
          <w:szCs w:val="20"/>
        </w:rPr>
        <w:t>(1), p.57.</w:t>
      </w:r>
    </w:p>
    <w:p w14:paraId="1DEC8518"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lastRenderedPageBreak/>
        <w:t>Klaveren, M., Tijdens, K., Williams, M., and Ramos Martín, N. (2009). An overview of women’s work and employment in Zambia. University of Amsterdam AIAS Working Papers WP 80. Revised 4</w:t>
      </w:r>
      <w:r w:rsidRPr="00A373C0">
        <w:rPr>
          <w:rFonts w:ascii="Times New Roman" w:hAnsi="Times New Roman" w:cs="Times New Roman"/>
          <w:sz w:val="20"/>
          <w:szCs w:val="20"/>
          <w:vertAlign w:val="superscript"/>
        </w:rPr>
        <w:t>th</w:t>
      </w:r>
      <w:r w:rsidRPr="00A373C0">
        <w:rPr>
          <w:rFonts w:ascii="Times New Roman" w:hAnsi="Times New Roman" w:cs="Times New Roman"/>
          <w:sz w:val="20"/>
          <w:szCs w:val="20"/>
        </w:rPr>
        <w:t xml:space="preserve"> Edition</w:t>
      </w:r>
    </w:p>
    <w:p w14:paraId="15BA9A33"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 xml:space="preserve">Kukano, C., and Kukano, P. (2023). </w:t>
      </w:r>
      <w:r w:rsidRPr="00A373C0">
        <w:rPr>
          <w:rFonts w:ascii="Times New Roman" w:hAnsi="Times New Roman" w:cs="Times New Roman"/>
          <w:i/>
          <w:sz w:val="20"/>
          <w:szCs w:val="20"/>
        </w:rPr>
        <w:t>An Evaluation of the Influence of Village Banking on Livelihoods</w:t>
      </w:r>
      <w:r w:rsidRPr="00A373C0">
        <w:rPr>
          <w:rFonts w:ascii="Times New Roman" w:hAnsi="Times New Roman" w:cs="Times New Roman"/>
          <w:sz w:val="20"/>
          <w:szCs w:val="20"/>
        </w:rPr>
        <w:t xml:space="preserve">: A Case of Mpingu Extension Planning Area in Lilongwe District, Malawi. 11. 35-40. </w:t>
      </w:r>
    </w:p>
    <w:p w14:paraId="32BA5E03" w14:textId="6D75FF10"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Lu, Z., Li, H. and Wu, J.</w:t>
      </w:r>
      <w:r w:rsidR="002A7594">
        <w:rPr>
          <w:rFonts w:ascii="Times New Roman" w:hAnsi="Times New Roman" w:cs="Times New Roman"/>
          <w:sz w:val="20"/>
          <w:szCs w:val="20"/>
        </w:rPr>
        <w:t xml:space="preserve"> </w:t>
      </w:r>
      <w:r w:rsidRPr="00A373C0">
        <w:rPr>
          <w:rFonts w:ascii="Times New Roman" w:hAnsi="Times New Roman" w:cs="Times New Roman"/>
          <w:sz w:val="20"/>
          <w:szCs w:val="20"/>
        </w:rPr>
        <w:t>(2024). Exploring the impact of financial literacy on predicting credit default among farmers: An analysis using a hybrid machine learning model. </w:t>
      </w:r>
      <w:r w:rsidRPr="00A373C0">
        <w:rPr>
          <w:rFonts w:ascii="Times New Roman" w:hAnsi="Times New Roman" w:cs="Times New Roman"/>
          <w:i/>
          <w:iCs/>
          <w:sz w:val="20"/>
          <w:szCs w:val="20"/>
        </w:rPr>
        <w:t>Borsa Istanbul Review</w:t>
      </w:r>
      <w:r w:rsidRPr="00A373C0">
        <w:rPr>
          <w:rFonts w:ascii="Times New Roman" w:hAnsi="Times New Roman" w:cs="Times New Roman"/>
          <w:sz w:val="20"/>
          <w:szCs w:val="20"/>
        </w:rPr>
        <w:t>.</w:t>
      </w:r>
    </w:p>
    <w:p w14:paraId="32B55782"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Lungu, A. (2020). Assessment of the Village Banking Project on Young Women’s Economic.</w:t>
      </w:r>
    </w:p>
    <w:p w14:paraId="71EAD577"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Lweendo, E.M., 2022. </w:t>
      </w:r>
      <w:r w:rsidRPr="00A373C0">
        <w:rPr>
          <w:rFonts w:ascii="Times New Roman" w:hAnsi="Times New Roman" w:cs="Times New Roman"/>
          <w:i/>
          <w:iCs/>
          <w:sz w:val="20"/>
          <w:szCs w:val="20"/>
        </w:rPr>
        <w:t>The impact of village banking on financial inclusion for female marketeers: c case study of Masala market in Ndola</w:t>
      </w:r>
      <w:r w:rsidRPr="00A373C0">
        <w:rPr>
          <w:rFonts w:ascii="Times New Roman" w:hAnsi="Times New Roman" w:cs="Times New Roman"/>
          <w:sz w:val="20"/>
          <w:szCs w:val="20"/>
        </w:rPr>
        <w:t> (Doctoral dissertation, The University of Zambia).</w:t>
      </w:r>
    </w:p>
    <w:p w14:paraId="590C1BC2" w14:textId="580F653B"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 xml:space="preserve">Maldonado, J., Gonzalez-Vega, C., and Romero, V. (2003). The Influence </w:t>
      </w:r>
      <w:r w:rsidR="002A7594">
        <w:rPr>
          <w:rFonts w:ascii="Times New Roman" w:hAnsi="Times New Roman" w:cs="Times New Roman"/>
          <w:sz w:val="20"/>
          <w:szCs w:val="20"/>
        </w:rPr>
        <w:t>o</w:t>
      </w:r>
      <w:r w:rsidRPr="00A373C0">
        <w:rPr>
          <w:rFonts w:ascii="Times New Roman" w:hAnsi="Times New Roman" w:cs="Times New Roman"/>
          <w:sz w:val="20"/>
          <w:szCs w:val="20"/>
        </w:rPr>
        <w:t xml:space="preserve">f Microfinance </w:t>
      </w:r>
      <w:r w:rsidR="002A7594">
        <w:rPr>
          <w:rFonts w:ascii="Times New Roman" w:hAnsi="Times New Roman" w:cs="Times New Roman"/>
          <w:sz w:val="20"/>
          <w:szCs w:val="20"/>
        </w:rPr>
        <w:t>o</w:t>
      </w:r>
      <w:r w:rsidRPr="00A373C0">
        <w:rPr>
          <w:rFonts w:ascii="Times New Roman" w:hAnsi="Times New Roman" w:cs="Times New Roman"/>
          <w:sz w:val="20"/>
          <w:szCs w:val="20"/>
        </w:rPr>
        <w:t xml:space="preserve">n The Education Decisions </w:t>
      </w:r>
      <w:r w:rsidR="002A7594">
        <w:rPr>
          <w:rFonts w:ascii="Times New Roman" w:hAnsi="Times New Roman" w:cs="Times New Roman"/>
          <w:sz w:val="20"/>
          <w:szCs w:val="20"/>
        </w:rPr>
        <w:t>o</w:t>
      </w:r>
      <w:r w:rsidRPr="00A373C0">
        <w:rPr>
          <w:rFonts w:ascii="Times New Roman" w:hAnsi="Times New Roman" w:cs="Times New Roman"/>
          <w:sz w:val="20"/>
          <w:szCs w:val="20"/>
        </w:rPr>
        <w:t xml:space="preserve">f Rural Households: Evidence </w:t>
      </w:r>
      <w:r w:rsidR="002A7594">
        <w:rPr>
          <w:rFonts w:ascii="Times New Roman" w:hAnsi="Times New Roman" w:cs="Times New Roman"/>
          <w:sz w:val="20"/>
          <w:szCs w:val="20"/>
        </w:rPr>
        <w:t>f</w:t>
      </w:r>
      <w:r w:rsidRPr="00A373C0">
        <w:rPr>
          <w:rFonts w:ascii="Times New Roman" w:hAnsi="Times New Roman" w:cs="Times New Roman"/>
          <w:sz w:val="20"/>
          <w:szCs w:val="20"/>
        </w:rPr>
        <w:t>rom Bolivia. American Agricultural Economics Association (Agricultural and Applied Economics Association), 2003 Annual meeting, July 27-30, Montreal, Canada.</w:t>
      </w:r>
    </w:p>
    <w:p w14:paraId="4091C01C" w14:textId="599E4E46"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Mashigo, P. and Kabir, H.</w:t>
      </w:r>
      <w:r w:rsidR="002A7594">
        <w:rPr>
          <w:rFonts w:ascii="Times New Roman" w:hAnsi="Times New Roman" w:cs="Times New Roman"/>
          <w:sz w:val="20"/>
          <w:szCs w:val="20"/>
        </w:rPr>
        <w:t xml:space="preserve"> </w:t>
      </w:r>
      <w:r w:rsidRPr="00A373C0">
        <w:rPr>
          <w:rFonts w:ascii="Times New Roman" w:hAnsi="Times New Roman" w:cs="Times New Roman"/>
          <w:sz w:val="20"/>
          <w:szCs w:val="20"/>
        </w:rPr>
        <w:t>(2016). Village banks: a financial strategy for developing the South African poor households. </w:t>
      </w:r>
      <w:r w:rsidRPr="00A373C0">
        <w:rPr>
          <w:rFonts w:ascii="Times New Roman" w:hAnsi="Times New Roman" w:cs="Times New Roman"/>
          <w:i/>
          <w:iCs/>
          <w:sz w:val="20"/>
          <w:szCs w:val="20"/>
        </w:rPr>
        <w:t>Banks &amp; bank systems</w:t>
      </w:r>
      <w:r w:rsidRPr="00A373C0">
        <w:rPr>
          <w:rFonts w:ascii="Times New Roman" w:hAnsi="Times New Roman" w:cs="Times New Roman"/>
          <w:sz w:val="20"/>
          <w:szCs w:val="20"/>
        </w:rPr>
        <w:t>, (11, Iss. 2), pp.8-13.</w:t>
      </w:r>
    </w:p>
    <w:p w14:paraId="3283DBD2"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Miraj, J., Haider, S., Abbas, Q., Naeem, I., Nishtar, Z. and Lodhi, K. (2023). Assessing the Effectiveness of Financial Literacy Programs for Business Student. </w:t>
      </w:r>
      <w:r w:rsidRPr="00A373C0">
        <w:rPr>
          <w:rFonts w:ascii="Times New Roman" w:hAnsi="Times New Roman" w:cs="Times New Roman"/>
          <w:i/>
          <w:iCs/>
          <w:sz w:val="20"/>
          <w:szCs w:val="20"/>
        </w:rPr>
        <w:t>Bulletin of Business and Economics (BBE)</w:t>
      </w:r>
      <w:r w:rsidRPr="00A373C0">
        <w:rPr>
          <w:rFonts w:ascii="Times New Roman" w:hAnsi="Times New Roman" w:cs="Times New Roman"/>
          <w:sz w:val="20"/>
          <w:szCs w:val="20"/>
        </w:rPr>
        <w:t>, </w:t>
      </w:r>
      <w:r w:rsidRPr="00A373C0">
        <w:rPr>
          <w:rFonts w:ascii="Times New Roman" w:hAnsi="Times New Roman" w:cs="Times New Roman"/>
          <w:i/>
          <w:iCs/>
          <w:sz w:val="20"/>
          <w:szCs w:val="20"/>
        </w:rPr>
        <w:t>12</w:t>
      </w:r>
      <w:r w:rsidRPr="00A373C0">
        <w:rPr>
          <w:rFonts w:ascii="Times New Roman" w:hAnsi="Times New Roman" w:cs="Times New Roman"/>
          <w:sz w:val="20"/>
          <w:szCs w:val="20"/>
        </w:rPr>
        <w:t>(3), pp.587-594.</w:t>
      </w:r>
    </w:p>
    <w:p w14:paraId="05E5C992" w14:textId="0EC84AAD" w:rsidR="009B7209" w:rsidRPr="009B7209" w:rsidRDefault="009B7209" w:rsidP="009B7209">
      <w:pPr>
        <w:spacing w:line="360" w:lineRule="auto"/>
        <w:ind w:left="900" w:hanging="900"/>
        <w:rPr>
          <w:rFonts w:ascii="Times New Roman" w:hAnsi="Times New Roman" w:cs="Times New Roman"/>
          <w:sz w:val="20"/>
          <w:szCs w:val="20"/>
        </w:rPr>
      </w:pPr>
      <w:r w:rsidRPr="009B7209">
        <w:rPr>
          <w:rFonts w:ascii="Times New Roman" w:hAnsi="Times New Roman" w:cs="Times New Roman"/>
          <w:sz w:val="20"/>
          <w:szCs w:val="20"/>
        </w:rPr>
        <w:t>Mojakisane, T., Siamabele, B., Kaliba, M. &amp;amp; Mumba, R. P. (2023). Women in Informal Trade Amidst COVID-19:</w:t>
      </w:r>
      <w:r>
        <w:rPr>
          <w:rFonts w:ascii="Times New Roman" w:hAnsi="Times New Roman" w:cs="Times New Roman"/>
          <w:sz w:val="20"/>
          <w:szCs w:val="20"/>
        </w:rPr>
        <w:t xml:space="preserve"> </w:t>
      </w:r>
      <w:r w:rsidRPr="009B7209">
        <w:rPr>
          <w:rFonts w:ascii="Times New Roman" w:hAnsi="Times New Roman" w:cs="Times New Roman"/>
          <w:sz w:val="20"/>
          <w:szCs w:val="20"/>
        </w:rPr>
        <w:t>SOA Market Cameroon. Journal of Social Sciences, 19(1), 96-105.</w:t>
      </w:r>
    </w:p>
    <w:p w14:paraId="637D9F0E" w14:textId="4371482C" w:rsidR="009B7209" w:rsidRDefault="009B7209" w:rsidP="009B7209">
      <w:pPr>
        <w:spacing w:line="360" w:lineRule="auto"/>
        <w:ind w:left="900" w:hanging="900"/>
        <w:rPr>
          <w:rFonts w:ascii="Times New Roman" w:hAnsi="Times New Roman" w:cs="Times New Roman"/>
          <w:sz w:val="20"/>
          <w:szCs w:val="20"/>
        </w:rPr>
      </w:pPr>
      <w:r>
        <w:rPr>
          <w:rFonts w:ascii="Times New Roman" w:hAnsi="Times New Roman" w:cs="Times New Roman"/>
          <w:sz w:val="20"/>
          <w:szCs w:val="20"/>
        </w:rPr>
        <w:tab/>
      </w:r>
      <w:hyperlink r:id="rId23" w:history="1">
        <w:r w:rsidRPr="00972E46">
          <w:rPr>
            <w:rStyle w:val="Hyperlink"/>
            <w:rFonts w:ascii="Times New Roman" w:hAnsi="Times New Roman" w:cs="Times New Roman"/>
            <w:sz w:val="20"/>
            <w:szCs w:val="20"/>
          </w:rPr>
          <w:t>https://doi.org/10.3844/jssp.2023.96.105</w:t>
        </w:r>
      </w:hyperlink>
    </w:p>
    <w:p w14:paraId="0794E57A" w14:textId="34E58074" w:rsidR="005B539B" w:rsidRPr="00A373C0" w:rsidRDefault="005B539B" w:rsidP="009B7209">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Morduch, J. and Armendariz, B. (2005). The economics of microfinance, The MIT Press.</w:t>
      </w:r>
    </w:p>
    <w:p w14:paraId="76343928" w14:textId="77777777" w:rsidR="005B539B" w:rsidRPr="00A373C0" w:rsidRDefault="005B539B" w:rsidP="002A6270">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Mponzi, W.P., Msaky, D.S., Binyaruka, P. and Kaindoa, E.W. (2023). Exploring the potential of village community banking as a community-based financing system for house improvements and malaria vector control in rural Tanzania. PLOS Global Public Health, 3(11), p.e0002395.</w:t>
      </w:r>
    </w:p>
    <w:p w14:paraId="14C97458" w14:textId="20D939B8" w:rsidR="007D4C7F" w:rsidRPr="007D4C7F" w:rsidRDefault="007D4C7F" w:rsidP="007D4C7F">
      <w:pPr>
        <w:autoSpaceDN w:val="0"/>
        <w:jc w:val="both"/>
        <w:rPr>
          <w:rFonts w:ascii="Times New Roman" w:hAnsi="Times New Roman" w:cs="Times New Roman"/>
        </w:rPr>
      </w:pPr>
      <w:r w:rsidRPr="007D4C7F">
        <w:rPr>
          <w:rFonts w:ascii="Times New Roman" w:hAnsi="Times New Roman" w:cs="Times New Roman"/>
          <w:sz w:val="20"/>
        </w:rPr>
        <w:t>Mumba, M</w:t>
      </w:r>
      <w:r w:rsidR="00C24120">
        <w:rPr>
          <w:rFonts w:ascii="Times New Roman" w:hAnsi="Times New Roman" w:cs="Times New Roman"/>
          <w:sz w:val="20"/>
        </w:rPr>
        <w:t>.</w:t>
      </w:r>
      <w:r w:rsidRPr="007D4C7F">
        <w:rPr>
          <w:rFonts w:ascii="Times New Roman" w:hAnsi="Times New Roman" w:cs="Times New Roman"/>
          <w:sz w:val="20"/>
        </w:rPr>
        <w:t xml:space="preserve"> (2016)</w:t>
      </w:r>
      <w:r>
        <w:rPr>
          <w:rFonts w:ascii="Times New Roman" w:hAnsi="Times New Roman" w:cs="Times New Roman"/>
          <w:sz w:val="20"/>
        </w:rPr>
        <w:t>.</w:t>
      </w:r>
      <w:r w:rsidRPr="007D4C7F">
        <w:rPr>
          <w:rFonts w:ascii="Times New Roman" w:hAnsi="Times New Roman" w:cs="Times New Roman"/>
          <w:sz w:val="20"/>
        </w:rPr>
        <w:t xml:space="preserve"> ‘Social Capital among Young entrepreneurs in Zambia’ in Kathrine V. Gough and Thilde </w:t>
      </w:r>
      <w:r>
        <w:rPr>
          <w:rFonts w:ascii="Times New Roman" w:hAnsi="Times New Roman" w:cs="Times New Roman"/>
          <w:sz w:val="20"/>
        </w:rPr>
        <w:tab/>
      </w:r>
      <w:r w:rsidRPr="007D4C7F">
        <w:rPr>
          <w:rFonts w:ascii="Times New Roman" w:hAnsi="Times New Roman" w:cs="Times New Roman"/>
          <w:sz w:val="20"/>
        </w:rPr>
        <w:t xml:space="preserve">Langevang (eds) ‘Youth and Employment in Africa’. </w:t>
      </w:r>
      <w:r>
        <w:rPr>
          <w:rFonts w:ascii="Times New Roman" w:hAnsi="Times New Roman" w:cs="Times New Roman"/>
          <w:sz w:val="20"/>
        </w:rPr>
        <w:t>London and New York: Routledge.</w:t>
      </w:r>
    </w:p>
    <w:p w14:paraId="30B7C33B" w14:textId="77777777" w:rsidR="007D4C7F" w:rsidRDefault="007D4C7F" w:rsidP="00AB21C8">
      <w:pPr>
        <w:spacing w:line="360" w:lineRule="auto"/>
        <w:ind w:left="900" w:hanging="900"/>
        <w:rPr>
          <w:rFonts w:ascii="Times New Roman" w:hAnsi="Times New Roman" w:cs="Times New Roman"/>
          <w:sz w:val="20"/>
          <w:szCs w:val="20"/>
        </w:rPr>
      </w:pPr>
    </w:p>
    <w:p w14:paraId="4C81AA71" w14:textId="4437EE24"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Musonda, A. (2020). The Impact of Village Saving and Loan Associations on Low-Income Households in the Petauka District, Eastern Province of Zambia, Journal of Economic Development and Policy, 8(2), pp. 112-127.</w:t>
      </w:r>
    </w:p>
    <w:p w14:paraId="25749515"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 xml:space="preserve">Mususa, C (2019). Women empowerment through recycling. </w:t>
      </w:r>
      <w:hyperlink r:id="rId24" w:history="1">
        <w:r w:rsidRPr="00A373C0">
          <w:rPr>
            <w:rStyle w:val="Hyperlink"/>
            <w:rFonts w:ascii="Times New Roman" w:hAnsi="Times New Roman" w:cs="Times New Roman"/>
            <w:sz w:val="20"/>
            <w:szCs w:val="20"/>
          </w:rPr>
          <w:t>https://lusakastar.com/features/women-empowerment-through-recycling</w:t>
        </w:r>
      </w:hyperlink>
      <w:r w:rsidRPr="00A373C0">
        <w:rPr>
          <w:rFonts w:ascii="Times New Roman" w:hAnsi="Times New Roman" w:cs="Times New Roman"/>
          <w:sz w:val="20"/>
          <w:szCs w:val="20"/>
        </w:rPr>
        <w:t xml:space="preserve"> (Accessed, March, 2024) </w:t>
      </w:r>
    </w:p>
    <w:p w14:paraId="04880CEA"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Mwansakilwa, C., Tembo, G., Zulu, M.M. and Wamulume, M.(2017). Village savings and loan associations and household welfare: Evidence from Eastern and Western Zambia. </w:t>
      </w:r>
      <w:r w:rsidRPr="00A373C0">
        <w:rPr>
          <w:rFonts w:ascii="Times New Roman" w:hAnsi="Times New Roman" w:cs="Times New Roman"/>
          <w:i/>
          <w:iCs/>
          <w:sz w:val="20"/>
          <w:szCs w:val="20"/>
        </w:rPr>
        <w:t>African Journal of Agricultural and Resource Economics</w:t>
      </w:r>
      <w:r w:rsidRPr="00A373C0">
        <w:rPr>
          <w:rFonts w:ascii="Times New Roman" w:hAnsi="Times New Roman" w:cs="Times New Roman"/>
          <w:sz w:val="20"/>
          <w:szCs w:val="20"/>
        </w:rPr>
        <w:t>, </w:t>
      </w:r>
      <w:r w:rsidRPr="00A373C0">
        <w:rPr>
          <w:rFonts w:ascii="Times New Roman" w:hAnsi="Times New Roman" w:cs="Times New Roman"/>
          <w:i/>
          <w:iCs/>
          <w:sz w:val="20"/>
          <w:szCs w:val="20"/>
        </w:rPr>
        <w:t>12</w:t>
      </w:r>
      <w:r w:rsidRPr="00A373C0">
        <w:rPr>
          <w:rFonts w:ascii="Times New Roman" w:hAnsi="Times New Roman" w:cs="Times New Roman"/>
          <w:sz w:val="20"/>
          <w:szCs w:val="20"/>
        </w:rPr>
        <w:t>(1), pp.85-97.</w:t>
      </w:r>
    </w:p>
    <w:p w14:paraId="72642F04"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Nath, K., Puhazhendi, V., Kishore, M. D. and Padhi, P. (2017). Impact of repayment periods on the sustainability of microfinance institutions</w:t>
      </w:r>
      <w:r w:rsidRPr="00A373C0">
        <w:rPr>
          <w:rFonts w:ascii="Times New Roman" w:hAnsi="Times New Roman" w:cs="Times New Roman"/>
          <w:i/>
          <w:sz w:val="20"/>
          <w:szCs w:val="20"/>
        </w:rPr>
        <w:t xml:space="preserve">: </w:t>
      </w:r>
      <w:r w:rsidRPr="00A373C0">
        <w:rPr>
          <w:rFonts w:ascii="Times New Roman" w:hAnsi="Times New Roman" w:cs="Times New Roman"/>
          <w:sz w:val="20"/>
          <w:szCs w:val="20"/>
        </w:rPr>
        <w:t>A study in India',Asian Journal of Agricultural Extension, Economics and Sociology, 16(1), pp. 1-12.</w:t>
      </w:r>
    </w:p>
    <w:p w14:paraId="086CADA2"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lastRenderedPageBreak/>
        <w:t>National Financial Sector Development Policy (NFSD) (2017). Zambia Financial Capability Survey Report , Lusaka, Ministry Of Finance.</w:t>
      </w:r>
    </w:p>
    <w:p w14:paraId="4C4DD905" w14:textId="77777777" w:rsidR="005B539B" w:rsidRPr="00A373C0" w:rsidRDefault="005B539B" w:rsidP="005B539B">
      <w:pPr>
        <w:spacing w:line="360" w:lineRule="auto"/>
        <w:ind w:left="900" w:hanging="900"/>
        <w:rPr>
          <w:rFonts w:ascii="Times New Roman" w:hAnsi="Times New Roman" w:cs="Times New Roman"/>
          <w:sz w:val="20"/>
          <w:szCs w:val="20"/>
        </w:rPr>
      </w:pPr>
      <w:r w:rsidRPr="005B539B">
        <w:rPr>
          <w:rFonts w:ascii="Times New Roman" w:hAnsi="Times New Roman" w:cs="Times New Roman"/>
          <w:sz w:val="20"/>
          <w:szCs w:val="20"/>
        </w:rPr>
        <w:t>NGWEMBANO, M. (2023). The Role of Sustainable Village Community Bank on Improving Standard of Living to Its Members (Doctoral dissertation, Institute of Accountancy Arusha (IAA).</w:t>
      </w:r>
    </w:p>
    <w:p w14:paraId="618B855B"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Niaz, S. and Igbal, J. (2019). Effect of Microfinance on Women Empowerment, Journal of Gender Studies, 4(2), pp. 87-102.</w:t>
      </w:r>
    </w:p>
    <w:p w14:paraId="4087ED85" w14:textId="77777777" w:rsidR="005B539B" w:rsidRPr="00A373C0" w:rsidRDefault="005B539B" w:rsidP="002A6270">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Nihangaza, S. and Kwizera, E., 2023. Exploring the effect of women empowerment on sustainable development with reference to village savings and loans associations (VSLA) partners of FVS-Amie des Enfants in Makamba Province. International Journal of Public Administration and Management Research, 8(4), pp.1-6.</w:t>
      </w:r>
    </w:p>
    <w:p w14:paraId="39AFCBA7" w14:textId="77777777" w:rsidR="005B539B" w:rsidRPr="00A373C0" w:rsidRDefault="005B539B" w:rsidP="002A6270">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Noureen, A. (2023). Microfinance for Women and Khawaja Saras in Pakistan: Opportunities and Limitations (Doctoral dissertation, Central European University).</w:t>
      </w:r>
    </w:p>
    <w:p w14:paraId="28249252"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 xml:space="preserve">OECD (2013).Economic well-being. OECD Framework for Statistics on the Distribution of Household Income, Consumption and Wealth, OECD Publishing, Paris. DOI: https://doi.org/10.1787/9789264194830-5-en </w:t>
      </w:r>
    </w:p>
    <w:p w14:paraId="1E0E26AA"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Putman, R. (2000). Bowling Alone: The Collapse and Revival of American Community.</w:t>
      </w:r>
    </w:p>
    <w:p w14:paraId="1FEDF731" w14:textId="77777777" w:rsidR="005B539B"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 xml:space="preserve">Rutenge, O. (2016). </w:t>
      </w:r>
      <w:r w:rsidRPr="00A373C0">
        <w:rPr>
          <w:rFonts w:ascii="Times New Roman" w:hAnsi="Times New Roman" w:cs="Times New Roman"/>
          <w:i/>
          <w:sz w:val="20"/>
          <w:szCs w:val="20"/>
        </w:rPr>
        <w:t>'Assessing the contribution of village community bank on household welfare</w:t>
      </w:r>
      <w:r w:rsidRPr="00A373C0">
        <w:rPr>
          <w:rFonts w:ascii="Times New Roman" w:hAnsi="Times New Roman" w:cs="Times New Roman"/>
          <w:sz w:val="20"/>
          <w:szCs w:val="20"/>
        </w:rPr>
        <w:t>: a case study of kishapu district, shinyanga'.</w:t>
      </w:r>
    </w:p>
    <w:p w14:paraId="67311500" w14:textId="46BED506" w:rsidR="00737A9F" w:rsidRDefault="00737A9F" w:rsidP="00AB21C8">
      <w:pPr>
        <w:spacing w:line="360" w:lineRule="auto"/>
        <w:ind w:left="900" w:hanging="900"/>
        <w:rPr>
          <w:rFonts w:ascii="Times New Roman" w:hAnsi="Times New Roman" w:cs="Times New Roman"/>
          <w:sz w:val="20"/>
          <w:szCs w:val="20"/>
        </w:rPr>
      </w:pPr>
      <w:r w:rsidRPr="00737A9F">
        <w:rPr>
          <w:rFonts w:ascii="Times New Roman" w:hAnsi="Times New Roman" w:cs="Times New Roman"/>
          <w:sz w:val="20"/>
          <w:szCs w:val="20"/>
        </w:rPr>
        <w:t>Siamabele</w:t>
      </w:r>
      <w:r>
        <w:rPr>
          <w:rFonts w:ascii="Times New Roman" w:hAnsi="Times New Roman" w:cs="Times New Roman"/>
          <w:sz w:val="20"/>
          <w:szCs w:val="20"/>
        </w:rPr>
        <w:t xml:space="preserve"> B.,</w:t>
      </w:r>
      <w:r w:rsidRPr="00737A9F">
        <w:rPr>
          <w:rFonts w:ascii="Times New Roman" w:hAnsi="Times New Roman" w:cs="Times New Roman"/>
          <w:sz w:val="20"/>
          <w:szCs w:val="20"/>
        </w:rPr>
        <w:t xml:space="preserve"> and Phiri </w:t>
      </w:r>
      <w:r w:rsidR="00585771">
        <w:rPr>
          <w:rFonts w:ascii="Times New Roman" w:hAnsi="Times New Roman" w:cs="Times New Roman"/>
          <w:sz w:val="20"/>
          <w:szCs w:val="20"/>
        </w:rPr>
        <w:t xml:space="preserve">Y., </w:t>
      </w:r>
      <w:r w:rsidRPr="00737A9F">
        <w:rPr>
          <w:rFonts w:ascii="Times New Roman" w:hAnsi="Times New Roman" w:cs="Times New Roman"/>
          <w:sz w:val="20"/>
          <w:szCs w:val="20"/>
        </w:rPr>
        <w:t xml:space="preserve">(2021) Coronavirus (COVID-19) Implications on the Livelihoods of the Farmers. American Journal of Agricultural and Biological Sciences, </w:t>
      </w:r>
      <w:hyperlink r:id="rId25" w:history="1">
        <w:r w:rsidRPr="00737A9F">
          <w:rPr>
            <w:rFonts w:ascii="Times New Roman" w:hAnsi="Times New Roman" w:cs="Times New Roman"/>
            <w:sz w:val="20"/>
            <w:szCs w:val="20"/>
          </w:rPr>
          <w:t>https://doi.org/10.3844/ajabssp.</w:t>
        </w:r>
      </w:hyperlink>
    </w:p>
    <w:p w14:paraId="1BA7D2B9" w14:textId="33308E3E" w:rsidR="008B2171" w:rsidRPr="008B2171" w:rsidRDefault="008B2171" w:rsidP="008B2171">
      <w:pPr>
        <w:spacing w:line="360" w:lineRule="auto"/>
        <w:ind w:left="900" w:hanging="900"/>
        <w:rPr>
          <w:rFonts w:ascii="Times New Roman" w:hAnsi="Times New Roman" w:cs="Times New Roman"/>
          <w:sz w:val="20"/>
          <w:szCs w:val="20"/>
        </w:rPr>
      </w:pPr>
      <w:r w:rsidRPr="008B2171">
        <w:rPr>
          <w:rFonts w:ascii="Times New Roman" w:hAnsi="Times New Roman" w:cs="Times New Roman"/>
          <w:sz w:val="20"/>
          <w:szCs w:val="20"/>
        </w:rPr>
        <w:t>Siamabele</w:t>
      </w:r>
      <w:r>
        <w:rPr>
          <w:rFonts w:ascii="Times New Roman" w:hAnsi="Times New Roman" w:cs="Times New Roman"/>
          <w:sz w:val="20"/>
          <w:szCs w:val="20"/>
        </w:rPr>
        <w:t xml:space="preserve"> B.,</w:t>
      </w:r>
      <w:r w:rsidRPr="008B2171">
        <w:rPr>
          <w:rFonts w:ascii="Times New Roman" w:hAnsi="Times New Roman" w:cs="Times New Roman"/>
          <w:sz w:val="20"/>
          <w:szCs w:val="20"/>
        </w:rPr>
        <w:t xml:space="preserve"> (2020). The significance of urban agriculture in enhancing food security in urban areas. International Journal of Humanities, Art and Social Studies (IJHAS), Vol. 4, No.3, August 2019 </w:t>
      </w:r>
    </w:p>
    <w:p w14:paraId="104BC49F" w14:textId="58AF8F06" w:rsidR="008B2171" w:rsidRPr="00E75364" w:rsidRDefault="008B2171" w:rsidP="008B2171">
      <w:pPr>
        <w:spacing w:line="360" w:lineRule="auto"/>
        <w:ind w:left="900" w:hanging="900"/>
      </w:pPr>
      <w:r>
        <w:rPr>
          <w:rFonts w:ascii="Times New Roman" w:hAnsi="Times New Roman" w:cs="Times New Roman"/>
          <w:sz w:val="20"/>
          <w:szCs w:val="20"/>
        </w:rPr>
        <w:tab/>
      </w:r>
      <w:hyperlink r:id="rId26" w:history="1">
        <w:r w:rsidRPr="00B51F25">
          <w:rPr>
            <w:rStyle w:val="Hyperlink"/>
            <w:rFonts w:ascii="Times New Roman" w:hAnsi="Times New Roman" w:cs="Times New Roman"/>
            <w:szCs w:val="20"/>
          </w:rPr>
          <w:t>https://airccse.com/ijhas/abstract/5120ijhas07.html</w:t>
        </w:r>
      </w:hyperlink>
    </w:p>
    <w:p w14:paraId="44CB08F8" w14:textId="2ED8793C" w:rsidR="0037272C" w:rsidRPr="0037272C" w:rsidRDefault="0037272C" w:rsidP="0037272C">
      <w:pPr>
        <w:spacing w:line="360" w:lineRule="auto"/>
        <w:ind w:left="900" w:hanging="900"/>
        <w:rPr>
          <w:rFonts w:ascii="Times New Roman" w:hAnsi="Times New Roman" w:cs="Times New Roman"/>
          <w:sz w:val="20"/>
          <w:szCs w:val="20"/>
        </w:rPr>
      </w:pPr>
      <w:r w:rsidRPr="0037272C">
        <w:rPr>
          <w:rFonts w:ascii="Times New Roman" w:hAnsi="Times New Roman" w:cs="Times New Roman"/>
          <w:sz w:val="20"/>
          <w:szCs w:val="20"/>
        </w:rPr>
        <w:t>Siamabele</w:t>
      </w:r>
      <w:r w:rsidR="00147C27">
        <w:rPr>
          <w:rFonts w:ascii="Times New Roman" w:hAnsi="Times New Roman" w:cs="Times New Roman"/>
          <w:sz w:val="20"/>
          <w:szCs w:val="20"/>
        </w:rPr>
        <w:t xml:space="preserve"> B.,</w:t>
      </w:r>
      <w:r w:rsidRPr="0037272C">
        <w:rPr>
          <w:rFonts w:ascii="Times New Roman" w:hAnsi="Times New Roman" w:cs="Times New Roman"/>
          <w:sz w:val="20"/>
          <w:szCs w:val="20"/>
        </w:rPr>
        <w:t xml:space="preserve"> and Mulonda Munalula (2019). Elections are not a democracy make. </w:t>
      </w:r>
      <w:r w:rsidRPr="0037272C">
        <w:rPr>
          <w:rFonts w:ascii="Times New Roman" w:hAnsi="Times New Roman" w:cs="Times New Roman"/>
          <w:i/>
          <w:iCs/>
          <w:sz w:val="20"/>
          <w:szCs w:val="20"/>
        </w:rPr>
        <w:t>International Journal of Humanities, Art and Social Studies (IJHAS), Vol. 4, No.3</w:t>
      </w:r>
      <w:r>
        <w:rPr>
          <w:rFonts w:ascii="Times New Roman" w:hAnsi="Times New Roman" w:cs="Times New Roman"/>
          <w:i/>
          <w:iCs/>
          <w:sz w:val="20"/>
          <w:szCs w:val="20"/>
        </w:rPr>
        <w:t>.</w:t>
      </w:r>
      <w:r w:rsidRPr="0037272C">
        <w:rPr>
          <w:rFonts w:ascii="Times New Roman" w:hAnsi="Times New Roman" w:cs="Times New Roman"/>
          <w:sz w:val="20"/>
          <w:szCs w:val="20"/>
        </w:rPr>
        <w:t xml:space="preserve">        </w:t>
      </w:r>
      <w:hyperlink r:id="rId27" w:history="1">
        <w:r w:rsidRPr="0037272C">
          <w:rPr>
            <w:rFonts w:ascii="Times New Roman" w:hAnsi="Times New Roman" w:cs="Times New Roman"/>
            <w:szCs w:val="20"/>
          </w:rPr>
          <w:t>https://airccse.com/ijhas/abstract/4319ijhas06</w:t>
        </w:r>
      </w:hyperlink>
    </w:p>
    <w:p w14:paraId="0730C575" w14:textId="77110A03"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Sibeso, G. (2022). </w:t>
      </w:r>
      <w:r w:rsidRPr="00A373C0">
        <w:rPr>
          <w:rFonts w:ascii="Times New Roman" w:hAnsi="Times New Roman" w:cs="Times New Roman"/>
          <w:i/>
          <w:iCs/>
          <w:sz w:val="20"/>
          <w:szCs w:val="20"/>
        </w:rPr>
        <w:t>Evaluating village banking and business expansion among Soweto marketers in Lusaka</w:t>
      </w:r>
      <w:r w:rsidRPr="00A373C0">
        <w:rPr>
          <w:rFonts w:ascii="Times New Roman" w:hAnsi="Times New Roman" w:cs="Times New Roman"/>
          <w:sz w:val="20"/>
          <w:szCs w:val="20"/>
        </w:rPr>
        <w:t> (Doctoral dissertation, The University of Zambia).</w:t>
      </w:r>
    </w:p>
    <w:p w14:paraId="7513C4E2"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Sichilongo, M. and Sinkala, N.K. (2021). How Women are Benefiting from Village Banking. A Case of Katuba Constituency.</w:t>
      </w:r>
    </w:p>
    <w:p w14:paraId="127518D3"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 xml:space="preserve">Sinkala, M. (2020). </w:t>
      </w:r>
      <w:r w:rsidRPr="00A373C0">
        <w:rPr>
          <w:rFonts w:ascii="Times New Roman" w:hAnsi="Times New Roman" w:cs="Times New Roman"/>
          <w:i/>
          <w:sz w:val="20"/>
          <w:szCs w:val="20"/>
        </w:rPr>
        <w:t>'An assessment of the impact of village banking as a means of youth economic empowerment:</w:t>
      </w:r>
      <w:r w:rsidRPr="00A373C0">
        <w:rPr>
          <w:rFonts w:ascii="Times New Roman" w:hAnsi="Times New Roman" w:cs="Times New Roman"/>
          <w:sz w:val="20"/>
          <w:szCs w:val="20"/>
        </w:rPr>
        <w:t xml:space="preserve"> a case study of a youth group of Saint Stephen, united church of Zambia, kabulonga, Lusaka' (Doctoral dissertation).</w:t>
      </w:r>
    </w:p>
    <w:p w14:paraId="314620E8" w14:textId="77777777" w:rsidR="005B539B"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Sishumba, J. and Mulonda, M.(2019). Village Banking: A Feasible Tool for Accelerating Financial Inclusion for the Unbanked Poor Communities in Zambia. </w:t>
      </w:r>
      <w:r w:rsidRPr="00A373C0">
        <w:rPr>
          <w:rFonts w:ascii="Times New Roman" w:hAnsi="Times New Roman" w:cs="Times New Roman"/>
          <w:i/>
          <w:iCs/>
          <w:sz w:val="20"/>
          <w:szCs w:val="20"/>
        </w:rPr>
        <w:t>Journal of Humanities and Social Sciences Studies</w:t>
      </w:r>
      <w:r w:rsidRPr="00A373C0">
        <w:rPr>
          <w:rFonts w:ascii="Times New Roman" w:hAnsi="Times New Roman" w:cs="Times New Roman"/>
          <w:sz w:val="20"/>
          <w:szCs w:val="20"/>
        </w:rPr>
        <w:t>, </w:t>
      </w:r>
      <w:r w:rsidRPr="00A373C0">
        <w:rPr>
          <w:rFonts w:ascii="Times New Roman" w:hAnsi="Times New Roman" w:cs="Times New Roman"/>
          <w:i/>
          <w:iCs/>
          <w:sz w:val="20"/>
          <w:szCs w:val="20"/>
        </w:rPr>
        <w:t>1</w:t>
      </w:r>
      <w:r w:rsidRPr="00A373C0">
        <w:rPr>
          <w:rFonts w:ascii="Times New Roman" w:hAnsi="Times New Roman" w:cs="Times New Roman"/>
          <w:sz w:val="20"/>
          <w:szCs w:val="20"/>
        </w:rPr>
        <w:t>(6), pp.51-62.</w:t>
      </w:r>
    </w:p>
    <w:p w14:paraId="6A693E58" w14:textId="77777777" w:rsidR="005B539B" w:rsidRPr="00A373C0" w:rsidRDefault="005B539B" w:rsidP="00AB21C8">
      <w:pPr>
        <w:spacing w:line="360" w:lineRule="auto"/>
        <w:ind w:left="900" w:hanging="900"/>
        <w:rPr>
          <w:rFonts w:ascii="Times New Roman" w:hAnsi="Times New Roman" w:cs="Times New Roman"/>
          <w:sz w:val="20"/>
          <w:szCs w:val="20"/>
        </w:rPr>
      </w:pPr>
      <w:r w:rsidRPr="003C4E1A">
        <w:rPr>
          <w:rFonts w:ascii="Times New Roman" w:hAnsi="Times New Roman" w:cs="Times New Roman"/>
          <w:sz w:val="20"/>
          <w:szCs w:val="20"/>
        </w:rPr>
        <w:t>Smith, J., Johnson, R., &amp; Williams, L. (2023). Microfinance: Empowering Communities through Financial Inclusion. Journal of Economic Development, 45(2), 123-135.</w:t>
      </w:r>
    </w:p>
    <w:p w14:paraId="62899C8B" w14:textId="77777777" w:rsidR="005B539B" w:rsidRPr="00A373C0" w:rsidRDefault="005B539B" w:rsidP="002A6270">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lastRenderedPageBreak/>
        <w:t>Tan, N.Q., Ubukata, F., Dinh, N.C. and Ha, V.H. (2024). Rethinking community-based tourism initiatives through community development lens: A case study in Vietnam. Community Development, pp.1-21.</w:t>
      </w:r>
    </w:p>
    <w:p w14:paraId="544773E2" w14:textId="3A49124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 xml:space="preserve">The World Bank (2016). Microfinance and Economic Development. </w:t>
      </w:r>
      <w:hyperlink r:id="rId28" w:history="1">
        <w:r w:rsidRPr="00A373C0">
          <w:rPr>
            <w:rStyle w:val="Hyperlink"/>
            <w:rFonts w:ascii="Times New Roman" w:hAnsi="Times New Roman" w:cs="Times New Roman"/>
            <w:sz w:val="20"/>
            <w:szCs w:val="20"/>
          </w:rPr>
          <w:t>https://documents.worldbank.org/en/publication/documents-reports/documentdetail/107171511360386561/Microfinance-and-economic-development</w:t>
        </w:r>
      </w:hyperlink>
      <w:r w:rsidRPr="00A373C0">
        <w:rPr>
          <w:rFonts w:ascii="Times New Roman" w:hAnsi="Times New Roman" w:cs="Times New Roman"/>
          <w:sz w:val="20"/>
          <w:szCs w:val="20"/>
        </w:rPr>
        <w:t xml:space="preserve"> </w:t>
      </w:r>
    </w:p>
    <w:p w14:paraId="54359AD0"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 xml:space="preserve">Thuysbaert, B., Karlan, D., and Udry, C. (2012). </w:t>
      </w:r>
      <w:r w:rsidRPr="00A373C0">
        <w:rPr>
          <w:rFonts w:ascii="Times New Roman" w:hAnsi="Times New Roman" w:cs="Times New Roman"/>
          <w:i/>
          <w:sz w:val="20"/>
          <w:szCs w:val="20"/>
        </w:rPr>
        <w:t>'Impact of Village Savings and Loan Associations</w:t>
      </w:r>
      <w:r w:rsidRPr="00A373C0">
        <w:rPr>
          <w:rFonts w:ascii="Times New Roman" w:hAnsi="Times New Roman" w:cs="Times New Roman"/>
          <w:sz w:val="20"/>
          <w:szCs w:val="20"/>
        </w:rPr>
        <w:t>: findings from Ghana, Malawi and Uganda', *Innovation for Poverty Action (IPA)*.</w:t>
      </w:r>
    </w:p>
    <w:p w14:paraId="1BAE046D"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United Nations Development Programme (UNDP). (2022.). Human Development Index (HDI). Retrieved from http://hdr.undp.org/en/content/human-development-index-hdi (5th May 2024)</w:t>
      </w:r>
    </w:p>
    <w:p w14:paraId="7DEC89BC"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United Nations Environment Programme (UNEP). (2016). Africa Environment Outlook-3. Retrieved from https://www.unenvironment.org/resources/africa-environment-outlook</w:t>
      </w:r>
    </w:p>
    <w:p w14:paraId="766CDDB7" w14:textId="11F32E64"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 xml:space="preserve">UN-Women (2024). </w:t>
      </w:r>
      <w:r w:rsidRPr="00A373C0">
        <w:rPr>
          <w:rFonts w:ascii="Times New Roman" w:hAnsi="Times New Roman" w:cs="Times New Roman"/>
          <w:i/>
          <w:sz w:val="20"/>
          <w:szCs w:val="20"/>
        </w:rPr>
        <w:t>'Facts and figures: Economic empowerment'</w:t>
      </w:r>
      <w:r w:rsidRPr="00A373C0">
        <w:rPr>
          <w:rFonts w:ascii="Times New Roman" w:hAnsi="Times New Roman" w:cs="Times New Roman"/>
          <w:sz w:val="20"/>
          <w:szCs w:val="20"/>
        </w:rPr>
        <w:t>, [online] UN-Women. Available at: &lt;https://www.unwomen.org/en/what-we-do/economic-empowerment/facts-and-figures</w:t>
      </w:r>
      <w:r w:rsidR="0058748E">
        <w:rPr>
          <w:rFonts w:ascii="Times New Roman" w:hAnsi="Times New Roman" w:cs="Times New Roman"/>
          <w:sz w:val="20"/>
          <w:szCs w:val="20"/>
        </w:rPr>
        <w:t>.</w:t>
      </w:r>
    </w:p>
    <w:p w14:paraId="4982AF63" w14:textId="61AB5E00"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USAID (2018).</w:t>
      </w:r>
      <w:r w:rsidR="002A7594">
        <w:rPr>
          <w:rFonts w:ascii="Times New Roman" w:hAnsi="Times New Roman" w:cs="Times New Roman"/>
          <w:sz w:val="20"/>
          <w:szCs w:val="20"/>
        </w:rPr>
        <w:t xml:space="preserve"> </w:t>
      </w:r>
      <w:r w:rsidRPr="00A373C0">
        <w:rPr>
          <w:rFonts w:ascii="Times New Roman" w:hAnsi="Times New Roman" w:cs="Times New Roman"/>
          <w:i/>
          <w:sz w:val="20"/>
          <w:szCs w:val="20"/>
        </w:rPr>
        <w:t>Report to congress on the implementation of the women’s entrepreneurship and economic empowerment act of 2018</w:t>
      </w:r>
      <w:r w:rsidRPr="00A373C0">
        <w:rPr>
          <w:rFonts w:ascii="Times New Roman" w:hAnsi="Times New Roman" w:cs="Times New Roman"/>
          <w:sz w:val="20"/>
          <w:szCs w:val="20"/>
        </w:rPr>
        <w:t>. Available at: &lt;https://2017-2020.usaid.gov/open/weee/fy2019&gt; (Accessed: February, 2024).</w:t>
      </w:r>
    </w:p>
    <w:p w14:paraId="358F572F"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USAID’s (2020). Women, Peace, and Security Implementation Plan. https://www.usaid.gov/sites/default/files/2023-02/2020-USAID-Women-Peace-and-Security-Implentation-Plan.pdf (Accessed, 6th May, 2024)</w:t>
      </w:r>
    </w:p>
    <w:p w14:paraId="57108754"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 xml:space="preserve">USAID’s (2021). Women, Peace, and Security Implementation Plan. </w:t>
      </w:r>
      <w:hyperlink r:id="rId29" w:history="1">
        <w:r w:rsidRPr="00A373C0">
          <w:rPr>
            <w:rStyle w:val="Hyperlink"/>
            <w:rFonts w:ascii="Times New Roman" w:hAnsi="Times New Roman" w:cs="Times New Roman"/>
            <w:sz w:val="20"/>
            <w:szCs w:val="20"/>
          </w:rPr>
          <w:t>https://www.usaid.gov/sites/default/files/2023-02/2020-USAID-Women-Peace-and-Security-Implentation-Plan.pdf</w:t>
        </w:r>
      </w:hyperlink>
      <w:r w:rsidRPr="00A373C0">
        <w:rPr>
          <w:rFonts w:ascii="Times New Roman" w:hAnsi="Times New Roman" w:cs="Times New Roman"/>
          <w:sz w:val="20"/>
          <w:szCs w:val="20"/>
        </w:rPr>
        <w:t xml:space="preserve"> (Accessed, 6</w:t>
      </w:r>
      <w:r w:rsidRPr="00A373C0">
        <w:rPr>
          <w:rFonts w:ascii="Times New Roman" w:hAnsi="Times New Roman" w:cs="Times New Roman"/>
          <w:sz w:val="20"/>
          <w:szCs w:val="20"/>
          <w:vertAlign w:val="superscript"/>
        </w:rPr>
        <w:t>th</w:t>
      </w:r>
      <w:r w:rsidRPr="00A373C0">
        <w:rPr>
          <w:rFonts w:ascii="Times New Roman" w:hAnsi="Times New Roman" w:cs="Times New Roman"/>
          <w:sz w:val="20"/>
          <w:szCs w:val="20"/>
        </w:rPr>
        <w:t xml:space="preserve"> May, 2024)</w:t>
      </w:r>
    </w:p>
    <w:p w14:paraId="302498E1"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World Bank. (2021). Poverty and Shared Prosperity 2020: Reversals of Fortune. Retrieved from https://www.worldbank.org/en/publication/poverty-and-shared-prosperity</w:t>
      </w:r>
    </w:p>
    <w:p w14:paraId="0709B0C8"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World Bank. (2024.). World Development Indicators. Retrieved from https://databank.worldbank.org/source/world-development-indicators (5th May 2024)</w:t>
      </w:r>
    </w:p>
    <w:p w14:paraId="19CF8F3F" w14:textId="77777777" w:rsidR="005B539B" w:rsidRPr="00A373C0" w:rsidRDefault="005B539B" w:rsidP="00AB21C8">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World Health Organisation (2022). Aging and Health. Available at: &lt;httpss://www.who.int/news-room/fact-sheets/details/ageing-and-health#&gt; (Accessed 5th May 2024).</w:t>
      </w:r>
    </w:p>
    <w:p w14:paraId="4AB72C44" w14:textId="77777777" w:rsidR="005B539B" w:rsidRPr="00A373C0" w:rsidRDefault="005B539B" w:rsidP="00287B5E">
      <w:pPr>
        <w:spacing w:line="360" w:lineRule="auto"/>
        <w:ind w:left="900" w:hanging="900"/>
        <w:rPr>
          <w:rFonts w:ascii="Times New Roman" w:hAnsi="Times New Roman" w:cs="Times New Roman"/>
          <w:sz w:val="20"/>
          <w:szCs w:val="20"/>
        </w:rPr>
      </w:pPr>
      <w:r w:rsidRPr="00A373C0">
        <w:rPr>
          <w:rFonts w:ascii="Times New Roman" w:hAnsi="Times New Roman" w:cs="Times New Roman"/>
          <w:sz w:val="20"/>
          <w:szCs w:val="20"/>
        </w:rPr>
        <w:t>Zambia Statistics Agency (2021). Labor Force Survey report.</w:t>
      </w:r>
    </w:p>
    <w:sectPr w:rsidR="005B539B" w:rsidRPr="00A373C0">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AEDC53" w14:textId="77777777" w:rsidR="004969AC" w:rsidRDefault="004969AC" w:rsidP="00914107">
      <w:r>
        <w:separator/>
      </w:r>
    </w:p>
  </w:endnote>
  <w:endnote w:type="continuationSeparator" w:id="0">
    <w:p w14:paraId="4BF3B21E" w14:textId="77777777" w:rsidR="004969AC" w:rsidRDefault="004969AC" w:rsidP="009141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484C0" w14:textId="77777777" w:rsidR="00331A8D" w:rsidRDefault="00331A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90422" w14:textId="77777777" w:rsidR="00331A8D" w:rsidRDefault="00331A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2AB5A2" w14:textId="77777777" w:rsidR="00331A8D" w:rsidRDefault="00331A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9EFB13" w14:textId="77777777" w:rsidR="004969AC" w:rsidRDefault="004969AC" w:rsidP="00914107">
      <w:r>
        <w:separator/>
      </w:r>
    </w:p>
  </w:footnote>
  <w:footnote w:type="continuationSeparator" w:id="0">
    <w:p w14:paraId="236E959C" w14:textId="77777777" w:rsidR="004969AC" w:rsidRDefault="004969AC" w:rsidP="009141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9AE2F" w14:textId="08D41883" w:rsidR="00331A8D" w:rsidRDefault="00331A8D">
    <w:pPr>
      <w:pStyle w:val="Header"/>
    </w:pPr>
    <w:r>
      <w:rPr>
        <w:noProof/>
      </w:rPr>
      <w:pict w14:anchorId="093D1E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930A22" w14:textId="64341A7E" w:rsidR="00331A8D" w:rsidRDefault="00331A8D">
    <w:pPr>
      <w:pStyle w:val="Header"/>
    </w:pPr>
    <w:r>
      <w:rPr>
        <w:noProof/>
      </w:rPr>
      <w:pict w14:anchorId="2E53E9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E811A" w14:textId="359BA59A" w:rsidR="00331A8D" w:rsidRDefault="00331A8D">
    <w:pPr>
      <w:pStyle w:val="Header"/>
    </w:pPr>
    <w:r>
      <w:rPr>
        <w:noProof/>
      </w:rPr>
      <w:pict w14:anchorId="5E0D0C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862DE"/>
    <w:multiLevelType w:val="multilevel"/>
    <w:tmpl w:val="5B181D54"/>
    <w:lvl w:ilvl="0">
      <w:start w:val="4"/>
      <w:numFmt w:val="decimal"/>
      <w:lvlText w:val="%1"/>
      <w:lvlJc w:val="left"/>
      <w:pPr>
        <w:ind w:left="480" w:hanging="480"/>
      </w:pPr>
      <w:rPr>
        <w:rFonts w:hint="default"/>
      </w:rPr>
    </w:lvl>
    <w:lvl w:ilvl="1">
      <w:start w:val="2"/>
      <w:numFmt w:val="decimal"/>
      <w:lvlText w:val="%1.%2"/>
      <w:lvlJc w:val="left"/>
      <w:pPr>
        <w:ind w:left="750" w:hanging="48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1" w15:restartNumberingAfterBreak="0">
    <w:nsid w:val="01F83824"/>
    <w:multiLevelType w:val="hybridMultilevel"/>
    <w:tmpl w:val="3F308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503592"/>
    <w:multiLevelType w:val="multilevel"/>
    <w:tmpl w:val="B468A29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5FC203F"/>
    <w:multiLevelType w:val="hybridMultilevel"/>
    <w:tmpl w:val="73EA63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16747D"/>
    <w:multiLevelType w:val="multilevel"/>
    <w:tmpl w:val="481CD530"/>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 w15:restartNumberingAfterBreak="0">
    <w:nsid w:val="345436F1"/>
    <w:multiLevelType w:val="multilevel"/>
    <w:tmpl w:val="CA8CDA3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F8172D4"/>
    <w:multiLevelType w:val="multilevel"/>
    <w:tmpl w:val="F4D8C672"/>
    <w:styleLink w:val="Style1"/>
    <w:lvl w:ilvl="0">
      <w:start w:val="1"/>
      <w:numFmt w:val="decimal"/>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4CE31BE"/>
    <w:multiLevelType w:val="multilevel"/>
    <w:tmpl w:val="F4D8C672"/>
    <w:numStyleLink w:val="Style1"/>
  </w:abstractNum>
  <w:abstractNum w:abstractNumId="8" w15:restartNumberingAfterBreak="0">
    <w:nsid w:val="56067D83"/>
    <w:multiLevelType w:val="multilevel"/>
    <w:tmpl w:val="C50C0E8A"/>
    <w:lvl w:ilvl="0">
      <w:numFmt w:val="bullet"/>
      <w:lvlText w:val="o"/>
      <w:lvlJc w:val="left"/>
      <w:pPr>
        <w:ind w:left="360" w:hanging="360"/>
      </w:pPr>
      <w:rPr>
        <w:rFonts w:ascii="Courier New" w:hAnsi="Courier New" w:cs="Courier New"/>
      </w:rPr>
    </w:lvl>
    <w:lvl w:ilvl="1">
      <w:numFmt w:val="bullet"/>
      <w:lvlText w:val="o"/>
      <w:lvlJc w:val="left"/>
      <w:pPr>
        <w:ind w:left="1232" w:hanging="360"/>
      </w:pPr>
      <w:rPr>
        <w:rFonts w:ascii="Courier New" w:hAnsi="Courier New" w:cs="Courier New"/>
      </w:rPr>
    </w:lvl>
    <w:lvl w:ilvl="2">
      <w:numFmt w:val="bullet"/>
      <w:lvlText w:val=""/>
      <w:lvlJc w:val="left"/>
      <w:pPr>
        <w:ind w:left="1952" w:hanging="360"/>
      </w:pPr>
      <w:rPr>
        <w:rFonts w:ascii="Wingdings" w:hAnsi="Wingdings"/>
      </w:rPr>
    </w:lvl>
    <w:lvl w:ilvl="3">
      <w:numFmt w:val="bullet"/>
      <w:lvlText w:val=""/>
      <w:lvlJc w:val="left"/>
      <w:pPr>
        <w:ind w:left="2672" w:hanging="360"/>
      </w:pPr>
      <w:rPr>
        <w:rFonts w:ascii="Symbol" w:hAnsi="Symbol"/>
      </w:rPr>
    </w:lvl>
    <w:lvl w:ilvl="4">
      <w:numFmt w:val="bullet"/>
      <w:lvlText w:val="o"/>
      <w:lvlJc w:val="left"/>
      <w:pPr>
        <w:ind w:left="3392" w:hanging="360"/>
      </w:pPr>
      <w:rPr>
        <w:rFonts w:ascii="Courier New" w:hAnsi="Courier New" w:cs="Courier New"/>
      </w:rPr>
    </w:lvl>
    <w:lvl w:ilvl="5">
      <w:numFmt w:val="bullet"/>
      <w:lvlText w:val=""/>
      <w:lvlJc w:val="left"/>
      <w:pPr>
        <w:ind w:left="4112" w:hanging="360"/>
      </w:pPr>
      <w:rPr>
        <w:rFonts w:ascii="Wingdings" w:hAnsi="Wingdings"/>
      </w:rPr>
    </w:lvl>
    <w:lvl w:ilvl="6">
      <w:numFmt w:val="bullet"/>
      <w:lvlText w:val=""/>
      <w:lvlJc w:val="left"/>
      <w:pPr>
        <w:ind w:left="4832" w:hanging="360"/>
      </w:pPr>
      <w:rPr>
        <w:rFonts w:ascii="Symbol" w:hAnsi="Symbol"/>
      </w:rPr>
    </w:lvl>
    <w:lvl w:ilvl="7">
      <w:numFmt w:val="bullet"/>
      <w:lvlText w:val="o"/>
      <w:lvlJc w:val="left"/>
      <w:pPr>
        <w:ind w:left="5552" w:hanging="360"/>
      </w:pPr>
      <w:rPr>
        <w:rFonts w:ascii="Courier New" w:hAnsi="Courier New" w:cs="Courier New"/>
      </w:rPr>
    </w:lvl>
    <w:lvl w:ilvl="8">
      <w:numFmt w:val="bullet"/>
      <w:lvlText w:val=""/>
      <w:lvlJc w:val="left"/>
      <w:pPr>
        <w:ind w:left="6272" w:hanging="360"/>
      </w:pPr>
      <w:rPr>
        <w:rFonts w:ascii="Wingdings" w:hAnsi="Wingdings"/>
      </w:rPr>
    </w:lvl>
  </w:abstractNum>
  <w:abstractNum w:abstractNumId="9" w15:restartNumberingAfterBreak="0">
    <w:nsid w:val="626A5A35"/>
    <w:multiLevelType w:val="multilevel"/>
    <w:tmpl w:val="F8F45C0E"/>
    <w:lvl w:ilvl="0">
      <w:start w:val="4"/>
      <w:numFmt w:val="decimal"/>
      <w:lvlText w:val="%1"/>
      <w:lvlJc w:val="left"/>
      <w:pPr>
        <w:ind w:left="480" w:hanging="480"/>
      </w:pPr>
      <w:rPr>
        <w:rFonts w:hint="default"/>
      </w:rPr>
    </w:lvl>
    <w:lvl w:ilvl="1">
      <w:start w:val="3"/>
      <w:numFmt w:val="decimal"/>
      <w:lvlText w:val="%1.%2"/>
      <w:lvlJc w:val="left"/>
      <w:pPr>
        <w:ind w:left="750" w:hanging="480"/>
      </w:pPr>
      <w:rPr>
        <w:rFonts w:hint="default"/>
      </w:rPr>
    </w:lvl>
    <w:lvl w:ilvl="2">
      <w:start w:val="3"/>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10" w15:restartNumberingAfterBreak="0">
    <w:nsid w:val="63C010E3"/>
    <w:multiLevelType w:val="hybridMultilevel"/>
    <w:tmpl w:val="E370D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1C6E1B"/>
    <w:multiLevelType w:val="multilevel"/>
    <w:tmpl w:val="B1C0BE78"/>
    <w:lvl w:ilvl="0">
      <w:start w:val="4"/>
      <w:numFmt w:val="decimal"/>
      <w:lvlText w:val="%1"/>
      <w:lvlJc w:val="left"/>
      <w:pPr>
        <w:ind w:left="480" w:hanging="480"/>
      </w:pPr>
      <w:rPr>
        <w:rFonts w:eastAsiaTheme="minorHAnsi" w:hint="default"/>
        <w:color w:val="auto"/>
      </w:rPr>
    </w:lvl>
    <w:lvl w:ilvl="1">
      <w:start w:val="2"/>
      <w:numFmt w:val="decimal"/>
      <w:lvlText w:val="%1.%2"/>
      <w:lvlJc w:val="left"/>
      <w:pPr>
        <w:ind w:left="750" w:hanging="480"/>
      </w:pPr>
      <w:rPr>
        <w:rFonts w:eastAsiaTheme="minorHAnsi" w:hint="default"/>
        <w:color w:val="auto"/>
      </w:rPr>
    </w:lvl>
    <w:lvl w:ilvl="2">
      <w:start w:val="3"/>
      <w:numFmt w:val="decimal"/>
      <w:lvlText w:val="%1.%2.%3"/>
      <w:lvlJc w:val="left"/>
      <w:pPr>
        <w:ind w:left="1260" w:hanging="720"/>
      </w:pPr>
      <w:rPr>
        <w:rFonts w:eastAsiaTheme="minorHAnsi" w:hint="default"/>
        <w:color w:val="auto"/>
      </w:rPr>
    </w:lvl>
    <w:lvl w:ilvl="3">
      <w:start w:val="1"/>
      <w:numFmt w:val="decimal"/>
      <w:lvlText w:val="%1.%2.%3.%4"/>
      <w:lvlJc w:val="left"/>
      <w:pPr>
        <w:ind w:left="1530" w:hanging="720"/>
      </w:pPr>
      <w:rPr>
        <w:rFonts w:eastAsiaTheme="minorHAnsi" w:hint="default"/>
        <w:color w:val="auto"/>
      </w:rPr>
    </w:lvl>
    <w:lvl w:ilvl="4">
      <w:start w:val="1"/>
      <w:numFmt w:val="decimal"/>
      <w:lvlText w:val="%1.%2.%3.%4.%5"/>
      <w:lvlJc w:val="left"/>
      <w:pPr>
        <w:ind w:left="2160" w:hanging="1080"/>
      </w:pPr>
      <w:rPr>
        <w:rFonts w:eastAsiaTheme="minorHAnsi" w:hint="default"/>
        <w:color w:val="auto"/>
      </w:rPr>
    </w:lvl>
    <w:lvl w:ilvl="5">
      <w:start w:val="1"/>
      <w:numFmt w:val="decimal"/>
      <w:lvlText w:val="%1.%2.%3.%4.%5.%6"/>
      <w:lvlJc w:val="left"/>
      <w:pPr>
        <w:ind w:left="2430" w:hanging="1080"/>
      </w:pPr>
      <w:rPr>
        <w:rFonts w:eastAsiaTheme="minorHAnsi" w:hint="default"/>
        <w:color w:val="auto"/>
      </w:rPr>
    </w:lvl>
    <w:lvl w:ilvl="6">
      <w:start w:val="1"/>
      <w:numFmt w:val="decimal"/>
      <w:lvlText w:val="%1.%2.%3.%4.%5.%6.%7"/>
      <w:lvlJc w:val="left"/>
      <w:pPr>
        <w:ind w:left="3060" w:hanging="1440"/>
      </w:pPr>
      <w:rPr>
        <w:rFonts w:eastAsiaTheme="minorHAnsi" w:hint="default"/>
        <w:color w:val="auto"/>
      </w:rPr>
    </w:lvl>
    <w:lvl w:ilvl="7">
      <w:start w:val="1"/>
      <w:numFmt w:val="decimal"/>
      <w:lvlText w:val="%1.%2.%3.%4.%5.%6.%7.%8"/>
      <w:lvlJc w:val="left"/>
      <w:pPr>
        <w:ind w:left="3330" w:hanging="1440"/>
      </w:pPr>
      <w:rPr>
        <w:rFonts w:eastAsiaTheme="minorHAnsi" w:hint="default"/>
        <w:color w:val="auto"/>
      </w:rPr>
    </w:lvl>
    <w:lvl w:ilvl="8">
      <w:start w:val="1"/>
      <w:numFmt w:val="decimal"/>
      <w:lvlText w:val="%1.%2.%3.%4.%5.%6.%7.%8.%9"/>
      <w:lvlJc w:val="left"/>
      <w:pPr>
        <w:ind w:left="3960" w:hanging="1800"/>
      </w:pPr>
      <w:rPr>
        <w:rFonts w:eastAsiaTheme="minorHAnsi" w:hint="default"/>
        <w:color w:val="auto"/>
      </w:rPr>
    </w:lvl>
  </w:abstractNum>
  <w:abstractNum w:abstractNumId="12" w15:restartNumberingAfterBreak="0">
    <w:nsid w:val="6A9369D5"/>
    <w:multiLevelType w:val="multilevel"/>
    <w:tmpl w:val="D278061E"/>
    <w:lvl w:ilvl="0">
      <w:start w:val="4"/>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13" w15:restartNumberingAfterBreak="0">
    <w:nsid w:val="7082778A"/>
    <w:multiLevelType w:val="hybridMultilevel"/>
    <w:tmpl w:val="EEAA9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0"/>
  </w:num>
  <w:num w:numId="4">
    <w:abstractNumId w:val="9"/>
  </w:num>
  <w:num w:numId="5">
    <w:abstractNumId w:val="2"/>
  </w:num>
  <w:num w:numId="6">
    <w:abstractNumId w:val="7"/>
  </w:num>
  <w:num w:numId="7">
    <w:abstractNumId w:val="6"/>
  </w:num>
  <w:num w:numId="8">
    <w:abstractNumId w:val="10"/>
  </w:num>
  <w:num w:numId="9">
    <w:abstractNumId w:val="1"/>
  </w:num>
  <w:num w:numId="10">
    <w:abstractNumId w:val="13"/>
  </w:num>
  <w:num w:numId="11">
    <w:abstractNumId w:val="3"/>
  </w:num>
  <w:num w:numId="12">
    <w:abstractNumId w:val="4"/>
  </w:num>
  <w:num w:numId="13">
    <w:abstractNumId w:val="12"/>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3FED"/>
    <w:rsid w:val="0000389E"/>
    <w:rsid w:val="00011A1A"/>
    <w:rsid w:val="00011EB3"/>
    <w:rsid w:val="00037BD9"/>
    <w:rsid w:val="00037CE0"/>
    <w:rsid w:val="0006652A"/>
    <w:rsid w:val="00073748"/>
    <w:rsid w:val="00075D19"/>
    <w:rsid w:val="00085809"/>
    <w:rsid w:val="000A0606"/>
    <w:rsid w:val="000A2043"/>
    <w:rsid w:val="000A3A1F"/>
    <w:rsid w:val="000A67A5"/>
    <w:rsid w:val="000B1C45"/>
    <w:rsid w:val="000E65DF"/>
    <w:rsid w:val="000F33B2"/>
    <w:rsid w:val="001031E1"/>
    <w:rsid w:val="001261E7"/>
    <w:rsid w:val="00144A3E"/>
    <w:rsid w:val="00147C27"/>
    <w:rsid w:val="001629AE"/>
    <w:rsid w:val="001D2DB1"/>
    <w:rsid w:val="001F724F"/>
    <w:rsid w:val="0021096E"/>
    <w:rsid w:val="0021665E"/>
    <w:rsid w:val="0025788F"/>
    <w:rsid w:val="0026014D"/>
    <w:rsid w:val="0027661C"/>
    <w:rsid w:val="00286767"/>
    <w:rsid w:val="00287B5E"/>
    <w:rsid w:val="002A6270"/>
    <w:rsid w:val="002A7594"/>
    <w:rsid w:val="002B02FB"/>
    <w:rsid w:val="002D71B2"/>
    <w:rsid w:val="002F3C3D"/>
    <w:rsid w:val="00331A8D"/>
    <w:rsid w:val="003416FB"/>
    <w:rsid w:val="00343A07"/>
    <w:rsid w:val="00356B29"/>
    <w:rsid w:val="0037272C"/>
    <w:rsid w:val="003A55C2"/>
    <w:rsid w:val="003B02A1"/>
    <w:rsid w:val="003C083C"/>
    <w:rsid w:val="003C0940"/>
    <w:rsid w:val="003C25D0"/>
    <w:rsid w:val="003C4E1A"/>
    <w:rsid w:val="003C5785"/>
    <w:rsid w:val="003C60E4"/>
    <w:rsid w:val="003D0944"/>
    <w:rsid w:val="003E5051"/>
    <w:rsid w:val="003F0A9E"/>
    <w:rsid w:val="004261C3"/>
    <w:rsid w:val="00427DC1"/>
    <w:rsid w:val="004332FB"/>
    <w:rsid w:val="00484179"/>
    <w:rsid w:val="004969AC"/>
    <w:rsid w:val="004A1D15"/>
    <w:rsid w:val="004A6A27"/>
    <w:rsid w:val="004B0681"/>
    <w:rsid w:val="004C1206"/>
    <w:rsid w:val="004F0BB9"/>
    <w:rsid w:val="00500D83"/>
    <w:rsid w:val="005047E4"/>
    <w:rsid w:val="00507CC7"/>
    <w:rsid w:val="00513595"/>
    <w:rsid w:val="00527387"/>
    <w:rsid w:val="00547DD2"/>
    <w:rsid w:val="00554843"/>
    <w:rsid w:val="00554EB1"/>
    <w:rsid w:val="005600B5"/>
    <w:rsid w:val="00564D7A"/>
    <w:rsid w:val="00585771"/>
    <w:rsid w:val="005862E8"/>
    <w:rsid w:val="0058748E"/>
    <w:rsid w:val="00595032"/>
    <w:rsid w:val="005A02DC"/>
    <w:rsid w:val="005A5842"/>
    <w:rsid w:val="005B539B"/>
    <w:rsid w:val="005B55F8"/>
    <w:rsid w:val="005C237F"/>
    <w:rsid w:val="005D13E2"/>
    <w:rsid w:val="005D187C"/>
    <w:rsid w:val="00661B4D"/>
    <w:rsid w:val="00693FED"/>
    <w:rsid w:val="00695B9A"/>
    <w:rsid w:val="006B4709"/>
    <w:rsid w:val="006C0203"/>
    <w:rsid w:val="006D364E"/>
    <w:rsid w:val="006D6D8D"/>
    <w:rsid w:val="006F3FF4"/>
    <w:rsid w:val="00737A9F"/>
    <w:rsid w:val="00745522"/>
    <w:rsid w:val="00756902"/>
    <w:rsid w:val="007874DE"/>
    <w:rsid w:val="007B547F"/>
    <w:rsid w:val="007C672A"/>
    <w:rsid w:val="007D1D88"/>
    <w:rsid w:val="007D3FCB"/>
    <w:rsid w:val="007D4C7F"/>
    <w:rsid w:val="007F3C47"/>
    <w:rsid w:val="007F7EFD"/>
    <w:rsid w:val="0080770E"/>
    <w:rsid w:val="00840C3F"/>
    <w:rsid w:val="00843E4E"/>
    <w:rsid w:val="008600A4"/>
    <w:rsid w:val="00882EFA"/>
    <w:rsid w:val="008A49B8"/>
    <w:rsid w:val="008B2171"/>
    <w:rsid w:val="008C5FA1"/>
    <w:rsid w:val="008F6A18"/>
    <w:rsid w:val="00913BB4"/>
    <w:rsid w:val="00914107"/>
    <w:rsid w:val="009300AA"/>
    <w:rsid w:val="00936741"/>
    <w:rsid w:val="00972A21"/>
    <w:rsid w:val="00974559"/>
    <w:rsid w:val="00984530"/>
    <w:rsid w:val="00992262"/>
    <w:rsid w:val="009B6A7E"/>
    <w:rsid w:val="009B7209"/>
    <w:rsid w:val="009C6866"/>
    <w:rsid w:val="009D079D"/>
    <w:rsid w:val="00A07DA0"/>
    <w:rsid w:val="00A122AD"/>
    <w:rsid w:val="00A23235"/>
    <w:rsid w:val="00A373C0"/>
    <w:rsid w:val="00A65B26"/>
    <w:rsid w:val="00A82006"/>
    <w:rsid w:val="00AA519C"/>
    <w:rsid w:val="00AB21C8"/>
    <w:rsid w:val="00AC2007"/>
    <w:rsid w:val="00B0241C"/>
    <w:rsid w:val="00B0455B"/>
    <w:rsid w:val="00B41EA9"/>
    <w:rsid w:val="00B45DC3"/>
    <w:rsid w:val="00B46029"/>
    <w:rsid w:val="00B65577"/>
    <w:rsid w:val="00B9441B"/>
    <w:rsid w:val="00BB1A58"/>
    <w:rsid w:val="00BC5D80"/>
    <w:rsid w:val="00BE1F0C"/>
    <w:rsid w:val="00BE30FB"/>
    <w:rsid w:val="00C00EB4"/>
    <w:rsid w:val="00C11EA2"/>
    <w:rsid w:val="00C14708"/>
    <w:rsid w:val="00C15DCE"/>
    <w:rsid w:val="00C236E5"/>
    <w:rsid w:val="00C24120"/>
    <w:rsid w:val="00C44626"/>
    <w:rsid w:val="00C50FE0"/>
    <w:rsid w:val="00C936E2"/>
    <w:rsid w:val="00CC0834"/>
    <w:rsid w:val="00CD2919"/>
    <w:rsid w:val="00CD6A9E"/>
    <w:rsid w:val="00CE384F"/>
    <w:rsid w:val="00CF719D"/>
    <w:rsid w:val="00D03D1A"/>
    <w:rsid w:val="00D05A70"/>
    <w:rsid w:val="00D162A5"/>
    <w:rsid w:val="00D32602"/>
    <w:rsid w:val="00D41197"/>
    <w:rsid w:val="00D42643"/>
    <w:rsid w:val="00D517C8"/>
    <w:rsid w:val="00D57BE3"/>
    <w:rsid w:val="00D65567"/>
    <w:rsid w:val="00D7090A"/>
    <w:rsid w:val="00D8676E"/>
    <w:rsid w:val="00DE10A1"/>
    <w:rsid w:val="00DE55AF"/>
    <w:rsid w:val="00DF12D2"/>
    <w:rsid w:val="00E05CF0"/>
    <w:rsid w:val="00E404DE"/>
    <w:rsid w:val="00E46ACF"/>
    <w:rsid w:val="00E539D9"/>
    <w:rsid w:val="00E56C22"/>
    <w:rsid w:val="00E65112"/>
    <w:rsid w:val="00E74205"/>
    <w:rsid w:val="00EA7DB9"/>
    <w:rsid w:val="00F05054"/>
    <w:rsid w:val="00F076A2"/>
    <w:rsid w:val="00F167F3"/>
    <w:rsid w:val="00F24F44"/>
    <w:rsid w:val="00F42F82"/>
    <w:rsid w:val="00F50994"/>
    <w:rsid w:val="00F54A3D"/>
    <w:rsid w:val="00F60A81"/>
    <w:rsid w:val="00F74255"/>
    <w:rsid w:val="00F94A38"/>
    <w:rsid w:val="00FA1176"/>
    <w:rsid w:val="00FA3E3E"/>
    <w:rsid w:val="00FB7240"/>
    <w:rsid w:val="00FD143E"/>
    <w:rsid w:val="00FE244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2D3D5DE"/>
  <w15:chartTrackingRefBased/>
  <w15:docId w15:val="{C542253C-ACF8-46BF-A192-F51BED906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6511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apis Bulleted List,List Paragraph (numbered (a)),CORE-1.1.1,Paragraphe de liste PBLH,Graph &amp; Table tite,List Paragraph1,References,Dot pt,F5 List Paragraph,List Paragraph Char Char Char,Indicator Text,Numbered Para 1,Bullet 1,Ha,Naslov 1"/>
    <w:basedOn w:val="Normal"/>
    <w:link w:val="ListParagraphChar"/>
    <w:uiPriority w:val="34"/>
    <w:qFormat/>
    <w:rsid w:val="009B6A7E"/>
    <w:pPr>
      <w:ind w:left="720"/>
      <w:contextualSpacing/>
    </w:pPr>
  </w:style>
  <w:style w:type="paragraph" w:styleId="Caption">
    <w:name w:val="caption"/>
    <w:basedOn w:val="Normal"/>
    <w:next w:val="Normal"/>
    <w:uiPriority w:val="35"/>
    <w:unhideWhenUsed/>
    <w:qFormat/>
    <w:rsid w:val="004B0681"/>
    <w:pPr>
      <w:spacing w:after="200"/>
    </w:pPr>
    <w:rPr>
      <w:i/>
      <w:iCs/>
      <w:color w:val="44546A" w:themeColor="text2"/>
      <w:sz w:val="18"/>
      <w:szCs w:val="18"/>
    </w:rPr>
  </w:style>
  <w:style w:type="table" w:styleId="TableGrid">
    <w:name w:val="Table Grid"/>
    <w:basedOn w:val="TableNormal"/>
    <w:uiPriority w:val="39"/>
    <w:rsid w:val="004B06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Accent5">
    <w:name w:val="Grid Table 3 Accent 5"/>
    <w:basedOn w:val="TableNormal"/>
    <w:uiPriority w:val="48"/>
    <w:rsid w:val="004B0681"/>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leGridLight">
    <w:name w:val="Grid Table Light"/>
    <w:basedOn w:val="TableNormal"/>
    <w:uiPriority w:val="40"/>
    <w:rsid w:val="004B068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Style1">
    <w:name w:val="Style1"/>
    <w:uiPriority w:val="99"/>
    <w:rsid w:val="00D7090A"/>
    <w:pPr>
      <w:numPr>
        <w:numId w:val="7"/>
      </w:numPr>
    </w:pPr>
  </w:style>
  <w:style w:type="character" w:styleId="Hyperlink">
    <w:name w:val="Hyperlink"/>
    <w:basedOn w:val="DefaultParagraphFont"/>
    <w:uiPriority w:val="99"/>
    <w:unhideWhenUsed/>
    <w:rsid w:val="00D7090A"/>
    <w:rPr>
      <w:color w:val="0563C1" w:themeColor="hyperlink"/>
      <w:u w:val="single"/>
    </w:rPr>
  </w:style>
  <w:style w:type="paragraph" w:customStyle="1" w:styleId="Default">
    <w:name w:val="Default"/>
    <w:rsid w:val="00DE55AF"/>
    <w:pPr>
      <w:autoSpaceDE w:val="0"/>
      <w:autoSpaceDN w:val="0"/>
      <w:adjustRightInd w:val="0"/>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D05A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5A70"/>
    <w:rPr>
      <w:rFonts w:ascii="Segoe UI" w:hAnsi="Segoe UI" w:cs="Segoe UI"/>
      <w:sz w:val="18"/>
      <w:szCs w:val="18"/>
    </w:rPr>
  </w:style>
  <w:style w:type="table" w:customStyle="1" w:styleId="TableGrid2">
    <w:name w:val="Table Grid2"/>
    <w:basedOn w:val="TableNormal"/>
    <w:next w:val="TableGrid"/>
    <w:uiPriority w:val="39"/>
    <w:rsid w:val="004A6A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14107"/>
    <w:pPr>
      <w:tabs>
        <w:tab w:val="center" w:pos="4680"/>
        <w:tab w:val="right" w:pos="9360"/>
      </w:tabs>
    </w:pPr>
  </w:style>
  <w:style w:type="character" w:customStyle="1" w:styleId="HeaderChar">
    <w:name w:val="Header Char"/>
    <w:basedOn w:val="DefaultParagraphFont"/>
    <w:link w:val="Header"/>
    <w:uiPriority w:val="99"/>
    <w:rsid w:val="00914107"/>
  </w:style>
  <w:style w:type="paragraph" w:styleId="Footer">
    <w:name w:val="footer"/>
    <w:basedOn w:val="Normal"/>
    <w:link w:val="FooterChar"/>
    <w:uiPriority w:val="99"/>
    <w:unhideWhenUsed/>
    <w:rsid w:val="00914107"/>
    <w:pPr>
      <w:tabs>
        <w:tab w:val="center" w:pos="4680"/>
        <w:tab w:val="right" w:pos="9360"/>
      </w:tabs>
    </w:pPr>
  </w:style>
  <w:style w:type="character" w:customStyle="1" w:styleId="FooterChar">
    <w:name w:val="Footer Char"/>
    <w:basedOn w:val="DefaultParagraphFont"/>
    <w:link w:val="Footer"/>
    <w:uiPriority w:val="99"/>
    <w:rsid w:val="00914107"/>
  </w:style>
  <w:style w:type="paragraph" w:styleId="Revision">
    <w:name w:val="Revision"/>
    <w:hidden/>
    <w:uiPriority w:val="99"/>
    <w:semiHidden/>
    <w:rsid w:val="009300AA"/>
  </w:style>
  <w:style w:type="character" w:styleId="CommentReference">
    <w:name w:val="annotation reference"/>
    <w:basedOn w:val="DefaultParagraphFont"/>
    <w:uiPriority w:val="99"/>
    <w:semiHidden/>
    <w:unhideWhenUsed/>
    <w:rsid w:val="009300AA"/>
    <w:rPr>
      <w:sz w:val="16"/>
      <w:szCs w:val="16"/>
    </w:rPr>
  </w:style>
  <w:style w:type="paragraph" w:styleId="CommentText">
    <w:name w:val="annotation text"/>
    <w:basedOn w:val="Normal"/>
    <w:link w:val="CommentTextChar"/>
    <w:uiPriority w:val="99"/>
    <w:semiHidden/>
    <w:unhideWhenUsed/>
    <w:rsid w:val="009300AA"/>
    <w:rPr>
      <w:sz w:val="20"/>
      <w:szCs w:val="20"/>
    </w:rPr>
  </w:style>
  <w:style w:type="character" w:customStyle="1" w:styleId="CommentTextChar">
    <w:name w:val="Comment Text Char"/>
    <w:basedOn w:val="DefaultParagraphFont"/>
    <w:link w:val="CommentText"/>
    <w:uiPriority w:val="99"/>
    <w:semiHidden/>
    <w:rsid w:val="009300AA"/>
    <w:rPr>
      <w:sz w:val="20"/>
      <w:szCs w:val="20"/>
    </w:rPr>
  </w:style>
  <w:style w:type="paragraph" w:styleId="CommentSubject">
    <w:name w:val="annotation subject"/>
    <w:basedOn w:val="CommentText"/>
    <w:next w:val="CommentText"/>
    <w:link w:val="CommentSubjectChar"/>
    <w:uiPriority w:val="99"/>
    <w:semiHidden/>
    <w:unhideWhenUsed/>
    <w:rsid w:val="009300AA"/>
    <w:rPr>
      <w:b/>
      <w:bCs/>
    </w:rPr>
  </w:style>
  <w:style w:type="character" w:customStyle="1" w:styleId="CommentSubjectChar">
    <w:name w:val="Comment Subject Char"/>
    <w:basedOn w:val="CommentTextChar"/>
    <w:link w:val="CommentSubject"/>
    <w:uiPriority w:val="99"/>
    <w:semiHidden/>
    <w:rsid w:val="009300AA"/>
    <w:rPr>
      <w:b/>
      <w:bCs/>
      <w:sz w:val="20"/>
      <w:szCs w:val="20"/>
    </w:rPr>
  </w:style>
  <w:style w:type="character" w:customStyle="1" w:styleId="ListParagraphChar">
    <w:name w:val="List Paragraph Char"/>
    <w:aliases w:val="Lapis Bulleted List Char,List Paragraph (numbered (a)) Char,CORE-1.1.1 Char,Paragraphe de liste PBLH Char,Graph &amp; Table tite Char,List Paragraph1 Char,References Char,Dot pt Char,F5 List Paragraph Char,Indicator Text Char,Ha Char"/>
    <w:basedOn w:val="DefaultParagraphFont"/>
    <w:link w:val="ListParagraph"/>
    <w:uiPriority w:val="34"/>
    <w:qFormat/>
    <w:locked/>
    <w:rsid w:val="007D4C7F"/>
  </w:style>
  <w:style w:type="character" w:styleId="UnresolvedMention">
    <w:name w:val="Unresolved Mention"/>
    <w:basedOn w:val="DefaultParagraphFont"/>
    <w:uiPriority w:val="99"/>
    <w:semiHidden/>
    <w:unhideWhenUsed/>
    <w:rsid w:val="008B2171"/>
    <w:rPr>
      <w:color w:val="605E5C"/>
      <w:shd w:val="clear" w:color="auto" w:fill="E1DFDD"/>
    </w:rPr>
  </w:style>
  <w:style w:type="character" w:customStyle="1" w:styleId="apple-converted-space">
    <w:name w:val="apple-converted-space"/>
    <w:basedOn w:val="DefaultParagraphFont"/>
    <w:rsid w:val="00DF12D2"/>
  </w:style>
  <w:style w:type="character" w:styleId="Strong">
    <w:name w:val="Strong"/>
    <w:basedOn w:val="DefaultParagraphFont"/>
    <w:uiPriority w:val="22"/>
    <w:qFormat/>
    <w:rsid w:val="00DF12D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1949327">
      <w:bodyDiv w:val="1"/>
      <w:marLeft w:val="0"/>
      <w:marRight w:val="0"/>
      <w:marTop w:val="0"/>
      <w:marBottom w:val="0"/>
      <w:divBdr>
        <w:top w:val="none" w:sz="0" w:space="0" w:color="auto"/>
        <w:left w:val="none" w:sz="0" w:space="0" w:color="auto"/>
        <w:bottom w:val="none" w:sz="0" w:space="0" w:color="auto"/>
        <w:right w:val="none" w:sz="0" w:space="0" w:color="auto"/>
      </w:divBdr>
    </w:div>
    <w:div w:id="424346484">
      <w:bodyDiv w:val="1"/>
      <w:marLeft w:val="0"/>
      <w:marRight w:val="0"/>
      <w:marTop w:val="0"/>
      <w:marBottom w:val="0"/>
      <w:divBdr>
        <w:top w:val="none" w:sz="0" w:space="0" w:color="auto"/>
        <w:left w:val="none" w:sz="0" w:space="0" w:color="auto"/>
        <w:bottom w:val="none" w:sz="0" w:space="0" w:color="auto"/>
        <w:right w:val="none" w:sz="0" w:space="0" w:color="auto"/>
      </w:divBdr>
    </w:div>
    <w:div w:id="576861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hyperlink" Target="https://www.boz.zm/press_statement_on_village_banking_savings_groups.pdf" TargetMode="External"/><Relationship Id="rId26" Type="http://schemas.openxmlformats.org/officeDocument/2006/relationships/hyperlink" Target="https://airccse.com/ijhas/abstract/5120ijhas07.html" TargetMode="External"/><Relationship Id="rId21" Type="http://schemas.openxmlformats.org/officeDocument/2006/relationships/hyperlink" Target="https://www.adb.org/sites/default/files/publication/850891/financial-access-women-owned-smes-viet-nam.pdf"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chart" Target="charts/chart8.xml"/><Relationship Id="rId25" Type="http://schemas.openxmlformats.org/officeDocument/2006/relationships/hyperlink" Target="https://doi.org/10.3844/ajabssp.2021.38.49"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hyperlink" Target="https://www.icrw.org/wp-content/uploads/2017/11/Gender-and-digital-financial-inclusion.pdf" TargetMode="External"/><Relationship Id="rId29" Type="http://schemas.openxmlformats.org/officeDocument/2006/relationships/hyperlink" Target="https://www.usaid.gov/sites/default/files/2023-02/2020-USAID-Women-Peace-and-Security-Implentation-Plan.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hyperlink" Target="https://lusakastar.com/features/women-empowerment-through-recycling"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hyperlink" Target="https://doi.org/10.3844/jssp.2023.96.105" TargetMode="External"/><Relationship Id="rId28" Type="http://schemas.openxmlformats.org/officeDocument/2006/relationships/hyperlink" Target="https://documents.worldbank.org/en/publication/documents-reports/documentdetail/107171511360386561/Microfinance-and-economic-development" TargetMode="External"/><Relationship Id="rId36"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hyperlink" Target="https://www.pewresearch.org/short-reads/2022/08/31/global-population-skews-male-but-un-projects-parity-between-sexes-by-2050/"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5.xml"/><Relationship Id="rId22" Type="http://schemas.openxmlformats.org/officeDocument/2006/relationships/hyperlink" Target="https://blogs.worldbank.org/en/nasikiliza/how-empowering-women-can-help-end-poverty-africa" TargetMode="External"/><Relationship Id="rId27" Type="http://schemas.openxmlformats.org/officeDocument/2006/relationships/hyperlink" Target="https://airccse.com/ijhas/abstract/4319ijhas06"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embeddings/oleObject2.bin"/></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59A-4C6B-8A17-8A714B3AD406}"/>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59A-4C6B-8A17-8A714B3AD406}"/>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D59A-4C6B-8A17-8A714B3AD406}"/>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D59A-4C6B-8A17-8A714B3AD406}"/>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'Challenge of villae banks'!$T$30:$T$33</c:f>
              <c:strCache>
                <c:ptCount val="4"/>
                <c:pt idx="0">
                  <c:v>Single</c:v>
                </c:pt>
                <c:pt idx="1">
                  <c:v>Engaged</c:v>
                </c:pt>
                <c:pt idx="2">
                  <c:v>Married</c:v>
                </c:pt>
                <c:pt idx="3">
                  <c:v>Widowed</c:v>
                </c:pt>
              </c:strCache>
            </c:strRef>
          </c:cat>
          <c:val>
            <c:numRef>
              <c:f>'Challenge of villae banks'!$U$30:$U$33</c:f>
              <c:numCache>
                <c:formatCode>General</c:formatCode>
                <c:ptCount val="4"/>
                <c:pt idx="0">
                  <c:v>16</c:v>
                </c:pt>
                <c:pt idx="1">
                  <c:v>1</c:v>
                </c:pt>
                <c:pt idx="2">
                  <c:v>66</c:v>
                </c:pt>
                <c:pt idx="3">
                  <c:v>7</c:v>
                </c:pt>
              </c:numCache>
            </c:numRef>
          </c:val>
          <c:extLst>
            <c:ext xmlns:c16="http://schemas.microsoft.com/office/drawing/2014/chart" uri="{C3380CC4-5D6E-409C-BE32-E72D297353CC}">
              <c16:uniqueId val="{00000008-D59A-4C6B-8A17-8A714B3AD40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t"/>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'[Chart 5 in Microsoft Word]Challenge of villae banks'!$I$34:$I$37</c:f>
              <c:strCache>
                <c:ptCount val="4"/>
                <c:pt idx="0">
                  <c:v>None</c:v>
                </c:pt>
                <c:pt idx="1">
                  <c:v>Junior Secondary (Below GCE)</c:v>
                </c:pt>
                <c:pt idx="2">
                  <c:v>Tertiary (Certificate, Diploma, Degree)</c:v>
                </c:pt>
                <c:pt idx="3">
                  <c:v>Secondary</c:v>
                </c:pt>
              </c:strCache>
            </c:strRef>
          </c:cat>
          <c:val>
            <c:numRef>
              <c:f>'[Chart 5 in Microsoft Word]Challenge of villae banks'!$K$34:$K$37</c:f>
              <c:numCache>
                <c:formatCode>General</c:formatCode>
                <c:ptCount val="4"/>
                <c:pt idx="0">
                  <c:v>11</c:v>
                </c:pt>
                <c:pt idx="1">
                  <c:v>18</c:v>
                </c:pt>
                <c:pt idx="2">
                  <c:v>24</c:v>
                </c:pt>
                <c:pt idx="3">
                  <c:v>47</c:v>
                </c:pt>
              </c:numCache>
            </c:numRef>
          </c:val>
          <c:extLst>
            <c:ext xmlns:c16="http://schemas.microsoft.com/office/drawing/2014/chart" uri="{C3380CC4-5D6E-409C-BE32-E72D297353CC}">
              <c16:uniqueId val="{00000000-4BB4-4BA2-824C-FBD034A24930}"/>
            </c:ext>
          </c:extLst>
        </c:ser>
        <c:dLbls>
          <c:dLblPos val="outEnd"/>
          <c:showLegendKey val="0"/>
          <c:showVal val="1"/>
          <c:showCatName val="0"/>
          <c:showSerName val="0"/>
          <c:showPercent val="0"/>
          <c:showBubbleSize val="0"/>
        </c:dLbls>
        <c:gapWidth val="444"/>
        <c:overlap val="-90"/>
        <c:axId val="484229408"/>
        <c:axId val="546395064"/>
        <c:extLst>
          <c:ext xmlns:c15="http://schemas.microsoft.com/office/drawing/2012/chart" uri="{02D57815-91ED-43cb-92C2-25804820EDAC}">
            <c15:filteredBarSeries>
              <c15:ser>
                <c:idx val="0"/>
                <c:order val="0"/>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strRef>
                    <c:extLst>
                      <c:ext uri="{02D57815-91ED-43cb-92C2-25804820EDAC}">
                        <c15:formulaRef>
                          <c15:sqref>'[Chart 5 in Microsoft Word]Challenge of villae banks'!$I$34:$I$37</c15:sqref>
                        </c15:formulaRef>
                      </c:ext>
                    </c:extLst>
                    <c:strCache>
                      <c:ptCount val="4"/>
                      <c:pt idx="0">
                        <c:v>None</c:v>
                      </c:pt>
                      <c:pt idx="1">
                        <c:v>Junior Secondary (Below GCE)</c:v>
                      </c:pt>
                      <c:pt idx="2">
                        <c:v>Tertiary (Certificate, Diploma, Degree)</c:v>
                      </c:pt>
                      <c:pt idx="3">
                        <c:v>Secondary</c:v>
                      </c:pt>
                    </c:strCache>
                  </c:strRef>
                </c:cat>
                <c:val>
                  <c:numRef>
                    <c:extLst>
                      <c:ext uri="{02D57815-91ED-43cb-92C2-25804820EDAC}">
                        <c15:formulaRef>
                          <c15:sqref>'[Chart 5 in Microsoft Word]Challenge of villae banks'!$J$34:$J$37</c15:sqref>
                        </c15:formulaRef>
                      </c:ext>
                    </c:extLst>
                    <c:numCache>
                      <c:formatCode>General</c:formatCode>
                      <c:ptCount val="4"/>
                    </c:numCache>
                  </c:numRef>
                </c:val>
                <c:extLst>
                  <c:ext xmlns:c16="http://schemas.microsoft.com/office/drawing/2014/chart" uri="{C3380CC4-5D6E-409C-BE32-E72D297353CC}">
                    <c16:uniqueId val="{00000001-4BB4-4BA2-824C-FBD034A24930}"/>
                  </c:ext>
                </c:extLst>
              </c15:ser>
            </c15:filteredBarSeries>
          </c:ext>
        </c:extLst>
      </c:barChart>
      <c:catAx>
        <c:axId val="4842294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546395064"/>
        <c:crosses val="autoZero"/>
        <c:auto val="1"/>
        <c:lblAlgn val="ctr"/>
        <c:lblOffset val="100"/>
        <c:noMultiLvlLbl val="0"/>
      </c:catAx>
      <c:valAx>
        <c:axId val="546395064"/>
        <c:scaling>
          <c:orientation val="minMax"/>
        </c:scaling>
        <c:delete val="1"/>
        <c:axPos val="l"/>
        <c:numFmt formatCode="General" sourceLinked="1"/>
        <c:majorTickMark val="none"/>
        <c:minorTickMark val="none"/>
        <c:tickLblPos val="nextTo"/>
        <c:crossAx val="48422940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cat>
            <c:strRef>
              <c:f>Sheet6!$P$13:$P$16</c:f>
              <c:strCache>
                <c:ptCount val="4"/>
                <c:pt idx="0">
                  <c:v>&lt; 1000</c:v>
                </c:pt>
                <c:pt idx="1">
                  <c:v>1100-2500</c:v>
                </c:pt>
                <c:pt idx="2">
                  <c:v>2500-4400</c:v>
                </c:pt>
                <c:pt idx="3">
                  <c:v>&gt;4500</c:v>
                </c:pt>
              </c:strCache>
            </c:strRef>
          </c:cat>
          <c:val>
            <c:numRef>
              <c:f>Sheet6!$Q$13:$Q$16</c:f>
              <c:numCache>
                <c:formatCode>General</c:formatCode>
                <c:ptCount val="4"/>
                <c:pt idx="0">
                  <c:v>20</c:v>
                </c:pt>
                <c:pt idx="1">
                  <c:v>27</c:v>
                </c:pt>
                <c:pt idx="2">
                  <c:v>43</c:v>
                </c:pt>
                <c:pt idx="3">
                  <c:v>10</c:v>
                </c:pt>
              </c:numCache>
            </c:numRef>
          </c:val>
          <c:extLst>
            <c:ext xmlns:c16="http://schemas.microsoft.com/office/drawing/2014/chart" uri="{C3380CC4-5D6E-409C-BE32-E72D297353CC}">
              <c16:uniqueId val="{00000000-843C-41D7-BD37-3F7B65B36C84}"/>
            </c:ext>
          </c:extLst>
        </c:ser>
        <c:dLbls>
          <c:showLegendKey val="0"/>
          <c:showVal val="0"/>
          <c:showCatName val="0"/>
          <c:showSerName val="0"/>
          <c:showPercent val="0"/>
          <c:showBubbleSize val="0"/>
        </c:dLbls>
        <c:gapWidth val="219"/>
        <c:overlap val="-27"/>
        <c:axId val="476319368"/>
        <c:axId val="475558040"/>
      </c:barChart>
      <c:catAx>
        <c:axId val="476319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5558040"/>
        <c:crosses val="autoZero"/>
        <c:auto val="1"/>
        <c:lblAlgn val="ctr"/>
        <c:lblOffset val="100"/>
        <c:noMultiLvlLbl val="0"/>
      </c:catAx>
      <c:valAx>
        <c:axId val="475558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6319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Sheet1!$E$14</c:f>
              <c:strCache>
                <c:ptCount val="1"/>
                <c:pt idx="0">
                  <c:v>ACCESS TO MEDICAL SERVICES</c:v>
                </c:pt>
              </c:strCache>
            </c:strRef>
          </c:tx>
          <c:spPr>
            <a:solidFill>
              <a:schemeClr val="accent1"/>
            </a:solidFill>
            <a:ln>
              <a:solidFill>
                <a:schemeClr val="accent1"/>
              </a:solidFill>
            </a:ln>
            <a:effectLst>
              <a:glow>
                <a:schemeClr val="accent1">
                  <a:alpha val="40000"/>
                </a:schemeClr>
              </a:glow>
              <a:outerShdw blurRad="50800" dist="50800" dir="5400000" sx="103000" sy="103000" algn="ctr" rotWithShape="0">
                <a:srgbClr val="000000">
                  <a:alpha val="43137"/>
                </a:srgbClr>
              </a:outerShdw>
              <a:softEdge rad="0"/>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Sheet1!$D$15:$D$16</c:f>
              <c:strCache>
                <c:ptCount val="2"/>
                <c:pt idx="0">
                  <c:v>before village banking</c:v>
                </c:pt>
                <c:pt idx="1">
                  <c:v>after joining village banking</c:v>
                </c:pt>
              </c:strCache>
            </c:strRef>
          </c:cat>
          <c:val>
            <c:numRef>
              <c:f>Sheet1!$E$15:$E$16</c:f>
              <c:numCache>
                <c:formatCode>General</c:formatCode>
                <c:ptCount val="2"/>
                <c:pt idx="0">
                  <c:v>35</c:v>
                </c:pt>
                <c:pt idx="1">
                  <c:v>80</c:v>
                </c:pt>
              </c:numCache>
            </c:numRef>
          </c:val>
          <c:extLst>
            <c:ext xmlns:c16="http://schemas.microsoft.com/office/drawing/2014/chart" uri="{C3380CC4-5D6E-409C-BE32-E72D297353CC}">
              <c16:uniqueId val="{00000000-F5E8-4259-B2BE-9FD8107B9CD0}"/>
            </c:ext>
          </c:extLst>
        </c:ser>
        <c:ser>
          <c:idx val="1"/>
          <c:order val="1"/>
          <c:tx>
            <c:strRef>
              <c:f>Sheet1!$F$14</c:f>
              <c:strCache>
                <c:ptCount val="1"/>
                <c:pt idx="0">
                  <c:v>LIMITED ACCESS TO MEDICAL SERVICES</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Sheet1!$D$15:$D$16</c:f>
              <c:strCache>
                <c:ptCount val="2"/>
                <c:pt idx="0">
                  <c:v>before village banking</c:v>
                </c:pt>
                <c:pt idx="1">
                  <c:v>after joining village banking</c:v>
                </c:pt>
              </c:strCache>
            </c:strRef>
          </c:cat>
          <c:val>
            <c:numRef>
              <c:f>Sheet1!$F$15:$F$16</c:f>
              <c:numCache>
                <c:formatCode>General</c:formatCode>
                <c:ptCount val="2"/>
                <c:pt idx="0">
                  <c:v>65</c:v>
                </c:pt>
                <c:pt idx="1">
                  <c:v>20</c:v>
                </c:pt>
              </c:numCache>
            </c:numRef>
          </c:val>
          <c:extLst>
            <c:ext xmlns:c16="http://schemas.microsoft.com/office/drawing/2014/chart" uri="{C3380CC4-5D6E-409C-BE32-E72D297353CC}">
              <c16:uniqueId val="{00000001-F5E8-4259-B2BE-9FD8107B9CD0}"/>
            </c:ext>
          </c:extLst>
        </c:ser>
        <c:dLbls>
          <c:dLblPos val="outEnd"/>
          <c:showLegendKey val="0"/>
          <c:showVal val="1"/>
          <c:showCatName val="0"/>
          <c:showSerName val="0"/>
          <c:showPercent val="0"/>
          <c:showBubbleSize val="0"/>
        </c:dLbls>
        <c:gapWidth val="444"/>
        <c:overlap val="-90"/>
        <c:axId val="475558824"/>
        <c:axId val="475557256"/>
      </c:barChart>
      <c:catAx>
        <c:axId val="4755588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75557256"/>
        <c:crosses val="autoZero"/>
        <c:auto val="1"/>
        <c:lblAlgn val="ctr"/>
        <c:lblOffset val="100"/>
        <c:noMultiLvlLbl val="0"/>
      </c:catAx>
      <c:valAx>
        <c:axId val="475557256"/>
        <c:scaling>
          <c:orientation val="minMax"/>
        </c:scaling>
        <c:delete val="1"/>
        <c:axPos val="l"/>
        <c:numFmt formatCode="General" sourceLinked="1"/>
        <c:majorTickMark val="none"/>
        <c:minorTickMark val="none"/>
        <c:tickLblPos val="nextTo"/>
        <c:crossAx val="4755588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Sheet1!$D$5</c:f>
              <c:strCache>
                <c:ptCount val="1"/>
                <c:pt idx="0">
                  <c:v>ACCESS TO NUTRITIOUS FOOD</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Sheet1!$C$6:$C$7</c:f>
              <c:strCache>
                <c:ptCount val="2"/>
                <c:pt idx="0">
                  <c:v>Before joining village banking</c:v>
                </c:pt>
                <c:pt idx="1">
                  <c:v>After joining village banking</c:v>
                </c:pt>
              </c:strCache>
            </c:strRef>
          </c:cat>
          <c:val>
            <c:numRef>
              <c:f>Sheet1!$D$6:$D$7</c:f>
              <c:numCache>
                <c:formatCode>General</c:formatCode>
                <c:ptCount val="2"/>
                <c:pt idx="0">
                  <c:v>40</c:v>
                </c:pt>
                <c:pt idx="1">
                  <c:v>82</c:v>
                </c:pt>
              </c:numCache>
            </c:numRef>
          </c:val>
          <c:extLst>
            <c:ext xmlns:c16="http://schemas.microsoft.com/office/drawing/2014/chart" uri="{C3380CC4-5D6E-409C-BE32-E72D297353CC}">
              <c16:uniqueId val="{00000000-7C0F-4232-961A-9974AD595C62}"/>
            </c:ext>
          </c:extLst>
        </c:ser>
        <c:ser>
          <c:idx val="1"/>
          <c:order val="1"/>
          <c:tx>
            <c:strRef>
              <c:f>Sheet1!$E$5</c:f>
              <c:strCache>
                <c:ptCount val="1"/>
                <c:pt idx="0">
                  <c:v>LIMITED ACCESS TO NUTRITIOUS FOOD</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Sheet1!$C$6:$C$7</c:f>
              <c:strCache>
                <c:ptCount val="2"/>
                <c:pt idx="0">
                  <c:v>Before joining village banking</c:v>
                </c:pt>
                <c:pt idx="1">
                  <c:v>After joining village banking</c:v>
                </c:pt>
              </c:strCache>
            </c:strRef>
          </c:cat>
          <c:val>
            <c:numRef>
              <c:f>Sheet1!$E$6:$E$7</c:f>
              <c:numCache>
                <c:formatCode>General</c:formatCode>
                <c:ptCount val="2"/>
                <c:pt idx="0">
                  <c:v>60</c:v>
                </c:pt>
                <c:pt idx="1">
                  <c:v>18</c:v>
                </c:pt>
              </c:numCache>
            </c:numRef>
          </c:val>
          <c:extLst>
            <c:ext xmlns:c16="http://schemas.microsoft.com/office/drawing/2014/chart" uri="{C3380CC4-5D6E-409C-BE32-E72D297353CC}">
              <c16:uniqueId val="{00000001-7C0F-4232-961A-9974AD595C62}"/>
            </c:ext>
          </c:extLst>
        </c:ser>
        <c:dLbls>
          <c:dLblPos val="outEnd"/>
          <c:showLegendKey val="0"/>
          <c:showVal val="1"/>
          <c:showCatName val="0"/>
          <c:showSerName val="0"/>
          <c:showPercent val="0"/>
          <c:showBubbleSize val="0"/>
        </c:dLbls>
        <c:gapWidth val="444"/>
        <c:overlap val="-90"/>
        <c:axId val="480736248"/>
        <c:axId val="480735856"/>
      </c:barChart>
      <c:catAx>
        <c:axId val="4807362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80735856"/>
        <c:crosses val="autoZero"/>
        <c:auto val="1"/>
        <c:lblAlgn val="ctr"/>
        <c:lblOffset val="100"/>
        <c:noMultiLvlLbl val="0"/>
      </c:catAx>
      <c:valAx>
        <c:axId val="480735856"/>
        <c:scaling>
          <c:orientation val="minMax"/>
        </c:scaling>
        <c:delete val="1"/>
        <c:axPos val="l"/>
        <c:numFmt formatCode="General" sourceLinked="1"/>
        <c:majorTickMark val="none"/>
        <c:minorTickMark val="none"/>
        <c:tickLblPos val="nextTo"/>
        <c:crossAx val="48073624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'[Chart in Microsoft Word]Sheet1'!$C$56</c:f>
              <c:strCache>
                <c:ptCount val="1"/>
                <c:pt idx="0">
                  <c:v>Income level trend before Village banking</c:v>
                </c:pt>
              </c:strCache>
            </c:strRef>
          </c:tx>
          <c:spPr>
            <a:ln w="28575" cap="rnd">
              <a:solidFill>
                <a:schemeClr val="accent1"/>
              </a:solidFill>
              <a:round/>
            </a:ln>
            <a:effectLst/>
          </c:spPr>
          <c:marker>
            <c:symbol val="none"/>
          </c:marker>
          <c:val>
            <c:numRef>
              <c:f>'[Chart in Microsoft Word]Sheet1'!$C$57:$C$66</c:f>
              <c:numCache>
                <c:formatCode>General</c:formatCode>
                <c:ptCount val="10"/>
                <c:pt idx="0">
                  <c:v>100</c:v>
                </c:pt>
                <c:pt idx="1">
                  <c:v>200</c:v>
                </c:pt>
                <c:pt idx="2">
                  <c:v>100</c:v>
                </c:pt>
                <c:pt idx="3">
                  <c:v>330</c:v>
                </c:pt>
                <c:pt idx="4">
                  <c:v>345</c:v>
                </c:pt>
                <c:pt idx="5">
                  <c:v>401</c:v>
                </c:pt>
                <c:pt idx="6">
                  <c:v>461</c:v>
                </c:pt>
                <c:pt idx="7">
                  <c:v>530</c:v>
                </c:pt>
                <c:pt idx="8">
                  <c:v>520</c:v>
                </c:pt>
                <c:pt idx="9">
                  <c:v>666</c:v>
                </c:pt>
              </c:numCache>
            </c:numRef>
          </c:val>
          <c:smooth val="0"/>
          <c:extLst>
            <c:ext xmlns:c16="http://schemas.microsoft.com/office/drawing/2014/chart" uri="{C3380CC4-5D6E-409C-BE32-E72D297353CC}">
              <c16:uniqueId val="{00000000-5831-4AFA-8783-0AA7FD75F4F0}"/>
            </c:ext>
          </c:extLst>
        </c:ser>
        <c:ser>
          <c:idx val="1"/>
          <c:order val="1"/>
          <c:tx>
            <c:strRef>
              <c:f>'[Chart in Microsoft Word]Sheet1'!$D$56</c:f>
              <c:strCache>
                <c:ptCount val="1"/>
                <c:pt idx="0">
                  <c:v>Income level trend after village banking</c:v>
                </c:pt>
              </c:strCache>
            </c:strRef>
          </c:tx>
          <c:spPr>
            <a:ln w="28575" cap="rnd">
              <a:solidFill>
                <a:schemeClr val="accent2"/>
              </a:solidFill>
              <a:round/>
            </a:ln>
            <a:effectLst/>
          </c:spPr>
          <c:marker>
            <c:symbol val="none"/>
          </c:marker>
          <c:val>
            <c:numRef>
              <c:f>'[Chart in Microsoft Word]Sheet1'!$D$57:$D$66</c:f>
              <c:numCache>
                <c:formatCode>General</c:formatCode>
                <c:ptCount val="10"/>
                <c:pt idx="0">
                  <c:v>250</c:v>
                </c:pt>
                <c:pt idx="1">
                  <c:v>230</c:v>
                </c:pt>
                <c:pt idx="2">
                  <c:v>250</c:v>
                </c:pt>
                <c:pt idx="3">
                  <c:v>400</c:v>
                </c:pt>
                <c:pt idx="4">
                  <c:v>423</c:v>
                </c:pt>
                <c:pt idx="5">
                  <c:v>500</c:v>
                </c:pt>
                <c:pt idx="6">
                  <c:v>520</c:v>
                </c:pt>
                <c:pt idx="7">
                  <c:v>550</c:v>
                </c:pt>
                <c:pt idx="8">
                  <c:v>600</c:v>
                </c:pt>
                <c:pt idx="9">
                  <c:v>700</c:v>
                </c:pt>
              </c:numCache>
            </c:numRef>
          </c:val>
          <c:smooth val="0"/>
          <c:extLst>
            <c:ext xmlns:c16="http://schemas.microsoft.com/office/drawing/2014/chart" uri="{C3380CC4-5D6E-409C-BE32-E72D297353CC}">
              <c16:uniqueId val="{00000001-5831-4AFA-8783-0AA7FD75F4F0}"/>
            </c:ext>
          </c:extLst>
        </c:ser>
        <c:dLbls>
          <c:showLegendKey val="0"/>
          <c:showVal val="0"/>
          <c:showCatName val="0"/>
          <c:showSerName val="0"/>
          <c:showPercent val="0"/>
          <c:showBubbleSize val="0"/>
        </c:dLbls>
        <c:smooth val="0"/>
        <c:axId val="480733112"/>
        <c:axId val="480734680"/>
      </c:lineChart>
      <c:catAx>
        <c:axId val="4807331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Participants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0734680"/>
        <c:crosses val="autoZero"/>
        <c:auto val="1"/>
        <c:lblAlgn val="ctr"/>
        <c:lblOffset val="100"/>
        <c:noMultiLvlLbl val="0"/>
      </c:catAx>
      <c:valAx>
        <c:axId val="480734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Amount in ZMK</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0733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Sheet1!$F$2</c:f>
              <c:strCache>
                <c:ptCount val="1"/>
                <c:pt idx="0">
                  <c:v>% of women able to pay School fees</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Sheet1!$E$3:$E$4</c:f>
              <c:strCache>
                <c:ptCount val="2"/>
                <c:pt idx="0">
                  <c:v>before Village Banking</c:v>
                </c:pt>
                <c:pt idx="1">
                  <c:v>After Village Banking</c:v>
                </c:pt>
              </c:strCache>
            </c:strRef>
          </c:cat>
          <c:val>
            <c:numRef>
              <c:f>Sheet1!$F$3:$F$4</c:f>
              <c:numCache>
                <c:formatCode>General</c:formatCode>
                <c:ptCount val="2"/>
                <c:pt idx="0">
                  <c:v>60</c:v>
                </c:pt>
                <c:pt idx="1">
                  <c:v>85</c:v>
                </c:pt>
              </c:numCache>
            </c:numRef>
          </c:val>
          <c:extLst>
            <c:ext xmlns:c16="http://schemas.microsoft.com/office/drawing/2014/chart" uri="{C3380CC4-5D6E-409C-BE32-E72D297353CC}">
              <c16:uniqueId val="{00000000-29B0-4F35-B5E6-0C6BE5E21C3C}"/>
            </c:ext>
          </c:extLst>
        </c:ser>
        <c:ser>
          <c:idx val="1"/>
          <c:order val="1"/>
          <c:tx>
            <c:strRef>
              <c:f>Sheet1!$G$2</c:f>
              <c:strCache>
                <c:ptCount val="1"/>
                <c:pt idx="0">
                  <c:v>% of women not able to pay school fees</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Sheet1!$E$3:$E$4</c:f>
              <c:strCache>
                <c:ptCount val="2"/>
                <c:pt idx="0">
                  <c:v>before Village Banking</c:v>
                </c:pt>
                <c:pt idx="1">
                  <c:v>After Village Banking</c:v>
                </c:pt>
              </c:strCache>
            </c:strRef>
          </c:cat>
          <c:val>
            <c:numRef>
              <c:f>Sheet1!$G$3:$G$4</c:f>
              <c:numCache>
                <c:formatCode>General</c:formatCode>
                <c:ptCount val="2"/>
                <c:pt idx="0">
                  <c:v>40</c:v>
                </c:pt>
                <c:pt idx="1">
                  <c:v>15</c:v>
                </c:pt>
              </c:numCache>
            </c:numRef>
          </c:val>
          <c:extLst>
            <c:ext xmlns:c16="http://schemas.microsoft.com/office/drawing/2014/chart" uri="{C3380CC4-5D6E-409C-BE32-E72D297353CC}">
              <c16:uniqueId val="{00000001-29B0-4F35-B5E6-0C6BE5E21C3C}"/>
            </c:ext>
          </c:extLst>
        </c:ser>
        <c:dLbls>
          <c:dLblPos val="outEnd"/>
          <c:showLegendKey val="0"/>
          <c:showVal val="1"/>
          <c:showCatName val="0"/>
          <c:showSerName val="0"/>
          <c:showPercent val="0"/>
          <c:showBubbleSize val="0"/>
        </c:dLbls>
        <c:gapWidth val="444"/>
        <c:overlap val="-90"/>
        <c:axId val="480735464"/>
        <c:axId val="480733504"/>
      </c:barChart>
      <c:catAx>
        <c:axId val="4807354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solidFill>
                  <a:sysClr val="windowText" lastClr="000000"/>
                </a:solidFill>
                <a:latin typeface="+mn-lt"/>
                <a:ea typeface="+mn-ea"/>
                <a:cs typeface="+mn-cs"/>
              </a:defRPr>
            </a:pPr>
            <a:endParaRPr lang="en-US"/>
          </a:p>
        </c:txPr>
        <c:crossAx val="480733504"/>
        <c:crosses val="autoZero"/>
        <c:auto val="1"/>
        <c:lblAlgn val="ctr"/>
        <c:lblOffset val="100"/>
        <c:noMultiLvlLbl val="0"/>
      </c:catAx>
      <c:valAx>
        <c:axId val="480733504"/>
        <c:scaling>
          <c:orientation val="minMax"/>
        </c:scaling>
        <c:delete val="1"/>
        <c:axPos val="l"/>
        <c:numFmt formatCode="General" sourceLinked="1"/>
        <c:majorTickMark val="none"/>
        <c:minorTickMark val="none"/>
        <c:tickLblPos val="nextTo"/>
        <c:crossAx val="48073546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7777777777777776E-2"/>
          <c:y val="0.2893633535236827"/>
          <c:w val="0.93888888888888888"/>
          <c:h val="0.59110860232361739"/>
        </c:manualLayout>
      </c:layout>
      <c:barChart>
        <c:barDir val="col"/>
        <c:grouping val="clustered"/>
        <c:varyColors val="0"/>
        <c:ser>
          <c:idx val="0"/>
          <c:order val="0"/>
          <c:tx>
            <c:strRef>
              <c:f>Sheet1!$E$25</c:f>
              <c:strCache>
                <c:ptCount val="1"/>
                <c:pt idx="0">
                  <c:v>% women doing entreprenurial activities</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Sheet1!$D$26:$D$27</c:f>
              <c:strCache>
                <c:ptCount val="2"/>
                <c:pt idx="0">
                  <c:v>before VB</c:v>
                </c:pt>
                <c:pt idx="1">
                  <c:v>After VB</c:v>
                </c:pt>
              </c:strCache>
            </c:strRef>
          </c:cat>
          <c:val>
            <c:numRef>
              <c:f>Sheet1!$E$26:$E$27</c:f>
              <c:numCache>
                <c:formatCode>General</c:formatCode>
                <c:ptCount val="2"/>
                <c:pt idx="0">
                  <c:v>37</c:v>
                </c:pt>
                <c:pt idx="1">
                  <c:v>63</c:v>
                </c:pt>
              </c:numCache>
            </c:numRef>
          </c:val>
          <c:extLst>
            <c:ext xmlns:c16="http://schemas.microsoft.com/office/drawing/2014/chart" uri="{C3380CC4-5D6E-409C-BE32-E72D297353CC}">
              <c16:uniqueId val="{00000000-AD7D-445C-BDE6-8D44E437E132}"/>
            </c:ext>
          </c:extLst>
        </c:ser>
        <c:ser>
          <c:idx val="1"/>
          <c:order val="1"/>
          <c:tx>
            <c:strRef>
              <c:f>Sheet1!$F$25</c:f>
              <c:strCache>
                <c:ptCount val="1"/>
                <c:pt idx="0">
                  <c:v>% women not doing entreprenurial activities</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Sheet1!$D$26:$D$27</c:f>
              <c:strCache>
                <c:ptCount val="2"/>
                <c:pt idx="0">
                  <c:v>before VB</c:v>
                </c:pt>
                <c:pt idx="1">
                  <c:v>After VB</c:v>
                </c:pt>
              </c:strCache>
            </c:strRef>
          </c:cat>
          <c:val>
            <c:numRef>
              <c:f>Sheet1!$F$26:$F$27</c:f>
              <c:numCache>
                <c:formatCode>General</c:formatCode>
                <c:ptCount val="2"/>
                <c:pt idx="0">
                  <c:v>65</c:v>
                </c:pt>
                <c:pt idx="1">
                  <c:v>35</c:v>
                </c:pt>
              </c:numCache>
            </c:numRef>
          </c:val>
          <c:extLst>
            <c:ext xmlns:c16="http://schemas.microsoft.com/office/drawing/2014/chart" uri="{C3380CC4-5D6E-409C-BE32-E72D297353CC}">
              <c16:uniqueId val="{00000001-AD7D-445C-BDE6-8D44E437E132}"/>
            </c:ext>
          </c:extLst>
        </c:ser>
        <c:dLbls>
          <c:dLblPos val="outEnd"/>
          <c:showLegendKey val="0"/>
          <c:showVal val="1"/>
          <c:showCatName val="0"/>
          <c:showSerName val="0"/>
          <c:showPercent val="0"/>
          <c:showBubbleSize val="0"/>
        </c:dLbls>
        <c:gapWidth val="444"/>
        <c:overlap val="-90"/>
        <c:axId val="480735072"/>
        <c:axId val="547741176"/>
      </c:barChart>
      <c:catAx>
        <c:axId val="4807350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solidFill>
                  <a:sysClr val="windowText" lastClr="000000"/>
                </a:solidFill>
                <a:latin typeface="+mn-lt"/>
                <a:ea typeface="+mn-ea"/>
                <a:cs typeface="+mn-cs"/>
              </a:defRPr>
            </a:pPr>
            <a:endParaRPr lang="en-US"/>
          </a:p>
        </c:txPr>
        <c:crossAx val="547741176"/>
        <c:crosses val="autoZero"/>
        <c:auto val="1"/>
        <c:lblAlgn val="ctr"/>
        <c:lblOffset val="100"/>
        <c:noMultiLvlLbl val="0"/>
      </c:catAx>
      <c:valAx>
        <c:axId val="547741176"/>
        <c:scaling>
          <c:orientation val="minMax"/>
        </c:scaling>
        <c:delete val="1"/>
        <c:axPos val="l"/>
        <c:numFmt formatCode="General" sourceLinked="1"/>
        <c:majorTickMark val="none"/>
        <c:minorTickMark val="none"/>
        <c:tickLblPos val="nextTo"/>
        <c:crossAx val="4807350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40162-EED8-42ED-B98E-138846FB1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31</Pages>
  <Words>10512</Words>
  <Characters>59920</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dc:creator>
  <cp:keywords/>
  <dc:description/>
  <cp:lastModifiedBy>SDI 1180</cp:lastModifiedBy>
  <cp:revision>17</cp:revision>
  <dcterms:created xsi:type="dcterms:W3CDTF">2025-08-11T15:51:00Z</dcterms:created>
  <dcterms:modified xsi:type="dcterms:W3CDTF">2025-08-12T12:14:00Z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7d7dce6ac9b0240fd71686534a3f3d06c414e45b661b0e78adf0c99ddc622e4e</vt:lpwstr>
  </property>
</Properties>
</file>