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b/>
          <w:bCs/>
          <w:sz w:val="28"/>
          <w:szCs w:val="28"/>
          <w:u w:val="single"/>
        </w:rPr>
      </w:pPr>
      <w:r>
        <w:rPr>
          <w:b/>
          <w:bCs/>
          <w:sz w:val="28"/>
          <w:szCs w:val="28"/>
          <w:u w:val="single"/>
        </w:rPr>
        <w:t>Review Article</w:t>
      </w:r>
    </w:p>
    <w:p>
      <w:pPr>
        <w:rPr>
          <w:b/>
          <w:bCs/>
          <w:sz w:val="28"/>
          <w:szCs w:val="28"/>
        </w:rPr>
      </w:pPr>
      <w:r>
        <w:rPr>
          <w:b/>
          <w:bCs/>
          <w:sz w:val="28"/>
          <w:szCs w:val="28"/>
        </w:rPr>
        <w:t>Optimizing Carbon Sequestration: The Role of Coconut Palm in Agroforestry</w:t>
      </w:r>
    </w:p>
    <w:p>
      <w:pPr>
        <w:spacing w:line="276" w:lineRule="auto"/>
        <w:jc w:val="center"/>
        <w:rPr>
          <w:b/>
          <w:bCs/>
        </w:rPr>
      </w:pPr>
      <w:r>
        <w:rPr>
          <w:b/>
          <w:bCs/>
        </w:rPr>
        <w:t xml:space="preserve"> </w:t>
      </w:r>
    </w:p>
    <w:p>
      <w:pPr>
        <w:spacing w:line="276" w:lineRule="auto"/>
        <w:jc w:val="center"/>
        <w:rPr>
          <w:b/>
          <w:bCs/>
        </w:rPr>
      </w:pPr>
    </w:p>
    <w:p>
      <w:pPr>
        <w:spacing w:line="276" w:lineRule="auto"/>
        <w:rPr>
          <w:rFonts w:ascii="Arial" w:hAnsi="Arial" w:cs="Arial"/>
          <w:b/>
          <w:bCs/>
        </w:rPr>
      </w:pPr>
      <w:r>
        <w:rPr>
          <w:rFonts w:ascii="Arial" w:hAnsi="Arial" w:cs="Arial"/>
          <w:b/>
          <w:bCs/>
        </w:rPr>
        <w:t>Abstract</w:t>
      </w:r>
      <w:r>
        <w:rPr>
          <w:rFonts w:ascii="Arial" w:hAnsi="Arial" w:cs="Arial"/>
          <w:b/>
          <w:bCs/>
        </w:rPr>
        <w:tab/>
      </w:r>
      <w:r>
        <w:rPr>
          <w:rFonts w:ascii="Arial" w:hAnsi="Arial" w:cs="Arial"/>
          <w:b/>
          <w:bCs/>
        </w:rPr>
        <w:tab/>
      </w:r>
    </w:p>
    <w:p>
      <w:pPr>
        <w:jc w:val="both"/>
        <w:rPr>
          <w:rFonts w:ascii="Arial" w:hAnsi="Arial" w:cs="Arial"/>
        </w:rPr>
      </w:pPr>
      <w:r>
        <w:rPr>
          <w:rFonts w:ascii="Arial" w:hAnsi="Arial" w:cs="Arial"/>
        </w:rPr>
        <w:t xml:space="preserve">Terrestrial carbon sequestration is an essential tactic for mitigating climate change, because atmospheric carbon dioxide </w:t>
      </w:r>
      <w:bookmarkStart w:id="0" w:name="_GoBack"/>
      <w:bookmarkEnd w:id="0"/>
      <w:r>
        <w:rPr>
          <w:rFonts w:ascii="Arial" w:hAnsi="Arial" w:cs="Arial"/>
        </w:rPr>
        <w:t>(CO</w:t>
      </w:r>
      <w:r>
        <w:rPr>
          <w:rFonts w:ascii="Arial" w:hAnsi="Arial" w:cs="Arial"/>
          <w:vertAlign w:val="subscript"/>
        </w:rPr>
        <w:t>2</w:t>
      </w:r>
      <w:r>
        <w:rPr>
          <w:rFonts w:ascii="Arial" w:hAnsi="Arial" w:cs="Arial"/>
        </w:rPr>
        <w:t>) has increased significantly since pre-industrial times. The potential of the perennial coconut palm (</w:t>
      </w:r>
      <w:r>
        <w:rPr>
          <w:rFonts w:ascii="Arial" w:hAnsi="Arial" w:cs="Arial"/>
          <w:i/>
          <w:iCs/>
        </w:rPr>
        <w:t>Cocos nucifera</w:t>
      </w:r>
      <w:r>
        <w:rPr>
          <w:rFonts w:ascii="Arial" w:hAnsi="Arial" w:cs="Arial"/>
        </w:rPr>
        <w:t>) as a carbon sink and the mutually beneficial effects of incorporating it into intercropping systems are examined in this review. Different techniques such as destructive, non-destructive, remote sensing and GIS methods can be used for estimating the plant biomass and carbon stock. 50% of the plant biomass is considered as the carbon stock. Because of their long lifespan, coconut palms can store a lot of carbon; older, taller varieties are better at sequestering carbon. According to the study, intercropping greatly increases sequestration and mixed systems store a lot more carbon stock than monoculture plantations. Improvements in soil health, such as a 23% increase in root biomass in intercropped fields and a 4% increase in soil organic carbon. This agroforestry approach provides a comprehensive solution, improving ecosystem services, helping to achieve global climate goals and giving farmers economic resilience through diversified income.</w:t>
      </w:r>
    </w:p>
    <w:p>
      <w:pPr>
        <w:jc w:val="both"/>
        <w:rPr>
          <w:rFonts w:ascii="Arial" w:hAnsi="Arial" w:cs="Arial"/>
        </w:rPr>
      </w:pPr>
      <w:r>
        <w:rPr>
          <w:rFonts w:ascii="Arial" w:hAnsi="Arial" w:cs="Arial"/>
        </w:rPr>
        <w:t>Key words: coconut, allometric equations, carbon sequestration, carbon stock</w:t>
      </w:r>
    </w:p>
    <w:p>
      <w:pPr>
        <w:rPr>
          <w:rFonts w:ascii="Arial" w:hAnsi="Arial" w:cs="Arial"/>
          <w:b/>
          <w:bCs/>
        </w:rPr>
      </w:pPr>
      <w:r>
        <w:rPr>
          <w:rFonts w:ascii="Arial" w:hAnsi="Arial" w:cs="Arial"/>
          <w:b/>
          <w:bCs/>
        </w:rPr>
        <w:t>1. Introduction</w:t>
      </w:r>
    </w:p>
    <w:p>
      <w:pPr>
        <w:ind w:firstLine="720"/>
        <w:jc w:val="both"/>
        <w:rPr>
          <w:rFonts w:ascii="Arial" w:hAnsi="Arial" w:cs="Arial"/>
        </w:rPr>
      </w:pPr>
      <w:r>
        <w:rPr>
          <w:rFonts w:ascii="Arial" w:hAnsi="Arial" w:cs="Arial"/>
        </w:rPr>
        <w:t>Increase in population leads to increase in anthropogenic activity, which have led to a significant increase in greenhouse gases, elevating global temperatures by 1°C since pre-industrial times. Fossil fuel combustion (coal, oil, and gas), cement manufacturing, deforestation and fertilizer use have all contributed to the greenhouse effect by increasing emissions of gases such as carbon dioxide, methane and nitrous oxide (Davis et al., 2010).  Among all greenhouse gases CO</w:t>
      </w:r>
      <w:r>
        <w:rPr>
          <w:rFonts w:ascii="Arial" w:hAnsi="Arial" w:cs="Arial"/>
          <w:vertAlign w:val="subscript"/>
        </w:rPr>
        <w:t>2</w:t>
      </w:r>
      <w:r>
        <w:rPr>
          <w:rFonts w:ascii="Arial" w:hAnsi="Arial" w:cs="Arial"/>
        </w:rPr>
        <w:t xml:space="preserve"> is the primary contributor for increasing of global temperature. CO</w:t>
      </w:r>
      <w:r>
        <w:rPr>
          <w:rFonts w:ascii="Arial" w:hAnsi="Arial" w:cs="Arial"/>
          <w:vertAlign w:val="subscript"/>
        </w:rPr>
        <w:t>2</w:t>
      </w:r>
      <w:r>
        <w:rPr>
          <w:rFonts w:ascii="Arial" w:hAnsi="Arial" w:cs="Arial"/>
        </w:rPr>
        <w:t>Earth (2023) projects that CO</w:t>
      </w:r>
      <w:r>
        <w:rPr>
          <w:rFonts w:ascii="Arial" w:hAnsi="Arial" w:cs="Arial"/>
          <w:vertAlign w:val="subscript"/>
        </w:rPr>
        <w:t>2</w:t>
      </w:r>
      <w:r>
        <w:rPr>
          <w:rFonts w:ascii="Arial" w:hAnsi="Arial" w:cs="Arial"/>
        </w:rPr>
        <w:t xml:space="preserve"> concentrations could vary from 540 parts per million to over 970 parts per million by the end of the century, with a mid-range estimate of about 670 parts per million. Sea levels will increase and there will be more extreme weather events like floods, droughts and tropical storms if emissions are not significantly reduced. The global temperature will rise by about 3.5°Cover pre-industrial levels. It has been stated that carbon sequestration is necessary to keep CO</w:t>
      </w:r>
      <w:r>
        <w:rPr>
          <w:rFonts w:ascii="Arial" w:hAnsi="Arial" w:cs="Arial"/>
          <w:vertAlign w:val="subscript"/>
        </w:rPr>
        <w:t>2</w:t>
      </w:r>
      <w:r>
        <w:rPr>
          <w:rFonts w:ascii="Arial" w:hAnsi="Arial" w:cs="Arial"/>
        </w:rPr>
        <w:t xml:space="preserve"> concentrations below 441 parts per million by the year 2100 (Rohit &amp; Soumyajit, 2022). Carbon sequestration is the technique of capturing and retaining carbon dioxide (CO</w:t>
      </w:r>
      <w:r>
        <w:rPr>
          <w:rFonts w:ascii="Arial" w:hAnsi="Arial" w:cs="Arial"/>
          <w:vertAlign w:val="subscript"/>
        </w:rPr>
        <w:t>2</w:t>
      </w:r>
      <w:r>
        <w:rPr>
          <w:rFonts w:ascii="Arial" w:hAnsi="Arial" w:cs="Arial"/>
        </w:rPr>
        <w:t xml:space="preserve">) to prevent it from entering the atmosphere. Following its capture, the carbon is subsequently released into the soil, vegetation, sea and underground geological formations, among other locations </w:t>
      </w:r>
      <w:r>
        <w:rPr>
          <w:rFonts w:ascii="Arial" w:hAnsi="Arial" w:cs="Arial"/>
        </w:rPr>
        <w:lastRenderedPageBreak/>
        <w:t>(USGS, 2008). Plantation crops play a major role in terrestrial carbon sequestration due to perennial nature (</w:t>
      </w:r>
      <w:proofErr w:type="spellStart"/>
      <w:r>
        <w:rPr>
          <w:rFonts w:ascii="Arial" w:hAnsi="Arial" w:cs="Arial"/>
        </w:rPr>
        <w:t>Subramaniyan</w:t>
      </w:r>
      <w:proofErr w:type="spellEnd"/>
      <w:r>
        <w:rPr>
          <w:rFonts w:ascii="Arial" w:hAnsi="Arial" w:cs="Arial"/>
        </w:rPr>
        <w:t xml:space="preserve"> et al.,2017) </w:t>
      </w:r>
    </w:p>
    <w:p>
      <w:pPr>
        <w:ind w:firstLine="720"/>
        <w:jc w:val="both"/>
        <w:rPr>
          <w:rFonts w:ascii="Arial" w:hAnsi="Arial" w:cs="Arial"/>
        </w:rPr>
      </w:pPr>
      <w:r>
        <w:rPr>
          <w:rFonts w:ascii="Arial" w:hAnsi="Arial" w:cs="Arial"/>
        </w:rPr>
        <w:t xml:space="preserve">For thousands of years, humanity have utilized the coconut palm, scientifically known as </w:t>
      </w:r>
      <w:r>
        <w:rPr>
          <w:rFonts w:ascii="Arial" w:hAnsi="Arial" w:cs="Arial"/>
          <w:i/>
          <w:iCs/>
        </w:rPr>
        <w:t>Cocos nucifera</w:t>
      </w:r>
      <w:r>
        <w:rPr>
          <w:rFonts w:ascii="Arial" w:hAnsi="Arial" w:cs="Arial"/>
        </w:rPr>
        <w:t xml:space="preserve">, a highly important and versatile tropical plant. The reason it is frequently referred to as the "tree of life" because its various parts can be used to create a wide range of beneficial products. According to FAOSTAT 2025, global production of coconut is approximately 62 million metric tons. Among all the countries India is the third largest coconut producing country </w:t>
      </w:r>
      <w:proofErr w:type="spellStart"/>
      <w:r>
        <w:rPr>
          <w:rFonts w:ascii="Arial" w:hAnsi="Arial" w:cs="Arial"/>
          <w:i/>
          <w:iCs/>
        </w:rPr>
        <w:t>i.e</w:t>
      </w:r>
      <w:proofErr w:type="spellEnd"/>
      <w:r>
        <w:rPr>
          <w:rFonts w:ascii="Arial" w:hAnsi="Arial" w:cs="Arial"/>
        </w:rPr>
        <w:t xml:space="preserve"> approximately 13.3 million metric tons. Coconut palms play a vital role in combating climate change. The process of terrestrial carbon sequestration in these coconut trees is a key strategy for reducing global warming.</w:t>
      </w:r>
    </w:p>
    <w:p>
      <w:pPr>
        <w:jc w:val="both"/>
        <w:rPr>
          <w:rFonts w:ascii="Arial" w:hAnsi="Arial" w:cs="Arial"/>
          <w:b/>
          <w:bCs/>
        </w:rPr>
      </w:pPr>
      <w:r>
        <w:rPr>
          <w:rFonts w:ascii="Arial" w:hAnsi="Arial" w:cs="Arial"/>
          <w:b/>
          <w:bCs/>
        </w:rPr>
        <w:t>2. Carbon sequestration in coconut</w:t>
      </w:r>
    </w:p>
    <w:p>
      <w:pPr>
        <w:ind w:firstLine="720"/>
        <w:jc w:val="both"/>
        <w:rPr>
          <w:rFonts w:ascii="Arial" w:hAnsi="Arial" w:cs="Arial"/>
        </w:rPr>
      </w:pPr>
      <w:r>
        <w:rPr>
          <w:rFonts w:ascii="Arial" w:hAnsi="Arial" w:cs="Arial"/>
        </w:rPr>
        <w:t>The coconut tree, like other higher plants, absorbs carbon dioxide (CO</w:t>
      </w:r>
      <w:r>
        <w:rPr>
          <w:rFonts w:ascii="Arial" w:hAnsi="Arial" w:cs="Arial"/>
          <w:vertAlign w:val="subscript"/>
        </w:rPr>
        <w:t>2</w:t>
      </w:r>
      <w:r>
        <w:rPr>
          <w:rFonts w:ascii="Arial" w:hAnsi="Arial" w:cs="Arial"/>
        </w:rPr>
        <w:t>) through its leaves' stomata, after which photosynthesis takes place. The majority of the CO</w:t>
      </w:r>
      <w:r>
        <w:rPr>
          <w:rFonts w:ascii="Arial" w:hAnsi="Arial" w:cs="Arial"/>
          <w:vertAlign w:val="subscript"/>
        </w:rPr>
        <w:t>2</w:t>
      </w:r>
      <w:r>
        <w:rPr>
          <w:rFonts w:ascii="Arial" w:hAnsi="Arial" w:cs="Arial"/>
        </w:rPr>
        <w:t xml:space="preserve"> that dissolves in the leaves roughly 270 </w:t>
      </w:r>
      <w:proofErr w:type="spellStart"/>
      <w:r>
        <w:rPr>
          <w:rFonts w:ascii="Arial" w:hAnsi="Arial" w:cs="Arial"/>
        </w:rPr>
        <w:t>PgC</w:t>
      </w:r>
      <w:proofErr w:type="spellEnd"/>
      <w:r>
        <w:rPr>
          <w:rFonts w:ascii="Arial" w:hAnsi="Arial" w:cs="Arial"/>
        </w:rPr>
        <w:t>/</w:t>
      </w:r>
      <w:proofErr w:type="spellStart"/>
      <w:r>
        <w:rPr>
          <w:rFonts w:ascii="Arial" w:hAnsi="Arial" w:cs="Arial"/>
        </w:rPr>
        <w:t>yr</w:t>
      </w:r>
      <w:proofErr w:type="spellEnd"/>
      <w:r>
        <w:rPr>
          <w:rFonts w:ascii="Arial" w:hAnsi="Arial" w:cs="Arial"/>
        </w:rPr>
        <w:t xml:space="preserve"> diffuses back out without being utilized for photosynthesis. (Farquhar et al., 1993). The amount of CO</w:t>
      </w:r>
      <w:r>
        <w:rPr>
          <w:rFonts w:ascii="Arial" w:hAnsi="Arial" w:cs="Arial"/>
          <w:vertAlign w:val="subscript"/>
        </w:rPr>
        <w:t>2​,</w:t>
      </w:r>
      <w:r>
        <w:rPr>
          <w:rFonts w:ascii="Arial" w:hAnsi="Arial" w:cs="Arial"/>
        </w:rPr>
        <w:t xml:space="preserve"> that is converted into carbohydrates during photosynthesis is called Gross Primary Production (GPP), and this is estimated to be around 120 </w:t>
      </w:r>
      <w:proofErr w:type="spellStart"/>
      <w:r>
        <w:rPr>
          <w:rFonts w:ascii="Arial" w:hAnsi="Arial" w:cs="Arial"/>
        </w:rPr>
        <w:t>PgC</w:t>
      </w:r>
      <w:proofErr w:type="spellEnd"/>
      <w:r>
        <w:rPr>
          <w:rFonts w:ascii="Arial" w:hAnsi="Arial" w:cs="Arial"/>
        </w:rPr>
        <w:t>/</w:t>
      </w:r>
      <w:proofErr w:type="spellStart"/>
      <w:r>
        <w:rPr>
          <w:rFonts w:ascii="Arial" w:hAnsi="Arial" w:cs="Arial"/>
        </w:rPr>
        <w:t>yr</w:t>
      </w:r>
      <w:proofErr w:type="spellEnd"/>
      <w:r>
        <w:rPr>
          <w:rFonts w:ascii="Arial" w:hAnsi="Arial" w:cs="Arial"/>
        </w:rPr>
        <w:t xml:space="preserve"> (</w:t>
      </w:r>
      <w:proofErr w:type="spellStart"/>
      <w:r>
        <w:rPr>
          <w:rFonts w:ascii="Arial" w:hAnsi="Arial" w:cs="Arial"/>
        </w:rPr>
        <w:t>Ciais</w:t>
      </w:r>
      <w:proofErr w:type="spellEnd"/>
      <w:r>
        <w:rPr>
          <w:rFonts w:ascii="Arial" w:hAnsi="Arial" w:cs="Arial"/>
        </w:rPr>
        <w:t xml:space="preserve"> et al., 1997). This value is roughly what is needed to support plant growth, with a portion of the GPP being absorbed into the plant's tissues (leaves, roots, and wood) and the rest being released back into the atmosphere as CO</w:t>
      </w:r>
      <w:r>
        <w:rPr>
          <w:rFonts w:ascii="Arial" w:hAnsi="Arial" w:cs="Arial"/>
          <w:vertAlign w:val="subscript"/>
        </w:rPr>
        <w:t>2</w:t>
      </w:r>
      <w:r>
        <w:rPr>
          <w:rFonts w:ascii="Arial" w:hAnsi="Arial" w:cs="Arial"/>
        </w:rPr>
        <w:t>​ through the plant's own respiration. The annual growth of a plant, known as Net Primary Production (NPP), is the result of the amount of carbon fixed during photosynthesis minus the carbon released through the plant's own respiration (autotrophic respiration) (Hall et al., 1993).</w:t>
      </w:r>
    </w:p>
    <w:p>
      <w:pPr>
        <w:jc w:val="both"/>
        <w:rPr>
          <w:rFonts w:ascii="Arial" w:hAnsi="Arial" w:cs="Arial"/>
        </w:rPr>
      </w:pPr>
      <w:r>
        <w:rPr>
          <w:rFonts w:ascii="Arial" w:hAnsi="Arial" w:cs="Arial"/>
        </w:rPr>
        <w:tab/>
        <w:t>In case of coconut, contrary to other dicot trees the NPP (85%) is translocated to the easily degradable structure like fruits, leaves, peduncles, and fine roots other than long lasting stems and course roots (</w:t>
      </w:r>
      <w:proofErr w:type="spellStart"/>
      <w:r>
        <w:rPr>
          <w:rFonts w:ascii="Arial" w:hAnsi="Arial" w:cs="Arial"/>
        </w:rPr>
        <w:t>Mialet</w:t>
      </w:r>
      <w:proofErr w:type="spellEnd"/>
      <w:r>
        <w:rPr>
          <w:rFonts w:ascii="Arial" w:hAnsi="Arial" w:cs="Arial"/>
        </w:rPr>
        <w:t xml:space="preserve">-Serra et al., 2008). The calculation of carbon sequestration requires measurements of four major carbon pools: soil, </w:t>
      </w:r>
      <w:proofErr w:type="spellStart"/>
      <w:r>
        <w:rPr>
          <w:rFonts w:ascii="Arial" w:hAnsi="Arial" w:cs="Arial"/>
        </w:rPr>
        <w:t>necromass</w:t>
      </w:r>
      <w:proofErr w:type="spellEnd"/>
      <w:r>
        <w:rPr>
          <w:rFonts w:ascii="Arial" w:hAnsi="Arial" w:cs="Arial"/>
        </w:rPr>
        <w:t xml:space="preserve"> (dead plant matter), and the aboveground and belowground live components of plants, including stems, leaves, and roots (</w:t>
      </w:r>
      <w:proofErr w:type="spellStart"/>
      <w:r>
        <w:rPr>
          <w:rFonts w:ascii="Arial" w:hAnsi="Arial" w:cs="Arial"/>
        </w:rPr>
        <w:t>Ganeshamurthy</w:t>
      </w:r>
      <w:proofErr w:type="spellEnd"/>
      <w:r>
        <w:rPr>
          <w:rFonts w:ascii="Arial" w:hAnsi="Arial" w:cs="Arial"/>
        </w:rPr>
        <w:t>, 2013). Upper-ground carbon in coconut tree is directly a function of above-ground biomass. The research revealed that dry leaves contained a greater percentage of carbon (48.1%-48.7%) compared to trunk wood (45.9%-46.3%), with total biomass varying from 100.02 to 226.45 (Mitra et al., 2018). They are almost as productive as tropical rainforests and despite releasing some carbon through natural processes, they consistently sequester a large net amount. This makes them a highly effective and stable choice for carbon sequestration (</w:t>
      </w:r>
      <w:proofErr w:type="spellStart"/>
      <w:r>
        <w:rPr>
          <w:rFonts w:ascii="Arial" w:hAnsi="Arial" w:cs="Arial"/>
        </w:rPr>
        <w:t>Roupsard</w:t>
      </w:r>
      <w:proofErr w:type="spellEnd"/>
      <w:r>
        <w:rPr>
          <w:rFonts w:ascii="Arial" w:hAnsi="Arial" w:cs="Arial"/>
        </w:rPr>
        <w:t xml:space="preserve"> et al., 2008).</w:t>
      </w:r>
      <w:r>
        <w:rPr>
          <w:rFonts w:ascii="Arial" w:eastAsia="Times New Roman" w:hAnsi="Arial" w:cs="Arial"/>
          <w:kern w:val="0"/>
          <w:lang w:eastAsia="en-IN"/>
          <w14:ligatures w14:val="none"/>
        </w:rPr>
        <w:t xml:space="preserve"> </w:t>
      </w:r>
    </w:p>
    <w:p>
      <w:pPr>
        <w:jc w:val="both"/>
      </w:pPr>
      <w:r>
        <w:rPr>
          <w:noProof/>
        </w:rPr>
        <w:drawing>
          <wp:anchor distT="0" distB="0" distL="114300" distR="114300" simplePos="0" relativeHeight="251667456" behindDoc="0" locked="0" layoutInCell="1" allowOverlap="1">
            <wp:simplePos x="0" y="0"/>
            <wp:positionH relativeFrom="column">
              <wp:posOffset>1131570</wp:posOffset>
            </wp:positionH>
            <wp:positionV relativeFrom="paragraph">
              <wp:posOffset>13970</wp:posOffset>
            </wp:positionV>
            <wp:extent cx="3169920" cy="1854835"/>
            <wp:effectExtent l="38100" t="38100" r="30480" b="31115"/>
            <wp:wrapNone/>
            <wp:docPr id="209731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9920" cy="185483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pPr>
        <w:jc w:val="both"/>
      </w:pPr>
    </w:p>
    <w:p>
      <w:pPr>
        <w:jc w:val="both"/>
      </w:pPr>
    </w:p>
    <w:p>
      <w:pPr>
        <w:jc w:val="both"/>
      </w:pPr>
    </w:p>
    <w:p>
      <w:pPr>
        <w:jc w:val="both"/>
      </w:pPr>
    </w:p>
    <w:p>
      <w:pPr>
        <w:jc w:val="both"/>
      </w:pPr>
    </w:p>
    <w:p>
      <w:pPr>
        <w:jc w:val="both"/>
      </w:pPr>
      <w:r>
        <w:t xml:space="preserve">                                  Fig.1. Process of carbon sequestration in coconut</w:t>
      </w:r>
    </w:p>
    <w:p>
      <w:pPr>
        <w:jc w:val="both"/>
        <w:rPr>
          <w:rFonts w:ascii="Arial" w:hAnsi="Arial" w:cs="Arial"/>
          <w:b/>
          <w:bCs/>
        </w:rPr>
      </w:pPr>
      <w:r>
        <w:rPr>
          <w:rFonts w:ascii="Arial" w:hAnsi="Arial" w:cs="Arial"/>
          <w:b/>
          <w:bCs/>
        </w:rPr>
        <w:t>3. Factors affecting carbon sequestration in coconut</w:t>
      </w:r>
    </w:p>
    <w:p>
      <w:pPr>
        <w:ind w:firstLine="720"/>
        <w:jc w:val="both"/>
      </w:pPr>
      <w:r>
        <w:rPr>
          <w:rFonts w:ascii="Arial" w:hAnsi="Arial" w:cs="Arial"/>
          <w:noProof/>
        </w:rPr>
        <w:drawing>
          <wp:anchor distT="0" distB="0" distL="114300" distR="114300" simplePos="0" relativeHeight="251658240" behindDoc="0" locked="0" layoutInCell="1" allowOverlap="1">
            <wp:simplePos x="0" y="0"/>
            <wp:positionH relativeFrom="column">
              <wp:posOffset>364490</wp:posOffset>
            </wp:positionH>
            <wp:positionV relativeFrom="paragraph">
              <wp:posOffset>582735</wp:posOffset>
            </wp:positionV>
            <wp:extent cx="4473575" cy="2898775"/>
            <wp:effectExtent l="0" t="0" r="3175" b="0"/>
            <wp:wrapNone/>
            <wp:docPr id="1685593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3575" cy="2898775"/>
                    </a:xfrm>
                    <a:prstGeom prst="rect">
                      <a:avLst/>
                    </a:prstGeom>
                    <a:noFill/>
                  </pic:spPr>
                </pic:pic>
              </a:graphicData>
            </a:graphic>
          </wp:anchor>
        </w:drawing>
      </w:r>
      <w:r>
        <w:rPr>
          <w:rFonts w:ascii="Arial" w:hAnsi="Arial" w:cs="Arial"/>
        </w:rPr>
        <w:t xml:space="preserve">The rate and effectiveness of carbon sequestration in coconut </w:t>
      </w:r>
      <w:proofErr w:type="spellStart"/>
      <w:r>
        <w:rPr>
          <w:rFonts w:ascii="Arial" w:hAnsi="Arial" w:cs="Arial"/>
        </w:rPr>
        <w:t>agro</w:t>
      </w:r>
      <w:proofErr w:type="spellEnd"/>
      <w:r>
        <w:rPr>
          <w:rFonts w:ascii="Arial" w:hAnsi="Arial" w:cs="Arial"/>
        </w:rPr>
        <w:t>-ecosystems are influenced by a number of factors. To maximize carbon storage and strengthen the contribution of coconut plantations to climate change mitigation, it is imperative to comprehend these factors</w:t>
      </w:r>
      <w:r>
        <w:t>.</w:t>
      </w:r>
    </w:p>
    <w:p>
      <w:pPr>
        <w:jc w:val="both"/>
      </w:pPr>
    </w:p>
    <w:p>
      <w:pPr>
        <w:jc w:val="both"/>
      </w:pPr>
    </w:p>
    <w:p>
      <w:pPr>
        <w:jc w:val="both"/>
        <w:rPr>
          <w:b/>
          <w:bCs/>
        </w:rPr>
      </w:pPr>
    </w:p>
    <w:p>
      <w:pPr>
        <w:jc w:val="both"/>
        <w:rPr>
          <w:b/>
          <w:bCs/>
        </w:rPr>
      </w:pPr>
    </w:p>
    <w:p>
      <w:pPr>
        <w:jc w:val="both"/>
        <w:rPr>
          <w:b/>
          <w:bCs/>
        </w:rPr>
      </w:pPr>
    </w:p>
    <w:p>
      <w:pPr>
        <w:jc w:val="both"/>
        <w:rPr>
          <w:b/>
          <w:bCs/>
        </w:rPr>
      </w:pPr>
    </w:p>
    <w:p>
      <w:pPr>
        <w:jc w:val="both"/>
        <w:rPr>
          <w:b/>
          <w:bCs/>
        </w:rPr>
      </w:pPr>
    </w:p>
    <w:p>
      <w:pPr>
        <w:jc w:val="both"/>
        <w:rPr>
          <w:b/>
          <w:bCs/>
        </w:rPr>
      </w:pPr>
    </w:p>
    <w:p>
      <w:pPr>
        <w:jc w:val="both"/>
        <w:rPr>
          <w:rFonts w:ascii="Arial" w:hAnsi="Arial" w:cs="Arial"/>
        </w:rPr>
      </w:pPr>
      <w:r>
        <w:rPr>
          <w:b/>
          <w:bCs/>
        </w:rPr>
        <w:t xml:space="preserve">   </w:t>
      </w:r>
      <w:r>
        <w:rPr>
          <w:rFonts w:ascii="Arial" w:hAnsi="Arial" w:cs="Arial"/>
          <w:b/>
          <w:bCs/>
        </w:rPr>
        <w:t xml:space="preserve">Fig.2. </w:t>
      </w:r>
      <w:r>
        <w:rPr>
          <w:rFonts w:ascii="Arial" w:hAnsi="Arial" w:cs="Arial"/>
        </w:rPr>
        <w:t>Graphical representation of carbon sequestration in coconut</w:t>
      </w:r>
    </w:p>
    <w:p>
      <w:pPr>
        <w:jc w:val="both"/>
        <w:rPr>
          <w:rFonts w:ascii="Arial" w:hAnsi="Arial" w:cs="Arial"/>
          <w:b/>
          <w:bCs/>
        </w:rPr>
      </w:pPr>
      <w:r>
        <w:rPr>
          <w:rFonts w:ascii="Arial" w:hAnsi="Arial" w:cs="Arial"/>
          <w:b/>
          <w:bCs/>
        </w:rPr>
        <w:t>3.1. Plant characteristic</w:t>
      </w:r>
    </w:p>
    <w:p>
      <w:pPr>
        <w:ind w:firstLine="720"/>
        <w:jc w:val="both"/>
        <w:rPr>
          <w:rFonts w:ascii="Arial" w:hAnsi="Arial" w:cs="Arial"/>
        </w:rPr>
      </w:pPr>
      <w:r>
        <w:rPr>
          <w:rFonts w:ascii="Arial" w:hAnsi="Arial" w:cs="Arial"/>
        </w:rPr>
        <w:t>Age and different variety of coconut plantation has primary impact on the carbon sequestration capacity. Increase in age has an impact on the change in plant morphology Increase in age of plant leads to increase in total carbon stock of the coconut plants. When comparing the carbon stocks of the various plant parts - leaves, nuts, and roots - the carbon stock rises over time; for example, trees that are 50 years old have a higher carbon stock than trees that are 10 years old. However, when it comes to leaves, the carbon stocks of 10-year-old palms were the highest, while those that are 50 years old had the lowest. The reason for this decline is that as palms mature, their leaves become shorter and narrower, and after 20 years, there are fewer leaflets overall (</w:t>
      </w:r>
      <w:proofErr w:type="spellStart"/>
      <w:r>
        <w:rPr>
          <w:rFonts w:ascii="Arial" w:hAnsi="Arial" w:cs="Arial"/>
        </w:rPr>
        <w:t>Nuwarapaksha</w:t>
      </w:r>
      <w:proofErr w:type="spellEnd"/>
      <w:r>
        <w:rPr>
          <w:rFonts w:ascii="Arial" w:hAnsi="Arial" w:cs="Arial"/>
        </w:rPr>
        <w:t xml:space="preserve"> et al., 2025). Age and cultivar have a major impact on a coconut palm's capacity to sequester carbon. Clear differences were found when tall varieties, like </w:t>
      </w:r>
      <w:proofErr w:type="spellStart"/>
      <w:r>
        <w:rPr>
          <w:rFonts w:ascii="Arial" w:hAnsi="Arial" w:cs="Arial"/>
        </w:rPr>
        <w:t>Aliyar</w:t>
      </w:r>
      <w:proofErr w:type="spellEnd"/>
      <w:r>
        <w:rPr>
          <w:rFonts w:ascii="Arial" w:hAnsi="Arial" w:cs="Arial"/>
        </w:rPr>
        <w:t xml:space="preserve"> Nagar 1, and dwarf varieties, like </w:t>
      </w:r>
      <w:proofErr w:type="spellStart"/>
      <w:r>
        <w:rPr>
          <w:rFonts w:ascii="Arial" w:hAnsi="Arial" w:cs="Arial"/>
        </w:rPr>
        <w:t>Chowghat</w:t>
      </w:r>
      <w:proofErr w:type="spellEnd"/>
      <w:r>
        <w:rPr>
          <w:rFonts w:ascii="Arial" w:hAnsi="Arial" w:cs="Arial"/>
        </w:rPr>
        <w:t xml:space="preserve"> Orange Dwarf (COD) and </w:t>
      </w:r>
      <w:proofErr w:type="spellStart"/>
      <w:r>
        <w:rPr>
          <w:rFonts w:ascii="Arial" w:hAnsi="Arial" w:cs="Arial"/>
        </w:rPr>
        <w:t>Chowghat</w:t>
      </w:r>
      <w:proofErr w:type="spellEnd"/>
      <w:r>
        <w:rPr>
          <w:rFonts w:ascii="Arial" w:hAnsi="Arial" w:cs="Arial"/>
        </w:rPr>
        <w:t xml:space="preserve"> Green Dwarf (CGD) were compared at ages ranging from 5 to 25 years. The annual sequestration rates of tall coconut trees increased from 1.91 tons per acre at age 5 to 3.83 tons per acre at age 25, indicating an increasing capacity for carbon </w:t>
      </w:r>
      <w:r>
        <w:rPr>
          <w:rFonts w:ascii="Arial" w:hAnsi="Arial" w:cs="Arial"/>
        </w:rPr>
        <w:lastRenderedPageBreak/>
        <w:t>sequestration with age. Dwarf varieties, on the other hand, sequestered less carbon at all ages; for the same age range, their annual rates ranged from 0.78 to 2.48 tons per acre. Because of its larger biomass from increased height and trunk diameter, the taller coconut variety has a higher capacity to sequester carbon than the dwarf variety (</w:t>
      </w:r>
      <w:proofErr w:type="spellStart"/>
      <w:r>
        <w:rPr>
          <w:rFonts w:ascii="Arial" w:hAnsi="Arial" w:cs="Arial"/>
        </w:rPr>
        <w:t>Boomiraj</w:t>
      </w:r>
      <w:proofErr w:type="spellEnd"/>
      <w:r>
        <w:rPr>
          <w:rFonts w:ascii="Arial" w:hAnsi="Arial" w:cs="Arial"/>
        </w:rPr>
        <w:t xml:space="preserve"> et al., 2021).</w:t>
      </w:r>
    </w:p>
    <w:p>
      <w:pPr>
        <w:jc w:val="both"/>
        <w:rPr>
          <w:rFonts w:ascii="Arial" w:hAnsi="Arial" w:cs="Arial"/>
        </w:rPr>
      </w:pPr>
    </w:p>
    <w:p>
      <w:pPr>
        <w:jc w:val="both"/>
        <w:rPr>
          <w:rFonts w:ascii="Arial" w:hAnsi="Arial" w:cs="Arial"/>
          <w:b/>
          <w:bCs/>
        </w:rPr>
      </w:pPr>
      <w:r>
        <w:rPr>
          <w:rFonts w:ascii="Arial" w:hAnsi="Arial" w:cs="Arial"/>
          <w:b/>
          <w:bCs/>
        </w:rPr>
        <w:t>3.2. Intercropping system</w:t>
      </w:r>
    </w:p>
    <w:p>
      <w:pPr>
        <w:ind w:firstLine="720"/>
        <w:jc w:val="both"/>
        <w:rPr>
          <w:rFonts w:ascii="Arial" w:hAnsi="Arial" w:cs="Arial"/>
        </w:rPr>
      </w:pPr>
      <w:r>
        <w:rPr>
          <w:rFonts w:ascii="Arial" w:hAnsi="Arial" w:cs="Arial"/>
        </w:rPr>
        <w:t xml:space="preserve"> Growing other crops alongside coconuts is known as intercropping and it is an efficient method for farmers to maximize the use of their land. It makes use most of the vertical space and organic shade that the coconut palms provide</w:t>
      </w:r>
      <w:r>
        <w:rPr>
          <w:rFonts w:ascii="Arial" w:hAnsi="Arial" w:cs="Arial"/>
          <w:spacing w:val="1"/>
        </w:rPr>
        <w:t xml:space="preserve"> </w:t>
      </w:r>
      <w:r>
        <w:rPr>
          <w:rFonts w:ascii="Arial" w:hAnsi="Arial" w:cs="Arial"/>
        </w:rPr>
        <w:t>(</w:t>
      </w:r>
      <w:proofErr w:type="spellStart"/>
      <w:r>
        <w:rPr>
          <w:rFonts w:ascii="Arial" w:hAnsi="Arial" w:cs="Arial"/>
        </w:rPr>
        <w:t>Selva</w:t>
      </w:r>
      <w:proofErr w:type="spellEnd"/>
      <w:r>
        <w:rPr>
          <w:rFonts w:ascii="Arial" w:hAnsi="Arial" w:cs="Arial"/>
        </w:rPr>
        <w:t xml:space="preserve"> Rani et al., 2024). Research shows that coconut-only farms, with a typical spacing of 7.5 x 7.5 m</w:t>
      </w:r>
      <w:r>
        <w:rPr>
          <w:rFonts w:ascii="Arial" w:hAnsi="Arial" w:cs="Arial"/>
          <w:vertAlign w:val="superscript"/>
        </w:rPr>
        <w:t>2</w:t>
      </w:r>
      <w:r>
        <w:rPr>
          <w:rFonts w:ascii="Arial" w:hAnsi="Arial" w:cs="Arial"/>
        </w:rPr>
        <w:t>, only use about 22.3% of the available land (Durieux, 1997). The trees themselves only utilize about 30% of the air space and 50% of the sunlight (</w:t>
      </w:r>
      <w:proofErr w:type="spellStart"/>
      <w:r>
        <w:rPr>
          <w:rFonts w:ascii="Arial" w:hAnsi="Arial" w:cs="Arial"/>
        </w:rPr>
        <w:t>Thiruvarassan</w:t>
      </w:r>
      <w:proofErr w:type="spellEnd"/>
      <w:r>
        <w:rPr>
          <w:rFonts w:ascii="Arial" w:hAnsi="Arial" w:cs="Arial"/>
        </w:rPr>
        <w:t xml:space="preserve"> et al., 2014). All these characters of coconut make it suitable for intercropping. Crops which are selected for intercropping with coconuts should be shade-tolerant, not grow too tall and exploit different soil zones to avoid competition. They should also be resistant to the same diseases as coconuts and not damage the main crop during harvest. Finally, the choice of intercrop should consider local conditions like soil type, rainfall, and market availability (CPCRI, 2010). </w:t>
      </w:r>
    </w:p>
    <w:p>
      <w:pPr>
        <w:jc w:val="both"/>
        <w:rPr>
          <w:rFonts w:ascii="Arial" w:hAnsi="Arial" w:cs="Arial"/>
        </w:rPr>
      </w:pPr>
      <w:r>
        <w:rPr>
          <w:rFonts w:ascii="Arial" w:hAnsi="Arial" w:cs="Arial"/>
        </w:rPr>
        <w:t xml:space="preserve">     Table.1. Different crops used as intercrop in coconut</w:t>
      </w:r>
    </w:p>
    <w:tbl>
      <w:tblPr>
        <w:tblStyle w:val="TableGrid"/>
        <w:tblW w:w="9376" w:type="dxa"/>
        <w:tblLook w:val="04A0" w:firstRow="1" w:lastRow="0" w:firstColumn="1" w:lastColumn="0" w:noHBand="0" w:noVBand="1"/>
      </w:tblPr>
      <w:tblGrid>
        <w:gridCol w:w="3125"/>
        <w:gridCol w:w="3125"/>
        <w:gridCol w:w="3126"/>
      </w:tblGrid>
      <w:tr>
        <w:trPr>
          <w:trHeight w:val="489"/>
        </w:trPr>
        <w:tc>
          <w:tcPr>
            <w:tcW w:w="3125" w:type="dxa"/>
          </w:tcPr>
          <w:p>
            <w:pPr>
              <w:jc w:val="center"/>
              <w:rPr>
                <w:rFonts w:ascii="Arial" w:hAnsi="Arial" w:cs="Arial"/>
                <w:b/>
                <w:bCs/>
              </w:rPr>
            </w:pPr>
            <w:r>
              <w:rPr>
                <w:rFonts w:ascii="Arial" w:hAnsi="Arial" w:cs="Arial"/>
                <w:b/>
                <w:bCs/>
                <w:sz w:val="28"/>
                <w:szCs w:val="28"/>
              </w:rPr>
              <w:t>Crop categories</w:t>
            </w:r>
          </w:p>
        </w:tc>
        <w:tc>
          <w:tcPr>
            <w:tcW w:w="3125" w:type="dxa"/>
          </w:tcPr>
          <w:p>
            <w:pPr>
              <w:jc w:val="center"/>
              <w:rPr>
                <w:rFonts w:ascii="Arial" w:hAnsi="Arial" w:cs="Arial"/>
                <w:b/>
                <w:bCs/>
              </w:rPr>
            </w:pPr>
            <w:r>
              <w:rPr>
                <w:rFonts w:ascii="Arial" w:hAnsi="Arial" w:cs="Arial"/>
                <w:b/>
                <w:bCs/>
                <w:sz w:val="28"/>
                <w:szCs w:val="28"/>
              </w:rPr>
              <w:t>Examples</w:t>
            </w:r>
          </w:p>
        </w:tc>
        <w:tc>
          <w:tcPr>
            <w:tcW w:w="3126" w:type="dxa"/>
          </w:tcPr>
          <w:p>
            <w:pPr>
              <w:jc w:val="center"/>
              <w:rPr>
                <w:rFonts w:ascii="Arial" w:hAnsi="Arial" w:cs="Arial"/>
                <w:b/>
                <w:bCs/>
              </w:rPr>
            </w:pPr>
            <w:r>
              <w:rPr>
                <w:rFonts w:ascii="Arial" w:hAnsi="Arial" w:cs="Arial"/>
                <w:b/>
                <w:bCs/>
                <w:sz w:val="28"/>
                <w:szCs w:val="28"/>
              </w:rPr>
              <w:t>References</w:t>
            </w:r>
          </w:p>
        </w:tc>
      </w:tr>
      <w:tr>
        <w:trPr>
          <w:trHeight w:val="489"/>
        </w:trPr>
        <w:tc>
          <w:tcPr>
            <w:tcW w:w="3125" w:type="dxa"/>
          </w:tcPr>
          <w:p>
            <w:pPr>
              <w:jc w:val="center"/>
              <w:rPr>
                <w:rFonts w:ascii="Arial" w:hAnsi="Arial" w:cs="Arial"/>
              </w:rPr>
            </w:pPr>
            <w:r>
              <w:rPr>
                <w:rFonts w:ascii="Arial" w:hAnsi="Arial" w:cs="Arial"/>
              </w:rPr>
              <w:t>Cereals</w:t>
            </w:r>
          </w:p>
        </w:tc>
        <w:tc>
          <w:tcPr>
            <w:tcW w:w="3125" w:type="dxa"/>
          </w:tcPr>
          <w:p>
            <w:pPr>
              <w:jc w:val="center"/>
              <w:rPr>
                <w:rFonts w:ascii="Arial" w:hAnsi="Arial" w:cs="Arial"/>
              </w:rPr>
            </w:pPr>
            <w:r>
              <w:rPr>
                <w:rFonts w:ascii="Arial" w:hAnsi="Arial" w:cs="Arial"/>
              </w:rPr>
              <w:t xml:space="preserve">Rice, pearl millet, finger millet, </w:t>
            </w:r>
            <w:proofErr w:type="spellStart"/>
            <w:r>
              <w:rPr>
                <w:rFonts w:ascii="Arial" w:hAnsi="Arial" w:cs="Arial"/>
              </w:rPr>
              <w:t>baragu</w:t>
            </w:r>
            <w:proofErr w:type="spellEnd"/>
            <w:r>
              <w:rPr>
                <w:rFonts w:ascii="Arial" w:hAnsi="Arial" w:cs="Arial"/>
              </w:rPr>
              <w:t>, wheat</w:t>
            </w:r>
          </w:p>
        </w:tc>
        <w:tc>
          <w:tcPr>
            <w:tcW w:w="3126" w:type="dxa"/>
          </w:tcPr>
          <w:p>
            <w:pPr>
              <w:jc w:val="center"/>
              <w:rPr>
                <w:rFonts w:ascii="Arial" w:hAnsi="Arial" w:cs="Arial"/>
              </w:rPr>
            </w:pPr>
            <w:r>
              <w:rPr>
                <w:rFonts w:ascii="Arial" w:hAnsi="Arial" w:cs="Arial"/>
              </w:rPr>
              <w:t>(</w:t>
            </w:r>
            <w:proofErr w:type="spellStart"/>
            <w:r>
              <w:rPr>
                <w:rFonts w:ascii="Arial" w:hAnsi="Arial" w:cs="Arial"/>
              </w:rPr>
              <w:t>Gopalasundaram</w:t>
            </w:r>
            <w:proofErr w:type="spellEnd"/>
            <w:r>
              <w:rPr>
                <w:rFonts w:ascii="Arial" w:hAnsi="Arial" w:cs="Arial"/>
              </w:rPr>
              <w:t xml:space="preserve"> and </w:t>
            </w:r>
            <w:proofErr w:type="spellStart"/>
            <w:r>
              <w:rPr>
                <w:rFonts w:ascii="Arial" w:hAnsi="Arial" w:cs="Arial"/>
              </w:rPr>
              <w:t>Nelliat</w:t>
            </w:r>
            <w:proofErr w:type="spellEnd"/>
            <w:r>
              <w:rPr>
                <w:rFonts w:ascii="Arial" w:hAnsi="Arial" w:cs="Arial"/>
              </w:rPr>
              <w:t>, 1979)</w:t>
            </w:r>
          </w:p>
        </w:tc>
      </w:tr>
      <w:tr>
        <w:trPr>
          <w:trHeight w:val="470"/>
        </w:trPr>
        <w:tc>
          <w:tcPr>
            <w:tcW w:w="3125" w:type="dxa"/>
          </w:tcPr>
          <w:p>
            <w:pPr>
              <w:jc w:val="center"/>
              <w:rPr>
                <w:rFonts w:ascii="Arial" w:hAnsi="Arial" w:cs="Arial"/>
              </w:rPr>
            </w:pPr>
            <w:r>
              <w:rPr>
                <w:rFonts w:ascii="Arial" w:hAnsi="Arial" w:cs="Arial"/>
              </w:rPr>
              <w:t>Beverages</w:t>
            </w:r>
          </w:p>
        </w:tc>
        <w:tc>
          <w:tcPr>
            <w:tcW w:w="3125" w:type="dxa"/>
          </w:tcPr>
          <w:p>
            <w:pPr>
              <w:jc w:val="center"/>
              <w:rPr>
                <w:rFonts w:ascii="Arial" w:hAnsi="Arial" w:cs="Arial"/>
              </w:rPr>
            </w:pPr>
            <w:r>
              <w:rPr>
                <w:rFonts w:ascii="Arial" w:hAnsi="Arial" w:cs="Arial"/>
              </w:rPr>
              <w:t>Cocoa and coffee</w:t>
            </w:r>
          </w:p>
        </w:tc>
        <w:tc>
          <w:tcPr>
            <w:tcW w:w="3126" w:type="dxa"/>
          </w:tcPr>
          <w:p>
            <w:pPr>
              <w:jc w:val="center"/>
              <w:rPr>
                <w:rFonts w:ascii="Arial" w:hAnsi="Arial" w:cs="Arial"/>
              </w:rPr>
            </w:pPr>
            <w:r>
              <w:rPr>
                <w:rFonts w:ascii="Arial" w:hAnsi="Arial" w:cs="Arial"/>
              </w:rPr>
              <w:t>(Osei-Bonsu et al., 2002)</w:t>
            </w:r>
          </w:p>
        </w:tc>
      </w:tr>
      <w:tr>
        <w:trPr>
          <w:trHeight w:val="489"/>
        </w:trPr>
        <w:tc>
          <w:tcPr>
            <w:tcW w:w="3125" w:type="dxa"/>
          </w:tcPr>
          <w:p>
            <w:pPr>
              <w:jc w:val="center"/>
              <w:rPr>
                <w:rFonts w:ascii="Arial" w:hAnsi="Arial" w:cs="Arial"/>
              </w:rPr>
            </w:pPr>
            <w:r>
              <w:rPr>
                <w:rFonts w:ascii="Arial" w:hAnsi="Arial" w:cs="Arial"/>
              </w:rPr>
              <w:t>Exotic fruit crops</w:t>
            </w:r>
          </w:p>
        </w:tc>
        <w:tc>
          <w:tcPr>
            <w:tcW w:w="3125" w:type="dxa"/>
          </w:tcPr>
          <w:p>
            <w:pPr>
              <w:jc w:val="center"/>
              <w:rPr>
                <w:rFonts w:ascii="Arial" w:hAnsi="Arial" w:cs="Arial"/>
              </w:rPr>
            </w:pPr>
            <w:r>
              <w:rPr>
                <w:rFonts w:ascii="Arial" w:hAnsi="Arial" w:cs="Arial"/>
              </w:rPr>
              <w:t xml:space="preserve">Rambutan, </w:t>
            </w:r>
            <w:proofErr w:type="spellStart"/>
            <w:r>
              <w:rPr>
                <w:rFonts w:ascii="Arial" w:hAnsi="Arial" w:cs="Arial"/>
              </w:rPr>
              <w:t>mangosteen</w:t>
            </w:r>
            <w:proofErr w:type="spellEnd"/>
          </w:p>
          <w:p>
            <w:pPr>
              <w:jc w:val="center"/>
              <w:rPr>
                <w:rFonts w:ascii="Arial" w:hAnsi="Arial" w:cs="Arial"/>
              </w:rPr>
            </w:pPr>
            <w:r>
              <w:rPr>
                <w:rFonts w:ascii="Arial" w:hAnsi="Arial" w:cs="Arial"/>
              </w:rPr>
              <w:t>and avocado</w:t>
            </w:r>
          </w:p>
        </w:tc>
        <w:tc>
          <w:tcPr>
            <w:tcW w:w="3126" w:type="dxa"/>
          </w:tcPr>
          <w:p>
            <w:pPr>
              <w:jc w:val="center"/>
              <w:rPr>
                <w:rFonts w:ascii="Arial" w:hAnsi="Arial" w:cs="Arial"/>
              </w:rPr>
            </w:pPr>
            <w:r>
              <w:rPr>
                <w:rFonts w:ascii="Arial" w:hAnsi="Arial" w:cs="Arial"/>
              </w:rPr>
              <w:t>(</w:t>
            </w:r>
            <w:proofErr w:type="spellStart"/>
            <w:r>
              <w:rPr>
                <w:rFonts w:ascii="Arial" w:hAnsi="Arial" w:cs="Arial"/>
              </w:rPr>
              <w:t>Thamban</w:t>
            </w:r>
            <w:proofErr w:type="spellEnd"/>
            <w:r>
              <w:rPr>
                <w:rFonts w:ascii="Arial" w:hAnsi="Arial" w:cs="Arial"/>
              </w:rPr>
              <w:t xml:space="preserve"> et al., 2021)</w:t>
            </w:r>
          </w:p>
        </w:tc>
      </w:tr>
      <w:tr>
        <w:trPr>
          <w:trHeight w:val="489"/>
        </w:trPr>
        <w:tc>
          <w:tcPr>
            <w:tcW w:w="3125" w:type="dxa"/>
          </w:tcPr>
          <w:p>
            <w:pPr>
              <w:jc w:val="center"/>
              <w:rPr>
                <w:rFonts w:ascii="Arial" w:hAnsi="Arial" w:cs="Arial"/>
              </w:rPr>
            </w:pPr>
            <w:r>
              <w:rPr>
                <w:rFonts w:ascii="Arial" w:hAnsi="Arial" w:cs="Arial"/>
              </w:rPr>
              <w:t>Flowers</w:t>
            </w:r>
          </w:p>
        </w:tc>
        <w:tc>
          <w:tcPr>
            <w:tcW w:w="3125" w:type="dxa"/>
          </w:tcPr>
          <w:p>
            <w:pPr>
              <w:jc w:val="center"/>
              <w:rPr>
                <w:rFonts w:ascii="Arial" w:hAnsi="Arial" w:cs="Arial"/>
              </w:rPr>
            </w:pPr>
            <w:r>
              <w:rPr>
                <w:rFonts w:ascii="Arial" w:hAnsi="Arial" w:cs="Arial"/>
              </w:rPr>
              <w:t xml:space="preserve">Heliconia, anthurium and </w:t>
            </w:r>
            <w:proofErr w:type="spellStart"/>
            <w:r>
              <w:rPr>
                <w:rFonts w:ascii="Arial" w:hAnsi="Arial" w:cs="Arial"/>
              </w:rPr>
              <w:t>jasminum</w:t>
            </w:r>
            <w:proofErr w:type="spellEnd"/>
            <w:r>
              <w:rPr>
                <w:rFonts w:ascii="Arial" w:hAnsi="Arial" w:cs="Arial"/>
              </w:rPr>
              <w:t xml:space="preserve"> sp.</w:t>
            </w:r>
          </w:p>
        </w:tc>
        <w:tc>
          <w:tcPr>
            <w:tcW w:w="3126" w:type="dxa"/>
          </w:tcPr>
          <w:p>
            <w:pPr>
              <w:jc w:val="center"/>
              <w:rPr>
                <w:rFonts w:ascii="Arial" w:hAnsi="Arial" w:cs="Arial"/>
              </w:rPr>
            </w:pPr>
            <w:r>
              <w:rPr>
                <w:rFonts w:ascii="Arial" w:hAnsi="Arial" w:cs="Arial"/>
              </w:rPr>
              <w:t>(CPCRI, 2003)</w:t>
            </w:r>
          </w:p>
        </w:tc>
      </w:tr>
      <w:tr>
        <w:trPr>
          <w:trHeight w:val="489"/>
        </w:trPr>
        <w:tc>
          <w:tcPr>
            <w:tcW w:w="3125" w:type="dxa"/>
          </w:tcPr>
          <w:p>
            <w:pPr>
              <w:jc w:val="center"/>
              <w:rPr>
                <w:rFonts w:ascii="Arial" w:hAnsi="Arial" w:cs="Arial"/>
              </w:rPr>
            </w:pPr>
            <w:r>
              <w:rPr>
                <w:rFonts w:ascii="Arial" w:hAnsi="Arial" w:cs="Arial"/>
              </w:rPr>
              <w:t>Spices &amp; Condiments</w:t>
            </w:r>
          </w:p>
        </w:tc>
        <w:tc>
          <w:tcPr>
            <w:tcW w:w="3125" w:type="dxa"/>
          </w:tcPr>
          <w:p>
            <w:pPr>
              <w:jc w:val="center"/>
              <w:rPr>
                <w:rFonts w:ascii="Arial" w:hAnsi="Arial" w:cs="Arial"/>
              </w:rPr>
            </w:pPr>
            <w:r>
              <w:rPr>
                <w:rFonts w:ascii="Arial" w:hAnsi="Arial" w:cs="Arial"/>
              </w:rPr>
              <w:t>Ginger, turmeric, black pepper, chilli, nutmeg and clove</w:t>
            </w:r>
          </w:p>
        </w:tc>
        <w:tc>
          <w:tcPr>
            <w:tcW w:w="3126" w:type="dxa"/>
          </w:tcPr>
          <w:p>
            <w:pPr>
              <w:jc w:val="center"/>
              <w:rPr>
                <w:rFonts w:ascii="Arial" w:hAnsi="Arial" w:cs="Arial"/>
              </w:rPr>
            </w:pPr>
            <w:r>
              <w:rPr>
                <w:rFonts w:ascii="Arial" w:hAnsi="Arial" w:cs="Arial"/>
              </w:rPr>
              <w:t>(Bhoomika et al., 2024)</w:t>
            </w:r>
          </w:p>
        </w:tc>
      </w:tr>
      <w:tr>
        <w:trPr>
          <w:trHeight w:val="489"/>
        </w:trPr>
        <w:tc>
          <w:tcPr>
            <w:tcW w:w="3125" w:type="dxa"/>
          </w:tcPr>
          <w:p>
            <w:pPr>
              <w:jc w:val="center"/>
              <w:rPr>
                <w:rFonts w:ascii="Arial" w:hAnsi="Arial" w:cs="Arial"/>
              </w:rPr>
            </w:pPr>
            <w:r>
              <w:rPr>
                <w:rFonts w:ascii="Arial" w:hAnsi="Arial" w:cs="Arial"/>
              </w:rPr>
              <w:t xml:space="preserve">Fodder </w:t>
            </w:r>
          </w:p>
        </w:tc>
        <w:tc>
          <w:tcPr>
            <w:tcW w:w="3125" w:type="dxa"/>
          </w:tcPr>
          <w:p>
            <w:pPr>
              <w:jc w:val="center"/>
              <w:rPr>
                <w:rFonts w:ascii="Arial" w:hAnsi="Arial" w:cs="Arial"/>
              </w:rPr>
            </w:pPr>
            <w:r>
              <w:rPr>
                <w:rFonts w:ascii="Arial" w:hAnsi="Arial" w:cs="Arial"/>
              </w:rPr>
              <w:t>Hybrid Bajra Napier Co3 and Co4</w:t>
            </w:r>
          </w:p>
        </w:tc>
        <w:tc>
          <w:tcPr>
            <w:tcW w:w="3126" w:type="dxa"/>
          </w:tcPr>
          <w:p>
            <w:pPr>
              <w:jc w:val="center"/>
              <w:rPr>
                <w:rFonts w:ascii="Arial" w:hAnsi="Arial" w:cs="Arial"/>
              </w:rPr>
            </w:pPr>
            <w:r>
              <w:rPr>
                <w:rFonts w:ascii="Arial" w:hAnsi="Arial" w:cs="Arial"/>
              </w:rPr>
              <w:t>(</w:t>
            </w:r>
            <w:proofErr w:type="spellStart"/>
            <w:r>
              <w:rPr>
                <w:rFonts w:ascii="Arial" w:hAnsi="Arial" w:cs="Arial"/>
              </w:rPr>
              <w:t>Gangaiah</w:t>
            </w:r>
            <w:proofErr w:type="spellEnd"/>
            <w:r>
              <w:rPr>
                <w:rFonts w:ascii="Arial" w:hAnsi="Arial" w:cs="Arial"/>
              </w:rPr>
              <w:t xml:space="preserve"> et al., 2019)</w:t>
            </w:r>
          </w:p>
        </w:tc>
      </w:tr>
      <w:tr>
        <w:trPr>
          <w:trHeight w:val="489"/>
        </w:trPr>
        <w:tc>
          <w:tcPr>
            <w:tcW w:w="3125" w:type="dxa"/>
          </w:tcPr>
          <w:p>
            <w:pPr>
              <w:jc w:val="center"/>
              <w:rPr>
                <w:rFonts w:ascii="Arial" w:hAnsi="Arial" w:cs="Arial"/>
              </w:rPr>
            </w:pPr>
            <w:r>
              <w:rPr>
                <w:rFonts w:ascii="Arial" w:hAnsi="Arial" w:cs="Arial"/>
              </w:rPr>
              <w:t>Vegetables</w:t>
            </w:r>
          </w:p>
        </w:tc>
        <w:tc>
          <w:tcPr>
            <w:tcW w:w="3125" w:type="dxa"/>
          </w:tcPr>
          <w:p>
            <w:pPr>
              <w:jc w:val="center"/>
              <w:rPr>
                <w:rFonts w:ascii="Arial" w:hAnsi="Arial" w:cs="Arial"/>
              </w:rPr>
            </w:pPr>
            <w:r>
              <w:rPr>
                <w:rFonts w:ascii="Arial" w:hAnsi="Arial" w:cs="Arial"/>
              </w:rPr>
              <w:t>Okra, baby corn, gherkin, and cucumber, potato, French bean, snake gourd, and Amaranthus,</w:t>
            </w:r>
          </w:p>
        </w:tc>
        <w:tc>
          <w:tcPr>
            <w:tcW w:w="3126" w:type="dxa"/>
          </w:tcPr>
          <w:p>
            <w:pPr>
              <w:jc w:val="center"/>
              <w:rPr>
                <w:rFonts w:ascii="Arial" w:hAnsi="Arial" w:cs="Arial"/>
              </w:rPr>
            </w:pPr>
            <w:r>
              <w:rPr>
                <w:rFonts w:ascii="Arial" w:hAnsi="Arial" w:cs="Arial"/>
              </w:rPr>
              <w:t>(Mandal et al., 2016)</w:t>
            </w:r>
          </w:p>
        </w:tc>
      </w:tr>
      <w:tr>
        <w:trPr>
          <w:trHeight w:val="489"/>
        </w:trPr>
        <w:tc>
          <w:tcPr>
            <w:tcW w:w="3125" w:type="dxa"/>
          </w:tcPr>
          <w:p>
            <w:pPr>
              <w:jc w:val="center"/>
              <w:rPr>
                <w:rFonts w:ascii="Arial" w:hAnsi="Arial" w:cs="Arial"/>
              </w:rPr>
            </w:pPr>
            <w:r>
              <w:rPr>
                <w:rFonts w:ascii="Arial" w:hAnsi="Arial" w:cs="Arial"/>
              </w:rPr>
              <w:t>Medicinal crops</w:t>
            </w:r>
          </w:p>
        </w:tc>
        <w:tc>
          <w:tcPr>
            <w:tcW w:w="3125" w:type="dxa"/>
          </w:tcPr>
          <w:p>
            <w:pPr>
              <w:jc w:val="center"/>
              <w:rPr>
                <w:rFonts w:ascii="Arial" w:hAnsi="Arial" w:cs="Arial"/>
              </w:rPr>
            </w:pPr>
            <w:r>
              <w:rPr>
                <w:rFonts w:ascii="Arial" w:hAnsi="Arial" w:cs="Arial"/>
              </w:rPr>
              <w:t xml:space="preserve">Aloe </w:t>
            </w:r>
            <w:proofErr w:type="spellStart"/>
            <w:r>
              <w:rPr>
                <w:rFonts w:ascii="Arial" w:hAnsi="Arial" w:cs="Arial"/>
              </w:rPr>
              <w:t>vera</w:t>
            </w:r>
            <w:proofErr w:type="spellEnd"/>
            <w:r>
              <w:rPr>
                <w:rFonts w:ascii="Arial" w:hAnsi="Arial" w:cs="Arial"/>
              </w:rPr>
              <w:t xml:space="preserve">, asparagus, </w:t>
            </w:r>
            <w:proofErr w:type="spellStart"/>
            <w:r>
              <w:rPr>
                <w:rFonts w:ascii="Arial" w:hAnsi="Arial" w:cs="Arial"/>
              </w:rPr>
              <w:t>swertia</w:t>
            </w:r>
            <w:proofErr w:type="spellEnd"/>
            <w:r>
              <w:rPr>
                <w:rFonts w:ascii="Arial" w:hAnsi="Arial" w:cs="Arial"/>
              </w:rPr>
              <w:t xml:space="preserve">, ashwagandha, and </w:t>
            </w:r>
            <w:proofErr w:type="spellStart"/>
            <w:r>
              <w:rPr>
                <w:rFonts w:ascii="Arial" w:hAnsi="Arial" w:cs="Arial"/>
              </w:rPr>
              <w:t>mentha</w:t>
            </w:r>
            <w:proofErr w:type="spellEnd"/>
          </w:p>
        </w:tc>
        <w:tc>
          <w:tcPr>
            <w:tcW w:w="3126" w:type="dxa"/>
          </w:tcPr>
          <w:p>
            <w:pPr>
              <w:jc w:val="center"/>
              <w:rPr>
                <w:rFonts w:ascii="Arial" w:hAnsi="Arial" w:cs="Arial"/>
              </w:rPr>
            </w:pPr>
            <w:r>
              <w:rPr>
                <w:rFonts w:ascii="Arial" w:hAnsi="Arial" w:cs="Arial"/>
              </w:rPr>
              <w:t>(</w:t>
            </w:r>
            <w:proofErr w:type="spellStart"/>
            <w:r>
              <w:rPr>
                <w:rFonts w:ascii="Arial" w:hAnsi="Arial" w:cs="Arial"/>
              </w:rPr>
              <w:t>Malathi</w:t>
            </w:r>
            <w:proofErr w:type="spellEnd"/>
            <w:r>
              <w:rPr>
                <w:rFonts w:ascii="Arial" w:hAnsi="Arial" w:cs="Arial"/>
              </w:rPr>
              <w:t xml:space="preserve"> et al., 2024)</w:t>
            </w:r>
          </w:p>
        </w:tc>
      </w:tr>
      <w:tr>
        <w:trPr>
          <w:trHeight w:val="489"/>
        </w:trPr>
        <w:tc>
          <w:tcPr>
            <w:tcW w:w="3125" w:type="dxa"/>
          </w:tcPr>
          <w:p>
            <w:pPr>
              <w:jc w:val="center"/>
              <w:rPr>
                <w:rFonts w:ascii="Arial" w:hAnsi="Arial" w:cs="Arial"/>
              </w:rPr>
            </w:pPr>
            <w:r>
              <w:rPr>
                <w:rFonts w:ascii="Arial" w:hAnsi="Arial" w:cs="Arial"/>
              </w:rPr>
              <w:t>Tubers and root crops</w:t>
            </w:r>
          </w:p>
        </w:tc>
        <w:tc>
          <w:tcPr>
            <w:tcW w:w="3125" w:type="dxa"/>
          </w:tcPr>
          <w:p>
            <w:pPr>
              <w:jc w:val="center"/>
              <w:rPr>
                <w:rFonts w:ascii="Arial" w:hAnsi="Arial" w:cs="Arial"/>
              </w:rPr>
            </w:pPr>
            <w:r>
              <w:rPr>
                <w:rFonts w:ascii="Arial" w:hAnsi="Arial" w:cs="Arial"/>
              </w:rPr>
              <w:t>Cassava, sweet potato, yam and taro</w:t>
            </w:r>
          </w:p>
        </w:tc>
        <w:tc>
          <w:tcPr>
            <w:tcW w:w="3126" w:type="dxa"/>
          </w:tcPr>
          <w:p>
            <w:pPr>
              <w:jc w:val="center"/>
              <w:rPr>
                <w:rFonts w:ascii="Arial" w:hAnsi="Arial" w:cs="Arial"/>
              </w:rPr>
            </w:pPr>
            <w:r>
              <w:rPr>
                <w:rFonts w:ascii="Arial" w:hAnsi="Arial" w:cs="Arial"/>
              </w:rPr>
              <w:t>(</w:t>
            </w:r>
            <w:proofErr w:type="spellStart"/>
            <w:r>
              <w:rPr>
                <w:rFonts w:ascii="Arial" w:hAnsi="Arial" w:cs="Arial"/>
              </w:rPr>
              <w:t>Malathi</w:t>
            </w:r>
            <w:proofErr w:type="spellEnd"/>
            <w:r>
              <w:rPr>
                <w:rFonts w:ascii="Arial" w:hAnsi="Arial" w:cs="Arial"/>
              </w:rPr>
              <w:t xml:space="preserve"> et al., 2024)</w:t>
            </w:r>
          </w:p>
        </w:tc>
      </w:tr>
      <w:tr>
        <w:trPr>
          <w:trHeight w:val="489"/>
        </w:trPr>
        <w:tc>
          <w:tcPr>
            <w:tcW w:w="3125" w:type="dxa"/>
          </w:tcPr>
          <w:p>
            <w:pPr>
              <w:jc w:val="center"/>
              <w:rPr>
                <w:rFonts w:ascii="Arial" w:hAnsi="Arial" w:cs="Arial"/>
              </w:rPr>
            </w:pPr>
            <w:r>
              <w:rPr>
                <w:rFonts w:ascii="Arial" w:hAnsi="Arial" w:cs="Arial"/>
              </w:rPr>
              <w:lastRenderedPageBreak/>
              <w:t xml:space="preserve">Oil seed </w:t>
            </w:r>
          </w:p>
        </w:tc>
        <w:tc>
          <w:tcPr>
            <w:tcW w:w="3125" w:type="dxa"/>
          </w:tcPr>
          <w:p>
            <w:pPr>
              <w:jc w:val="center"/>
              <w:rPr>
                <w:rFonts w:ascii="Arial" w:hAnsi="Arial" w:cs="Arial"/>
              </w:rPr>
            </w:pPr>
            <w:r>
              <w:rPr>
                <w:rFonts w:ascii="Arial" w:hAnsi="Arial" w:cs="Arial"/>
              </w:rPr>
              <w:t>Ground nut</w:t>
            </w:r>
          </w:p>
        </w:tc>
        <w:tc>
          <w:tcPr>
            <w:tcW w:w="3126" w:type="dxa"/>
          </w:tcPr>
          <w:p>
            <w:pPr>
              <w:jc w:val="center"/>
              <w:rPr>
                <w:rFonts w:ascii="Arial" w:hAnsi="Arial" w:cs="Arial"/>
              </w:rPr>
            </w:pPr>
            <w:r>
              <w:rPr>
                <w:rFonts w:ascii="Arial" w:hAnsi="Arial" w:cs="Arial"/>
              </w:rPr>
              <w:t>(CPCRI, 2010)</w:t>
            </w:r>
          </w:p>
        </w:tc>
      </w:tr>
      <w:tr>
        <w:trPr>
          <w:trHeight w:val="489"/>
        </w:trPr>
        <w:tc>
          <w:tcPr>
            <w:tcW w:w="3125" w:type="dxa"/>
          </w:tcPr>
          <w:p>
            <w:pPr>
              <w:jc w:val="center"/>
              <w:rPr>
                <w:rFonts w:ascii="Arial" w:hAnsi="Arial" w:cs="Arial"/>
              </w:rPr>
            </w:pPr>
            <w:r>
              <w:rPr>
                <w:rFonts w:ascii="Arial" w:hAnsi="Arial" w:cs="Arial"/>
              </w:rPr>
              <w:t>Grain legume</w:t>
            </w:r>
          </w:p>
        </w:tc>
        <w:tc>
          <w:tcPr>
            <w:tcW w:w="3125" w:type="dxa"/>
          </w:tcPr>
          <w:p>
            <w:pPr>
              <w:jc w:val="center"/>
              <w:rPr>
                <w:rFonts w:ascii="Arial" w:hAnsi="Arial" w:cs="Arial"/>
              </w:rPr>
            </w:pPr>
            <w:r>
              <w:rPr>
                <w:rFonts w:ascii="Arial" w:hAnsi="Arial" w:cs="Arial"/>
              </w:rPr>
              <w:t xml:space="preserve">Green gram, black gram, cowpea, </w:t>
            </w:r>
            <w:proofErr w:type="spellStart"/>
            <w:r>
              <w:rPr>
                <w:rFonts w:ascii="Arial" w:hAnsi="Arial" w:cs="Arial"/>
              </w:rPr>
              <w:t>soyabean</w:t>
            </w:r>
            <w:proofErr w:type="spellEnd"/>
          </w:p>
        </w:tc>
        <w:tc>
          <w:tcPr>
            <w:tcW w:w="3126" w:type="dxa"/>
          </w:tcPr>
          <w:p>
            <w:pPr>
              <w:jc w:val="center"/>
              <w:rPr>
                <w:rFonts w:ascii="Arial" w:hAnsi="Arial" w:cs="Arial"/>
              </w:rPr>
            </w:pPr>
            <w:r>
              <w:rPr>
                <w:rFonts w:ascii="Arial" w:hAnsi="Arial" w:cs="Arial"/>
              </w:rPr>
              <w:t>(CPCRI, 2010)</w:t>
            </w:r>
          </w:p>
        </w:tc>
      </w:tr>
    </w:tbl>
    <w:p>
      <w:pPr>
        <w:ind w:firstLine="720"/>
        <w:jc w:val="both"/>
        <w:rPr>
          <w:rFonts w:ascii="Arial" w:hAnsi="Arial" w:cs="Arial"/>
        </w:rPr>
      </w:pPr>
    </w:p>
    <w:p>
      <w:pPr>
        <w:ind w:firstLine="720"/>
        <w:jc w:val="both"/>
        <w:rPr>
          <w:rFonts w:ascii="Arial" w:hAnsi="Arial" w:cs="Arial"/>
        </w:rPr>
      </w:pPr>
      <w:r>
        <w:rPr>
          <w:rFonts w:ascii="Arial" w:hAnsi="Arial" w:cs="Arial"/>
        </w:rPr>
        <w:t>Intercropping system majorly contributes toward efficient land use, increase the production and productivity improve soil health and fertility enhancement along with all these it contributes towards the increase in carbon sequestration by increase in plant biomass and also, Intercropped fields had a 4% higher organic C content in the top 20 cm of soil compared to single-crop fields. The total root biomass in intercropped systems was, on average, 23% greater than in single-crop systems contributed to the higher soil C sequestration (Cong et al., 2015). A dense, widespread root system not only accumulates more carbon but also enhances soil structure and moisture retention (Gautam et al., 2025), also improves soil physicochemical properties and boost the content of soil organic carbon (SOC), including its more active forms like readily oxidized organic carbon (ROC) and dissolved organic carbon (DOC) (Hu et al., 2022).</w:t>
      </w:r>
    </w:p>
    <w:p>
      <w:pPr>
        <w:ind w:firstLine="720"/>
        <w:jc w:val="both"/>
        <w:rPr>
          <w:rFonts w:ascii="Arial" w:hAnsi="Arial" w:cs="Arial"/>
        </w:rPr>
      </w:pPr>
      <w:r>
        <w:rPr>
          <w:rFonts w:ascii="Arial" w:hAnsi="Arial" w:cs="Arial"/>
        </w:rPr>
        <w:t>Intercropping also reduces CO</w:t>
      </w:r>
      <w:r>
        <w:rPr>
          <w:rFonts w:ascii="Arial" w:hAnsi="Arial" w:cs="Arial"/>
          <w:vertAlign w:val="subscript"/>
        </w:rPr>
        <w:t xml:space="preserve">2​ </w:t>
      </w:r>
      <w:r>
        <w:rPr>
          <w:rFonts w:ascii="Arial" w:hAnsi="Arial" w:cs="Arial"/>
        </w:rPr>
        <w:t>emissions by decreasing microbial carbon limitation through changes in soil pH and water content. This process boosts mineral-associated organic carbon (MAOC) and help in enhancing microbial diversity and activity, which are crucial for the soil carbon cycle and nutrient availability (Xiao et al., 2023). In high-density planting multi-species cropping systems, Thomas et al. (2010) found that microbial biomass carbon was significantly higher in the soil near the roots of coconut trees than in the soil of other crops planted in the same system. Increasing the number of intercrops with coconut trees produces a recyclable biomass that increases soil organic carbon (SOC) (Shinde et al., 2021b). This is backed by a study that identified a boost in soil organic carbon in cropping systems using coconut compared to monoculture plantations (Mishra et al., 2022).</w:t>
      </w:r>
    </w:p>
    <w:p>
      <w:pPr>
        <w:ind w:firstLine="720"/>
        <w:jc w:val="both"/>
        <w:rPr>
          <w:rFonts w:ascii="Arial" w:hAnsi="Arial" w:cs="Arial"/>
        </w:rPr>
      </w:pPr>
    </w:p>
    <w:p>
      <w:pPr>
        <w:ind w:firstLine="720"/>
        <w:jc w:val="both"/>
        <w:rPr>
          <w:rFonts w:ascii="Arial" w:hAnsi="Arial" w:cs="Arial"/>
        </w:rPr>
      </w:pPr>
    </w:p>
    <w:p>
      <w:pPr>
        <w:ind w:firstLine="720"/>
        <w:jc w:val="both"/>
        <w:rPr>
          <w:rFonts w:ascii="Arial" w:hAnsi="Arial" w:cs="Arial"/>
        </w:rPr>
      </w:pPr>
    </w:p>
    <w:p>
      <w:pPr>
        <w:ind w:firstLine="720"/>
        <w:jc w:val="both"/>
        <w:rPr>
          <w:rFonts w:ascii="Arial" w:hAnsi="Arial" w:cs="Arial"/>
        </w:rPr>
      </w:pPr>
    </w:p>
    <w:p>
      <w:pPr>
        <w:ind w:firstLine="720"/>
        <w:jc w:val="both"/>
        <w:rPr>
          <w:rFonts w:ascii="Arial" w:hAnsi="Arial" w:cs="Arial"/>
        </w:rPr>
      </w:pPr>
    </w:p>
    <w:p>
      <w:pPr>
        <w:spacing w:after="0"/>
        <w:jc w:val="both"/>
        <w:rPr>
          <w:rFonts w:ascii="Arial" w:hAnsi="Arial" w:cs="Arial"/>
        </w:rPr>
      </w:pPr>
      <w:r>
        <w:rPr>
          <w:rFonts w:ascii="Arial" w:hAnsi="Arial" w:cs="Arial"/>
        </w:rPr>
        <w:t>Table.2. Comparative analysis of Carbon Sequestration in Coconut Monocropping and               intercropping systems</w:t>
      </w:r>
    </w:p>
    <w:p>
      <w:pPr>
        <w:spacing w:after="0"/>
        <w:jc w:val="both"/>
        <w:rPr>
          <w:rFonts w:ascii="Arial" w:hAnsi="Arial" w:cs="Arial"/>
        </w:rPr>
      </w:pPr>
    </w:p>
    <w:tbl>
      <w:tblPr>
        <w:tblStyle w:val="TableGrid"/>
        <w:tblW w:w="9492" w:type="dxa"/>
        <w:tblLook w:val="04A0" w:firstRow="1" w:lastRow="0" w:firstColumn="1" w:lastColumn="0" w:noHBand="0" w:noVBand="1"/>
      </w:tblPr>
      <w:tblGrid>
        <w:gridCol w:w="2630"/>
        <w:gridCol w:w="2242"/>
        <w:gridCol w:w="2696"/>
        <w:gridCol w:w="1924"/>
      </w:tblGrid>
      <w:tr>
        <w:trPr>
          <w:trHeight w:val="1396"/>
        </w:trPr>
        <w:tc>
          <w:tcPr>
            <w:tcW w:w="2689" w:type="dxa"/>
            <w:shd w:val="clear" w:color="auto" w:fill="FFF2CC" w:themeFill="accent4" w:themeFillTint="33"/>
          </w:tcPr>
          <w:p>
            <w:pPr>
              <w:jc w:val="center"/>
              <w:rPr>
                <w:rFonts w:ascii="Arial" w:hAnsi="Arial" w:cs="Arial"/>
              </w:rPr>
            </w:pPr>
            <w:r>
              <w:rPr>
                <w:rFonts w:ascii="Arial" w:hAnsi="Arial" w:cs="Arial"/>
                <w:sz w:val="28"/>
                <w:szCs w:val="28"/>
              </w:rPr>
              <w:t>Coconut and coconut based intercropping system</w:t>
            </w:r>
          </w:p>
        </w:tc>
        <w:tc>
          <w:tcPr>
            <w:tcW w:w="2268" w:type="dxa"/>
            <w:shd w:val="clear" w:color="auto" w:fill="FBE4D5" w:themeFill="accent2" w:themeFillTint="33"/>
          </w:tcPr>
          <w:p>
            <w:pPr>
              <w:jc w:val="center"/>
              <w:rPr>
                <w:rFonts w:ascii="Arial" w:hAnsi="Arial" w:cs="Arial"/>
                <w:sz w:val="28"/>
                <w:szCs w:val="28"/>
              </w:rPr>
            </w:pPr>
          </w:p>
          <w:p>
            <w:pPr>
              <w:jc w:val="center"/>
              <w:rPr>
                <w:rFonts w:ascii="Arial" w:hAnsi="Arial" w:cs="Arial"/>
              </w:rPr>
            </w:pPr>
            <w:r>
              <w:rPr>
                <w:rFonts w:ascii="Arial" w:hAnsi="Arial" w:cs="Arial"/>
                <w:sz w:val="28"/>
                <w:szCs w:val="28"/>
              </w:rPr>
              <w:t>Above ground carbon sequestration</w:t>
            </w:r>
          </w:p>
        </w:tc>
        <w:tc>
          <w:tcPr>
            <w:tcW w:w="2756" w:type="dxa"/>
            <w:shd w:val="clear" w:color="auto" w:fill="D9E2F3" w:themeFill="accent1" w:themeFillTint="33"/>
          </w:tcPr>
          <w:p>
            <w:pPr>
              <w:jc w:val="center"/>
              <w:rPr>
                <w:rFonts w:ascii="Arial" w:hAnsi="Arial" w:cs="Arial"/>
                <w:sz w:val="28"/>
                <w:szCs w:val="28"/>
              </w:rPr>
            </w:pPr>
          </w:p>
          <w:p>
            <w:pPr>
              <w:jc w:val="center"/>
              <w:rPr>
                <w:rFonts w:ascii="Arial" w:hAnsi="Arial" w:cs="Arial"/>
              </w:rPr>
            </w:pPr>
            <w:r>
              <w:rPr>
                <w:rFonts w:ascii="Arial" w:hAnsi="Arial" w:cs="Arial"/>
                <w:sz w:val="28"/>
                <w:szCs w:val="28"/>
              </w:rPr>
              <w:t>Below ground carbon sequestration</w:t>
            </w:r>
          </w:p>
        </w:tc>
        <w:tc>
          <w:tcPr>
            <w:tcW w:w="1779" w:type="dxa"/>
            <w:shd w:val="clear" w:color="auto" w:fill="E2EFD9" w:themeFill="accent6" w:themeFillTint="33"/>
          </w:tcPr>
          <w:p>
            <w:pPr>
              <w:jc w:val="center"/>
              <w:rPr>
                <w:rFonts w:ascii="Arial" w:hAnsi="Arial" w:cs="Arial"/>
                <w:sz w:val="28"/>
                <w:szCs w:val="28"/>
              </w:rPr>
            </w:pPr>
          </w:p>
          <w:p>
            <w:pPr>
              <w:jc w:val="center"/>
              <w:rPr>
                <w:rFonts w:ascii="Arial" w:hAnsi="Arial" w:cs="Arial"/>
              </w:rPr>
            </w:pPr>
            <w:r>
              <w:rPr>
                <w:rFonts w:ascii="Arial" w:hAnsi="Arial" w:cs="Arial"/>
                <w:sz w:val="28"/>
                <w:szCs w:val="28"/>
              </w:rPr>
              <w:t>Reference</w:t>
            </w:r>
          </w:p>
        </w:tc>
      </w:tr>
      <w:tr>
        <w:trPr>
          <w:trHeight w:val="902"/>
        </w:trPr>
        <w:tc>
          <w:tcPr>
            <w:tcW w:w="2689" w:type="dxa"/>
          </w:tcPr>
          <w:p>
            <w:pPr>
              <w:jc w:val="center"/>
              <w:rPr>
                <w:rFonts w:ascii="Arial" w:hAnsi="Arial" w:cs="Arial"/>
              </w:rPr>
            </w:pPr>
            <w:r>
              <w:rPr>
                <w:rFonts w:ascii="Arial" w:hAnsi="Arial" w:cs="Arial"/>
              </w:rPr>
              <w:lastRenderedPageBreak/>
              <w:t>Coconut monocropping</w:t>
            </w:r>
          </w:p>
          <w:p>
            <w:pPr>
              <w:jc w:val="center"/>
              <w:rPr>
                <w:rFonts w:ascii="Arial" w:hAnsi="Arial" w:cs="Arial"/>
              </w:rPr>
            </w:pPr>
            <w:r>
              <w:rPr>
                <w:rFonts w:ascii="Arial" w:hAnsi="Arial" w:cs="Arial"/>
              </w:rPr>
              <w:t>(Age: 50 years)</w:t>
            </w:r>
          </w:p>
        </w:tc>
        <w:tc>
          <w:tcPr>
            <w:tcW w:w="2268" w:type="dxa"/>
          </w:tcPr>
          <w:p>
            <w:pPr>
              <w:jc w:val="center"/>
              <w:rPr>
                <w:rFonts w:ascii="Arial" w:hAnsi="Arial" w:cs="Arial"/>
              </w:rPr>
            </w:pPr>
            <w:r>
              <w:rPr>
                <w:rFonts w:ascii="Arial" w:hAnsi="Arial" w:cs="Arial"/>
              </w:rPr>
              <w:t>51.14 t/ha</w:t>
            </w:r>
          </w:p>
        </w:tc>
        <w:tc>
          <w:tcPr>
            <w:tcW w:w="2756" w:type="dxa"/>
          </w:tcPr>
          <w:p>
            <w:pPr>
              <w:jc w:val="both"/>
              <w:rPr>
                <w:rFonts w:ascii="Arial" w:hAnsi="Arial" w:cs="Arial"/>
              </w:rPr>
            </w:pPr>
            <w:r>
              <w:rPr>
                <w:rFonts w:ascii="Arial" w:hAnsi="Arial" w:cs="Arial"/>
              </w:rPr>
              <w:t>26.87 t/ha (0-30 cm)</w:t>
            </w:r>
          </w:p>
          <w:p>
            <w:pPr>
              <w:jc w:val="both"/>
              <w:rPr>
                <w:rFonts w:ascii="Arial" w:hAnsi="Arial" w:cs="Arial"/>
              </w:rPr>
            </w:pPr>
            <w:r>
              <w:rPr>
                <w:rFonts w:ascii="Arial" w:hAnsi="Arial" w:cs="Arial"/>
              </w:rPr>
              <w:t>20.19 t/ha (31-60 cm)</w:t>
            </w:r>
          </w:p>
        </w:tc>
        <w:tc>
          <w:tcPr>
            <w:tcW w:w="1779" w:type="dxa"/>
            <w:vMerge w:val="restart"/>
          </w:tcPr>
          <w:p>
            <w:pPr>
              <w:jc w:val="both"/>
              <w:rPr>
                <w:rFonts w:ascii="Arial" w:hAnsi="Arial" w:cs="Arial"/>
              </w:rPr>
            </w:pPr>
          </w:p>
          <w:p>
            <w:pPr>
              <w:jc w:val="both"/>
              <w:rPr>
                <w:rFonts w:ascii="Arial" w:hAnsi="Arial" w:cs="Arial"/>
              </w:rPr>
            </w:pPr>
          </w:p>
          <w:p>
            <w:pPr>
              <w:jc w:val="both"/>
              <w:rPr>
                <w:rFonts w:ascii="Arial" w:hAnsi="Arial" w:cs="Arial"/>
              </w:rPr>
            </w:pPr>
          </w:p>
          <w:p>
            <w:pPr>
              <w:jc w:val="center"/>
              <w:rPr>
                <w:rFonts w:ascii="Arial" w:hAnsi="Arial" w:cs="Arial"/>
              </w:rPr>
            </w:pPr>
            <w:r>
              <w:rPr>
                <w:rFonts w:ascii="Arial" w:hAnsi="Arial" w:cs="Arial"/>
              </w:rPr>
              <w:t>(Bhagya et al., 2017)</w:t>
            </w:r>
          </w:p>
        </w:tc>
      </w:tr>
      <w:tr>
        <w:trPr>
          <w:trHeight w:val="902"/>
        </w:trPr>
        <w:tc>
          <w:tcPr>
            <w:tcW w:w="2689" w:type="dxa"/>
          </w:tcPr>
          <w:p>
            <w:pPr>
              <w:jc w:val="center"/>
              <w:rPr>
                <w:rFonts w:ascii="Arial" w:hAnsi="Arial" w:cs="Arial"/>
              </w:rPr>
            </w:pPr>
            <w:r>
              <w:rPr>
                <w:rFonts w:ascii="Arial" w:hAnsi="Arial" w:cs="Arial"/>
              </w:rPr>
              <w:t>Coconut (Age: 50 years) + jamun (Age: 7 years)</w:t>
            </w:r>
          </w:p>
        </w:tc>
        <w:tc>
          <w:tcPr>
            <w:tcW w:w="2268" w:type="dxa"/>
          </w:tcPr>
          <w:p>
            <w:pPr>
              <w:jc w:val="center"/>
              <w:rPr>
                <w:rFonts w:ascii="Arial" w:hAnsi="Arial" w:cs="Arial"/>
              </w:rPr>
            </w:pPr>
            <w:r>
              <w:rPr>
                <w:rFonts w:ascii="Arial" w:hAnsi="Arial" w:cs="Arial"/>
              </w:rPr>
              <w:t>60.93 t/ha</w:t>
            </w:r>
          </w:p>
        </w:tc>
        <w:tc>
          <w:tcPr>
            <w:tcW w:w="2756" w:type="dxa"/>
          </w:tcPr>
          <w:p>
            <w:pPr>
              <w:jc w:val="both"/>
              <w:rPr>
                <w:rFonts w:ascii="Arial" w:hAnsi="Arial" w:cs="Arial"/>
              </w:rPr>
            </w:pPr>
            <w:r>
              <w:rPr>
                <w:rFonts w:ascii="Arial" w:hAnsi="Arial" w:cs="Arial"/>
              </w:rPr>
              <w:t>45.18 t/ha (0-30 cm)</w:t>
            </w:r>
          </w:p>
          <w:p>
            <w:pPr>
              <w:jc w:val="both"/>
              <w:rPr>
                <w:rFonts w:ascii="Arial" w:hAnsi="Arial" w:cs="Arial"/>
              </w:rPr>
            </w:pPr>
            <w:r>
              <w:rPr>
                <w:rFonts w:ascii="Arial" w:hAnsi="Arial" w:cs="Arial"/>
              </w:rPr>
              <w:t>33.95 t/ha (31-60 cm)</w:t>
            </w:r>
          </w:p>
        </w:tc>
        <w:tc>
          <w:tcPr>
            <w:tcW w:w="1779" w:type="dxa"/>
            <w:vMerge/>
          </w:tcPr>
          <w:p>
            <w:pPr>
              <w:jc w:val="both"/>
              <w:rPr>
                <w:rFonts w:ascii="Arial" w:hAnsi="Arial" w:cs="Arial"/>
              </w:rPr>
            </w:pPr>
          </w:p>
        </w:tc>
      </w:tr>
      <w:tr>
        <w:trPr>
          <w:trHeight w:val="889"/>
        </w:trPr>
        <w:tc>
          <w:tcPr>
            <w:tcW w:w="2689" w:type="dxa"/>
          </w:tcPr>
          <w:p>
            <w:pPr>
              <w:jc w:val="center"/>
              <w:rPr>
                <w:rFonts w:ascii="Arial" w:hAnsi="Arial" w:cs="Arial"/>
              </w:rPr>
            </w:pPr>
            <w:r>
              <w:rPr>
                <w:rFonts w:ascii="Arial" w:hAnsi="Arial" w:cs="Arial"/>
              </w:rPr>
              <w:t>Coconut (Age: 50 years) + mango (Age: 7 years)</w:t>
            </w:r>
          </w:p>
        </w:tc>
        <w:tc>
          <w:tcPr>
            <w:tcW w:w="2268" w:type="dxa"/>
          </w:tcPr>
          <w:p>
            <w:pPr>
              <w:jc w:val="center"/>
              <w:rPr>
                <w:rFonts w:ascii="Arial" w:hAnsi="Arial" w:cs="Arial"/>
              </w:rPr>
            </w:pPr>
            <w:r>
              <w:rPr>
                <w:rFonts w:ascii="Arial" w:hAnsi="Arial" w:cs="Arial"/>
              </w:rPr>
              <w:t>56.45 t/ha</w:t>
            </w:r>
          </w:p>
        </w:tc>
        <w:tc>
          <w:tcPr>
            <w:tcW w:w="2756" w:type="dxa"/>
          </w:tcPr>
          <w:p>
            <w:pPr>
              <w:jc w:val="both"/>
              <w:rPr>
                <w:rFonts w:ascii="Arial" w:hAnsi="Arial" w:cs="Arial"/>
              </w:rPr>
            </w:pPr>
            <w:r>
              <w:rPr>
                <w:rFonts w:ascii="Arial" w:hAnsi="Arial" w:cs="Arial"/>
              </w:rPr>
              <w:t>47.39 t/ha (0-30 cm)</w:t>
            </w:r>
          </w:p>
          <w:p>
            <w:pPr>
              <w:jc w:val="both"/>
              <w:rPr>
                <w:rFonts w:ascii="Arial" w:hAnsi="Arial" w:cs="Arial"/>
              </w:rPr>
            </w:pPr>
            <w:r>
              <w:rPr>
                <w:rFonts w:ascii="Arial" w:hAnsi="Arial" w:cs="Arial"/>
              </w:rPr>
              <w:t>35.08 t/ha (31-60 cm)</w:t>
            </w:r>
          </w:p>
        </w:tc>
        <w:tc>
          <w:tcPr>
            <w:tcW w:w="1779" w:type="dxa"/>
            <w:vMerge/>
          </w:tcPr>
          <w:p>
            <w:pPr>
              <w:jc w:val="both"/>
              <w:rPr>
                <w:rFonts w:ascii="Arial" w:hAnsi="Arial" w:cs="Arial"/>
              </w:rPr>
            </w:pPr>
          </w:p>
        </w:tc>
      </w:tr>
      <w:tr>
        <w:trPr>
          <w:trHeight w:val="902"/>
        </w:trPr>
        <w:tc>
          <w:tcPr>
            <w:tcW w:w="2689" w:type="dxa"/>
          </w:tcPr>
          <w:p>
            <w:pPr>
              <w:jc w:val="center"/>
              <w:rPr>
                <w:rFonts w:ascii="Arial" w:hAnsi="Arial" w:cs="Arial"/>
              </w:rPr>
            </w:pPr>
            <w:r>
              <w:rPr>
                <w:rFonts w:ascii="Arial" w:hAnsi="Arial" w:cs="Arial"/>
              </w:rPr>
              <w:t>Coconut (Age: 50 years) + kokum (Age: 7 years)</w:t>
            </w:r>
          </w:p>
        </w:tc>
        <w:tc>
          <w:tcPr>
            <w:tcW w:w="2268" w:type="dxa"/>
          </w:tcPr>
          <w:p>
            <w:pPr>
              <w:jc w:val="center"/>
              <w:rPr>
                <w:rFonts w:ascii="Arial" w:hAnsi="Arial" w:cs="Arial"/>
              </w:rPr>
            </w:pPr>
            <w:r>
              <w:rPr>
                <w:rFonts w:ascii="Arial" w:hAnsi="Arial" w:cs="Arial"/>
              </w:rPr>
              <w:t>53.02 t/ha</w:t>
            </w:r>
          </w:p>
        </w:tc>
        <w:tc>
          <w:tcPr>
            <w:tcW w:w="2756" w:type="dxa"/>
          </w:tcPr>
          <w:p>
            <w:pPr>
              <w:jc w:val="both"/>
              <w:rPr>
                <w:rFonts w:ascii="Arial" w:hAnsi="Arial" w:cs="Arial"/>
              </w:rPr>
            </w:pPr>
            <w:r>
              <w:rPr>
                <w:rFonts w:ascii="Arial" w:hAnsi="Arial" w:cs="Arial"/>
              </w:rPr>
              <w:t>46.32 t/ha (0-30 cm)</w:t>
            </w:r>
          </w:p>
          <w:p>
            <w:pPr>
              <w:jc w:val="both"/>
              <w:rPr>
                <w:rFonts w:ascii="Arial" w:hAnsi="Arial" w:cs="Arial"/>
              </w:rPr>
            </w:pPr>
            <w:r>
              <w:rPr>
                <w:rFonts w:ascii="Arial" w:hAnsi="Arial" w:cs="Arial"/>
              </w:rPr>
              <w:t>32.37 t/ha (31-60 cm)</w:t>
            </w:r>
          </w:p>
        </w:tc>
        <w:tc>
          <w:tcPr>
            <w:tcW w:w="1779" w:type="dxa"/>
            <w:vMerge/>
          </w:tcPr>
          <w:p>
            <w:pPr>
              <w:jc w:val="both"/>
              <w:rPr>
                <w:rFonts w:ascii="Arial" w:hAnsi="Arial" w:cs="Arial"/>
              </w:rPr>
            </w:pPr>
          </w:p>
        </w:tc>
      </w:tr>
      <w:tr>
        <w:trPr>
          <w:trHeight w:val="902"/>
        </w:trPr>
        <w:tc>
          <w:tcPr>
            <w:tcW w:w="2689" w:type="dxa"/>
          </w:tcPr>
          <w:p>
            <w:pPr>
              <w:jc w:val="center"/>
              <w:rPr>
                <w:rFonts w:ascii="Arial" w:hAnsi="Arial" w:cs="Arial"/>
              </w:rPr>
            </w:pPr>
            <w:r>
              <w:rPr>
                <w:rFonts w:ascii="Arial" w:hAnsi="Arial" w:cs="Arial"/>
              </w:rPr>
              <w:t>Coconut Monoculture</w:t>
            </w:r>
          </w:p>
          <w:p>
            <w:pPr>
              <w:jc w:val="center"/>
              <w:rPr>
                <w:rFonts w:ascii="Arial" w:hAnsi="Arial" w:cs="Arial"/>
              </w:rPr>
            </w:pPr>
            <w:r>
              <w:rPr>
                <w:rFonts w:ascii="Arial" w:hAnsi="Arial" w:cs="Arial"/>
              </w:rPr>
              <w:t>(Age: 30 years)</w:t>
            </w:r>
          </w:p>
        </w:tc>
        <w:tc>
          <w:tcPr>
            <w:tcW w:w="2268" w:type="dxa"/>
          </w:tcPr>
          <w:p>
            <w:pPr>
              <w:jc w:val="center"/>
              <w:rPr>
                <w:rFonts w:ascii="Arial" w:hAnsi="Arial" w:cs="Arial"/>
              </w:rPr>
            </w:pPr>
            <w:r>
              <w:rPr>
                <w:rFonts w:ascii="Arial" w:hAnsi="Arial" w:cs="Arial"/>
              </w:rPr>
              <w:t>60.01 t/ha</w:t>
            </w:r>
          </w:p>
        </w:tc>
        <w:tc>
          <w:tcPr>
            <w:tcW w:w="2756" w:type="dxa"/>
          </w:tcPr>
          <w:p>
            <w:pPr>
              <w:jc w:val="center"/>
              <w:rPr>
                <w:rFonts w:ascii="Arial" w:hAnsi="Arial" w:cs="Arial"/>
              </w:rPr>
            </w:pPr>
            <w:r>
              <w:rPr>
                <w:rFonts w:ascii="Arial" w:hAnsi="Arial" w:cs="Arial"/>
              </w:rPr>
              <w:t>19.53 t/ha</w:t>
            </w:r>
          </w:p>
          <w:p>
            <w:pPr>
              <w:jc w:val="center"/>
              <w:rPr>
                <w:rFonts w:ascii="Arial" w:hAnsi="Arial" w:cs="Arial"/>
              </w:rPr>
            </w:pPr>
            <w:r>
              <w:rPr>
                <w:rFonts w:ascii="Arial" w:hAnsi="Arial" w:cs="Arial"/>
              </w:rPr>
              <w:t>(0-20 cm)</w:t>
            </w:r>
          </w:p>
          <w:p>
            <w:pPr>
              <w:jc w:val="center"/>
              <w:rPr>
                <w:rFonts w:ascii="Arial" w:hAnsi="Arial" w:cs="Arial"/>
              </w:rPr>
            </w:pPr>
          </w:p>
        </w:tc>
        <w:tc>
          <w:tcPr>
            <w:tcW w:w="1779" w:type="dxa"/>
            <w:vMerge w:val="restart"/>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w:t>
            </w:r>
            <w:proofErr w:type="spellStart"/>
            <w:r>
              <w:rPr>
                <w:rFonts w:ascii="Arial" w:hAnsi="Arial" w:cs="Arial"/>
              </w:rPr>
              <w:t>Raveendra</w:t>
            </w:r>
            <w:proofErr w:type="spellEnd"/>
            <w:r>
              <w:rPr>
                <w:rFonts w:ascii="Arial" w:hAnsi="Arial" w:cs="Arial"/>
              </w:rPr>
              <w:t xml:space="preserve"> et al., 2017)</w:t>
            </w:r>
          </w:p>
        </w:tc>
      </w:tr>
      <w:tr>
        <w:trPr>
          <w:trHeight w:val="587"/>
        </w:trPr>
        <w:tc>
          <w:tcPr>
            <w:tcW w:w="2689" w:type="dxa"/>
          </w:tcPr>
          <w:p>
            <w:pPr>
              <w:jc w:val="center"/>
              <w:rPr>
                <w:rFonts w:ascii="Arial" w:hAnsi="Arial" w:cs="Arial"/>
              </w:rPr>
            </w:pPr>
            <w:r>
              <w:rPr>
                <w:rFonts w:ascii="Arial" w:hAnsi="Arial" w:cs="Arial"/>
              </w:rPr>
              <w:t xml:space="preserve">Coconut (Age: 30 years) + </w:t>
            </w:r>
            <w:proofErr w:type="spellStart"/>
            <w:r>
              <w:rPr>
                <w:rFonts w:ascii="Arial" w:hAnsi="Arial" w:cs="Arial"/>
              </w:rPr>
              <w:t>Gliricidia</w:t>
            </w:r>
            <w:proofErr w:type="spellEnd"/>
          </w:p>
          <w:p>
            <w:pPr>
              <w:jc w:val="center"/>
              <w:rPr>
                <w:rFonts w:ascii="Arial" w:hAnsi="Arial" w:cs="Arial"/>
              </w:rPr>
            </w:pPr>
            <w:r>
              <w:rPr>
                <w:rFonts w:ascii="Arial" w:hAnsi="Arial" w:cs="Arial"/>
              </w:rPr>
              <w:t>(Age: 6 years)</w:t>
            </w:r>
          </w:p>
        </w:tc>
        <w:tc>
          <w:tcPr>
            <w:tcW w:w="2268" w:type="dxa"/>
          </w:tcPr>
          <w:p>
            <w:pPr>
              <w:jc w:val="center"/>
              <w:rPr>
                <w:rFonts w:ascii="Arial" w:hAnsi="Arial" w:cs="Arial"/>
              </w:rPr>
            </w:pPr>
            <w:r>
              <w:rPr>
                <w:rFonts w:ascii="Arial" w:hAnsi="Arial" w:cs="Arial"/>
              </w:rPr>
              <w:t>117.92 t/ha</w:t>
            </w:r>
          </w:p>
        </w:tc>
        <w:tc>
          <w:tcPr>
            <w:tcW w:w="2756" w:type="dxa"/>
          </w:tcPr>
          <w:p>
            <w:pPr>
              <w:jc w:val="center"/>
              <w:rPr>
                <w:rFonts w:ascii="Arial" w:hAnsi="Arial" w:cs="Arial"/>
              </w:rPr>
            </w:pPr>
            <w:r>
              <w:rPr>
                <w:rFonts w:ascii="Arial" w:hAnsi="Arial" w:cs="Arial"/>
              </w:rPr>
              <w:t>20.87 t/ha</w:t>
            </w:r>
          </w:p>
          <w:p>
            <w:pPr>
              <w:jc w:val="center"/>
              <w:rPr>
                <w:rFonts w:ascii="Arial" w:hAnsi="Arial" w:cs="Arial"/>
              </w:rPr>
            </w:pPr>
            <w:r>
              <w:rPr>
                <w:rFonts w:ascii="Arial" w:hAnsi="Arial" w:cs="Arial"/>
              </w:rPr>
              <w:t>(0-20 cm)</w:t>
            </w:r>
          </w:p>
          <w:p>
            <w:pPr>
              <w:jc w:val="center"/>
              <w:rPr>
                <w:rFonts w:ascii="Arial" w:hAnsi="Arial" w:cs="Arial"/>
              </w:rPr>
            </w:pPr>
          </w:p>
        </w:tc>
        <w:tc>
          <w:tcPr>
            <w:tcW w:w="1779" w:type="dxa"/>
            <w:vMerge/>
          </w:tcPr>
          <w:p>
            <w:pPr>
              <w:jc w:val="both"/>
              <w:rPr>
                <w:rFonts w:ascii="Arial" w:hAnsi="Arial" w:cs="Arial"/>
              </w:rPr>
            </w:pPr>
          </w:p>
        </w:tc>
      </w:tr>
      <w:tr>
        <w:trPr>
          <w:trHeight w:val="147"/>
        </w:trPr>
        <w:tc>
          <w:tcPr>
            <w:tcW w:w="2689" w:type="dxa"/>
          </w:tcPr>
          <w:p>
            <w:pPr>
              <w:jc w:val="center"/>
              <w:rPr>
                <w:rFonts w:ascii="Arial" w:hAnsi="Arial" w:cs="Arial"/>
              </w:rPr>
            </w:pPr>
            <w:r>
              <w:rPr>
                <w:rFonts w:ascii="Arial" w:hAnsi="Arial" w:cs="Arial"/>
              </w:rPr>
              <w:t>Coconut (Age: 30 years) + Cocoa (Age: 4 years)</w:t>
            </w:r>
          </w:p>
        </w:tc>
        <w:tc>
          <w:tcPr>
            <w:tcW w:w="2268" w:type="dxa"/>
          </w:tcPr>
          <w:p>
            <w:pPr>
              <w:jc w:val="center"/>
              <w:rPr>
                <w:rFonts w:ascii="Arial" w:hAnsi="Arial" w:cs="Arial"/>
              </w:rPr>
            </w:pPr>
            <w:r>
              <w:rPr>
                <w:rFonts w:ascii="Arial" w:hAnsi="Arial" w:cs="Arial"/>
              </w:rPr>
              <w:t>47.65 t/ha</w:t>
            </w:r>
          </w:p>
        </w:tc>
        <w:tc>
          <w:tcPr>
            <w:tcW w:w="2756" w:type="dxa"/>
          </w:tcPr>
          <w:p>
            <w:pPr>
              <w:jc w:val="center"/>
              <w:rPr>
                <w:rFonts w:ascii="Arial" w:hAnsi="Arial" w:cs="Arial"/>
              </w:rPr>
            </w:pPr>
            <w:r>
              <w:rPr>
                <w:rFonts w:ascii="Arial" w:hAnsi="Arial" w:cs="Arial"/>
              </w:rPr>
              <w:t>20.59 t/ha</w:t>
            </w:r>
          </w:p>
          <w:p>
            <w:pPr>
              <w:jc w:val="center"/>
              <w:rPr>
                <w:rFonts w:ascii="Arial" w:hAnsi="Arial" w:cs="Arial"/>
              </w:rPr>
            </w:pPr>
            <w:r>
              <w:rPr>
                <w:rFonts w:ascii="Arial" w:hAnsi="Arial" w:cs="Arial"/>
              </w:rPr>
              <w:t>(0-20 cm)</w:t>
            </w:r>
          </w:p>
          <w:p>
            <w:pPr>
              <w:jc w:val="center"/>
              <w:rPr>
                <w:rFonts w:ascii="Arial" w:hAnsi="Arial" w:cs="Arial"/>
              </w:rPr>
            </w:pPr>
          </w:p>
        </w:tc>
        <w:tc>
          <w:tcPr>
            <w:tcW w:w="1779" w:type="dxa"/>
            <w:vMerge/>
          </w:tcPr>
          <w:p>
            <w:pPr>
              <w:jc w:val="both"/>
              <w:rPr>
                <w:rFonts w:ascii="Arial" w:hAnsi="Arial" w:cs="Arial"/>
              </w:rPr>
            </w:pPr>
          </w:p>
        </w:tc>
      </w:tr>
      <w:tr>
        <w:trPr>
          <w:trHeight w:val="147"/>
        </w:trPr>
        <w:tc>
          <w:tcPr>
            <w:tcW w:w="2689" w:type="dxa"/>
          </w:tcPr>
          <w:p>
            <w:pPr>
              <w:jc w:val="center"/>
              <w:rPr>
                <w:rFonts w:ascii="Arial" w:hAnsi="Arial" w:cs="Arial"/>
              </w:rPr>
            </w:pPr>
            <w:r>
              <w:rPr>
                <w:rFonts w:ascii="Arial" w:hAnsi="Arial" w:cs="Arial"/>
              </w:rPr>
              <w:t xml:space="preserve">Coconut (Age: 30 years) + </w:t>
            </w:r>
            <w:proofErr w:type="spellStart"/>
            <w:r>
              <w:rPr>
                <w:rFonts w:ascii="Arial" w:hAnsi="Arial" w:cs="Arial"/>
              </w:rPr>
              <w:t>Gliricidia</w:t>
            </w:r>
            <w:proofErr w:type="spellEnd"/>
            <w:r>
              <w:rPr>
                <w:rFonts w:ascii="Arial" w:hAnsi="Arial" w:cs="Arial"/>
              </w:rPr>
              <w:t xml:space="preserve"> (Age: 6 years)</w:t>
            </w:r>
          </w:p>
        </w:tc>
        <w:tc>
          <w:tcPr>
            <w:tcW w:w="2268" w:type="dxa"/>
          </w:tcPr>
          <w:p>
            <w:pPr>
              <w:jc w:val="center"/>
              <w:rPr>
                <w:rFonts w:ascii="Arial" w:hAnsi="Arial" w:cs="Arial"/>
              </w:rPr>
            </w:pPr>
            <w:r>
              <w:rPr>
                <w:rFonts w:ascii="Arial" w:hAnsi="Arial" w:cs="Arial"/>
              </w:rPr>
              <w:t>114.83 t/ha</w:t>
            </w:r>
          </w:p>
        </w:tc>
        <w:tc>
          <w:tcPr>
            <w:tcW w:w="2756" w:type="dxa"/>
          </w:tcPr>
          <w:p>
            <w:pPr>
              <w:jc w:val="center"/>
              <w:rPr>
                <w:rFonts w:ascii="Arial" w:hAnsi="Arial" w:cs="Arial"/>
              </w:rPr>
            </w:pPr>
            <w:r>
              <w:rPr>
                <w:rFonts w:ascii="Arial" w:hAnsi="Arial" w:cs="Arial"/>
              </w:rPr>
              <w:t>57.69 t/ha</w:t>
            </w:r>
          </w:p>
          <w:p>
            <w:pPr>
              <w:jc w:val="center"/>
              <w:rPr>
                <w:rFonts w:ascii="Arial" w:hAnsi="Arial" w:cs="Arial"/>
              </w:rPr>
            </w:pPr>
            <w:r>
              <w:rPr>
                <w:rFonts w:ascii="Arial" w:hAnsi="Arial" w:cs="Arial"/>
              </w:rPr>
              <w:t>(0-30 cm)</w:t>
            </w:r>
          </w:p>
          <w:p>
            <w:pPr>
              <w:jc w:val="both"/>
              <w:rPr>
                <w:rFonts w:ascii="Arial" w:hAnsi="Arial" w:cs="Arial"/>
              </w:rPr>
            </w:pPr>
          </w:p>
        </w:tc>
        <w:tc>
          <w:tcPr>
            <w:tcW w:w="1779" w:type="dxa"/>
            <w:vMerge w:val="restart"/>
          </w:tcPr>
          <w:p>
            <w:pPr>
              <w:jc w:val="both"/>
              <w:rPr>
                <w:rFonts w:ascii="Arial" w:hAnsi="Arial" w:cs="Arial"/>
              </w:rPr>
            </w:pPr>
          </w:p>
          <w:p>
            <w:pPr>
              <w:jc w:val="center"/>
              <w:rPr>
                <w:rFonts w:ascii="Arial" w:hAnsi="Arial" w:cs="Arial"/>
              </w:rPr>
            </w:pPr>
            <w:r>
              <w:rPr>
                <w:rFonts w:ascii="Arial" w:hAnsi="Arial" w:cs="Arial"/>
              </w:rPr>
              <w:t>(</w:t>
            </w:r>
            <w:proofErr w:type="spellStart"/>
            <w:r>
              <w:rPr>
                <w:rFonts w:ascii="Arial" w:hAnsi="Arial" w:cs="Arial"/>
              </w:rPr>
              <w:t>Nuwarapaksha</w:t>
            </w:r>
            <w:proofErr w:type="spellEnd"/>
            <w:r>
              <w:rPr>
                <w:rFonts w:ascii="Arial" w:hAnsi="Arial" w:cs="Arial"/>
              </w:rPr>
              <w:t xml:space="preserve"> et al., 2025)</w:t>
            </w:r>
          </w:p>
        </w:tc>
      </w:tr>
      <w:tr>
        <w:trPr>
          <w:trHeight w:val="147"/>
        </w:trPr>
        <w:tc>
          <w:tcPr>
            <w:tcW w:w="2689" w:type="dxa"/>
          </w:tcPr>
          <w:p>
            <w:pPr>
              <w:jc w:val="center"/>
              <w:rPr>
                <w:rFonts w:ascii="Arial" w:hAnsi="Arial" w:cs="Arial"/>
              </w:rPr>
            </w:pPr>
            <w:r>
              <w:rPr>
                <w:rFonts w:ascii="Arial" w:hAnsi="Arial" w:cs="Arial"/>
              </w:rPr>
              <w:t>Coconut monocropping system</w:t>
            </w:r>
          </w:p>
          <w:p>
            <w:pPr>
              <w:jc w:val="center"/>
              <w:rPr>
                <w:rFonts w:ascii="Arial" w:hAnsi="Arial" w:cs="Arial"/>
              </w:rPr>
            </w:pPr>
            <w:r>
              <w:rPr>
                <w:rFonts w:ascii="Arial" w:hAnsi="Arial" w:cs="Arial"/>
              </w:rPr>
              <w:t>(Age: 30 years)</w:t>
            </w:r>
          </w:p>
        </w:tc>
        <w:tc>
          <w:tcPr>
            <w:tcW w:w="2268" w:type="dxa"/>
          </w:tcPr>
          <w:p>
            <w:pPr>
              <w:jc w:val="center"/>
              <w:rPr>
                <w:rFonts w:ascii="Arial" w:hAnsi="Arial" w:cs="Arial"/>
              </w:rPr>
            </w:pPr>
            <w:r>
              <w:rPr>
                <w:rFonts w:ascii="Arial" w:hAnsi="Arial" w:cs="Arial"/>
              </w:rPr>
              <w:t>67.76 t/ha</w:t>
            </w:r>
          </w:p>
        </w:tc>
        <w:tc>
          <w:tcPr>
            <w:tcW w:w="2756" w:type="dxa"/>
          </w:tcPr>
          <w:p>
            <w:pPr>
              <w:jc w:val="center"/>
              <w:rPr>
                <w:rFonts w:ascii="Arial" w:hAnsi="Arial" w:cs="Arial"/>
              </w:rPr>
            </w:pPr>
            <w:r>
              <w:rPr>
                <w:rFonts w:ascii="Arial" w:hAnsi="Arial" w:cs="Arial"/>
              </w:rPr>
              <w:t>17.85 t/ha</w:t>
            </w:r>
          </w:p>
          <w:p>
            <w:pPr>
              <w:jc w:val="center"/>
              <w:rPr>
                <w:rFonts w:ascii="Arial" w:hAnsi="Arial" w:cs="Arial"/>
              </w:rPr>
            </w:pPr>
            <w:r>
              <w:rPr>
                <w:rFonts w:ascii="Arial" w:hAnsi="Arial" w:cs="Arial"/>
              </w:rPr>
              <w:t>(0-30 cm)</w:t>
            </w:r>
          </w:p>
        </w:tc>
        <w:tc>
          <w:tcPr>
            <w:tcW w:w="1779" w:type="dxa"/>
            <w:vMerge/>
          </w:tcPr>
          <w:p>
            <w:pPr>
              <w:jc w:val="both"/>
              <w:rPr>
                <w:rFonts w:ascii="Arial" w:hAnsi="Arial" w:cs="Arial"/>
              </w:rPr>
            </w:pPr>
          </w:p>
        </w:tc>
      </w:tr>
      <w:tr>
        <w:trPr>
          <w:trHeight w:val="147"/>
        </w:trPr>
        <w:tc>
          <w:tcPr>
            <w:tcW w:w="2689" w:type="dxa"/>
          </w:tcPr>
          <w:p>
            <w:pPr>
              <w:jc w:val="center"/>
              <w:rPr>
                <w:rFonts w:ascii="Arial" w:hAnsi="Arial" w:cs="Arial"/>
              </w:rPr>
            </w:pPr>
            <w:r>
              <w:rPr>
                <w:rFonts w:ascii="Arial" w:hAnsi="Arial" w:cs="Arial"/>
              </w:rPr>
              <w:t>Okra-Fallow-Tomato-Fallow (as intercrop in coconut (Age: 45 years) from 2012 - 2014)</w:t>
            </w:r>
          </w:p>
        </w:tc>
        <w:tc>
          <w:tcPr>
            <w:tcW w:w="2268" w:type="dxa"/>
            <w:vMerge w:val="restart"/>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3.01 t/ha</w:t>
            </w:r>
          </w:p>
          <w:p>
            <w:pPr>
              <w:jc w:val="center"/>
              <w:rPr>
                <w:rFonts w:ascii="Arial" w:hAnsi="Arial" w:cs="Arial"/>
              </w:rPr>
            </w:pPr>
            <w:r>
              <w:rPr>
                <w:rFonts w:ascii="Arial" w:hAnsi="Arial" w:cs="Arial"/>
              </w:rPr>
              <w:t>(Increment over 2012 – 2014)</w:t>
            </w:r>
          </w:p>
        </w:tc>
        <w:tc>
          <w:tcPr>
            <w:tcW w:w="2756" w:type="dxa"/>
          </w:tcPr>
          <w:p>
            <w:pPr>
              <w:jc w:val="center"/>
              <w:rPr>
                <w:rFonts w:ascii="Arial" w:hAnsi="Arial" w:cs="Arial"/>
              </w:rPr>
            </w:pPr>
            <w:r>
              <w:rPr>
                <w:rFonts w:ascii="Arial" w:hAnsi="Arial" w:cs="Arial"/>
              </w:rPr>
              <w:t>9.59 t/ha</w:t>
            </w:r>
          </w:p>
          <w:p>
            <w:pPr>
              <w:jc w:val="center"/>
              <w:rPr>
                <w:rFonts w:ascii="Arial" w:hAnsi="Arial" w:cs="Arial"/>
              </w:rPr>
            </w:pPr>
            <w:r>
              <w:rPr>
                <w:rFonts w:ascii="Arial" w:hAnsi="Arial" w:cs="Arial"/>
              </w:rPr>
              <w:t>(15 – 30 cm, 2012 – 2013)</w:t>
            </w:r>
          </w:p>
          <w:p>
            <w:pPr>
              <w:jc w:val="center"/>
              <w:rPr>
                <w:rFonts w:ascii="Arial" w:hAnsi="Arial" w:cs="Arial"/>
              </w:rPr>
            </w:pPr>
            <w:r>
              <w:rPr>
                <w:rFonts w:ascii="Arial" w:hAnsi="Arial" w:cs="Arial"/>
              </w:rPr>
              <w:t>9.47 t/ha</w:t>
            </w:r>
          </w:p>
          <w:p>
            <w:pPr>
              <w:jc w:val="center"/>
              <w:rPr>
                <w:rFonts w:ascii="Arial" w:hAnsi="Arial" w:cs="Arial"/>
              </w:rPr>
            </w:pPr>
            <w:r>
              <w:rPr>
                <w:rFonts w:ascii="Arial" w:hAnsi="Arial" w:cs="Arial"/>
              </w:rPr>
              <w:t>(15 – 30 cm, 2013 – 2014)</w:t>
            </w:r>
          </w:p>
        </w:tc>
        <w:tc>
          <w:tcPr>
            <w:tcW w:w="1779" w:type="dxa"/>
            <w:vMerge w:val="restart"/>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 xml:space="preserve">                               (Naveen Kumar and </w:t>
            </w:r>
            <w:proofErr w:type="spellStart"/>
            <w:r>
              <w:rPr>
                <w:rFonts w:ascii="Arial" w:hAnsi="Arial" w:cs="Arial"/>
              </w:rPr>
              <w:t>Maheswarappa</w:t>
            </w:r>
            <w:proofErr w:type="spellEnd"/>
            <w:r>
              <w:rPr>
                <w:rFonts w:ascii="Arial" w:hAnsi="Arial" w:cs="Arial"/>
              </w:rPr>
              <w:t>, 2019)</w:t>
            </w:r>
          </w:p>
        </w:tc>
      </w:tr>
      <w:tr>
        <w:trPr>
          <w:trHeight w:val="147"/>
        </w:trPr>
        <w:tc>
          <w:tcPr>
            <w:tcW w:w="2689" w:type="dxa"/>
          </w:tcPr>
          <w:p>
            <w:pPr>
              <w:jc w:val="center"/>
              <w:rPr>
                <w:rFonts w:ascii="Arial" w:hAnsi="Arial" w:cs="Arial"/>
              </w:rPr>
            </w:pPr>
            <w:r>
              <w:rPr>
                <w:rFonts w:ascii="Arial" w:hAnsi="Arial" w:cs="Arial"/>
              </w:rPr>
              <w:t>Green manure (</w:t>
            </w:r>
            <w:proofErr w:type="spellStart"/>
            <w:r>
              <w:rPr>
                <w:rFonts w:ascii="Arial" w:hAnsi="Arial" w:cs="Arial"/>
              </w:rPr>
              <w:t>Mucuna</w:t>
            </w:r>
            <w:proofErr w:type="spellEnd"/>
            <w:r>
              <w:rPr>
                <w:rFonts w:ascii="Arial" w:hAnsi="Arial" w:cs="Arial"/>
              </w:rPr>
              <w:t>)-Cucumber-Green Manure-Cucumber (as intercrop in coconut (Age: 45 years) from 2012 - 2014)</w:t>
            </w:r>
          </w:p>
        </w:tc>
        <w:tc>
          <w:tcPr>
            <w:tcW w:w="2268" w:type="dxa"/>
            <w:vMerge/>
          </w:tcPr>
          <w:p>
            <w:pPr>
              <w:jc w:val="center"/>
              <w:rPr>
                <w:rFonts w:ascii="Arial" w:hAnsi="Arial" w:cs="Arial"/>
              </w:rPr>
            </w:pPr>
          </w:p>
        </w:tc>
        <w:tc>
          <w:tcPr>
            <w:tcW w:w="2756" w:type="dxa"/>
          </w:tcPr>
          <w:p>
            <w:pPr>
              <w:jc w:val="center"/>
              <w:rPr>
                <w:rFonts w:ascii="Arial" w:hAnsi="Arial" w:cs="Arial"/>
              </w:rPr>
            </w:pPr>
            <w:r>
              <w:rPr>
                <w:rFonts w:ascii="Arial" w:hAnsi="Arial" w:cs="Arial"/>
              </w:rPr>
              <w:t>9.19 t/ha</w:t>
            </w:r>
          </w:p>
          <w:p>
            <w:pPr>
              <w:jc w:val="center"/>
              <w:rPr>
                <w:rFonts w:ascii="Arial" w:hAnsi="Arial" w:cs="Arial"/>
              </w:rPr>
            </w:pPr>
            <w:r>
              <w:rPr>
                <w:rFonts w:ascii="Arial" w:hAnsi="Arial" w:cs="Arial"/>
              </w:rPr>
              <w:t>(15 – 30 cm, 2012 – 2013)</w:t>
            </w:r>
          </w:p>
          <w:p>
            <w:pPr>
              <w:jc w:val="center"/>
              <w:rPr>
                <w:rFonts w:ascii="Arial" w:hAnsi="Arial" w:cs="Arial"/>
              </w:rPr>
            </w:pPr>
            <w:r>
              <w:rPr>
                <w:rFonts w:ascii="Arial" w:hAnsi="Arial" w:cs="Arial"/>
              </w:rPr>
              <w:t>9.00 t/ha</w:t>
            </w:r>
          </w:p>
          <w:p>
            <w:pPr>
              <w:jc w:val="center"/>
              <w:rPr>
                <w:rFonts w:ascii="Arial" w:hAnsi="Arial" w:cs="Arial"/>
              </w:rPr>
            </w:pPr>
            <w:r>
              <w:rPr>
                <w:rFonts w:ascii="Arial" w:hAnsi="Arial" w:cs="Arial"/>
              </w:rPr>
              <w:t>(15 – 30 cm, 2013 – 2014)</w:t>
            </w:r>
          </w:p>
        </w:tc>
        <w:tc>
          <w:tcPr>
            <w:tcW w:w="1779" w:type="dxa"/>
            <w:vMerge/>
          </w:tcPr>
          <w:p>
            <w:pPr>
              <w:jc w:val="both"/>
              <w:rPr>
                <w:rFonts w:ascii="Arial" w:hAnsi="Arial" w:cs="Arial"/>
              </w:rPr>
            </w:pPr>
          </w:p>
        </w:tc>
      </w:tr>
      <w:tr>
        <w:trPr>
          <w:trHeight w:val="147"/>
        </w:trPr>
        <w:tc>
          <w:tcPr>
            <w:tcW w:w="2689" w:type="dxa"/>
          </w:tcPr>
          <w:p>
            <w:pPr>
              <w:jc w:val="center"/>
              <w:rPr>
                <w:rFonts w:ascii="Arial" w:hAnsi="Arial" w:cs="Arial"/>
              </w:rPr>
            </w:pPr>
            <w:r>
              <w:rPr>
                <w:rFonts w:ascii="Arial" w:hAnsi="Arial" w:cs="Arial"/>
              </w:rPr>
              <w:t>Baby corn-Gherkin-Baby Corn-Gherkin (as intercrop in coconut (Age: 45 years) from 2012 - 2014)</w:t>
            </w:r>
          </w:p>
        </w:tc>
        <w:tc>
          <w:tcPr>
            <w:tcW w:w="2268" w:type="dxa"/>
            <w:vMerge/>
          </w:tcPr>
          <w:p>
            <w:pPr>
              <w:jc w:val="center"/>
              <w:rPr>
                <w:rFonts w:ascii="Arial" w:hAnsi="Arial" w:cs="Arial"/>
              </w:rPr>
            </w:pPr>
          </w:p>
        </w:tc>
        <w:tc>
          <w:tcPr>
            <w:tcW w:w="2756" w:type="dxa"/>
          </w:tcPr>
          <w:p>
            <w:pPr>
              <w:jc w:val="center"/>
              <w:rPr>
                <w:rFonts w:ascii="Arial" w:hAnsi="Arial" w:cs="Arial"/>
              </w:rPr>
            </w:pPr>
            <w:r>
              <w:rPr>
                <w:rFonts w:ascii="Arial" w:hAnsi="Arial" w:cs="Arial"/>
              </w:rPr>
              <w:t>9.84 t/ha</w:t>
            </w:r>
          </w:p>
          <w:p>
            <w:pPr>
              <w:jc w:val="center"/>
              <w:rPr>
                <w:rFonts w:ascii="Arial" w:hAnsi="Arial" w:cs="Arial"/>
              </w:rPr>
            </w:pPr>
            <w:r>
              <w:rPr>
                <w:rFonts w:ascii="Arial" w:hAnsi="Arial" w:cs="Arial"/>
              </w:rPr>
              <w:t>(15 – 30 cm, 2012 – 2013)</w:t>
            </w:r>
          </w:p>
          <w:p>
            <w:pPr>
              <w:jc w:val="center"/>
              <w:rPr>
                <w:rFonts w:ascii="Arial" w:hAnsi="Arial" w:cs="Arial"/>
              </w:rPr>
            </w:pPr>
            <w:r>
              <w:rPr>
                <w:rFonts w:ascii="Arial" w:hAnsi="Arial" w:cs="Arial"/>
              </w:rPr>
              <w:t>10.18 t/ha</w:t>
            </w:r>
          </w:p>
          <w:p>
            <w:pPr>
              <w:jc w:val="center"/>
              <w:rPr>
                <w:rFonts w:ascii="Arial" w:hAnsi="Arial" w:cs="Arial"/>
              </w:rPr>
            </w:pPr>
            <w:r>
              <w:rPr>
                <w:rFonts w:ascii="Arial" w:hAnsi="Arial" w:cs="Arial"/>
              </w:rPr>
              <w:t>(15 – 30 cm, 2013 – 2014)</w:t>
            </w:r>
          </w:p>
        </w:tc>
        <w:tc>
          <w:tcPr>
            <w:tcW w:w="1779" w:type="dxa"/>
            <w:vMerge/>
          </w:tcPr>
          <w:p>
            <w:pPr>
              <w:jc w:val="both"/>
              <w:rPr>
                <w:rFonts w:ascii="Arial" w:hAnsi="Arial" w:cs="Arial"/>
              </w:rPr>
            </w:pPr>
          </w:p>
        </w:tc>
      </w:tr>
      <w:tr>
        <w:trPr>
          <w:trHeight w:val="147"/>
        </w:trPr>
        <w:tc>
          <w:tcPr>
            <w:tcW w:w="2689" w:type="dxa"/>
          </w:tcPr>
          <w:p>
            <w:pPr>
              <w:jc w:val="center"/>
              <w:rPr>
                <w:rFonts w:ascii="Arial" w:hAnsi="Arial" w:cs="Arial"/>
              </w:rPr>
            </w:pPr>
          </w:p>
          <w:p>
            <w:pPr>
              <w:jc w:val="center"/>
              <w:rPr>
                <w:rFonts w:ascii="Arial" w:hAnsi="Arial" w:cs="Arial"/>
              </w:rPr>
            </w:pPr>
            <w:r>
              <w:rPr>
                <w:rFonts w:ascii="Arial" w:hAnsi="Arial" w:cs="Arial"/>
              </w:rPr>
              <w:t>Coconut Monoculture</w:t>
            </w:r>
          </w:p>
          <w:p>
            <w:pPr>
              <w:jc w:val="center"/>
              <w:rPr>
                <w:rFonts w:ascii="Arial" w:hAnsi="Arial" w:cs="Arial"/>
              </w:rPr>
            </w:pPr>
            <w:r>
              <w:rPr>
                <w:rFonts w:ascii="Arial" w:hAnsi="Arial" w:cs="Arial"/>
              </w:rPr>
              <w:lastRenderedPageBreak/>
              <w:t>(Age: 45 years)</w:t>
            </w:r>
          </w:p>
        </w:tc>
        <w:tc>
          <w:tcPr>
            <w:tcW w:w="2268" w:type="dxa"/>
          </w:tcPr>
          <w:p>
            <w:pPr>
              <w:jc w:val="center"/>
              <w:rPr>
                <w:rFonts w:ascii="Arial" w:hAnsi="Arial" w:cs="Arial"/>
              </w:rPr>
            </w:pPr>
          </w:p>
          <w:p>
            <w:pPr>
              <w:jc w:val="center"/>
              <w:rPr>
                <w:rFonts w:ascii="Arial" w:hAnsi="Arial" w:cs="Arial"/>
              </w:rPr>
            </w:pPr>
            <w:r>
              <w:rPr>
                <w:rFonts w:ascii="Arial" w:hAnsi="Arial" w:cs="Arial"/>
              </w:rPr>
              <w:t>2.31 t/ha</w:t>
            </w:r>
          </w:p>
          <w:p>
            <w:pPr>
              <w:jc w:val="center"/>
              <w:rPr>
                <w:rFonts w:ascii="Arial" w:hAnsi="Arial" w:cs="Arial"/>
              </w:rPr>
            </w:pPr>
            <w:r>
              <w:rPr>
                <w:rFonts w:ascii="Arial" w:hAnsi="Arial" w:cs="Arial"/>
              </w:rPr>
              <w:lastRenderedPageBreak/>
              <w:t>(Increment over 2012 – 2014)</w:t>
            </w:r>
          </w:p>
        </w:tc>
        <w:tc>
          <w:tcPr>
            <w:tcW w:w="2756" w:type="dxa"/>
          </w:tcPr>
          <w:p>
            <w:pPr>
              <w:jc w:val="center"/>
              <w:rPr>
                <w:rFonts w:ascii="Arial" w:hAnsi="Arial" w:cs="Arial"/>
              </w:rPr>
            </w:pPr>
            <w:r>
              <w:rPr>
                <w:rFonts w:ascii="Arial" w:hAnsi="Arial" w:cs="Arial"/>
              </w:rPr>
              <w:lastRenderedPageBreak/>
              <w:t>7.33 t/ha</w:t>
            </w:r>
          </w:p>
          <w:p>
            <w:pPr>
              <w:jc w:val="center"/>
              <w:rPr>
                <w:rFonts w:ascii="Arial" w:hAnsi="Arial" w:cs="Arial"/>
              </w:rPr>
            </w:pPr>
            <w:r>
              <w:rPr>
                <w:rFonts w:ascii="Arial" w:hAnsi="Arial" w:cs="Arial"/>
              </w:rPr>
              <w:lastRenderedPageBreak/>
              <w:t>(15 – 30 cm, 2012 – 2013)</w:t>
            </w:r>
          </w:p>
          <w:p>
            <w:pPr>
              <w:jc w:val="center"/>
              <w:rPr>
                <w:rFonts w:ascii="Arial" w:hAnsi="Arial" w:cs="Arial"/>
              </w:rPr>
            </w:pPr>
            <w:r>
              <w:rPr>
                <w:rFonts w:ascii="Arial" w:hAnsi="Arial" w:cs="Arial"/>
              </w:rPr>
              <w:t>7.24 t/ha</w:t>
            </w:r>
          </w:p>
          <w:p>
            <w:pPr>
              <w:jc w:val="center"/>
              <w:rPr>
                <w:rFonts w:ascii="Arial" w:hAnsi="Arial" w:cs="Arial"/>
              </w:rPr>
            </w:pPr>
            <w:r>
              <w:rPr>
                <w:rFonts w:ascii="Arial" w:hAnsi="Arial" w:cs="Arial"/>
              </w:rPr>
              <w:t>(15 – 30 cm, 2013 – 2014)</w:t>
            </w:r>
          </w:p>
        </w:tc>
        <w:tc>
          <w:tcPr>
            <w:tcW w:w="1779" w:type="dxa"/>
            <w:vMerge/>
          </w:tcPr>
          <w:p>
            <w:pPr>
              <w:jc w:val="both"/>
              <w:rPr>
                <w:rFonts w:ascii="Arial" w:hAnsi="Arial" w:cs="Arial"/>
              </w:rPr>
            </w:pPr>
          </w:p>
        </w:tc>
      </w:tr>
      <w:tr>
        <w:trPr>
          <w:trHeight w:val="147"/>
        </w:trPr>
        <w:tc>
          <w:tcPr>
            <w:tcW w:w="2689" w:type="dxa"/>
          </w:tcPr>
          <w:p>
            <w:pPr>
              <w:jc w:val="center"/>
              <w:rPr>
                <w:rFonts w:ascii="Arial" w:hAnsi="Arial" w:cs="Arial"/>
              </w:rPr>
            </w:pPr>
            <w:proofErr w:type="spellStart"/>
            <w:r>
              <w:rPr>
                <w:rFonts w:ascii="Arial" w:hAnsi="Arial" w:cs="Arial"/>
              </w:rPr>
              <w:t>Calliandra</w:t>
            </w:r>
            <w:proofErr w:type="spellEnd"/>
            <w:r>
              <w:rPr>
                <w:rFonts w:ascii="Arial" w:hAnsi="Arial" w:cs="Arial"/>
              </w:rPr>
              <w:t xml:space="preserve"> + Coconut</w:t>
            </w:r>
          </w:p>
          <w:p>
            <w:pPr>
              <w:jc w:val="center"/>
              <w:rPr>
                <w:rFonts w:ascii="Arial" w:hAnsi="Arial" w:cs="Arial"/>
              </w:rPr>
            </w:pPr>
            <w:r>
              <w:rPr>
                <w:rFonts w:ascii="Arial" w:hAnsi="Arial" w:cs="Arial"/>
              </w:rPr>
              <w:t xml:space="preserve"> (Age: 35 years)</w:t>
            </w:r>
          </w:p>
          <w:p>
            <w:pPr>
              <w:jc w:val="center"/>
              <w:rPr>
                <w:rFonts w:ascii="Arial" w:hAnsi="Arial" w:cs="Arial"/>
              </w:rPr>
            </w:pPr>
          </w:p>
        </w:tc>
        <w:tc>
          <w:tcPr>
            <w:tcW w:w="2268" w:type="dxa"/>
          </w:tcPr>
          <w:p>
            <w:pPr>
              <w:jc w:val="center"/>
              <w:rPr>
                <w:rFonts w:ascii="Arial" w:hAnsi="Arial" w:cs="Arial"/>
              </w:rPr>
            </w:pPr>
            <w:r>
              <w:rPr>
                <w:rFonts w:ascii="Arial" w:hAnsi="Arial" w:cs="Arial"/>
              </w:rPr>
              <w:t xml:space="preserve">46.51 t/ha </w:t>
            </w:r>
          </w:p>
          <w:p>
            <w:pPr>
              <w:jc w:val="center"/>
              <w:rPr>
                <w:rFonts w:ascii="Arial" w:hAnsi="Arial" w:cs="Arial"/>
              </w:rPr>
            </w:pPr>
            <w:r>
              <w:rPr>
                <w:rFonts w:ascii="Arial" w:hAnsi="Arial" w:cs="Arial"/>
              </w:rPr>
              <w:t xml:space="preserve">(total dry fodder biomass of </w:t>
            </w:r>
            <w:proofErr w:type="spellStart"/>
            <w:r>
              <w:rPr>
                <w:rFonts w:ascii="Arial" w:hAnsi="Arial" w:cs="Arial"/>
              </w:rPr>
              <w:t>Calliandra</w:t>
            </w:r>
            <w:proofErr w:type="spellEnd"/>
            <w:r>
              <w:rPr>
                <w:rFonts w:ascii="Arial" w:hAnsi="Arial" w:cs="Arial"/>
              </w:rPr>
              <w:t>)</w:t>
            </w:r>
          </w:p>
        </w:tc>
        <w:tc>
          <w:tcPr>
            <w:tcW w:w="2756" w:type="dxa"/>
          </w:tcPr>
          <w:p>
            <w:pPr>
              <w:jc w:val="center"/>
              <w:rPr>
                <w:rFonts w:ascii="Arial" w:hAnsi="Arial" w:cs="Arial"/>
              </w:rPr>
            </w:pPr>
            <w:r>
              <w:rPr>
                <w:rFonts w:ascii="Arial" w:hAnsi="Arial" w:cs="Arial"/>
              </w:rPr>
              <w:t>68.80 - 131.84 t/ha (overall)</w:t>
            </w:r>
          </w:p>
        </w:tc>
        <w:tc>
          <w:tcPr>
            <w:tcW w:w="1779" w:type="dxa"/>
            <w:vMerge w:val="restart"/>
          </w:tcPr>
          <w:p>
            <w:pPr>
              <w:jc w:val="both"/>
              <w:rPr>
                <w:rFonts w:ascii="Arial" w:hAnsi="Arial" w:cs="Arial"/>
              </w:rPr>
            </w:pPr>
          </w:p>
          <w:p>
            <w:pPr>
              <w:jc w:val="both"/>
              <w:rPr>
                <w:rFonts w:ascii="Arial" w:hAnsi="Arial" w:cs="Arial"/>
              </w:rPr>
            </w:pPr>
          </w:p>
          <w:p>
            <w:pPr>
              <w:jc w:val="both"/>
              <w:rPr>
                <w:rFonts w:ascii="Arial" w:hAnsi="Arial" w:cs="Arial"/>
              </w:rPr>
            </w:pPr>
            <w:r>
              <w:rPr>
                <w:rFonts w:ascii="Arial" w:hAnsi="Arial" w:cs="Arial"/>
              </w:rPr>
              <w:t>(Joy et al., 2019)</w:t>
            </w:r>
          </w:p>
        </w:tc>
      </w:tr>
      <w:tr>
        <w:trPr>
          <w:trHeight w:val="889"/>
        </w:trPr>
        <w:tc>
          <w:tcPr>
            <w:tcW w:w="2689" w:type="dxa"/>
          </w:tcPr>
          <w:p>
            <w:pPr>
              <w:jc w:val="center"/>
              <w:rPr>
                <w:rFonts w:ascii="Arial" w:hAnsi="Arial" w:cs="Arial"/>
              </w:rPr>
            </w:pPr>
            <w:r>
              <w:rPr>
                <w:rFonts w:ascii="Arial" w:hAnsi="Arial" w:cs="Arial"/>
              </w:rPr>
              <w:t>Coconut Monoculture</w:t>
            </w:r>
          </w:p>
          <w:p>
            <w:pPr>
              <w:jc w:val="center"/>
              <w:rPr>
                <w:rFonts w:ascii="Arial" w:hAnsi="Arial" w:cs="Arial"/>
              </w:rPr>
            </w:pPr>
            <w:r>
              <w:rPr>
                <w:rFonts w:ascii="Arial" w:hAnsi="Arial" w:cs="Arial"/>
              </w:rPr>
              <w:t>(Age: 35 years)</w:t>
            </w:r>
          </w:p>
        </w:tc>
        <w:tc>
          <w:tcPr>
            <w:tcW w:w="2268" w:type="dxa"/>
          </w:tcPr>
          <w:p>
            <w:pPr>
              <w:jc w:val="center"/>
              <w:rPr>
                <w:rFonts w:ascii="Arial" w:hAnsi="Arial" w:cs="Arial"/>
              </w:rPr>
            </w:pPr>
            <w:r>
              <w:rPr>
                <w:rFonts w:ascii="Arial" w:hAnsi="Arial" w:cs="Arial"/>
              </w:rPr>
              <w:t>108.73 t/ha</w:t>
            </w:r>
          </w:p>
          <w:p>
            <w:pPr>
              <w:jc w:val="center"/>
              <w:rPr>
                <w:rFonts w:ascii="Arial" w:hAnsi="Arial" w:cs="Arial"/>
              </w:rPr>
            </w:pPr>
          </w:p>
        </w:tc>
        <w:tc>
          <w:tcPr>
            <w:tcW w:w="2756" w:type="dxa"/>
          </w:tcPr>
          <w:p>
            <w:pPr>
              <w:jc w:val="center"/>
              <w:rPr>
                <w:rFonts w:ascii="Arial" w:hAnsi="Arial" w:cs="Arial"/>
              </w:rPr>
            </w:pPr>
            <w:r>
              <w:rPr>
                <w:rFonts w:ascii="Arial" w:hAnsi="Arial" w:cs="Arial"/>
              </w:rPr>
              <w:t>75.57 t/ha</w:t>
            </w:r>
          </w:p>
          <w:p>
            <w:pPr>
              <w:jc w:val="center"/>
              <w:rPr>
                <w:rFonts w:ascii="Arial" w:hAnsi="Arial" w:cs="Arial"/>
              </w:rPr>
            </w:pPr>
            <w:r>
              <w:rPr>
                <w:rFonts w:ascii="Arial" w:hAnsi="Arial" w:cs="Arial"/>
              </w:rPr>
              <w:t xml:space="preserve"> (from a depth of 1 m)</w:t>
            </w:r>
          </w:p>
        </w:tc>
        <w:tc>
          <w:tcPr>
            <w:tcW w:w="1779" w:type="dxa"/>
            <w:vMerge/>
          </w:tcPr>
          <w:p>
            <w:pPr>
              <w:jc w:val="both"/>
              <w:rPr>
                <w:rFonts w:ascii="Arial" w:hAnsi="Arial" w:cs="Arial"/>
              </w:rPr>
            </w:pPr>
          </w:p>
        </w:tc>
      </w:tr>
    </w:tbl>
    <w:p>
      <w:pPr>
        <w:spacing w:after="0"/>
        <w:jc w:val="both"/>
        <w:rPr>
          <w:rFonts w:ascii="Arial" w:hAnsi="Arial" w:cs="Arial"/>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pPr>
        <w:jc w:val="both"/>
        <w:rPr>
          <w:rFonts w:ascii="Arial" w:hAnsi="Arial" w:cs="Arial"/>
          <w:b/>
          <w:bCs/>
        </w:rPr>
      </w:pPr>
    </w:p>
    <w:p>
      <w:pPr>
        <w:jc w:val="both"/>
        <w:rPr>
          <w:rFonts w:ascii="Arial" w:hAnsi="Arial" w:cs="Arial"/>
          <w:b/>
          <w:bCs/>
        </w:rPr>
      </w:pPr>
      <w:r>
        <w:rPr>
          <w:rFonts w:ascii="Arial" w:hAnsi="Arial" w:cs="Arial"/>
          <w:b/>
          <w:bCs/>
        </w:rPr>
        <w:t>3.3. Climate</w:t>
      </w:r>
    </w:p>
    <w:p>
      <w:pPr>
        <w:ind w:firstLine="720"/>
        <w:jc w:val="both"/>
        <w:rPr>
          <w:rFonts w:ascii="Arial" w:hAnsi="Arial" w:cs="Arial"/>
        </w:rPr>
      </w:pPr>
      <w:r>
        <w:rPr>
          <w:rFonts w:ascii="Arial" w:hAnsi="Arial" w:cs="Arial"/>
        </w:rPr>
        <w:t xml:space="preserve">Temperature, precipitation and salinity have significant impacts on coconut growth and production (Wilson et al., 2011; </w:t>
      </w:r>
      <w:proofErr w:type="spellStart"/>
      <w:r>
        <w:rPr>
          <w:rFonts w:ascii="Arial" w:hAnsi="Arial" w:cs="Arial"/>
        </w:rPr>
        <w:t>Hebbar</w:t>
      </w:r>
      <w:proofErr w:type="spellEnd"/>
      <w:r>
        <w:rPr>
          <w:rFonts w:ascii="Arial" w:hAnsi="Arial" w:cs="Arial"/>
        </w:rPr>
        <w:t xml:space="preserve"> et al., 2021) Although increased atmospheric carbon dioxide (CO</w:t>
      </w:r>
      <w:r>
        <w:rPr>
          <w:rFonts w:ascii="Arial" w:hAnsi="Arial" w:cs="Arial"/>
          <w:vertAlign w:val="subscript"/>
        </w:rPr>
        <w:t>2</w:t>
      </w:r>
      <w:r>
        <w:rPr>
          <w:rFonts w:ascii="Arial" w:hAnsi="Arial" w:cs="Arial"/>
        </w:rPr>
        <w:t>) tends to Favour C</w:t>
      </w:r>
      <w:r>
        <w:rPr>
          <w:rFonts w:ascii="Arial" w:hAnsi="Arial" w:cs="Arial"/>
          <w:vertAlign w:val="subscript"/>
        </w:rPr>
        <w:t>3</w:t>
      </w:r>
      <w:r>
        <w:rPr>
          <w:rFonts w:ascii="Arial" w:hAnsi="Arial" w:cs="Arial"/>
        </w:rPr>
        <w:t xml:space="preserve"> crops such as coconut, elevated temperatures reverse the advantage (</w:t>
      </w:r>
      <w:proofErr w:type="spellStart"/>
      <w:r>
        <w:rPr>
          <w:rFonts w:ascii="Arial" w:hAnsi="Arial" w:cs="Arial"/>
        </w:rPr>
        <w:t>Hebbar</w:t>
      </w:r>
      <w:proofErr w:type="spellEnd"/>
      <w:r>
        <w:rPr>
          <w:rFonts w:ascii="Arial" w:hAnsi="Arial" w:cs="Arial"/>
        </w:rPr>
        <w:t xml:space="preserve"> et al., 2013). Particularly, very hot summer temperatures above 40°C and low humidity drastically curtail nut yields. The reason is that excessive heat impairs pollen germination (</w:t>
      </w:r>
      <w:proofErr w:type="spellStart"/>
      <w:r>
        <w:rPr>
          <w:rFonts w:ascii="Arial" w:hAnsi="Arial" w:cs="Arial"/>
        </w:rPr>
        <w:t>Hebbar</w:t>
      </w:r>
      <w:proofErr w:type="spellEnd"/>
      <w:r>
        <w:rPr>
          <w:rFonts w:ascii="Arial" w:hAnsi="Arial" w:cs="Arial"/>
        </w:rPr>
        <w:t xml:space="preserve"> et al., 2018) and pollen tube development, (</w:t>
      </w:r>
      <w:proofErr w:type="spellStart"/>
      <w:r>
        <w:rPr>
          <w:rFonts w:ascii="Arial" w:hAnsi="Arial" w:cs="Arial"/>
        </w:rPr>
        <w:t>Hebbar</w:t>
      </w:r>
      <w:proofErr w:type="spellEnd"/>
      <w:r>
        <w:rPr>
          <w:rFonts w:ascii="Arial" w:hAnsi="Arial" w:cs="Arial"/>
        </w:rPr>
        <w:t xml:space="preserve"> et al., 2020) resulting in poor fertilization and reduced nuts. Other than high temperatures, another factor that constrains coconut growth is a shortage of water. Rapid change in climate has major impact on the biomass decrease in plant leads to major contributor towards the decrease in carbon sequestration.</w:t>
      </w:r>
    </w:p>
    <w:p>
      <w:pPr>
        <w:spacing w:after="0"/>
        <w:jc w:val="both"/>
        <w:rPr>
          <w:rFonts w:ascii="Arial" w:hAnsi="Arial" w:cs="Arial"/>
        </w:rPr>
      </w:pPr>
      <w:r>
        <w:rPr>
          <w:rFonts w:ascii="Arial" w:hAnsi="Arial" w:cs="Arial"/>
        </w:rPr>
        <w:t xml:space="preserve">   Table.3. Impact of climatic factor on carbon sequestration</w:t>
      </w:r>
    </w:p>
    <w:tbl>
      <w:tblPr>
        <w:tblStyle w:val="TableGrid"/>
        <w:tblW w:w="0" w:type="auto"/>
        <w:tblLook w:val="04A0" w:firstRow="1" w:lastRow="0" w:firstColumn="1" w:lastColumn="0" w:noHBand="0" w:noVBand="1"/>
      </w:tblPr>
      <w:tblGrid>
        <w:gridCol w:w="1980"/>
        <w:gridCol w:w="5103"/>
        <w:gridCol w:w="1933"/>
      </w:tblGrid>
      <w:tr>
        <w:tc>
          <w:tcPr>
            <w:tcW w:w="1980" w:type="dxa"/>
          </w:tcPr>
          <w:p>
            <w:pPr>
              <w:jc w:val="center"/>
              <w:rPr>
                <w:rFonts w:ascii="Arial" w:hAnsi="Arial" w:cs="Arial"/>
                <w:sz w:val="28"/>
                <w:szCs w:val="28"/>
              </w:rPr>
            </w:pPr>
            <w:r>
              <w:rPr>
                <w:rFonts w:ascii="Arial" w:hAnsi="Arial" w:cs="Arial"/>
                <w:sz w:val="28"/>
                <w:szCs w:val="28"/>
              </w:rPr>
              <w:t>Climatic Factor</w:t>
            </w:r>
          </w:p>
        </w:tc>
        <w:tc>
          <w:tcPr>
            <w:tcW w:w="5103" w:type="dxa"/>
          </w:tcPr>
          <w:p>
            <w:pPr>
              <w:jc w:val="center"/>
              <w:rPr>
                <w:rFonts w:ascii="Arial" w:hAnsi="Arial" w:cs="Arial"/>
                <w:sz w:val="28"/>
                <w:szCs w:val="28"/>
              </w:rPr>
            </w:pPr>
            <w:r>
              <w:rPr>
                <w:rFonts w:ascii="Arial" w:hAnsi="Arial" w:cs="Arial"/>
                <w:sz w:val="28"/>
                <w:szCs w:val="28"/>
              </w:rPr>
              <w:t>Effect on Carbon Sequestration</w:t>
            </w:r>
          </w:p>
        </w:tc>
        <w:tc>
          <w:tcPr>
            <w:tcW w:w="1933" w:type="dxa"/>
          </w:tcPr>
          <w:p>
            <w:pPr>
              <w:jc w:val="both"/>
              <w:rPr>
                <w:rFonts w:ascii="Arial" w:hAnsi="Arial" w:cs="Arial"/>
                <w:sz w:val="28"/>
                <w:szCs w:val="28"/>
              </w:rPr>
            </w:pPr>
            <w:r>
              <w:rPr>
                <w:rFonts w:ascii="Arial" w:hAnsi="Arial" w:cs="Arial"/>
                <w:sz w:val="28"/>
                <w:szCs w:val="28"/>
              </w:rPr>
              <w:t>References</w:t>
            </w:r>
          </w:p>
        </w:tc>
      </w:tr>
      <w:tr>
        <w:tc>
          <w:tcPr>
            <w:tcW w:w="1980" w:type="dxa"/>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Temperature</w:t>
            </w:r>
          </w:p>
        </w:tc>
        <w:tc>
          <w:tcPr>
            <w:tcW w:w="5103" w:type="dxa"/>
          </w:tcPr>
          <w:p>
            <w:pPr>
              <w:jc w:val="both"/>
              <w:rPr>
                <w:rFonts w:ascii="Arial" w:hAnsi="Arial" w:cs="Arial"/>
              </w:rPr>
            </w:pPr>
            <w:r>
              <w:rPr>
                <w:rFonts w:ascii="Arial" w:hAnsi="Arial" w:cs="Arial"/>
              </w:rPr>
              <w:t>Warming can enhance the rate of decomposition of soil organic matter, creating positive climate change feedback. But if the inputs of carbon from vegetation exceed decomposition, the feedback will be negative</w:t>
            </w:r>
          </w:p>
        </w:tc>
        <w:tc>
          <w:tcPr>
            <w:tcW w:w="1933" w:type="dxa"/>
          </w:tcPr>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r>
              <w:rPr>
                <w:rFonts w:ascii="Arial" w:hAnsi="Arial" w:cs="Arial"/>
              </w:rPr>
              <w:t>Davidson &amp; Janssens (2006)</w:t>
            </w:r>
          </w:p>
        </w:tc>
      </w:tr>
      <w:tr>
        <w:tc>
          <w:tcPr>
            <w:tcW w:w="1980" w:type="dxa"/>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Precipitation</w:t>
            </w:r>
          </w:p>
        </w:tc>
        <w:tc>
          <w:tcPr>
            <w:tcW w:w="5103" w:type="dxa"/>
          </w:tcPr>
          <w:p>
            <w:pPr>
              <w:jc w:val="both"/>
              <w:rPr>
                <w:rFonts w:ascii="Arial" w:hAnsi="Arial" w:cs="Arial"/>
              </w:rPr>
            </w:pPr>
            <w:r>
              <w:rPr>
                <w:rFonts w:ascii="Arial" w:hAnsi="Arial" w:cs="Arial"/>
              </w:rPr>
              <w:t>Lower precipitation might result in increased storage in soil organic layer and mineral soil carbon. This is largely attributed to reduced rates of decomposition and increased chemical recalcitrance of organic matter.</w:t>
            </w:r>
          </w:p>
        </w:tc>
        <w:tc>
          <w:tcPr>
            <w:tcW w:w="1933" w:type="dxa"/>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Campo &amp; Merino (2016)</w:t>
            </w:r>
          </w:p>
        </w:tc>
      </w:tr>
      <w:tr>
        <w:tc>
          <w:tcPr>
            <w:tcW w:w="1980" w:type="dxa"/>
          </w:tcPr>
          <w:p>
            <w:pPr>
              <w:jc w:val="center"/>
              <w:rPr>
                <w:rFonts w:ascii="Arial" w:hAnsi="Arial" w:cs="Arial"/>
              </w:rPr>
            </w:pPr>
          </w:p>
          <w:p>
            <w:pPr>
              <w:rPr>
                <w:rFonts w:ascii="Arial" w:hAnsi="Arial" w:cs="Arial"/>
              </w:rPr>
            </w:pPr>
          </w:p>
          <w:p>
            <w:pPr>
              <w:jc w:val="center"/>
              <w:rPr>
                <w:rFonts w:ascii="Arial" w:hAnsi="Arial" w:cs="Arial"/>
              </w:rPr>
            </w:pPr>
          </w:p>
          <w:p>
            <w:pPr>
              <w:jc w:val="center"/>
              <w:rPr>
                <w:rFonts w:ascii="Arial" w:hAnsi="Arial" w:cs="Arial"/>
              </w:rPr>
            </w:pPr>
            <w:r>
              <w:rPr>
                <w:rFonts w:ascii="Arial" w:hAnsi="Arial" w:cs="Arial"/>
              </w:rPr>
              <w:t xml:space="preserve">Pre-Monsoon </w:t>
            </w:r>
          </w:p>
          <w:p>
            <w:pPr>
              <w:jc w:val="center"/>
              <w:rPr>
                <w:rFonts w:ascii="Arial" w:hAnsi="Arial" w:cs="Arial"/>
              </w:rPr>
            </w:pPr>
            <w:r>
              <w:rPr>
                <w:rFonts w:ascii="Arial" w:hAnsi="Arial" w:cs="Arial"/>
              </w:rPr>
              <w:lastRenderedPageBreak/>
              <w:t>(Seasonal Effect)</w:t>
            </w:r>
          </w:p>
        </w:tc>
        <w:tc>
          <w:tcPr>
            <w:tcW w:w="5103" w:type="dxa"/>
          </w:tcPr>
          <w:p>
            <w:pPr>
              <w:jc w:val="both"/>
              <w:rPr>
                <w:rFonts w:ascii="Arial" w:hAnsi="Arial" w:cs="Arial"/>
              </w:rPr>
            </w:pPr>
            <w:r>
              <w:rPr>
                <w:rFonts w:ascii="Arial" w:hAnsi="Arial" w:cs="Arial"/>
              </w:rPr>
              <w:lastRenderedPageBreak/>
              <w:t>CO</w:t>
            </w:r>
            <w:r>
              <w:rPr>
                <w:rFonts w:ascii="Arial" w:hAnsi="Arial" w:cs="Arial"/>
                <w:vertAlign w:val="subscript"/>
              </w:rPr>
              <w:t>2</w:t>
            </w:r>
            <w:r>
              <w:rPr>
                <w:rFonts w:ascii="Arial" w:hAnsi="Arial" w:cs="Arial"/>
              </w:rPr>
              <w:t xml:space="preserve"> absorption due to rising temperature and radiation. Plants have high growth and respiration rates as well as CO</w:t>
            </w:r>
            <w:r>
              <w:rPr>
                <w:rFonts w:ascii="Arial" w:hAnsi="Arial" w:cs="Arial"/>
                <w:vertAlign w:val="subscript"/>
              </w:rPr>
              <w:t>2</w:t>
            </w:r>
            <w:r>
              <w:rPr>
                <w:rFonts w:ascii="Arial" w:hAnsi="Arial" w:cs="Arial"/>
              </w:rPr>
              <w:t xml:space="preserve"> uptake during this time, with highest daily evapotranspiration </w:t>
            </w:r>
            <w:r>
              <w:rPr>
                <w:rFonts w:ascii="Arial" w:hAnsi="Arial" w:cs="Arial"/>
              </w:rPr>
              <w:lastRenderedPageBreak/>
              <w:t>and photosynthesis rates that are most strongly coupled. It is dominated by the largest daily gross primary productivity (GPP) and evapotranspiration rates.</w:t>
            </w:r>
          </w:p>
        </w:tc>
        <w:tc>
          <w:tcPr>
            <w:tcW w:w="1933" w:type="dxa"/>
            <w:vMerge w:val="restart"/>
          </w:tcPr>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r>
              <w:rPr>
                <w:rFonts w:ascii="Arial" w:hAnsi="Arial" w:cs="Arial"/>
              </w:rPr>
              <w:t>Deb Burman et al. (2020)</w:t>
            </w:r>
          </w:p>
        </w:tc>
      </w:tr>
      <w:tr>
        <w:tc>
          <w:tcPr>
            <w:tcW w:w="1980" w:type="dxa"/>
          </w:tcPr>
          <w:p>
            <w:pPr>
              <w:jc w:val="center"/>
              <w:rPr>
                <w:rFonts w:ascii="Arial" w:hAnsi="Arial" w:cs="Arial"/>
              </w:rPr>
            </w:pPr>
          </w:p>
          <w:p>
            <w:pPr>
              <w:rPr>
                <w:rFonts w:ascii="Arial" w:hAnsi="Arial" w:cs="Arial"/>
              </w:rPr>
            </w:pPr>
          </w:p>
          <w:p>
            <w:pPr>
              <w:jc w:val="center"/>
              <w:rPr>
                <w:rFonts w:ascii="Arial" w:hAnsi="Arial" w:cs="Arial"/>
              </w:rPr>
            </w:pPr>
            <w:r>
              <w:rPr>
                <w:rFonts w:ascii="Arial" w:hAnsi="Arial" w:cs="Arial"/>
              </w:rPr>
              <w:t xml:space="preserve">Monsoon </w:t>
            </w:r>
          </w:p>
          <w:p>
            <w:pPr>
              <w:jc w:val="center"/>
              <w:rPr>
                <w:rFonts w:ascii="Arial" w:hAnsi="Arial" w:cs="Arial"/>
              </w:rPr>
            </w:pPr>
            <w:r>
              <w:rPr>
                <w:rFonts w:ascii="Arial" w:hAnsi="Arial" w:cs="Arial"/>
              </w:rPr>
              <w:t>(Seasonal Effect)</w:t>
            </w:r>
          </w:p>
        </w:tc>
        <w:tc>
          <w:tcPr>
            <w:tcW w:w="5103" w:type="dxa"/>
          </w:tcPr>
          <w:p>
            <w:pPr>
              <w:jc w:val="both"/>
              <w:rPr>
                <w:rFonts w:ascii="Arial" w:hAnsi="Arial" w:cs="Arial"/>
              </w:rPr>
            </w:pPr>
            <w:r>
              <w:rPr>
                <w:rFonts w:ascii="Arial" w:hAnsi="Arial" w:cs="Arial"/>
              </w:rPr>
              <w:t>The monsoon season brings about a bimodal regime in gross primary productivity (GPP) in a tropical semi-evergreen forest of North-East India. Heavy cloud cover that inhibits photosynthesis and reduces incoming solar radiation during June and July results in a decline in GPP</w:t>
            </w:r>
          </w:p>
        </w:tc>
        <w:tc>
          <w:tcPr>
            <w:tcW w:w="1933" w:type="dxa"/>
            <w:vMerge/>
          </w:tcPr>
          <w:p>
            <w:pPr>
              <w:jc w:val="both"/>
              <w:rPr>
                <w:rFonts w:ascii="Arial" w:hAnsi="Arial" w:cs="Arial"/>
              </w:rPr>
            </w:pPr>
          </w:p>
        </w:tc>
      </w:tr>
      <w:tr>
        <w:tc>
          <w:tcPr>
            <w:tcW w:w="1980" w:type="dxa"/>
          </w:tcPr>
          <w:p>
            <w:pPr>
              <w:jc w:val="center"/>
              <w:rPr>
                <w:rFonts w:ascii="Arial" w:hAnsi="Arial" w:cs="Arial"/>
              </w:rPr>
            </w:pPr>
          </w:p>
          <w:p>
            <w:pPr>
              <w:rPr>
                <w:rFonts w:ascii="Arial" w:hAnsi="Arial" w:cs="Arial"/>
              </w:rPr>
            </w:pPr>
          </w:p>
          <w:p>
            <w:pPr>
              <w:jc w:val="center"/>
              <w:rPr>
                <w:rFonts w:ascii="Arial" w:hAnsi="Arial" w:cs="Arial"/>
              </w:rPr>
            </w:pPr>
            <w:r>
              <w:rPr>
                <w:rFonts w:ascii="Arial" w:hAnsi="Arial" w:cs="Arial"/>
              </w:rPr>
              <w:t xml:space="preserve">Post-Monsoon </w:t>
            </w:r>
          </w:p>
          <w:p>
            <w:pPr>
              <w:jc w:val="center"/>
              <w:rPr>
                <w:rFonts w:ascii="Arial" w:hAnsi="Arial" w:cs="Arial"/>
              </w:rPr>
            </w:pPr>
            <w:r>
              <w:rPr>
                <w:rFonts w:ascii="Arial" w:hAnsi="Arial" w:cs="Arial"/>
              </w:rPr>
              <w:t>(Seasonal Effect)</w:t>
            </w:r>
          </w:p>
        </w:tc>
        <w:tc>
          <w:tcPr>
            <w:tcW w:w="5103" w:type="dxa"/>
          </w:tcPr>
          <w:p>
            <w:pPr>
              <w:jc w:val="both"/>
              <w:rPr>
                <w:rFonts w:ascii="Arial" w:hAnsi="Arial" w:cs="Arial"/>
              </w:rPr>
            </w:pPr>
            <w:r>
              <w:rPr>
                <w:rFonts w:ascii="Arial" w:hAnsi="Arial" w:cs="Arial"/>
              </w:rPr>
              <w:t>As the monsoon recedes, temperature and radiation fall, inhibiting both photosynthetic uptake and respiration. The ecosystem remains a net source of CO</w:t>
            </w:r>
            <w:r>
              <w:rPr>
                <w:rFonts w:ascii="Arial" w:hAnsi="Arial" w:cs="Arial"/>
                <w:vertAlign w:val="subscript"/>
              </w:rPr>
              <w:t>2</w:t>
            </w:r>
            <w:r>
              <w:rPr>
                <w:rFonts w:ascii="Arial" w:hAnsi="Arial" w:cs="Arial"/>
              </w:rPr>
              <w:t xml:space="preserve"> for this season. CO</w:t>
            </w:r>
            <w:r>
              <w:rPr>
                <w:rFonts w:ascii="Arial" w:hAnsi="Arial" w:cs="Arial"/>
                <w:vertAlign w:val="subscript"/>
              </w:rPr>
              <w:t>2</w:t>
            </w:r>
            <w:r>
              <w:rPr>
                <w:rFonts w:ascii="Arial" w:hAnsi="Arial" w:cs="Arial"/>
              </w:rPr>
              <w:t xml:space="preserve"> uptake is similar to pre-monsoon and monsoon periods, but the general direction of NEE is positive.</w:t>
            </w:r>
          </w:p>
        </w:tc>
        <w:tc>
          <w:tcPr>
            <w:tcW w:w="1933" w:type="dxa"/>
            <w:vMerge/>
          </w:tcPr>
          <w:p>
            <w:pPr>
              <w:jc w:val="both"/>
              <w:rPr>
                <w:rFonts w:ascii="Arial" w:hAnsi="Arial" w:cs="Arial"/>
              </w:rPr>
            </w:pPr>
          </w:p>
        </w:tc>
      </w:tr>
      <w:tr>
        <w:tc>
          <w:tcPr>
            <w:tcW w:w="1980" w:type="dxa"/>
          </w:tcPr>
          <w:p>
            <w:pPr>
              <w:jc w:val="center"/>
              <w:rPr>
                <w:rFonts w:ascii="Arial" w:hAnsi="Arial" w:cs="Arial"/>
              </w:rPr>
            </w:pPr>
            <w:r>
              <w:rPr>
                <w:rFonts w:ascii="Arial" w:hAnsi="Arial" w:cs="Arial"/>
              </w:rPr>
              <w:t xml:space="preserve">Winter </w:t>
            </w:r>
          </w:p>
          <w:p>
            <w:pPr>
              <w:jc w:val="center"/>
              <w:rPr>
                <w:rFonts w:ascii="Arial" w:hAnsi="Arial" w:cs="Arial"/>
              </w:rPr>
            </w:pPr>
            <w:r>
              <w:rPr>
                <w:rFonts w:ascii="Arial" w:hAnsi="Arial" w:cs="Arial"/>
              </w:rPr>
              <w:t>(Seasonal Effect)</w:t>
            </w:r>
          </w:p>
        </w:tc>
        <w:tc>
          <w:tcPr>
            <w:tcW w:w="5103" w:type="dxa"/>
          </w:tcPr>
          <w:p>
            <w:pPr>
              <w:jc w:val="both"/>
              <w:rPr>
                <w:rFonts w:ascii="Arial" w:hAnsi="Arial" w:cs="Arial"/>
              </w:rPr>
            </w:pPr>
            <w:r>
              <w:rPr>
                <w:rFonts w:ascii="Arial" w:hAnsi="Arial" w:cs="Arial"/>
              </w:rPr>
              <w:t>least favourable season for photosynthetic</w:t>
            </w:r>
          </w:p>
        </w:tc>
        <w:tc>
          <w:tcPr>
            <w:tcW w:w="1933" w:type="dxa"/>
            <w:vMerge/>
          </w:tcPr>
          <w:p>
            <w:pPr>
              <w:jc w:val="both"/>
              <w:rPr>
                <w:rFonts w:ascii="Arial" w:hAnsi="Arial" w:cs="Arial"/>
              </w:rPr>
            </w:pPr>
          </w:p>
        </w:tc>
      </w:tr>
      <w:tr>
        <w:tc>
          <w:tcPr>
            <w:tcW w:w="1980" w:type="dxa"/>
          </w:tcPr>
          <w:p>
            <w:pPr>
              <w:jc w:val="center"/>
              <w:rPr>
                <w:rFonts w:ascii="Arial" w:hAnsi="Arial" w:cs="Arial"/>
              </w:rPr>
            </w:pPr>
            <w:r>
              <w:rPr>
                <w:rFonts w:ascii="Arial" w:hAnsi="Arial" w:cs="Arial"/>
              </w:rPr>
              <w:t xml:space="preserve"> </w:t>
            </w:r>
          </w:p>
          <w:p>
            <w:pPr>
              <w:jc w:val="center"/>
              <w:rPr>
                <w:rFonts w:ascii="Arial" w:hAnsi="Arial" w:cs="Arial"/>
              </w:rPr>
            </w:pPr>
            <w:r>
              <w:rPr>
                <w:rFonts w:ascii="Arial" w:hAnsi="Arial" w:cs="Arial"/>
              </w:rPr>
              <w:t>Extreme weather events</w:t>
            </w:r>
          </w:p>
        </w:tc>
        <w:tc>
          <w:tcPr>
            <w:tcW w:w="5103" w:type="dxa"/>
          </w:tcPr>
          <w:p>
            <w:pPr>
              <w:jc w:val="both"/>
              <w:rPr>
                <w:rFonts w:ascii="Arial" w:hAnsi="Arial" w:cs="Arial"/>
              </w:rPr>
            </w:pPr>
            <w:r>
              <w:rPr>
                <w:rFonts w:ascii="Arial" w:hAnsi="Arial" w:cs="Arial"/>
              </w:rPr>
              <w:t>Droughts, floods and storms damage soil structure, vegetation, and erosion, reducing soil carbon sequestration</w:t>
            </w:r>
          </w:p>
        </w:tc>
        <w:tc>
          <w:tcPr>
            <w:tcW w:w="1933" w:type="dxa"/>
          </w:tcPr>
          <w:p>
            <w:pPr>
              <w:jc w:val="both"/>
              <w:rPr>
                <w:rFonts w:ascii="Arial" w:hAnsi="Arial" w:cs="Arial"/>
              </w:rPr>
            </w:pPr>
            <w:r>
              <w:rPr>
                <w:rFonts w:ascii="Arial" w:hAnsi="Arial" w:cs="Arial"/>
              </w:rPr>
              <w:t xml:space="preserve"> </w:t>
            </w:r>
          </w:p>
          <w:p>
            <w:pPr>
              <w:jc w:val="center"/>
              <w:rPr>
                <w:rFonts w:ascii="Arial" w:hAnsi="Arial" w:cs="Arial"/>
              </w:rPr>
            </w:pPr>
          </w:p>
          <w:p>
            <w:pPr>
              <w:jc w:val="center"/>
              <w:rPr>
                <w:rFonts w:ascii="Arial" w:hAnsi="Arial" w:cs="Arial"/>
              </w:rPr>
            </w:pPr>
            <w:r>
              <w:rPr>
                <w:rFonts w:ascii="Arial" w:hAnsi="Arial" w:cs="Arial"/>
              </w:rPr>
              <w:t>Saco et al. (2021)</w:t>
            </w:r>
          </w:p>
        </w:tc>
      </w:tr>
    </w:tbl>
    <w:p>
      <w:pPr>
        <w:jc w:val="both"/>
        <w:rPr>
          <w:rFonts w:ascii="Arial" w:hAnsi="Arial" w:cs="Arial"/>
        </w:rPr>
      </w:pPr>
      <w:r>
        <w:rPr>
          <w:rFonts w:ascii="Arial" w:hAnsi="Arial" w:cs="Arial"/>
          <w:b/>
          <w:bCs/>
          <w:noProof/>
        </w:rPr>
        <w:drawing>
          <wp:anchor distT="0" distB="0" distL="114300" distR="114300" simplePos="0" relativeHeight="251660288" behindDoc="0" locked="0" layoutInCell="1" allowOverlap="1">
            <wp:simplePos x="0" y="0"/>
            <wp:positionH relativeFrom="column">
              <wp:posOffset>1257300</wp:posOffset>
            </wp:positionH>
            <wp:positionV relativeFrom="paragraph">
              <wp:posOffset>285115</wp:posOffset>
            </wp:positionV>
            <wp:extent cx="3572510" cy="2178050"/>
            <wp:effectExtent l="19050" t="19050" r="27940" b="12700"/>
            <wp:wrapNone/>
            <wp:docPr id="1957741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2510" cy="2178050"/>
                    </a:xfrm>
                    <a:prstGeom prst="rect">
                      <a:avLst/>
                    </a:prstGeom>
                    <a:noFill/>
                    <a:ln w="19050">
                      <a:solidFill>
                        <a:schemeClr val="tx1">
                          <a:lumMod val="95000"/>
                          <a:lumOff val="5000"/>
                        </a:schemeClr>
                      </a:solidFill>
                    </a:ln>
                  </pic:spPr>
                </pic:pic>
              </a:graphicData>
            </a:graphic>
            <wp14:sizeRelH relativeFrom="margin">
              <wp14:pctWidth>0</wp14:pctWidth>
            </wp14:sizeRelH>
            <wp14:sizeRelV relativeFrom="margin">
              <wp14:pctHeight>0</wp14:pctHeight>
            </wp14:sizeRelV>
          </wp:anchor>
        </w:drawing>
      </w:r>
      <w:r>
        <w:rPr>
          <w:rFonts w:ascii="Arial" w:hAnsi="Arial" w:cs="Arial"/>
          <w:b/>
          <w:bCs/>
        </w:rPr>
        <w:t>3.4. Management practice</w:t>
      </w:r>
    </w:p>
    <w:p>
      <w:pPr>
        <w:jc w:val="both"/>
        <w:rPr>
          <w:rFonts w:ascii="Arial" w:hAnsi="Arial" w:cs="Arial"/>
          <w:b/>
          <w:bCs/>
        </w:rPr>
      </w:pPr>
    </w:p>
    <w:p>
      <w:pPr>
        <w:jc w:val="both"/>
        <w:rPr>
          <w:rFonts w:ascii="Arial" w:hAnsi="Arial" w:cs="Arial"/>
          <w:b/>
          <w:bCs/>
        </w:rPr>
      </w:pPr>
    </w:p>
    <w:p>
      <w:pPr>
        <w:jc w:val="both"/>
        <w:rPr>
          <w:rFonts w:ascii="Arial" w:hAnsi="Arial" w:cs="Arial"/>
          <w:b/>
          <w:bCs/>
        </w:rPr>
      </w:pPr>
    </w:p>
    <w:p>
      <w:pPr>
        <w:jc w:val="both"/>
        <w:rPr>
          <w:rFonts w:ascii="Arial" w:hAnsi="Arial" w:cs="Arial"/>
          <w:b/>
          <w:bCs/>
        </w:rPr>
      </w:pPr>
    </w:p>
    <w:p>
      <w:pPr>
        <w:jc w:val="both"/>
        <w:rPr>
          <w:rFonts w:ascii="Arial" w:hAnsi="Arial" w:cs="Arial"/>
          <w:b/>
          <w:bCs/>
        </w:rPr>
      </w:pPr>
    </w:p>
    <w:p>
      <w:pPr>
        <w:jc w:val="both"/>
        <w:rPr>
          <w:rFonts w:ascii="Arial" w:hAnsi="Arial" w:cs="Arial"/>
          <w:b/>
          <w:bCs/>
        </w:rPr>
      </w:pPr>
    </w:p>
    <w:p>
      <w:pPr>
        <w:spacing w:after="0"/>
        <w:jc w:val="both"/>
        <w:rPr>
          <w:rFonts w:ascii="Arial" w:hAnsi="Arial" w:cs="Arial"/>
          <w:b/>
          <w:bCs/>
        </w:rPr>
      </w:pPr>
    </w:p>
    <w:p>
      <w:pPr>
        <w:spacing w:after="0"/>
        <w:jc w:val="both"/>
        <w:rPr>
          <w:rFonts w:ascii="Arial" w:hAnsi="Arial" w:cs="Arial"/>
          <w:b/>
          <w:bCs/>
        </w:rPr>
      </w:pPr>
    </w:p>
    <w:p>
      <w:pPr>
        <w:spacing w:after="0"/>
        <w:jc w:val="both"/>
        <w:rPr>
          <w:rFonts w:ascii="Arial" w:hAnsi="Arial" w:cs="Arial"/>
        </w:rPr>
      </w:pPr>
      <w:r>
        <w:rPr>
          <w:rFonts w:ascii="Arial" w:hAnsi="Arial" w:cs="Arial"/>
          <w:b/>
          <w:bCs/>
        </w:rPr>
        <w:t xml:space="preserve">   </w:t>
      </w:r>
      <w:r>
        <w:rPr>
          <w:rFonts w:ascii="Arial" w:hAnsi="Arial" w:cs="Arial"/>
        </w:rPr>
        <w:t>Fig.3. Graphical representation of different management practice for improving</w:t>
      </w:r>
    </w:p>
    <w:p>
      <w:pPr>
        <w:spacing w:after="0"/>
        <w:jc w:val="both"/>
        <w:rPr>
          <w:rFonts w:ascii="Arial" w:hAnsi="Arial" w:cs="Arial"/>
        </w:rPr>
      </w:pPr>
      <w:r>
        <w:rPr>
          <w:rFonts w:ascii="Arial" w:hAnsi="Arial" w:cs="Arial"/>
        </w:rPr>
        <w:t xml:space="preserve">             carbon sequestration </w:t>
      </w:r>
    </w:p>
    <w:p>
      <w:pPr>
        <w:jc w:val="both"/>
        <w:rPr>
          <w:b/>
          <w:bCs/>
        </w:rPr>
      </w:pPr>
    </w:p>
    <w:p>
      <w:pPr>
        <w:jc w:val="both"/>
        <w:rPr>
          <w:rFonts w:ascii="Arial" w:hAnsi="Arial" w:cs="Arial"/>
          <w:b/>
          <w:bCs/>
        </w:rPr>
      </w:pPr>
      <w:r>
        <w:rPr>
          <w:rFonts w:ascii="Arial" w:hAnsi="Arial" w:cs="Arial"/>
          <w:b/>
          <w:bCs/>
        </w:rPr>
        <w:t>3.4.1. Minimum tillage</w:t>
      </w:r>
    </w:p>
    <w:p>
      <w:pPr>
        <w:ind w:firstLine="720"/>
        <w:jc w:val="both"/>
        <w:rPr>
          <w:rFonts w:ascii="Arial" w:hAnsi="Arial" w:cs="Arial"/>
          <w:b/>
          <w:bCs/>
        </w:rPr>
      </w:pPr>
      <w:r>
        <w:rPr>
          <w:rFonts w:ascii="Arial" w:hAnsi="Arial" w:cs="Arial"/>
        </w:rPr>
        <w:t xml:space="preserve">Minimum tillage is better than conventional tillage for maximizing soil organic carbon (SOC) because it leads to less oxidative loss of organic matter (Sudha &amp; George, 2011). Similarly, Khan and </w:t>
      </w:r>
      <w:proofErr w:type="spellStart"/>
      <w:r>
        <w:rPr>
          <w:rFonts w:ascii="Arial" w:hAnsi="Arial" w:cs="Arial"/>
        </w:rPr>
        <w:t>Parvej</w:t>
      </w:r>
      <w:proofErr w:type="spellEnd"/>
      <w:r>
        <w:rPr>
          <w:rFonts w:ascii="Arial" w:hAnsi="Arial" w:cs="Arial"/>
        </w:rPr>
        <w:t xml:space="preserve"> (2010) found that mulch and zero-till soil </w:t>
      </w:r>
      <w:r>
        <w:rPr>
          <w:rFonts w:ascii="Arial" w:hAnsi="Arial" w:cs="Arial"/>
        </w:rPr>
        <w:lastRenderedPageBreak/>
        <w:t>had the highest water-retentive capacity across all crop growth stages, which they attributed to the conservation of soil organic matter (SOM).</w:t>
      </w:r>
    </w:p>
    <w:p>
      <w:pPr>
        <w:jc w:val="both"/>
        <w:rPr>
          <w:rFonts w:ascii="Arial" w:hAnsi="Arial" w:cs="Arial"/>
          <w:b/>
          <w:bCs/>
        </w:rPr>
      </w:pPr>
      <w:r>
        <w:rPr>
          <w:rFonts w:ascii="Arial" w:hAnsi="Arial" w:cs="Arial"/>
          <w:b/>
          <w:bCs/>
        </w:rPr>
        <w:t>3.4.2. INM (Integrated Nutrient Management)</w:t>
      </w:r>
    </w:p>
    <w:p>
      <w:pPr>
        <w:ind w:firstLine="720"/>
        <w:jc w:val="both"/>
        <w:rPr>
          <w:rFonts w:ascii="Arial" w:hAnsi="Arial" w:cs="Arial"/>
        </w:rPr>
      </w:pPr>
      <w:r>
        <w:rPr>
          <w:rFonts w:ascii="Arial" w:hAnsi="Arial" w:cs="Arial"/>
        </w:rPr>
        <w:t>Integrated Nutrient Management (INM) is an eco-friendly farming technique which combines application of organic, inorganic, and biological sources of nutrients to sustain soil fertility and regulate plant nutrient supply for long-term crop productivity. Adding soil amendment also improve the carbon sequestration. According to Shinde et al. (2020) Specifically, a treatment with 75% Recommended Dose of Fertilizers (RDF) and 25% organic N sequestered the highest amount of above-ground carbon stock at 31.1 t ha</w:t>
      </w:r>
      <w:r>
        <w:rPr>
          <w:rFonts w:ascii="Arial" w:hAnsi="Arial" w:cs="Arial"/>
          <w:vertAlign w:val="superscript"/>
        </w:rPr>
        <w:t>−1</w:t>
      </w:r>
      <w:r>
        <w:rPr>
          <w:rFonts w:ascii="Arial" w:hAnsi="Arial" w:cs="Arial"/>
        </w:rPr>
        <w:t xml:space="preserve"> nutmeg, cinnamon, banana and pineapple with coconut based intercropping system but a treatment using 100% organic N resulted in the highest soil carbon stock in the coconut rhizosphere, reaching 42.3 t ha</w:t>
      </w:r>
      <w:r>
        <w:rPr>
          <w:rFonts w:ascii="Arial" w:hAnsi="Arial" w:cs="Arial"/>
          <w:vertAlign w:val="superscript"/>
        </w:rPr>
        <w:t>−1</w:t>
      </w:r>
      <w:r>
        <w:rPr>
          <w:rFonts w:ascii="Arial" w:hAnsi="Arial" w:cs="Arial"/>
        </w:rPr>
        <w:t>. INM has more carbon sequestration compare to monoculture coconut system.</w:t>
      </w:r>
    </w:p>
    <w:p>
      <w:pPr>
        <w:jc w:val="both"/>
        <w:rPr>
          <w:rFonts w:ascii="Arial" w:hAnsi="Arial" w:cs="Arial"/>
          <w:b/>
          <w:bCs/>
        </w:rPr>
      </w:pPr>
      <w:r>
        <w:rPr>
          <w:rFonts w:ascii="Arial" w:hAnsi="Arial" w:cs="Arial"/>
          <w:b/>
          <w:bCs/>
        </w:rPr>
        <w:t>3.4.3. Crop residue management</w:t>
      </w:r>
    </w:p>
    <w:p>
      <w:pPr>
        <w:ind w:firstLine="720"/>
        <w:jc w:val="both"/>
        <w:rPr>
          <w:rFonts w:ascii="Arial" w:hAnsi="Arial" w:cs="Arial"/>
        </w:rPr>
      </w:pPr>
      <w:r>
        <w:rPr>
          <w:rFonts w:ascii="Arial" w:hAnsi="Arial" w:cs="Arial"/>
        </w:rPr>
        <w:t xml:space="preserve">Coconut husk burial, basin management with leguminous crop and liming is the major managing strategies for the improvement of carbon sequestration in coconut. Coconut husk burial is a successful technology for the retention of soil moisture, increasing the water holding capacity of the soil, enhancing the available potassium status of the soil, enhancing the nutrient holding. Green manure crops growing in the coconut basin is an efficient measure to enhance the microbial activity and soil organic matter (Thomas and </w:t>
      </w:r>
      <w:proofErr w:type="spellStart"/>
      <w:r>
        <w:rPr>
          <w:rFonts w:ascii="Arial" w:hAnsi="Arial" w:cs="Arial"/>
        </w:rPr>
        <w:t>Shantaram</w:t>
      </w:r>
      <w:proofErr w:type="spellEnd"/>
      <w:r>
        <w:rPr>
          <w:rFonts w:ascii="Arial" w:hAnsi="Arial" w:cs="Arial"/>
        </w:rPr>
        <w:t xml:space="preserve">, 1984). It has been found that applying a sufficient quantity of liming materials increased the soil's calcium availability caused earthworms to proliferate in the soil, accelerating the organic matter's turnover (Mathew, </w:t>
      </w:r>
      <w:proofErr w:type="spellStart"/>
      <w:r>
        <w:rPr>
          <w:rFonts w:ascii="Arial" w:hAnsi="Arial" w:cs="Arial"/>
        </w:rPr>
        <w:t>Haris</w:t>
      </w:r>
      <w:proofErr w:type="spellEnd"/>
      <w:r>
        <w:rPr>
          <w:rFonts w:ascii="Arial" w:hAnsi="Arial" w:cs="Arial"/>
        </w:rPr>
        <w:t xml:space="preserve">, &amp; </w:t>
      </w:r>
      <w:proofErr w:type="spellStart"/>
      <w:r>
        <w:rPr>
          <w:rFonts w:ascii="Arial" w:hAnsi="Arial" w:cs="Arial"/>
        </w:rPr>
        <w:t>Anithakumari</w:t>
      </w:r>
      <w:proofErr w:type="spellEnd"/>
      <w:r>
        <w:rPr>
          <w:rFonts w:ascii="Arial" w:hAnsi="Arial" w:cs="Arial"/>
        </w:rPr>
        <w:t>, 2023).</w:t>
      </w:r>
    </w:p>
    <w:p>
      <w:pPr>
        <w:jc w:val="both"/>
        <w:rPr>
          <w:rFonts w:ascii="Arial" w:hAnsi="Arial" w:cs="Arial"/>
          <w:b/>
          <w:bCs/>
        </w:rPr>
      </w:pPr>
      <w:r>
        <w:rPr>
          <w:rFonts w:ascii="Arial" w:hAnsi="Arial" w:cs="Arial"/>
          <w:b/>
          <w:bCs/>
        </w:rPr>
        <w:t>4. Estimation of carbon sequestration in coconut palms</w:t>
      </w:r>
    </w:p>
    <w:p>
      <w:pPr>
        <w:ind w:firstLine="720"/>
        <w:jc w:val="both"/>
        <w:rPr>
          <w:rFonts w:ascii="Arial" w:hAnsi="Arial" w:cs="Arial"/>
        </w:rPr>
      </w:pPr>
      <w:r>
        <w:rPr>
          <w:rFonts w:ascii="Arial" w:hAnsi="Arial" w:cs="Arial"/>
        </w:rPr>
        <w:t xml:space="preserve">The total carbon stock in any land-based ecosystem is made up of carbon from the soil, dead organic matter and living things (Koala et al., 2017). Within these ecosystems, Eggleston et al. (2006) found five distinct carbon pools: soil organic matter, woody debris, litter, above-ground biomass (AGB), and below-ground biomass (BGB). Hamburg (2000) offered the level of precision necessary to measure each pool profitably </w:t>
      </w:r>
      <w:proofErr w:type="spellStart"/>
      <w:r>
        <w:rPr>
          <w:rFonts w:ascii="Arial" w:hAnsi="Arial" w:cs="Arial"/>
          <w:i/>
          <w:iCs/>
        </w:rPr>
        <w:t>i.e</w:t>
      </w:r>
      <w:proofErr w:type="spellEnd"/>
      <w:r>
        <w:rPr>
          <w:rFonts w:ascii="Arial" w:hAnsi="Arial" w:cs="Arial"/>
        </w:rPr>
        <w:t xml:space="preserve"> Allometric equations based on stem diameter are used to measure living trees non-destructively. Destructive methods are used to quantify litter (both fine and coarse/standing) and vegetation (including trees with a diameter of less than 5 cm). and a lot of methods are available for measurement of carbon sequestration in coconut</w:t>
      </w:r>
    </w:p>
    <w:p>
      <w:pPr>
        <w:ind w:firstLine="720"/>
        <w:jc w:val="both"/>
        <w:rPr>
          <w:rFonts w:ascii="Arial" w:hAnsi="Arial" w:cs="Arial"/>
        </w:rPr>
      </w:pPr>
    </w:p>
    <w:p>
      <w:pPr>
        <w:ind w:firstLine="720"/>
        <w:jc w:val="both"/>
        <w:rPr>
          <w:rFonts w:ascii="Arial" w:hAnsi="Arial" w:cs="Arial"/>
        </w:rPr>
      </w:pPr>
      <w:r>
        <w:rPr>
          <w:rFonts w:ascii="Arial" w:hAnsi="Arial" w:cs="Arial"/>
          <w:noProof/>
        </w:rPr>
        <w:drawing>
          <wp:anchor distT="0" distB="0" distL="114300" distR="114300" simplePos="0" relativeHeight="251665408" behindDoc="0" locked="0" layoutInCell="1" allowOverlap="1">
            <wp:simplePos x="0" y="0"/>
            <wp:positionH relativeFrom="column">
              <wp:posOffset>16298</wp:posOffset>
            </wp:positionH>
            <wp:positionV relativeFrom="paragraph">
              <wp:posOffset>-333799</wp:posOffset>
            </wp:positionV>
            <wp:extent cx="5492115" cy="2065020"/>
            <wp:effectExtent l="38100" t="38100" r="32385" b="30480"/>
            <wp:wrapNone/>
            <wp:docPr id="27014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92115" cy="2065020"/>
                    </a:xfrm>
                    <a:prstGeom prst="rect">
                      <a:avLst/>
                    </a:prstGeom>
                    <a:noFill/>
                    <a:ln w="28575">
                      <a:solidFill>
                        <a:schemeClr val="accent5">
                          <a:lumMod val="75000"/>
                        </a:schemeClr>
                      </a:solidFill>
                    </a:ln>
                  </pic:spPr>
                </pic:pic>
              </a:graphicData>
            </a:graphic>
          </wp:anchor>
        </w:drawing>
      </w:r>
    </w:p>
    <w:p>
      <w:pPr>
        <w:ind w:firstLine="720"/>
        <w:jc w:val="both"/>
        <w:rPr>
          <w:rFonts w:ascii="Arial" w:hAnsi="Arial" w:cs="Arial"/>
        </w:rPr>
      </w:pPr>
    </w:p>
    <w:p>
      <w:pPr>
        <w:ind w:firstLine="720"/>
        <w:jc w:val="both"/>
        <w:rPr>
          <w:rFonts w:ascii="Arial" w:hAnsi="Arial" w:cs="Arial"/>
        </w:rPr>
      </w:pPr>
    </w:p>
    <w:p>
      <w:pPr>
        <w:jc w:val="both"/>
        <w:rPr>
          <w:rFonts w:ascii="Arial" w:hAnsi="Arial" w:cs="Arial"/>
          <w:b/>
          <w:bCs/>
        </w:rPr>
      </w:pPr>
    </w:p>
    <w:p>
      <w:pPr>
        <w:jc w:val="both"/>
        <w:rPr>
          <w:rFonts w:ascii="Arial" w:hAnsi="Arial" w:cs="Arial"/>
          <w:b/>
          <w:bCs/>
        </w:rPr>
      </w:pPr>
    </w:p>
    <w:p>
      <w:pPr>
        <w:jc w:val="both"/>
        <w:rPr>
          <w:rFonts w:ascii="Arial" w:hAnsi="Arial" w:cs="Arial"/>
          <w:b/>
          <w:bCs/>
        </w:rPr>
      </w:pPr>
    </w:p>
    <w:p>
      <w:pPr>
        <w:jc w:val="both"/>
        <w:rPr>
          <w:rFonts w:ascii="Arial" w:hAnsi="Arial" w:cs="Arial"/>
        </w:rPr>
      </w:pPr>
      <w:r>
        <w:rPr>
          <w:rFonts w:ascii="Arial" w:hAnsi="Arial" w:cs="Arial"/>
        </w:rPr>
        <w:t>Fig.4. Different methods of estimation of carbon sequestration (Issa et al., 2019)</w:t>
      </w:r>
    </w:p>
    <w:p>
      <w:pPr>
        <w:jc w:val="both"/>
        <w:rPr>
          <w:rFonts w:ascii="Arial" w:hAnsi="Arial" w:cs="Arial"/>
          <w:b/>
          <w:bCs/>
        </w:rPr>
      </w:pPr>
      <w:r>
        <w:rPr>
          <w:rFonts w:ascii="Arial" w:hAnsi="Arial" w:cs="Arial"/>
          <w:b/>
          <w:bCs/>
        </w:rPr>
        <w:t>4.1. Estimation of Above Ground Biomass</w:t>
      </w:r>
    </w:p>
    <w:p>
      <w:pPr>
        <w:ind w:firstLine="720"/>
        <w:jc w:val="both"/>
        <w:rPr>
          <w:rFonts w:ascii="Arial" w:hAnsi="Arial" w:cs="Arial"/>
        </w:rPr>
      </w:pPr>
      <w:r>
        <w:rPr>
          <w:rFonts w:ascii="Arial" w:hAnsi="Arial" w:cs="Arial"/>
        </w:rPr>
        <w:t xml:space="preserve"> AGB is the most noticeable, important and dynamic element among them. For calculating above ground biomass different method used like conventional method and non-conventional method. Both destructive and non-destructive methods are part of the conventional approach. Destructive method is more accurate because it incorporates the destructive harvest approach. This method of estimating biomass is expensive, labour-intensive, time-consuming and only applicable to small areas. Furthermore, these techniques, which mostly rely on ground measurements and have the potential to severely harm the environment and destroy forests, may be illegal, especially when applied to trees</w:t>
      </w:r>
      <w:r>
        <w:rPr>
          <w:rFonts w:ascii="Arial" w:hAnsi="Arial" w:cs="Arial"/>
          <w:spacing w:val="1"/>
        </w:rPr>
        <w:t xml:space="preserve"> </w:t>
      </w:r>
      <w:r>
        <w:rPr>
          <w:rFonts w:ascii="Arial" w:hAnsi="Arial" w:cs="Arial"/>
        </w:rPr>
        <w:t xml:space="preserve">(Maulana et al., 2016). The non-destructive method includes allometric equation to calculate the plant biomass and unconventional techniques that make use of geographic information systems (GIS) and remote sensing (RS) are efficient in terms of time and money for calculating the plant biomass (Issa et al., 2019).  According to </w:t>
      </w:r>
      <w:proofErr w:type="spellStart"/>
      <w:r>
        <w:rPr>
          <w:rFonts w:ascii="Arial" w:hAnsi="Arial" w:cs="Arial"/>
        </w:rPr>
        <w:t>Antiporda</w:t>
      </w:r>
      <w:proofErr w:type="spellEnd"/>
      <w:r>
        <w:rPr>
          <w:rFonts w:ascii="Arial" w:hAnsi="Arial" w:cs="Arial"/>
        </w:rPr>
        <w:t xml:space="preserve"> et al. (2024), combining optical remote sensing and Synthetic Aperture Radar (SAR) data produced a reliable model for forecasting Above-Ground Biomass (AGB) with a low Root Mean Square Error (RMSE) of 0.143 and an R</w:t>
      </w:r>
      <w:r>
        <w:rPr>
          <w:rFonts w:ascii="Arial" w:hAnsi="Arial" w:cs="Arial"/>
          <w:vertAlign w:val="superscript"/>
        </w:rPr>
        <w:t>2</w:t>
      </w:r>
      <w:r>
        <w:rPr>
          <w:rFonts w:ascii="Arial" w:hAnsi="Arial" w:cs="Arial"/>
        </w:rPr>
        <w:t xml:space="preserve"> value of 0.72, the model showed excellent accuracy. Although remote sensing is great for assessing AGB on a large scale, it occasionally underestimates biomass. This is frequently caused by intricate vegetation structures, like thick canopies and different tree shapes, which can make it challenging for sensors to precisely measure the vegetation's entire vertical size and shape.</w:t>
      </w:r>
    </w:p>
    <w:p>
      <w:pPr>
        <w:jc w:val="both"/>
        <w:rPr>
          <w:rFonts w:ascii="Arial" w:hAnsi="Arial" w:cs="Arial"/>
        </w:rPr>
      </w:pPr>
      <w:r>
        <w:rPr>
          <w:rFonts w:ascii="Arial" w:hAnsi="Arial" w:cs="Arial"/>
        </w:rPr>
        <w:t xml:space="preserve">Table.4. Allometric equations for measuring the carbon sequestration in coconut </w:t>
      </w:r>
    </w:p>
    <w:tbl>
      <w:tblPr>
        <w:tblStyle w:val="TableGrid"/>
        <w:tblW w:w="10354" w:type="dxa"/>
        <w:jc w:val="center"/>
        <w:tblLook w:val="04A0" w:firstRow="1" w:lastRow="0" w:firstColumn="1" w:lastColumn="0" w:noHBand="0" w:noVBand="1"/>
      </w:tblPr>
      <w:tblGrid>
        <w:gridCol w:w="1937"/>
        <w:gridCol w:w="1444"/>
        <w:gridCol w:w="4911"/>
        <w:gridCol w:w="1404"/>
        <w:gridCol w:w="1520"/>
      </w:tblGrid>
      <w:tr>
        <w:trPr>
          <w:trHeight w:val="56"/>
          <w:jc w:val="center"/>
        </w:trPr>
        <w:tc>
          <w:tcPr>
            <w:tcW w:w="1555" w:type="dxa"/>
          </w:tcPr>
          <w:p>
            <w:pPr>
              <w:rPr>
                <w:rFonts w:ascii="Arial" w:hAnsi="Arial" w:cs="Arial"/>
              </w:rPr>
            </w:pPr>
            <w:r>
              <w:rPr>
                <w:rFonts w:ascii="Arial" w:hAnsi="Arial" w:cs="Arial"/>
              </w:rPr>
              <w:t xml:space="preserve"> Research study</w:t>
            </w:r>
          </w:p>
        </w:tc>
        <w:tc>
          <w:tcPr>
            <w:tcW w:w="1511" w:type="dxa"/>
          </w:tcPr>
          <w:p>
            <w:pPr>
              <w:jc w:val="both"/>
              <w:rPr>
                <w:rFonts w:ascii="Arial" w:hAnsi="Arial" w:cs="Arial"/>
              </w:rPr>
            </w:pPr>
            <w:r>
              <w:rPr>
                <w:rFonts w:ascii="Arial" w:hAnsi="Arial" w:cs="Arial"/>
              </w:rPr>
              <w:t>Study area</w:t>
            </w:r>
          </w:p>
        </w:tc>
        <w:tc>
          <w:tcPr>
            <w:tcW w:w="4486" w:type="dxa"/>
          </w:tcPr>
          <w:p>
            <w:pPr>
              <w:jc w:val="center"/>
              <w:rPr>
                <w:rFonts w:ascii="Arial" w:hAnsi="Arial" w:cs="Arial"/>
              </w:rPr>
            </w:pPr>
            <w:r>
              <w:rPr>
                <w:rFonts w:ascii="Arial" w:hAnsi="Arial" w:cs="Arial"/>
              </w:rPr>
              <w:t>Allometric equation for above ground biomass</w:t>
            </w:r>
          </w:p>
        </w:tc>
        <w:tc>
          <w:tcPr>
            <w:tcW w:w="1362" w:type="dxa"/>
          </w:tcPr>
          <w:p>
            <w:pPr>
              <w:jc w:val="center"/>
              <w:rPr>
                <w:rFonts w:ascii="Arial" w:hAnsi="Arial" w:cs="Arial"/>
              </w:rPr>
            </w:pPr>
            <w:r>
              <w:rPr>
                <w:rFonts w:ascii="Arial" w:hAnsi="Arial" w:cs="Arial"/>
              </w:rPr>
              <w:t>R</w:t>
            </w:r>
            <w:r>
              <w:rPr>
                <w:rFonts w:ascii="Arial" w:hAnsi="Arial" w:cs="Arial"/>
                <w:vertAlign w:val="superscript"/>
              </w:rPr>
              <w:t>2</w:t>
            </w:r>
            <w:r>
              <w:rPr>
                <w:rFonts w:ascii="Arial" w:hAnsi="Arial" w:cs="Arial"/>
              </w:rPr>
              <w:t xml:space="preserve"> value</w:t>
            </w:r>
          </w:p>
        </w:tc>
        <w:tc>
          <w:tcPr>
            <w:tcW w:w="1440" w:type="dxa"/>
          </w:tcPr>
          <w:p>
            <w:pPr>
              <w:jc w:val="both"/>
              <w:rPr>
                <w:rFonts w:ascii="Arial" w:hAnsi="Arial" w:cs="Arial"/>
              </w:rPr>
            </w:pPr>
            <w:r>
              <w:rPr>
                <w:rFonts w:ascii="Arial" w:hAnsi="Arial" w:cs="Arial"/>
              </w:rPr>
              <w:t>Remark</w:t>
            </w:r>
          </w:p>
        </w:tc>
      </w:tr>
      <w:tr>
        <w:trPr>
          <w:trHeight w:val="56"/>
          <w:jc w:val="center"/>
        </w:trPr>
        <w:tc>
          <w:tcPr>
            <w:tcW w:w="1555" w:type="dxa"/>
            <w:vMerge w:val="restart"/>
          </w:tcPr>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r>
              <w:rPr>
                <w:rFonts w:ascii="Arial" w:hAnsi="Arial" w:cs="Arial"/>
              </w:rPr>
              <w:t>Brown et al. (1989)</w:t>
            </w:r>
          </w:p>
        </w:tc>
        <w:tc>
          <w:tcPr>
            <w:tcW w:w="1511" w:type="dxa"/>
          </w:tcPr>
          <w:p>
            <w:pPr>
              <w:jc w:val="center"/>
              <w:rPr>
                <w:rFonts w:ascii="Arial" w:hAnsi="Arial" w:cs="Arial"/>
              </w:rPr>
            </w:pPr>
            <w:r>
              <w:rPr>
                <w:rFonts w:ascii="Arial" w:hAnsi="Arial" w:cs="Arial"/>
              </w:rPr>
              <w:t>Dry Life Zone: India</w:t>
            </w:r>
          </w:p>
        </w:tc>
        <w:tc>
          <w:tcPr>
            <w:tcW w:w="4486" w:type="dxa"/>
          </w:tcPr>
          <w:p>
            <w:pPr>
              <w:jc w:val="center"/>
              <w:rPr>
                <w:rFonts w:ascii="Arial" w:hAnsi="Arial" w:cs="Arial"/>
              </w:rPr>
            </w:pPr>
            <w:r>
              <w:rPr>
                <w:rFonts w:ascii="Arial" w:hAnsi="Arial" w:cs="Arial"/>
              </w:rPr>
              <w:t>AGB=34.4703−8.0671(D)+0.6589(D</w:t>
            </w:r>
            <w:r>
              <w:rPr>
                <w:rFonts w:ascii="Arial" w:hAnsi="Arial" w:cs="Arial"/>
                <w:vertAlign w:val="superscript"/>
              </w:rPr>
              <w:t>2</w:t>
            </w:r>
            <w:r>
              <w:rPr>
                <w:rFonts w:ascii="Arial" w:hAnsi="Arial" w:cs="Arial"/>
              </w:rPr>
              <w:t>)</w:t>
            </w:r>
          </w:p>
          <w:p>
            <w:pPr>
              <w:jc w:val="center"/>
              <w:rPr>
                <w:rFonts w:ascii="Arial" w:hAnsi="Arial" w:cs="Arial"/>
              </w:rPr>
            </w:pPr>
            <w:r>
              <w:rPr>
                <w:rFonts w:ascii="Arial" w:hAnsi="Arial" w:cs="Arial"/>
              </w:rPr>
              <w:t>D: diameter in cm</w:t>
            </w:r>
          </w:p>
        </w:tc>
        <w:tc>
          <w:tcPr>
            <w:tcW w:w="1362" w:type="dxa"/>
          </w:tcPr>
          <w:p>
            <w:pPr>
              <w:jc w:val="center"/>
              <w:rPr>
                <w:rFonts w:ascii="Arial" w:hAnsi="Arial" w:cs="Arial"/>
              </w:rPr>
            </w:pPr>
            <w:r>
              <w:rPr>
                <w:rFonts w:ascii="Arial" w:hAnsi="Arial" w:cs="Arial"/>
              </w:rPr>
              <w:t>0.67</w:t>
            </w:r>
          </w:p>
        </w:tc>
        <w:tc>
          <w:tcPr>
            <w:tcW w:w="1440" w:type="dxa"/>
            <w:vMerge w:val="restart"/>
          </w:tcPr>
          <w:p>
            <w:pPr>
              <w:jc w:val="both"/>
              <w:rPr>
                <w:rFonts w:ascii="Arial" w:hAnsi="Arial" w:cs="Arial"/>
              </w:rPr>
            </w:pPr>
            <w:r>
              <w:rPr>
                <w:rFonts w:ascii="Arial" w:hAnsi="Arial" w:cs="Arial"/>
              </w:rPr>
              <w:t xml:space="preserve"> </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center"/>
              <w:rPr>
                <w:rFonts w:ascii="Arial" w:hAnsi="Arial" w:cs="Arial"/>
              </w:rPr>
            </w:pPr>
            <w:r>
              <w:rPr>
                <w:rFonts w:ascii="Arial" w:hAnsi="Arial" w:cs="Arial"/>
              </w:rPr>
              <w:t>tropical broadleaf forest trees</w:t>
            </w:r>
          </w:p>
        </w:tc>
      </w:tr>
      <w:tr>
        <w:trPr>
          <w:trHeight w:val="58"/>
          <w:jc w:val="center"/>
        </w:trPr>
        <w:tc>
          <w:tcPr>
            <w:tcW w:w="1555" w:type="dxa"/>
            <w:vMerge/>
          </w:tcPr>
          <w:p>
            <w:pPr>
              <w:jc w:val="both"/>
              <w:rPr>
                <w:rFonts w:ascii="Arial" w:hAnsi="Arial" w:cs="Arial"/>
              </w:rPr>
            </w:pPr>
          </w:p>
        </w:tc>
        <w:tc>
          <w:tcPr>
            <w:tcW w:w="1511" w:type="dxa"/>
          </w:tcPr>
          <w:p>
            <w:pPr>
              <w:jc w:val="center"/>
              <w:rPr>
                <w:rFonts w:ascii="Arial" w:hAnsi="Arial" w:cs="Arial"/>
              </w:rPr>
            </w:pPr>
            <w:r>
              <w:rPr>
                <w:rFonts w:ascii="Arial" w:hAnsi="Arial" w:cs="Arial"/>
              </w:rPr>
              <w:t>Moist Life Zone: Japan, Venezuela, and Brazil</w:t>
            </w:r>
          </w:p>
        </w:tc>
        <w:tc>
          <w:tcPr>
            <w:tcW w:w="4486" w:type="dxa"/>
          </w:tcPr>
          <w:p>
            <w:pPr>
              <w:pStyle w:val="ListParagraph"/>
              <w:numPr>
                <w:ilvl w:val="0"/>
                <w:numId w:val="2"/>
              </w:numPr>
              <w:jc w:val="center"/>
              <w:rPr>
                <w:rFonts w:ascii="Arial" w:hAnsi="Arial" w:cs="Arial"/>
              </w:rPr>
            </w:pPr>
            <w:r>
              <w:rPr>
                <w:rFonts w:ascii="Arial" w:hAnsi="Arial" w:cs="Arial"/>
              </w:rPr>
              <w:t>AGB=38.4908−11.7883(D)+1.1926D</w:t>
            </w:r>
            <w:r>
              <w:rPr>
                <w:rFonts w:ascii="Arial" w:hAnsi="Arial" w:cs="Arial"/>
                <w:vertAlign w:val="superscript"/>
              </w:rPr>
              <w:t>2</w:t>
            </w:r>
          </w:p>
          <w:p>
            <w:pPr>
              <w:pStyle w:val="ListParagraph"/>
              <w:numPr>
                <w:ilvl w:val="0"/>
                <w:numId w:val="2"/>
              </w:numPr>
              <w:jc w:val="center"/>
              <w:rPr>
                <w:rFonts w:ascii="Arial" w:hAnsi="Arial" w:cs="Arial"/>
              </w:rPr>
            </w:pPr>
            <w:r>
              <w:rPr>
                <w:rFonts w:ascii="Arial" w:hAnsi="Arial" w:cs="Arial"/>
              </w:rPr>
              <w:t>AGB =exp{−3.1141+0.9719ln(D</w:t>
            </w:r>
            <w:r>
              <w:rPr>
                <w:rFonts w:ascii="Arial" w:hAnsi="Arial" w:cs="Arial"/>
                <w:vertAlign w:val="superscript"/>
              </w:rPr>
              <w:t>2</w:t>
            </w:r>
            <w:r>
              <w:rPr>
                <w:rFonts w:ascii="Arial" w:hAnsi="Arial" w:cs="Arial"/>
              </w:rPr>
              <w:t>H)}</w:t>
            </w:r>
          </w:p>
          <w:p>
            <w:pPr>
              <w:pStyle w:val="ListParagraph"/>
              <w:numPr>
                <w:ilvl w:val="0"/>
                <w:numId w:val="2"/>
              </w:numPr>
              <w:jc w:val="center"/>
              <w:rPr>
                <w:rFonts w:ascii="Arial" w:hAnsi="Arial" w:cs="Arial"/>
              </w:rPr>
            </w:pPr>
            <w:r>
              <w:rPr>
                <w:rFonts w:ascii="Arial" w:hAnsi="Arial" w:cs="Arial"/>
              </w:rPr>
              <w:t>AGB=exp{−2.4090+0.9522ln(D</w:t>
            </w:r>
            <w:r>
              <w:rPr>
                <w:rFonts w:ascii="Arial" w:hAnsi="Arial" w:cs="Arial"/>
                <w:vertAlign w:val="superscript"/>
              </w:rPr>
              <w:t>2</w:t>
            </w:r>
            <w:r>
              <w:rPr>
                <w:rFonts w:ascii="Arial" w:hAnsi="Arial" w:cs="Arial"/>
              </w:rPr>
              <w:t>HS)}</w:t>
            </w:r>
          </w:p>
          <w:p>
            <w:pPr>
              <w:pStyle w:val="ListParagraph"/>
              <w:rPr>
                <w:rFonts w:ascii="Arial" w:hAnsi="Arial" w:cs="Arial"/>
              </w:rPr>
            </w:pPr>
            <w:r>
              <w:rPr>
                <w:rFonts w:ascii="Arial" w:hAnsi="Arial" w:cs="Arial"/>
              </w:rPr>
              <w:t>D: diameter in cm; H:  height in m; S: wood density g/cm</w:t>
            </w:r>
            <w:r>
              <w:rPr>
                <w:rFonts w:ascii="Arial" w:hAnsi="Arial" w:cs="Arial"/>
                <w:vertAlign w:val="superscript"/>
              </w:rPr>
              <w:t>3</w:t>
            </w:r>
          </w:p>
        </w:tc>
        <w:tc>
          <w:tcPr>
            <w:tcW w:w="1362" w:type="dxa"/>
          </w:tcPr>
          <w:p>
            <w:pPr>
              <w:pStyle w:val="ListParagraph"/>
              <w:numPr>
                <w:ilvl w:val="0"/>
                <w:numId w:val="4"/>
              </w:numPr>
              <w:jc w:val="center"/>
              <w:rPr>
                <w:rFonts w:ascii="Arial" w:hAnsi="Arial" w:cs="Arial"/>
              </w:rPr>
            </w:pPr>
            <w:r>
              <w:rPr>
                <w:rFonts w:ascii="Arial" w:hAnsi="Arial" w:cs="Arial"/>
              </w:rPr>
              <w:t>0.78</w:t>
            </w:r>
          </w:p>
          <w:p>
            <w:pPr>
              <w:pStyle w:val="ListParagraph"/>
              <w:numPr>
                <w:ilvl w:val="0"/>
                <w:numId w:val="4"/>
              </w:numPr>
              <w:jc w:val="center"/>
              <w:rPr>
                <w:rFonts w:ascii="Arial" w:hAnsi="Arial" w:cs="Arial"/>
              </w:rPr>
            </w:pPr>
            <w:r>
              <w:rPr>
                <w:rFonts w:ascii="Arial" w:hAnsi="Arial" w:cs="Arial"/>
              </w:rPr>
              <w:t>0.97</w:t>
            </w:r>
          </w:p>
          <w:p>
            <w:pPr>
              <w:pStyle w:val="ListParagraph"/>
              <w:numPr>
                <w:ilvl w:val="0"/>
                <w:numId w:val="4"/>
              </w:numPr>
              <w:jc w:val="center"/>
              <w:rPr>
                <w:rFonts w:ascii="Arial" w:hAnsi="Arial" w:cs="Arial"/>
              </w:rPr>
            </w:pPr>
            <w:r>
              <w:rPr>
                <w:rFonts w:ascii="Arial" w:hAnsi="Arial" w:cs="Arial"/>
              </w:rPr>
              <w:t>0.99</w:t>
            </w:r>
          </w:p>
        </w:tc>
        <w:tc>
          <w:tcPr>
            <w:tcW w:w="1440" w:type="dxa"/>
            <w:vMerge/>
          </w:tcPr>
          <w:p>
            <w:pPr>
              <w:jc w:val="both"/>
              <w:rPr>
                <w:rFonts w:ascii="Arial" w:hAnsi="Arial" w:cs="Arial"/>
              </w:rPr>
            </w:pPr>
          </w:p>
        </w:tc>
      </w:tr>
      <w:tr>
        <w:trPr>
          <w:trHeight w:val="58"/>
          <w:jc w:val="center"/>
        </w:trPr>
        <w:tc>
          <w:tcPr>
            <w:tcW w:w="1555" w:type="dxa"/>
            <w:vMerge/>
          </w:tcPr>
          <w:p>
            <w:pPr>
              <w:jc w:val="both"/>
              <w:rPr>
                <w:rFonts w:ascii="Arial" w:hAnsi="Arial" w:cs="Arial"/>
              </w:rPr>
            </w:pPr>
          </w:p>
        </w:tc>
        <w:tc>
          <w:tcPr>
            <w:tcW w:w="1511" w:type="dxa"/>
          </w:tcPr>
          <w:p>
            <w:pPr>
              <w:jc w:val="center"/>
              <w:rPr>
                <w:rFonts w:ascii="Arial" w:hAnsi="Arial" w:cs="Arial"/>
              </w:rPr>
            </w:pPr>
            <w:r>
              <w:rPr>
                <w:rFonts w:ascii="Arial" w:hAnsi="Arial" w:cs="Arial"/>
              </w:rPr>
              <w:t>Wet Life Zone: Papua New Guinea and Puerto Rico</w:t>
            </w:r>
          </w:p>
        </w:tc>
        <w:tc>
          <w:tcPr>
            <w:tcW w:w="4486" w:type="dxa"/>
          </w:tcPr>
          <w:p>
            <w:pPr>
              <w:pStyle w:val="ListParagraph"/>
              <w:numPr>
                <w:ilvl w:val="0"/>
                <w:numId w:val="3"/>
              </w:numPr>
              <w:jc w:val="center"/>
              <w:rPr>
                <w:rFonts w:ascii="Arial" w:hAnsi="Arial" w:cs="Arial"/>
              </w:rPr>
            </w:pPr>
            <w:r>
              <w:rPr>
                <w:rFonts w:ascii="Arial" w:hAnsi="Arial" w:cs="Arial"/>
              </w:rPr>
              <w:t>AGB =13.2579−4.8945(D)+0.6713(D</w:t>
            </w:r>
            <w:r>
              <w:rPr>
                <w:rFonts w:ascii="Arial" w:hAnsi="Arial" w:cs="Arial"/>
                <w:vertAlign w:val="superscript"/>
              </w:rPr>
              <w:t>2</w:t>
            </w:r>
            <w:r>
              <w:rPr>
                <w:rFonts w:ascii="Arial" w:hAnsi="Arial" w:cs="Arial"/>
              </w:rPr>
              <w:t>)</w:t>
            </w:r>
          </w:p>
          <w:p>
            <w:pPr>
              <w:pStyle w:val="ListParagraph"/>
              <w:numPr>
                <w:ilvl w:val="0"/>
                <w:numId w:val="3"/>
              </w:numPr>
              <w:rPr>
                <w:rFonts w:ascii="Arial" w:hAnsi="Arial" w:cs="Arial"/>
              </w:rPr>
            </w:pPr>
            <w:r>
              <w:rPr>
                <w:rFonts w:ascii="Arial" w:hAnsi="Arial" w:cs="Arial"/>
              </w:rPr>
              <w:t xml:space="preserve"> AGB =exp{−3.3012+0.9439ln(D</w:t>
            </w:r>
            <w:r>
              <w:rPr>
                <w:rFonts w:ascii="Arial" w:hAnsi="Arial" w:cs="Arial"/>
                <w:vertAlign w:val="superscript"/>
              </w:rPr>
              <w:t>2</w:t>
            </w:r>
            <w:r>
              <w:rPr>
                <w:rFonts w:ascii="Arial" w:hAnsi="Arial" w:cs="Arial"/>
              </w:rPr>
              <w:t>H)}</w:t>
            </w:r>
          </w:p>
          <w:p>
            <w:pPr>
              <w:pStyle w:val="ListParagraph"/>
              <w:ind w:left="420"/>
              <w:rPr>
                <w:rFonts w:ascii="Arial" w:hAnsi="Arial" w:cs="Arial"/>
              </w:rPr>
            </w:pPr>
          </w:p>
          <w:p>
            <w:pPr>
              <w:pStyle w:val="ListParagraph"/>
              <w:ind w:left="420"/>
              <w:rPr>
                <w:rFonts w:ascii="Arial" w:hAnsi="Arial" w:cs="Arial"/>
              </w:rPr>
            </w:pPr>
            <w:r>
              <w:rPr>
                <w:rFonts w:ascii="Arial" w:hAnsi="Arial" w:cs="Arial"/>
              </w:rPr>
              <w:t>D: diameter in cm; H:  height in m</w:t>
            </w:r>
          </w:p>
        </w:tc>
        <w:tc>
          <w:tcPr>
            <w:tcW w:w="1362" w:type="dxa"/>
          </w:tcPr>
          <w:p>
            <w:pPr>
              <w:pStyle w:val="ListParagraph"/>
              <w:numPr>
                <w:ilvl w:val="0"/>
                <w:numId w:val="5"/>
              </w:numPr>
              <w:jc w:val="center"/>
              <w:rPr>
                <w:rFonts w:ascii="Arial" w:hAnsi="Arial" w:cs="Arial"/>
              </w:rPr>
            </w:pPr>
            <w:r>
              <w:rPr>
                <w:rFonts w:ascii="Arial" w:hAnsi="Arial" w:cs="Arial"/>
              </w:rPr>
              <w:t>0.90</w:t>
            </w:r>
          </w:p>
          <w:p>
            <w:pPr>
              <w:pStyle w:val="ListParagraph"/>
              <w:numPr>
                <w:ilvl w:val="0"/>
                <w:numId w:val="5"/>
              </w:numPr>
              <w:jc w:val="center"/>
              <w:rPr>
                <w:rFonts w:ascii="Arial" w:hAnsi="Arial" w:cs="Arial"/>
              </w:rPr>
            </w:pPr>
            <w:r>
              <w:rPr>
                <w:rFonts w:ascii="Arial" w:hAnsi="Arial" w:cs="Arial"/>
              </w:rPr>
              <w:t>0.90</w:t>
            </w:r>
          </w:p>
        </w:tc>
        <w:tc>
          <w:tcPr>
            <w:tcW w:w="1440" w:type="dxa"/>
            <w:vMerge/>
          </w:tcPr>
          <w:p>
            <w:pPr>
              <w:jc w:val="both"/>
              <w:rPr>
                <w:rFonts w:ascii="Arial" w:hAnsi="Arial" w:cs="Arial"/>
              </w:rPr>
            </w:pPr>
          </w:p>
        </w:tc>
      </w:tr>
      <w:tr>
        <w:trPr>
          <w:trHeight w:val="58"/>
          <w:jc w:val="center"/>
        </w:trPr>
        <w:tc>
          <w:tcPr>
            <w:tcW w:w="1555" w:type="dxa"/>
          </w:tcPr>
          <w:p>
            <w:pPr>
              <w:jc w:val="center"/>
              <w:rPr>
                <w:rFonts w:ascii="Arial" w:hAnsi="Arial" w:cs="Arial"/>
              </w:rPr>
            </w:pPr>
            <w:proofErr w:type="spellStart"/>
            <w:r>
              <w:rPr>
                <w:rFonts w:ascii="Arial" w:hAnsi="Arial" w:cs="Arial"/>
              </w:rPr>
              <w:lastRenderedPageBreak/>
              <w:t>Hairiah</w:t>
            </w:r>
            <w:proofErr w:type="spellEnd"/>
            <w:r>
              <w:rPr>
                <w:rFonts w:ascii="Arial" w:hAnsi="Arial" w:cs="Arial"/>
              </w:rPr>
              <w:t xml:space="preserve"> et al. (2001)</w:t>
            </w:r>
          </w:p>
        </w:tc>
        <w:tc>
          <w:tcPr>
            <w:tcW w:w="1511" w:type="dxa"/>
          </w:tcPr>
          <w:p>
            <w:pPr>
              <w:jc w:val="both"/>
              <w:rPr>
                <w:rFonts w:ascii="Arial" w:hAnsi="Arial" w:cs="Arial"/>
              </w:rPr>
            </w:pPr>
            <w:r>
              <w:rPr>
                <w:rFonts w:ascii="Arial" w:hAnsi="Arial" w:cs="Arial"/>
              </w:rPr>
              <w:t>Sumatra, Indonesia</w:t>
            </w:r>
          </w:p>
        </w:tc>
        <w:tc>
          <w:tcPr>
            <w:tcW w:w="4486" w:type="dxa"/>
          </w:tcPr>
          <w:p>
            <w:pPr>
              <w:jc w:val="center"/>
              <w:rPr>
                <w:rFonts w:ascii="Arial" w:hAnsi="Arial" w:cs="Arial"/>
              </w:rPr>
            </w:pPr>
            <w:r>
              <w:rPr>
                <w:rFonts w:ascii="Arial" w:hAnsi="Arial" w:cs="Arial"/>
              </w:rPr>
              <w:t>AGB = (π x p x D</w:t>
            </w:r>
            <w:r>
              <w:rPr>
                <w:rFonts w:ascii="Arial" w:hAnsi="Arial" w:cs="Arial"/>
                <w:vertAlign w:val="superscript"/>
              </w:rPr>
              <w:t>2</w:t>
            </w:r>
            <w:r>
              <w:rPr>
                <w:rFonts w:ascii="Arial" w:hAnsi="Arial" w:cs="Arial"/>
              </w:rPr>
              <w:t xml:space="preserve"> x </w:t>
            </w:r>
            <w:proofErr w:type="spellStart"/>
            <w:r>
              <w:rPr>
                <w:rFonts w:ascii="Arial" w:hAnsi="Arial" w:cs="Arial"/>
              </w:rPr>
              <w:t>ht</w:t>
            </w:r>
            <w:proofErr w:type="spellEnd"/>
            <w:r>
              <w:rPr>
                <w:rFonts w:ascii="Arial" w:hAnsi="Arial" w:cs="Arial"/>
              </w:rPr>
              <w:t>)/40</w:t>
            </w:r>
          </w:p>
          <w:p>
            <w:pPr>
              <w:jc w:val="center"/>
              <w:rPr>
                <w:rFonts w:ascii="Arial" w:hAnsi="Arial" w:cs="Arial"/>
              </w:rPr>
            </w:pPr>
            <w:proofErr w:type="spellStart"/>
            <w:r>
              <w:rPr>
                <w:rFonts w:ascii="Arial" w:hAnsi="Arial" w:cs="Arial"/>
              </w:rPr>
              <w:t>ht</w:t>
            </w:r>
            <w:proofErr w:type="spellEnd"/>
            <w:r>
              <w:rPr>
                <w:rFonts w:ascii="Arial" w:hAnsi="Arial" w:cs="Arial"/>
              </w:rPr>
              <w:t>: tree height in m; p: stem density in kg/m; D: stem diameter at breast height in m; π, phi or 3.14 constant value</w:t>
            </w:r>
          </w:p>
          <w:p>
            <w:pPr>
              <w:jc w:val="both"/>
              <w:rPr>
                <w:rFonts w:ascii="Arial" w:hAnsi="Arial" w:cs="Arial"/>
              </w:rPr>
            </w:pPr>
          </w:p>
        </w:tc>
        <w:tc>
          <w:tcPr>
            <w:tcW w:w="1362" w:type="dxa"/>
          </w:tcPr>
          <w:p>
            <w:pPr>
              <w:jc w:val="center"/>
              <w:rPr>
                <w:rFonts w:ascii="Arial" w:hAnsi="Arial" w:cs="Arial"/>
              </w:rPr>
            </w:pPr>
            <w:r>
              <w:rPr>
                <w:rFonts w:ascii="Arial" w:hAnsi="Arial" w:cs="Arial"/>
              </w:rPr>
              <w:t>NA</w:t>
            </w:r>
          </w:p>
        </w:tc>
        <w:tc>
          <w:tcPr>
            <w:tcW w:w="1440" w:type="dxa"/>
          </w:tcPr>
          <w:p>
            <w:pPr>
              <w:jc w:val="center"/>
              <w:rPr>
                <w:rFonts w:ascii="Arial" w:hAnsi="Arial" w:cs="Arial"/>
              </w:rPr>
            </w:pPr>
            <w:r>
              <w:rPr>
                <w:rFonts w:ascii="Arial" w:hAnsi="Arial" w:cs="Arial"/>
              </w:rPr>
              <w:t>Allometric for branchless trees</w:t>
            </w:r>
          </w:p>
        </w:tc>
      </w:tr>
      <w:tr>
        <w:trPr>
          <w:trHeight w:val="58"/>
          <w:jc w:val="center"/>
        </w:trPr>
        <w:tc>
          <w:tcPr>
            <w:tcW w:w="1555" w:type="dxa"/>
          </w:tcPr>
          <w:p>
            <w:pPr>
              <w:jc w:val="center"/>
              <w:rPr>
                <w:rFonts w:ascii="Arial" w:hAnsi="Arial" w:cs="Arial"/>
              </w:rPr>
            </w:pPr>
            <w:proofErr w:type="spellStart"/>
            <w:r>
              <w:rPr>
                <w:rFonts w:ascii="Arial" w:hAnsi="Arial" w:cs="Arial"/>
              </w:rPr>
              <w:t>Chave</w:t>
            </w:r>
            <w:proofErr w:type="spellEnd"/>
            <w:r>
              <w:rPr>
                <w:rFonts w:ascii="Arial" w:hAnsi="Arial" w:cs="Arial"/>
              </w:rPr>
              <w:t xml:space="preserve"> et al. (2005)</w:t>
            </w:r>
          </w:p>
          <w:p>
            <w:pPr>
              <w:jc w:val="center"/>
              <w:rPr>
                <w:rFonts w:ascii="Arial" w:hAnsi="Arial" w:cs="Arial"/>
              </w:rPr>
            </w:pPr>
          </w:p>
        </w:tc>
        <w:tc>
          <w:tcPr>
            <w:tcW w:w="1511" w:type="dxa"/>
          </w:tcPr>
          <w:p>
            <w:pPr>
              <w:jc w:val="center"/>
              <w:rPr>
                <w:rFonts w:ascii="Arial" w:hAnsi="Arial" w:cs="Arial"/>
              </w:rPr>
            </w:pPr>
            <w:r>
              <w:rPr>
                <w:rFonts w:ascii="Arial" w:hAnsi="Arial" w:cs="Arial"/>
              </w:rPr>
              <w:t>Three continents:</w:t>
            </w:r>
          </w:p>
          <w:p>
            <w:pPr>
              <w:jc w:val="center"/>
              <w:rPr>
                <w:rFonts w:ascii="Arial" w:hAnsi="Arial" w:cs="Arial"/>
              </w:rPr>
            </w:pPr>
            <w:r>
              <w:rPr>
                <w:rFonts w:ascii="Arial" w:hAnsi="Arial" w:cs="Arial"/>
              </w:rPr>
              <w:t>America, Asia and Oceania</w:t>
            </w:r>
          </w:p>
        </w:tc>
        <w:tc>
          <w:tcPr>
            <w:tcW w:w="4486" w:type="dxa"/>
          </w:tcPr>
          <w:p>
            <w:pPr>
              <w:jc w:val="center"/>
              <w:rPr>
                <w:rFonts w:ascii="Arial" w:hAnsi="Arial" w:cs="Arial"/>
              </w:rPr>
            </w:pPr>
          </w:p>
          <w:p>
            <w:pPr>
              <w:jc w:val="center"/>
              <w:rPr>
                <w:rFonts w:ascii="Arial" w:hAnsi="Arial" w:cs="Arial"/>
              </w:rPr>
            </w:pPr>
            <w:r>
              <w:rPr>
                <w:rFonts w:ascii="Arial" w:hAnsi="Arial" w:cs="Arial"/>
              </w:rPr>
              <w:t>AGB = 0.0509 x p x D</w:t>
            </w:r>
            <w:r>
              <w:rPr>
                <w:rFonts w:ascii="Arial" w:hAnsi="Arial" w:cs="Arial"/>
                <w:vertAlign w:val="superscript"/>
              </w:rPr>
              <w:t>2</w:t>
            </w:r>
            <w:r>
              <w:rPr>
                <w:rFonts w:ascii="Arial" w:hAnsi="Arial" w:cs="Arial"/>
              </w:rPr>
              <w:t xml:space="preserve"> x </w:t>
            </w:r>
            <w:proofErr w:type="spellStart"/>
            <w:r>
              <w:rPr>
                <w:rFonts w:ascii="Arial" w:hAnsi="Arial" w:cs="Arial"/>
              </w:rPr>
              <w:t>ht</w:t>
            </w:r>
            <w:proofErr w:type="spellEnd"/>
          </w:p>
          <w:p>
            <w:pPr>
              <w:jc w:val="center"/>
              <w:rPr>
                <w:rFonts w:ascii="Arial" w:hAnsi="Arial" w:cs="Arial"/>
              </w:rPr>
            </w:pPr>
            <w:proofErr w:type="spellStart"/>
            <w:r>
              <w:rPr>
                <w:rFonts w:ascii="Arial" w:hAnsi="Arial" w:cs="Arial"/>
              </w:rPr>
              <w:t>ht</w:t>
            </w:r>
            <w:proofErr w:type="spellEnd"/>
            <w:r>
              <w:rPr>
                <w:rFonts w:ascii="Arial" w:hAnsi="Arial" w:cs="Arial"/>
              </w:rPr>
              <w:t>: tree height in m; p: stem density in kg/m; D: stem diameter at breast height in m</w:t>
            </w:r>
          </w:p>
        </w:tc>
        <w:tc>
          <w:tcPr>
            <w:tcW w:w="1362" w:type="dxa"/>
          </w:tcPr>
          <w:p>
            <w:pPr>
              <w:jc w:val="center"/>
              <w:rPr>
                <w:rFonts w:ascii="Arial" w:hAnsi="Arial" w:cs="Arial"/>
              </w:rPr>
            </w:pPr>
            <w:r>
              <w:rPr>
                <w:rFonts w:ascii="Arial" w:hAnsi="Arial" w:cs="Arial"/>
              </w:rPr>
              <w:t>0.95</w:t>
            </w:r>
          </w:p>
        </w:tc>
        <w:tc>
          <w:tcPr>
            <w:tcW w:w="1440" w:type="dxa"/>
          </w:tcPr>
          <w:p>
            <w:pPr>
              <w:jc w:val="center"/>
              <w:rPr>
                <w:rFonts w:ascii="Arial" w:hAnsi="Arial" w:cs="Arial"/>
              </w:rPr>
            </w:pPr>
            <w:r>
              <w:rPr>
                <w:rFonts w:ascii="Arial" w:hAnsi="Arial" w:cs="Arial"/>
              </w:rPr>
              <w:t>Global model from 2410 trees with diameter &gt; 5 cm</w:t>
            </w:r>
          </w:p>
        </w:tc>
      </w:tr>
      <w:tr>
        <w:trPr>
          <w:trHeight w:val="58"/>
          <w:jc w:val="center"/>
        </w:trPr>
        <w:tc>
          <w:tcPr>
            <w:tcW w:w="1555" w:type="dxa"/>
          </w:tcPr>
          <w:p>
            <w:pPr>
              <w:jc w:val="center"/>
              <w:rPr>
                <w:rFonts w:ascii="Arial" w:hAnsi="Arial" w:cs="Arial"/>
              </w:rPr>
            </w:pPr>
            <w:r>
              <w:rPr>
                <w:rFonts w:ascii="Arial" w:hAnsi="Arial" w:cs="Arial"/>
              </w:rPr>
              <w:t xml:space="preserve">Naresh, </w:t>
            </w:r>
            <w:proofErr w:type="spellStart"/>
            <w:r>
              <w:rPr>
                <w:rFonts w:ascii="Arial" w:hAnsi="Arial" w:cs="Arial"/>
              </w:rPr>
              <w:t>Kasthuri</w:t>
            </w:r>
            <w:proofErr w:type="spellEnd"/>
            <w:r>
              <w:rPr>
                <w:rFonts w:ascii="Arial" w:hAnsi="Arial" w:cs="Arial"/>
              </w:rPr>
              <w:t xml:space="preserve"> and George, (2008)</w:t>
            </w:r>
          </w:p>
        </w:tc>
        <w:tc>
          <w:tcPr>
            <w:tcW w:w="1511" w:type="dxa"/>
          </w:tcPr>
          <w:p>
            <w:pPr>
              <w:jc w:val="center"/>
              <w:rPr>
                <w:rFonts w:ascii="Arial" w:hAnsi="Arial" w:cs="Arial"/>
              </w:rPr>
            </w:pPr>
            <w:r>
              <w:rPr>
                <w:rFonts w:ascii="Arial" w:hAnsi="Arial" w:cs="Arial"/>
              </w:rPr>
              <w:t>(CPCRI), Kasaragod, Kerala, India.</w:t>
            </w:r>
          </w:p>
        </w:tc>
        <w:tc>
          <w:tcPr>
            <w:tcW w:w="4486" w:type="dxa"/>
          </w:tcPr>
          <w:p>
            <w:pPr>
              <w:jc w:val="both"/>
              <w:rPr>
                <w:rFonts w:ascii="Arial" w:hAnsi="Arial" w:cs="Arial"/>
              </w:rPr>
            </w:pPr>
            <w:r>
              <w:rPr>
                <w:rFonts w:ascii="Arial" w:hAnsi="Arial" w:cs="Arial"/>
              </w:rPr>
              <w:t>Stem dry weight (kg)=Length (in meters) × girth</w:t>
            </w:r>
            <w:r>
              <w:rPr>
                <w:rFonts w:ascii="Arial" w:hAnsi="Arial" w:cs="Arial"/>
                <w:vertAlign w:val="superscript"/>
              </w:rPr>
              <w:t>2</w:t>
            </w:r>
            <w:r>
              <w:rPr>
                <w:rFonts w:ascii="Arial" w:hAnsi="Arial" w:cs="Arial"/>
              </w:rPr>
              <w:t> (in meters, at 1.5 m above ground level) × 41.14142.</w:t>
            </w:r>
          </w:p>
        </w:tc>
        <w:tc>
          <w:tcPr>
            <w:tcW w:w="1362" w:type="dxa"/>
          </w:tcPr>
          <w:p>
            <w:pPr>
              <w:jc w:val="center"/>
              <w:rPr>
                <w:rFonts w:ascii="Arial" w:hAnsi="Arial" w:cs="Arial"/>
              </w:rPr>
            </w:pPr>
            <w:r>
              <w:rPr>
                <w:rFonts w:ascii="Arial" w:hAnsi="Arial" w:cs="Arial"/>
              </w:rPr>
              <w:t>0.8982</w:t>
            </w:r>
          </w:p>
        </w:tc>
        <w:tc>
          <w:tcPr>
            <w:tcW w:w="1440" w:type="dxa"/>
          </w:tcPr>
          <w:p>
            <w:pPr>
              <w:jc w:val="center"/>
              <w:rPr>
                <w:rFonts w:ascii="Arial" w:hAnsi="Arial" w:cs="Arial"/>
              </w:rPr>
            </w:pPr>
            <w:r>
              <w:rPr>
                <w:rFonts w:ascii="Arial" w:hAnsi="Arial" w:cs="Arial"/>
              </w:rPr>
              <w:t>Coconut</w:t>
            </w:r>
          </w:p>
          <w:p>
            <w:pPr>
              <w:jc w:val="center"/>
              <w:rPr>
                <w:rFonts w:ascii="Arial" w:hAnsi="Arial" w:cs="Arial"/>
              </w:rPr>
            </w:pPr>
            <w:r>
              <w:rPr>
                <w:rFonts w:ascii="Arial" w:hAnsi="Arial" w:cs="Arial"/>
              </w:rPr>
              <w:t>Grown in India</w:t>
            </w:r>
          </w:p>
        </w:tc>
      </w:tr>
      <w:tr>
        <w:trPr>
          <w:trHeight w:val="58"/>
          <w:jc w:val="center"/>
        </w:trPr>
        <w:tc>
          <w:tcPr>
            <w:tcW w:w="1555" w:type="dxa"/>
          </w:tcPr>
          <w:p>
            <w:pPr>
              <w:jc w:val="center"/>
              <w:rPr>
                <w:rFonts w:ascii="Arial" w:hAnsi="Arial" w:cs="Arial"/>
              </w:rPr>
            </w:pPr>
            <w:proofErr w:type="spellStart"/>
            <w:r>
              <w:rPr>
                <w:rFonts w:ascii="Arial" w:hAnsi="Arial" w:cs="Arial"/>
                <w:sz w:val="40"/>
                <w:szCs w:val="40"/>
                <w:vertAlign w:val="superscript"/>
              </w:rPr>
              <w:t>Zahabu</w:t>
            </w:r>
            <w:proofErr w:type="spellEnd"/>
            <w:r>
              <w:rPr>
                <w:rFonts w:ascii="Arial" w:hAnsi="Arial" w:cs="Arial"/>
                <w:sz w:val="40"/>
                <w:szCs w:val="40"/>
                <w:vertAlign w:val="superscript"/>
              </w:rPr>
              <w:t xml:space="preserve"> et al. (2018)</w:t>
            </w:r>
          </w:p>
        </w:tc>
        <w:tc>
          <w:tcPr>
            <w:tcW w:w="1511" w:type="dxa"/>
          </w:tcPr>
          <w:p>
            <w:pPr>
              <w:jc w:val="both"/>
              <w:rPr>
                <w:rFonts w:ascii="Arial" w:hAnsi="Arial" w:cs="Arial"/>
              </w:rPr>
            </w:pPr>
            <w:r>
              <w:rPr>
                <w:rFonts w:ascii="Arial" w:hAnsi="Arial" w:cs="Arial"/>
              </w:rPr>
              <w:t>Tanzania</w:t>
            </w:r>
          </w:p>
        </w:tc>
        <w:tc>
          <w:tcPr>
            <w:tcW w:w="4486" w:type="dxa"/>
          </w:tcPr>
          <w:p>
            <w:pPr>
              <w:jc w:val="center"/>
              <w:rPr>
                <w:rFonts w:ascii="Arial" w:hAnsi="Arial" w:cs="Arial"/>
                <w:vertAlign w:val="superscript"/>
              </w:rPr>
            </w:pPr>
            <w:r>
              <w:rPr>
                <w:rFonts w:ascii="Arial" w:hAnsi="Arial" w:cs="Arial"/>
              </w:rPr>
              <w:t>AGB = 3.7964xht</w:t>
            </w:r>
            <w:r>
              <w:rPr>
                <w:rFonts w:ascii="Arial" w:hAnsi="Arial" w:cs="Arial"/>
                <w:vertAlign w:val="superscript"/>
              </w:rPr>
              <w:t>1.8130</w:t>
            </w:r>
          </w:p>
          <w:p>
            <w:pPr>
              <w:jc w:val="center"/>
              <w:rPr>
                <w:rFonts w:ascii="Arial" w:hAnsi="Arial" w:cs="Arial"/>
                <w:vertAlign w:val="superscript"/>
              </w:rPr>
            </w:pPr>
          </w:p>
          <w:p>
            <w:pPr>
              <w:jc w:val="center"/>
              <w:rPr>
                <w:rFonts w:ascii="Arial" w:hAnsi="Arial" w:cs="Arial"/>
              </w:rPr>
            </w:pPr>
            <w:proofErr w:type="spellStart"/>
            <w:r>
              <w:rPr>
                <w:rFonts w:ascii="Arial" w:hAnsi="Arial" w:cs="Arial"/>
              </w:rPr>
              <w:t>ht</w:t>
            </w:r>
            <w:proofErr w:type="spellEnd"/>
            <w:r>
              <w:rPr>
                <w:rFonts w:ascii="Arial" w:hAnsi="Arial" w:cs="Arial"/>
              </w:rPr>
              <w:t xml:space="preserve">: tree height in m </w:t>
            </w:r>
          </w:p>
          <w:p>
            <w:pPr>
              <w:jc w:val="both"/>
              <w:rPr>
                <w:rFonts w:ascii="Arial" w:hAnsi="Arial" w:cs="Arial"/>
              </w:rPr>
            </w:pPr>
          </w:p>
        </w:tc>
        <w:tc>
          <w:tcPr>
            <w:tcW w:w="1362" w:type="dxa"/>
          </w:tcPr>
          <w:p>
            <w:pPr>
              <w:jc w:val="center"/>
              <w:rPr>
                <w:rFonts w:ascii="Arial" w:hAnsi="Arial" w:cs="Arial"/>
              </w:rPr>
            </w:pPr>
            <w:r>
              <w:rPr>
                <w:rFonts w:ascii="Arial" w:hAnsi="Arial" w:cs="Arial"/>
              </w:rPr>
              <w:t> 0.78</w:t>
            </w:r>
          </w:p>
        </w:tc>
        <w:tc>
          <w:tcPr>
            <w:tcW w:w="1440" w:type="dxa"/>
          </w:tcPr>
          <w:p>
            <w:pPr>
              <w:jc w:val="both"/>
              <w:rPr>
                <w:rFonts w:ascii="Arial" w:hAnsi="Arial" w:cs="Arial"/>
              </w:rPr>
            </w:pPr>
            <w:r>
              <w:rPr>
                <w:rFonts w:ascii="Arial" w:hAnsi="Arial" w:cs="Arial"/>
              </w:rPr>
              <w:t xml:space="preserve">for </w:t>
            </w:r>
            <w:r>
              <w:rPr>
                <w:rFonts w:ascii="Arial" w:hAnsi="Arial" w:cs="Arial"/>
                <w:i/>
                <w:iCs/>
              </w:rPr>
              <w:t>C. nucifera</w:t>
            </w:r>
          </w:p>
        </w:tc>
      </w:tr>
      <w:tr>
        <w:trPr>
          <w:trHeight w:val="58"/>
          <w:jc w:val="center"/>
        </w:trPr>
        <w:tc>
          <w:tcPr>
            <w:tcW w:w="1555" w:type="dxa"/>
          </w:tcPr>
          <w:p>
            <w:pPr>
              <w:jc w:val="center"/>
              <w:rPr>
                <w:rFonts w:ascii="Arial" w:hAnsi="Arial" w:cs="Arial"/>
              </w:rPr>
            </w:pPr>
            <w:proofErr w:type="spellStart"/>
            <w:r>
              <w:rPr>
                <w:rFonts w:ascii="Arial" w:hAnsi="Arial" w:cs="Arial"/>
              </w:rPr>
              <w:t>Sooriyaarachchi</w:t>
            </w:r>
            <w:proofErr w:type="spellEnd"/>
            <w:r>
              <w:rPr>
                <w:rFonts w:ascii="Arial" w:hAnsi="Arial" w:cs="Arial"/>
              </w:rPr>
              <w:t xml:space="preserve"> et al. (2024)</w:t>
            </w:r>
          </w:p>
        </w:tc>
        <w:tc>
          <w:tcPr>
            <w:tcW w:w="1511" w:type="dxa"/>
          </w:tcPr>
          <w:p>
            <w:pPr>
              <w:jc w:val="both"/>
              <w:rPr>
                <w:rFonts w:ascii="Arial" w:hAnsi="Arial" w:cs="Arial"/>
              </w:rPr>
            </w:pPr>
            <w:r>
              <w:rPr>
                <w:rFonts w:ascii="Arial" w:hAnsi="Arial" w:cs="Arial"/>
              </w:rPr>
              <w:t>Sri Lanka</w:t>
            </w:r>
          </w:p>
        </w:tc>
        <w:tc>
          <w:tcPr>
            <w:tcW w:w="4486" w:type="dxa"/>
          </w:tcPr>
          <w:p>
            <w:pPr>
              <w:jc w:val="center"/>
              <w:rPr>
                <w:rFonts w:ascii="Arial" w:hAnsi="Arial" w:cs="Arial"/>
              </w:rPr>
            </w:pPr>
            <w:r>
              <w:rPr>
                <w:rFonts w:ascii="Arial" w:hAnsi="Arial" w:cs="Arial"/>
              </w:rPr>
              <w:t>TC = (0.0073 × a) + 0.0852</w:t>
            </w:r>
          </w:p>
        </w:tc>
        <w:tc>
          <w:tcPr>
            <w:tcW w:w="1362" w:type="dxa"/>
          </w:tcPr>
          <w:p>
            <w:pPr>
              <w:jc w:val="center"/>
              <w:rPr>
                <w:rFonts w:ascii="Arial" w:hAnsi="Arial" w:cs="Arial"/>
              </w:rPr>
            </w:pPr>
            <w:r>
              <w:rPr>
                <w:rFonts w:ascii="Arial" w:hAnsi="Arial" w:cs="Arial"/>
              </w:rPr>
              <w:t>0.94</w:t>
            </w:r>
          </w:p>
        </w:tc>
        <w:tc>
          <w:tcPr>
            <w:tcW w:w="1440" w:type="dxa"/>
          </w:tcPr>
          <w:p>
            <w:pPr>
              <w:jc w:val="center"/>
              <w:rPr>
                <w:rFonts w:ascii="Arial" w:hAnsi="Arial" w:cs="Arial"/>
              </w:rPr>
            </w:pPr>
            <w:r>
              <w:rPr>
                <w:rFonts w:ascii="Arial" w:hAnsi="Arial" w:cs="Arial"/>
              </w:rPr>
              <w:t>coconut palm</w:t>
            </w:r>
          </w:p>
          <w:p>
            <w:pPr>
              <w:jc w:val="center"/>
              <w:rPr>
                <w:rFonts w:ascii="Arial" w:hAnsi="Arial" w:cs="Arial"/>
              </w:rPr>
            </w:pPr>
            <w:r>
              <w:rPr>
                <w:rFonts w:ascii="Arial" w:hAnsi="Arial" w:cs="Arial"/>
              </w:rPr>
              <w:t>(tall variety)</w:t>
            </w:r>
          </w:p>
        </w:tc>
      </w:tr>
    </w:tbl>
    <w:p>
      <w:pPr>
        <w:jc w:val="both"/>
        <w:rPr>
          <w:rFonts w:ascii="Arial" w:hAnsi="Arial" w:cs="Arial"/>
          <w:b/>
          <w:bCs/>
        </w:rPr>
      </w:pPr>
    </w:p>
    <w:p>
      <w:pPr>
        <w:jc w:val="both"/>
        <w:rPr>
          <w:rFonts w:ascii="Arial" w:hAnsi="Arial" w:cs="Arial"/>
          <w:b/>
          <w:bCs/>
        </w:rPr>
      </w:pPr>
      <w:r>
        <w:rPr>
          <w:rFonts w:ascii="Arial" w:hAnsi="Arial" w:cs="Arial"/>
          <w:b/>
          <w:bCs/>
        </w:rPr>
        <w:t>4.2. Below ground biomass</w:t>
      </w:r>
    </w:p>
    <w:p>
      <w:pPr>
        <w:jc w:val="both"/>
        <w:rPr>
          <w:rFonts w:ascii="Arial" w:hAnsi="Arial" w:cs="Arial"/>
          <w:i/>
          <w:iCs/>
        </w:rPr>
      </w:pPr>
      <w:r>
        <w:rPr>
          <w:rFonts w:ascii="Arial" w:hAnsi="Arial" w:cs="Arial"/>
        </w:rPr>
        <w:t>The below ground carbon mass is 20% of above ground carbon mass</w:t>
      </w:r>
      <w:r>
        <w:rPr>
          <w:rFonts w:ascii="Arial" w:hAnsi="Arial" w:cs="Arial"/>
          <w:spacing w:val="1"/>
        </w:rPr>
        <w:t xml:space="preserve"> </w:t>
      </w:r>
      <w:r>
        <w:rPr>
          <w:rFonts w:ascii="Arial" w:hAnsi="Arial" w:cs="Arial"/>
        </w:rPr>
        <w:t xml:space="preserve">(Cairns et al., 1997). Carbon stock generally, for any plant species 50% of its biomass (Pearson et al., 2005) </w:t>
      </w:r>
      <w:r>
        <w:rPr>
          <w:rFonts w:ascii="Arial" w:hAnsi="Arial" w:cs="Arial"/>
          <w:i/>
          <w:iCs/>
        </w:rPr>
        <w:t>i.e.</w:t>
      </w:r>
    </w:p>
    <w:p>
      <w:pPr>
        <w:spacing w:after="0" w:line="240" w:lineRule="auto"/>
        <w:ind w:firstLine="720"/>
        <w:jc w:val="both"/>
        <w:rPr>
          <w:rFonts w:ascii="Arial" w:hAnsi="Arial" w:cs="Arial"/>
        </w:rPr>
      </w:pPr>
      <w:r>
        <w:rPr>
          <w:rFonts w:ascii="Arial" w:hAnsi="Arial" w:cs="Arial"/>
          <w:i/>
          <w:iCs/>
        </w:rPr>
        <w:t xml:space="preserve">                      </w:t>
      </w:r>
      <w:r>
        <w:rPr>
          <w:rFonts w:ascii="Arial" w:hAnsi="Arial" w:cs="Arial"/>
        </w:rPr>
        <w:t xml:space="preserve"> Carbon stock = Biomass × 0.5</w:t>
      </w:r>
    </w:p>
    <w:p>
      <w:pPr>
        <w:spacing w:after="0" w:line="240" w:lineRule="auto"/>
        <w:jc w:val="both"/>
        <w:rPr>
          <w:rFonts w:ascii="Arial" w:hAnsi="Arial" w:cs="Arial"/>
        </w:rPr>
      </w:pPr>
      <w:r>
        <w:rPr>
          <w:rFonts w:ascii="Arial" w:hAnsi="Arial" w:cs="Arial"/>
        </w:rPr>
        <w:t xml:space="preserve">                                   CO</w:t>
      </w:r>
      <w:r>
        <w:rPr>
          <w:rFonts w:ascii="Arial" w:hAnsi="Arial" w:cs="Arial"/>
          <w:vertAlign w:val="subscript"/>
        </w:rPr>
        <w:t>2</w:t>
      </w:r>
      <w:r>
        <w:rPr>
          <w:rFonts w:ascii="Arial" w:hAnsi="Arial" w:cs="Arial"/>
        </w:rPr>
        <w:t xml:space="preserve"> (t/ha) sequestered = Carbon stock (t/ha) x 3.67 as factor </w:t>
      </w:r>
    </w:p>
    <w:p>
      <w:pPr>
        <w:spacing w:after="0" w:line="240" w:lineRule="auto"/>
        <w:jc w:val="both"/>
        <w:rPr>
          <w:rFonts w:ascii="Arial" w:hAnsi="Arial" w:cs="Arial"/>
        </w:rPr>
      </w:pPr>
    </w:p>
    <w:p>
      <w:pPr>
        <w:jc w:val="both"/>
        <w:rPr>
          <w:rFonts w:ascii="Arial" w:hAnsi="Arial" w:cs="Arial"/>
          <w:b/>
          <w:bCs/>
        </w:rPr>
      </w:pPr>
      <w:r>
        <w:rPr>
          <w:rFonts w:ascii="Arial" w:hAnsi="Arial" w:cs="Arial"/>
          <w:b/>
          <w:bCs/>
        </w:rPr>
        <w:t xml:space="preserve"> 4.3. Soil Organic Matter (SOM)</w:t>
      </w:r>
    </w:p>
    <w:p>
      <w:pPr>
        <w:ind w:firstLine="720"/>
        <w:jc w:val="both"/>
        <w:rPr>
          <w:rFonts w:ascii="Arial" w:hAnsi="Arial" w:cs="Arial"/>
        </w:rPr>
      </w:pPr>
      <w:r>
        <w:rPr>
          <w:rFonts w:ascii="Arial" w:hAnsi="Arial" w:cs="Arial"/>
        </w:rPr>
        <w:t xml:space="preserve">For tropical soils to remain productive, soil organic matter (SOM) is essential. In addition to providing substrates and energy, it maintains the biological variety necessary to maintain soil quality and ecosystem function. SOM is a crucial component of total soil condition due to its immediate impact on soil characteristics (Wendling et al., 2010). For calculating soil organic matter, soil sample will be gathered in accordance with standard protocols from the crop basin. Wet oxidation method proposed by </w:t>
      </w:r>
      <w:proofErr w:type="spellStart"/>
      <w:r>
        <w:rPr>
          <w:rFonts w:ascii="Arial" w:hAnsi="Arial" w:cs="Arial"/>
        </w:rPr>
        <w:t>Walkey</w:t>
      </w:r>
      <w:proofErr w:type="spellEnd"/>
      <w:r>
        <w:rPr>
          <w:rFonts w:ascii="Arial" w:hAnsi="Arial" w:cs="Arial"/>
        </w:rPr>
        <w:t xml:space="preserve"> &amp; Black (1934) will be used for calculating organic carbon.</w:t>
      </w:r>
    </w:p>
    <w:p>
      <w:pPr>
        <w:jc w:val="both"/>
        <w:rPr>
          <w:rFonts w:ascii="Arial" w:hAnsi="Arial" w:cs="Arial"/>
        </w:rPr>
      </w:pPr>
    </w:p>
    <w:p>
      <w:pPr>
        <w:jc w:val="both"/>
        <w:rPr>
          <w:rFonts w:ascii="Arial" w:hAnsi="Arial" w:cs="Arial"/>
        </w:rPr>
      </w:pPr>
      <w:r>
        <w:rPr>
          <w:rFonts w:ascii="Arial" w:hAnsi="Arial" w:cs="Arial"/>
        </w:rPr>
        <w:t>Soil carbon stock was estimated by formula:</w:t>
      </w:r>
    </w:p>
    <w:p>
      <w:pPr>
        <w:spacing w:after="0"/>
        <w:jc w:val="both"/>
        <w:rPr>
          <w:rFonts w:ascii="Arial" w:hAnsi="Arial" w:cs="Arial"/>
        </w:rPr>
      </w:pPr>
      <w:r>
        <w:rPr>
          <w:rFonts w:ascii="Arial" w:hAnsi="Arial" w:cs="Arial"/>
        </w:rPr>
        <w:t xml:space="preserve"> Soil organic carbon stock (Mg ha</w:t>
      </w:r>
      <w:r>
        <w:rPr>
          <w:rFonts w:ascii="Arial" w:hAnsi="Arial" w:cs="Arial"/>
          <w:vertAlign w:val="superscript"/>
        </w:rPr>
        <w:t>-1</w:t>
      </w:r>
      <w:r>
        <w:rPr>
          <w:rFonts w:ascii="Arial" w:hAnsi="Arial" w:cs="Arial"/>
        </w:rPr>
        <w:t>) = [C concentration layer (kg Mg</w:t>
      </w:r>
      <w:r>
        <w:rPr>
          <w:rFonts w:ascii="Arial" w:hAnsi="Arial" w:cs="Arial"/>
          <w:vertAlign w:val="superscript"/>
        </w:rPr>
        <w:t>-1</w:t>
      </w:r>
      <w:r>
        <w:rPr>
          <w:rFonts w:ascii="Arial" w:hAnsi="Arial" w:cs="Arial"/>
        </w:rPr>
        <w:t>) × (Bulk density)</w:t>
      </w:r>
    </w:p>
    <w:p>
      <w:pPr>
        <w:spacing w:after="0"/>
        <w:jc w:val="both"/>
        <w:rPr>
          <w:rFonts w:ascii="Arial" w:hAnsi="Arial" w:cs="Arial"/>
        </w:rPr>
      </w:pPr>
      <w:r>
        <w:rPr>
          <w:rFonts w:ascii="Arial" w:hAnsi="Arial" w:cs="Arial"/>
        </w:rPr>
        <w:t xml:space="preserve">                                                                                                                               layer</w:t>
      </w:r>
    </w:p>
    <w:p>
      <w:pPr>
        <w:spacing w:after="0"/>
        <w:jc w:val="both"/>
        <w:rPr>
          <w:rFonts w:ascii="Arial" w:hAnsi="Arial" w:cs="Arial"/>
        </w:rPr>
      </w:pPr>
      <w:r>
        <w:rPr>
          <w:rFonts w:ascii="Arial" w:hAnsi="Arial" w:cs="Arial"/>
        </w:rPr>
        <w:t xml:space="preserve">                                                                     (Mg m</w:t>
      </w:r>
      <w:r>
        <w:rPr>
          <w:rFonts w:ascii="Arial" w:hAnsi="Arial" w:cs="Arial"/>
          <w:vertAlign w:val="superscript"/>
        </w:rPr>
        <w:t>-3</w:t>
      </w:r>
      <w:r>
        <w:rPr>
          <w:rFonts w:ascii="Arial" w:hAnsi="Arial" w:cs="Arial"/>
        </w:rPr>
        <w:t>) × Depth (m) × 10</w:t>
      </w:r>
      <w:r>
        <w:rPr>
          <w:rFonts w:ascii="Arial" w:hAnsi="Arial" w:cs="Arial"/>
          <w:vertAlign w:val="superscript"/>
        </w:rPr>
        <w:t>-3</w:t>
      </w:r>
      <w:r>
        <w:rPr>
          <w:rFonts w:ascii="Arial" w:hAnsi="Arial" w:cs="Arial"/>
        </w:rPr>
        <w:t xml:space="preserve"> Mg kg</w:t>
      </w:r>
      <w:r>
        <w:rPr>
          <w:rFonts w:ascii="Arial" w:hAnsi="Arial" w:cs="Arial"/>
          <w:vertAlign w:val="superscript"/>
        </w:rPr>
        <w:t>-1</w:t>
      </w:r>
      <w:r>
        <w:rPr>
          <w:rFonts w:ascii="Arial" w:hAnsi="Arial" w:cs="Arial"/>
        </w:rPr>
        <w:t xml:space="preserve"> × 10</w:t>
      </w:r>
      <w:r>
        <w:rPr>
          <w:rFonts w:ascii="Arial" w:hAnsi="Arial" w:cs="Arial"/>
          <w:vertAlign w:val="superscript"/>
        </w:rPr>
        <w:t>4</w:t>
      </w:r>
    </w:p>
    <w:p>
      <w:pPr>
        <w:spacing w:after="0"/>
        <w:jc w:val="both"/>
        <w:rPr>
          <w:rFonts w:ascii="Arial" w:hAnsi="Arial" w:cs="Arial"/>
        </w:rPr>
      </w:pPr>
      <w:r>
        <w:rPr>
          <w:rFonts w:ascii="Arial" w:hAnsi="Arial" w:cs="Arial"/>
        </w:rPr>
        <w:lastRenderedPageBreak/>
        <w:t xml:space="preserve">                                                                                                                         (m</w:t>
      </w:r>
      <w:r>
        <w:rPr>
          <w:rFonts w:ascii="Arial" w:hAnsi="Arial" w:cs="Arial"/>
          <w:vertAlign w:val="superscript"/>
        </w:rPr>
        <w:t>2</w:t>
      </w:r>
      <w:r>
        <w:rPr>
          <w:rFonts w:ascii="Arial" w:hAnsi="Arial" w:cs="Arial"/>
        </w:rPr>
        <w:t xml:space="preserve"> ha</w:t>
      </w:r>
      <w:r>
        <w:rPr>
          <w:rFonts w:ascii="Arial" w:hAnsi="Arial" w:cs="Arial"/>
          <w:vertAlign w:val="superscript"/>
        </w:rPr>
        <w:t>-1</w:t>
      </w:r>
      <w:r>
        <w:rPr>
          <w:rFonts w:ascii="Arial" w:hAnsi="Arial" w:cs="Arial"/>
        </w:rPr>
        <w:t>)</w:t>
      </w:r>
    </w:p>
    <w:p>
      <w:pPr>
        <w:spacing w:after="0"/>
        <w:jc w:val="both"/>
        <w:rPr>
          <w:rFonts w:ascii="Arial" w:hAnsi="Arial" w:cs="Arial"/>
        </w:rPr>
      </w:pPr>
      <w:r>
        <w:rPr>
          <w:rFonts w:ascii="Arial" w:hAnsi="Arial" w:cs="Arial"/>
        </w:rPr>
        <w:t xml:space="preserve">                                                                                                                             </w:t>
      </w:r>
    </w:p>
    <w:p>
      <w:pPr>
        <w:spacing w:after="0"/>
        <w:jc w:val="both"/>
        <w:rPr>
          <w:rFonts w:ascii="Arial" w:hAnsi="Arial" w:cs="Arial"/>
        </w:rPr>
      </w:pPr>
      <w:r>
        <w:rPr>
          <w:rFonts w:ascii="Arial" w:hAnsi="Arial" w:cs="Arial"/>
        </w:rPr>
        <w:t xml:space="preserve">                                                                                                (Srinivasan et al., 2012)</w:t>
      </w:r>
    </w:p>
    <w:p>
      <w:pPr>
        <w:jc w:val="both"/>
        <w:rPr>
          <w:rFonts w:ascii="Arial" w:hAnsi="Arial" w:cs="Arial"/>
          <w:b/>
          <w:bCs/>
        </w:rPr>
      </w:pPr>
    </w:p>
    <w:p>
      <w:pPr>
        <w:jc w:val="both"/>
        <w:rPr>
          <w:rFonts w:ascii="Arial" w:hAnsi="Arial" w:cs="Arial"/>
          <w:b/>
          <w:bCs/>
        </w:rPr>
      </w:pPr>
      <w:r>
        <w:rPr>
          <w:rFonts w:ascii="Arial" w:hAnsi="Arial" w:cs="Arial"/>
          <w:b/>
          <w:bCs/>
        </w:rPr>
        <w:t>5. Conclusion</w:t>
      </w:r>
    </w:p>
    <w:p>
      <w:pPr>
        <w:jc w:val="both"/>
        <w:rPr>
          <w:rFonts w:ascii="Arial" w:hAnsi="Arial" w:cs="Arial"/>
        </w:rPr>
      </w:pPr>
      <w:r>
        <w:rPr>
          <w:rFonts w:ascii="Arial" w:hAnsi="Arial" w:cs="Arial"/>
        </w:rPr>
        <w:t xml:space="preserve">With a lifespan of 50 to 60 years, the coconut palm is a very effective carbon sink because it can store carbon for a long time, especially in its stem. The age and variety of the tree affect how much carbon is sequestered; taller, older palms have a higher capacity to store carbon than dwarf or younger ones. Even though about 85% of a coconut palm's net primary production (NPP) is transferred to parts that decompose quickly, like leaves and fruits, efficient handling of this dead plant matter, like husk burial, is crucial for long-term soil carbon </w:t>
      </w:r>
      <w:proofErr w:type="spellStart"/>
      <w:proofErr w:type="gramStart"/>
      <w:r>
        <w:rPr>
          <w:rFonts w:ascii="Arial" w:hAnsi="Arial" w:cs="Arial"/>
        </w:rPr>
        <w:t>stabilization.The</w:t>
      </w:r>
      <w:proofErr w:type="spellEnd"/>
      <w:proofErr w:type="gramEnd"/>
      <w:r>
        <w:rPr>
          <w:rFonts w:ascii="Arial" w:hAnsi="Arial" w:cs="Arial"/>
        </w:rPr>
        <w:t xml:space="preserve"> most important discovery is that adding coconut to intercropping systems greatly increases the potential for carbon sequestration. Intercropping increases sunlight utilization and overall land use efficiency by making use of the empty space between palms. According</w:t>
      </w:r>
      <w:r>
        <w:rPr>
          <w:rFonts w:ascii="Arial" w:hAnsi="Arial" w:cs="Arial"/>
          <w:b/>
          <w:bCs/>
        </w:rPr>
        <w:t xml:space="preserve"> </w:t>
      </w:r>
      <w:r>
        <w:rPr>
          <w:rFonts w:ascii="Arial" w:hAnsi="Arial" w:cs="Arial"/>
        </w:rPr>
        <w:t xml:space="preserve">to studies, mixed systems like coconut and </w:t>
      </w:r>
      <w:proofErr w:type="spellStart"/>
      <w:r>
        <w:rPr>
          <w:rFonts w:ascii="Arial" w:hAnsi="Arial" w:cs="Arial"/>
        </w:rPr>
        <w:t>Gliricidia</w:t>
      </w:r>
      <w:proofErr w:type="spellEnd"/>
      <w:r>
        <w:rPr>
          <w:rFonts w:ascii="Arial" w:hAnsi="Arial" w:cs="Arial"/>
        </w:rPr>
        <w:t xml:space="preserve"> sequester 69.46% more carbon than a monocropping system of the same age, indicating a significant increase in total carbon stocks. Improvements in soil health, such as a 4% increase in topsoil's organic carbon content and, on average, a 23% increase in root biomass in intercropped fields, are what propel this improved sequestration. Intercropping is a superior climate mitigation strategy because of this methodical improvement of both above-ground and below-ground carbon pools. To create and validate allometric equations for different </w:t>
      </w:r>
      <w:proofErr w:type="spellStart"/>
      <w:r>
        <w:rPr>
          <w:rFonts w:ascii="Arial" w:hAnsi="Arial" w:cs="Arial"/>
        </w:rPr>
        <w:t>agro</w:t>
      </w:r>
      <w:proofErr w:type="spellEnd"/>
      <w:r>
        <w:rPr>
          <w:rFonts w:ascii="Arial" w:hAnsi="Arial" w:cs="Arial"/>
        </w:rPr>
        <w:t xml:space="preserve">-climatic zones, thorough research is necessary. An examination of the viability of intercropping systems in these same zones, with an emphasis on their capacity to produce carbon credits, ought to complement this research. Additionally, a coconut-based </w:t>
      </w:r>
      <w:proofErr w:type="spellStart"/>
      <w:r>
        <w:rPr>
          <w:rFonts w:ascii="Arial" w:hAnsi="Arial" w:cs="Arial"/>
        </w:rPr>
        <w:t>agro</w:t>
      </w:r>
      <w:proofErr w:type="spellEnd"/>
      <w:r>
        <w:rPr>
          <w:rFonts w:ascii="Arial" w:hAnsi="Arial" w:cs="Arial"/>
        </w:rPr>
        <w:t>-forestry model offers rural communities a comprehensive, natural solution with advantages that go far beyond simple carbon sequestration. It increases economic resilience by providing farmers with a variety of revenue sources and lowering the chance of complete crop failure. By boosting biodiversity and enhancing soil health, these systems also improve overall ecosystem services. A critical first step in developing more resilient, productive, and ecologically sound agricultural landscapes that support rural prosperity and climate mitigation is the shift to these integrated systems.</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b/>
          <w:bCs/>
        </w:rPr>
      </w:pPr>
      <w:r>
        <w:rPr>
          <w:rFonts w:ascii="Arial" w:hAnsi="Arial" w:cs="Arial"/>
          <w:b/>
          <w:bCs/>
        </w:rPr>
        <w:t>6. References</w:t>
      </w:r>
    </w:p>
    <w:p>
      <w:pPr>
        <w:pStyle w:val="ListParagraph"/>
        <w:numPr>
          <w:ilvl w:val="0"/>
          <w:numId w:val="6"/>
        </w:numPr>
        <w:jc w:val="both"/>
        <w:rPr>
          <w:rFonts w:ascii="Arial" w:hAnsi="Arial" w:cs="Arial"/>
        </w:rPr>
      </w:pPr>
      <w:proofErr w:type="spellStart"/>
      <w:r>
        <w:rPr>
          <w:rFonts w:ascii="Arial" w:hAnsi="Arial" w:cs="Arial"/>
        </w:rPr>
        <w:t>Antiporda</w:t>
      </w:r>
      <w:proofErr w:type="spellEnd"/>
      <w:r>
        <w:rPr>
          <w:rFonts w:ascii="Arial" w:hAnsi="Arial" w:cs="Arial"/>
        </w:rPr>
        <w:t xml:space="preserve">, G. W., </w:t>
      </w:r>
      <w:proofErr w:type="spellStart"/>
      <w:r>
        <w:rPr>
          <w:rFonts w:ascii="Arial" w:hAnsi="Arial" w:cs="Arial"/>
        </w:rPr>
        <w:t>Bernaldez</w:t>
      </w:r>
      <w:proofErr w:type="spellEnd"/>
      <w:r>
        <w:rPr>
          <w:rFonts w:ascii="Arial" w:hAnsi="Arial" w:cs="Arial"/>
        </w:rPr>
        <w:t xml:space="preserve">, K. M. E., &amp; </w:t>
      </w:r>
      <w:proofErr w:type="spellStart"/>
      <w:r>
        <w:rPr>
          <w:rFonts w:ascii="Arial" w:hAnsi="Arial" w:cs="Arial"/>
        </w:rPr>
        <w:t>Gesta</w:t>
      </w:r>
      <w:proofErr w:type="spellEnd"/>
      <w:r>
        <w:rPr>
          <w:rFonts w:ascii="Arial" w:hAnsi="Arial" w:cs="Arial"/>
        </w:rPr>
        <w:t xml:space="preserve">, J. L. E. (2024, October 17). Assessment of Synthetic Aperture Radar (SAR) and Optical Remote Sensing Data in Aboveground Carbon Stock Estimation of Coconut (Cocos nucifera L.) </w:t>
      </w:r>
      <w:r>
        <w:rPr>
          <w:rFonts w:ascii="Arial" w:hAnsi="Arial" w:cs="Arial"/>
        </w:rPr>
        <w:lastRenderedPageBreak/>
        <w:t>in Butuan City. In Proceedings of International Exchange and Innovation Conference on Engineering &amp; Sciences (IEICES) (Vol. 10, pp. 211–218). </w:t>
      </w:r>
      <w:hyperlink r:id="rId18" w:tgtFrame="_blank" w:history="1">
        <w:r>
          <w:rPr>
            <w:rStyle w:val="Hyperlink"/>
            <w:rFonts w:ascii="Arial" w:hAnsi="Arial" w:cs="Arial"/>
          </w:rPr>
          <w:t>https://doi.org/10.5109/7323265</w:t>
        </w:r>
      </w:hyperlink>
    </w:p>
    <w:p>
      <w:pPr>
        <w:pStyle w:val="ListParagraph"/>
        <w:numPr>
          <w:ilvl w:val="0"/>
          <w:numId w:val="6"/>
        </w:numPr>
        <w:jc w:val="both"/>
        <w:rPr>
          <w:rFonts w:ascii="Arial" w:hAnsi="Arial" w:cs="Arial"/>
        </w:rPr>
      </w:pPr>
      <w:r>
        <w:rPr>
          <w:rFonts w:ascii="Arial" w:hAnsi="Arial" w:cs="Arial"/>
        </w:rPr>
        <w:t xml:space="preserve">Avalos, G., </w:t>
      </w:r>
      <w:proofErr w:type="spellStart"/>
      <w:r>
        <w:rPr>
          <w:rFonts w:ascii="Arial" w:hAnsi="Arial" w:cs="Arial"/>
        </w:rPr>
        <w:t>Cambronero</w:t>
      </w:r>
      <w:proofErr w:type="spellEnd"/>
      <w:r>
        <w:rPr>
          <w:rFonts w:ascii="Arial" w:hAnsi="Arial" w:cs="Arial"/>
        </w:rPr>
        <w:t>, M. and Alvarez-</w:t>
      </w:r>
      <w:proofErr w:type="spellStart"/>
      <w:r>
        <w:rPr>
          <w:rFonts w:ascii="Arial" w:hAnsi="Arial" w:cs="Arial"/>
        </w:rPr>
        <w:t>Vergnani</w:t>
      </w:r>
      <w:proofErr w:type="spellEnd"/>
      <w:r>
        <w:rPr>
          <w:rFonts w:ascii="Arial" w:hAnsi="Arial" w:cs="Arial"/>
        </w:rPr>
        <w:t xml:space="preserve">, C. (2022). Allometric Models to Estimate Carbon Content in </w:t>
      </w:r>
      <w:proofErr w:type="spellStart"/>
      <w:r>
        <w:rPr>
          <w:rFonts w:ascii="Arial" w:hAnsi="Arial" w:cs="Arial"/>
        </w:rPr>
        <w:t>Arecaceae</w:t>
      </w:r>
      <w:proofErr w:type="spellEnd"/>
      <w:r>
        <w:rPr>
          <w:rFonts w:ascii="Arial" w:hAnsi="Arial" w:cs="Arial"/>
        </w:rPr>
        <w:t xml:space="preserve"> Based on Seven Species of Neotropical Palms. Front. For. Glob. Change, 5, p.867912.</w:t>
      </w:r>
    </w:p>
    <w:p>
      <w:pPr>
        <w:pStyle w:val="ListParagraph"/>
        <w:numPr>
          <w:ilvl w:val="0"/>
          <w:numId w:val="6"/>
        </w:numPr>
        <w:jc w:val="both"/>
        <w:rPr>
          <w:rFonts w:ascii="Arial" w:hAnsi="Arial" w:cs="Arial"/>
        </w:rPr>
      </w:pPr>
      <w:r>
        <w:rPr>
          <w:rFonts w:ascii="Arial" w:hAnsi="Arial" w:cs="Arial"/>
        </w:rPr>
        <w:t xml:space="preserve">Bhagya, H.P., </w:t>
      </w:r>
      <w:proofErr w:type="spellStart"/>
      <w:r>
        <w:rPr>
          <w:rFonts w:ascii="Arial" w:hAnsi="Arial" w:cs="Arial"/>
        </w:rPr>
        <w:t>Maheswarappa</w:t>
      </w:r>
      <w:proofErr w:type="spellEnd"/>
      <w:r>
        <w:rPr>
          <w:rFonts w:ascii="Arial" w:hAnsi="Arial" w:cs="Arial"/>
        </w:rPr>
        <w:t>, H.P., Surekha, and Bhat, R. 2017. Carbon sequestration potential in coconut-based cropping systems. Indian Journal of Horticulture, 74(1): 1-5</w:t>
      </w:r>
    </w:p>
    <w:p>
      <w:pPr>
        <w:pStyle w:val="ListParagraph"/>
        <w:numPr>
          <w:ilvl w:val="0"/>
          <w:numId w:val="6"/>
        </w:numPr>
        <w:jc w:val="both"/>
        <w:rPr>
          <w:rFonts w:ascii="Arial" w:hAnsi="Arial" w:cs="Arial"/>
        </w:rPr>
      </w:pPr>
      <w:r>
        <w:rPr>
          <w:rFonts w:ascii="Arial" w:hAnsi="Arial" w:cs="Arial"/>
        </w:rPr>
        <w:t xml:space="preserve">Bhoomika, H. R., </w:t>
      </w:r>
      <w:proofErr w:type="spellStart"/>
      <w:r>
        <w:rPr>
          <w:rFonts w:ascii="Arial" w:hAnsi="Arial" w:cs="Arial"/>
        </w:rPr>
        <w:t>Srigandha</w:t>
      </w:r>
      <w:proofErr w:type="spellEnd"/>
      <w:r>
        <w:rPr>
          <w:rFonts w:ascii="Arial" w:hAnsi="Arial" w:cs="Arial"/>
        </w:rPr>
        <w:t xml:space="preserve">, D. D. and </w:t>
      </w:r>
      <w:proofErr w:type="spellStart"/>
      <w:r>
        <w:rPr>
          <w:rFonts w:ascii="Arial" w:hAnsi="Arial" w:cs="Arial"/>
        </w:rPr>
        <w:t>Tejashwini</w:t>
      </w:r>
      <w:proofErr w:type="spellEnd"/>
      <w:r>
        <w:rPr>
          <w:rFonts w:ascii="Arial" w:hAnsi="Arial" w:cs="Arial"/>
        </w:rPr>
        <w:t xml:space="preserve">, C. R. 2024. Spices as intercrops in coconut based cropping system. Vigyan </w:t>
      </w:r>
      <w:proofErr w:type="spellStart"/>
      <w:r>
        <w:rPr>
          <w:rFonts w:ascii="Arial" w:hAnsi="Arial" w:cs="Arial"/>
        </w:rPr>
        <w:t>Varta</w:t>
      </w:r>
      <w:proofErr w:type="spellEnd"/>
      <w:r>
        <w:rPr>
          <w:rFonts w:ascii="Arial" w:hAnsi="Arial" w:cs="Arial"/>
        </w:rPr>
        <w:t xml:space="preserve"> 5(3): 41-45.</w:t>
      </w:r>
    </w:p>
    <w:p>
      <w:pPr>
        <w:pStyle w:val="ListParagraph"/>
        <w:numPr>
          <w:ilvl w:val="0"/>
          <w:numId w:val="6"/>
        </w:numPr>
        <w:jc w:val="both"/>
        <w:rPr>
          <w:rFonts w:ascii="Arial" w:hAnsi="Arial" w:cs="Arial"/>
        </w:rPr>
      </w:pPr>
      <w:proofErr w:type="spellStart"/>
      <w:r>
        <w:rPr>
          <w:rFonts w:ascii="Arial" w:hAnsi="Arial" w:cs="Arial"/>
        </w:rPr>
        <w:t>Boomiraj</w:t>
      </w:r>
      <w:proofErr w:type="spellEnd"/>
      <w:r>
        <w:rPr>
          <w:rFonts w:ascii="Arial" w:hAnsi="Arial" w:cs="Arial"/>
        </w:rPr>
        <w:t xml:space="preserve">, K., Poornima, R., Umar, R. M., </w:t>
      </w:r>
      <w:proofErr w:type="spellStart"/>
      <w:r>
        <w:rPr>
          <w:rFonts w:ascii="Arial" w:hAnsi="Arial" w:cs="Arial"/>
        </w:rPr>
        <w:t>Senthilraja</w:t>
      </w:r>
      <w:proofErr w:type="spellEnd"/>
      <w:r>
        <w:rPr>
          <w:rFonts w:ascii="Arial" w:hAnsi="Arial" w:cs="Arial"/>
        </w:rPr>
        <w:t xml:space="preserve">, K., </w:t>
      </w:r>
      <w:proofErr w:type="spellStart"/>
      <w:r>
        <w:rPr>
          <w:rFonts w:ascii="Arial" w:hAnsi="Arial" w:cs="Arial"/>
        </w:rPr>
        <w:t>Sudhagar</w:t>
      </w:r>
      <w:proofErr w:type="spellEnd"/>
      <w:r>
        <w:rPr>
          <w:rFonts w:ascii="Arial" w:hAnsi="Arial" w:cs="Arial"/>
        </w:rPr>
        <w:t xml:space="preserve">, R. J., &amp; </w:t>
      </w:r>
      <w:proofErr w:type="spellStart"/>
      <w:r>
        <w:rPr>
          <w:rFonts w:ascii="Arial" w:hAnsi="Arial" w:cs="Arial"/>
        </w:rPr>
        <w:t>Jagadeeswaran</w:t>
      </w:r>
      <w:proofErr w:type="spellEnd"/>
      <w:r>
        <w:rPr>
          <w:rFonts w:ascii="Arial" w:hAnsi="Arial" w:cs="Arial"/>
        </w:rPr>
        <w:t xml:space="preserve">, R. (2021). Assessing the climate change mitigation potential of coconut plantation in </w:t>
      </w:r>
      <w:proofErr w:type="spellStart"/>
      <w:r>
        <w:rPr>
          <w:rFonts w:ascii="Arial" w:hAnsi="Arial" w:cs="Arial"/>
        </w:rPr>
        <w:t>Dindigul</w:t>
      </w:r>
      <w:proofErr w:type="spellEnd"/>
      <w:r>
        <w:rPr>
          <w:rFonts w:ascii="Arial" w:hAnsi="Arial" w:cs="Arial"/>
        </w:rPr>
        <w:t xml:space="preserve"> district of Tamil Nadu. International Journal of Chemical Studies, 9(2), pp. 298–301.</w:t>
      </w:r>
    </w:p>
    <w:p>
      <w:pPr>
        <w:pStyle w:val="ListParagraph"/>
        <w:numPr>
          <w:ilvl w:val="0"/>
          <w:numId w:val="6"/>
        </w:numPr>
        <w:jc w:val="both"/>
        <w:rPr>
          <w:rFonts w:ascii="Arial" w:hAnsi="Arial" w:cs="Arial"/>
        </w:rPr>
      </w:pPr>
      <w:r>
        <w:rPr>
          <w:rFonts w:ascii="Arial" w:hAnsi="Arial" w:cs="Arial"/>
        </w:rPr>
        <w:t xml:space="preserve">Bui, M.; </w:t>
      </w:r>
      <w:proofErr w:type="spellStart"/>
      <w:r>
        <w:rPr>
          <w:rFonts w:ascii="Arial" w:hAnsi="Arial" w:cs="Arial"/>
        </w:rPr>
        <w:t>Adjiman</w:t>
      </w:r>
      <w:proofErr w:type="spellEnd"/>
      <w:r>
        <w:rPr>
          <w:rFonts w:ascii="Arial" w:hAnsi="Arial" w:cs="Arial"/>
        </w:rPr>
        <w:t xml:space="preserve">, C.S.; </w:t>
      </w:r>
      <w:proofErr w:type="spellStart"/>
      <w:r>
        <w:rPr>
          <w:rFonts w:ascii="Arial" w:hAnsi="Arial" w:cs="Arial"/>
        </w:rPr>
        <w:t>Bardow</w:t>
      </w:r>
      <w:proofErr w:type="spellEnd"/>
      <w:r>
        <w:rPr>
          <w:rFonts w:ascii="Arial" w:hAnsi="Arial" w:cs="Arial"/>
        </w:rPr>
        <w:t xml:space="preserve">, A.; Anthony, E.J.; Boston, A.; Brown, S.; Mac Dowell, N. Carbon capture and storage (CCS): The </w:t>
      </w:r>
      <w:proofErr w:type="spellStart"/>
      <w:r>
        <w:rPr>
          <w:rFonts w:ascii="Arial" w:hAnsi="Arial" w:cs="Arial"/>
        </w:rPr>
        <w:t>wayforward</w:t>
      </w:r>
      <w:proofErr w:type="spellEnd"/>
      <w:r>
        <w:rPr>
          <w:rFonts w:ascii="Arial" w:hAnsi="Arial" w:cs="Arial"/>
        </w:rPr>
        <w:t>. Energy Environ. Sci. 2018, 11, 1062–1176.</w:t>
      </w:r>
    </w:p>
    <w:p>
      <w:pPr>
        <w:pStyle w:val="ListParagraph"/>
        <w:numPr>
          <w:ilvl w:val="0"/>
          <w:numId w:val="6"/>
        </w:numPr>
        <w:jc w:val="both"/>
        <w:rPr>
          <w:rFonts w:ascii="Arial" w:hAnsi="Arial" w:cs="Arial"/>
        </w:rPr>
      </w:pPr>
      <w:r>
        <w:rPr>
          <w:rFonts w:ascii="Arial" w:hAnsi="Arial" w:cs="Arial"/>
        </w:rPr>
        <w:t>Campo, J., &amp; Merino, A. (2016). Variations in soil carbon sequestration and their determinants along a precipitation gradient in seasonally dry tropical forest ecosystems. Global Change Biology, 22(5), 1942–1956.</w:t>
      </w:r>
    </w:p>
    <w:p>
      <w:pPr>
        <w:pStyle w:val="ListParagraph"/>
        <w:numPr>
          <w:ilvl w:val="0"/>
          <w:numId w:val="6"/>
        </w:numPr>
        <w:jc w:val="both"/>
        <w:rPr>
          <w:rFonts w:ascii="Arial" w:hAnsi="Arial" w:cs="Arial"/>
        </w:rPr>
      </w:pPr>
      <w:proofErr w:type="spellStart"/>
      <w:r>
        <w:rPr>
          <w:rFonts w:ascii="Arial" w:hAnsi="Arial" w:cs="Arial"/>
        </w:rPr>
        <w:t>Chave</w:t>
      </w:r>
      <w:proofErr w:type="spellEnd"/>
      <w:r>
        <w:rPr>
          <w:rFonts w:ascii="Arial" w:hAnsi="Arial" w:cs="Arial"/>
        </w:rPr>
        <w:t xml:space="preserve"> J, </w:t>
      </w:r>
      <w:proofErr w:type="spellStart"/>
      <w:r>
        <w:rPr>
          <w:rFonts w:ascii="Arial" w:hAnsi="Arial" w:cs="Arial"/>
        </w:rPr>
        <w:t>Andalo</w:t>
      </w:r>
      <w:proofErr w:type="spellEnd"/>
      <w:r>
        <w:rPr>
          <w:rFonts w:ascii="Arial" w:hAnsi="Arial" w:cs="Arial"/>
        </w:rPr>
        <w:t xml:space="preserve"> C, Brown S, Cairns MA, Chambers JQ, </w:t>
      </w:r>
      <w:proofErr w:type="spellStart"/>
      <w:r>
        <w:rPr>
          <w:rFonts w:ascii="Arial" w:hAnsi="Arial" w:cs="Arial"/>
        </w:rPr>
        <w:t>Eamus</w:t>
      </w:r>
      <w:proofErr w:type="spellEnd"/>
      <w:r>
        <w:rPr>
          <w:rFonts w:ascii="Arial" w:hAnsi="Arial" w:cs="Arial"/>
        </w:rPr>
        <w:t xml:space="preserve"> D, </w:t>
      </w:r>
      <w:proofErr w:type="spellStart"/>
      <w:r>
        <w:rPr>
          <w:rFonts w:ascii="Arial" w:hAnsi="Arial" w:cs="Arial"/>
        </w:rPr>
        <w:t>Fölster</w:t>
      </w:r>
      <w:proofErr w:type="spellEnd"/>
      <w:r>
        <w:rPr>
          <w:rFonts w:ascii="Arial" w:hAnsi="Arial" w:cs="Arial"/>
        </w:rPr>
        <w:t xml:space="preserve"> H, </w:t>
      </w:r>
      <w:proofErr w:type="spellStart"/>
      <w:r>
        <w:rPr>
          <w:rFonts w:ascii="Arial" w:hAnsi="Arial" w:cs="Arial"/>
        </w:rPr>
        <w:t>Fromard</w:t>
      </w:r>
      <w:proofErr w:type="spellEnd"/>
      <w:r>
        <w:rPr>
          <w:rFonts w:ascii="Arial" w:hAnsi="Arial" w:cs="Arial"/>
        </w:rPr>
        <w:t xml:space="preserve"> F, Higuchi N, Kira T, </w:t>
      </w:r>
      <w:proofErr w:type="spellStart"/>
      <w:r>
        <w:rPr>
          <w:rFonts w:ascii="Arial" w:hAnsi="Arial" w:cs="Arial"/>
        </w:rPr>
        <w:t>Lescure</w:t>
      </w:r>
      <w:proofErr w:type="spellEnd"/>
      <w:r>
        <w:rPr>
          <w:rFonts w:ascii="Arial" w:hAnsi="Arial" w:cs="Arial"/>
        </w:rPr>
        <w:t xml:space="preserve"> JP, Nelson BW, Ogawa H, Puig H, </w:t>
      </w:r>
      <w:proofErr w:type="spellStart"/>
      <w:r>
        <w:rPr>
          <w:rFonts w:ascii="Arial" w:hAnsi="Arial" w:cs="Arial"/>
        </w:rPr>
        <w:t>Riéra</w:t>
      </w:r>
      <w:proofErr w:type="spellEnd"/>
      <w:r>
        <w:rPr>
          <w:rFonts w:ascii="Arial" w:hAnsi="Arial" w:cs="Arial"/>
        </w:rPr>
        <w:t xml:space="preserve"> B, </w:t>
      </w:r>
      <w:proofErr w:type="spellStart"/>
      <w:r>
        <w:rPr>
          <w:rFonts w:ascii="Arial" w:hAnsi="Arial" w:cs="Arial"/>
        </w:rPr>
        <w:t>Yamakura</w:t>
      </w:r>
      <w:proofErr w:type="spellEnd"/>
      <w:r>
        <w:rPr>
          <w:rFonts w:ascii="Arial" w:hAnsi="Arial" w:cs="Arial"/>
        </w:rPr>
        <w:t xml:space="preserve"> T (2005) Tree allometry and improved estimation of carbon stocks and balance in tropical forests. </w:t>
      </w:r>
      <w:proofErr w:type="spellStart"/>
      <w:r>
        <w:rPr>
          <w:rFonts w:ascii="Arial" w:hAnsi="Arial" w:cs="Arial"/>
        </w:rPr>
        <w:t>Oecologia</w:t>
      </w:r>
      <w:proofErr w:type="spellEnd"/>
      <w:r>
        <w:rPr>
          <w:rFonts w:ascii="Arial" w:hAnsi="Arial" w:cs="Arial"/>
        </w:rPr>
        <w:t xml:space="preserve"> 145:87–99. https://doi.org/10.1007/s00442-005-0100-x</w:t>
      </w:r>
    </w:p>
    <w:p>
      <w:pPr>
        <w:pStyle w:val="ListParagraph"/>
        <w:numPr>
          <w:ilvl w:val="0"/>
          <w:numId w:val="6"/>
        </w:numPr>
        <w:jc w:val="both"/>
        <w:rPr>
          <w:rFonts w:ascii="Arial" w:hAnsi="Arial" w:cs="Arial"/>
        </w:rPr>
      </w:pPr>
      <w:proofErr w:type="spellStart"/>
      <w:r>
        <w:rPr>
          <w:rFonts w:ascii="Arial" w:hAnsi="Arial" w:cs="Arial"/>
        </w:rPr>
        <w:t>Ciais</w:t>
      </w:r>
      <w:proofErr w:type="spellEnd"/>
      <w:r>
        <w:rPr>
          <w:rFonts w:ascii="Arial" w:hAnsi="Arial" w:cs="Arial"/>
        </w:rPr>
        <w:t xml:space="preserve"> P, Denning AS, Tans PP, Berry JA, Randall DA, </w:t>
      </w:r>
      <w:proofErr w:type="spellStart"/>
      <w:r>
        <w:rPr>
          <w:rFonts w:ascii="Arial" w:hAnsi="Arial" w:cs="Arial"/>
        </w:rPr>
        <w:t>Collatz</w:t>
      </w:r>
      <w:proofErr w:type="spellEnd"/>
      <w:r>
        <w:rPr>
          <w:rFonts w:ascii="Arial" w:hAnsi="Arial" w:cs="Arial"/>
        </w:rPr>
        <w:t xml:space="preserve"> GJ, Sellers PJ, White JWC, </w:t>
      </w:r>
      <w:proofErr w:type="spellStart"/>
      <w:r>
        <w:rPr>
          <w:rFonts w:ascii="Arial" w:hAnsi="Arial" w:cs="Arial"/>
        </w:rPr>
        <w:t>Trolier</w:t>
      </w:r>
      <w:proofErr w:type="spellEnd"/>
      <w:r>
        <w:rPr>
          <w:rFonts w:ascii="Arial" w:hAnsi="Arial" w:cs="Arial"/>
        </w:rPr>
        <w:t xml:space="preserve"> M, Meijer HAJ, </w:t>
      </w:r>
      <w:proofErr w:type="spellStart"/>
      <w:r>
        <w:rPr>
          <w:rFonts w:ascii="Arial" w:hAnsi="Arial" w:cs="Arial"/>
        </w:rPr>
        <w:t>Francey</w:t>
      </w:r>
      <w:proofErr w:type="spellEnd"/>
      <w:r>
        <w:rPr>
          <w:rFonts w:ascii="Arial" w:hAnsi="Arial" w:cs="Arial"/>
        </w:rPr>
        <w:t xml:space="preserve"> RJ, </w:t>
      </w:r>
      <w:proofErr w:type="spellStart"/>
      <w:r>
        <w:rPr>
          <w:rFonts w:ascii="Arial" w:hAnsi="Arial" w:cs="Arial"/>
        </w:rPr>
        <w:t>Monfray</w:t>
      </w:r>
      <w:proofErr w:type="spellEnd"/>
      <w:r>
        <w:rPr>
          <w:rFonts w:ascii="Arial" w:hAnsi="Arial" w:cs="Arial"/>
        </w:rPr>
        <w:t xml:space="preserve"> P, &amp; </w:t>
      </w:r>
      <w:proofErr w:type="spellStart"/>
      <w:r>
        <w:rPr>
          <w:rFonts w:ascii="Arial" w:hAnsi="Arial" w:cs="Arial"/>
        </w:rPr>
        <w:t>Heimann</w:t>
      </w:r>
      <w:proofErr w:type="spellEnd"/>
      <w:r>
        <w:rPr>
          <w:rFonts w:ascii="Arial" w:hAnsi="Arial" w:cs="Arial"/>
        </w:rPr>
        <w:t xml:space="preserve"> M (1997), A three-dimensional synthesis study of δ18O in atmospheric CO2. 1. Surface Fluxes. Journal of Geophysical Research – Atmosphere, 102: 5857 – 5872.</w:t>
      </w:r>
    </w:p>
    <w:p>
      <w:pPr>
        <w:pStyle w:val="ListParagraph"/>
        <w:numPr>
          <w:ilvl w:val="0"/>
          <w:numId w:val="6"/>
        </w:numPr>
        <w:jc w:val="both"/>
        <w:rPr>
          <w:rFonts w:ascii="Arial" w:hAnsi="Arial" w:cs="Arial"/>
        </w:rPr>
      </w:pPr>
      <w:r>
        <w:rPr>
          <w:rFonts w:ascii="Arial" w:hAnsi="Arial" w:cs="Arial"/>
        </w:rPr>
        <w:t>CO2.Earth, 2023. CO2 Future Projection. Available at: https://www.co2.earth/23-co2-future [Accessed 13 August 2025]</w:t>
      </w:r>
    </w:p>
    <w:p>
      <w:pPr>
        <w:pStyle w:val="ListParagraph"/>
        <w:numPr>
          <w:ilvl w:val="0"/>
          <w:numId w:val="6"/>
        </w:numPr>
        <w:jc w:val="both"/>
        <w:rPr>
          <w:rFonts w:ascii="Arial" w:hAnsi="Arial" w:cs="Arial"/>
        </w:rPr>
      </w:pPr>
      <w:r>
        <w:rPr>
          <w:rFonts w:ascii="Arial" w:hAnsi="Arial" w:cs="Arial"/>
        </w:rPr>
        <w:t xml:space="preserve">Cong, W. F., </w:t>
      </w:r>
      <w:proofErr w:type="spellStart"/>
      <w:r>
        <w:rPr>
          <w:rFonts w:ascii="Arial" w:hAnsi="Arial" w:cs="Arial"/>
        </w:rPr>
        <w:t>Hoffland</w:t>
      </w:r>
      <w:proofErr w:type="spellEnd"/>
      <w:r>
        <w:rPr>
          <w:rFonts w:ascii="Arial" w:hAnsi="Arial" w:cs="Arial"/>
        </w:rPr>
        <w:t xml:space="preserve">, E., Li, L., Six, J., Sun, J. H., Bao, X. G., Zhang, F. S., &amp; Van Der </w:t>
      </w:r>
      <w:proofErr w:type="spellStart"/>
      <w:r>
        <w:rPr>
          <w:rFonts w:ascii="Arial" w:hAnsi="Arial" w:cs="Arial"/>
        </w:rPr>
        <w:t>Werf</w:t>
      </w:r>
      <w:proofErr w:type="spellEnd"/>
      <w:r>
        <w:rPr>
          <w:rFonts w:ascii="Arial" w:hAnsi="Arial" w:cs="Arial"/>
        </w:rPr>
        <w:t>, W. (2015). Intercropping enhances soil carbon and nitrogen. Global change biology, 21(4), 1715–1726. https://doi.org/10.1111/gcb.12738</w:t>
      </w:r>
    </w:p>
    <w:p>
      <w:pPr>
        <w:pStyle w:val="ListParagraph"/>
        <w:numPr>
          <w:ilvl w:val="0"/>
          <w:numId w:val="6"/>
        </w:numPr>
        <w:jc w:val="both"/>
        <w:rPr>
          <w:rFonts w:ascii="Arial" w:hAnsi="Arial" w:cs="Arial"/>
        </w:rPr>
      </w:pPr>
      <w:r>
        <w:rPr>
          <w:rFonts w:ascii="Arial" w:hAnsi="Arial" w:cs="Arial"/>
        </w:rPr>
        <w:t>CPCRI. Annual Report 2002-03. Central Plantation Crops Research Institute; c2003. p. 32-33, 38.</w:t>
      </w:r>
    </w:p>
    <w:p>
      <w:pPr>
        <w:pStyle w:val="ListParagraph"/>
        <w:numPr>
          <w:ilvl w:val="0"/>
          <w:numId w:val="6"/>
        </w:numPr>
        <w:jc w:val="both"/>
        <w:rPr>
          <w:rFonts w:ascii="Arial" w:hAnsi="Arial" w:cs="Arial"/>
        </w:rPr>
      </w:pPr>
      <w:r>
        <w:rPr>
          <w:rFonts w:ascii="Arial" w:hAnsi="Arial" w:cs="Arial"/>
        </w:rPr>
        <w:t>Central Plantation Crops Research Institute (CPCRI). (2010). </w:t>
      </w:r>
      <w:r>
        <w:rPr>
          <w:rFonts w:ascii="Arial" w:hAnsi="Arial" w:cs="Arial"/>
          <w:i/>
          <w:iCs/>
        </w:rPr>
        <w:t>Intercropping in coconut garden</w:t>
      </w:r>
      <w:r>
        <w:rPr>
          <w:rFonts w:ascii="Arial" w:hAnsi="Arial" w:cs="Arial"/>
        </w:rPr>
        <w:t>. CPCRI. </w:t>
      </w:r>
      <w:hyperlink r:id="rId19" w:tgtFrame="_blank" w:history="1">
        <w:r>
          <w:rPr>
            <w:rStyle w:val="Hyperlink"/>
            <w:rFonts w:ascii="Arial" w:hAnsi="Arial" w:cs="Arial"/>
          </w:rPr>
          <w:t>https://cpcri.gov.in/filemgr/webfs/publication/CP17561.pdf</w:t>
        </w:r>
      </w:hyperlink>
    </w:p>
    <w:p>
      <w:pPr>
        <w:pStyle w:val="ListParagraph"/>
        <w:numPr>
          <w:ilvl w:val="0"/>
          <w:numId w:val="6"/>
        </w:numPr>
        <w:jc w:val="both"/>
        <w:rPr>
          <w:rFonts w:ascii="Arial" w:hAnsi="Arial" w:cs="Arial"/>
        </w:rPr>
      </w:pPr>
      <w:r>
        <w:rPr>
          <w:rFonts w:ascii="Arial" w:hAnsi="Arial" w:cs="Arial"/>
        </w:rPr>
        <w:lastRenderedPageBreak/>
        <w:t xml:space="preserve">C.S. Ranasinghe, and K.S.H. </w:t>
      </w:r>
      <w:proofErr w:type="spellStart"/>
      <w:r>
        <w:rPr>
          <w:rFonts w:ascii="Arial" w:hAnsi="Arial" w:cs="Arial"/>
        </w:rPr>
        <w:t>Thimothias</w:t>
      </w:r>
      <w:proofErr w:type="spellEnd"/>
      <w:r>
        <w:rPr>
          <w:rFonts w:ascii="Arial" w:hAnsi="Arial" w:cs="Arial"/>
        </w:rPr>
        <w:t xml:space="preserve">, Estimation of carbon sequestration potential in coconut plantations under different agroecological regions and land suitability classes. Journal </w:t>
      </w:r>
      <w:proofErr w:type="gramStart"/>
      <w:r>
        <w:rPr>
          <w:rFonts w:ascii="Arial" w:hAnsi="Arial" w:cs="Arial"/>
        </w:rPr>
        <w:t>Of</w:t>
      </w:r>
      <w:proofErr w:type="gramEnd"/>
      <w:r>
        <w:rPr>
          <w:rFonts w:ascii="Arial" w:hAnsi="Arial" w:cs="Arial"/>
        </w:rPr>
        <w:t xml:space="preserve"> Manuscript Studies, 2015, 5(1), 1-17.</w:t>
      </w:r>
    </w:p>
    <w:p>
      <w:pPr>
        <w:pStyle w:val="ListParagraph"/>
        <w:numPr>
          <w:ilvl w:val="0"/>
          <w:numId w:val="6"/>
        </w:numPr>
        <w:jc w:val="both"/>
        <w:rPr>
          <w:rFonts w:ascii="Arial" w:hAnsi="Arial" w:cs="Arial"/>
        </w:rPr>
      </w:pPr>
      <w:r>
        <w:rPr>
          <w:rFonts w:ascii="Arial" w:hAnsi="Arial" w:cs="Arial"/>
        </w:rPr>
        <w:t>Davidson, E. A., &amp; Janssens, I. A. (2006). Temperature sensitivity of soil carbon decomposition and feedbacks to climate change. Nature, 440(7080), 165-173.</w:t>
      </w:r>
    </w:p>
    <w:p>
      <w:pPr>
        <w:pStyle w:val="ListParagraph"/>
        <w:numPr>
          <w:ilvl w:val="0"/>
          <w:numId w:val="6"/>
        </w:numPr>
        <w:jc w:val="both"/>
        <w:rPr>
          <w:rFonts w:ascii="Arial" w:hAnsi="Arial" w:cs="Arial"/>
        </w:rPr>
      </w:pPr>
      <w:r>
        <w:rPr>
          <w:rFonts w:ascii="Arial" w:hAnsi="Arial" w:cs="Arial"/>
        </w:rPr>
        <w:t xml:space="preserve">Davis, S.J., </w:t>
      </w:r>
      <w:proofErr w:type="spellStart"/>
      <w:r>
        <w:rPr>
          <w:rFonts w:ascii="Arial" w:hAnsi="Arial" w:cs="Arial"/>
        </w:rPr>
        <w:t>Caldeira</w:t>
      </w:r>
      <w:proofErr w:type="spellEnd"/>
      <w:r>
        <w:rPr>
          <w:rFonts w:ascii="Arial" w:hAnsi="Arial" w:cs="Arial"/>
        </w:rPr>
        <w:t>, K. and Matthews, H.D. (2010). Future CO2 emissions and climate change from existing energy infrastructure. Sci. 329(3): 1330-1333.</w:t>
      </w:r>
    </w:p>
    <w:p>
      <w:pPr>
        <w:pStyle w:val="ListParagraph"/>
        <w:numPr>
          <w:ilvl w:val="0"/>
          <w:numId w:val="6"/>
        </w:numPr>
        <w:jc w:val="both"/>
        <w:rPr>
          <w:rFonts w:ascii="Arial" w:hAnsi="Arial" w:cs="Arial"/>
        </w:rPr>
      </w:pPr>
      <w:r>
        <w:rPr>
          <w:rFonts w:ascii="Arial" w:hAnsi="Arial" w:cs="Arial"/>
        </w:rPr>
        <w:t xml:space="preserve">Deb Burman, P. K., </w:t>
      </w:r>
      <w:proofErr w:type="spellStart"/>
      <w:r>
        <w:rPr>
          <w:rFonts w:ascii="Arial" w:hAnsi="Arial" w:cs="Arial"/>
        </w:rPr>
        <w:t>Sarma</w:t>
      </w:r>
      <w:proofErr w:type="spellEnd"/>
      <w:r>
        <w:rPr>
          <w:rFonts w:ascii="Arial" w:hAnsi="Arial" w:cs="Arial"/>
        </w:rPr>
        <w:t xml:space="preserve">, D., Chakraborty, S., </w:t>
      </w:r>
      <w:proofErr w:type="spellStart"/>
      <w:r>
        <w:rPr>
          <w:rFonts w:ascii="Arial" w:hAnsi="Arial" w:cs="Arial"/>
        </w:rPr>
        <w:t>Karipot</w:t>
      </w:r>
      <w:proofErr w:type="spellEnd"/>
      <w:r>
        <w:rPr>
          <w:rFonts w:ascii="Arial" w:hAnsi="Arial" w:cs="Arial"/>
        </w:rPr>
        <w:t>, A., &amp; Jain, A. K. (2020). The effect of Indian summer monsoon on the seasonal variation of carbon sequestration by a forest ecosystem over North-East India. SN Applied Sciences, 2(1), 154.</w:t>
      </w:r>
    </w:p>
    <w:p>
      <w:pPr>
        <w:pStyle w:val="ListParagraph"/>
        <w:numPr>
          <w:ilvl w:val="0"/>
          <w:numId w:val="6"/>
        </w:numPr>
        <w:jc w:val="both"/>
        <w:rPr>
          <w:rFonts w:ascii="Arial" w:hAnsi="Arial" w:cs="Arial"/>
        </w:rPr>
      </w:pPr>
      <w:r>
        <w:rPr>
          <w:rFonts w:ascii="Arial" w:hAnsi="Arial" w:cs="Arial"/>
        </w:rPr>
        <w:t xml:space="preserve">Durieux A. Effect of lighting on the production of vegetable crops. III International Symposium on artificial lighting in horticulture. ISHS Acta </w:t>
      </w:r>
      <w:proofErr w:type="spellStart"/>
      <w:r>
        <w:rPr>
          <w:rFonts w:ascii="Arial" w:hAnsi="Arial" w:cs="Arial"/>
        </w:rPr>
        <w:t>Horticulturae</w:t>
      </w:r>
      <w:proofErr w:type="spellEnd"/>
      <w:r>
        <w:rPr>
          <w:rFonts w:ascii="Arial" w:hAnsi="Arial" w:cs="Arial"/>
        </w:rPr>
        <w:t>. 1997;418.</w:t>
      </w:r>
    </w:p>
    <w:p>
      <w:pPr>
        <w:pStyle w:val="ListParagraph"/>
        <w:numPr>
          <w:ilvl w:val="0"/>
          <w:numId w:val="6"/>
        </w:numPr>
        <w:jc w:val="both"/>
        <w:rPr>
          <w:rFonts w:ascii="Arial" w:hAnsi="Arial" w:cs="Arial"/>
        </w:rPr>
      </w:pPr>
      <w:r>
        <w:rPr>
          <w:rFonts w:ascii="Arial" w:hAnsi="Arial" w:cs="Arial"/>
        </w:rPr>
        <w:t>FAOSTAT (2025) Crops and Livestock Products – Coconut. Rome, Food and Agriculture Organization of the United Nations. Available at: https://www.fao.org/faostat (Accessed: 13 August 2025).</w:t>
      </w:r>
    </w:p>
    <w:p>
      <w:pPr>
        <w:pStyle w:val="ListParagraph"/>
        <w:numPr>
          <w:ilvl w:val="0"/>
          <w:numId w:val="6"/>
        </w:numPr>
        <w:jc w:val="both"/>
        <w:rPr>
          <w:rFonts w:ascii="Arial" w:hAnsi="Arial" w:cs="Arial"/>
        </w:rPr>
      </w:pPr>
      <w:r>
        <w:rPr>
          <w:rFonts w:ascii="Arial" w:hAnsi="Arial" w:cs="Arial"/>
        </w:rPr>
        <w:t xml:space="preserve">Farquhar GD, Lloyd J, Taylor JA, Flanagan LB, </w:t>
      </w:r>
      <w:proofErr w:type="spellStart"/>
      <w:r>
        <w:rPr>
          <w:rFonts w:ascii="Arial" w:hAnsi="Arial" w:cs="Arial"/>
        </w:rPr>
        <w:t>Syvertsen</w:t>
      </w:r>
      <w:proofErr w:type="spellEnd"/>
      <w:r>
        <w:rPr>
          <w:rFonts w:ascii="Arial" w:hAnsi="Arial" w:cs="Arial"/>
        </w:rPr>
        <w:t xml:space="preserve"> JP, </w:t>
      </w:r>
      <w:proofErr w:type="spellStart"/>
      <w:r>
        <w:rPr>
          <w:rFonts w:ascii="Arial" w:hAnsi="Arial" w:cs="Arial"/>
        </w:rPr>
        <w:t>Hubick</w:t>
      </w:r>
      <w:proofErr w:type="spellEnd"/>
      <w:r>
        <w:rPr>
          <w:rFonts w:ascii="Arial" w:hAnsi="Arial" w:cs="Arial"/>
        </w:rPr>
        <w:t xml:space="preserve"> KT, Wong SC, &amp; </w:t>
      </w:r>
      <w:proofErr w:type="spellStart"/>
      <w:r>
        <w:rPr>
          <w:rFonts w:ascii="Arial" w:hAnsi="Arial" w:cs="Arial"/>
        </w:rPr>
        <w:t>Ehleringer</w:t>
      </w:r>
      <w:proofErr w:type="spellEnd"/>
      <w:r>
        <w:rPr>
          <w:rFonts w:ascii="Arial" w:hAnsi="Arial" w:cs="Arial"/>
        </w:rPr>
        <w:t xml:space="preserve"> JR (1993). Vegetation effects on the isotope composition of oxygen in atmospheric CO2. Nature, 363: 439 – 443.Gangaiah, B., Pooja Bohra, Harsha </w:t>
      </w:r>
      <w:proofErr w:type="spellStart"/>
      <w:r>
        <w:rPr>
          <w:rFonts w:ascii="Arial" w:hAnsi="Arial" w:cs="Arial"/>
        </w:rPr>
        <w:t>Haridas</w:t>
      </w:r>
      <w:proofErr w:type="spellEnd"/>
      <w:r>
        <w:rPr>
          <w:rFonts w:ascii="Arial" w:hAnsi="Arial" w:cs="Arial"/>
        </w:rPr>
        <w:t xml:space="preserve">, P. A. </w:t>
      </w:r>
      <w:proofErr w:type="spellStart"/>
      <w:r>
        <w:rPr>
          <w:rFonts w:ascii="Arial" w:hAnsi="Arial" w:cs="Arial"/>
        </w:rPr>
        <w:t>Bala</w:t>
      </w:r>
      <w:proofErr w:type="spellEnd"/>
      <w:r>
        <w:rPr>
          <w:rFonts w:ascii="Arial" w:hAnsi="Arial" w:cs="Arial"/>
        </w:rPr>
        <w:t xml:space="preserve">, K. </w:t>
      </w:r>
      <w:proofErr w:type="spellStart"/>
      <w:r>
        <w:rPr>
          <w:rFonts w:ascii="Arial" w:hAnsi="Arial" w:cs="Arial"/>
        </w:rPr>
        <w:t>Saktivel</w:t>
      </w:r>
      <w:proofErr w:type="spellEnd"/>
      <w:r>
        <w:rPr>
          <w:rFonts w:ascii="Arial" w:hAnsi="Arial" w:cs="Arial"/>
        </w:rPr>
        <w:t xml:space="preserve">, S. K. Zamir Ahmed, N. </w:t>
      </w:r>
      <w:proofErr w:type="spellStart"/>
      <w:r>
        <w:rPr>
          <w:rFonts w:ascii="Arial" w:hAnsi="Arial" w:cs="Arial"/>
        </w:rPr>
        <w:t>Bommayasamy</w:t>
      </w:r>
      <w:proofErr w:type="spellEnd"/>
      <w:r>
        <w:rPr>
          <w:rFonts w:ascii="Arial" w:hAnsi="Arial" w:cs="Arial"/>
        </w:rPr>
        <w:t xml:space="preserve">, K. Saravanan, Sushil Kumar Singh and T. P. </w:t>
      </w:r>
      <w:proofErr w:type="spellStart"/>
      <w:r>
        <w:rPr>
          <w:rFonts w:ascii="Arial" w:hAnsi="Arial" w:cs="Arial"/>
        </w:rPr>
        <w:t>Swarnam</w:t>
      </w:r>
      <w:proofErr w:type="spellEnd"/>
      <w:r>
        <w:rPr>
          <w:rFonts w:ascii="Arial" w:hAnsi="Arial" w:cs="Arial"/>
        </w:rPr>
        <w:t>. 2019. An Overview of Integrated Farming Systems of Coastal India. ICAR- Central Island Agricultural Research Institute, Port Blair, pp 1-185.</w:t>
      </w:r>
    </w:p>
    <w:p>
      <w:pPr>
        <w:pStyle w:val="ListParagraph"/>
        <w:numPr>
          <w:ilvl w:val="0"/>
          <w:numId w:val="6"/>
        </w:numPr>
        <w:jc w:val="both"/>
        <w:rPr>
          <w:rFonts w:ascii="Arial" w:hAnsi="Arial" w:cs="Arial"/>
        </w:rPr>
      </w:pPr>
      <w:proofErr w:type="spellStart"/>
      <w:r>
        <w:rPr>
          <w:rFonts w:ascii="Arial" w:hAnsi="Arial" w:cs="Arial"/>
        </w:rPr>
        <w:t>Ganeshamurthy</w:t>
      </w:r>
      <w:proofErr w:type="spellEnd"/>
      <w:r>
        <w:rPr>
          <w:rFonts w:ascii="Arial" w:hAnsi="Arial" w:cs="Arial"/>
        </w:rPr>
        <w:t>, A.N. Strategies for Soil Carbon Sequestration Through Horticultural Crops. In Climate-Resilient Horticulture: Adaptation and Mitigation Strategies; Springer: Haldia, India, 2013; pp. 221–235.</w:t>
      </w:r>
    </w:p>
    <w:p>
      <w:pPr>
        <w:pStyle w:val="ListParagraph"/>
        <w:numPr>
          <w:ilvl w:val="0"/>
          <w:numId w:val="6"/>
        </w:numPr>
        <w:jc w:val="both"/>
        <w:rPr>
          <w:rFonts w:ascii="Arial" w:hAnsi="Arial" w:cs="Arial"/>
        </w:rPr>
      </w:pPr>
      <w:r>
        <w:rPr>
          <w:rFonts w:ascii="Arial" w:hAnsi="Arial" w:cs="Arial"/>
        </w:rPr>
        <w:t xml:space="preserve">Gautam, K., Kumar, N., Ram, A., Dev, I., Choudhury, B. U., Singh, N. R., </w:t>
      </w:r>
      <w:proofErr w:type="spellStart"/>
      <w:r>
        <w:rPr>
          <w:rFonts w:ascii="Arial" w:hAnsi="Arial" w:cs="Arial"/>
        </w:rPr>
        <w:t>Handa</w:t>
      </w:r>
      <w:proofErr w:type="spellEnd"/>
      <w:r>
        <w:rPr>
          <w:rFonts w:ascii="Arial" w:hAnsi="Arial" w:cs="Arial"/>
        </w:rPr>
        <w:t xml:space="preserve">, A. K., Yadav, A., </w:t>
      </w:r>
      <w:proofErr w:type="spellStart"/>
      <w:r>
        <w:rPr>
          <w:rFonts w:ascii="Arial" w:hAnsi="Arial" w:cs="Arial"/>
        </w:rPr>
        <w:t>Anuragi</w:t>
      </w:r>
      <w:proofErr w:type="spellEnd"/>
      <w:r>
        <w:rPr>
          <w:rFonts w:ascii="Arial" w:hAnsi="Arial" w:cs="Arial"/>
        </w:rPr>
        <w:t xml:space="preserve">, H., </w:t>
      </w:r>
      <w:proofErr w:type="spellStart"/>
      <w:r>
        <w:rPr>
          <w:rFonts w:ascii="Arial" w:hAnsi="Arial" w:cs="Arial"/>
        </w:rPr>
        <w:t>Uthappa</w:t>
      </w:r>
      <w:proofErr w:type="spellEnd"/>
      <w:r>
        <w:rPr>
          <w:rFonts w:ascii="Arial" w:hAnsi="Arial" w:cs="Arial"/>
        </w:rPr>
        <w:t xml:space="preserve">, A. R., Kumar, D., Arunachalam, A., &amp; </w:t>
      </w:r>
      <w:proofErr w:type="spellStart"/>
      <w:r>
        <w:rPr>
          <w:rFonts w:ascii="Arial" w:hAnsi="Arial" w:cs="Arial"/>
        </w:rPr>
        <w:t>Jinger</w:t>
      </w:r>
      <w:proofErr w:type="spellEnd"/>
      <w:r>
        <w:rPr>
          <w:rFonts w:ascii="Arial" w:hAnsi="Arial" w:cs="Arial"/>
        </w:rPr>
        <w:t>, D. (2025). Root architecture and carbon sequestration potential of fast-growing agroforestry tree species in semi-arid Central India. Frontiers in Agronomy, 7, Article 1597122. https://doi.org/10.3389/fagro.2025.1597122</w:t>
      </w:r>
    </w:p>
    <w:p>
      <w:pPr>
        <w:pStyle w:val="ListParagraph"/>
        <w:numPr>
          <w:ilvl w:val="0"/>
          <w:numId w:val="6"/>
        </w:numPr>
        <w:jc w:val="both"/>
        <w:rPr>
          <w:rFonts w:ascii="Arial" w:hAnsi="Arial" w:cs="Arial"/>
        </w:rPr>
      </w:pPr>
      <w:r>
        <w:rPr>
          <w:rFonts w:ascii="Arial" w:hAnsi="Arial" w:cs="Arial"/>
        </w:rPr>
        <w:t xml:space="preserve">George V. Thomas, V. </w:t>
      </w:r>
      <w:proofErr w:type="spellStart"/>
      <w:r>
        <w:rPr>
          <w:rFonts w:ascii="Arial" w:hAnsi="Arial" w:cs="Arial"/>
        </w:rPr>
        <w:t>Krishanakumar</w:t>
      </w:r>
      <w:proofErr w:type="spellEnd"/>
      <w:r>
        <w:rPr>
          <w:rFonts w:ascii="Arial" w:hAnsi="Arial" w:cs="Arial"/>
        </w:rPr>
        <w:t xml:space="preserve">, H.P. </w:t>
      </w:r>
      <w:proofErr w:type="spellStart"/>
      <w:r>
        <w:rPr>
          <w:rFonts w:ascii="Arial" w:hAnsi="Arial" w:cs="Arial"/>
        </w:rPr>
        <w:t>Maheswarappa</w:t>
      </w:r>
      <w:proofErr w:type="spellEnd"/>
      <w:r>
        <w:rPr>
          <w:rFonts w:ascii="Arial" w:hAnsi="Arial" w:cs="Arial"/>
        </w:rPr>
        <w:t xml:space="preserve"> and C. </w:t>
      </w:r>
      <w:proofErr w:type="spellStart"/>
      <w:r>
        <w:rPr>
          <w:rFonts w:ascii="Arial" w:hAnsi="Arial" w:cs="Arial"/>
        </w:rPr>
        <w:t>Palaniswami</w:t>
      </w:r>
      <w:proofErr w:type="spellEnd"/>
      <w:r>
        <w:rPr>
          <w:rFonts w:ascii="Arial" w:hAnsi="Arial" w:cs="Arial"/>
        </w:rPr>
        <w:t>. 2010. Coconut Based Cropping/Farming Systems. Central Plantation Crops Research Institute, Kasaragod. 2010, 231 p.</w:t>
      </w:r>
    </w:p>
    <w:p>
      <w:pPr>
        <w:pStyle w:val="ListParagraph"/>
        <w:numPr>
          <w:ilvl w:val="0"/>
          <w:numId w:val="6"/>
        </w:numPr>
        <w:jc w:val="both"/>
        <w:rPr>
          <w:rFonts w:ascii="Arial" w:hAnsi="Arial" w:cs="Arial"/>
        </w:rPr>
      </w:pPr>
      <w:proofErr w:type="spellStart"/>
      <w:r>
        <w:rPr>
          <w:rFonts w:ascii="Arial" w:hAnsi="Arial" w:cs="Arial"/>
        </w:rPr>
        <w:t>Gopalasundaram</w:t>
      </w:r>
      <w:proofErr w:type="spellEnd"/>
      <w:r>
        <w:rPr>
          <w:rFonts w:ascii="Arial" w:hAnsi="Arial" w:cs="Arial"/>
        </w:rPr>
        <w:t xml:space="preserve">, P. and </w:t>
      </w:r>
      <w:proofErr w:type="spellStart"/>
      <w:r>
        <w:rPr>
          <w:rFonts w:ascii="Arial" w:hAnsi="Arial" w:cs="Arial"/>
        </w:rPr>
        <w:t>Nelliat</w:t>
      </w:r>
      <w:proofErr w:type="spellEnd"/>
      <w:r>
        <w:rPr>
          <w:rFonts w:ascii="Arial" w:hAnsi="Arial" w:cs="Arial"/>
        </w:rPr>
        <w:t xml:space="preserve">, E. V. (1979). Intercropping in coconut. 6-23. In: Multiple Cropping in Coconut and </w:t>
      </w:r>
      <w:proofErr w:type="spellStart"/>
      <w:r>
        <w:rPr>
          <w:rFonts w:ascii="Arial" w:hAnsi="Arial" w:cs="Arial"/>
        </w:rPr>
        <w:t>Arecanut</w:t>
      </w:r>
      <w:proofErr w:type="spellEnd"/>
      <w:r>
        <w:rPr>
          <w:rFonts w:ascii="Arial" w:hAnsi="Arial" w:cs="Arial"/>
        </w:rPr>
        <w:t xml:space="preserve"> gardens (</w:t>
      </w:r>
      <w:proofErr w:type="spellStart"/>
      <w:r>
        <w:rPr>
          <w:rFonts w:ascii="Arial" w:hAnsi="Arial" w:cs="Arial"/>
        </w:rPr>
        <w:t>Nelliat</w:t>
      </w:r>
      <w:proofErr w:type="spellEnd"/>
      <w:r>
        <w:rPr>
          <w:rFonts w:ascii="Arial" w:hAnsi="Arial" w:cs="Arial"/>
        </w:rPr>
        <w:t>, E. V. and Bhat, K. S. (Eds.</w:t>
      </w:r>
      <w:proofErr w:type="gramStart"/>
      <w:r>
        <w:rPr>
          <w:rFonts w:ascii="Arial" w:hAnsi="Arial" w:cs="Arial"/>
        </w:rPr>
        <w:t>)..</w:t>
      </w:r>
      <w:proofErr w:type="gramEnd"/>
      <w:r>
        <w:rPr>
          <w:rFonts w:ascii="Arial" w:hAnsi="Arial" w:cs="Arial"/>
        </w:rPr>
        <w:t xml:space="preserve"> Tech. Bull. No. 3, Central Plantation Crops Research Institute, Kasaragod.</w:t>
      </w:r>
    </w:p>
    <w:p>
      <w:pPr>
        <w:pStyle w:val="ListParagraph"/>
        <w:numPr>
          <w:ilvl w:val="0"/>
          <w:numId w:val="6"/>
        </w:numPr>
        <w:jc w:val="both"/>
        <w:rPr>
          <w:rFonts w:ascii="Arial" w:hAnsi="Arial" w:cs="Arial"/>
        </w:rPr>
      </w:pPr>
      <w:proofErr w:type="spellStart"/>
      <w:r>
        <w:rPr>
          <w:rFonts w:ascii="Arial" w:hAnsi="Arial" w:cs="Arial"/>
        </w:rPr>
        <w:t>Hairiah</w:t>
      </w:r>
      <w:proofErr w:type="spellEnd"/>
      <w:r>
        <w:rPr>
          <w:rFonts w:ascii="Arial" w:hAnsi="Arial" w:cs="Arial"/>
        </w:rPr>
        <w:t xml:space="preserve"> K, </w:t>
      </w:r>
      <w:proofErr w:type="spellStart"/>
      <w:r>
        <w:rPr>
          <w:rFonts w:ascii="Arial" w:hAnsi="Arial" w:cs="Arial"/>
        </w:rPr>
        <w:t>Sitompul</w:t>
      </w:r>
      <w:proofErr w:type="spellEnd"/>
      <w:r>
        <w:rPr>
          <w:rFonts w:ascii="Arial" w:hAnsi="Arial" w:cs="Arial"/>
        </w:rPr>
        <w:t xml:space="preserve"> SM, Van </w:t>
      </w:r>
      <w:proofErr w:type="spellStart"/>
      <w:r>
        <w:rPr>
          <w:rFonts w:ascii="Arial" w:hAnsi="Arial" w:cs="Arial"/>
        </w:rPr>
        <w:t>Noordwijk</w:t>
      </w:r>
      <w:proofErr w:type="spellEnd"/>
      <w:r>
        <w:rPr>
          <w:rFonts w:ascii="Arial" w:hAnsi="Arial" w:cs="Arial"/>
        </w:rPr>
        <w:t xml:space="preserve"> M, Palm C (2001) Methods for sampling carbon stocks above and below ground. Bogor</w:t>
      </w:r>
    </w:p>
    <w:p>
      <w:pPr>
        <w:pStyle w:val="ListParagraph"/>
        <w:numPr>
          <w:ilvl w:val="0"/>
          <w:numId w:val="6"/>
        </w:numPr>
        <w:jc w:val="both"/>
        <w:rPr>
          <w:rFonts w:ascii="Arial" w:hAnsi="Arial" w:cs="Arial"/>
        </w:rPr>
      </w:pPr>
      <w:r>
        <w:rPr>
          <w:rFonts w:ascii="Arial" w:hAnsi="Arial" w:cs="Arial"/>
        </w:rPr>
        <w:lastRenderedPageBreak/>
        <w:t xml:space="preserve">Hall DO, Scurlock JMO, </w:t>
      </w:r>
      <w:proofErr w:type="spellStart"/>
      <w:r>
        <w:rPr>
          <w:rFonts w:ascii="Arial" w:hAnsi="Arial" w:cs="Arial"/>
        </w:rPr>
        <w:t>Bolhar-Nordenkampfe</w:t>
      </w:r>
      <w:proofErr w:type="spellEnd"/>
      <w:r>
        <w:rPr>
          <w:rFonts w:ascii="Arial" w:hAnsi="Arial" w:cs="Arial"/>
        </w:rPr>
        <w:t xml:space="preserve"> HR, </w:t>
      </w:r>
      <w:proofErr w:type="spellStart"/>
      <w:r>
        <w:rPr>
          <w:rFonts w:ascii="Arial" w:hAnsi="Arial" w:cs="Arial"/>
        </w:rPr>
        <w:t>Leegood</w:t>
      </w:r>
      <w:proofErr w:type="spellEnd"/>
      <w:r>
        <w:rPr>
          <w:rFonts w:ascii="Arial" w:hAnsi="Arial" w:cs="Arial"/>
        </w:rPr>
        <w:t xml:space="preserve"> PC, &amp; Long SP (1993). Photosynthesis and Production in a Changing Environment: A Field and Laboratory Manual, (eds.)]. Chapman and Hall, London, 464pp.</w:t>
      </w:r>
    </w:p>
    <w:p>
      <w:pPr>
        <w:pStyle w:val="ListParagraph"/>
        <w:numPr>
          <w:ilvl w:val="0"/>
          <w:numId w:val="6"/>
        </w:numPr>
        <w:jc w:val="both"/>
        <w:rPr>
          <w:rFonts w:ascii="Arial" w:hAnsi="Arial" w:cs="Arial"/>
        </w:rPr>
      </w:pPr>
      <w:proofErr w:type="spellStart"/>
      <w:proofErr w:type="gramStart"/>
      <w:r>
        <w:rPr>
          <w:rFonts w:ascii="Arial" w:hAnsi="Arial" w:cs="Arial"/>
        </w:rPr>
        <w:t>Hamburg,S.P</w:t>
      </w:r>
      <w:proofErr w:type="spellEnd"/>
      <w:r>
        <w:rPr>
          <w:rFonts w:ascii="Arial" w:hAnsi="Arial" w:cs="Arial"/>
        </w:rPr>
        <w:t>.</w:t>
      </w:r>
      <w:proofErr w:type="gramEnd"/>
      <w:r>
        <w:rPr>
          <w:rFonts w:ascii="Arial" w:hAnsi="Arial" w:cs="Arial"/>
        </w:rPr>
        <w:t xml:space="preserve"> Simple rules for measuring changes in ecosystem carbon in forestry-offset projects. </w:t>
      </w:r>
      <w:proofErr w:type="spellStart"/>
      <w:r>
        <w:rPr>
          <w:rFonts w:ascii="Arial" w:hAnsi="Arial" w:cs="Arial"/>
        </w:rPr>
        <w:t>Mitig</w:t>
      </w:r>
      <w:proofErr w:type="spellEnd"/>
      <w:r>
        <w:rPr>
          <w:rFonts w:ascii="Arial" w:hAnsi="Arial" w:cs="Arial"/>
        </w:rPr>
        <w:t xml:space="preserve">. Adapt. </w:t>
      </w:r>
      <w:proofErr w:type="spellStart"/>
      <w:r>
        <w:rPr>
          <w:rFonts w:ascii="Arial" w:hAnsi="Arial" w:cs="Arial"/>
        </w:rPr>
        <w:t>Strateg</w:t>
      </w:r>
      <w:proofErr w:type="spellEnd"/>
      <w:r>
        <w:rPr>
          <w:rFonts w:ascii="Arial" w:hAnsi="Arial" w:cs="Arial"/>
        </w:rPr>
        <w:t>. Glob. Change 2000, 5, 25–37.</w:t>
      </w:r>
    </w:p>
    <w:p>
      <w:pPr>
        <w:pStyle w:val="ListParagraph"/>
        <w:numPr>
          <w:ilvl w:val="0"/>
          <w:numId w:val="6"/>
        </w:numPr>
        <w:jc w:val="both"/>
        <w:rPr>
          <w:rFonts w:ascii="Arial" w:hAnsi="Arial" w:cs="Arial"/>
        </w:rPr>
      </w:pPr>
      <w:proofErr w:type="spellStart"/>
      <w:r>
        <w:rPr>
          <w:rFonts w:ascii="Arial" w:hAnsi="Arial" w:cs="Arial"/>
        </w:rPr>
        <w:t>Hebbar</w:t>
      </w:r>
      <w:proofErr w:type="spellEnd"/>
      <w:r>
        <w:rPr>
          <w:rFonts w:ascii="Arial" w:hAnsi="Arial" w:cs="Arial"/>
        </w:rPr>
        <w:t xml:space="preserve">, K.B.; Neethu, P.; Sukumar, P.A.; </w:t>
      </w:r>
      <w:proofErr w:type="spellStart"/>
      <w:r>
        <w:rPr>
          <w:rFonts w:ascii="Arial" w:hAnsi="Arial" w:cs="Arial"/>
        </w:rPr>
        <w:t>Sujithra</w:t>
      </w:r>
      <w:proofErr w:type="spellEnd"/>
      <w:r>
        <w:rPr>
          <w:rFonts w:ascii="Arial" w:hAnsi="Arial" w:cs="Arial"/>
        </w:rPr>
        <w:t xml:space="preserve">, M.; Santhosh, A.; Ramesh, S.V.; </w:t>
      </w:r>
      <w:proofErr w:type="spellStart"/>
      <w:r>
        <w:rPr>
          <w:rFonts w:ascii="Arial" w:hAnsi="Arial" w:cs="Arial"/>
        </w:rPr>
        <w:t>Niral</w:t>
      </w:r>
      <w:proofErr w:type="spellEnd"/>
      <w:r>
        <w:rPr>
          <w:rFonts w:ascii="Arial" w:hAnsi="Arial" w:cs="Arial"/>
        </w:rPr>
        <w:t xml:space="preserve">, V.; </w:t>
      </w:r>
      <w:proofErr w:type="spellStart"/>
      <w:r>
        <w:rPr>
          <w:rFonts w:ascii="Arial" w:hAnsi="Arial" w:cs="Arial"/>
        </w:rPr>
        <w:t>Hareesh</w:t>
      </w:r>
      <w:proofErr w:type="spellEnd"/>
      <w:r>
        <w:rPr>
          <w:rFonts w:ascii="Arial" w:hAnsi="Arial" w:cs="Arial"/>
        </w:rPr>
        <w:t xml:space="preserve">, G.S.; </w:t>
      </w:r>
      <w:proofErr w:type="spellStart"/>
      <w:r>
        <w:rPr>
          <w:rFonts w:ascii="Arial" w:hAnsi="Arial" w:cs="Arial"/>
        </w:rPr>
        <w:t>Nameer</w:t>
      </w:r>
      <w:proofErr w:type="spellEnd"/>
      <w:r>
        <w:rPr>
          <w:rFonts w:ascii="Arial" w:hAnsi="Arial" w:cs="Arial"/>
        </w:rPr>
        <w:t xml:space="preserve">, P.O.; Prasad, P.V.V. Understanding physiology and impacts of high temperature stress on the </w:t>
      </w:r>
      <w:proofErr w:type="spellStart"/>
      <w:r>
        <w:rPr>
          <w:rFonts w:ascii="Arial" w:hAnsi="Arial" w:cs="Arial"/>
        </w:rPr>
        <w:t>progamic</w:t>
      </w:r>
      <w:proofErr w:type="spellEnd"/>
      <w:r>
        <w:rPr>
          <w:rFonts w:ascii="Arial" w:hAnsi="Arial" w:cs="Arial"/>
        </w:rPr>
        <w:t xml:space="preserve"> phase of coconut (Cocos nucifera L.). Plants 2020, 9, 1651.</w:t>
      </w:r>
    </w:p>
    <w:p>
      <w:pPr>
        <w:pStyle w:val="ListParagraph"/>
        <w:numPr>
          <w:ilvl w:val="0"/>
          <w:numId w:val="6"/>
        </w:numPr>
        <w:jc w:val="both"/>
        <w:rPr>
          <w:rFonts w:ascii="Arial" w:hAnsi="Arial" w:cs="Arial"/>
        </w:rPr>
      </w:pPr>
      <w:proofErr w:type="spellStart"/>
      <w:proofErr w:type="gramStart"/>
      <w:r>
        <w:rPr>
          <w:rFonts w:ascii="Arial" w:hAnsi="Arial" w:cs="Arial"/>
        </w:rPr>
        <w:t>Hebbar,K.B</w:t>
      </w:r>
      <w:proofErr w:type="spellEnd"/>
      <w:r>
        <w:rPr>
          <w:rFonts w:ascii="Arial" w:hAnsi="Arial" w:cs="Arial"/>
        </w:rPr>
        <w:t>.</w:t>
      </w:r>
      <w:proofErr w:type="gramEnd"/>
      <w:r>
        <w:rPr>
          <w:rFonts w:ascii="Arial" w:hAnsi="Arial" w:cs="Arial"/>
        </w:rPr>
        <w:t xml:space="preserve">; Rose, H.M.; Nair, A.R.; Kannan, S.; </w:t>
      </w:r>
      <w:proofErr w:type="spellStart"/>
      <w:r>
        <w:rPr>
          <w:rFonts w:ascii="Arial" w:hAnsi="Arial" w:cs="Arial"/>
        </w:rPr>
        <w:t>Niral</w:t>
      </w:r>
      <w:proofErr w:type="spellEnd"/>
      <w:r>
        <w:rPr>
          <w:rFonts w:ascii="Arial" w:hAnsi="Arial" w:cs="Arial"/>
        </w:rPr>
        <w:t xml:space="preserve">, V.; </w:t>
      </w:r>
      <w:proofErr w:type="spellStart"/>
      <w:r>
        <w:rPr>
          <w:rFonts w:ascii="Arial" w:hAnsi="Arial" w:cs="Arial"/>
        </w:rPr>
        <w:t>Arivalagan</w:t>
      </w:r>
      <w:proofErr w:type="spellEnd"/>
      <w:r>
        <w:rPr>
          <w:rFonts w:ascii="Arial" w:hAnsi="Arial" w:cs="Arial"/>
        </w:rPr>
        <w:t xml:space="preserve">, M.; Gupta, A.; </w:t>
      </w:r>
      <w:proofErr w:type="spellStart"/>
      <w:r>
        <w:rPr>
          <w:rFonts w:ascii="Arial" w:hAnsi="Arial" w:cs="Arial"/>
        </w:rPr>
        <w:t>Samsudeen</w:t>
      </w:r>
      <w:proofErr w:type="spellEnd"/>
      <w:r>
        <w:rPr>
          <w:rFonts w:ascii="Arial" w:hAnsi="Arial" w:cs="Arial"/>
        </w:rPr>
        <w:t xml:space="preserve">, K.; Chandran, K.P.; </w:t>
      </w:r>
      <w:proofErr w:type="spellStart"/>
      <w:r>
        <w:rPr>
          <w:rFonts w:ascii="Arial" w:hAnsi="Arial" w:cs="Arial"/>
        </w:rPr>
        <w:t>Chowdappa</w:t>
      </w:r>
      <w:proofErr w:type="spellEnd"/>
      <w:r>
        <w:rPr>
          <w:rFonts w:ascii="Arial" w:hAnsi="Arial" w:cs="Arial"/>
        </w:rPr>
        <w:t>, P.; et al. Differences in In Vitro Pollen Germination and Pollen tube Growth of Coconut (Cocos nucifera L.) Cultivars in Response to High Temperature Stress; Elsevier B.V.: Amsterdam, The Netherlands, 2018; Volume 153, ISBN 9149942328.</w:t>
      </w:r>
    </w:p>
    <w:p>
      <w:pPr>
        <w:pStyle w:val="ListParagraph"/>
        <w:numPr>
          <w:ilvl w:val="0"/>
          <w:numId w:val="6"/>
        </w:numPr>
        <w:jc w:val="both"/>
        <w:rPr>
          <w:rFonts w:ascii="Arial" w:hAnsi="Arial" w:cs="Arial"/>
        </w:rPr>
      </w:pPr>
      <w:proofErr w:type="spellStart"/>
      <w:r>
        <w:rPr>
          <w:rFonts w:ascii="Arial" w:hAnsi="Arial" w:cs="Arial"/>
        </w:rPr>
        <w:t>Hebbar</w:t>
      </w:r>
      <w:proofErr w:type="spellEnd"/>
      <w:r>
        <w:rPr>
          <w:rFonts w:ascii="Arial" w:hAnsi="Arial" w:cs="Arial"/>
        </w:rPr>
        <w:t xml:space="preserve">, K.B.; Santhosh, A.; Sukumar, A.P.; Neethu, P.; Ramesh, S.V.; </w:t>
      </w:r>
      <w:proofErr w:type="spellStart"/>
      <w:r>
        <w:rPr>
          <w:rFonts w:ascii="Arial" w:hAnsi="Arial" w:cs="Arial"/>
        </w:rPr>
        <w:t>Selvamani</w:t>
      </w:r>
      <w:proofErr w:type="spellEnd"/>
      <w:r>
        <w:rPr>
          <w:rFonts w:ascii="Arial" w:hAnsi="Arial" w:cs="Arial"/>
        </w:rPr>
        <w:t xml:space="preserve">, V. Effect of sea water substitution on growth, physiological and biochemical processes of coconut (Cocos nucifera L.) seedlings—A hydroponic study. Sci. </w:t>
      </w:r>
      <w:proofErr w:type="spellStart"/>
      <w:r>
        <w:rPr>
          <w:rFonts w:ascii="Arial" w:hAnsi="Arial" w:cs="Arial"/>
        </w:rPr>
        <w:t>Hortic</w:t>
      </w:r>
      <w:proofErr w:type="spellEnd"/>
      <w:r>
        <w:rPr>
          <w:rFonts w:ascii="Arial" w:hAnsi="Arial" w:cs="Arial"/>
        </w:rPr>
        <w:t>. (</w:t>
      </w:r>
      <w:proofErr w:type="spellStart"/>
      <w:r>
        <w:rPr>
          <w:rFonts w:ascii="Arial" w:hAnsi="Arial" w:cs="Arial"/>
        </w:rPr>
        <w:t>Amst</w:t>
      </w:r>
      <w:proofErr w:type="spellEnd"/>
      <w:r>
        <w:rPr>
          <w:rFonts w:ascii="Arial" w:hAnsi="Arial" w:cs="Arial"/>
        </w:rPr>
        <w:t>.) 2021, 280, 109935.</w:t>
      </w:r>
    </w:p>
    <w:p>
      <w:pPr>
        <w:pStyle w:val="ListParagraph"/>
        <w:numPr>
          <w:ilvl w:val="0"/>
          <w:numId w:val="6"/>
        </w:numPr>
        <w:jc w:val="both"/>
        <w:rPr>
          <w:rFonts w:ascii="Arial" w:hAnsi="Arial" w:cs="Arial"/>
        </w:rPr>
      </w:pPr>
      <w:proofErr w:type="spellStart"/>
      <w:r>
        <w:rPr>
          <w:rFonts w:ascii="Arial" w:hAnsi="Arial" w:cs="Arial"/>
        </w:rPr>
        <w:t>Hebbar</w:t>
      </w:r>
      <w:proofErr w:type="spellEnd"/>
      <w:r>
        <w:rPr>
          <w:rFonts w:ascii="Arial" w:hAnsi="Arial" w:cs="Arial"/>
        </w:rPr>
        <w:t xml:space="preserve">, K.B.; Sheena, T.L.; Kumari, K.S.; Padmanabhan, S.; </w:t>
      </w:r>
      <w:proofErr w:type="spellStart"/>
      <w:r>
        <w:rPr>
          <w:rFonts w:ascii="Arial" w:hAnsi="Arial" w:cs="Arial"/>
        </w:rPr>
        <w:t>Balasimha</w:t>
      </w:r>
      <w:proofErr w:type="spellEnd"/>
      <w:r>
        <w:rPr>
          <w:rFonts w:ascii="Arial" w:hAnsi="Arial" w:cs="Arial"/>
        </w:rPr>
        <w:t>, D.; Kumar, M.; Thomas, G.V. Response of coconut seedlings to elevated CO2 and high temperature in drought and high nutrient conditions. J. Plant. Crop. 2013, 41, 118–122.</w:t>
      </w:r>
    </w:p>
    <w:p>
      <w:pPr>
        <w:pStyle w:val="ListParagraph"/>
        <w:numPr>
          <w:ilvl w:val="0"/>
          <w:numId w:val="6"/>
        </w:numPr>
        <w:jc w:val="both"/>
        <w:rPr>
          <w:rFonts w:ascii="Arial" w:hAnsi="Arial" w:cs="Arial"/>
        </w:rPr>
      </w:pPr>
      <w:r>
        <w:rPr>
          <w:rFonts w:ascii="Arial" w:hAnsi="Arial" w:cs="Arial"/>
        </w:rPr>
        <w:t xml:space="preserve">HS Eggleston, L </w:t>
      </w:r>
      <w:proofErr w:type="spellStart"/>
      <w:r>
        <w:rPr>
          <w:rFonts w:ascii="Arial" w:hAnsi="Arial" w:cs="Arial"/>
        </w:rPr>
        <w:t>Buendia</w:t>
      </w:r>
      <w:proofErr w:type="spellEnd"/>
      <w:r>
        <w:rPr>
          <w:rFonts w:ascii="Arial" w:hAnsi="Arial" w:cs="Arial"/>
        </w:rPr>
        <w:t xml:space="preserve">, K Miwa, T </w:t>
      </w:r>
      <w:proofErr w:type="spellStart"/>
      <w:r>
        <w:rPr>
          <w:rFonts w:ascii="Arial" w:hAnsi="Arial" w:cs="Arial"/>
        </w:rPr>
        <w:t>Ngara</w:t>
      </w:r>
      <w:proofErr w:type="spellEnd"/>
      <w:r>
        <w:rPr>
          <w:rFonts w:ascii="Arial" w:hAnsi="Arial" w:cs="Arial"/>
        </w:rPr>
        <w:t xml:space="preserve">, K Tanabe (2006) Institute for Global Environmental Strategies. </w:t>
      </w:r>
      <w:proofErr w:type="spellStart"/>
      <w:r>
        <w:rPr>
          <w:rFonts w:ascii="Arial" w:hAnsi="Arial" w:cs="Arial"/>
        </w:rPr>
        <w:t>Hayama</w:t>
      </w:r>
      <w:proofErr w:type="spellEnd"/>
      <w:r>
        <w:rPr>
          <w:rFonts w:ascii="Arial" w:hAnsi="Arial" w:cs="Arial"/>
        </w:rPr>
        <w:t>, Japan 2: 48</w:t>
      </w:r>
    </w:p>
    <w:p>
      <w:pPr>
        <w:pStyle w:val="ListParagraph"/>
        <w:numPr>
          <w:ilvl w:val="0"/>
          <w:numId w:val="6"/>
        </w:numPr>
        <w:jc w:val="both"/>
        <w:rPr>
          <w:rFonts w:ascii="Arial" w:hAnsi="Arial" w:cs="Arial"/>
        </w:rPr>
      </w:pPr>
      <w:r>
        <w:rPr>
          <w:rFonts w:ascii="Arial" w:hAnsi="Arial" w:cs="Arial"/>
        </w:rPr>
        <w:t xml:space="preserve">Hu, L., Huang, R., Deng, H., Li, K., Peng, J., Zhou, L., &amp; </w:t>
      </w:r>
      <w:proofErr w:type="spellStart"/>
      <w:r>
        <w:rPr>
          <w:rFonts w:ascii="Arial" w:hAnsi="Arial" w:cs="Arial"/>
        </w:rPr>
        <w:t>Ou</w:t>
      </w:r>
      <w:proofErr w:type="spellEnd"/>
      <w:r>
        <w:rPr>
          <w:rFonts w:ascii="Arial" w:hAnsi="Arial" w:cs="Arial"/>
        </w:rPr>
        <w:t>, H. (2022). Effects of Different Intercropping Methods on Soil Organic Carbon and Aggregate Stability in Sugarcane Field. Polish Journal of Environmental Studies, 31(4), 3587–3596. https://doi.org/10.15244/pjoes/147187</w:t>
      </w:r>
    </w:p>
    <w:p>
      <w:pPr>
        <w:pStyle w:val="ListParagraph"/>
        <w:numPr>
          <w:ilvl w:val="0"/>
          <w:numId w:val="6"/>
        </w:numPr>
        <w:jc w:val="both"/>
        <w:rPr>
          <w:rFonts w:ascii="Arial" w:hAnsi="Arial" w:cs="Arial"/>
        </w:rPr>
      </w:pPr>
      <w:r>
        <w:rPr>
          <w:rFonts w:ascii="Arial" w:hAnsi="Arial" w:cs="Arial"/>
        </w:rPr>
        <w:t xml:space="preserve">Issa, S. M. G., </w:t>
      </w:r>
      <w:proofErr w:type="spellStart"/>
      <w:r>
        <w:rPr>
          <w:rFonts w:ascii="Arial" w:hAnsi="Arial" w:cs="Arial"/>
        </w:rPr>
        <w:t>Dahy</w:t>
      </w:r>
      <w:proofErr w:type="spellEnd"/>
      <w:r>
        <w:rPr>
          <w:rFonts w:ascii="Arial" w:hAnsi="Arial" w:cs="Arial"/>
        </w:rPr>
        <w:t xml:space="preserve">, B., </w:t>
      </w:r>
      <w:proofErr w:type="spellStart"/>
      <w:r>
        <w:rPr>
          <w:rFonts w:ascii="Arial" w:hAnsi="Arial" w:cs="Arial"/>
        </w:rPr>
        <w:t>Ksiksi</w:t>
      </w:r>
      <w:proofErr w:type="spellEnd"/>
      <w:r>
        <w:rPr>
          <w:rFonts w:ascii="Arial" w:hAnsi="Arial" w:cs="Arial"/>
        </w:rPr>
        <w:t xml:space="preserve">, T., &amp; </w:t>
      </w:r>
      <w:proofErr w:type="spellStart"/>
      <w:r>
        <w:rPr>
          <w:rFonts w:ascii="Arial" w:hAnsi="Arial" w:cs="Arial"/>
        </w:rPr>
        <w:t>Saleous</w:t>
      </w:r>
      <w:proofErr w:type="spellEnd"/>
      <w:r>
        <w:rPr>
          <w:rFonts w:ascii="Arial" w:hAnsi="Arial" w:cs="Arial"/>
        </w:rPr>
        <w:t>, N. Z. (2019). Non-Conventional Methods as a New Alternative for the Estimation of Terrestrial Biomass and Carbon Sequestered–A Mini Review. World Journal of Agriculture and Soil Science, 4(1). https://doi.org/10.33552/WJASS.2019.04.000579</w:t>
      </w:r>
    </w:p>
    <w:p>
      <w:pPr>
        <w:pStyle w:val="ListParagraph"/>
        <w:numPr>
          <w:ilvl w:val="0"/>
          <w:numId w:val="6"/>
        </w:numPr>
        <w:jc w:val="both"/>
        <w:rPr>
          <w:rFonts w:ascii="Arial" w:hAnsi="Arial" w:cs="Arial"/>
        </w:rPr>
      </w:pPr>
      <w:r>
        <w:rPr>
          <w:rFonts w:ascii="Arial" w:hAnsi="Arial" w:cs="Arial"/>
        </w:rPr>
        <w:t xml:space="preserve">J Koala, L </w:t>
      </w:r>
      <w:proofErr w:type="spellStart"/>
      <w:r>
        <w:rPr>
          <w:rFonts w:ascii="Arial" w:hAnsi="Arial" w:cs="Arial"/>
        </w:rPr>
        <w:t>Sawadogo</w:t>
      </w:r>
      <w:proofErr w:type="spellEnd"/>
      <w:r>
        <w:rPr>
          <w:rFonts w:ascii="Arial" w:hAnsi="Arial" w:cs="Arial"/>
        </w:rPr>
        <w:t xml:space="preserve">, P </w:t>
      </w:r>
      <w:proofErr w:type="spellStart"/>
      <w:r>
        <w:rPr>
          <w:rFonts w:ascii="Arial" w:hAnsi="Arial" w:cs="Arial"/>
        </w:rPr>
        <w:t>Savadogo</w:t>
      </w:r>
      <w:proofErr w:type="spellEnd"/>
      <w:r>
        <w:rPr>
          <w:rFonts w:ascii="Arial" w:hAnsi="Arial" w:cs="Arial"/>
        </w:rPr>
        <w:t xml:space="preserve">, E </w:t>
      </w:r>
      <w:proofErr w:type="spellStart"/>
      <w:r>
        <w:rPr>
          <w:rFonts w:ascii="Arial" w:hAnsi="Arial" w:cs="Arial"/>
        </w:rPr>
        <w:t>Aynekulu</w:t>
      </w:r>
      <w:proofErr w:type="spellEnd"/>
      <w:r>
        <w:rPr>
          <w:rFonts w:ascii="Arial" w:hAnsi="Arial" w:cs="Arial"/>
        </w:rPr>
        <w:t xml:space="preserve">, J </w:t>
      </w:r>
      <w:proofErr w:type="spellStart"/>
      <w:r>
        <w:rPr>
          <w:rFonts w:ascii="Arial" w:hAnsi="Arial" w:cs="Arial"/>
        </w:rPr>
        <w:t>Heiskanen</w:t>
      </w:r>
      <w:proofErr w:type="spellEnd"/>
      <w:r>
        <w:rPr>
          <w:rFonts w:ascii="Arial" w:hAnsi="Arial" w:cs="Arial"/>
        </w:rPr>
        <w:t xml:space="preserve">, et al. (2017) Allometric equations for below-ground biomass of four key woody species in West African savanna-woodlands. Silva </w:t>
      </w:r>
      <w:proofErr w:type="spellStart"/>
      <w:r>
        <w:rPr>
          <w:rFonts w:ascii="Arial" w:hAnsi="Arial" w:cs="Arial"/>
        </w:rPr>
        <w:t>Fennica</w:t>
      </w:r>
      <w:proofErr w:type="spellEnd"/>
      <w:r>
        <w:rPr>
          <w:rFonts w:ascii="Arial" w:hAnsi="Arial" w:cs="Arial"/>
        </w:rPr>
        <w:t xml:space="preserve"> 51(3).</w:t>
      </w:r>
    </w:p>
    <w:p>
      <w:pPr>
        <w:pStyle w:val="ListParagraph"/>
        <w:numPr>
          <w:ilvl w:val="0"/>
          <w:numId w:val="6"/>
        </w:numPr>
        <w:jc w:val="both"/>
        <w:rPr>
          <w:rFonts w:ascii="Arial" w:hAnsi="Arial" w:cs="Arial"/>
        </w:rPr>
      </w:pPr>
      <w:r>
        <w:rPr>
          <w:rFonts w:ascii="Arial" w:hAnsi="Arial" w:cs="Arial"/>
        </w:rPr>
        <w:t xml:space="preserve">Joy, J., Raj, A. K., </w:t>
      </w:r>
      <w:proofErr w:type="spellStart"/>
      <w:r>
        <w:rPr>
          <w:rFonts w:ascii="Arial" w:hAnsi="Arial" w:cs="Arial"/>
        </w:rPr>
        <w:t>Kunhamu</w:t>
      </w:r>
      <w:proofErr w:type="spellEnd"/>
      <w:r>
        <w:rPr>
          <w:rFonts w:ascii="Arial" w:hAnsi="Arial" w:cs="Arial"/>
        </w:rPr>
        <w:t xml:space="preserve">, T. K., </w:t>
      </w:r>
      <w:proofErr w:type="spellStart"/>
      <w:r>
        <w:rPr>
          <w:rFonts w:ascii="Arial" w:hAnsi="Arial" w:cs="Arial"/>
        </w:rPr>
        <w:t>Jamaludheen</w:t>
      </w:r>
      <w:proofErr w:type="spellEnd"/>
      <w:r>
        <w:rPr>
          <w:rFonts w:ascii="Arial" w:hAnsi="Arial" w:cs="Arial"/>
        </w:rPr>
        <w:t xml:space="preserve">, V., &amp; </w:t>
      </w:r>
      <w:proofErr w:type="spellStart"/>
      <w:r>
        <w:rPr>
          <w:rFonts w:ascii="Arial" w:hAnsi="Arial" w:cs="Arial"/>
        </w:rPr>
        <w:t>Jayasree</w:t>
      </w:r>
      <w:proofErr w:type="spellEnd"/>
      <w:r>
        <w:rPr>
          <w:rFonts w:ascii="Arial" w:hAnsi="Arial" w:cs="Arial"/>
        </w:rPr>
        <w:t xml:space="preserve">, K. (2019). Fodder production and carbon stock of </w:t>
      </w:r>
      <w:proofErr w:type="spellStart"/>
      <w:r>
        <w:rPr>
          <w:rFonts w:ascii="Arial" w:hAnsi="Arial" w:cs="Arial"/>
        </w:rPr>
        <w:t>calliandra</w:t>
      </w:r>
      <w:proofErr w:type="spellEnd"/>
      <w:r>
        <w:rPr>
          <w:rFonts w:ascii="Arial" w:hAnsi="Arial" w:cs="Arial"/>
        </w:rPr>
        <w:t xml:space="preserve"> under coconut plantation. Range Management &amp; Agroforestry, 40(1), 109-117</w:t>
      </w:r>
    </w:p>
    <w:p>
      <w:pPr>
        <w:pStyle w:val="ListParagraph"/>
        <w:numPr>
          <w:ilvl w:val="0"/>
          <w:numId w:val="6"/>
        </w:numPr>
        <w:jc w:val="both"/>
        <w:rPr>
          <w:rFonts w:ascii="Arial" w:hAnsi="Arial" w:cs="Arial"/>
        </w:rPr>
      </w:pPr>
      <w:r>
        <w:rPr>
          <w:rFonts w:ascii="Arial" w:hAnsi="Arial" w:cs="Arial"/>
        </w:rPr>
        <w:t xml:space="preserve">Khan, M.A.H. and </w:t>
      </w:r>
      <w:proofErr w:type="spellStart"/>
      <w:r>
        <w:rPr>
          <w:rFonts w:ascii="Arial" w:hAnsi="Arial" w:cs="Arial"/>
        </w:rPr>
        <w:t>Parvej</w:t>
      </w:r>
      <w:proofErr w:type="spellEnd"/>
      <w:r>
        <w:rPr>
          <w:rFonts w:ascii="Arial" w:hAnsi="Arial" w:cs="Arial"/>
        </w:rPr>
        <w:t>, M.R. 2010. Impact of conservation till age under organic mulches on the reproductive efficacy and yield of quality protein maize. The Journal of Agricultural Sciences 5(2): 52–63</w:t>
      </w:r>
    </w:p>
    <w:p>
      <w:pPr>
        <w:pStyle w:val="ListParagraph"/>
        <w:numPr>
          <w:ilvl w:val="0"/>
          <w:numId w:val="6"/>
        </w:numPr>
        <w:jc w:val="both"/>
        <w:rPr>
          <w:rFonts w:ascii="Arial" w:hAnsi="Arial" w:cs="Arial"/>
        </w:rPr>
      </w:pPr>
      <w:proofErr w:type="spellStart"/>
      <w:proofErr w:type="gramStart"/>
      <w:r>
        <w:rPr>
          <w:rFonts w:ascii="Arial" w:hAnsi="Arial" w:cs="Arial"/>
        </w:rPr>
        <w:lastRenderedPageBreak/>
        <w:t>Kumar,S.N</w:t>
      </w:r>
      <w:proofErr w:type="spellEnd"/>
      <w:r>
        <w:rPr>
          <w:rFonts w:ascii="Arial" w:hAnsi="Arial" w:cs="Arial"/>
        </w:rPr>
        <w:t>.</w:t>
      </w:r>
      <w:proofErr w:type="gramEnd"/>
      <w:r>
        <w:rPr>
          <w:rFonts w:ascii="Arial" w:hAnsi="Arial" w:cs="Arial"/>
        </w:rPr>
        <w:t>; Bai, K.V.K.; Rajagopal, V.; Aggarwal, P.K. Simulating coconut growth, development and yield with the Info Crop coconut model (Tree Physiology 28 (1049–1058)). Tree Physiol. 2009, 29, 751.</w:t>
      </w:r>
    </w:p>
    <w:p>
      <w:pPr>
        <w:pStyle w:val="ListParagraph"/>
        <w:numPr>
          <w:ilvl w:val="0"/>
          <w:numId w:val="6"/>
        </w:numPr>
        <w:jc w:val="both"/>
        <w:rPr>
          <w:rFonts w:ascii="Arial" w:hAnsi="Arial" w:cs="Arial"/>
        </w:rPr>
      </w:pPr>
      <w:r>
        <w:rPr>
          <w:rFonts w:ascii="Arial" w:hAnsi="Arial" w:cs="Arial"/>
        </w:rPr>
        <w:t xml:space="preserve">Kumar, K. S. Naveen and </w:t>
      </w:r>
      <w:proofErr w:type="spellStart"/>
      <w:r>
        <w:rPr>
          <w:rFonts w:ascii="Arial" w:hAnsi="Arial" w:cs="Arial"/>
        </w:rPr>
        <w:t>Maheswarappa</w:t>
      </w:r>
      <w:proofErr w:type="spellEnd"/>
      <w:r>
        <w:rPr>
          <w:rFonts w:ascii="Arial" w:hAnsi="Arial" w:cs="Arial"/>
        </w:rPr>
        <w:t>, H. P. "Carbon sequestration potential of coconut based cropping systems under integrated nutrient management practices." Journal of Plantation Crops, vol. 47, no. 2, 2019, pp. 107-114. The DOI is 10.25081/</w:t>
      </w:r>
      <w:proofErr w:type="gramStart"/>
      <w:r>
        <w:rPr>
          <w:rFonts w:ascii="Arial" w:hAnsi="Arial" w:cs="Arial"/>
        </w:rPr>
        <w:t>jpc.2019.v</w:t>
      </w:r>
      <w:proofErr w:type="gramEnd"/>
      <w:r>
        <w:rPr>
          <w:rFonts w:ascii="Arial" w:hAnsi="Arial" w:cs="Arial"/>
        </w:rPr>
        <w:t>47.12.5776.</w:t>
      </w:r>
    </w:p>
    <w:p>
      <w:pPr>
        <w:pStyle w:val="ListParagraph"/>
        <w:numPr>
          <w:ilvl w:val="0"/>
          <w:numId w:val="6"/>
        </w:numPr>
        <w:jc w:val="both"/>
        <w:rPr>
          <w:rFonts w:ascii="Arial" w:hAnsi="Arial" w:cs="Arial"/>
        </w:rPr>
      </w:pPr>
      <w:r>
        <w:rPr>
          <w:rFonts w:ascii="Arial" w:hAnsi="Arial" w:cs="Arial"/>
        </w:rPr>
        <w:t xml:space="preserve">MA Cairns, S Brown, EH Helmer, GA Baumgardner (1997) Root biomass allocation in the world’s upland forests. </w:t>
      </w:r>
      <w:proofErr w:type="spellStart"/>
      <w:r>
        <w:rPr>
          <w:rFonts w:ascii="Arial" w:hAnsi="Arial" w:cs="Arial"/>
        </w:rPr>
        <w:t>Oecologia</w:t>
      </w:r>
      <w:proofErr w:type="spellEnd"/>
      <w:r>
        <w:rPr>
          <w:rFonts w:ascii="Arial" w:hAnsi="Arial" w:cs="Arial"/>
        </w:rPr>
        <w:t xml:space="preserve"> 111: 1-11. 17.</w:t>
      </w:r>
    </w:p>
    <w:p>
      <w:pPr>
        <w:pStyle w:val="ListParagraph"/>
        <w:numPr>
          <w:ilvl w:val="0"/>
          <w:numId w:val="6"/>
        </w:numPr>
        <w:jc w:val="both"/>
        <w:rPr>
          <w:rFonts w:ascii="Arial" w:hAnsi="Arial" w:cs="Arial"/>
        </w:rPr>
      </w:pPr>
      <w:proofErr w:type="spellStart"/>
      <w:r>
        <w:rPr>
          <w:rFonts w:ascii="Arial" w:hAnsi="Arial" w:cs="Arial"/>
        </w:rPr>
        <w:t>Malathi</w:t>
      </w:r>
      <w:proofErr w:type="spellEnd"/>
      <w:r>
        <w:rPr>
          <w:rFonts w:ascii="Arial" w:hAnsi="Arial" w:cs="Arial"/>
        </w:rPr>
        <w:t xml:space="preserve">, G., Sankar, V., Senthil Kumar, R., </w:t>
      </w:r>
      <w:proofErr w:type="spellStart"/>
      <w:r>
        <w:rPr>
          <w:rFonts w:ascii="Arial" w:hAnsi="Arial" w:cs="Arial"/>
        </w:rPr>
        <w:t>Jegathambal</w:t>
      </w:r>
      <w:proofErr w:type="spellEnd"/>
      <w:r>
        <w:rPr>
          <w:rFonts w:ascii="Arial" w:hAnsi="Arial" w:cs="Arial"/>
        </w:rPr>
        <w:t xml:space="preserve">, R., &amp; Chandrasekaran, N. (2024). Horticultural Crops Suitable for Coconut Planting Systems. Vigyan </w:t>
      </w:r>
      <w:proofErr w:type="spellStart"/>
      <w:r>
        <w:rPr>
          <w:rFonts w:ascii="Arial" w:hAnsi="Arial" w:cs="Arial"/>
        </w:rPr>
        <w:t>Varta</w:t>
      </w:r>
      <w:proofErr w:type="spellEnd"/>
      <w:r>
        <w:rPr>
          <w:rFonts w:ascii="Arial" w:hAnsi="Arial" w:cs="Arial"/>
        </w:rPr>
        <w:t>, 5(2), 759-764</w:t>
      </w:r>
    </w:p>
    <w:p>
      <w:pPr>
        <w:pStyle w:val="ListParagraph"/>
        <w:numPr>
          <w:ilvl w:val="0"/>
          <w:numId w:val="6"/>
        </w:numPr>
        <w:jc w:val="both"/>
        <w:rPr>
          <w:rFonts w:ascii="Arial" w:hAnsi="Arial" w:cs="Arial"/>
        </w:rPr>
      </w:pPr>
      <w:r>
        <w:rPr>
          <w:rFonts w:ascii="Arial" w:hAnsi="Arial" w:cs="Arial"/>
        </w:rPr>
        <w:t xml:space="preserve">Mandal, P. K., </w:t>
      </w:r>
      <w:proofErr w:type="spellStart"/>
      <w:r>
        <w:rPr>
          <w:rFonts w:ascii="Arial" w:hAnsi="Arial" w:cs="Arial"/>
        </w:rPr>
        <w:t>Palaniswami</w:t>
      </w:r>
      <w:proofErr w:type="spellEnd"/>
      <w:r>
        <w:rPr>
          <w:rFonts w:ascii="Arial" w:hAnsi="Arial" w:cs="Arial"/>
        </w:rPr>
        <w:t xml:space="preserve">, C., Subramanian, P., </w:t>
      </w:r>
      <w:proofErr w:type="spellStart"/>
      <w:r>
        <w:rPr>
          <w:rFonts w:ascii="Arial" w:hAnsi="Arial" w:cs="Arial"/>
        </w:rPr>
        <w:t>Maheswarappa</w:t>
      </w:r>
      <w:proofErr w:type="spellEnd"/>
      <w:r>
        <w:rPr>
          <w:rFonts w:ascii="Arial" w:hAnsi="Arial" w:cs="Arial"/>
        </w:rPr>
        <w:t xml:space="preserve">, H. P., George V. Thomas, &amp; </w:t>
      </w:r>
      <w:proofErr w:type="spellStart"/>
      <w:r>
        <w:rPr>
          <w:rFonts w:ascii="Arial" w:hAnsi="Arial" w:cs="Arial"/>
        </w:rPr>
        <w:t>Dhanapal</w:t>
      </w:r>
      <w:proofErr w:type="spellEnd"/>
      <w:r>
        <w:rPr>
          <w:rFonts w:ascii="Arial" w:hAnsi="Arial" w:cs="Arial"/>
        </w:rPr>
        <w:t>, R. (2016). Effect of integrated nutrient management practices on growth and yield of vegetable crops grown as intercrops in coconut (Cocos nucifera) garden. The Indian Journal of Agricultural Sciences, 86(10), 1361–1365. https://doi.org/10.56093/ijas.v86i10.62140</w:t>
      </w:r>
    </w:p>
    <w:p>
      <w:pPr>
        <w:pStyle w:val="ListParagraph"/>
        <w:numPr>
          <w:ilvl w:val="0"/>
          <w:numId w:val="6"/>
        </w:numPr>
        <w:jc w:val="both"/>
        <w:rPr>
          <w:rFonts w:ascii="Arial" w:hAnsi="Arial" w:cs="Arial"/>
        </w:rPr>
      </w:pPr>
      <w:r>
        <w:rPr>
          <w:rFonts w:ascii="Arial" w:hAnsi="Arial" w:cs="Arial"/>
        </w:rPr>
        <w:t xml:space="preserve">Mathew, J., </w:t>
      </w:r>
      <w:proofErr w:type="spellStart"/>
      <w:r>
        <w:rPr>
          <w:rFonts w:ascii="Arial" w:hAnsi="Arial" w:cs="Arial"/>
        </w:rPr>
        <w:t>Haris</w:t>
      </w:r>
      <w:proofErr w:type="spellEnd"/>
      <w:r>
        <w:rPr>
          <w:rFonts w:ascii="Arial" w:hAnsi="Arial" w:cs="Arial"/>
        </w:rPr>
        <w:t xml:space="preserve">, A., &amp; </w:t>
      </w:r>
      <w:proofErr w:type="spellStart"/>
      <w:r>
        <w:rPr>
          <w:rFonts w:ascii="Arial" w:hAnsi="Arial" w:cs="Arial"/>
        </w:rPr>
        <w:t>Anithakumari</w:t>
      </w:r>
      <w:proofErr w:type="spellEnd"/>
      <w:r>
        <w:rPr>
          <w:rFonts w:ascii="Arial" w:hAnsi="Arial" w:cs="Arial"/>
        </w:rPr>
        <w:t xml:space="preserve">, P. (2023). </w:t>
      </w:r>
      <w:proofErr w:type="spellStart"/>
      <w:r>
        <w:rPr>
          <w:rFonts w:ascii="Arial" w:hAnsi="Arial" w:cs="Arial"/>
        </w:rPr>
        <w:t>Agro</w:t>
      </w:r>
      <w:proofErr w:type="spellEnd"/>
      <w:r>
        <w:rPr>
          <w:rFonts w:ascii="Arial" w:hAnsi="Arial" w:cs="Arial"/>
        </w:rPr>
        <w:t>-techniques for augmentation of carbon storage through crop residue recycling in coconut-based cropping system. Indian Coconut Journal, 65(9), 7–11.</w:t>
      </w:r>
    </w:p>
    <w:p>
      <w:pPr>
        <w:pStyle w:val="ListParagraph"/>
        <w:numPr>
          <w:ilvl w:val="0"/>
          <w:numId w:val="6"/>
        </w:numPr>
        <w:jc w:val="both"/>
        <w:rPr>
          <w:rFonts w:ascii="Arial" w:hAnsi="Arial" w:cs="Arial"/>
        </w:rPr>
      </w:pPr>
      <w:proofErr w:type="spellStart"/>
      <w:r>
        <w:rPr>
          <w:rFonts w:ascii="Arial" w:hAnsi="Arial" w:cs="Arial"/>
        </w:rPr>
        <w:t>Mialet</w:t>
      </w:r>
      <w:proofErr w:type="spellEnd"/>
      <w:r>
        <w:rPr>
          <w:rFonts w:ascii="Arial" w:hAnsi="Arial" w:cs="Arial"/>
        </w:rPr>
        <w:t xml:space="preserve">-Serra I, Clement A, </w:t>
      </w:r>
      <w:proofErr w:type="spellStart"/>
      <w:r>
        <w:rPr>
          <w:rFonts w:ascii="Arial" w:hAnsi="Arial" w:cs="Arial"/>
        </w:rPr>
        <w:t>Sonderegger</w:t>
      </w:r>
      <w:proofErr w:type="spellEnd"/>
      <w:r>
        <w:rPr>
          <w:rFonts w:ascii="Arial" w:hAnsi="Arial" w:cs="Arial"/>
        </w:rPr>
        <w:t xml:space="preserve"> N, </w:t>
      </w:r>
      <w:proofErr w:type="spellStart"/>
      <w:r>
        <w:rPr>
          <w:rFonts w:ascii="Arial" w:hAnsi="Arial" w:cs="Arial"/>
        </w:rPr>
        <w:t>Roupsard</w:t>
      </w:r>
      <w:proofErr w:type="spellEnd"/>
      <w:r>
        <w:rPr>
          <w:rFonts w:ascii="Arial" w:hAnsi="Arial" w:cs="Arial"/>
        </w:rPr>
        <w:t xml:space="preserve"> O, Jourdan C, </w:t>
      </w:r>
      <w:proofErr w:type="spellStart"/>
      <w:r>
        <w:rPr>
          <w:rFonts w:ascii="Arial" w:hAnsi="Arial" w:cs="Arial"/>
        </w:rPr>
        <w:t>Labouisse</w:t>
      </w:r>
      <w:proofErr w:type="spellEnd"/>
      <w:r>
        <w:rPr>
          <w:rFonts w:ascii="Arial" w:hAnsi="Arial" w:cs="Arial"/>
        </w:rPr>
        <w:t xml:space="preserve"> JP, &amp; </w:t>
      </w:r>
      <w:proofErr w:type="spellStart"/>
      <w:r>
        <w:rPr>
          <w:rFonts w:ascii="Arial" w:hAnsi="Arial" w:cs="Arial"/>
        </w:rPr>
        <w:t>Dingkuhn</w:t>
      </w:r>
      <w:proofErr w:type="spellEnd"/>
      <w:r>
        <w:rPr>
          <w:rFonts w:ascii="Arial" w:hAnsi="Arial" w:cs="Arial"/>
        </w:rPr>
        <w:t xml:space="preserve"> N 2005. Assimilate storage in vegetative organs of coconut (Cocos nucifera). Experimental Agriculture, 41(2): 161 – 174.</w:t>
      </w:r>
    </w:p>
    <w:p>
      <w:pPr>
        <w:pStyle w:val="ListParagraph"/>
        <w:numPr>
          <w:ilvl w:val="0"/>
          <w:numId w:val="6"/>
        </w:numPr>
        <w:jc w:val="both"/>
        <w:rPr>
          <w:rFonts w:ascii="Arial" w:hAnsi="Arial" w:cs="Arial"/>
        </w:rPr>
      </w:pPr>
      <w:r>
        <w:rPr>
          <w:rFonts w:ascii="Arial" w:hAnsi="Arial" w:cs="Arial"/>
        </w:rPr>
        <w:t xml:space="preserve">Mishra, G., Karna, S. S. A., </w:t>
      </w:r>
      <w:proofErr w:type="spellStart"/>
      <w:r>
        <w:rPr>
          <w:rFonts w:ascii="Arial" w:hAnsi="Arial" w:cs="Arial"/>
        </w:rPr>
        <w:t>Pattanayak</w:t>
      </w:r>
      <w:proofErr w:type="spellEnd"/>
      <w:r>
        <w:rPr>
          <w:rFonts w:ascii="Arial" w:hAnsi="Arial" w:cs="Arial"/>
        </w:rPr>
        <w:t xml:space="preserve">, S., and </w:t>
      </w:r>
      <w:proofErr w:type="spellStart"/>
      <w:r>
        <w:rPr>
          <w:rFonts w:ascii="Arial" w:hAnsi="Arial" w:cs="Arial"/>
        </w:rPr>
        <w:t>Maheswarappa</w:t>
      </w:r>
      <w:proofErr w:type="spellEnd"/>
      <w:r>
        <w:rPr>
          <w:rFonts w:ascii="Arial" w:hAnsi="Arial" w:cs="Arial"/>
        </w:rPr>
        <w:t xml:space="preserve">, H. (2022). Effect of coconut based integrated cropping system on soil organic carbon and microbial populations in coastal Odisha condition. Ecol. Environ. </w:t>
      </w:r>
      <w:proofErr w:type="spellStart"/>
      <w:r>
        <w:rPr>
          <w:rFonts w:ascii="Arial" w:hAnsi="Arial" w:cs="Arial"/>
        </w:rPr>
        <w:t>Conserv</w:t>
      </w:r>
      <w:proofErr w:type="spellEnd"/>
      <w:r>
        <w:rPr>
          <w:rFonts w:ascii="Arial" w:hAnsi="Arial" w:cs="Arial"/>
        </w:rPr>
        <w:t xml:space="preserve">. 28, 133–137. </w:t>
      </w:r>
      <w:proofErr w:type="spellStart"/>
      <w:r>
        <w:rPr>
          <w:rFonts w:ascii="Arial" w:hAnsi="Arial" w:cs="Arial"/>
        </w:rPr>
        <w:t>doi</w:t>
      </w:r>
      <w:proofErr w:type="spellEnd"/>
      <w:r>
        <w:rPr>
          <w:rFonts w:ascii="Arial" w:hAnsi="Arial" w:cs="Arial"/>
        </w:rPr>
        <w:t>: 10.53550/</w:t>
      </w:r>
      <w:proofErr w:type="gramStart"/>
      <w:r>
        <w:rPr>
          <w:rFonts w:ascii="Arial" w:hAnsi="Arial" w:cs="Arial"/>
        </w:rPr>
        <w:t>EEC.2022.v</w:t>
      </w:r>
      <w:proofErr w:type="gramEnd"/>
      <w:r>
        <w:rPr>
          <w:rFonts w:ascii="Arial" w:hAnsi="Arial" w:cs="Arial"/>
        </w:rPr>
        <w:t>28i01s.019</w:t>
      </w:r>
    </w:p>
    <w:p>
      <w:pPr>
        <w:pStyle w:val="ListParagraph"/>
        <w:numPr>
          <w:ilvl w:val="0"/>
          <w:numId w:val="6"/>
        </w:numPr>
        <w:jc w:val="both"/>
        <w:rPr>
          <w:rFonts w:ascii="Arial" w:hAnsi="Arial" w:cs="Arial"/>
        </w:rPr>
      </w:pPr>
      <w:r>
        <w:rPr>
          <w:rFonts w:ascii="Arial" w:hAnsi="Arial" w:cs="Arial"/>
        </w:rPr>
        <w:t xml:space="preserve">Mitra, A., Biswas, S., </w:t>
      </w:r>
      <w:proofErr w:type="spellStart"/>
      <w:r>
        <w:rPr>
          <w:rFonts w:ascii="Arial" w:hAnsi="Arial" w:cs="Arial"/>
        </w:rPr>
        <w:t>Pramanick</w:t>
      </w:r>
      <w:proofErr w:type="spellEnd"/>
      <w:r>
        <w:rPr>
          <w:rFonts w:ascii="Arial" w:hAnsi="Arial" w:cs="Arial"/>
        </w:rPr>
        <w:t>, P., Biswas, P., Roy, S., &amp; Mitra, A. (2018). Can coconut tree be a potential sink of carbon? Techno International Journal of Health, Engineering, Management &amp; Science.</w:t>
      </w:r>
    </w:p>
    <w:p>
      <w:pPr>
        <w:pStyle w:val="ListParagraph"/>
        <w:numPr>
          <w:ilvl w:val="0"/>
          <w:numId w:val="6"/>
        </w:numPr>
        <w:jc w:val="both"/>
        <w:rPr>
          <w:rFonts w:ascii="Arial" w:hAnsi="Arial" w:cs="Arial"/>
        </w:rPr>
      </w:pPr>
      <w:r>
        <w:rPr>
          <w:rFonts w:ascii="Arial" w:hAnsi="Arial" w:cs="Arial"/>
        </w:rPr>
        <w:t xml:space="preserve">Naresh, K.S., </w:t>
      </w:r>
      <w:proofErr w:type="spellStart"/>
      <w:r>
        <w:rPr>
          <w:rFonts w:ascii="Arial" w:hAnsi="Arial" w:cs="Arial"/>
        </w:rPr>
        <w:t>Kasthuri</w:t>
      </w:r>
      <w:proofErr w:type="spellEnd"/>
      <w:r>
        <w:rPr>
          <w:rFonts w:ascii="Arial" w:hAnsi="Arial" w:cs="Arial"/>
        </w:rPr>
        <w:t>, B.K.V. and George, J. 2008. A method for non-destructive estimation of dry weight of coconut stem. J. Plant. Crops, 36: 296-99.</w:t>
      </w:r>
    </w:p>
    <w:p>
      <w:pPr>
        <w:pStyle w:val="ListParagraph"/>
        <w:numPr>
          <w:ilvl w:val="0"/>
          <w:numId w:val="6"/>
        </w:numPr>
        <w:jc w:val="both"/>
        <w:rPr>
          <w:rFonts w:ascii="Arial" w:hAnsi="Arial" w:cs="Arial"/>
        </w:rPr>
      </w:pPr>
      <w:proofErr w:type="spellStart"/>
      <w:r>
        <w:rPr>
          <w:rFonts w:ascii="Arial" w:hAnsi="Arial" w:cs="Arial"/>
        </w:rPr>
        <w:t>Nuwarapaksha</w:t>
      </w:r>
      <w:proofErr w:type="spellEnd"/>
      <w:r>
        <w:rPr>
          <w:rFonts w:ascii="Arial" w:hAnsi="Arial" w:cs="Arial"/>
        </w:rPr>
        <w:t xml:space="preserve">, T. D., </w:t>
      </w:r>
      <w:proofErr w:type="spellStart"/>
      <w:r>
        <w:rPr>
          <w:rFonts w:ascii="Arial" w:hAnsi="Arial" w:cs="Arial"/>
        </w:rPr>
        <w:t>Dilhan</w:t>
      </w:r>
      <w:proofErr w:type="spellEnd"/>
      <w:r>
        <w:rPr>
          <w:rFonts w:ascii="Arial" w:hAnsi="Arial" w:cs="Arial"/>
        </w:rPr>
        <w:t xml:space="preserve">, R. M. C. P., </w:t>
      </w:r>
      <w:proofErr w:type="spellStart"/>
      <w:r>
        <w:rPr>
          <w:rFonts w:ascii="Arial" w:hAnsi="Arial" w:cs="Arial"/>
        </w:rPr>
        <w:t>Udumann</w:t>
      </w:r>
      <w:proofErr w:type="spellEnd"/>
      <w:r>
        <w:rPr>
          <w:rFonts w:ascii="Arial" w:hAnsi="Arial" w:cs="Arial"/>
        </w:rPr>
        <w:t xml:space="preserve">, S. S., Ranasinghe, C. S., </w:t>
      </w:r>
      <w:proofErr w:type="spellStart"/>
      <w:r>
        <w:rPr>
          <w:rFonts w:ascii="Arial" w:hAnsi="Arial" w:cs="Arial"/>
        </w:rPr>
        <w:t>Egodawatta</w:t>
      </w:r>
      <w:proofErr w:type="spellEnd"/>
      <w:r>
        <w:rPr>
          <w:rFonts w:ascii="Arial" w:hAnsi="Arial" w:cs="Arial"/>
        </w:rPr>
        <w:t xml:space="preserve">, W. C. P., </w:t>
      </w:r>
      <w:proofErr w:type="spellStart"/>
      <w:r>
        <w:rPr>
          <w:rFonts w:ascii="Arial" w:hAnsi="Arial" w:cs="Arial"/>
        </w:rPr>
        <w:t>Dissanayaka</w:t>
      </w:r>
      <w:proofErr w:type="spellEnd"/>
      <w:r>
        <w:rPr>
          <w:rFonts w:ascii="Arial" w:hAnsi="Arial" w:cs="Arial"/>
        </w:rPr>
        <w:t xml:space="preserve">, N. S., &amp; </w:t>
      </w:r>
      <w:proofErr w:type="spellStart"/>
      <w:r>
        <w:rPr>
          <w:rFonts w:ascii="Arial" w:hAnsi="Arial" w:cs="Arial"/>
        </w:rPr>
        <w:t>Atapattu</w:t>
      </w:r>
      <w:proofErr w:type="spellEnd"/>
      <w:r>
        <w:rPr>
          <w:rFonts w:ascii="Arial" w:hAnsi="Arial" w:cs="Arial"/>
        </w:rPr>
        <w:t>, A. J. (2025). Estimation of the total carbon sequestration potential of coconut-</w:t>
      </w:r>
      <w:proofErr w:type="spellStart"/>
      <w:r>
        <w:rPr>
          <w:rFonts w:ascii="Arial" w:hAnsi="Arial" w:cs="Arial"/>
        </w:rPr>
        <w:t>gliricidia</w:t>
      </w:r>
      <w:proofErr w:type="spellEnd"/>
      <w:r>
        <w:rPr>
          <w:rFonts w:ascii="Arial" w:hAnsi="Arial" w:cs="Arial"/>
        </w:rPr>
        <w:t xml:space="preserve"> mixed cropping systems in Sri Lanka. Carbon Footprints, 4(4).</w:t>
      </w:r>
    </w:p>
    <w:p>
      <w:pPr>
        <w:pStyle w:val="ListParagraph"/>
        <w:numPr>
          <w:ilvl w:val="0"/>
          <w:numId w:val="6"/>
        </w:numPr>
        <w:jc w:val="both"/>
        <w:rPr>
          <w:rFonts w:ascii="Arial" w:hAnsi="Arial" w:cs="Arial"/>
        </w:rPr>
      </w:pPr>
      <w:r>
        <w:rPr>
          <w:rFonts w:ascii="Arial" w:hAnsi="Arial" w:cs="Arial"/>
        </w:rPr>
        <w:t>Osei-Bonsu, K., Opoku-</w:t>
      </w:r>
      <w:proofErr w:type="spellStart"/>
      <w:r>
        <w:rPr>
          <w:rFonts w:ascii="Arial" w:hAnsi="Arial" w:cs="Arial"/>
        </w:rPr>
        <w:t>Ameyaw</w:t>
      </w:r>
      <w:proofErr w:type="spellEnd"/>
      <w:r>
        <w:rPr>
          <w:rFonts w:ascii="Arial" w:hAnsi="Arial" w:cs="Arial"/>
        </w:rPr>
        <w:t>, K., Amoah, F.M. et al. Cacao-coconut intercropping in Ghana: agronomic and economic perspectives. Agroforestry Systems 55, 1–8 (2002). https://doi.org/10.1023/A:1020271608483</w:t>
      </w:r>
    </w:p>
    <w:p>
      <w:pPr>
        <w:pStyle w:val="ListParagraph"/>
        <w:numPr>
          <w:ilvl w:val="0"/>
          <w:numId w:val="6"/>
        </w:numPr>
        <w:jc w:val="both"/>
        <w:rPr>
          <w:rFonts w:ascii="Arial" w:hAnsi="Arial" w:cs="Arial"/>
        </w:rPr>
      </w:pPr>
      <w:r>
        <w:rPr>
          <w:rFonts w:ascii="Arial" w:hAnsi="Arial" w:cs="Arial"/>
        </w:rPr>
        <w:t xml:space="preserve">Pearson, T.R.H., Brown, S. and </w:t>
      </w:r>
      <w:proofErr w:type="spellStart"/>
      <w:r>
        <w:rPr>
          <w:rFonts w:ascii="Arial" w:hAnsi="Arial" w:cs="Arial"/>
        </w:rPr>
        <w:t>Ravindranath</w:t>
      </w:r>
      <w:proofErr w:type="spellEnd"/>
      <w:r>
        <w:rPr>
          <w:rFonts w:ascii="Arial" w:hAnsi="Arial" w:cs="Arial"/>
        </w:rPr>
        <w:t>, N.H. 2005. Integrating carbon benefits estimates into GEF Projects: 1-56.</w:t>
      </w:r>
    </w:p>
    <w:p>
      <w:pPr>
        <w:pStyle w:val="ListParagraph"/>
        <w:numPr>
          <w:ilvl w:val="0"/>
          <w:numId w:val="6"/>
        </w:numPr>
        <w:jc w:val="both"/>
        <w:rPr>
          <w:rFonts w:ascii="Arial" w:hAnsi="Arial" w:cs="Arial"/>
        </w:rPr>
      </w:pPr>
      <w:proofErr w:type="spellStart"/>
      <w:r>
        <w:rPr>
          <w:rFonts w:ascii="Arial" w:hAnsi="Arial" w:cs="Arial"/>
        </w:rPr>
        <w:lastRenderedPageBreak/>
        <w:t>Prasetyo</w:t>
      </w:r>
      <w:proofErr w:type="spellEnd"/>
      <w:r>
        <w:rPr>
          <w:rFonts w:ascii="Arial" w:hAnsi="Arial" w:cs="Arial"/>
        </w:rPr>
        <w:t xml:space="preserve">, A., </w:t>
      </w:r>
      <w:proofErr w:type="spellStart"/>
      <w:r>
        <w:rPr>
          <w:rFonts w:ascii="Arial" w:hAnsi="Arial" w:cs="Arial"/>
        </w:rPr>
        <w:t>Ariyanto</w:t>
      </w:r>
      <w:proofErr w:type="spellEnd"/>
      <w:r>
        <w:rPr>
          <w:rFonts w:ascii="Arial" w:hAnsi="Arial" w:cs="Arial"/>
        </w:rPr>
        <w:t xml:space="preserve">, D. P., </w:t>
      </w:r>
      <w:proofErr w:type="spellStart"/>
      <w:r>
        <w:rPr>
          <w:rFonts w:ascii="Arial" w:hAnsi="Arial" w:cs="Arial"/>
        </w:rPr>
        <w:t>Erwinda</w:t>
      </w:r>
      <w:proofErr w:type="spellEnd"/>
      <w:r>
        <w:rPr>
          <w:rFonts w:ascii="Arial" w:hAnsi="Arial" w:cs="Arial"/>
        </w:rPr>
        <w:t xml:space="preserve">, D. P. H., </w:t>
      </w:r>
      <w:proofErr w:type="spellStart"/>
      <w:r>
        <w:rPr>
          <w:rFonts w:ascii="Arial" w:hAnsi="Arial" w:cs="Arial"/>
        </w:rPr>
        <w:t>Pratamaningsih</w:t>
      </w:r>
      <w:proofErr w:type="spellEnd"/>
      <w:r>
        <w:rPr>
          <w:rFonts w:ascii="Arial" w:hAnsi="Arial" w:cs="Arial"/>
        </w:rPr>
        <w:t xml:space="preserve">, M. M., </w:t>
      </w:r>
      <w:proofErr w:type="spellStart"/>
      <w:r>
        <w:rPr>
          <w:rFonts w:ascii="Arial" w:hAnsi="Arial" w:cs="Arial"/>
        </w:rPr>
        <w:t>Siahaan</w:t>
      </w:r>
      <w:proofErr w:type="spellEnd"/>
      <w:r>
        <w:rPr>
          <w:rFonts w:ascii="Arial" w:hAnsi="Arial" w:cs="Arial"/>
        </w:rPr>
        <w:t xml:space="preserve">, H., </w:t>
      </w:r>
      <w:proofErr w:type="spellStart"/>
      <w:r>
        <w:rPr>
          <w:rFonts w:ascii="Arial" w:hAnsi="Arial" w:cs="Arial"/>
        </w:rPr>
        <w:t>Santosa</w:t>
      </w:r>
      <w:proofErr w:type="spellEnd"/>
      <w:r>
        <w:rPr>
          <w:rFonts w:ascii="Arial" w:hAnsi="Arial" w:cs="Arial"/>
        </w:rPr>
        <w:t xml:space="preserve">, B., </w:t>
      </w:r>
      <w:proofErr w:type="spellStart"/>
      <w:r>
        <w:rPr>
          <w:rFonts w:ascii="Arial" w:hAnsi="Arial" w:cs="Arial"/>
        </w:rPr>
        <w:t>Alouw</w:t>
      </w:r>
      <w:proofErr w:type="spellEnd"/>
      <w:r>
        <w:rPr>
          <w:rFonts w:ascii="Arial" w:hAnsi="Arial" w:cs="Arial"/>
        </w:rPr>
        <w:t xml:space="preserve">, J. C., </w:t>
      </w:r>
      <w:proofErr w:type="spellStart"/>
      <w:r>
        <w:rPr>
          <w:rFonts w:ascii="Arial" w:hAnsi="Arial" w:cs="Arial"/>
        </w:rPr>
        <w:t>Marwanto</w:t>
      </w:r>
      <w:proofErr w:type="spellEnd"/>
      <w:r>
        <w:rPr>
          <w:rFonts w:ascii="Arial" w:hAnsi="Arial" w:cs="Arial"/>
        </w:rPr>
        <w:t xml:space="preserve">, S., &amp; </w:t>
      </w:r>
      <w:proofErr w:type="spellStart"/>
      <w:r>
        <w:rPr>
          <w:rFonts w:ascii="Arial" w:hAnsi="Arial" w:cs="Arial"/>
        </w:rPr>
        <w:t>Lubis</w:t>
      </w:r>
      <w:proofErr w:type="spellEnd"/>
      <w:r>
        <w:rPr>
          <w:rFonts w:ascii="Arial" w:hAnsi="Arial" w:cs="Arial"/>
        </w:rPr>
        <w:t xml:space="preserve">, M. A. R. (2025). Allometric Model of Carbon Sequestration in Coconut (Cocos nucifera L.) Agroforestry System in Indonesia. National Research and Innovation Agency &amp; </w:t>
      </w:r>
      <w:proofErr w:type="spellStart"/>
      <w:r>
        <w:rPr>
          <w:rFonts w:ascii="Arial" w:hAnsi="Arial" w:cs="Arial"/>
        </w:rPr>
        <w:t>Sebelas</w:t>
      </w:r>
      <w:proofErr w:type="spellEnd"/>
      <w:r>
        <w:rPr>
          <w:rFonts w:ascii="Arial" w:hAnsi="Arial" w:cs="Arial"/>
        </w:rPr>
        <w:t xml:space="preserve"> </w:t>
      </w:r>
      <w:proofErr w:type="spellStart"/>
      <w:r>
        <w:rPr>
          <w:rFonts w:ascii="Arial" w:hAnsi="Arial" w:cs="Arial"/>
        </w:rPr>
        <w:t>Maret</w:t>
      </w:r>
      <w:proofErr w:type="spellEnd"/>
      <w:r>
        <w:rPr>
          <w:rFonts w:ascii="Arial" w:hAnsi="Arial" w:cs="Arial"/>
        </w:rPr>
        <w:t xml:space="preserve"> University. Posted August 7th, 2025. DOI: https://doi.org/10.21203/rs.3.rs-7179099/v1</w:t>
      </w:r>
    </w:p>
    <w:p>
      <w:pPr>
        <w:pStyle w:val="ListParagraph"/>
        <w:numPr>
          <w:ilvl w:val="0"/>
          <w:numId w:val="6"/>
        </w:numPr>
        <w:jc w:val="both"/>
        <w:rPr>
          <w:rFonts w:ascii="Arial" w:hAnsi="Arial" w:cs="Arial"/>
        </w:rPr>
      </w:pPr>
      <w:proofErr w:type="spellStart"/>
      <w:r>
        <w:rPr>
          <w:rFonts w:ascii="Arial" w:hAnsi="Arial" w:cs="Arial"/>
        </w:rPr>
        <w:t>Raveendra</w:t>
      </w:r>
      <w:proofErr w:type="spellEnd"/>
      <w:r>
        <w:rPr>
          <w:rFonts w:ascii="Arial" w:hAnsi="Arial" w:cs="Arial"/>
        </w:rPr>
        <w:t xml:space="preserve">, S.A.S.T., A.A.A.J. </w:t>
      </w:r>
      <w:proofErr w:type="spellStart"/>
      <w:r>
        <w:rPr>
          <w:rFonts w:ascii="Arial" w:hAnsi="Arial" w:cs="Arial"/>
        </w:rPr>
        <w:t>Atapattu</w:t>
      </w:r>
      <w:proofErr w:type="spellEnd"/>
      <w:r>
        <w:rPr>
          <w:rFonts w:ascii="Arial" w:hAnsi="Arial" w:cs="Arial"/>
        </w:rPr>
        <w:t xml:space="preserve">, S.H.S. </w:t>
      </w:r>
      <w:proofErr w:type="spellStart"/>
      <w:r>
        <w:rPr>
          <w:rFonts w:ascii="Arial" w:hAnsi="Arial" w:cs="Arial"/>
        </w:rPr>
        <w:t>Senarathne</w:t>
      </w:r>
      <w:proofErr w:type="spellEnd"/>
      <w:r>
        <w:rPr>
          <w:rFonts w:ascii="Arial" w:hAnsi="Arial" w:cs="Arial"/>
        </w:rPr>
        <w:t>, C.S. Ranasinghe and K.W.L.K. Weerasinghe. 2017. "EVALUATION OF THE CARBON SEQUESTRATION POTENTIAL OF INTERCROPPING SYSTEMS UNDER COCONUT IN SRI LANKA". International Journal of Geology, Earth &amp; Environmental Sciences 7 (1): 1-7.</w:t>
      </w:r>
    </w:p>
    <w:p>
      <w:pPr>
        <w:pStyle w:val="ListParagraph"/>
        <w:numPr>
          <w:ilvl w:val="0"/>
          <w:numId w:val="6"/>
        </w:numPr>
        <w:jc w:val="both"/>
        <w:rPr>
          <w:rFonts w:ascii="Arial" w:hAnsi="Arial" w:cs="Arial"/>
        </w:rPr>
      </w:pPr>
      <w:r>
        <w:rPr>
          <w:rFonts w:ascii="Arial" w:hAnsi="Arial" w:cs="Arial"/>
        </w:rPr>
        <w:t>Rohit, S.; Soumyajit, M. The development of carbon capture and storage (CCS) in India: A critical review. Carbon Capture Sci. Technol. 2022, 2, 100036</w:t>
      </w:r>
    </w:p>
    <w:p>
      <w:pPr>
        <w:pStyle w:val="ListParagraph"/>
        <w:numPr>
          <w:ilvl w:val="0"/>
          <w:numId w:val="6"/>
        </w:numPr>
        <w:jc w:val="both"/>
        <w:rPr>
          <w:rFonts w:ascii="Arial" w:hAnsi="Arial" w:cs="Arial"/>
        </w:rPr>
      </w:pPr>
      <w:proofErr w:type="spellStart"/>
      <w:r>
        <w:rPr>
          <w:rFonts w:ascii="Arial" w:hAnsi="Arial" w:cs="Arial"/>
        </w:rPr>
        <w:t>Roupsard</w:t>
      </w:r>
      <w:proofErr w:type="spellEnd"/>
      <w:r>
        <w:rPr>
          <w:rFonts w:ascii="Arial" w:hAnsi="Arial" w:cs="Arial"/>
        </w:rPr>
        <w:t xml:space="preserve">, O., </w:t>
      </w:r>
      <w:proofErr w:type="spellStart"/>
      <w:r>
        <w:rPr>
          <w:rFonts w:ascii="Arial" w:hAnsi="Arial" w:cs="Arial"/>
        </w:rPr>
        <w:t>Lamanda</w:t>
      </w:r>
      <w:proofErr w:type="spellEnd"/>
      <w:r>
        <w:rPr>
          <w:rFonts w:ascii="Arial" w:hAnsi="Arial" w:cs="Arial"/>
        </w:rPr>
        <w:t xml:space="preserve">, N., Jourdan, C., Navarro, M., </w:t>
      </w:r>
      <w:proofErr w:type="spellStart"/>
      <w:r>
        <w:rPr>
          <w:rFonts w:ascii="Arial" w:hAnsi="Arial" w:cs="Arial"/>
        </w:rPr>
        <w:t>Mialet</w:t>
      </w:r>
      <w:proofErr w:type="spellEnd"/>
      <w:r>
        <w:rPr>
          <w:rFonts w:ascii="Arial" w:hAnsi="Arial" w:cs="Arial"/>
        </w:rPr>
        <w:t xml:space="preserve">-Serra, I., </w:t>
      </w:r>
      <w:proofErr w:type="spellStart"/>
      <w:r>
        <w:rPr>
          <w:rFonts w:ascii="Arial" w:hAnsi="Arial" w:cs="Arial"/>
        </w:rPr>
        <w:t>Dauzat</w:t>
      </w:r>
      <w:proofErr w:type="spellEnd"/>
      <w:r>
        <w:rPr>
          <w:rFonts w:ascii="Arial" w:hAnsi="Arial" w:cs="Arial"/>
        </w:rPr>
        <w:t xml:space="preserve">, J. and </w:t>
      </w:r>
      <w:proofErr w:type="spellStart"/>
      <w:r>
        <w:rPr>
          <w:rFonts w:ascii="Arial" w:hAnsi="Arial" w:cs="Arial"/>
        </w:rPr>
        <w:t>Sileye</w:t>
      </w:r>
      <w:proofErr w:type="spellEnd"/>
      <w:r>
        <w:rPr>
          <w:rFonts w:ascii="Arial" w:hAnsi="Arial" w:cs="Arial"/>
        </w:rPr>
        <w:t>, T. (2008) 'Coconut Carbon Sequestration Part 1/ Highlights on Carbon Cycle in Coconut Plantations', Cord, 24(1), pp. 1-14.</w:t>
      </w:r>
    </w:p>
    <w:p>
      <w:pPr>
        <w:pStyle w:val="ListParagraph"/>
        <w:numPr>
          <w:ilvl w:val="0"/>
          <w:numId w:val="6"/>
        </w:numPr>
        <w:jc w:val="both"/>
        <w:rPr>
          <w:rFonts w:ascii="Arial" w:hAnsi="Arial" w:cs="Arial"/>
        </w:rPr>
      </w:pPr>
      <w:r>
        <w:rPr>
          <w:rFonts w:ascii="Arial" w:hAnsi="Arial" w:cs="Arial"/>
        </w:rPr>
        <w:t>Saco, P.M.; McDonough, K.R.; Rodriguez, J.F.; Rivera-Zayas, J.; Sandi, S.G. The role of soils in the regulation of hazards and extreme events. Philos. Trans. R. Soc. B 2021, 376, 20200178</w:t>
      </w:r>
    </w:p>
    <w:p>
      <w:pPr>
        <w:pStyle w:val="ListParagraph"/>
        <w:numPr>
          <w:ilvl w:val="0"/>
          <w:numId w:val="6"/>
        </w:numPr>
        <w:jc w:val="both"/>
        <w:rPr>
          <w:rFonts w:ascii="Arial" w:hAnsi="Arial" w:cs="Arial"/>
        </w:rPr>
      </w:pPr>
      <w:proofErr w:type="spellStart"/>
      <w:r>
        <w:rPr>
          <w:rFonts w:ascii="Arial" w:hAnsi="Arial" w:cs="Arial"/>
        </w:rPr>
        <w:t>Selva</w:t>
      </w:r>
      <w:proofErr w:type="spellEnd"/>
      <w:r>
        <w:rPr>
          <w:rFonts w:ascii="Arial" w:hAnsi="Arial" w:cs="Arial"/>
        </w:rPr>
        <w:t xml:space="preserve"> Rani, A., </w:t>
      </w:r>
      <w:proofErr w:type="spellStart"/>
      <w:r>
        <w:rPr>
          <w:rFonts w:ascii="Arial" w:hAnsi="Arial" w:cs="Arial"/>
        </w:rPr>
        <w:t>Subbulakshmi</w:t>
      </w:r>
      <w:proofErr w:type="spellEnd"/>
      <w:r>
        <w:rPr>
          <w:rFonts w:ascii="Arial" w:hAnsi="Arial" w:cs="Arial"/>
        </w:rPr>
        <w:t xml:space="preserve">, S., Kavitha, K., Nazreen Hassan, S., </w:t>
      </w:r>
      <w:proofErr w:type="spellStart"/>
      <w:r>
        <w:rPr>
          <w:rFonts w:ascii="Arial" w:hAnsi="Arial" w:cs="Arial"/>
        </w:rPr>
        <w:t>Latha</w:t>
      </w:r>
      <w:proofErr w:type="spellEnd"/>
      <w:r>
        <w:rPr>
          <w:rFonts w:ascii="Arial" w:hAnsi="Arial" w:cs="Arial"/>
        </w:rPr>
        <w:t xml:space="preserve">, R., &amp; Suresh, S. (2024). A review on </w:t>
      </w:r>
      <w:proofErr w:type="gramStart"/>
      <w:r>
        <w:rPr>
          <w:rFonts w:ascii="Arial" w:hAnsi="Arial" w:cs="Arial"/>
        </w:rPr>
        <w:t>coconut based</w:t>
      </w:r>
      <w:proofErr w:type="gramEnd"/>
      <w:r>
        <w:rPr>
          <w:rFonts w:ascii="Arial" w:hAnsi="Arial" w:cs="Arial"/>
        </w:rPr>
        <w:t xml:space="preserve"> intercropping. </w:t>
      </w:r>
      <w:r>
        <w:rPr>
          <w:rFonts w:ascii="Arial" w:hAnsi="Arial" w:cs="Arial"/>
          <w:i/>
          <w:iCs/>
        </w:rPr>
        <w:t>International Journal of Research in Agronomy, Special Issue</w:t>
      </w:r>
      <w:r>
        <w:rPr>
          <w:rFonts w:ascii="Arial" w:hAnsi="Arial" w:cs="Arial"/>
        </w:rPr>
        <w:t>, 7(9), 243–247. </w:t>
      </w:r>
      <w:hyperlink r:id="rId20" w:tgtFrame="_blank" w:history="1">
        <w:r>
          <w:rPr>
            <w:rStyle w:val="Hyperlink"/>
            <w:rFonts w:ascii="Arial" w:hAnsi="Arial" w:cs="Arial"/>
          </w:rPr>
          <w:t>https://doi.org/10.33545/2618060X.2024.v7.i9Sd.1475</w:t>
        </w:r>
      </w:hyperlink>
    </w:p>
    <w:p>
      <w:pPr>
        <w:pStyle w:val="ListParagraph"/>
        <w:numPr>
          <w:ilvl w:val="0"/>
          <w:numId w:val="6"/>
        </w:numPr>
        <w:jc w:val="both"/>
        <w:rPr>
          <w:rFonts w:ascii="Arial" w:hAnsi="Arial" w:cs="Arial"/>
        </w:rPr>
      </w:pPr>
      <w:r>
        <w:rPr>
          <w:rFonts w:ascii="Arial" w:hAnsi="Arial" w:cs="Arial"/>
        </w:rPr>
        <w:t xml:space="preserve">Shinde, V. V., </w:t>
      </w:r>
      <w:proofErr w:type="spellStart"/>
      <w:r>
        <w:rPr>
          <w:rFonts w:ascii="Arial" w:hAnsi="Arial" w:cs="Arial"/>
        </w:rPr>
        <w:t>Maheswarappa</w:t>
      </w:r>
      <w:proofErr w:type="spellEnd"/>
      <w:r>
        <w:rPr>
          <w:rFonts w:ascii="Arial" w:hAnsi="Arial" w:cs="Arial"/>
        </w:rPr>
        <w:t xml:space="preserve">, H. P., </w:t>
      </w:r>
      <w:proofErr w:type="spellStart"/>
      <w:r>
        <w:rPr>
          <w:rFonts w:ascii="Arial" w:hAnsi="Arial" w:cs="Arial"/>
        </w:rPr>
        <w:t>Ghavale</w:t>
      </w:r>
      <w:proofErr w:type="spellEnd"/>
      <w:r>
        <w:rPr>
          <w:rFonts w:ascii="Arial" w:hAnsi="Arial" w:cs="Arial"/>
        </w:rPr>
        <w:t xml:space="preserve">, S. L., </w:t>
      </w:r>
      <w:proofErr w:type="spellStart"/>
      <w:r>
        <w:rPr>
          <w:rFonts w:ascii="Arial" w:hAnsi="Arial" w:cs="Arial"/>
        </w:rPr>
        <w:t>Sumitha</w:t>
      </w:r>
      <w:proofErr w:type="spellEnd"/>
      <w:r>
        <w:rPr>
          <w:rFonts w:ascii="Arial" w:hAnsi="Arial" w:cs="Arial"/>
        </w:rPr>
        <w:t xml:space="preserve">, S., Wankhede, S. M., &amp; </w:t>
      </w:r>
      <w:proofErr w:type="spellStart"/>
      <w:r>
        <w:rPr>
          <w:rFonts w:ascii="Arial" w:hAnsi="Arial" w:cs="Arial"/>
        </w:rPr>
        <w:t>Haldankar</w:t>
      </w:r>
      <w:proofErr w:type="spellEnd"/>
      <w:r>
        <w:rPr>
          <w:rFonts w:ascii="Arial" w:hAnsi="Arial" w:cs="Arial"/>
        </w:rPr>
        <w:t>, P. M. (2020). Productivity and carbon sequestration potential of coconut-based cropping system as influenced by integrated nutrient management practices. Journal of Plantation Crops, 48(2), 103– 110. https://doi.org/10.25081/jpc.2020.v48.i2.6368</w:t>
      </w:r>
    </w:p>
    <w:p>
      <w:pPr>
        <w:pStyle w:val="ListParagraph"/>
        <w:numPr>
          <w:ilvl w:val="0"/>
          <w:numId w:val="6"/>
        </w:numPr>
        <w:jc w:val="both"/>
        <w:rPr>
          <w:rFonts w:ascii="Arial" w:hAnsi="Arial" w:cs="Arial"/>
        </w:rPr>
      </w:pPr>
      <w:r>
        <w:rPr>
          <w:rFonts w:ascii="Arial" w:hAnsi="Arial" w:cs="Arial"/>
        </w:rPr>
        <w:t xml:space="preserve">Shinde, V. V., </w:t>
      </w:r>
      <w:proofErr w:type="spellStart"/>
      <w:r>
        <w:rPr>
          <w:rFonts w:ascii="Arial" w:hAnsi="Arial" w:cs="Arial"/>
        </w:rPr>
        <w:t>Sumitha</w:t>
      </w:r>
      <w:proofErr w:type="spellEnd"/>
      <w:r>
        <w:rPr>
          <w:rFonts w:ascii="Arial" w:hAnsi="Arial" w:cs="Arial"/>
        </w:rPr>
        <w:t xml:space="preserve">, S., and </w:t>
      </w:r>
      <w:proofErr w:type="spellStart"/>
      <w:r>
        <w:rPr>
          <w:rFonts w:ascii="Arial" w:hAnsi="Arial" w:cs="Arial"/>
        </w:rPr>
        <w:t>Maheswarappa</w:t>
      </w:r>
      <w:proofErr w:type="spellEnd"/>
      <w:r>
        <w:rPr>
          <w:rFonts w:ascii="Arial" w:hAnsi="Arial" w:cs="Arial"/>
        </w:rPr>
        <w:t xml:space="preserve">, H. P. (2021b). Soil fertility properties, leaf nutrient status and yield of coconut and intercrops as influenced and coconut based cropping system in coastal plain of western India. Bangladesh J. Bot. 50, 1067–1075. </w:t>
      </w:r>
      <w:proofErr w:type="spellStart"/>
      <w:r>
        <w:rPr>
          <w:rFonts w:ascii="Arial" w:hAnsi="Arial" w:cs="Arial"/>
        </w:rPr>
        <w:t>doi</w:t>
      </w:r>
      <w:proofErr w:type="spellEnd"/>
      <w:r>
        <w:rPr>
          <w:rFonts w:ascii="Arial" w:hAnsi="Arial" w:cs="Arial"/>
        </w:rPr>
        <w:t>: 10.3329/</w:t>
      </w:r>
      <w:proofErr w:type="gramStart"/>
      <w:r>
        <w:rPr>
          <w:rFonts w:ascii="Arial" w:hAnsi="Arial" w:cs="Arial"/>
        </w:rPr>
        <w:t>bjb.v</w:t>
      </w:r>
      <w:proofErr w:type="gramEnd"/>
      <w:r>
        <w:rPr>
          <w:rFonts w:ascii="Arial" w:hAnsi="Arial" w:cs="Arial"/>
        </w:rPr>
        <w:t>50i4.57074</w:t>
      </w:r>
    </w:p>
    <w:p>
      <w:pPr>
        <w:pStyle w:val="ListParagraph"/>
        <w:numPr>
          <w:ilvl w:val="0"/>
          <w:numId w:val="6"/>
        </w:numPr>
        <w:jc w:val="both"/>
        <w:rPr>
          <w:rFonts w:ascii="Arial" w:hAnsi="Arial" w:cs="Arial"/>
        </w:rPr>
      </w:pPr>
      <w:r>
        <w:rPr>
          <w:rFonts w:ascii="Arial" w:hAnsi="Arial" w:cs="Arial"/>
        </w:rPr>
        <w:t xml:space="preserve">SI Maulana, Y </w:t>
      </w:r>
      <w:proofErr w:type="spellStart"/>
      <w:r>
        <w:rPr>
          <w:rFonts w:ascii="Arial" w:hAnsi="Arial" w:cs="Arial"/>
        </w:rPr>
        <w:t>Wibisono</w:t>
      </w:r>
      <w:proofErr w:type="spellEnd"/>
      <w:r>
        <w:rPr>
          <w:rFonts w:ascii="Arial" w:hAnsi="Arial" w:cs="Arial"/>
        </w:rPr>
        <w:t xml:space="preserve">, and S </w:t>
      </w:r>
      <w:proofErr w:type="spellStart"/>
      <w:r>
        <w:rPr>
          <w:rFonts w:ascii="Arial" w:hAnsi="Arial" w:cs="Arial"/>
        </w:rPr>
        <w:t>Utomo</w:t>
      </w:r>
      <w:proofErr w:type="spellEnd"/>
      <w:r>
        <w:rPr>
          <w:rFonts w:ascii="Arial" w:hAnsi="Arial" w:cs="Arial"/>
        </w:rPr>
        <w:t xml:space="preserve"> (2016) Indonesian Journal of Forestry Research 3: 107.</w:t>
      </w:r>
    </w:p>
    <w:p>
      <w:pPr>
        <w:pStyle w:val="ListParagraph"/>
        <w:numPr>
          <w:ilvl w:val="0"/>
          <w:numId w:val="6"/>
        </w:numPr>
        <w:jc w:val="both"/>
        <w:rPr>
          <w:rFonts w:ascii="Arial" w:hAnsi="Arial" w:cs="Arial"/>
        </w:rPr>
      </w:pPr>
      <w:r>
        <w:rPr>
          <w:rFonts w:ascii="Arial" w:hAnsi="Arial" w:cs="Arial"/>
        </w:rPr>
        <w:t xml:space="preserve">Six, J.; Frey, S.D.; </w:t>
      </w:r>
      <w:proofErr w:type="spellStart"/>
      <w:r>
        <w:rPr>
          <w:rFonts w:ascii="Arial" w:hAnsi="Arial" w:cs="Arial"/>
        </w:rPr>
        <w:t>Thiet</w:t>
      </w:r>
      <w:proofErr w:type="spellEnd"/>
      <w:r>
        <w:rPr>
          <w:rFonts w:ascii="Arial" w:hAnsi="Arial" w:cs="Arial"/>
        </w:rPr>
        <w:t>, R.K.; Batten, K.M. Bacterial and fungal contributions to carbon sequestration in agroecosystems. Soil Sci. Soc. Am. J. 2006, 70, 555–569.</w:t>
      </w:r>
    </w:p>
    <w:p>
      <w:pPr>
        <w:pStyle w:val="ListParagraph"/>
        <w:numPr>
          <w:ilvl w:val="0"/>
          <w:numId w:val="6"/>
        </w:numPr>
        <w:jc w:val="both"/>
        <w:rPr>
          <w:rFonts w:ascii="Arial" w:hAnsi="Arial" w:cs="Arial"/>
        </w:rPr>
      </w:pPr>
      <w:proofErr w:type="spellStart"/>
      <w:r>
        <w:rPr>
          <w:rFonts w:ascii="Arial" w:hAnsi="Arial" w:cs="Arial"/>
        </w:rPr>
        <w:t>Sooriyaarachchi</w:t>
      </w:r>
      <w:proofErr w:type="spellEnd"/>
      <w:r>
        <w:rPr>
          <w:rFonts w:ascii="Arial" w:hAnsi="Arial" w:cs="Arial"/>
        </w:rPr>
        <w:t xml:space="preserve">, S.A.R.S., </w:t>
      </w:r>
      <w:proofErr w:type="spellStart"/>
      <w:r>
        <w:rPr>
          <w:rFonts w:ascii="Arial" w:hAnsi="Arial" w:cs="Arial"/>
        </w:rPr>
        <w:t>Dilhan</w:t>
      </w:r>
      <w:proofErr w:type="spellEnd"/>
      <w:r>
        <w:rPr>
          <w:rFonts w:ascii="Arial" w:hAnsi="Arial" w:cs="Arial"/>
        </w:rPr>
        <w:t xml:space="preserve">, R.M.C.P., </w:t>
      </w:r>
      <w:proofErr w:type="spellStart"/>
      <w:r>
        <w:rPr>
          <w:rFonts w:ascii="Arial" w:hAnsi="Arial" w:cs="Arial"/>
        </w:rPr>
        <w:t>Nuwarapaksha</w:t>
      </w:r>
      <w:proofErr w:type="spellEnd"/>
      <w:r>
        <w:rPr>
          <w:rFonts w:ascii="Arial" w:hAnsi="Arial" w:cs="Arial"/>
        </w:rPr>
        <w:t xml:space="preserve">, T.D., </w:t>
      </w:r>
      <w:proofErr w:type="spellStart"/>
      <w:r>
        <w:rPr>
          <w:rFonts w:ascii="Arial" w:hAnsi="Arial" w:cs="Arial"/>
        </w:rPr>
        <w:t>Rathnayaka</w:t>
      </w:r>
      <w:proofErr w:type="spellEnd"/>
      <w:r>
        <w:rPr>
          <w:rFonts w:ascii="Arial" w:hAnsi="Arial" w:cs="Arial"/>
        </w:rPr>
        <w:t xml:space="preserve">, R.M.S.M.B., </w:t>
      </w:r>
      <w:proofErr w:type="spellStart"/>
      <w:r>
        <w:rPr>
          <w:rFonts w:ascii="Arial" w:hAnsi="Arial" w:cs="Arial"/>
        </w:rPr>
        <w:t>Vibodhani</w:t>
      </w:r>
      <w:proofErr w:type="spellEnd"/>
      <w:r>
        <w:rPr>
          <w:rFonts w:ascii="Arial" w:hAnsi="Arial" w:cs="Arial"/>
        </w:rPr>
        <w:t xml:space="preserve">, D.D.N. and </w:t>
      </w:r>
      <w:proofErr w:type="spellStart"/>
      <w:r>
        <w:rPr>
          <w:rFonts w:ascii="Arial" w:hAnsi="Arial" w:cs="Arial"/>
        </w:rPr>
        <w:t>Atapattu</w:t>
      </w:r>
      <w:proofErr w:type="spellEnd"/>
      <w:r>
        <w:rPr>
          <w:rFonts w:ascii="Arial" w:hAnsi="Arial" w:cs="Arial"/>
        </w:rPr>
        <w:t xml:space="preserve">, A.J., 2024. Develop an Allometric Model to Estimate the Total Carbon Sequestration Potential of Coconut Cultivation. [pdf] Coconut Research Institute, Sri Lanka. </w:t>
      </w:r>
    </w:p>
    <w:p>
      <w:pPr>
        <w:pStyle w:val="ListParagraph"/>
        <w:numPr>
          <w:ilvl w:val="0"/>
          <w:numId w:val="6"/>
        </w:numPr>
        <w:jc w:val="both"/>
        <w:rPr>
          <w:rFonts w:ascii="Arial" w:hAnsi="Arial" w:cs="Arial"/>
        </w:rPr>
      </w:pPr>
      <w:r>
        <w:rPr>
          <w:rFonts w:ascii="Arial" w:hAnsi="Arial" w:cs="Arial"/>
        </w:rPr>
        <w:lastRenderedPageBreak/>
        <w:t xml:space="preserve">Srinivasan, V., </w:t>
      </w:r>
      <w:proofErr w:type="spellStart"/>
      <w:r>
        <w:rPr>
          <w:rFonts w:ascii="Arial" w:hAnsi="Arial" w:cs="Arial"/>
        </w:rPr>
        <w:t>Maheswarppa</w:t>
      </w:r>
      <w:proofErr w:type="spellEnd"/>
      <w:r>
        <w:rPr>
          <w:rFonts w:ascii="Arial" w:hAnsi="Arial" w:cs="Arial"/>
        </w:rPr>
        <w:t xml:space="preserve">, H.P. and Lal, R. 2012. Long term effects of topsoil depth and amendments on particulate and non-particulate carbon fractions in a Miamian soil of Central Ohio. Soil Tillage Res. 121: 10-17. </w:t>
      </w:r>
    </w:p>
    <w:p>
      <w:pPr>
        <w:pStyle w:val="ListParagraph"/>
        <w:numPr>
          <w:ilvl w:val="0"/>
          <w:numId w:val="6"/>
        </w:numPr>
        <w:jc w:val="both"/>
        <w:rPr>
          <w:rFonts w:ascii="Arial" w:hAnsi="Arial" w:cs="Arial"/>
        </w:rPr>
      </w:pPr>
      <w:proofErr w:type="spellStart"/>
      <w:r>
        <w:rPr>
          <w:rFonts w:ascii="Arial" w:hAnsi="Arial" w:cs="Arial"/>
        </w:rPr>
        <w:t>Subramaniyan</w:t>
      </w:r>
      <w:proofErr w:type="spellEnd"/>
      <w:r>
        <w:rPr>
          <w:rFonts w:ascii="Arial" w:hAnsi="Arial" w:cs="Arial"/>
        </w:rPr>
        <w:t>, P., Jothi, L. J., Shoba, N., &amp; Murugesan, S. (2017). Carbon sequestration in plantation crops. International Journal of Scientific Development and Research, 2(5), 94-101.</w:t>
      </w:r>
    </w:p>
    <w:p>
      <w:pPr>
        <w:pStyle w:val="ListParagraph"/>
        <w:numPr>
          <w:ilvl w:val="0"/>
          <w:numId w:val="6"/>
        </w:numPr>
        <w:jc w:val="both"/>
        <w:rPr>
          <w:rFonts w:ascii="Arial" w:hAnsi="Arial" w:cs="Arial"/>
        </w:rPr>
      </w:pPr>
      <w:r>
        <w:rPr>
          <w:rFonts w:ascii="Arial" w:hAnsi="Arial" w:cs="Arial"/>
        </w:rPr>
        <w:t>Sudha, B., &amp; George, A. (2011). Tillage and residue management for organic carbon sequestration in coconut (Cocos nucifera)-based cropping systems. Indian Journal of Agronomy, 56(3), 223–227.</w:t>
      </w:r>
    </w:p>
    <w:p>
      <w:pPr>
        <w:pStyle w:val="ListParagraph"/>
        <w:numPr>
          <w:ilvl w:val="0"/>
          <w:numId w:val="6"/>
        </w:numPr>
        <w:jc w:val="both"/>
        <w:rPr>
          <w:rFonts w:ascii="Arial" w:hAnsi="Arial" w:cs="Arial"/>
        </w:rPr>
      </w:pPr>
      <w:proofErr w:type="spellStart"/>
      <w:r>
        <w:rPr>
          <w:rFonts w:ascii="Arial" w:hAnsi="Arial" w:cs="Arial"/>
        </w:rPr>
        <w:t>Thamban</w:t>
      </w:r>
      <w:proofErr w:type="spellEnd"/>
      <w:r>
        <w:rPr>
          <w:rFonts w:ascii="Arial" w:hAnsi="Arial" w:cs="Arial"/>
        </w:rPr>
        <w:t xml:space="preserve">, C., Rajesh, M.K., </w:t>
      </w:r>
      <w:proofErr w:type="spellStart"/>
      <w:r>
        <w:rPr>
          <w:rFonts w:ascii="Arial" w:hAnsi="Arial" w:cs="Arial"/>
        </w:rPr>
        <w:t>Beegum</w:t>
      </w:r>
      <w:proofErr w:type="spellEnd"/>
      <w:r>
        <w:rPr>
          <w:rFonts w:ascii="Arial" w:hAnsi="Arial" w:cs="Arial"/>
        </w:rPr>
        <w:t xml:space="preserve">, S., </w:t>
      </w:r>
      <w:proofErr w:type="spellStart"/>
      <w:r>
        <w:rPr>
          <w:rFonts w:ascii="Arial" w:hAnsi="Arial" w:cs="Arial"/>
        </w:rPr>
        <w:t>Prathibha</w:t>
      </w:r>
      <w:proofErr w:type="spellEnd"/>
      <w:r>
        <w:rPr>
          <w:rFonts w:ascii="Arial" w:hAnsi="Arial" w:cs="Arial"/>
        </w:rPr>
        <w:t xml:space="preserve">, P. S., &amp; </w:t>
      </w:r>
      <w:proofErr w:type="spellStart"/>
      <w:r>
        <w:rPr>
          <w:rFonts w:ascii="Arial" w:hAnsi="Arial" w:cs="Arial"/>
        </w:rPr>
        <w:t>Daliyamol</w:t>
      </w:r>
      <w:proofErr w:type="spellEnd"/>
      <w:r>
        <w:rPr>
          <w:rFonts w:ascii="Arial" w:hAnsi="Arial" w:cs="Arial"/>
        </w:rPr>
        <w:t>. (2021). Intercropping of fruit crops in Coconut Garden – Vignettes from ‘</w:t>
      </w:r>
      <w:proofErr w:type="spellStart"/>
      <w:r>
        <w:rPr>
          <w:rFonts w:ascii="Arial" w:hAnsi="Arial" w:cs="Arial"/>
        </w:rPr>
        <w:t>Chowtara</w:t>
      </w:r>
      <w:proofErr w:type="spellEnd"/>
      <w:r>
        <w:rPr>
          <w:rFonts w:ascii="Arial" w:hAnsi="Arial" w:cs="Arial"/>
        </w:rPr>
        <w:t xml:space="preserve"> </w:t>
      </w:r>
      <w:proofErr w:type="spellStart"/>
      <w:r>
        <w:rPr>
          <w:rFonts w:ascii="Arial" w:hAnsi="Arial" w:cs="Arial"/>
        </w:rPr>
        <w:t>thota</w:t>
      </w:r>
      <w:proofErr w:type="spellEnd"/>
      <w:r>
        <w:rPr>
          <w:rFonts w:ascii="Arial" w:hAnsi="Arial" w:cs="Arial"/>
        </w:rPr>
        <w:t xml:space="preserve">’ </w:t>
      </w:r>
      <w:proofErr w:type="spellStart"/>
      <w:r>
        <w:rPr>
          <w:rFonts w:ascii="Arial" w:hAnsi="Arial" w:cs="Arial"/>
        </w:rPr>
        <w:t>Meeyapadavu</w:t>
      </w:r>
      <w:proofErr w:type="spellEnd"/>
      <w:r>
        <w:rPr>
          <w:rFonts w:ascii="Arial" w:hAnsi="Arial" w:cs="Arial"/>
        </w:rPr>
        <w:t>. Indian Coconut Journal, 63(9), 8-13.</w:t>
      </w:r>
    </w:p>
    <w:p>
      <w:pPr>
        <w:pStyle w:val="ListParagraph"/>
        <w:numPr>
          <w:ilvl w:val="0"/>
          <w:numId w:val="6"/>
        </w:numPr>
        <w:jc w:val="both"/>
        <w:rPr>
          <w:rFonts w:ascii="Arial" w:hAnsi="Arial" w:cs="Arial"/>
        </w:rPr>
      </w:pPr>
      <w:proofErr w:type="spellStart"/>
      <w:r>
        <w:rPr>
          <w:rFonts w:ascii="Arial" w:hAnsi="Arial" w:cs="Arial"/>
        </w:rPr>
        <w:t>Thiruvarassan</w:t>
      </w:r>
      <w:proofErr w:type="spellEnd"/>
      <w:r>
        <w:rPr>
          <w:rFonts w:ascii="Arial" w:hAnsi="Arial" w:cs="Arial"/>
        </w:rPr>
        <w:t xml:space="preserve"> S, </w:t>
      </w:r>
      <w:proofErr w:type="spellStart"/>
      <w:r>
        <w:rPr>
          <w:rFonts w:ascii="Arial" w:hAnsi="Arial" w:cs="Arial"/>
        </w:rPr>
        <w:t>Maheswarappa</w:t>
      </w:r>
      <w:proofErr w:type="spellEnd"/>
      <w:r>
        <w:rPr>
          <w:rFonts w:ascii="Arial" w:hAnsi="Arial" w:cs="Arial"/>
        </w:rPr>
        <w:t xml:space="preserve"> HP, Subramani T. Evaluation of Coconut based multispecies cropping systems for East Coast Region of Tamil Nadu. J Andaman Sci Assoc. 2014;19(1):59-64</w:t>
      </w:r>
    </w:p>
    <w:p>
      <w:pPr>
        <w:pStyle w:val="ListParagraph"/>
        <w:numPr>
          <w:ilvl w:val="0"/>
          <w:numId w:val="6"/>
        </w:numPr>
        <w:jc w:val="both"/>
        <w:rPr>
          <w:rFonts w:ascii="Arial" w:hAnsi="Arial" w:cs="Arial"/>
        </w:rPr>
      </w:pPr>
      <w:r>
        <w:rPr>
          <w:rFonts w:ascii="Arial" w:hAnsi="Arial" w:cs="Arial"/>
        </w:rPr>
        <w:t xml:space="preserve">Thomas, G. V., </w:t>
      </w:r>
      <w:proofErr w:type="spellStart"/>
      <w:r>
        <w:rPr>
          <w:rFonts w:ascii="Arial" w:hAnsi="Arial" w:cs="Arial"/>
        </w:rPr>
        <w:t>Palaniswami</w:t>
      </w:r>
      <w:proofErr w:type="spellEnd"/>
      <w:r>
        <w:rPr>
          <w:rFonts w:ascii="Arial" w:hAnsi="Arial" w:cs="Arial"/>
        </w:rPr>
        <w:t xml:space="preserve">, C., &amp; Krishnakumar, V. (2010). Technologies for coconut, </w:t>
      </w:r>
      <w:proofErr w:type="spellStart"/>
      <w:r>
        <w:rPr>
          <w:rFonts w:ascii="Arial" w:hAnsi="Arial" w:cs="Arial"/>
        </w:rPr>
        <w:t>arecanut</w:t>
      </w:r>
      <w:proofErr w:type="spellEnd"/>
      <w:r>
        <w:rPr>
          <w:rFonts w:ascii="Arial" w:hAnsi="Arial" w:cs="Arial"/>
        </w:rPr>
        <w:t xml:space="preserve"> and cocoa: Status and way forward. In Indian Institute of Spices Research (Eds.), CABI Digital Library. https://www.cabidigitallibrary.org/doi/pdf/10.5555/20220539276</w:t>
      </w:r>
    </w:p>
    <w:p>
      <w:pPr>
        <w:pStyle w:val="ListParagraph"/>
        <w:numPr>
          <w:ilvl w:val="0"/>
          <w:numId w:val="6"/>
        </w:numPr>
        <w:jc w:val="both"/>
        <w:rPr>
          <w:rFonts w:ascii="Arial" w:hAnsi="Arial" w:cs="Arial"/>
        </w:rPr>
      </w:pPr>
      <w:r>
        <w:rPr>
          <w:rFonts w:ascii="Arial" w:hAnsi="Arial" w:cs="Arial"/>
        </w:rPr>
        <w:t xml:space="preserve">Thomas, G. V., &amp; </w:t>
      </w:r>
      <w:proofErr w:type="spellStart"/>
      <w:r>
        <w:rPr>
          <w:rFonts w:ascii="Arial" w:hAnsi="Arial" w:cs="Arial"/>
        </w:rPr>
        <w:t>Shantaram</w:t>
      </w:r>
      <w:proofErr w:type="spellEnd"/>
      <w:r>
        <w:rPr>
          <w:rFonts w:ascii="Arial" w:hAnsi="Arial" w:cs="Arial"/>
        </w:rPr>
        <w:t>, M. V. (1984). In situ cultivation and incorporation of green manure legumes in coconut basins. </w:t>
      </w:r>
      <w:r>
        <w:rPr>
          <w:rFonts w:ascii="Arial" w:hAnsi="Arial" w:cs="Arial"/>
          <w:i/>
          <w:iCs/>
        </w:rPr>
        <w:t>Plant and Soil, 80</w:t>
      </w:r>
      <w:r>
        <w:rPr>
          <w:rFonts w:ascii="Arial" w:hAnsi="Arial" w:cs="Arial"/>
        </w:rPr>
        <w:t>(3), 373–380. </w:t>
      </w:r>
      <w:hyperlink r:id="rId21" w:tgtFrame="_blank" w:history="1">
        <w:r>
          <w:rPr>
            <w:rStyle w:val="Hyperlink"/>
            <w:rFonts w:ascii="Arial" w:hAnsi="Arial" w:cs="Arial"/>
          </w:rPr>
          <w:t>https://doi.org/10.1007/BF02140044</w:t>
        </w:r>
      </w:hyperlink>
    </w:p>
    <w:p>
      <w:pPr>
        <w:pStyle w:val="ListParagraph"/>
        <w:numPr>
          <w:ilvl w:val="0"/>
          <w:numId w:val="6"/>
        </w:numPr>
        <w:jc w:val="both"/>
        <w:rPr>
          <w:rFonts w:ascii="Arial" w:hAnsi="Arial" w:cs="Arial"/>
        </w:rPr>
      </w:pPr>
      <w:r>
        <w:rPr>
          <w:rFonts w:ascii="Arial" w:hAnsi="Arial" w:cs="Arial"/>
        </w:rPr>
        <w:t>USGS. (2008). Carbon Sequestration to Mitigate Climate Change. Retrieved from https://pubs.usgs.gov/fs/2008/3097/pdf/CarbonFS.</w:t>
      </w:r>
    </w:p>
    <w:p>
      <w:pPr>
        <w:pStyle w:val="ListParagraph"/>
        <w:numPr>
          <w:ilvl w:val="0"/>
          <w:numId w:val="6"/>
        </w:numPr>
        <w:jc w:val="both"/>
        <w:rPr>
          <w:rFonts w:ascii="Arial" w:hAnsi="Arial" w:cs="Arial"/>
        </w:rPr>
      </w:pPr>
      <w:proofErr w:type="spellStart"/>
      <w:r>
        <w:rPr>
          <w:rFonts w:ascii="Arial" w:hAnsi="Arial" w:cs="Arial"/>
        </w:rPr>
        <w:t>Walkey</w:t>
      </w:r>
      <w:proofErr w:type="spellEnd"/>
      <w:r>
        <w:rPr>
          <w:rFonts w:ascii="Arial" w:hAnsi="Arial" w:cs="Arial"/>
        </w:rPr>
        <w:t xml:space="preserve"> A and Black IA (1934). An examination of the </w:t>
      </w:r>
      <w:proofErr w:type="spellStart"/>
      <w:r>
        <w:rPr>
          <w:rFonts w:ascii="Arial" w:hAnsi="Arial" w:cs="Arial"/>
        </w:rPr>
        <w:t>Degtjareft</w:t>
      </w:r>
      <w:proofErr w:type="spellEnd"/>
      <w:r>
        <w:rPr>
          <w:rFonts w:ascii="Arial" w:hAnsi="Arial" w:cs="Arial"/>
        </w:rPr>
        <w:t xml:space="preserve"> method for determining soil organic matter and proposed modification of the chromic acid titration method. Soil Science 37(1) 29-38.</w:t>
      </w:r>
    </w:p>
    <w:p>
      <w:pPr>
        <w:pStyle w:val="ListParagraph"/>
        <w:numPr>
          <w:ilvl w:val="0"/>
          <w:numId w:val="6"/>
        </w:numPr>
        <w:jc w:val="both"/>
        <w:rPr>
          <w:rFonts w:ascii="Arial" w:hAnsi="Arial" w:cs="Arial"/>
        </w:rPr>
      </w:pPr>
      <w:r>
        <w:rPr>
          <w:rFonts w:ascii="Arial" w:hAnsi="Arial" w:cs="Arial"/>
        </w:rPr>
        <w:t xml:space="preserve">Wendling, B., </w:t>
      </w:r>
      <w:proofErr w:type="spellStart"/>
      <w:r>
        <w:rPr>
          <w:rFonts w:ascii="Arial" w:hAnsi="Arial" w:cs="Arial"/>
        </w:rPr>
        <w:t>Jucksch</w:t>
      </w:r>
      <w:proofErr w:type="spellEnd"/>
      <w:r>
        <w:rPr>
          <w:rFonts w:ascii="Arial" w:hAnsi="Arial" w:cs="Arial"/>
        </w:rPr>
        <w:t>, I., Mendonca, E.S., Alvarenga, R.C., 2010. Organic-matter pools of soil under pines and annual cultures. Communications in Soil Science and Plant Analysis 41, 1707–1722.</w:t>
      </w:r>
    </w:p>
    <w:p>
      <w:pPr>
        <w:pStyle w:val="ListParagraph"/>
        <w:numPr>
          <w:ilvl w:val="0"/>
          <w:numId w:val="6"/>
        </w:numPr>
        <w:jc w:val="both"/>
        <w:rPr>
          <w:rFonts w:ascii="Arial" w:hAnsi="Arial" w:cs="Arial"/>
        </w:rPr>
      </w:pPr>
      <w:r>
        <w:rPr>
          <w:rFonts w:ascii="Arial" w:hAnsi="Arial" w:cs="Arial"/>
        </w:rPr>
        <w:t xml:space="preserve">Wilson, C.D.; Roberts, D.; Reid, N. Applying species distribution modelling to identify areas of high conservation value for endangered species: A case study using </w:t>
      </w:r>
      <w:proofErr w:type="spellStart"/>
      <w:r>
        <w:rPr>
          <w:rFonts w:ascii="Arial" w:hAnsi="Arial" w:cs="Arial"/>
        </w:rPr>
        <w:t>Margaritifera</w:t>
      </w:r>
      <w:proofErr w:type="spellEnd"/>
      <w:r>
        <w:rPr>
          <w:rFonts w:ascii="Arial" w:hAnsi="Arial" w:cs="Arial"/>
        </w:rPr>
        <w:t xml:space="preserve"> (L.). Biol. Conserve. 2011, 144, 821–829.</w:t>
      </w:r>
    </w:p>
    <w:p>
      <w:pPr>
        <w:pStyle w:val="ListParagraph"/>
        <w:numPr>
          <w:ilvl w:val="0"/>
          <w:numId w:val="6"/>
        </w:numPr>
        <w:jc w:val="both"/>
        <w:rPr>
          <w:rFonts w:ascii="Arial" w:hAnsi="Arial" w:cs="Arial"/>
        </w:rPr>
      </w:pPr>
      <w:r>
        <w:rPr>
          <w:rFonts w:ascii="Arial" w:hAnsi="Arial" w:cs="Arial"/>
        </w:rPr>
        <w:t>Wu, L., Fu, Y., Zhang, T., &amp; Sun, T. (2025). Microbial Carbon Limitation Mediates Soil Organic Carbon Sequestration in Sugarcane-Watermelon Intercropping System. Microorganisms, 13(5</w:t>
      </w:r>
      <w:proofErr w:type="gramStart"/>
      <w:r>
        <w:rPr>
          <w:rFonts w:ascii="Arial" w:hAnsi="Arial" w:cs="Arial"/>
        </w:rPr>
        <w:t>),1049.https://doi.org/10.3390/microorganisms13051049</w:t>
      </w:r>
      <w:proofErr w:type="gramEnd"/>
    </w:p>
    <w:p>
      <w:pPr>
        <w:pStyle w:val="ListParagraph"/>
        <w:numPr>
          <w:ilvl w:val="0"/>
          <w:numId w:val="6"/>
        </w:numPr>
        <w:jc w:val="both"/>
        <w:rPr>
          <w:rFonts w:ascii="Arial" w:hAnsi="Arial" w:cs="Arial"/>
        </w:rPr>
      </w:pPr>
      <w:r>
        <w:rPr>
          <w:rFonts w:ascii="Arial" w:hAnsi="Arial" w:cs="Arial"/>
        </w:rPr>
        <w:t>Xiao, X., Han, L., Chen, H., Wang, J., Zhang, Y., &amp; Hu, A. (2023). Intercropping enhances microbial community diversity and ecosystem functioning in maize fields. Frontiersinmicrobiology, </w:t>
      </w:r>
      <w:proofErr w:type="gramStart"/>
      <w:r>
        <w:rPr>
          <w:rFonts w:ascii="Arial" w:hAnsi="Arial" w:cs="Arial"/>
        </w:rPr>
        <w:t>13,1084452.https://doi.org/10.3389/fmicb.2022.1084452</w:t>
      </w:r>
      <w:proofErr w:type="gramEnd"/>
    </w:p>
    <w:p>
      <w:pPr>
        <w:pStyle w:val="ListParagraph"/>
        <w:numPr>
          <w:ilvl w:val="0"/>
          <w:numId w:val="6"/>
        </w:numPr>
        <w:jc w:val="both"/>
        <w:rPr>
          <w:rFonts w:ascii="Arial" w:hAnsi="Arial" w:cs="Arial"/>
        </w:rPr>
      </w:pPr>
      <w:proofErr w:type="spellStart"/>
      <w:r>
        <w:rPr>
          <w:rFonts w:ascii="Arial" w:hAnsi="Arial" w:cs="Arial"/>
        </w:rPr>
        <w:t>Zahabu</w:t>
      </w:r>
      <w:proofErr w:type="spellEnd"/>
      <w:r>
        <w:rPr>
          <w:rFonts w:ascii="Arial" w:hAnsi="Arial" w:cs="Arial"/>
        </w:rPr>
        <w:t xml:space="preserve"> E, </w:t>
      </w:r>
      <w:proofErr w:type="spellStart"/>
      <w:r>
        <w:rPr>
          <w:rFonts w:ascii="Arial" w:hAnsi="Arial" w:cs="Arial"/>
        </w:rPr>
        <w:t>Mugasha</w:t>
      </w:r>
      <w:proofErr w:type="spellEnd"/>
      <w:r>
        <w:rPr>
          <w:rFonts w:ascii="Arial" w:hAnsi="Arial" w:cs="Arial"/>
        </w:rPr>
        <w:t xml:space="preserve"> AW, </w:t>
      </w:r>
      <w:proofErr w:type="spellStart"/>
      <w:r>
        <w:rPr>
          <w:rFonts w:ascii="Arial" w:hAnsi="Arial" w:cs="Arial"/>
        </w:rPr>
        <w:t>Malimbwi</w:t>
      </w:r>
      <w:proofErr w:type="spellEnd"/>
      <w:r>
        <w:rPr>
          <w:rFonts w:ascii="Arial" w:hAnsi="Arial" w:cs="Arial"/>
        </w:rPr>
        <w:t xml:space="preserve"> RE, </w:t>
      </w:r>
      <w:proofErr w:type="spellStart"/>
      <w:r>
        <w:rPr>
          <w:rFonts w:ascii="Arial" w:hAnsi="Arial" w:cs="Arial"/>
        </w:rPr>
        <w:t>Katani</w:t>
      </w:r>
      <w:proofErr w:type="spellEnd"/>
      <w:r>
        <w:rPr>
          <w:rFonts w:ascii="Arial" w:hAnsi="Arial" w:cs="Arial"/>
        </w:rPr>
        <w:t xml:space="preserve"> JZ (2018) Allometric Biomass and Volume Models for Coconut Trees. In: </w:t>
      </w:r>
      <w:proofErr w:type="spellStart"/>
      <w:r>
        <w:rPr>
          <w:rFonts w:ascii="Arial" w:hAnsi="Arial" w:cs="Arial"/>
        </w:rPr>
        <w:t>Malimbwi</w:t>
      </w:r>
      <w:proofErr w:type="spellEnd"/>
      <w:r>
        <w:rPr>
          <w:rFonts w:ascii="Arial" w:hAnsi="Arial" w:cs="Arial"/>
        </w:rPr>
        <w:t xml:space="preserve"> RE, Eid T, </w:t>
      </w:r>
      <w:proofErr w:type="spellStart"/>
      <w:r>
        <w:rPr>
          <w:rFonts w:ascii="Arial" w:hAnsi="Arial" w:cs="Arial"/>
        </w:rPr>
        <w:t>Chamshama</w:t>
      </w:r>
      <w:proofErr w:type="spellEnd"/>
      <w:r>
        <w:rPr>
          <w:rFonts w:ascii="Arial" w:hAnsi="Arial" w:cs="Arial"/>
        </w:rPr>
        <w:t xml:space="preserve"> </w:t>
      </w:r>
      <w:r>
        <w:rPr>
          <w:rFonts w:ascii="Arial" w:hAnsi="Arial" w:cs="Arial"/>
        </w:rPr>
        <w:lastRenderedPageBreak/>
        <w:t>SAO (eds) Allometric Tree Biomass and Volume Models in Tanzania, Second Edition. E&amp;D Vision Publishing, Morogoro, pp 107–116</w:t>
      </w:r>
    </w:p>
    <w:p>
      <w:pPr>
        <w:pStyle w:val="ListParagraph"/>
        <w:jc w:val="both"/>
        <w:rPr>
          <w:rFonts w:ascii="Times New Roman" w:hAnsi="Times New Roman" w:cs="Times New Roman"/>
        </w:rPr>
      </w:pPr>
    </w:p>
    <w:p>
      <w:pPr>
        <w:jc w:val="both"/>
        <w:rPr>
          <w:rFonts w:ascii="Times New Roman" w:hAnsi="Times New Roman" w:cs="Times New Roman"/>
        </w:rPr>
      </w:pPr>
    </w:p>
    <w:p>
      <w:pPr>
        <w:jc w:val="both"/>
      </w:pPr>
    </w:p>
    <w:p>
      <w:pPr>
        <w:jc w:val="both"/>
      </w:pPr>
    </w:p>
    <w:p/>
    <w:sect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7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7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7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10FCC"/>
    <w:multiLevelType w:val="hybridMultilevel"/>
    <w:tmpl w:val="7B5CFCCE"/>
    <w:lvl w:ilvl="0" w:tplc="4D74D9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3157C5"/>
    <w:multiLevelType w:val="hybridMultilevel"/>
    <w:tmpl w:val="B958FD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351BB7"/>
    <w:multiLevelType w:val="hybridMultilevel"/>
    <w:tmpl w:val="8A988206"/>
    <w:lvl w:ilvl="0" w:tplc="5D1451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5F5625"/>
    <w:multiLevelType w:val="multilevel"/>
    <w:tmpl w:val="1B6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A1B51"/>
    <w:multiLevelType w:val="hybridMultilevel"/>
    <w:tmpl w:val="1DBAD234"/>
    <w:lvl w:ilvl="0" w:tplc="B38A4C3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15:restartNumberingAfterBreak="0">
    <w:nsid w:val="67613BC4"/>
    <w:multiLevelType w:val="hybridMultilevel"/>
    <w:tmpl w:val="36548B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4C7C4D"/>
    <w:multiLevelType w:val="hybridMultilevel"/>
    <w:tmpl w:val="734E01AE"/>
    <w:lvl w:ilvl="0" w:tplc="824ACF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6B1AEC-667C-449F-AD3A-BD5CFDED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rPr>
      <w:color w:val="666666"/>
    </w:rPr>
  </w:style>
  <w:style w:type="paragraph" w:styleId="NormalWeb">
    <w:name w:val="Normal (Web)"/>
    <w:basedOn w:val="Normal"/>
    <w:uiPriority w:val="99"/>
    <w:semiHidden/>
    <w:unhideWhenUsed/>
    <w:rPr>
      <w:rFonts w:ascii="Times New Roman" w:hAnsi="Times New Roman" w:cs="Times New Roma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pPr>
      <w:tabs>
        <w:tab w:val="decimal" w:pos="360"/>
      </w:tabs>
      <w:spacing w:after="200" w:line="276" w:lineRule="auto"/>
    </w:pPr>
    <w:rPr>
      <w:rFonts w:eastAsiaTheme="minorEastAsia" w:cs="Times New Roman"/>
      <w:kern w:val="0"/>
      <w:sz w:val="22"/>
      <w:szCs w:val="22"/>
      <w:lang w:val="en-US"/>
      <w14:ligatures w14:val="none"/>
    </w:rPr>
  </w:style>
  <w:style w:type="paragraph" w:styleId="FootnoteText">
    <w:name w:val="footnote text"/>
    <w:basedOn w:val="Normal"/>
    <w:link w:val="FootnoteTextChar"/>
    <w:uiPriority w:val="99"/>
    <w:unhideWhenUsed/>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Pr>
      <w:i/>
      <w:iCs/>
    </w:rPr>
  </w:style>
  <w:style w:type="table" w:styleId="LightShading-Accent1">
    <w:name w:val="Light Shading Accent 1"/>
    <w:basedOn w:val="TableNormal"/>
    <w:uiPriority w:val="60"/>
    <w:pPr>
      <w:spacing w:after="0" w:line="240" w:lineRule="auto"/>
    </w:pPr>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2-Accent5">
    <w:name w:val="Medium Shading 2 Accent 5"/>
    <w:basedOn w:val="TableNormal"/>
    <w:uiPriority w:val="6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5109/7323265" TargetMode="External"/><Relationship Id="rId3" Type="http://schemas.openxmlformats.org/officeDocument/2006/relationships/styles" Target="styles.xml"/><Relationship Id="rId21" Type="http://schemas.openxmlformats.org/officeDocument/2006/relationships/hyperlink" Target="https://doi.org/10.1007/BF02140044"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3545/2618060X.2024.v7.i9Sd.14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cpcri.gov.in/filemgr/webfs/publication/CP1756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81B624-DF0A-45EE-BE22-B2EC7F70C811}">
  <we:reference id="wa104382081" version="1.55.1.0" store="en-IN" storeType="OMEX"/>
  <we:alternateReferences>
    <we:reference id="WA104382081" version="1.55.1.0" store="WA104382081" storeType="OMEX"/>
  </we:alternateReferences>
  <we:properties>
    <we:property name="MENDELEY_CITATIONS" valu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6BFFB-B8BA-4151-A8D7-B2418146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6569</Words>
  <Characters>37445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sriyansu nayak</dc:creator>
  <cp:keywords/>
  <dc:description/>
  <cp:lastModifiedBy>SDI 1170</cp:lastModifiedBy>
  <cp:revision>14</cp:revision>
  <dcterms:created xsi:type="dcterms:W3CDTF">2025-08-27T06:03:00Z</dcterms:created>
  <dcterms:modified xsi:type="dcterms:W3CDTF">2025-08-28T06:25:00Z</dcterms:modified>
</cp:coreProperties>
</file>