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19C" w:rsidRPr="00DA55C0" w:rsidRDefault="0061719C">
      <w:pPr>
        <w:spacing w:before="101" w:after="1"/>
        <w:rPr>
          <w:rFonts w:ascii="Arial" w:hAnsi="Arial" w:cs="Arial"/>
          <w:sz w:val="20"/>
          <w:szCs w:val="20"/>
        </w:rPr>
      </w:pPr>
      <w:bookmarkStart w:id="0" w:name="_GoBack"/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1719C" w:rsidRPr="00DA55C0">
        <w:trPr>
          <w:trHeight w:val="290"/>
        </w:trPr>
        <w:tc>
          <w:tcPr>
            <w:tcW w:w="5168" w:type="dxa"/>
          </w:tcPr>
          <w:p w:rsidR="0061719C" w:rsidRPr="00DA55C0" w:rsidRDefault="00B139C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Journal</w:t>
            </w:r>
            <w:r w:rsidRPr="00DA55C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61719C" w:rsidRPr="00DA55C0" w:rsidRDefault="00CA0645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B139C0" w:rsidRPr="00DA55C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B139C0" w:rsidRPr="00DA55C0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B139C0" w:rsidRPr="00DA55C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B139C0" w:rsidRPr="00DA55C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B139C0" w:rsidRPr="00DA55C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Scientific</w:t>
              </w:r>
              <w:r w:rsidR="00B139C0" w:rsidRPr="00DA55C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B139C0" w:rsidRPr="00DA55C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B139C0" w:rsidRPr="00DA55C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B139C0" w:rsidRPr="00DA55C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B139C0" w:rsidRPr="00DA55C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B139C0" w:rsidRPr="00DA55C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61719C" w:rsidRPr="00DA55C0">
        <w:trPr>
          <w:trHeight w:val="290"/>
        </w:trPr>
        <w:tc>
          <w:tcPr>
            <w:tcW w:w="5168" w:type="dxa"/>
          </w:tcPr>
          <w:p w:rsidR="0061719C" w:rsidRPr="00DA55C0" w:rsidRDefault="00B139C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Manuscript</w:t>
            </w:r>
            <w:r w:rsidRPr="00DA55C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61719C" w:rsidRPr="00DA55C0" w:rsidRDefault="00B139C0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>Ms_JSRR_144012</w:t>
            </w:r>
          </w:p>
        </w:tc>
      </w:tr>
      <w:tr w:rsidR="0061719C" w:rsidRPr="00DA55C0">
        <w:trPr>
          <w:trHeight w:val="650"/>
        </w:trPr>
        <w:tc>
          <w:tcPr>
            <w:tcW w:w="5168" w:type="dxa"/>
          </w:tcPr>
          <w:p w:rsidR="0061719C" w:rsidRPr="00DA55C0" w:rsidRDefault="00B139C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Title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of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61719C" w:rsidRPr="00DA55C0" w:rsidRDefault="00B139C0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sz w:val="20"/>
                <w:szCs w:val="20"/>
              </w:rPr>
              <w:t>Factors</w:t>
            </w:r>
            <w:r w:rsidRPr="00DA55C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Determining</w:t>
            </w:r>
            <w:r w:rsidRPr="00DA55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Awardee</w:t>
            </w:r>
            <w:r w:rsidRPr="00DA55C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Farmers’</w:t>
            </w:r>
            <w:r w:rsidRPr="00DA55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Decision</w:t>
            </w:r>
            <w:r w:rsidRPr="00DA55C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Making:</w:t>
            </w:r>
            <w:r w:rsidRPr="00DA55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A55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Principal</w:t>
            </w:r>
            <w:r w:rsidRPr="00DA55C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Component</w:t>
            </w:r>
            <w:r w:rsidRPr="00DA55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>Analysis</w:t>
            </w:r>
          </w:p>
        </w:tc>
      </w:tr>
      <w:tr w:rsidR="0061719C" w:rsidRPr="00DA55C0">
        <w:trPr>
          <w:trHeight w:val="333"/>
        </w:trPr>
        <w:tc>
          <w:tcPr>
            <w:tcW w:w="5168" w:type="dxa"/>
          </w:tcPr>
          <w:p w:rsidR="0061719C" w:rsidRPr="00DA55C0" w:rsidRDefault="00B139C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Type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of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61719C" w:rsidRPr="00DA55C0" w:rsidRDefault="006171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719C" w:rsidRPr="00DA55C0" w:rsidRDefault="0061719C">
      <w:pPr>
        <w:spacing w:before="229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61719C" w:rsidRPr="00DA55C0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61719C" w:rsidRPr="00DA55C0" w:rsidRDefault="00B139C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A55C0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1719C" w:rsidRPr="00DA55C0">
        <w:trPr>
          <w:trHeight w:val="964"/>
        </w:trPr>
        <w:tc>
          <w:tcPr>
            <w:tcW w:w="5352" w:type="dxa"/>
          </w:tcPr>
          <w:p w:rsidR="0061719C" w:rsidRPr="00DA55C0" w:rsidRDefault="006171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61719C" w:rsidRPr="00DA55C0" w:rsidRDefault="00B139C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A55C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61719C" w:rsidRPr="00DA55C0" w:rsidRDefault="00B139C0">
            <w:pPr>
              <w:pStyle w:val="TableParagraph"/>
              <w:ind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A55C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A55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A55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A55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A55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A55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A55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A55C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A55C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DA55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DA55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DA55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DA55C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61719C" w:rsidRPr="00DA55C0" w:rsidRDefault="00B139C0">
            <w:pPr>
              <w:pStyle w:val="TableParagraph"/>
              <w:spacing w:line="252" w:lineRule="auto"/>
              <w:ind w:right="738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A55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(It</w:t>
            </w:r>
            <w:r w:rsidRPr="00DA55C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is</w:t>
            </w:r>
            <w:r w:rsidRPr="00DA55C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mandatory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that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authors</w:t>
            </w:r>
            <w:r w:rsidRPr="00DA55C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should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write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1719C" w:rsidRPr="00DA55C0" w:rsidTr="004B0B8D">
        <w:trPr>
          <w:trHeight w:val="1610"/>
        </w:trPr>
        <w:tc>
          <w:tcPr>
            <w:tcW w:w="5352" w:type="dxa"/>
          </w:tcPr>
          <w:p w:rsidR="0061719C" w:rsidRPr="00DA55C0" w:rsidRDefault="00B139C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A55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A55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A55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A55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A55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61719C" w:rsidRPr="00DA55C0" w:rsidRDefault="00B139C0">
            <w:pPr>
              <w:pStyle w:val="TableParagraph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This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manuscript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is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significant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for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scientific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community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because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it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presents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structured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analysis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of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factors that influence</w:t>
            </w:r>
            <w:r w:rsidRPr="00DA55C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farmers'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decision-making behavior.</w:t>
            </w:r>
            <w:r w:rsidRPr="00DA55C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Using principal component analysis, it provides a</w:t>
            </w:r>
            <w:r w:rsidRPr="00DA55C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quantitative framework for understanding how technical, financial, social, and institutional factors influence agricultural decisions. The study's findings are useful for researchers and policymakers when developing evidence-based interventions that promote farmer-centric development. Its focus on awardee farmers emphasizes progressive practices that can serve as models for larger agricultural communities.</w:t>
            </w:r>
          </w:p>
        </w:tc>
        <w:tc>
          <w:tcPr>
            <w:tcW w:w="6445" w:type="dxa"/>
            <w:vAlign w:val="center"/>
          </w:tcPr>
          <w:p w:rsidR="0061719C" w:rsidRPr="00DA55C0" w:rsidRDefault="007F07ED" w:rsidP="004B0B8D">
            <w:pPr>
              <w:pStyle w:val="TableParagraph"/>
              <w:ind w:left="78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1719C" w:rsidRPr="00DA55C0" w:rsidTr="004B0B8D">
        <w:trPr>
          <w:trHeight w:val="1262"/>
        </w:trPr>
        <w:tc>
          <w:tcPr>
            <w:tcW w:w="5352" w:type="dxa"/>
          </w:tcPr>
          <w:p w:rsidR="0061719C" w:rsidRPr="00DA55C0" w:rsidRDefault="00B139C0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A55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A55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A55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61719C" w:rsidRPr="00DA55C0" w:rsidRDefault="00B139C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61719C" w:rsidRPr="00DA55C0" w:rsidRDefault="00B139C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vAlign w:val="center"/>
          </w:tcPr>
          <w:p w:rsidR="0061719C" w:rsidRPr="00DA55C0" w:rsidRDefault="007F07ED" w:rsidP="0051529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1719C" w:rsidRPr="00DA55C0" w:rsidTr="004B0B8D">
        <w:trPr>
          <w:trHeight w:val="3911"/>
        </w:trPr>
        <w:tc>
          <w:tcPr>
            <w:tcW w:w="5352" w:type="dxa"/>
          </w:tcPr>
          <w:p w:rsidR="0061719C" w:rsidRPr="00DA55C0" w:rsidRDefault="00B139C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DA55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DA55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DA55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A55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61719C" w:rsidRPr="00DA55C0" w:rsidRDefault="00B139C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  <w:p w:rsidR="0061719C" w:rsidRPr="00DA55C0" w:rsidRDefault="00B139C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Suggestions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for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Improvement:</w:t>
            </w:r>
          </w:p>
          <w:p w:rsidR="0061719C" w:rsidRPr="00DA55C0" w:rsidRDefault="00B139C0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before="1"/>
              <w:ind w:left="309" w:hanging="201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Additions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Needed:</w:t>
            </w:r>
          </w:p>
          <w:p w:rsidR="0061719C" w:rsidRPr="00DA55C0" w:rsidRDefault="00B139C0">
            <w:pPr>
              <w:pStyle w:val="TableParagraph"/>
              <w:ind w:right="178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Contextual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significance: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Begin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with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sentence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highlighting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importance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of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farmer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decision-making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in agriculture (for example, productivity, sustainability, and risk management).</w:t>
            </w:r>
          </w:p>
          <w:p w:rsidR="0061719C" w:rsidRPr="00DA55C0" w:rsidRDefault="00B139C0">
            <w:pPr>
              <w:pStyle w:val="TableParagraph"/>
              <w:ind w:right="178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Problem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statement/research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gap: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Briefly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explain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what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is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missing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in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current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research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and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why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this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study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required.</w:t>
            </w:r>
          </w:p>
          <w:p w:rsidR="0061719C" w:rsidRPr="00DA55C0" w:rsidRDefault="00B139C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Practical</w:t>
            </w:r>
            <w:r w:rsidRPr="00DA55C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implications: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Discuss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how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findings</w:t>
            </w:r>
            <w:r w:rsidRPr="00DA55C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can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benefit</w:t>
            </w:r>
            <w:r w:rsidRPr="00DA55C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policymakers,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extension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agencies,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and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farmers.</w:t>
            </w:r>
          </w:p>
          <w:p w:rsidR="0061719C" w:rsidRPr="00DA55C0" w:rsidRDefault="00B139C0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ind w:left="309" w:hanging="201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Deletions:</w:t>
            </w:r>
          </w:p>
          <w:p w:rsidR="0061719C" w:rsidRPr="00DA55C0" w:rsidRDefault="00B139C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Remove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technical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details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such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as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"mean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communality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value</w:t>
            </w:r>
            <w:r w:rsidRPr="00DA55C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more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than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0.75"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and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"Eigen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values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more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than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1.00". These belonged in the methodology section.</w:t>
            </w:r>
          </w:p>
          <w:p w:rsidR="0061719C" w:rsidRPr="00DA55C0" w:rsidRDefault="00B139C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Avoid</w:t>
            </w:r>
            <w:r w:rsidRPr="00DA55C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using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phrases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like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"Decision</w:t>
            </w:r>
            <w:r w:rsidRPr="00DA55C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making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plays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vital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role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in</w:t>
            </w:r>
            <w:r w:rsidRPr="00DA55C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day-to-day</w:t>
            </w:r>
            <w:r w:rsidRPr="00DA55C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life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of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farmers"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that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appear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several times in both the abstract and the introduction.</w:t>
            </w:r>
          </w:p>
          <w:p w:rsidR="0061719C" w:rsidRPr="00DA55C0" w:rsidRDefault="00B139C0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ind w:left="309" w:hanging="201"/>
              <w:rPr>
                <w:rFonts w:ascii="Arial" w:hAnsi="Arial" w:cs="Arial"/>
                <w:b/>
                <w:sz w:val="20"/>
                <w:szCs w:val="20"/>
              </w:rPr>
            </w:pP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Reorganization:</w:t>
            </w:r>
          </w:p>
          <w:p w:rsidR="0061719C" w:rsidRPr="00DA55C0" w:rsidRDefault="00B139C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Follow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logical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flow:</w:t>
            </w:r>
          </w:p>
          <w:p w:rsidR="0061719C" w:rsidRPr="00DA55C0" w:rsidRDefault="00B139C0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DA55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→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Aim</w:t>
            </w:r>
            <w:r w:rsidRPr="00DA55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→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Method</w:t>
            </w:r>
            <w:r w:rsidRPr="00DA55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→</w:t>
            </w:r>
            <w:r w:rsidRPr="00DA55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Key</w:t>
            </w:r>
            <w:r w:rsidRPr="00DA55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→</w:t>
            </w:r>
            <w:r w:rsidRPr="00DA55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>Implications.</w:t>
            </w:r>
          </w:p>
        </w:tc>
        <w:tc>
          <w:tcPr>
            <w:tcW w:w="6445" w:type="dxa"/>
            <w:vAlign w:val="center"/>
          </w:tcPr>
          <w:p w:rsidR="0061719C" w:rsidRPr="00DA55C0" w:rsidRDefault="00515290" w:rsidP="0051529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12D9" w:rsidRPr="00DA55C0">
              <w:rPr>
                <w:rFonts w:ascii="Arial" w:hAnsi="Arial" w:cs="Arial"/>
                <w:sz w:val="20"/>
                <w:szCs w:val="20"/>
              </w:rPr>
              <w:t>The abstract is corrected according to the suggestions</w:t>
            </w:r>
          </w:p>
        </w:tc>
      </w:tr>
      <w:tr w:rsidR="0061719C" w:rsidRPr="00DA55C0" w:rsidTr="004B0B8D">
        <w:trPr>
          <w:trHeight w:val="2069"/>
        </w:trPr>
        <w:tc>
          <w:tcPr>
            <w:tcW w:w="5352" w:type="dxa"/>
          </w:tcPr>
          <w:p w:rsidR="0061719C" w:rsidRPr="00DA55C0" w:rsidRDefault="00B139C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A55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A55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A55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A55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A55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61719C" w:rsidRPr="00DA55C0" w:rsidRDefault="00B139C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manuscript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is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correct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in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its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basic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design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and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factor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analysis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application;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however:</w:t>
            </w:r>
          </w:p>
          <w:p w:rsidR="0061719C" w:rsidRPr="00DA55C0" w:rsidRDefault="00B139C0">
            <w:pPr>
              <w:pStyle w:val="TableParagraph"/>
              <w:spacing w:before="228"/>
              <w:ind w:right="1868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data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adequacy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(low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KMO)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calls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into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question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robustness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of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PCA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results. Ranking inconsistencies (variance versus mean score) undermine conclusions.</w:t>
            </w:r>
          </w:p>
          <w:p w:rsidR="0061719C" w:rsidRPr="00DA55C0" w:rsidRDefault="00B139C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sampling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bias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(awardee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farmers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only)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limits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generalizability.</w:t>
            </w:r>
          </w:p>
          <w:p w:rsidR="0061719C" w:rsidRPr="00DA55C0" w:rsidRDefault="0061719C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61719C" w:rsidRPr="00DA55C0" w:rsidRDefault="00B139C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Thus,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while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study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is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not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invalid,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it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requires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significant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clarification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and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strengthening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before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being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considered fully scientifically sound.</w:t>
            </w:r>
          </w:p>
        </w:tc>
        <w:tc>
          <w:tcPr>
            <w:tcW w:w="6445" w:type="dxa"/>
            <w:vAlign w:val="center"/>
          </w:tcPr>
          <w:p w:rsidR="00486F1F" w:rsidRPr="00DA55C0" w:rsidRDefault="005A285A" w:rsidP="00E72486">
            <w:pPr>
              <w:pStyle w:val="TableParagraph"/>
              <w:numPr>
                <w:ilvl w:val="0"/>
                <w:numId w:val="3"/>
              </w:numPr>
              <w:ind w:left="438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 xml:space="preserve">KMO index is 0.542, it is </w:t>
            </w:r>
            <w:r w:rsidR="00E72486" w:rsidRPr="00DA55C0">
              <w:rPr>
                <w:rFonts w:ascii="Arial" w:hAnsi="Arial" w:cs="Arial"/>
                <w:sz w:val="20"/>
                <w:szCs w:val="20"/>
              </w:rPr>
              <w:t xml:space="preserve">slightly </w:t>
            </w:r>
            <w:r w:rsidRPr="00DA55C0">
              <w:rPr>
                <w:rFonts w:ascii="Arial" w:hAnsi="Arial" w:cs="Arial"/>
                <w:sz w:val="20"/>
                <w:szCs w:val="20"/>
              </w:rPr>
              <w:t>less</w:t>
            </w:r>
            <w:r w:rsidR="00E72486" w:rsidRPr="00DA55C0">
              <w:rPr>
                <w:rFonts w:ascii="Arial" w:hAnsi="Arial" w:cs="Arial"/>
                <w:sz w:val="20"/>
                <w:szCs w:val="20"/>
              </w:rPr>
              <w:t xml:space="preserve"> than the ideal threshold (0.6). but PCA was used as exploratory tool to extract factors rather than conclusive factors structure</w:t>
            </w:r>
          </w:p>
          <w:p w:rsidR="00E72486" w:rsidRPr="00DA55C0" w:rsidRDefault="00E72486" w:rsidP="00E72486">
            <w:pPr>
              <w:pStyle w:val="TableParagraph"/>
              <w:numPr>
                <w:ilvl w:val="0"/>
                <w:numId w:val="3"/>
              </w:numPr>
              <w:ind w:left="438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The ranks are based on variance</w:t>
            </w:r>
          </w:p>
          <w:p w:rsidR="00E72486" w:rsidRPr="00DA55C0" w:rsidRDefault="00E72486" w:rsidP="007B70DB">
            <w:pPr>
              <w:pStyle w:val="TableParagraph"/>
              <w:numPr>
                <w:ilvl w:val="0"/>
                <w:numId w:val="3"/>
              </w:numPr>
              <w:ind w:left="438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 xml:space="preserve">This study was done to check the decision making factors of awardee farmers, hence, cannot be </w:t>
            </w:r>
            <w:r w:rsidR="007B70DB" w:rsidRPr="00DA55C0">
              <w:rPr>
                <w:rFonts w:ascii="Arial" w:hAnsi="Arial" w:cs="Arial"/>
                <w:sz w:val="20"/>
                <w:szCs w:val="20"/>
              </w:rPr>
              <w:t>generalized but this might help to implement in other farmers. The</w:t>
            </w:r>
            <w:r w:rsidRPr="00DA55C0">
              <w:rPr>
                <w:rFonts w:ascii="Arial" w:hAnsi="Arial" w:cs="Arial"/>
                <w:sz w:val="20"/>
                <w:szCs w:val="20"/>
              </w:rPr>
              <w:t xml:space="preserve"> future study can be taken for other farmers</w:t>
            </w:r>
            <w:r w:rsidR="007B70DB" w:rsidRPr="00DA55C0">
              <w:rPr>
                <w:rFonts w:ascii="Arial" w:hAnsi="Arial" w:cs="Arial"/>
                <w:sz w:val="20"/>
                <w:szCs w:val="20"/>
              </w:rPr>
              <w:t xml:space="preserve"> for capturing broader decision making </w:t>
            </w:r>
          </w:p>
        </w:tc>
      </w:tr>
      <w:tr w:rsidR="0061719C" w:rsidRPr="00DA55C0" w:rsidTr="004B0B8D">
        <w:trPr>
          <w:trHeight w:val="1898"/>
        </w:trPr>
        <w:tc>
          <w:tcPr>
            <w:tcW w:w="5352" w:type="dxa"/>
          </w:tcPr>
          <w:p w:rsidR="0061719C" w:rsidRPr="00DA55C0" w:rsidRDefault="00B139C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sz w:val="20"/>
                <w:szCs w:val="20"/>
              </w:rPr>
              <w:lastRenderedPageBreak/>
              <w:t>Are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A55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A55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A55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A55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61719C" w:rsidRPr="00DA55C0" w:rsidRDefault="00B139C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Most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references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are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outdated</w:t>
            </w:r>
            <w:r w:rsidRPr="00DA55C0">
              <w:rPr>
                <w:rFonts w:ascii="Arial" w:hAnsi="Arial" w:cs="Arial"/>
                <w:sz w:val="20"/>
                <w:szCs w:val="20"/>
              </w:rPr>
              <w:t>.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For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example:</w:t>
            </w:r>
          </w:p>
          <w:p w:rsidR="0061719C" w:rsidRPr="00DA55C0" w:rsidRDefault="00B139C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5" w:lineRule="exact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Van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den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Ban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(1957)</w:t>
            </w:r>
          </w:p>
          <w:p w:rsidR="0061719C" w:rsidRPr="00DA55C0" w:rsidRDefault="00B139C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5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A55C0">
              <w:rPr>
                <w:rFonts w:ascii="Arial" w:hAnsi="Arial" w:cs="Arial"/>
                <w:sz w:val="20"/>
                <w:szCs w:val="20"/>
              </w:rPr>
              <w:t>Supe</w:t>
            </w:r>
            <w:proofErr w:type="spellEnd"/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(1969)</w:t>
            </w:r>
          </w:p>
          <w:p w:rsidR="0061719C" w:rsidRPr="00DA55C0" w:rsidRDefault="00B139C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4" w:lineRule="exact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Scott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&amp;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Bruce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(1994)</w:t>
            </w:r>
          </w:p>
          <w:p w:rsidR="0061719C" w:rsidRPr="00DA55C0" w:rsidRDefault="00B139C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4" w:lineRule="exact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Several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MSc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theses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from</w:t>
            </w:r>
            <w:r w:rsidRPr="00DA55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2013–2018</w:t>
            </w:r>
          </w:p>
          <w:p w:rsidR="0061719C" w:rsidRPr="00DA55C0" w:rsidRDefault="00B139C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There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 xml:space="preserve">are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A55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after</w:t>
            </w:r>
            <w:r w:rsidRPr="00DA55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2018</w:t>
            </w:r>
            <w:r w:rsidRPr="00DA55C0">
              <w:rPr>
                <w:rFonts w:ascii="Arial" w:hAnsi="Arial" w:cs="Arial"/>
                <w:sz w:val="20"/>
                <w:szCs w:val="20"/>
              </w:rPr>
              <w:t>.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That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means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paper</w:t>
            </w:r>
            <w:r w:rsidRPr="00DA55C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does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not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reflect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last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5–7</w:t>
            </w:r>
            <w:r w:rsidRPr="00DA55C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years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of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international research on farmer decision-making, risk behavior, or agricultural innovation.</w:t>
            </w:r>
          </w:p>
        </w:tc>
        <w:tc>
          <w:tcPr>
            <w:tcW w:w="6445" w:type="dxa"/>
            <w:vAlign w:val="center"/>
          </w:tcPr>
          <w:p w:rsidR="0061719C" w:rsidRPr="00DA55C0" w:rsidRDefault="00D10395" w:rsidP="004B0B8D">
            <w:pPr>
              <w:pStyle w:val="TableParagraph"/>
              <w:ind w:left="78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  <w:lang w:val="en-GB"/>
              </w:rPr>
              <w:t>This study was conducted during 2020-21. Hence the references are before this period. But for this paper, the recent reviews are also added</w:t>
            </w:r>
          </w:p>
        </w:tc>
      </w:tr>
    </w:tbl>
    <w:p w:rsidR="0061719C" w:rsidRPr="00DA55C0" w:rsidRDefault="0061719C">
      <w:pPr>
        <w:pStyle w:val="TableParagraph"/>
        <w:rPr>
          <w:rFonts w:ascii="Arial" w:hAnsi="Arial" w:cs="Arial"/>
          <w:sz w:val="20"/>
          <w:szCs w:val="20"/>
        </w:rPr>
        <w:sectPr w:rsidR="0061719C" w:rsidRPr="00DA55C0">
          <w:headerReference w:type="default" r:id="rId8"/>
          <w:footerReference w:type="default" r:id="rId9"/>
          <w:pgSz w:w="23820" w:h="16840" w:orient="landscape"/>
          <w:pgMar w:top="1820" w:right="1275" w:bottom="1851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61719C" w:rsidRPr="00DA55C0">
        <w:trPr>
          <w:trHeight w:val="1379"/>
        </w:trPr>
        <w:tc>
          <w:tcPr>
            <w:tcW w:w="5352" w:type="dxa"/>
          </w:tcPr>
          <w:p w:rsidR="0061719C" w:rsidRPr="00DA55C0" w:rsidRDefault="00B139C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A55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A55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A55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A55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A55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61719C" w:rsidRPr="00DA55C0" w:rsidRDefault="00B139C0">
            <w:pPr>
              <w:pStyle w:val="TableParagraph"/>
              <w:ind w:right="178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sz w:val="20"/>
                <w:szCs w:val="20"/>
              </w:rPr>
              <w:t>Current</w:t>
            </w:r>
            <w:r w:rsidRPr="00DA55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Level:</w:t>
            </w:r>
            <w:r w:rsidRPr="00DA55C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language</w:t>
            </w:r>
            <w:r w:rsidRPr="00DA55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is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functional</w:t>
            </w:r>
            <w:r w:rsidRPr="00DA55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DA55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A55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polished</w:t>
            </w:r>
            <w:r w:rsidRPr="00DA55C0">
              <w:rPr>
                <w:rFonts w:ascii="Arial" w:hAnsi="Arial" w:cs="Arial"/>
                <w:sz w:val="20"/>
                <w:szCs w:val="20"/>
              </w:rPr>
              <w:t>.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  <w:p w:rsidR="0061719C" w:rsidRPr="00DA55C0" w:rsidRDefault="0061719C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61719C" w:rsidRPr="00DA55C0" w:rsidRDefault="00B139C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>The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DA55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A55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A55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yet</w:t>
            </w: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fully</w:t>
            </w: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DA55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A55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high-level</w:t>
            </w:r>
            <w:r w:rsidRPr="00DA55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DA55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>communication</w:t>
            </w:r>
            <w:r w:rsidRPr="00DA55C0">
              <w:rPr>
                <w:rFonts w:ascii="Arial" w:hAnsi="Arial" w:cs="Arial"/>
                <w:sz w:val="20"/>
                <w:szCs w:val="20"/>
              </w:rPr>
              <w:t>.</w:t>
            </w:r>
            <w:r w:rsidRPr="00DA55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It</w:t>
            </w:r>
            <w:r w:rsidRPr="00DA55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z w:val="20"/>
                <w:szCs w:val="20"/>
              </w:rPr>
              <w:t>needs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b/>
                <w:sz w:val="20"/>
                <w:szCs w:val="20"/>
              </w:rPr>
              <w:t xml:space="preserve">professional language editing </w:t>
            </w:r>
            <w:r w:rsidRPr="00DA55C0">
              <w:rPr>
                <w:rFonts w:ascii="Arial" w:hAnsi="Arial" w:cs="Arial"/>
                <w:sz w:val="20"/>
                <w:szCs w:val="20"/>
              </w:rPr>
              <w:t>to meet international journal standards.</w:t>
            </w:r>
          </w:p>
        </w:tc>
        <w:tc>
          <w:tcPr>
            <w:tcW w:w="6445" w:type="dxa"/>
          </w:tcPr>
          <w:p w:rsidR="0061719C" w:rsidRPr="00DA55C0" w:rsidRDefault="00486F1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2B88" w:rsidRPr="00DA55C0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61719C" w:rsidRPr="00DA55C0">
        <w:trPr>
          <w:trHeight w:val="1180"/>
        </w:trPr>
        <w:tc>
          <w:tcPr>
            <w:tcW w:w="5352" w:type="dxa"/>
          </w:tcPr>
          <w:p w:rsidR="0061719C" w:rsidRPr="00DA55C0" w:rsidRDefault="00B139C0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DA55C0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DA55C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A55C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61719C" w:rsidRPr="00DA55C0" w:rsidRDefault="006171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61719C" w:rsidRPr="00DA55C0" w:rsidRDefault="006171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719C" w:rsidRPr="00DA55C0" w:rsidRDefault="0061719C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575272" w:rsidRPr="00DA55C0" w:rsidTr="0057527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5272" w:rsidRPr="00DA55C0" w:rsidRDefault="0057527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DA55C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A55C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75272" w:rsidRPr="00DA55C0" w:rsidRDefault="0057527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75272" w:rsidRPr="00DA55C0" w:rsidTr="0057527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5272" w:rsidRPr="00DA55C0" w:rsidRDefault="005752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272" w:rsidRPr="00DA55C0" w:rsidRDefault="0057527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A55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272" w:rsidRPr="00DA55C0" w:rsidRDefault="0057527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A55C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A55C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75272" w:rsidRPr="00DA55C0" w:rsidRDefault="0057527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75272" w:rsidRPr="00DA55C0" w:rsidTr="0057527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5272" w:rsidRPr="00DA55C0" w:rsidRDefault="0057527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A55C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75272" w:rsidRPr="00DA55C0" w:rsidRDefault="005752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5272" w:rsidRPr="00DA55C0" w:rsidRDefault="0057527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A55C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575272" w:rsidRPr="00DA55C0" w:rsidRDefault="005752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272" w:rsidRPr="00DA55C0" w:rsidRDefault="005752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75272" w:rsidRPr="00DA55C0" w:rsidRDefault="005752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75272" w:rsidRPr="00DA55C0" w:rsidRDefault="005752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575272" w:rsidRPr="00DA55C0" w:rsidRDefault="00575272" w:rsidP="00575272">
      <w:pPr>
        <w:rPr>
          <w:rFonts w:ascii="Arial" w:hAnsi="Arial" w:cs="Arial"/>
          <w:sz w:val="20"/>
          <w:szCs w:val="20"/>
        </w:rPr>
      </w:pPr>
    </w:p>
    <w:p w:rsidR="00575272" w:rsidRPr="00DA55C0" w:rsidRDefault="00575272" w:rsidP="00575272">
      <w:pPr>
        <w:rPr>
          <w:rFonts w:ascii="Arial" w:hAnsi="Arial" w:cs="Arial"/>
          <w:sz w:val="20"/>
          <w:szCs w:val="20"/>
        </w:rPr>
      </w:pPr>
    </w:p>
    <w:p w:rsidR="00575272" w:rsidRPr="00DA55C0" w:rsidRDefault="00575272" w:rsidP="0057527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575272" w:rsidRPr="00DA55C0" w:rsidRDefault="00575272" w:rsidP="00575272">
      <w:pPr>
        <w:rPr>
          <w:rFonts w:ascii="Arial" w:hAnsi="Arial" w:cs="Arial"/>
          <w:sz w:val="20"/>
          <w:szCs w:val="20"/>
        </w:rPr>
      </w:pPr>
    </w:p>
    <w:bookmarkEnd w:id="0"/>
    <w:p w:rsidR="0061719C" w:rsidRPr="00DA55C0" w:rsidRDefault="0061719C">
      <w:pPr>
        <w:rPr>
          <w:rFonts w:ascii="Arial" w:hAnsi="Arial" w:cs="Arial"/>
          <w:sz w:val="20"/>
          <w:szCs w:val="20"/>
        </w:rPr>
      </w:pPr>
    </w:p>
    <w:sectPr w:rsidR="0061719C" w:rsidRPr="00DA55C0" w:rsidSect="00575272">
      <w:type w:val="continuous"/>
      <w:pgSz w:w="23820" w:h="16840" w:orient="landscape"/>
      <w:pgMar w:top="1820" w:right="1275" w:bottom="1257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0645" w:rsidRDefault="00CA0645">
      <w:r>
        <w:separator/>
      </w:r>
    </w:p>
  </w:endnote>
  <w:endnote w:type="continuationSeparator" w:id="0">
    <w:p w:rsidR="00CA0645" w:rsidRDefault="00CA0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2D9" w:rsidRDefault="001012D9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12D9" w:rsidRDefault="001012D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1012D9" w:rsidRDefault="001012D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12D9" w:rsidRDefault="001012D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1012D9" w:rsidRDefault="001012D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12D9" w:rsidRDefault="001012D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1012D9" w:rsidRDefault="001012D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12D9" w:rsidRDefault="001012D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1012D9" w:rsidRDefault="001012D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0645" w:rsidRDefault="00CA0645">
      <w:r>
        <w:separator/>
      </w:r>
    </w:p>
  </w:footnote>
  <w:footnote w:type="continuationSeparator" w:id="0">
    <w:p w:rsidR="00CA0645" w:rsidRDefault="00CA0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2D9" w:rsidRDefault="001012D9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107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12D9" w:rsidRDefault="001012D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1012D9" w:rsidRDefault="001012D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A37E9"/>
    <w:multiLevelType w:val="hybridMultilevel"/>
    <w:tmpl w:val="5EC04136"/>
    <w:lvl w:ilvl="0" w:tplc="FEEA0AC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5DC0E7C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C966C64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323A4C1C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4AA4DB5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D85CD47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70863E78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CBA29D10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ECE2563A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505969"/>
    <w:multiLevelType w:val="hybridMultilevel"/>
    <w:tmpl w:val="AA366832"/>
    <w:lvl w:ilvl="0" w:tplc="400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" w15:restartNumberingAfterBreak="0">
    <w:nsid w:val="2E8D06A0"/>
    <w:multiLevelType w:val="hybridMultilevel"/>
    <w:tmpl w:val="C3784FD6"/>
    <w:lvl w:ilvl="0" w:tplc="384C4D28">
      <w:start w:val="1"/>
      <w:numFmt w:val="decimal"/>
      <w:lvlText w:val="%1."/>
      <w:lvlJc w:val="left"/>
      <w:pPr>
        <w:ind w:left="310" w:hanging="203"/>
      </w:pPr>
      <w:rPr>
        <w:rFonts w:hint="default"/>
        <w:spacing w:val="0"/>
        <w:w w:val="99"/>
        <w:lang w:val="en-US" w:eastAsia="en-US" w:bidi="ar-SA"/>
      </w:rPr>
    </w:lvl>
    <w:lvl w:ilvl="1" w:tplc="70E0C05A">
      <w:numFmt w:val="bullet"/>
      <w:lvlText w:val="•"/>
      <w:lvlJc w:val="left"/>
      <w:pPr>
        <w:ind w:left="1222" w:hanging="203"/>
      </w:pPr>
      <w:rPr>
        <w:rFonts w:hint="default"/>
        <w:lang w:val="en-US" w:eastAsia="en-US" w:bidi="ar-SA"/>
      </w:rPr>
    </w:lvl>
    <w:lvl w:ilvl="2" w:tplc="C5C80F4A">
      <w:numFmt w:val="bullet"/>
      <w:lvlText w:val="•"/>
      <w:lvlJc w:val="left"/>
      <w:pPr>
        <w:ind w:left="2125" w:hanging="203"/>
      </w:pPr>
      <w:rPr>
        <w:rFonts w:hint="default"/>
        <w:lang w:val="en-US" w:eastAsia="en-US" w:bidi="ar-SA"/>
      </w:rPr>
    </w:lvl>
    <w:lvl w:ilvl="3" w:tplc="FD76521C">
      <w:numFmt w:val="bullet"/>
      <w:lvlText w:val="•"/>
      <w:lvlJc w:val="left"/>
      <w:pPr>
        <w:ind w:left="3027" w:hanging="203"/>
      </w:pPr>
      <w:rPr>
        <w:rFonts w:hint="default"/>
        <w:lang w:val="en-US" w:eastAsia="en-US" w:bidi="ar-SA"/>
      </w:rPr>
    </w:lvl>
    <w:lvl w:ilvl="4" w:tplc="81868564">
      <w:numFmt w:val="bullet"/>
      <w:lvlText w:val="•"/>
      <w:lvlJc w:val="left"/>
      <w:pPr>
        <w:ind w:left="3930" w:hanging="203"/>
      </w:pPr>
      <w:rPr>
        <w:rFonts w:hint="default"/>
        <w:lang w:val="en-US" w:eastAsia="en-US" w:bidi="ar-SA"/>
      </w:rPr>
    </w:lvl>
    <w:lvl w:ilvl="5" w:tplc="D0F28626">
      <w:numFmt w:val="bullet"/>
      <w:lvlText w:val="•"/>
      <w:lvlJc w:val="left"/>
      <w:pPr>
        <w:ind w:left="4833" w:hanging="203"/>
      </w:pPr>
      <w:rPr>
        <w:rFonts w:hint="default"/>
        <w:lang w:val="en-US" w:eastAsia="en-US" w:bidi="ar-SA"/>
      </w:rPr>
    </w:lvl>
    <w:lvl w:ilvl="6" w:tplc="F566F33A">
      <w:numFmt w:val="bullet"/>
      <w:lvlText w:val="•"/>
      <w:lvlJc w:val="left"/>
      <w:pPr>
        <w:ind w:left="5735" w:hanging="203"/>
      </w:pPr>
      <w:rPr>
        <w:rFonts w:hint="default"/>
        <w:lang w:val="en-US" w:eastAsia="en-US" w:bidi="ar-SA"/>
      </w:rPr>
    </w:lvl>
    <w:lvl w:ilvl="7" w:tplc="AF50449C">
      <w:numFmt w:val="bullet"/>
      <w:lvlText w:val="•"/>
      <w:lvlJc w:val="left"/>
      <w:pPr>
        <w:ind w:left="6638" w:hanging="203"/>
      </w:pPr>
      <w:rPr>
        <w:rFonts w:hint="default"/>
        <w:lang w:val="en-US" w:eastAsia="en-US" w:bidi="ar-SA"/>
      </w:rPr>
    </w:lvl>
    <w:lvl w:ilvl="8" w:tplc="9C8E7962">
      <w:numFmt w:val="bullet"/>
      <w:lvlText w:val="•"/>
      <w:lvlJc w:val="left"/>
      <w:pPr>
        <w:ind w:left="7540" w:hanging="203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1719C"/>
    <w:rsid w:val="000B127F"/>
    <w:rsid w:val="001012D9"/>
    <w:rsid w:val="00303A0F"/>
    <w:rsid w:val="00486F1F"/>
    <w:rsid w:val="004B0B8D"/>
    <w:rsid w:val="00515290"/>
    <w:rsid w:val="00575272"/>
    <w:rsid w:val="005A285A"/>
    <w:rsid w:val="0061719C"/>
    <w:rsid w:val="00652B88"/>
    <w:rsid w:val="007B1B70"/>
    <w:rsid w:val="007B70DB"/>
    <w:rsid w:val="007F07ED"/>
    <w:rsid w:val="00B139C0"/>
    <w:rsid w:val="00B568C5"/>
    <w:rsid w:val="00CA0645"/>
    <w:rsid w:val="00D10395"/>
    <w:rsid w:val="00DA55C0"/>
    <w:rsid w:val="00E7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3172E"/>
  <w15:docId w15:val="{49540BBA-B482-43F6-A1DE-691887C80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11</cp:revision>
  <dcterms:created xsi:type="dcterms:W3CDTF">2025-09-09T05:05:00Z</dcterms:created>
  <dcterms:modified xsi:type="dcterms:W3CDTF">2025-09-11T11:51:00Z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2025-09-08T00:00:00Z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2025-09-09T00:00:00Z</vt:filetime>
  </property>
  <property fmtid="{D5CDD505-2E9C-101B-9397-08002B2CF9AE}" pid="5" name="Producer">
    <vt:lpwstr>Microsoft® Word 2021</vt:lpwstr>
  </property>
</Properties>
</file>