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52A8" w:rsidRPr="00A8109F" w:rsidRDefault="00FC52A8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69"/>
      </w:tblGrid>
      <w:tr w:rsidR="00FC52A8" w:rsidRPr="00A8109F">
        <w:trPr>
          <w:trHeight w:val="290"/>
        </w:trPr>
        <w:tc>
          <w:tcPr>
            <w:tcW w:w="5168" w:type="dxa"/>
          </w:tcPr>
          <w:p w:rsidR="00FC52A8" w:rsidRPr="00A8109F" w:rsidRDefault="00D40FC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8109F">
              <w:rPr>
                <w:rFonts w:ascii="Arial" w:hAnsi="Arial" w:cs="Arial"/>
                <w:sz w:val="20"/>
                <w:szCs w:val="20"/>
              </w:rPr>
              <w:t>Journal</w:t>
            </w:r>
            <w:r w:rsidRPr="00A8109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9" w:type="dxa"/>
          </w:tcPr>
          <w:p w:rsidR="00FC52A8" w:rsidRPr="00A8109F" w:rsidRDefault="00EB38CA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D40FC8" w:rsidRPr="00A8109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D40FC8" w:rsidRPr="00A8109F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D40FC8" w:rsidRPr="00A8109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D40FC8" w:rsidRPr="00A8109F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D40FC8" w:rsidRPr="00A8109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="00D40FC8" w:rsidRPr="00A8109F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D40FC8" w:rsidRPr="00A8109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D40FC8" w:rsidRPr="00A8109F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D40FC8" w:rsidRPr="00A8109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Biology</w:t>
              </w:r>
              <w:r w:rsidR="00D40FC8" w:rsidRPr="00A8109F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D40FC8" w:rsidRPr="00A8109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="00D40FC8" w:rsidRPr="00A8109F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D40FC8" w:rsidRPr="00A8109F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Biotechnology</w:t>
              </w:r>
            </w:hyperlink>
          </w:p>
        </w:tc>
      </w:tr>
      <w:tr w:rsidR="00FC52A8" w:rsidRPr="00A8109F">
        <w:trPr>
          <w:trHeight w:val="290"/>
        </w:trPr>
        <w:tc>
          <w:tcPr>
            <w:tcW w:w="5168" w:type="dxa"/>
          </w:tcPr>
          <w:p w:rsidR="00FC52A8" w:rsidRPr="00A8109F" w:rsidRDefault="00D40FC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8109F">
              <w:rPr>
                <w:rFonts w:ascii="Arial" w:hAnsi="Arial" w:cs="Arial"/>
                <w:sz w:val="20"/>
                <w:szCs w:val="20"/>
              </w:rPr>
              <w:t>Manuscript</w:t>
            </w:r>
            <w:r w:rsidRPr="00A8109F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9" w:type="dxa"/>
          </w:tcPr>
          <w:p w:rsidR="00FC52A8" w:rsidRPr="00A8109F" w:rsidRDefault="00D40FC8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A8109F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Ms_JABB_144529</w:t>
            </w:r>
          </w:p>
        </w:tc>
      </w:tr>
      <w:tr w:rsidR="00FC52A8" w:rsidRPr="00A8109F">
        <w:trPr>
          <w:trHeight w:val="650"/>
        </w:trPr>
        <w:tc>
          <w:tcPr>
            <w:tcW w:w="5168" w:type="dxa"/>
          </w:tcPr>
          <w:p w:rsidR="00FC52A8" w:rsidRPr="00A8109F" w:rsidRDefault="00D40FC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8109F">
              <w:rPr>
                <w:rFonts w:ascii="Arial" w:hAnsi="Arial" w:cs="Arial"/>
                <w:sz w:val="20"/>
                <w:szCs w:val="20"/>
              </w:rPr>
              <w:t>Title</w:t>
            </w:r>
            <w:r w:rsidRPr="00A810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of</w:t>
            </w:r>
            <w:r w:rsidRPr="00A8109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the</w:t>
            </w:r>
            <w:r w:rsidRPr="00A8109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9" w:type="dxa"/>
          </w:tcPr>
          <w:p w:rsidR="00FC52A8" w:rsidRPr="00A8109F" w:rsidRDefault="00D40FC8">
            <w:pPr>
              <w:pStyle w:val="TableParagraph"/>
              <w:spacing w:before="21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A8109F">
              <w:rPr>
                <w:rFonts w:ascii="Arial" w:hAnsi="Arial" w:cs="Arial"/>
                <w:b/>
                <w:sz w:val="20"/>
                <w:szCs w:val="20"/>
              </w:rPr>
              <w:t>Sustainable</w:t>
            </w:r>
            <w:r w:rsidRPr="00A8109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strategies</w:t>
            </w:r>
            <w:r w:rsidRPr="00A8109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A8109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enhancing</w:t>
            </w:r>
            <w:r w:rsidRPr="00A8109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vegetative</w:t>
            </w:r>
            <w:r w:rsidRPr="00A8109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propagation</w:t>
            </w:r>
            <w:r w:rsidRPr="00A8109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efficacy</w:t>
            </w:r>
            <w:r w:rsidRPr="00A8109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8109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yield</w:t>
            </w:r>
            <w:r w:rsidRPr="00A8109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8109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sweet</w:t>
            </w:r>
            <w:r w:rsidRPr="00A8109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basil</w:t>
            </w:r>
            <w:r w:rsidRPr="00A8109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A8109F">
              <w:rPr>
                <w:rFonts w:ascii="Arial" w:hAnsi="Arial" w:cs="Arial"/>
                <w:b/>
                <w:sz w:val="20"/>
                <w:szCs w:val="20"/>
              </w:rPr>
              <w:t>Ocimum</w:t>
            </w:r>
            <w:proofErr w:type="spellEnd"/>
            <w:r w:rsidRPr="00A8109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A8109F">
              <w:rPr>
                <w:rFonts w:ascii="Arial" w:hAnsi="Arial" w:cs="Arial"/>
                <w:b/>
                <w:sz w:val="20"/>
                <w:szCs w:val="20"/>
              </w:rPr>
              <w:t>basilicum</w:t>
            </w:r>
            <w:proofErr w:type="spellEnd"/>
            <w:r w:rsidRPr="00A8109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pacing w:val="-5"/>
                <w:sz w:val="20"/>
                <w:szCs w:val="20"/>
              </w:rPr>
              <w:t>L.)</w:t>
            </w:r>
          </w:p>
        </w:tc>
      </w:tr>
      <w:tr w:rsidR="00FC52A8" w:rsidRPr="00A8109F">
        <w:trPr>
          <w:trHeight w:val="333"/>
        </w:trPr>
        <w:tc>
          <w:tcPr>
            <w:tcW w:w="5168" w:type="dxa"/>
          </w:tcPr>
          <w:p w:rsidR="00FC52A8" w:rsidRPr="00A8109F" w:rsidRDefault="00D40FC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8109F">
              <w:rPr>
                <w:rFonts w:ascii="Arial" w:hAnsi="Arial" w:cs="Arial"/>
                <w:sz w:val="20"/>
                <w:szCs w:val="20"/>
              </w:rPr>
              <w:t>Type</w:t>
            </w:r>
            <w:r w:rsidRPr="00A8109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of</w:t>
            </w:r>
            <w:r w:rsidRPr="00A810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the</w:t>
            </w:r>
            <w:r w:rsidRPr="00A8109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9" w:type="dxa"/>
          </w:tcPr>
          <w:p w:rsidR="00FC52A8" w:rsidRPr="00A8109F" w:rsidRDefault="00FC52A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C52A8" w:rsidRPr="00A8109F" w:rsidRDefault="00FC52A8">
      <w:pPr>
        <w:spacing w:before="15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6"/>
        <w:gridCol w:w="6444"/>
      </w:tblGrid>
      <w:tr w:rsidR="00FC52A8" w:rsidRPr="00A8109F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FC52A8" w:rsidRPr="00A8109F" w:rsidRDefault="00D40FC8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A8109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A8109F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A8109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A8109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FC52A8" w:rsidRPr="00A8109F">
        <w:trPr>
          <w:trHeight w:val="964"/>
        </w:trPr>
        <w:tc>
          <w:tcPr>
            <w:tcW w:w="5353" w:type="dxa"/>
          </w:tcPr>
          <w:p w:rsidR="00FC52A8" w:rsidRPr="00A8109F" w:rsidRDefault="00FC52A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FC52A8" w:rsidRPr="00A8109F" w:rsidRDefault="00D40FC8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A8109F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A8109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FC52A8" w:rsidRPr="00A8109F" w:rsidRDefault="00D40FC8">
            <w:pPr>
              <w:pStyle w:val="TableParagraph"/>
              <w:ind w:left="107" w:right="132"/>
              <w:rPr>
                <w:rFonts w:ascii="Arial" w:hAnsi="Arial" w:cs="Arial"/>
                <w:b/>
                <w:sz w:val="20"/>
                <w:szCs w:val="20"/>
              </w:rPr>
            </w:pPr>
            <w:r w:rsidRPr="00A8109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A8109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A8109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A8109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8109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A8109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8109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A8109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8109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A8109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8109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A8109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8109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A8109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8109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A8109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A8109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A8109F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A8109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A8109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8109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A8109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8109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A8109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8109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A8109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:rsidR="00FC52A8" w:rsidRPr="00A8109F" w:rsidRDefault="00D40FC8">
            <w:pPr>
              <w:pStyle w:val="TableParagraph"/>
              <w:spacing w:line="254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A8109F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A8109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A8109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(It</w:t>
            </w:r>
            <w:r w:rsidRPr="00A8109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is</w:t>
            </w:r>
            <w:r w:rsidRPr="00A8109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mandatory</w:t>
            </w:r>
            <w:r w:rsidRPr="00A8109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that</w:t>
            </w:r>
            <w:r w:rsidRPr="00A8109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authors</w:t>
            </w:r>
            <w:r w:rsidRPr="00A8109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should</w:t>
            </w:r>
            <w:r w:rsidRPr="00A8109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write</w:t>
            </w:r>
            <w:r w:rsidRPr="00A8109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2C56FB" w:rsidRPr="00A8109F">
        <w:trPr>
          <w:trHeight w:val="1382"/>
        </w:trPr>
        <w:tc>
          <w:tcPr>
            <w:tcW w:w="5353" w:type="dxa"/>
          </w:tcPr>
          <w:p w:rsidR="002C56FB" w:rsidRPr="00A8109F" w:rsidRDefault="002C56FB" w:rsidP="002C56FB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A8109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8109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A8109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A810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A8109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A8109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A8109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8109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A8109F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2C56FB" w:rsidRPr="00A8109F" w:rsidRDefault="002C56FB" w:rsidP="002C56FB">
            <w:pPr>
              <w:pStyle w:val="TableParagraph"/>
              <w:spacing w:line="230" w:lineRule="atLeast"/>
              <w:ind w:left="107" w:right="132"/>
              <w:rPr>
                <w:rFonts w:ascii="Arial" w:hAnsi="Arial" w:cs="Arial"/>
                <w:b/>
                <w:sz w:val="20"/>
                <w:szCs w:val="20"/>
              </w:rPr>
            </w:pPr>
            <w:r w:rsidRPr="00A8109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8109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A8109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contributes</w:t>
            </w:r>
            <w:r w:rsidRPr="00A8109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A8109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8109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development</w:t>
            </w:r>
            <w:r w:rsidRPr="00A8109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8109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efficient</w:t>
            </w:r>
            <w:r w:rsidRPr="00A8109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8109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sustainable</w:t>
            </w:r>
            <w:r w:rsidRPr="00A8109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methods</w:t>
            </w:r>
            <w:r w:rsidRPr="00A8109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A8109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8109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propagation</w:t>
            </w:r>
            <w:r w:rsidRPr="00A8109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810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 xml:space="preserve">sweet basil, a valuable plant for perfumes, cosmetics, aromatherapy and </w:t>
            </w:r>
            <w:proofErr w:type="spellStart"/>
            <w:r w:rsidRPr="00A8109F">
              <w:rPr>
                <w:rFonts w:ascii="Arial" w:hAnsi="Arial" w:cs="Arial"/>
                <w:b/>
                <w:sz w:val="20"/>
                <w:szCs w:val="20"/>
              </w:rPr>
              <w:t>phytotherapy</w:t>
            </w:r>
            <w:proofErr w:type="spellEnd"/>
            <w:r w:rsidRPr="00A8109F">
              <w:rPr>
                <w:rFonts w:ascii="Arial" w:hAnsi="Arial" w:cs="Arial"/>
                <w:b/>
                <w:sz w:val="20"/>
                <w:szCs w:val="20"/>
              </w:rPr>
              <w:t>. It highlights the role of bioinoculants, especially the species *</w:t>
            </w:r>
            <w:proofErr w:type="spellStart"/>
            <w:r w:rsidRPr="00A8109F">
              <w:rPr>
                <w:rFonts w:ascii="Arial" w:hAnsi="Arial" w:cs="Arial"/>
                <w:b/>
                <w:sz w:val="20"/>
                <w:szCs w:val="20"/>
              </w:rPr>
              <w:t>Piriformospora</w:t>
            </w:r>
            <w:proofErr w:type="spellEnd"/>
            <w:r w:rsidRPr="00A8109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A8109F">
              <w:rPr>
                <w:rFonts w:ascii="Arial" w:hAnsi="Arial" w:cs="Arial"/>
                <w:b/>
                <w:sz w:val="20"/>
                <w:szCs w:val="20"/>
              </w:rPr>
              <w:t>indica</w:t>
            </w:r>
            <w:proofErr w:type="spellEnd"/>
            <w:r w:rsidRPr="00A8109F">
              <w:rPr>
                <w:rFonts w:ascii="Arial" w:hAnsi="Arial" w:cs="Arial"/>
                <w:b/>
                <w:sz w:val="20"/>
                <w:szCs w:val="20"/>
              </w:rPr>
              <w:t>*, in improving rooting and growth, thus reducing the</w:t>
            </w:r>
            <w:r w:rsidRPr="00A8109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dependence</w:t>
            </w:r>
            <w:r w:rsidRPr="00A8109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on chemicals</w:t>
            </w:r>
            <w:r w:rsidRPr="00A8109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A8109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expensive</w:t>
            </w:r>
            <w:r w:rsidRPr="00A8109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techniques.</w:t>
            </w:r>
            <w:r w:rsidRPr="00A8109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8109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A8109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obtained provide</w:t>
            </w:r>
            <w:r w:rsidRPr="00A8109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growers</w:t>
            </w:r>
            <w:r w:rsidRPr="00A8109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with a practical strategy for increasing the productivity and quality of essential oils, with long-term economic and ecological benefits.</w:t>
            </w:r>
          </w:p>
        </w:tc>
        <w:tc>
          <w:tcPr>
            <w:tcW w:w="6444" w:type="dxa"/>
          </w:tcPr>
          <w:p w:rsidR="002C56FB" w:rsidRPr="00A8109F" w:rsidRDefault="00F90E80" w:rsidP="002C56F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2C56FB" w:rsidRPr="00A8109F" w:rsidTr="00A8109F">
        <w:trPr>
          <w:trHeight w:val="294"/>
        </w:trPr>
        <w:tc>
          <w:tcPr>
            <w:tcW w:w="5353" w:type="dxa"/>
          </w:tcPr>
          <w:p w:rsidR="002C56FB" w:rsidRPr="00A8109F" w:rsidRDefault="002C56FB" w:rsidP="002C56FB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A8109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8109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8109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A8109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8109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8109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8109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2C56FB" w:rsidRPr="00A8109F" w:rsidRDefault="002C56FB" w:rsidP="002C56FB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A8109F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A810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A810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810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A810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A810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A810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2C56FB" w:rsidRPr="00A8109F" w:rsidRDefault="002C56FB" w:rsidP="002C56FB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A8109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8109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A8109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8109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8109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8109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8109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pacing w:val="-2"/>
                <w:sz w:val="20"/>
                <w:szCs w:val="20"/>
              </w:rPr>
              <w:t>appropriate</w:t>
            </w:r>
          </w:p>
        </w:tc>
        <w:tc>
          <w:tcPr>
            <w:tcW w:w="6444" w:type="dxa"/>
          </w:tcPr>
          <w:p w:rsidR="002C56FB" w:rsidRPr="00A8109F" w:rsidRDefault="002C56FB" w:rsidP="002C56F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8109F">
              <w:rPr>
                <w:rFonts w:ascii="Arial" w:hAnsi="Arial" w:cs="Arial"/>
                <w:sz w:val="20"/>
                <w:szCs w:val="20"/>
              </w:rPr>
              <w:t>-</w:t>
            </w:r>
            <w:r w:rsidR="00B250A5">
              <w:rPr>
                <w:rFonts w:ascii="Arial" w:hAnsi="Arial" w:cs="Arial"/>
                <w:sz w:val="20"/>
                <w:szCs w:val="20"/>
              </w:rPr>
              <w:t xml:space="preserve">Thanks </w:t>
            </w:r>
          </w:p>
        </w:tc>
      </w:tr>
      <w:tr w:rsidR="002C56FB" w:rsidRPr="00A8109F" w:rsidTr="00A8109F">
        <w:trPr>
          <w:trHeight w:val="186"/>
        </w:trPr>
        <w:tc>
          <w:tcPr>
            <w:tcW w:w="5353" w:type="dxa"/>
          </w:tcPr>
          <w:p w:rsidR="002C56FB" w:rsidRPr="00A8109F" w:rsidRDefault="002C56FB" w:rsidP="002C56FB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A8109F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A8109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810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A8109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A810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A810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810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A810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A8109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8109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2C56FB" w:rsidRPr="00A8109F" w:rsidRDefault="002C56FB" w:rsidP="002C56FB">
            <w:pPr>
              <w:pStyle w:val="TableParagraph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A8109F">
              <w:rPr>
                <w:rFonts w:ascii="Arial" w:hAnsi="Arial" w:cs="Arial"/>
                <w:sz w:val="20"/>
                <w:szCs w:val="20"/>
              </w:rPr>
              <w:t>The</w:t>
            </w:r>
            <w:r w:rsidRPr="00A810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abstract</w:t>
            </w:r>
            <w:r w:rsidRPr="00A810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of</w:t>
            </w:r>
            <w:r w:rsidRPr="00A8109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the</w:t>
            </w:r>
            <w:r w:rsidRPr="00A810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article</w:t>
            </w:r>
            <w:r w:rsidRPr="00A8109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is</w:t>
            </w:r>
            <w:r w:rsidRPr="00A810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pacing w:val="-2"/>
                <w:sz w:val="20"/>
                <w:szCs w:val="20"/>
              </w:rPr>
              <w:t>comprehensive</w:t>
            </w:r>
          </w:p>
        </w:tc>
        <w:tc>
          <w:tcPr>
            <w:tcW w:w="6444" w:type="dxa"/>
          </w:tcPr>
          <w:p w:rsidR="002C56FB" w:rsidRPr="00A8109F" w:rsidRDefault="002C56FB" w:rsidP="002C56F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8109F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C56FB" w:rsidRPr="00A8109F">
        <w:trPr>
          <w:trHeight w:val="702"/>
        </w:trPr>
        <w:tc>
          <w:tcPr>
            <w:tcW w:w="5353" w:type="dxa"/>
          </w:tcPr>
          <w:p w:rsidR="002C56FB" w:rsidRPr="00A8109F" w:rsidRDefault="002C56FB" w:rsidP="002C56FB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A8109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8109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8109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A8109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A8109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A8109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8109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A8109F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2C56FB" w:rsidRPr="00A8109F" w:rsidRDefault="002C56FB" w:rsidP="002C56FB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A8109F">
              <w:rPr>
                <w:rFonts w:ascii="Arial" w:hAnsi="Arial" w:cs="Arial"/>
                <w:sz w:val="20"/>
                <w:szCs w:val="20"/>
              </w:rPr>
              <w:t>The</w:t>
            </w:r>
            <w:r w:rsidRPr="00A8109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manuscript</w:t>
            </w:r>
            <w:r w:rsidRPr="00A8109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is</w:t>
            </w:r>
            <w:r w:rsidRPr="00A8109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A810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pacing w:val="-2"/>
                <w:sz w:val="20"/>
                <w:szCs w:val="20"/>
              </w:rPr>
              <w:t>correct.</w:t>
            </w:r>
          </w:p>
        </w:tc>
        <w:tc>
          <w:tcPr>
            <w:tcW w:w="6444" w:type="dxa"/>
          </w:tcPr>
          <w:p w:rsidR="002C56FB" w:rsidRPr="00A8109F" w:rsidRDefault="002C56FB" w:rsidP="002C56F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8109F">
              <w:rPr>
                <w:rFonts w:ascii="Arial" w:hAnsi="Arial" w:cs="Arial"/>
                <w:sz w:val="20"/>
                <w:szCs w:val="20"/>
              </w:rPr>
              <w:t>-</w:t>
            </w:r>
            <w:r w:rsidR="00EF53F6">
              <w:rPr>
                <w:rFonts w:ascii="Arial" w:hAnsi="Arial" w:cs="Arial"/>
                <w:sz w:val="20"/>
                <w:szCs w:val="20"/>
              </w:rPr>
              <w:t>ok,</w:t>
            </w:r>
          </w:p>
        </w:tc>
      </w:tr>
      <w:tr w:rsidR="002C56FB" w:rsidRPr="00A8109F">
        <w:trPr>
          <w:trHeight w:val="702"/>
        </w:trPr>
        <w:tc>
          <w:tcPr>
            <w:tcW w:w="5353" w:type="dxa"/>
          </w:tcPr>
          <w:p w:rsidR="002C56FB" w:rsidRPr="00A8109F" w:rsidRDefault="002C56FB" w:rsidP="002C56FB">
            <w:pPr>
              <w:pStyle w:val="TableParagraph"/>
              <w:spacing w:line="230" w:lineRule="atLeas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A8109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810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810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A8109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A8109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8109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A810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A810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A8109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2C56FB" w:rsidRPr="00A8109F" w:rsidRDefault="002C56FB" w:rsidP="002C56FB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A8109F">
              <w:rPr>
                <w:rFonts w:ascii="Arial" w:hAnsi="Arial" w:cs="Arial"/>
                <w:sz w:val="20"/>
                <w:szCs w:val="20"/>
              </w:rPr>
              <w:t>The</w:t>
            </w:r>
            <w:r w:rsidRPr="00A810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references</w:t>
            </w:r>
            <w:r w:rsidRPr="00A8109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included</w:t>
            </w:r>
            <w:r w:rsidRPr="00A810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are</w:t>
            </w:r>
            <w:r w:rsidRPr="00A810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relevant</w:t>
            </w:r>
            <w:r w:rsidRPr="00A810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to</w:t>
            </w:r>
            <w:r w:rsidRPr="00A8109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the</w:t>
            </w:r>
            <w:r w:rsidRPr="00A810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topic</w:t>
            </w:r>
            <w:r w:rsidRPr="00A8109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of</w:t>
            </w:r>
            <w:r w:rsidRPr="00A810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the</w:t>
            </w:r>
            <w:r w:rsidRPr="00A810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pacing w:val="-2"/>
                <w:sz w:val="20"/>
                <w:szCs w:val="20"/>
              </w:rPr>
              <w:t>paper,</w:t>
            </w:r>
          </w:p>
        </w:tc>
        <w:tc>
          <w:tcPr>
            <w:tcW w:w="6444" w:type="dxa"/>
          </w:tcPr>
          <w:p w:rsidR="002C56FB" w:rsidRPr="00A8109F" w:rsidRDefault="002C56FB" w:rsidP="002C56F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8109F">
              <w:rPr>
                <w:rFonts w:ascii="Arial" w:hAnsi="Arial" w:cs="Arial"/>
                <w:sz w:val="20"/>
                <w:szCs w:val="20"/>
              </w:rPr>
              <w:t>-</w:t>
            </w:r>
            <w:r w:rsidR="00EF53F6">
              <w:rPr>
                <w:rFonts w:ascii="Arial" w:hAnsi="Arial" w:cs="Arial"/>
                <w:sz w:val="20"/>
                <w:szCs w:val="20"/>
              </w:rPr>
              <w:t>ok</w:t>
            </w:r>
            <w:bookmarkStart w:id="0" w:name="_GoBack"/>
            <w:bookmarkEnd w:id="0"/>
          </w:p>
        </w:tc>
      </w:tr>
      <w:tr w:rsidR="002C56FB" w:rsidRPr="00A8109F">
        <w:trPr>
          <w:trHeight w:val="691"/>
        </w:trPr>
        <w:tc>
          <w:tcPr>
            <w:tcW w:w="5353" w:type="dxa"/>
          </w:tcPr>
          <w:p w:rsidR="002C56FB" w:rsidRPr="00A8109F" w:rsidRDefault="002C56FB" w:rsidP="002C56FB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A8109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8109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810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A8109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A810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8109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8109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8109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2C56FB" w:rsidRPr="00A8109F" w:rsidRDefault="002C56FB" w:rsidP="002C56FB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A8109F">
              <w:rPr>
                <w:rFonts w:ascii="Arial" w:hAnsi="Arial" w:cs="Arial"/>
                <w:sz w:val="20"/>
                <w:szCs w:val="20"/>
              </w:rPr>
              <w:t>Yes,</w:t>
            </w:r>
            <w:r w:rsidRPr="00A810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the</w:t>
            </w:r>
            <w:r w:rsidRPr="00A810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quality</w:t>
            </w:r>
            <w:r w:rsidRPr="00A8109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of</w:t>
            </w:r>
            <w:r w:rsidRPr="00A8109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the</w:t>
            </w:r>
            <w:r w:rsidRPr="00A810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English</w:t>
            </w:r>
            <w:r w:rsidRPr="00A8109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language</w:t>
            </w:r>
            <w:r w:rsidRPr="00A8109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of</w:t>
            </w:r>
            <w:r w:rsidRPr="00A810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the</w:t>
            </w:r>
            <w:r w:rsidRPr="00A8109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article</w:t>
            </w:r>
            <w:r w:rsidRPr="00A810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is</w:t>
            </w:r>
            <w:r w:rsidRPr="00A8109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appropriate</w:t>
            </w:r>
            <w:r w:rsidRPr="00A810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for</w:t>
            </w:r>
            <w:r w:rsidRPr="00A8109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the</w:t>
            </w:r>
            <w:r w:rsidRPr="00A810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z w:val="20"/>
                <w:szCs w:val="20"/>
              </w:rPr>
              <w:t>scientific</w:t>
            </w:r>
            <w:r w:rsidRPr="00A810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pacing w:val="-2"/>
                <w:sz w:val="20"/>
                <w:szCs w:val="20"/>
              </w:rPr>
              <w:t>paper.</w:t>
            </w:r>
          </w:p>
        </w:tc>
        <w:tc>
          <w:tcPr>
            <w:tcW w:w="6444" w:type="dxa"/>
          </w:tcPr>
          <w:p w:rsidR="002C56FB" w:rsidRPr="00A8109F" w:rsidRDefault="002C56FB" w:rsidP="002C56F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8109F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C56FB" w:rsidRPr="00A8109F" w:rsidTr="00A8109F">
        <w:trPr>
          <w:trHeight w:val="150"/>
        </w:trPr>
        <w:tc>
          <w:tcPr>
            <w:tcW w:w="5353" w:type="dxa"/>
          </w:tcPr>
          <w:p w:rsidR="002C56FB" w:rsidRPr="00A8109F" w:rsidRDefault="002C56FB" w:rsidP="002C56FB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A8109F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A8109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A8109F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2C56FB" w:rsidRPr="00A8109F" w:rsidRDefault="002C56FB" w:rsidP="002C56F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4" w:type="dxa"/>
          </w:tcPr>
          <w:p w:rsidR="002C56FB" w:rsidRPr="00A8109F" w:rsidRDefault="002C56FB" w:rsidP="002C56F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C52A8" w:rsidRPr="00A8109F" w:rsidRDefault="00FC52A8">
      <w:pPr>
        <w:rPr>
          <w:rFonts w:ascii="Arial" w:hAnsi="Arial" w:cs="Arial"/>
          <w:sz w:val="20"/>
          <w:szCs w:val="20"/>
        </w:rPr>
      </w:pPr>
    </w:p>
    <w:tbl>
      <w:tblPr>
        <w:tblW w:w="4646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33"/>
        <w:gridCol w:w="7153"/>
        <w:gridCol w:w="7364"/>
      </w:tblGrid>
      <w:tr w:rsidR="00B06E52" w:rsidRPr="00A8109F" w:rsidTr="00A8109F">
        <w:trPr>
          <w:trHeight w:val="423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6E52" w:rsidRPr="00A8109F" w:rsidRDefault="00B06E5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A8109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8109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B06E52" w:rsidRPr="00A8109F" w:rsidRDefault="00B06E5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06E52" w:rsidRPr="00A8109F" w:rsidTr="00A8109F">
        <w:trPr>
          <w:trHeight w:val="565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6E52" w:rsidRPr="00A8109F" w:rsidRDefault="00B06E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E52" w:rsidRPr="00A8109F" w:rsidRDefault="00B06E5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109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52" w:rsidRPr="00A8109F" w:rsidRDefault="00B06E5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8109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8109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06E52" w:rsidRPr="00A8109F" w:rsidRDefault="00B06E5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06E52" w:rsidRPr="00A8109F" w:rsidTr="00A8109F">
        <w:trPr>
          <w:trHeight w:val="723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6E52" w:rsidRPr="00A8109F" w:rsidRDefault="00B06E5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8109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B06E52" w:rsidRPr="00A8109F" w:rsidRDefault="00B06E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6E52" w:rsidRPr="00A8109F" w:rsidRDefault="00B06E52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8109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8109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8109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B06E52" w:rsidRPr="00A8109F" w:rsidRDefault="00B06E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52" w:rsidRPr="00A8109F" w:rsidRDefault="00B06E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06E52" w:rsidRPr="00A8109F" w:rsidRDefault="00B06E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C56FB" w:rsidRPr="00A8109F" w:rsidRDefault="002C56FB" w:rsidP="002C56F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A8109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</w:t>
            </w:r>
          </w:p>
          <w:p w:rsidR="00B06E52" w:rsidRPr="00A8109F" w:rsidRDefault="00B06E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B06E52" w:rsidRPr="00A8109F" w:rsidRDefault="00B06E52" w:rsidP="00B06E52">
      <w:pPr>
        <w:rPr>
          <w:rFonts w:ascii="Arial" w:hAnsi="Arial" w:cs="Arial"/>
          <w:sz w:val="20"/>
          <w:szCs w:val="20"/>
        </w:rPr>
      </w:pPr>
    </w:p>
    <w:p w:rsidR="00B06E52" w:rsidRPr="00A8109F" w:rsidRDefault="00B06E52" w:rsidP="00B06E52">
      <w:pPr>
        <w:rPr>
          <w:rFonts w:ascii="Arial" w:hAnsi="Arial" w:cs="Arial"/>
          <w:sz w:val="20"/>
          <w:szCs w:val="20"/>
        </w:rPr>
      </w:pPr>
    </w:p>
    <w:p w:rsidR="00B06E52" w:rsidRPr="00A8109F" w:rsidRDefault="00B06E52" w:rsidP="00B06E52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B06E52" w:rsidRPr="00A8109F" w:rsidRDefault="00B06E52" w:rsidP="00B06E52">
      <w:pPr>
        <w:rPr>
          <w:rFonts w:ascii="Arial" w:hAnsi="Arial" w:cs="Arial"/>
          <w:sz w:val="20"/>
          <w:szCs w:val="20"/>
        </w:rPr>
      </w:pPr>
    </w:p>
    <w:p w:rsidR="00FC52A8" w:rsidRPr="00A8109F" w:rsidRDefault="00FC52A8">
      <w:pPr>
        <w:rPr>
          <w:rFonts w:ascii="Arial" w:hAnsi="Arial" w:cs="Arial"/>
          <w:sz w:val="20"/>
          <w:szCs w:val="20"/>
        </w:rPr>
      </w:pPr>
    </w:p>
    <w:sectPr w:rsidR="00FC52A8" w:rsidRPr="00A8109F" w:rsidSect="00B06E52">
      <w:pgSz w:w="23820" w:h="16840" w:orient="landscape"/>
      <w:pgMar w:top="1820" w:right="0" w:bottom="1224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38CA" w:rsidRDefault="00EB38CA">
      <w:r>
        <w:separator/>
      </w:r>
    </w:p>
  </w:endnote>
  <w:endnote w:type="continuationSeparator" w:id="0">
    <w:p w:rsidR="00EB38CA" w:rsidRDefault="00EB3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38CA" w:rsidRDefault="00EB38CA">
      <w:r>
        <w:separator/>
      </w:r>
    </w:p>
  </w:footnote>
  <w:footnote w:type="continuationSeparator" w:id="0">
    <w:p w:rsidR="00EB38CA" w:rsidRDefault="00EB3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IzMzMwMTY3NrO0NDVS0lEKTi0uzszPAykwrAUAszkv3iwAAAA="/>
  </w:docVars>
  <w:rsids>
    <w:rsidRoot w:val="00FC52A8"/>
    <w:rsid w:val="002C56FB"/>
    <w:rsid w:val="00566F09"/>
    <w:rsid w:val="006A010B"/>
    <w:rsid w:val="00A8109F"/>
    <w:rsid w:val="00B06E52"/>
    <w:rsid w:val="00B250A5"/>
    <w:rsid w:val="00D25395"/>
    <w:rsid w:val="00D40FC8"/>
    <w:rsid w:val="00EB38CA"/>
    <w:rsid w:val="00EF53F6"/>
    <w:rsid w:val="00F90E80"/>
    <w:rsid w:val="00FC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10D89"/>
  <w15:docId w15:val="{CBF83442-714A-4BB2-825D-650F0917D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358</Words>
  <Characters>2044</Characters>
  <Application>Microsoft Office Word</Application>
  <DocSecurity>0</DocSecurity>
  <Lines>17</Lines>
  <Paragraphs>4</Paragraphs>
  <ScaleCrop>false</ScaleCrop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8</cp:revision>
  <dcterms:created xsi:type="dcterms:W3CDTF">2025-09-15T11:14:00Z</dcterms:created>
  <dcterms:modified xsi:type="dcterms:W3CDTF">2025-09-18T10:47:00Z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2025-09-13T00:00:00Z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2025-09-15T00:00:00Z</vt:filetime>
  </property>
  <property fmtid="{D5CDD505-2E9C-101B-9397-08002B2CF9AE}" pid="5" name="Producer">
    <vt:lpwstr>Microsoft® Word for Microsoft 365</vt:lpwstr>
  </property>
</Properties>
</file>