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F7DFF" w:rsidRPr="00726819" w14:paraId="192350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DB30DC0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F7DFF" w:rsidRPr="00726819" w14:paraId="1EBE7853" w14:textId="77777777">
        <w:trPr>
          <w:trHeight w:val="290"/>
        </w:trPr>
        <w:tc>
          <w:tcPr>
            <w:tcW w:w="1234" w:type="pct"/>
          </w:tcPr>
          <w:p w14:paraId="7ACE38C0" w14:textId="77777777" w:rsidR="00382B7E" w:rsidRPr="00726819" w:rsidRDefault="0038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41675" w14:textId="77777777" w:rsidR="00382B7E" w:rsidRPr="00726819" w:rsidRDefault="00890D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82B7E" w:rsidRPr="007268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382B7E" w:rsidRPr="0072681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F7DFF" w:rsidRPr="00726819" w14:paraId="53161E34" w14:textId="77777777">
        <w:trPr>
          <w:trHeight w:val="290"/>
        </w:trPr>
        <w:tc>
          <w:tcPr>
            <w:tcW w:w="1234" w:type="pct"/>
          </w:tcPr>
          <w:p w14:paraId="0C1AB843" w14:textId="77777777" w:rsidR="00382B7E" w:rsidRPr="00726819" w:rsidRDefault="0038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B86FA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Ms_JABB_143558</w:t>
            </w:r>
          </w:p>
        </w:tc>
      </w:tr>
      <w:tr w:rsidR="00AF7DFF" w:rsidRPr="00726819" w14:paraId="625A2244" w14:textId="77777777">
        <w:trPr>
          <w:trHeight w:val="650"/>
        </w:trPr>
        <w:tc>
          <w:tcPr>
            <w:tcW w:w="1234" w:type="pct"/>
          </w:tcPr>
          <w:p w14:paraId="129194A0" w14:textId="77777777" w:rsidR="00382B7E" w:rsidRPr="00726819" w:rsidRDefault="0038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F6888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sz w:val="20"/>
                <w:szCs w:val="20"/>
                <w:lang w:val="en-GB"/>
              </w:rPr>
              <w:t>Isolation and identification of endophytic fungi associated with chilli (Capsicum annum)</w:t>
            </w:r>
          </w:p>
        </w:tc>
      </w:tr>
      <w:tr w:rsidR="00AF7DFF" w:rsidRPr="00726819" w14:paraId="7915A1AA" w14:textId="77777777">
        <w:trPr>
          <w:trHeight w:val="332"/>
        </w:trPr>
        <w:tc>
          <w:tcPr>
            <w:tcW w:w="1234" w:type="pct"/>
          </w:tcPr>
          <w:p w14:paraId="36E16418" w14:textId="77777777" w:rsidR="00382B7E" w:rsidRPr="00726819" w:rsidRDefault="0038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BAF1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4E924E9" w14:textId="77777777" w:rsidR="00382B7E" w:rsidRPr="00726819" w:rsidRDefault="00382B7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F7DFF" w:rsidRPr="00726819" w14:paraId="38836BD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39D604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681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2681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8D402FD" w14:textId="77777777" w:rsidR="00382B7E" w:rsidRPr="00726819" w:rsidRDefault="0038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7DFF" w:rsidRPr="00726819" w14:paraId="1CE54D89" w14:textId="77777777">
        <w:tc>
          <w:tcPr>
            <w:tcW w:w="1265" w:type="pct"/>
            <w:noWrap/>
          </w:tcPr>
          <w:p w14:paraId="24CCFF55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76C2CC1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6819">
              <w:rPr>
                <w:rFonts w:ascii="Arial" w:hAnsi="Arial" w:cs="Arial"/>
                <w:lang w:val="en-GB"/>
              </w:rPr>
              <w:t>Reviewer’s comment</w:t>
            </w:r>
          </w:p>
          <w:p w14:paraId="3BFDCFE4" w14:textId="77777777" w:rsidR="00382B7E" w:rsidRPr="00726819" w:rsidRDefault="00382B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681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1D2743" w14:textId="77777777" w:rsidR="00382B7E" w:rsidRPr="00726819" w:rsidRDefault="0038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77E91D" w14:textId="77777777" w:rsidR="00382B7E" w:rsidRPr="00726819" w:rsidRDefault="00382B7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68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68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36EB14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7DFF" w:rsidRPr="00726819" w14:paraId="2F67620A" w14:textId="77777777">
        <w:trPr>
          <w:trHeight w:val="1264"/>
        </w:trPr>
        <w:tc>
          <w:tcPr>
            <w:tcW w:w="1265" w:type="pct"/>
            <w:noWrap/>
          </w:tcPr>
          <w:p w14:paraId="23DC5092" w14:textId="77777777" w:rsidR="00382B7E" w:rsidRPr="00726819" w:rsidRDefault="0038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60BB5AC" w14:textId="77777777" w:rsidR="00382B7E" w:rsidRPr="00726819" w:rsidRDefault="00382B7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457003" w14:textId="77777777" w:rsidR="00382B7E" w:rsidRPr="00726819" w:rsidRDefault="00382B7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</w:rPr>
              <w:t>The endophytes display fitness on host plants, including tolerance to herbivory, salt, heat, disease and drought and to intensify above and below ground biomass</w:t>
            </w:r>
            <w:r w:rsidRPr="0072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</w:p>
          <w:p w14:paraId="74E6E579" w14:textId="77777777" w:rsidR="00382B7E" w:rsidRPr="00726819" w:rsidRDefault="00382B7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</w:rPr>
              <w:t xml:space="preserve">Additionally, the asymptomatic existence of the endophytes inside plant tissues during part or all of their life cycle has been observed. Furthermore, they are 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recognised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 for their ecological roles, which may include promoting host growth, enhancing tolerance to abiotic stress, and providing protection against pathogens through various mechanisms.</w:t>
            </w:r>
          </w:p>
        </w:tc>
        <w:tc>
          <w:tcPr>
            <w:tcW w:w="1523" w:type="pct"/>
          </w:tcPr>
          <w:p w14:paraId="58FE509C" w14:textId="5CA30272" w:rsidR="00382B7E" w:rsidRPr="00726819" w:rsidRDefault="00F122B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6819">
              <w:rPr>
                <w:rFonts w:ascii="Arial" w:hAnsi="Arial" w:cs="Arial"/>
                <w:b w:val="0"/>
                <w:lang w:val="en-GB"/>
              </w:rPr>
              <w:t>Endophytic fungi inhabiting chilli plants play a vital role in plant health and protection by establishing a mutualistic relationship within plant tissue without causing disease. These are natural biocontrol agent and provide Eco-friendly and sustainable approach.</w:t>
            </w:r>
          </w:p>
        </w:tc>
      </w:tr>
      <w:tr w:rsidR="00AF7DFF" w:rsidRPr="00726819" w14:paraId="0B5C0555" w14:textId="77777777">
        <w:trPr>
          <w:trHeight w:val="1262"/>
        </w:trPr>
        <w:tc>
          <w:tcPr>
            <w:tcW w:w="1265" w:type="pct"/>
            <w:noWrap/>
          </w:tcPr>
          <w:p w14:paraId="2C28ECA8" w14:textId="77777777" w:rsidR="00382B7E" w:rsidRPr="00726819" w:rsidRDefault="0038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0BA666" w14:textId="77777777" w:rsidR="00382B7E" w:rsidRPr="00726819" w:rsidRDefault="0038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EFB67D5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DCB0283" w14:textId="77777777" w:rsidR="00382B7E" w:rsidRPr="00726819" w:rsidRDefault="00382B7E">
            <w:pPr>
              <w:numPr>
                <w:ilvl w:val="0"/>
                <w:numId w:val="17"/>
              </w:numPr>
              <w:suppressAutoHyphens/>
              <w:autoSpaceDN w:val="0"/>
              <w:spacing w:before="120" w:after="120"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6819">
              <w:rPr>
                <w:rFonts w:ascii="Arial" w:hAnsi="Arial" w:cs="Arial"/>
                <w:sz w:val="20"/>
                <w:szCs w:val="20"/>
              </w:rPr>
              <w:t>Yes, the title of the manuscript is appropriate enough.</w:t>
            </w:r>
          </w:p>
          <w:p w14:paraId="502C34E7" w14:textId="77777777" w:rsidR="00382B7E" w:rsidRPr="00726819" w:rsidRDefault="00382B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F66F8A" w14:textId="77777777" w:rsidR="00382B7E" w:rsidRPr="00726819" w:rsidRDefault="0038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21D101" w14:textId="612EF9E0" w:rsidR="00382B7E" w:rsidRPr="00726819" w:rsidRDefault="001D7A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6819">
              <w:rPr>
                <w:rFonts w:ascii="Arial" w:hAnsi="Arial" w:cs="Arial"/>
                <w:b w:val="0"/>
                <w:lang w:val="en-GB"/>
              </w:rPr>
              <w:t>No,</w:t>
            </w:r>
            <w:r w:rsidR="00FB53B7" w:rsidRPr="00726819">
              <w:rPr>
                <w:rFonts w:ascii="Arial" w:hAnsi="Arial" w:cs="Arial"/>
                <w:b w:val="0"/>
                <w:lang w:val="en-GB"/>
              </w:rPr>
              <w:t xml:space="preserve"> alternative title is</w:t>
            </w:r>
            <w:r w:rsidRPr="00726819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726819">
              <w:rPr>
                <w:rFonts w:ascii="Arial" w:hAnsi="Arial" w:cs="Arial"/>
                <w:b w:val="0"/>
                <w:highlight w:val="yellow"/>
                <w:lang w:val="en-GB"/>
              </w:rPr>
              <w:t>“isolation and morphological identification</w:t>
            </w:r>
            <w:r w:rsidR="00FB53B7" w:rsidRPr="00726819">
              <w:rPr>
                <w:rFonts w:ascii="Arial" w:hAnsi="Arial" w:cs="Arial"/>
                <w:b w:val="0"/>
                <w:highlight w:val="yellow"/>
                <w:lang w:val="en-GB"/>
              </w:rPr>
              <w:t xml:space="preserve"> of endophytic fungi associated with chilli (</w:t>
            </w:r>
            <w:r w:rsidR="00FB53B7" w:rsidRPr="00726819">
              <w:rPr>
                <w:rFonts w:ascii="Arial" w:hAnsi="Arial" w:cs="Arial"/>
                <w:b w:val="0"/>
                <w:i/>
                <w:iCs/>
                <w:highlight w:val="yellow"/>
                <w:lang w:val="en-GB"/>
              </w:rPr>
              <w:t>Capsicum</w:t>
            </w:r>
            <w:r w:rsidR="00FB53B7" w:rsidRPr="00726819">
              <w:rPr>
                <w:rFonts w:ascii="Arial" w:hAnsi="Arial" w:cs="Arial"/>
                <w:b w:val="0"/>
                <w:highlight w:val="yellow"/>
                <w:lang w:val="en-GB"/>
              </w:rPr>
              <w:t xml:space="preserve"> </w:t>
            </w:r>
            <w:r w:rsidR="00FB53B7" w:rsidRPr="00726819">
              <w:rPr>
                <w:rFonts w:ascii="Arial" w:hAnsi="Arial" w:cs="Arial"/>
                <w:b w:val="0"/>
                <w:i/>
                <w:iCs/>
                <w:highlight w:val="yellow"/>
                <w:lang w:val="en-GB"/>
              </w:rPr>
              <w:t>annum</w:t>
            </w:r>
            <w:r w:rsidR="00FB53B7" w:rsidRPr="00726819">
              <w:rPr>
                <w:rFonts w:ascii="Arial" w:hAnsi="Arial" w:cs="Arial"/>
                <w:b w:val="0"/>
                <w:highlight w:val="yellow"/>
                <w:lang w:val="en-GB"/>
              </w:rPr>
              <w:t xml:space="preserve"> L.)”</w:t>
            </w:r>
          </w:p>
        </w:tc>
      </w:tr>
      <w:tr w:rsidR="00AF7DFF" w:rsidRPr="00726819" w14:paraId="7979F010" w14:textId="77777777">
        <w:trPr>
          <w:trHeight w:val="1269"/>
        </w:trPr>
        <w:tc>
          <w:tcPr>
            <w:tcW w:w="1265" w:type="pct"/>
            <w:noWrap/>
          </w:tcPr>
          <w:p w14:paraId="64454BFE" w14:textId="77777777" w:rsidR="00382B7E" w:rsidRPr="00726819" w:rsidRDefault="00382B7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2681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1813F5E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68C8CC" w14:textId="77777777" w:rsidR="00382B7E" w:rsidRPr="00726819" w:rsidRDefault="00382B7E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>Yes, the abstract is comprehensive and pertinently written.</w:t>
            </w:r>
          </w:p>
          <w:p w14:paraId="5CEC172B" w14:textId="77777777" w:rsidR="00382B7E" w:rsidRPr="00726819" w:rsidRDefault="00382B7E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841BD63" w14:textId="77777777" w:rsidR="00382B7E" w:rsidRPr="00726819" w:rsidRDefault="0038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3D0B66F7" w14:textId="41DAA0EC" w:rsidR="00382B7E" w:rsidRPr="00726819" w:rsidRDefault="00CC5C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6819">
              <w:rPr>
                <w:rFonts w:ascii="Arial" w:hAnsi="Arial" w:cs="Arial"/>
                <w:b w:val="0"/>
                <w:lang w:val="en-GB"/>
              </w:rPr>
              <w:t>Yes</w:t>
            </w:r>
            <w:r w:rsidR="001D7A85" w:rsidRPr="00726819">
              <w:rPr>
                <w:rFonts w:ascii="Arial" w:hAnsi="Arial" w:cs="Arial"/>
                <w:b w:val="0"/>
                <w:lang w:val="en-GB"/>
              </w:rPr>
              <w:t>, abstract is comprehensive.</w:t>
            </w:r>
          </w:p>
        </w:tc>
      </w:tr>
      <w:tr w:rsidR="00AF7DFF" w:rsidRPr="00726819" w14:paraId="2BD8B2C6" w14:textId="77777777">
        <w:trPr>
          <w:trHeight w:val="704"/>
        </w:trPr>
        <w:tc>
          <w:tcPr>
            <w:tcW w:w="1265" w:type="pct"/>
            <w:noWrap/>
          </w:tcPr>
          <w:p w14:paraId="55FB89F3" w14:textId="77777777" w:rsidR="00382B7E" w:rsidRPr="00726819" w:rsidRDefault="00382B7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2681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DE81DF3" w14:textId="77777777" w:rsidR="00382B7E" w:rsidRPr="00726819" w:rsidRDefault="00382B7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According to the study, the identified fungal endophytes based on the morphological and cultural </w:t>
            </w:r>
            <w:proofErr w:type="spellStart"/>
            <w:r w:rsidRPr="00726819">
              <w:rPr>
                <w:rFonts w:ascii="Arial" w:hAnsi="Arial" w:cs="Arial"/>
                <w:bCs/>
                <w:sz w:val="20"/>
                <w:szCs w:val="20"/>
              </w:rPr>
              <w:t>characterisation</w:t>
            </w:r>
            <w:proofErr w:type="spellEnd"/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included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Trichoderma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harzianum</w:t>
            </w:r>
            <w:proofErr w:type="spellEnd"/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Rhizoctonia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solani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Fusarium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oxysporum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Fusarium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solani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Macrophomina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phaseolina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Aspergillus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flavus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Aspergillus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niger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Alternaria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solani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Rhizopus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sp., and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Colletotrichum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capsici</w:t>
            </w:r>
            <w:r w:rsidRPr="00726819">
              <w:rPr>
                <w:rFonts w:ascii="Arial" w:hAnsi="Arial" w:cs="Arial"/>
                <w:bCs/>
                <w:sz w:val="20"/>
                <w:szCs w:val="20"/>
              </w:rPr>
              <w:t>. The diversity of these endophytes tests a complex microbial community within chilli tissues that may contribute to plant health and resilience.</w:t>
            </w:r>
          </w:p>
          <w:p w14:paraId="3CD1B19E" w14:textId="77777777" w:rsidR="00382B7E" w:rsidRPr="00726819" w:rsidRDefault="00382B7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</w:rPr>
              <w:t>These conclusions are attributed to baseline information of chilli-associated fungal endophytes and provide a foundation for forthcoming research exploring their ecological roles and potential in sustainable crop management.</w:t>
            </w:r>
          </w:p>
          <w:p w14:paraId="5397D908" w14:textId="77777777" w:rsidR="00382B7E" w:rsidRPr="00726819" w:rsidRDefault="00382B7E">
            <w:pPr>
              <w:pStyle w:val="ListParagraph"/>
              <w:spacing w:line="360" w:lineRule="auto"/>
              <w:ind w:left="408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6DF18F" w14:textId="415BEA0A" w:rsidR="00382B7E" w:rsidRPr="00726819" w:rsidRDefault="00CC5C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6819">
              <w:rPr>
                <w:rFonts w:ascii="Arial" w:hAnsi="Arial" w:cs="Arial"/>
                <w:b w:val="0"/>
                <w:lang w:val="en-GB"/>
              </w:rPr>
              <w:t>Yes</w:t>
            </w:r>
            <w:r w:rsidR="00072552" w:rsidRPr="00726819">
              <w:rPr>
                <w:rFonts w:ascii="Arial" w:hAnsi="Arial" w:cs="Arial"/>
                <w:b w:val="0"/>
                <w:lang w:val="en-GB"/>
              </w:rPr>
              <w:t xml:space="preserve">, overall good </w:t>
            </w:r>
          </w:p>
        </w:tc>
      </w:tr>
      <w:tr w:rsidR="00AF7DFF" w:rsidRPr="00726819" w14:paraId="56F95C16" w14:textId="77777777">
        <w:trPr>
          <w:trHeight w:val="703"/>
        </w:trPr>
        <w:tc>
          <w:tcPr>
            <w:tcW w:w="1265" w:type="pct"/>
            <w:noWrap/>
          </w:tcPr>
          <w:p w14:paraId="334F15C5" w14:textId="77777777" w:rsidR="00382B7E" w:rsidRPr="00726819" w:rsidRDefault="0038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C02F71C" w14:textId="77777777" w:rsidR="00382B7E" w:rsidRPr="00726819" w:rsidRDefault="00382B7E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>The cited references are sufficient and up-to-date.</w:t>
            </w:r>
          </w:p>
        </w:tc>
        <w:tc>
          <w:tcPr>
            <w:tcW w:w="1523" w:type="pct"/>
          </w:tcPr>
          <w:p w14:paraId="6D1D5874" w14:textId="77777777" w:rsidR="00382B7E" w:rsidRPr="00726819" w:rsidRDefault="00CC5C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6819">
              <w:rPr>
                <w:rFonts w:ascii="Arial" w:hAnsi="Arial" w:cs="Arial"/>
                <w:b w:val="0"/>
                <w:lang w:val="en-GB"/>
              </w:rPr>
              <w:t>Yes</w:t>
            </w:r>
            <w:r w:rsidR="001D7A85" w:rsidRPr="00726819">
              <w:rPr>
                <w:rFonts w:ascii="Arial" w:hAnsi="Arial" w:cs="Arial"/>
                <w:b w:val="0"/>
                <w:lang w:val="en-GB"/>
              </w:rPr>
              <w:t>, now I added Eleven references that was highlight by me in original manuscript.</w:t>
            </w:r>
          </w:p>
          <w:p w14:paraId="1B8D3791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6819">
              <w:rPr>
                <w:rFonts w:ascii="Arial" w:hAnsi="Arial" w:cs="Arial"/>
                <w:sz w:val="20"/>
                <w:szCs w:val="20"/>
              </w:rPr>
              <w:t>Kadam S.S, Magar S.J. &amp; Banne S.N. (2024). Isolation, pathogenicity test, characterization and identification of endophytic fungi of soybean (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Glycine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max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L. 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merril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Journal of plant disease sciences</w:t>
            </w:r>
            <w:r w:rsidRPr="00726819">
              <w:rPr>
                <w:rFonts w:ascii="Arial" w:hAnsi="Arial" w:cs="Arial"/>
                <w:sz w:val="20"/>
                <w:szCs w:val="20"/>
              </w:rPr>
              <w:t>. 19: 13-21</w:t>
            </w:r>
          </w:p>
          <w:p w14:paraId="1399869A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26819">
              <w:rPr>
                <w:rFonts w:ascii="Arial" w:hAnsi="Arial" w:cs="Arial"/>
                <w:sz w:val="20"/>
                <w:szCs w:val="20"/>
              </w:rPr>
              <w:lastRenderedPageBreak/>
              <w:t>.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Kusari</w:t>
            </w:r>
            <w:proofErr w:type="spellEnd"/>
            <w:proofErr w:type="gramEnd"/>
            <w:r w:rsidRPr="00726819">
              <w:rPr>
                <w:rFonts w:ascii="Arial" w:hAnsi="Arial" w:cs="Arial"/>
                <w:sz w:val="20"/>
                <w:szCs w:val="20"/>
              </w:rPr>
              <w:t xml:space="preserve">, S., Hertweck, C. &amp; 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Spiteller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, M. (2012). Chemical ecology of endophytic fungi: origins of secondary metabolites.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Chem. Biol.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19: 792–798.</w:t>
            </w:r>
          </w:p>
          <w:p w14:paraId="03CD7C05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proofErr w:type="spellStart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Harsonowati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 xml:space="preserve">, W., Latifah, E., 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Nurrahma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 xml:space="preserve">, A. H. I., Purwani, J., Iqbal, R., 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Parray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, J. A., &amp; Patel, A. D. (2024). Emerging diseases: trend research and omics-based analysis reveals mechanisms of endophytes modulate Chilli plant resilience. 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Symbiosis</w:t>
            </w:r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, 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93</w:t>
            </w:r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(3), 241-254.</w:t>
            </w:r>
          </w:p>
          <w:p w14:paraId="7D1B7686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Catambacan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 G. &amp; Cumagun R. (2021). Weed-Associated fungal endophytes as Biocontrol agents of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Fusarium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oxysporum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f.Sp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cubense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TR4 in cavendish banana.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Multidisciplinary digital publishing institute</w:t>
            </w:r>
            <w:r w:rsidRPr="00726819">
              <w:rPr>
                <w:rFonts w:ascii="Arial" w:hAnsi="Arial" w:cs="Arial"/>
                <w:sz w:val="20"/>
                <w:szCs w:val="20"/>
              </w:rPr>
              <w:t>.7(3),224;</w:t>
            </w:r>
          </w:p>
          <w:p w14:paraId="219EE10D" w14:textId="77777777" w:rsidR="00072552" w:rsidRPr="00726819" w:rsidRDefault="00072552" w:rsidP="0007255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6819">
              <w:rPr>
                <w:rFonts w:ascii="Arial" w:hAnsi="Arial" w:cs="Arial"/>
                <w:sz w:val="20"/>
                <w:szCs w:val="20"/>
              </w:rPr>
              <w:t xml:space="preserve">Gouda, S. </w:t>
            </w:r>
            <w:r w:rsidRPr="00726819">
              <w:rPr>
                <w:rFonts w:ascii="Arial" w:hAnsi="Arial" w:cs="Arial"/>
                <w:i/>
                <w:sz w:val="20"/>
                <w:szCs w:val="20"/>
              </w:rPr>
              <w:t xml:space="preserve">et al., 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(2016). Endophytes: a treasure house of bioactive compounds of medicinal importance.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Front. Microbiol.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7: 1538.</w:t>
            </w:r>
          </w:p>
          <w:p w14:paraId="672C78A0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6819">
              <w:rPr>
                <w:rFonts w:ascii="Arial" w:hAnsi="Arial" w:cs="Arial"/>
                <w:sz w:val="20"/>
                <w:szCs w:val="20"/>
              </w:rPr>
              <w:t>Mahadevakumar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, S. Yadav, V. Tejaswini, G. S. &amp; Janardhana G. S. (2016). Morphological and molecular characterization of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Sclerotium</w:t>
            </w:r>
            <w:r w:rsidRPr="007268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rolfsii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</w:rPr>
              <w:t xml:space="preserve"> associated with fruit rot of Cucurbita maxima.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European Journal of Plant Pathology.</w:t>
            </w:r>
            <w:r w:rsidRPr="00726819">
              <w:rPr>
                <w:rFonts w:ascii="Arial" w:hAnsi="Arial" w:cs="Arial"/>
                <w:sz w:val="20"/>
                <w:szCs w:val="20"/>
              </w:rPr>
              <w:t> 145, 215-219.</w:t>
            </w:r>
          </w:p>
          <w:p w14:paraId="301C8837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Prasa S., Ortiz V. &amp; Vega. E. (2013). Establishing fungal entomopathogens as endophytes: towards endophytic biological control. </w:t>
            </w:r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Journal of visualized experiments</w:t>
            </w: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>. 11;(74):50360.</w:t>
            </w:r>
          </w:p>
          <w:p w14:paraId="51A263A5" w14:textId="77777777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Pravi, V, Jeeva, M. L. &amp; Archana P. V. (2014). Rapid and Sensitive Detection of </w:t>
            </w:r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Sclerotium</w:t>
            </w: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rolfsii</w:t>
            </w:r>
            <w:proofErr w:type="spellEnd"/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 associated with collar rot disease of </w:t>
            </w:r>
            <w:proofErr w:type="spellStart"/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Amorphophallus</w:t>
            </w:r>
            <w:proofErr w:type="spellEnd"/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paconiifolius</w:t>
            </w:r>
            <w:proofErr w:type="spellEnd"/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 by species-specific polymerase chain reaction assay. </w:t>
            </w:r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Molecular</w:t>
            </w: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Biotechnology.</w:t>
            </w: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> 56, 787-794.</w:t>
            </w:r>
          </w:p>
          <w:p w14:paraId="5DD59D96" w14:textId="77777777" w:rsidR="00072552" w:rsidRPr="00726819" w:rsidRDefault="00072552" w:rsidP="00072552">
            <w:pPr>
              <w:spacing w:line="360" w:lineRule="auto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Singh, R. </w:t>
            </w:r>
            <w:r w:rsidRPr="0072681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et al., </w:t>
            </w: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(2021). Endophytic fungi in chilli: diversity and potential applications. </w:t>
            </w:r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Physiol. Mol. Plant </w:t>
            </w:r>
            <w:proofErr w:type="spellStart"/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Pathol</w:t>
            </w:r>
            <w:proofErr w:type="spellEnd"/>
            <w:r w:rsidRPr="0072681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>.</w:t>
            </w:r>
            <w:r w:rsidRPr="00726819">
              <w:rPr>
                <w:rFonts w:ascii="Arial" w:hAnsi="Arial" w:cs="Arial"/>
                <w:spacing w:val="-4"/>
                <w:sz w:val="20"/>
                <w:szCs w:val="20"/>
              </w:rPr>
              <w:t xml:space="preserve"> 115: 101692.</w:t>
            </w:r>
          </w:p>
          <w:p w14:paraId="68DE015C" w14:textId="77777777" w:rsidR="00072552" w:rsidRPr="00726819" w:rsidRDefault="00072552" w:rsidP="00072552">
            <w:pPr>
              <w:spacing w:line="36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6819">
              <w:rPr>
                <w:rFonts w:ascii="Arial" w:hAnsi="Arial" w:cs="Arial"/>
                <w:sz w:val="20"/>
                <w:szCs w:val="20"/>
              </w:rPr>
              <w:t xml:space="preserve">Vega E. (2018). The use of fungal entomopathogens as endophytes in biological control. 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</w:rPr>
              <w:t>Mycologia</w:t>
            </w:r>
            <w:r w:rsidRPr="00726819">
              <w:rPr>
                <w:rFonts w:ascii="Arial" w:hAnsi="Arial" w:cs="Arial"/>
                <w:sz w:val="20"/>
                <w:szCs w:val="20"/>
              </w:rPr>
              <w:t>.110: 4-30</w:t>
            </w:r>
          </w:p>
          <w:p w14:paraId="4CE569DF" w14:textId="2F2AD61C" w:rsidR="00072552" w:rsidRPr="00726819" w:rsidRDefault="00072552" w:rsidP="00072552">
            <w:pPr>
              <w:spacing w:line="360" w:lineRule="auto"/>
              <w:ind w:left="720" w:hanging="720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proofErr w:type="spellStart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Vyshakhi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 xml:space="preserve">, A. S., &amp; Anith, K. N. (2021). Co-inoculation with the root endophytic fungus </w:t>
            </w:r>
            <w:proofErr w:type="spellStart"/>
            <w:r w:rsidRPr="00726819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Piriformospora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726819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indica</w:t>
            </w:r>
            <w:proofErr w:type="spellEnd"/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 xml:space="preserve"> and endophytic bacteria improves growth of solanaceous vegetable seedlings. 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International Journal of Vegetable Science</w:t>
            </w:r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, </w:t>
            </w:r>
            <w:r w:rsidRPr="00726819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27</w:t>
            </w:r>
            <w:r w:rsidRPr="00726819">
              <w:rPr>
                <w:rFonts w:ascii="Arial" w:hAnsi="Arial" w:cs="Arial"/>
                <w:sz w:val="20"/>
                <w:szCs w:val="20"/>
                <w:lang w:val="en-IN"/>
              </w:rPr>
              <w:t>(6), 536-551.</w:t>
            </w:r>
          </w:p>
          <w:p w14:paraId="18CEF77E" w14:textId="7748A3D2" w:rsidR="00072552" w:rsidRPr="00726819" w:rsidRDefault="00072552" w:rsidP="000725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7DFF" w:rsidRPr="00726819" w14:paraId="73B78B8B" w14:textId="77777777" w:rsidTr="00F122B3">
        <w:trPr>
          <w:trHeight w:val="920"/>
        </w:trPr>
        <w:tc>
          <w:tcPr>
            <w:tcW w:w="1265" w:type="pct"/>
            <w:noWrap/>
          </w:tcPr>
          <w:p w14:paraId="374EA47D" w14:textId="77777777" w:rsidR="00382B7E" w:rsidRPr="00726819" w:rsidRDefault="00382B7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2681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F0929D9" w14:textId="77777777" w:rsidR="00382B7E" w:rsidRPr="00726819" w:rsidRDefault="0038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974CE2" w14:textId="77777777" w:rsidR="00382B7E" w:rsidRPr="00726819" w:rsidRDefault="00382B7E">
            <w:pPr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>The English language adopted for writing the manuscript is appropriate and aptly suitable for scholarly communications.</w:t>
            </w:r>
          </w:p>
        </w:tc>
        <w:tc>
          <w:tcPr>
            <w:tcW w:w="1523" w:type="pct"/>
          </w:tcPr>
          <w:p w14:paraId="306D7F40" w14:textId="60E2251D" w:rsidR="00382B7E" w:rsidRPr="00726819" w:rsidRDefault="00CC5C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1D7A85" w:rsidRPr="00726819">
              <w:rPr>
                <w:rFonts w:ascii="Arial" w:hAnsi="Arial" w:cs="Arial"/>
                <w:sz w:val="20"/>
                <w:szCs w:val="20"/>
                <w:lang w:val="en-GB"/>
              </w:rPr>
              <w:t>, its overall good and easy to understand</w:t>
            </w:r>
          </w:p>
        </w:tc>
      </w:tr>
      <w:tr w:rsidR="00AF7DFF" w:rsidRPr="00726819" w14:paraId="440B3DB6" w14:textId="77777777">
        <w:trPr>
          <w:trHeight w:val="1178"/>
        </w:trPr>
        <w:tc>
          <w:tcPr>
            <w:tcW w:w="1265" w:type="pct"/>
            <w:noWrap/>
          </w:tcPr>
          <w:p w14:paraId="637156C5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2681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2681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2681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E1AA666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F6E60EF" w14:textId="77777777" w:rsidR="00382B7E" w:rsidRPr="00726819" w:rsidRDefault="00382B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color w:val="0070C0"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>Abstract last line, rewrite to make it grammatically correct as “</w:t>
            </w:r>
            <w:r w:rsidRPr="00726819">
              <w:rPr>
                <w:rFonts w:ascii="Arial" w:hAnsi="Arial" w:cs="Arial"/>
                <w:bCs/>
                <w:color w:val="0070C0"/>
                <w:sz w:val="20"/>
                <w:szCs w:val="20"/>
                <w:lang w:val="en-IN"/>
              </w:rPr>
              <w:t>No fungal species of endophytic fungi were able to cause any diseased symptoms on chilli plant and were observed to remain healthy.</w:t>
            </w:r>
          </w:p>
          <w:p w14:paraId="38898E69" w14:textId="77777777" w:rsidR="00382B7E" w:rsidRPr="00726819" w:rsidRDefault="00382B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Introduction, 3</w:t>
            </w:r>
            <w:r w:rsidRPr="00726819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GB"/>
              </w:rPr>
              <w:t>rd</w:t>
            </w:r>
            <w:r w:rsidRPr="007268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line, add a full stop after</w:t>
            </w:r>
            <w:r w:rsidRPr="00726819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 </w:t>
            </w:r>
            <w:r w:rsidRPr="00726819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(Hasegawa </w:t>
            </w:r>
            <w:r w:rsidRPr="00726819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et</w:t>
            </w:r>
            <w:r w:rsidRPr="00726819">
              <w:rPr>
                <w:rFonts w:ascii="Arial" w:hAnsi="Arial" w:cs="Arial"/>
                <w:bCs/>
                <w:color w:val="FF0000"/>
                <w:sz w:val="20"/>
                <w:szCs w:val="20"/>
              </w:rPr>
              <w:t> </w:t>
            </w:r>
            <w:r w:rsidRPr="00726819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al</w:t>
            </w:r>
            <w:r w:rsidRPr="00726819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 2006).</w:t>
            </w:r>
          </w:p>
          <w:p w14:paraId="102926F7" w14:textId="77777777" w:rsidR="00382B7E" w:rsidRPr="00726819" w:rsidRDefault="00382B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Cs/>
                <w:sz w:val="20"/>
                <w:szCs w:val="20"/>
              </w:rPr>
              <w:t>Please add a full stop after completion of each sentence wherever necessary in the Introduction part of the manuscript. Please verify.</w:t>
            </w:r>
          </w:p>
          <w:p w14:paraId="15C89CE3" w14:textId="77777777" w:rsidR="00382B7E" w:rsidRPr="00726819" w:rsidRDefault="00382B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 xml:space="preserve">The presentation of the </w:t>
            </w:r>
            <w:r w:rsidRPr="00726819">
              <w:rPr>
                <w:rFonts w:ascii="Arial" w:hAnsi="Arial" w:cs="Arial"/>
                <w:sz w:val="20"/>
                <w:szCs w:val="20"/>
              </w:rPr>
              <w:t>Abstract, Introduction, Materials and Methods, Results and Discussion and Conclusion is exceedingly appreciable.</w:t>
            </w:r>
          </w:p>
          <w:p w14:paraId="4C376B0F" w14:textId="77777777" w:rsidR="00382B7E" w:rsidRPr="00726819" w:rsidRDefault="00382B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color w:val="000000"/>
                <w:sz w:val="20"/>
                <w:szCs w:val="20"/>
                <w:lang w:val="en-IN"/>
              </w:rPr>
              <w:t>Overall, t</w:t>
            </w: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 xml:space="preserve">he manuscript has been laconically described, remarkable, and well-presented with numerous elegant pictures incorporated. </w:t>
            </w:r>
          </w:p>
        </w:tc>
        <w:tc>
          <w:tcPr>
            <w:tcW w:w="1523" w:type="pct"/>
          </w:tcPr>
          <w:p w14:paraId="0512F9F1" w14:textId="52DF65A5" w:rsidR="00CC5CE9" w:rsidRPr="00726819" w:rsidRDefault="00CC5C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 xml:space="preserve">The correction that you had suggested to </w:t>
            </w:r>
            <w:r w:rsidR="00F122B3" w:rsidRPr="00726819">
              <w:rPr>
                <w:rFonts w:ascii="Arial" w:hAnsi="Arial" w:cs="Arial"/>
                <w:sz w:val="20"/>
                <w:szCs w:val="20"/>
                <w:lang w:val="en-GB"/>
              </w:rPr>
              <w:t>me;</w:t>
            </w:r>
            <w:r w:rsidRPr="00726819">
              <w:rPr>
                <w:rFonts w:ascii="Arial" w:hAnsi="Arial" w:cs="Arial"/>
                <w:sz w:val="20"/>
                <w:szCs w:val="20"/>
                <w:lang w:val="en-GB"/>
              </w:rPr>
              <w:t xml:space="preserve"> I have corrected all of them and highlighted them also in original manu</w:t>
            </w:r>
            <w:r w:rsidR="00F122B3" w:rsidRPr="00726819">
              <w:rPr>
                <w:rFonts w:ascii="Arial" w:hAnsi="Arial" w:cs="Arial"/>
                <w:sz w:val="20"/>
                <w:szCs w:val="20"/>
                <w:lang w:val="en-GB"/>
              </w:rPr>
              <w:t>script.</w:t>
            </w:r>
          </w:p>
        </w:tc>
      </w:tr>
    </w:tbl>
    <w:p w14:paraId="7E4B3A91" w14:textId="77777777" w:rsidR="00382B7E" w:rsidRPr="00726819" w:rsidRDefault="00382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AF7DFF" w:rsidRPr="00726819" w14:paraId="7B22542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82CD6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2681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681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9CE5A3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F7DFF" w:rsidRPr="00726819" w14:paraId="43816A9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A0B4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0FB3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681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D1C3F0A" w14:textId="77777777" w:rsidR="00382B7E" w:rsidRPr="00726819" w:rsidRDefault="00382B7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68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68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AB2398" w14:textId="77777777" w:rsidR="00382B7E" w:rsidRPr="00726819" w:rsidRDefault="0038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F7DFF" w:rsidRPr="00726819" w14:paraId="27B98695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092D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68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86EEA5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E0DFA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681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681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681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DEB0817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CA20CC8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FD137DC" w14:textId="77777777" w:rsidR="00382B7E" w:rsidRPr="00726819" w:rsidRDefault="00382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58DFA5" w14:textId="77777777" w:rsidR="00382B7E" w:rsidRPr="00726819" w:rsidRDefault="00382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8885EB" w14:textId="57500561" w:rsidR="00382B7E" w:rsidRPr="00726819" w:rsidRDefault="00CC5C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2681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486856D" w14:textId="77777777" w:rsidR="00382B7E" w:rsidRPr="00726819" w:rsidRDefault="0038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36CCFC2" w14:textId="77777777" w:rsidR="00382B7E" w:rsidRPr="00726819" w:rsidRDefault="00382B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382B7E" w:rsidRPr="0072681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FA2FA" w14:textId="77777777" w:rsidR="00890D6D" w:rsidRDefault="00890D6D">
      <w:r>
        <w:separator/>
      </w:r>
    </w:p>
  </w:endnote>
  <w:endnote w:type="continuationSeparator" w:id="0">
    <w:p w14:paraId="5270C977" w14:textId="77777777" w:rsidR="00890D6D" w:rsidRDefault="0089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0A3B7" w14:textId="77777777" w:rsidR="00382B7E" w:rsidRDefault="00382B7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E04C8" w14:textId="77777777" w:rsidR="00890D6D" w:rsidRDefault="00890D6D">
      <w:r>
        <w:separator/>
      </w:r>
    </w:p>
  </w:footnote>
  <w:footnote w:type="continuationSeparator" w:id="0">
    <w:p w14:paraId="48071406" w14:textId="77777777" w:rsidR="00890D6D" w:rsidRDefault="00890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9DF5A" w14:textId="77777777" w:rsidR="00382B7E" w:rsidRDefault="00382B7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6A4DB1" w14:textId="77777777" w:rsidR="00382B7E" w:rsidRDefault="00382B7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6727D5"/>
    <w:multiLevelType w:val="hybridMultilevel"/>
    <w:tmpl w:val="C4BC0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687D"/>
    <w:multiLevelType w:val="hybridMultilevel"/>
    <w:tmpl w:val="BB7C10C8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48FD5AF3"/>
    <w:multiLevelType w:val="hybridMultilevel"/>
    <w:tmpl w:val="D8A48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545E91"/>
    <w:multiLevelType w:val="multilevel"/>
    <w:tmpl w:val="31CE3B02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 w15:restartNumberingAfterBreak="0">
    <w:nsid w:val="7381666F"/>
    <w:multiLevelType w:val="hybridMultilevel"/>
    <w:tmpl w:val="31AC0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4261A3"/>
    <w:multiLevelType w:val="hybridMultilevel"/>
    <w:tmpl w:val="0B26E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7"/>
  </w:num>
  <w:num w:numId="15">
    <w:abstractNumId w:val="17"/>
  </w:num>
  <w:num w:numId="16">
    <w:abstractNumId w:val="11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41"/>
    <w:rsid w:val="00072552"/>
    <w:rsid w:val="001D7A85"/>
    <w:rsid w:val="0031187B"/>
    <w:rsid w:val="00382B7E"/>
    <w:rsid w:val="00623D41"/>
    <w:rsid w:val="00726819"/>
    <w:rsid w:val="00890D6D"/>
    <w:rsid w:val="00956EAD"/>
    <w:rsid w:val="009744A2"/>
    <w:rsid w:val="00AF7DFF"/>
    <w:rsid w:val="00B34108"/>
    <w:rsid w:val="00CC5CE9"/>
    <w:rsid w:val="00DE0780"/>
    <w:rsid w:val="00F122B3"/>
    <w:rsid w:val="00FB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3D786"/>
  <w15:chartTrackingRefBased/>
  <w15:docId w15:val="{C635648A-BC80-1D4E-876E-DA36F06B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nhideWhenUsed/>
    <w:rPr>
      <w:color w:val="0000FF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B5512-CF34-4C4E-B47B-0AB0F21A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5</cp:revision>
  <dcterms:created xsi:type="dcterms:W3CDTF">2025-09-04T05:22:00Z</dcterms:created>
  <dcterms:modified xsi:type="dcterms:W3CDTF">2025-09-08T06:26:00Z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1ae845e1-033d-462e-b1a4-ca0e56f607a1</vt:lpwstr>
  </property>
</Properties>
</file>