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before="5" w:after="1"/>
        <w:rPr>
          <w:sz w:val="11"/>
        </w:rPr>
      </w:pPr>
    </w:p>
    <w:tbl>
      <w:tblPr>
        <w:tblW w:w="0" w:type="auto"/>
        <w:jc w:val="left"/>
        <w:tblInd w:w="3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160"/>
        <w:gridCol w:w="15765"/>
      </w:tblGrid>
      <w:tr>
        <w:trPr>
          <w:trHeight w:val="284" w:hRule="atLeast"/>
        </w:trPr>
        <w:tc>
          <w:tcPr>
            <w:tcW w:w="5160" w:type="dxa"/>
          </w:tcPr>
          <w:p>
            <w:pPr>
              <w:pStyle w:val="TableParagraph"/>
              <w:spacing w:line="228" w:lineRule="exact"/>
              <w:ind w:left="97"/>
              <w:rPr>
                <w:rFonts w:ascii="Arial MT"/>
                <w:sz w:val="20"/>
              </w:rPr>
            </w:pPr>
            <w:r>
              <w:rPr>
                <w:rFonts w:ascii="Arial MT"/>
                <w:sz w:val="20"/>
              </w:rPr>
              <w:t>Journal</w:t>
            </w:r>
            <w:r>
              <w:rPr>
                <w:rFonts w:ascii="Arial MT"/>
                <w:spacing w:val="-1"/>
                <w:sz w:val="20"/>
              </w:rPr>
              <w:t> </w:t>
            </w:r>
            <w:r>
              <w:rPr>
                <w:rFonts w:ascii="Arial MT"/>
                <w:spacing w:val="-2"/>
                <w:sz w:val="20"/>
              </w:rPr>
              <w:t>Name:</w:t>
            </w:r>
          </w:p>
        </w:tc>
        <w:tc>
          <w:tcPr>
            <w:tcW w:w="15765" w:type="dxa"/>
          </w:tcPr>
          <w:p>
            <w:pPr>
              <w:pStyle w:val="TableParagraph"/>
              <w:spacing w:line="228" w:lineRule="exact" w:before="37"/>
              <w:rPr>
                <w:rFonts w:ascii="Arial"/>
                <w:b/>
                <w:sz w:val="20"/>
              </w:rPr>
            </w:pPr>
            <w:hyperlink r:id="rId6">
              <w:r>
                <w:rPr>
                  <w:rFonts w:ascii="Arial"/>
                  <w:b/>
                  <w:color w:val="0000FF"/>
                  <w:sz w:val="20"/>
                  <w:u w:val="single" w:color="0000FF"/>
                </w:rPr>
                <w:t>International</w:t>
              </w:r>
              <w:r>
                <w:rPr>
                  <w:rFonts w:ascii="Arial"/>
                  <w:b/>
                  <w:color w:val="0000FF"/>
                  <w:spacing w:val="-1"/>
                  <w:sz w:val="20"/>
                  <w:u w:val="single" w:color="0000FF"/>
                </w:rPr>
                <w:t> </w:t>
              </w:r>
              <w:r>
                <w:rPr>
                  <w:rFonts w:ascii="Arial"/>
                  <w:b/>
                  <w:color w:val="0000FF"/>
                  <w:sz w:val="20"/>
                  <w:u w:val="single" w:color="0000FF"/>
                </w:rPr>
                <w:t>Journal</w:t>
              </w:r>
              <w:r>
                <w:rPr>
                  <w:rFonts w:ascii="Arial"/>
                  <w:b/>
                  <w:color w:val="0000FF"/>
                  <w:spacing w:val="-1"/>
                  <w:sz w:val="20"/>
                  <w:u w:val="single" w:color="0000FF"/>
                </w:rPr>
                <w:t> </w:t>
              </w:r>
              <w:r>
                <w:rPr>
                  <w:rFonts w:ascii="Arial"/>
                  <w:b/>
                  <w:color w:val="0000FF"/>
                  <w:sz w:val="20"/>
                  <w:u w:val="single" w:color="0000FF"/>
                </w:rPr>
                <w:t>of</w:t>
              </w:r>
              <w:r>
                <w:rPr>
                  <w:rFonts w:ascii="Arial"/>
                  <w:b/>
                  <w:color w:val="0000FF"/>
                  <w:spacing w:val="-1"/>
                  <w:sz w:val="20"/>
                  <w:u w:val="single" w:color="0000FF"/>
                </w:rPr>
                <w:t> </w:t>
              </w:r>
              <w:r>
                <w:rPr>
                  <w:rFonts w:ascii="Arial"/>
                  <w:b/>
                  <w:color w:val="0000FF"/>
                  <w:sz w:val="20"/>
                  <w:u w:val="single" w:color="0000FF"/>
                </w:rPr>
                <w:t>Medical</w:t>
              </w:r>
              <w:r>
                <w:rPr>
                  <w:rFonts w:ascii="Arial"/>
                  <w:b/>
                  <w:color w:val="0000FF"/>
                  <w:spacing w:val="-1"/>
                  <w:sz w:val="20"/>
                  <w:u w:val="single" w:color="0000FF"/>
                </w:rPr>
                <w:t> </w:t>
              </w:r>
              <w:r>
                <w:rPr>
                  <w:rFonts w:ascii="Arial"/>
                  <w:b/>
                  <w:color w:val="0000FF"/>
                  <w:sz w:val="20"/>
                  <w:u w:val="single" w:color="0000FF"/>
                </w:rPr>
                <w:t>and</w:t>
              </w:r>
              <w:r>
                <w:rPr>
                  <w:rFonts w:ascii="Arial"/>
                  <w:b/>
                  <w:color w:val="0000FF"/>
                  <w:spacing w:val="-1"/>
                  <w:sz w:val="20"/>
                  <w:u w:val="single" w:color="0000FF"/>
                </w:rPr>
                <w:t> </w:t>
              </w:r>
              <w:r>
                <w:rPr>
                  <w:rFonts w:ascii="Arial"/>
                  <w:b/>
                  <w:color w:val="0000FF"/>
                  <w:sz w:val="20"/>
                  <w:u w:val="single" w:color="0000FF"/>
                </w:rPr>
                <w:t>Pharmaceutical</w:t>
              </w:r>
              <w:r>
                <w:rPr>
                  <w:rFonts w:ascii="Arial"/>
                  <w:b/>
                  <w:color w:val="0000FF"/>
                  <w:spacing w:val="-1"/>
                  <w:sz w:val="20"/>
                  <w:u w:val="single" w:color="0000FF"/>
                </w:rPr>
                <w:t> </w:t>
              </w:r>
              <w:r>
                <w:rPr>
                  <w:rFonts w:ascii="Arial"/>
                  <w:b/>
                  <w:color w:val="0000FF"/>
                  <w:sz w:val="20"/>
                  <w:u w:val="single" w:color="0000FF"/>
                </w:rPr>
                <w:t>Case</w:t>
              </w:r>
              <w:r>
                <w:rPr>
                  <w:rFonts w:ascii="Arial"/>
                  <w:b/>
                  <w:color w:val="0000FF"/>
                  <w:spacing w:val="-1"/>
                  <w:sz w:val="20"/>
                  <w:u w:val="single" w:color="0000FF"/>
                </w:rPr>
                <w:t> </w:t>
              </w:r>
              <w:r>
                <w:rPr>
                  <w:rFonts w:ascii="Arial"/>
                  <w:b/>
                  <w:color w:val="0000FF"/>
                  <w:spacing w:val="-2"/>
                  <w:sz w:val="20"/>
                  <w:u w:val="single" w:color="0000FF"/>
                </w:rPr>
                <w:t>Reports</w:t>
              </w:r>
            </w:hyperlink>
          </w:p>
        </w:tc>
      </w:tr>
      <w:tr>
        <w:trPr>
          <w:trHeight w:val="284" w:hRule="atLeast"/>
        </w:trPr>
        <w:tc>
          <w:tcPr>
            <w:tcW w:w="5160" w:type="dxa"/>
          </w:tcPr>
          <w:p>
            <w:pPr>
              <w:pStyle w:val="TableParagraph"/>
              <w:spacing w:line="228" w:lineRule="exact"/>
              <w:ind w:left="97"/>
              <w:rPr>
                <w:rFonts w:ascii="Arial MT"/>
                <w:sz w:val="20"/>
              </w:rPr>
            </w:pPr>
            <w:r>
              <w:rPr>
                <w:rFonts w:ascii="Arial MT"/>
                <w:sz w:val="20"/>
              </w:rPr>
              <w:t>Manuscript</w:t>
            </w:r>
            <w:r>
              <w:rPr>
                <w:rFonts w:ascii="Arial MT"/>
                <w:spacing w:val="-1"/>
                <w:sz w:val="20"/>
              </w:rPr>
              <w:t> </w:t>
            </w:r>
            <w:r>
              <w:rPr>
                <w:rFonts w:ascii="Arial MT"/>
                <w:spacing w:val="-2"/>
                <w:sz w:val="20"/>
              </w:rPr>
              <w:t>Number:</w:t>
            </w:r>
          </w:p>
        </w:tc>
        <w:tc>
          <w:tcPr>
            <w:tcW w:w="15765" w:type="dxa"/>
          </w:tcPr>
          <w:p>
            <w:pPr>
              <w:pStyle w:val="TableParagraph"/>
              <w:spacing w:line="228" w:lineRule="exact" w:before="37"/>
              <w:rPr>
                <w:rFonts w:ascii="Arial"/>
                <w:b/>
                <w:sz w:val="20"/>
              </w:rPr>
            </w:pPr>
            <w:r>
              <w:rPr>
                <w:rFonts w:ascii="Arial"/>
                <w:b/>
                <w:spacing w:val="-2"/>
                <w:sz w:val="20"/>
              </w:rPr>
              <w:t>Ms_IJMPCR_144425</w:t>
            </w:r>
          </w:p>
        </w:tc>
      </w:tr>
      <w:tr>
        <w:trPr>
          <w:trHeight w:val="644" w:hRule="atLeast"/>
        </w:trPr>
        <w:tc>
          <w:tcPr>
            <w:tcW w:w="5160" w:type="dxa"/>
          </w:tcPr>
          <w:p>
            <w:pPr>
              <w:pStyle w:val="TableParagraph"/>
              <w:spacing w:line="228" w:lineRule="exact"/>
              <w:ind w:left="97"/>
              <w:rPr>
                <w:rFonts w:ascii="Arial MT"/>
                <w:sz w:val="20"/>
              </w:rPr>
            </w:pPr>
            <w:r>
              <w:rPr>
                <w:rFonts w:ascii="Arial MT"/>
                <w:sz w:val="20"/>
              </w:rPr>
              <w:t>Title</w:t>
            </w:r>
            <w:r>
              <w:rPr>
                <w:rFonts w:ascii="Arial MT"/>
                <w:spacing w:val="-4"/>
                <w:sz w:val="20"/>
              </w:rPr>
              <w:t> </w:t>
            </w:r>
            <w:r>
              <w:rPr>
                <w:rFonts w:ascii="Arial MT"/>
                <w:sz w:val="20"/>
              </w:rPr>
              <w:t>of</w:t>
            </w:r>
            <w:r>
              <w:rPr>
                <w:rFonts w:ascii="Arial MT"/>
                <w:spacing w:val="-4"/>
                <w:sz w:val="20"/>
              </w:rPr>
              <w:t> </w:t>
            </w:r>
            <w:r>
              <w:rPr>
                <w:rFonts w:ascii="Arial MT"/>
                <w:sz w:val="20"/>
              </w:rPr>
              <w:t>the</w:t>
            </w:r>
            <w:r>
              <w:rPr>
                <w:rFonts w:ascii="Arial MT"/>
                <w:spacing w:val="-3"/>
                <w:sz w:val="20"/>
              </w:rPr>
              <w:t> </w:t>
            </w:r>
            <w:r>
              <w:rPr>
                <w:rFonts w:ascii="Arial MT"/>
                <w:spacing w:val="-2"/>
                <w:sz w:val="20"/>
              </w:rPr>
              <w:t>Manuscript:</w:t>
            </w:r>
          </w:p>
        </w:tc>
        <w:tc>
          <w:tcPr>
            <w:tcW w:w="15765" w:type="dxa"/>
          </w:tcPr>
          <w:p>
            <w:pPr>
              <w:pStyle w:val="TableParagraph"/>
              <w:spacing w:before="217"/>
              <w:rPr>
                <w:rFonts w:ascii="Arial"/>
                <w:b/>
                <w:sz w:val="20"/>
              </w:rPr>
            </w:pPr>
            <w:r>
              <w:rPr>
                <w:rFonts w:ascii="Arial"/>
                <w:b/>
                <w:sz w:val="20"/>
              </w:rPr>
              <w:t>Cervicothoracic</w:t>
            </w:r>
            <w:r>
              <w:rPr>
                <w:rFonts w:ascii="Arial"/>
                <w:b/>
                <w:spacing w:val="-1"/>
                <w:sz w:val="20"/>
              </w:rPr>
              <w:t> </w:t>
            </w:r>
            <w:r>
              <w:rPr>
                <w:rFonts w:ascii="Arial"/>
                <w:b/>
                <w:sz w:val="20"/>
              </w:rPr>
              <w:t>Cellulitis</w:t>
            </w:r>
            <w:r>
              <w:rPr>
                <w:rFonts w:ascii="Arial"/>
                <w:b/>
                <w:spacing w:val="-1"/>
                <w:sz w:val="20"/>
              </w:rPr>
              <w:t> </w:t>
            </w:r>
            <w:r>
              <w:rPr>
                <w:rFonts w:ascii="Arial"/>
                <w:b/>
                <w:sz w:val="20"/>
              </w:rPr>
              <w:t>Complicated</w:t>
            </w:r>
            <w:r>
              <w:rPr>
                <w:rFonts w:ascii="Arial"/>
                <w:b/>
                <w:spacing w:val="-1"/>
                <w:sz w:val="20"/>
              </w:rPr>
              <w:t> </w:t>
            </w:r>
            <w:r>
              <w:rPr>
                <w:rFonts w:ascii="Arial"/>
                <w:b/>
                <w:sz w:val="20"/>
              </w:rPr>
              <w:t>by</w:t>
            </w:r>
            <w:r>
              <w:rPr>
                <w:rFonts w:ascii="Arial"/>
                <w:b/>
                <w:spacing w:val="-1"/>
                <w:sz w:val="20"/>
              </w:rPr>
              <w:t> </w:t>
            </w:r>
            <w:r>
              <w:rPr>
                <w:rFonts w:ascii="Arial"/>
                <w:b/>
                <w:sz w:val="20"/>
              </w:rPr>
              <w:t>Descending</w:t>
            </w:r>
            <w:r>
              <w:rPr>
                <w:rFonts w:ascii="Arial"/>
                <w:b/>
                <w:spacing w:val="-1"/>
                <w:sz w:val="20"/>
              </w:rPr>
              <w:t> </w:t>
            </w:r>
            <w:r>
              <w:rPr>
                <w:rFonts w:ascii="Arial"/>
                <w:b/>
                <w:sz w:val="20"/>
              </w:rPr>
              <w:t>Mediastinitis</w:t>
            </w:r>
            <w:r>
              <w:rPr>
                <w:rFonts w:ascii="Arial"/>
                <w:b/>
                <w:spacing w:val="-1"/>
                <w:sz w:val="20"/>
              </w:rPr>
              <w:t> </w:t>
            </w:r>
            <w:r>
              <w:rPr>
                <w:rFonts w:ascii="Arial"/>
                <w:b/>
                <w:sz w:val="20"/>
              </w:rPr>
              <w:t>in</w:t>
            </w:r>
            <w:r>
              <w:rPr>
                <w:rFonts w:ascii="Arial"/>
                <w:b/>
                <w:spacing w:val="-1"/>
                <w:sz w:val="20"/>
              </w:rPr>
              <w:t> </w:t>
            </w:r>
            <w:r>
              <w:rPr>
                <w:rFonts w:ascii="Arial"/>
                <w:b/>
                <w:sz w:val="20"/>
              </w:rPr>
              <w:t>a</w:t>
            </w:r>
            <w:r>
              <w:rPr>
                <w:rFonts w:ascii="Arial"/>
                <w:b/>
                <w:spacing w:val="-1"/>
                <w:sz w:val="20"/>
              </w:rPr>
              <w:t> </w:t>
            </w:r>
            <w:r>
              <w:rPr>
                <w:rFonts w:ascii="Arial"/>
                <w:b/>
                <w:sz w:val="20"/>
              </w:rPr>
              <w:t>Diabetic</w:t>
            </w:r>
            <w:r>
              <w:rPr>
                <w:rFonts w:ascii="Arial"/>
                <w:b/>
                <w:spacing w:val="-1"/>
                <w:sz w:val="20"/>
              </w:rPr>
              <w:t> </w:t>
            </w:r>
            <w:r>
              <w:rPr>
                <w:rFonts w:ascii="Arial"/>
                <w:b/>
                <w:sz w:val="20"/>
              </w:rPr>
              <w:t>Patient:</w:t>
            </w:r>
            <w:r>
              <w:rPr>
                <w:rFonts w:ascii="Arial"/>
                <w:b/>
                <w:spacing w:val="-1"/>
                <w:sz w:val="20"/>
              </w:rPr>
              <w:t> </w:t>
            </w:r>
            <w:r>
              <w:rPr>
                <w:rFonts w:ascii="Arial"/>
                <w:b/>
                <w:sz w:val="20"/>
              </w:rPr>
              <w:t>A</w:t>
            </w:r>
            <w:r>
              <w:rPr>
                <w:rFonts w:ascii="Arial"/>
                <w:b/>
                <w:spacing w:val="-1"/>
                <w:sz w:val="20"/>
              </w:rPr>
              <w:t> </w:t>
            </w:r>
            <w:r>
              <w:rPr>
                <w:rFonts w:ascii="Arial"/>
                <w:b/>
                <w:sz w:val="20"/>
              </w:rPr>
              <w:t>Case</w:t>
            </w:r>
            <w:r>
              <w:rPr>
                <w:rFonts w:ascii="Arial"/>
                <w:b/>
                <w:spacing w:val="-1"/>
                <w:sz w:val="20"/>
              </w:rPr>
              <w:t> </w:t>
            </w:r>
            <w:r>
              <w:rPr>
                <w:rFonts w:ascii="Arial"/>
                <w:b/>
                <w:sz w:val="20"/>
              </w:rPr>
              <w:t>Report</w:t>
            </w:r>
            <w:r>
              <w:rPr>
                <w:rFonts w:ascii="Arial"/>
                <w:b/>
                <w:spacing w:val="-1"/>
                <w:sz w:val="20"/>
              </w:rPr>
              <w:t> </w:t>
            </w:r>
            <w:r>
              <w:rPr>
                <w:rFonts w:ascii="Arial"/>
                <w:b/>
                <w:sz w:val="20"/>
              </w:rPr>
              <w:t>from</w:t>
            </w:r>
            <w:r>
              <w:rPr>
                <w:rFonts w:ascii="Arial"/>
                <w:b/>
                <w:spacing w:val="-1"/>
                <w:sz w:val="20"/>
              </w:rPr>
              <w:t> </w:t>
            </w:r>
            <w:r>
              <w:rPr>
                <w:rFonts w:ascii="Arial"/>
                <w:b/>
                <w:sz w:val="20"/>
              </w:rPr>
              <w:t>the</w:t>
            </w:r>
            <w:r>
              <w:rPr>
                <w:rFonts w:ascii="Arial"/>
                <w:b/>
                <w:spacing w:val="-1"/>
                <w:sz w:val="20"/>
              </w:rPr>
              <w:t> </w:t>
            </w:r>
            <w:r>
              <w:rPr>
                <w:rFonts w:ascii="Arial"/>
                <w:b/>
                <w:sz w:val="20"/>
              </w:rPr>
              <w:t>Military</w:t>
            </w:r>
            <w:r>
              <w:rPr>
                <w:rFonts w:ascii="Arial"/>
                <w:b/>
                <w:spacing w:val="-1"/>
                <w:sz w:val="20"/>
              </w:rPr>
              <w:t> </w:t>
            </w:r>
            <w:r>
              <w:rPr>
                <w:rFonts w:ascii="Arial"/>
                <w:b/>
                <w:sz w:val="20"/>
              </w:rPr>
              <w:t>Hospital</w:t>
            </w:r>
            <w:r>
              <w:rPr>
                <w:rFonts w:ascii="Arial"/>
                <w:b/>
                <w:spacing w:val="-1"/>
                <w:sz w:val="20"/>
              </w:rPr>
              <w:t> </w:t>
            </w:r>
            <w:r>
              <w:rPr>
                <w:rFonts w:ascii="Arial"/>
                <w:b/>
                <w:sz w:val="20"/>
              </w:rPr>
              <w:t>of</w:t>
            </w:r>
            <w:r>
              <w:rPr>
                <w:rFonts w:ascii="Arial"/>
                <w:b/>
                <w:spacing w:val="-1"/>
                <w:sz w:val="20"/>
              </w:rPr>
              <w:t> </w:t>
            </w:r>
            <w:r>
              <w:rPr>
                <w:rFonts w:ascii="Arial"/>
                <w:b/>
                <w:spacing w:val="-2"/>
                <w:sz w:val="20"/>
              </w:rPr>
              <w:t>Rabat</w:t>
            </w:r>
          </w:p>
        </w:tc>
      </w:tr>
      <w:tr>
        <w:trPr>
          <w:trHeight w:val="329" w:hRule="atLeast"/>
        </w:trPr>
        <w:tc>
          <w:tcPr>
            <w:tcW w:w="5160" w:type="dxa"/>
          </w:tcPr>
          <w:p>
            <w:pPr>
              <w:pStyle w:val="TableParagraph"/>
              <w:spacing w:line="228" w:lineRule="exact"/>
              <w:ind w:left="97"/>
              <w:rPr>
                <w:rFonts w:ascii="Arial MT"/>
                <w:sz w:val="20"/>
              </w:rPr>
            </w:pPr>
            <w:r>
              <w:rPr>
                <w:rFonts w:ascii="Arial MT"/>
                <w:sz w:val="20"/>
              </w:rPr>
              <w:t>Type</w:t>
            </w:r>
            <w:r>
              <w:rPr>
                <w:rFonts w:ascii="Arial MT"/>
                <w:spacing w:val="-5"/>
                <w:sz w:val="20"/>
              </w:rPr>
              <w:t> </w:t>
            </w:r>
            <w:r>
              <w:rPr>
                <w:rFonts w:ascii="Arial MT"/>
                <w:sz w:val="20"/>
              </w:rPr>
              <w:t>of</w:t>
            </w:r>
            <w:r>
              <w:rPr>
                <w:rFonts w:ascii="Arial MT"/>
                <w:spacing w:val="-5"/>
                <w:sz w:val="20"/>
              </w:rPr>
              <w:t> </w:t>
            </w:r>
            <w:r>
              <w:rPr>
                <w:rFonts w:ascii="Arial MT"/>
                <w:sz w:val="20"/>
              </w:rPr>
              <w:t>the</w:t>
            </w:r>
            <w:r>
              <w:rPr>
                <w:rFonts w:ascii="Arial MT"/>
                <w:spacing w:val="-5"/>
                <w:sz w:val="20"/>
              </w:rPr>
              <w:t> </w:t>
            </w:r>
            <w:r>
              <w:rPr>
                <w:rFonts w:ascii="Arial MT"/>
                <w:spacing w:val="-2"/>
                <w:sz w:val="20"/>
              </w:rPr>
              <w:t>Article</w:t>
            </w:r>
          </w:p>
        </w:tc>
        <w:tc>
          <w:tcPr>
            <w:tcW w:w="15765" w:type="dxa"/>
          </w:tcPr>
          <w:p>
            <w:pPr>
              <w:pStyle w:val="TableParagraph"/>
              <w:spacing w:before="56"/>
              <w:rPr>
                <w:rFonts w:ascii="Arial"/>
                <w:b/>
                <w:sz w:val="20"/>
              </w:rPr>
            </w:pPr>
            <w:r>
              <w:rPr>
                <w:rFonts w:ascii="Arial"/>
                <w:b/>
                <w:sz w:val="20"/>
              </w:rPr>
              <w:t>Case</w:t>
            </w:r>
            <w:r>
              <w:rPr>
                <w:rFonts w:ascii="Arial"/>
                <w:b/>
                <w:spacing w:val="-1"/>
                <w:sz w:val="20"/>
              </w:rPr>
              <w:t> </w:t>
            </w:r>
            <w:r>
              <w:rPr>
                <w:rFonts w:ascii="Arial"/>
                <w:b/>
                <w:spacing w:val="-2"/>
                <w:sz w:val="20"/>
              </w:rPr>
              <w:t>report</w:t>
            </w:r>
          </w:p>
        </w:tc>
      </w:tr>
    </w:tbl>
    <w:p>
      <w:pPr>
        <w:spacing w:line="240" w:lineRule="auto" w:before="10"/>
        <w:rPr>
          <w:sz w:val="20"/>
        </w:rPr>
      </w:pPr>
    </w:p>
    <w:p>
      <w:pPr>
        <w:pStyle w:val="BodyText"/>
        <w:spacing w:before="1"/>
        <w:ind w:left="306"/>
      </w:pPr>
      <w:r>
        <w:rPr>
          <w:color w:val="000000"/>
          <w:highlight w:val="yellow"/>
        </w:rPr>
        <w:t>PART</w:t>
      </w:r>
      <w:r>
        <w:rPr>
          <w:color w:val="000000"/>
          <w:spacing w:val="-13"/>
          <w:highlight w:val="yellow"/>
        </w:rPr>
        <w:t> </w:t>
      </w:r>
      <w:r>
        <w:rPr>
          <w:color w:val="000000"/>
          <w:highlight w:val="yellow"/>
        </w:rPr>
        <w:t>1:</w:t>
      </w:r>
      <w:r>
        <w:rPr>
          <w:color w:val="000000"/>
          <w:spacing w:val="-12"/>
        </w:rPr>
        <w:t> </w:t>
      </w:r>
      <w:r>
        <w:rPr>
          <w:color w:val="000000"/>
          <w:spacing w:val="-2"/>
        </w:rPr>
        <w:t>Comments</w:t>
      </w:r>
    </w:p>
    <w:p>
      <w:pPr>
        <w:spacing w:line="240" w:lineRule="auto" w:before="4" w:after="1"/>
        <w:rPr>
          <w:b/>
          <w:sz w:val="19"/>
        </w:rPr>
      </w:pPr>
    </w:p>
    <w:tbl>
      <w:tblPr>
        <w:tblW w:w="0" w:type="auto"/>
        <w:jc w:val="left"/>
        <w:tblInd w:w="2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355"/>
        <w:gridCol w:w="9360"/>
        <w:gridCol w:w="6435"/>
      </w:tblGrid>
      <w:tr>
        <w:trPr>
          <w:trHeight w:val="959" w:hRule="atLeast"/>
        </w:trPr>
        <w:tc>
          <w:tcPr>
            <w:tcW w:w="5355" w:type="dxa"/>
          </w:tcPr>
          <w:p>
            <w:pPr>
              <w:pStyle w:val="TableParagraph"/>
              <w:ind w:left="0"/>
              <w:rPr>
                <w:sz w:val="18"/>
              </w:rPr>
            </w:pPr>
          </w:p>
        </w:tc>
        <w:tc>
          <w:tcPr>
            <w:tcW w:w="9360" w:type="dxa"/>
          </w:tcPr>
          <w:p>
            <w:pPr>
              <w:pStyle w:val="TableParagraph"/>
              <w:spacing w:line="228" w:lineRule="exact"/>
              <w:rPr>
                <w:b/>
                <w:sz w:val="20"/>
              </w:rPr>
            </w:pPr>
            <w:r>
              <w:rPr>
                <w:b/>
                <w:sz w:val="20"/>
              </w:rPr>
              <w:t>Reviewer’s</w:t>
            </w:r>
            <w:r>
              <w:rPr>
                <w:b/>
                <w:spacing w:val="-6"/>
                <w:sz w:val="20"/>
              </w:rPr>
              <w:t> </w:t>
            </w:r>
            <w:r>
              <w:rPr>
                <w:b/>
                <w:spacing w:val="-2"/>
                <w:sz w:val="20"/>
              </w:rPr>
              <w:t>comment</w:t>
            </w:r>
          </w:p>
          <w:p>
            <w:pPr>
              <w:pStyle w:val="TableParagraph"/>
              <w:ind w:right="136"/>
              <w:rPr>
                <w:b/>
                <w:sz w:val="20"/>
              </w:rPr>
            </w:pPr>
            <w:r>
              <w:rPr>
                <w:b/>
                <w:color w:val="000000"/>
                <w:sz w:val="20"/>
                <w:highlight w:val="yellow"/>
              </w:rPr>
              <w:t>Artificial</w:t>
            </w:r>
            <w:r>
              <w:rPr>
                <w:b/>
                <w:color w:val="000000"/>
                <w:spacing w:val="-5"/>
                <w:sz w:val="20"/>
                <w:highlight w:val="yellow"/>
              </w:rPr>
              <w:t> </w:t>
            </w:r>
            <w:r>
              <w:rPr>
                <w:b/>
                <w:color w:val="000000"/>
                <w:sz w:val="20"/>
                <w:highlight w:val="yellow"/>
              </w:rPr>
              <w:t>Intelligence</w:t>
            </w:r>
            <w:r>
              <w:rPr>
                <w:b/>
                <w:color w:val="000000"/>
                <w:spacing w:val="-5"/>
                <w:sz w:val="20"/>
                <w:highlight w:val="yellow"/>
              </w:rPr>
              <w:t> </w:t>
            </w:r>
            <w:r>
              <w:rPr>
                <w:b/>
                <w:color w:val="000000"/>
                <w:sz w:val="20"/>
                <w:highlight w:val="yellow"/>
              </w:rPr>
              <w:t>(AI)</w:t>
            </w:r>
            <w:r>
              <w:rPr>
                <w:b/>
                <w:color w:val="000000"/>
                <w:spacing w:val="-5"/>
                <w:sz w:val="20"/>
                <w:highlight w:val="yellow"/>
              </w:rPr>
              <w:t> </w:t>
            </w:r>
            <w:r>
              <w:rPr>
                <w:b/>
                <w:color w:val="000000"/>
                <w:sz w:val="20"/>
                <w:highlight w:val="yellow"/>
              </w:rPr>
              <w:t>generated</w:t>
            </w:r>
            <w:r>
              <w:rPr>
                <w:b/>
                <w:color w:val="000000"/>
                <w:spacing w:val="-5"/>
                <w:sz w:val="20"/>
                <w:highlight w:val="yellow"/>
              </w:rPr>
              <w:t> </w:t>
            </w:r>
            <w:r>
              <w:rPr>
                <w:b/>
                <w:color w:val="000000"/>
                <w:sz w:val="20"/>
                <w:highlight w:val="yellow"/>
              </w:rPr>
              <w:t>or</w:t>
            </w:r>
            <w:r>
              <w:rPr>
                <w:b/>
                <w:color w:val="000000"/>
                <w:spacing w:val="-5"/>
                <w:sz w:val="20"/>
                <w:highlight w:val="yellow"/>
              </w:rPr>
              <w:t> </w:t>
            </w:r>
            <w:r>
              <w:rPr>
                <w:b/>
                <w:color w:val="000000"/>
                <w:sz w:val="20"/>
                <w:highlight w:val="yellow"/>
              </w:rPr>
              <w:t>assisted</w:t>
            </w:r>
            <w:r>
              <w:rPr>
                <w:b/>
                <w:color w:val="000000"/>
                <w:spacing w:val="-5"/>
                <w:sz w:val="20"/>
                <w:highlight w:val="yellow"/>
              </w:rPr>
              <w:t> </w:t>
            </w:r>
            <w:r>
              <w:rPr>
                <w:b/>
                <w:color w:val="000000"/>
                <w:sz w:val="20"/>
                <w:highlight w:val="yellow"/>
              </w:rPr>
              <w:t>review</w:t>
            </w:r>
            <w:r>
              <w:rPr>
                <w:b/>
                <w:color w:val="000000"/>
                <w:spacing w:val="-5"/>
                <w:sz w:val="20"/>
                <w:highlight w:val="yellow"/>
              </w:rPr>
              <w:t> </w:t>
            </w:r>
            <w:r>
              <w:rPr>
                <w:b/>
                <w:color w:val="000000"/>
                <w:sz w:val="20"/>
                <w:highlight w:val="yellow"/>
              </w:rPr>
              <w:t>comments</w:t>
            </w:r>
            <w:r>
              <w:rPr>
                <w:b/>
                <w:color w:val="000000"/>
                <w:spacing w:val="-5"/>
                <w:sz w:val="20"/>
                <w:highlight w:val="yellow"/>
              </w:rPr>
              <w:t> </w:t>
            </w:r>
            <w:r>
              <w:rPr>
                <w:b/>
                <w:color w:val="000000"/>
                <w:sz w:val="20"/>
                <w:highlight w:val="yellow"/>
              </w:rPr>
              <w:t>are</w:t>
            </w:r>
            <w:r>
              <w:rPr>
                <w:b/>
                <w:color w:val="000000"/>
                <w:spacing w:val="-5"/>
                <w:sz w:val="20"/>
                <w:highlight w:val="yellow"/>
              </w:rPr>
              <w:t> </w:t>
            </w:r>
            <w:r>
              <w:rPr>
                <w:b/>
                <w:color w:val="000000"/>
                <w:sz w:val="20"/>
                <w:highlight w:val="yellow"/>
              </w:rPr>
              <w:t>strictly</w:t>
            </w:r>
            <w:r>
              <w:rPr>
                <w:b/>
                <w:color w:val="000000"/>
                <w:spacing w:val="-5"/>
                <w:sz w:val="20"/>
                <w:highlight w:val="yellow"/>
              </w:rPr>
              <w:t> </w:t>
            </w:r>
            <w:r>
              <w:rPr>
                <w:b/>
                <w:color w:val="000000"/>
                <w:sz w:val="20"/>
                <w:highlight w:val="yellow"/>
              </w:rPr>
              <w:t>prohibited</w:t>
            </w:r>
            <w:r>
              <w:rPr>
                <w:b/>
                <w:color w:val="000000"/>
                <w:spacing w:val="-5"/>
                <w:sz w:val="20"/>
                <w:highlight w:val="yellow"/>
              </w:rPr>
              <w:t> </w:t>
            </w:r>
            <w:r>
              <w:rPr>
                <w:b/>
                <w:color w:val="000000"/>
                <w:sz w:val="20"/>
                <w:highlight w:val="yellow"/>
              </w:rPr>
              <w:t>during</w:t>
            </w:r>
            <w:r>
              <w:rPr>
                <w:b/>
                <w:color w:val="000000"/>
                <w:spacing w:val="-5"/>
                <w:sz w:val="20"/>
                <w:highlight w:val="yellow"/>
              </w:rPr>
              <w:t> </w:t>
            </w:r>
            <w:r>
              <w:rPr>
                <w:b/>
                <w:color w:val="000000"/>
                <w:sz w:val="20"/>
                <w:highlight w:val="yellow"/>
              </w:rPr>
              <w:t>peer</w:t>
            </w:r>
            <w:r>
              <w:rPr>
                <w:b/>
                <w:color w:val="000000"/>
                <w:sz w:val="20"/>
              </w:rPr>
              <w:t> </w:t>
            </w:r>
            <w:r>
              <w:rPr>
                <w:b/>
                <w:color w:val="000000"/>
                <w:spacing w:val="-2"/>
                <w:sz w:val="20"/>
                <w:highlight w:val="yellow"/>
              </w:rPr>
              <w:t>review.</w:t>
            </w:r>
          </w:p>
        </w:tc>
        <w:tc>
          <w:tcPr>
            <w:tcW w:w="6435" w:type="dxa"/>
          </w:tcPr>
          <w:p>
            <w:pPr>
              <w:pStyle w:val="TableParagraph"/>
              <w:spacing w:line="252" w:lineRule="auto" w:before="9"/>
              <w:ind w:right="832"/>
              <w:rPr>
                <w:sz w:val="20"/>
              </w:rPr>
            </w:pPr>
            <w:r>
              <w:rPr>
                <w:b/>
                <w:sz w:val="20"/>
              </w:rPr>
              <w:t>Author’s</w:t>
            </w:r>
            <w:r>
              <w:rPr>
                <w:b/>
                <w:spacing w:val="-6"/>
                <w:sz w:val="20"/>
              </w:rPr>
              <w:t> </w:t>
            </w:r>
            <w:r>
              <w:rPr>
                <w:b/>
                <w:sz w:val="20"/>
              </w:rPr>
              <w:t>Feedback</w:t>
            </w:r>
            <w:r>
              <w:rPr>
                <w:b/>
                <w:spacing w:val="-6"/>
                <w:sz w:val="20"/>
              </w:rPr>
              <w:t> </w:t>
            </w:r>
            <w:r>
              <w:rPr>
                <w:sz w:val="20"/>
              </w:rPr>
              <w:t>(It</w:t>
            </w:r>
            <w:r>
              <w:rPr>
                <w:spacing w:val="-6"/>
                <w:sz w:val="20"/>
              </w:rPr>
              <w:t> </w:t>
            </w:r>
            <w:r>
              <w:rPr>
                <w:sz w:val="20"/>
              </w:rPr>
              <w:t>is</w:t>
            </w:r>
            <w:r>
              <w:rPr>
                <w:spacing w:val="-6"/>
                <w:sz w:val="20"/>
              </w:rPr>
              <w:t> </w:t>
            </w:r>
            <w:r>
              <w:rPr>
                <w:sz w:val="20"/>
              </w:rPr>
              <w:t>mandatory</w:t>
            </w:r>
            <w:r>
              <w:rPr>
                <w:spacing w:val="-6"/>
                <w:sz w:val="20"/>
              </w:rPr>
              <w:t> </w:t>
            </w:r>
            <w:r>
              <w:rPr>
                <w:sz w:val="20"/>
              </w:rPr>
              <w:t>that</w:t>
            </w:r>
            <w:r>
              <w:rPr>
                <w:spacing w:val="-6"/>
                <w:sz w:val="20"/>
              </w:rPr>
              <w:t> </w:t>
            </w:r>
            <w:r>
              <w:rPr>
                <w:sz w:val="20"/>
              </w:rPr>
              <w:t>authors</w:t>
            </w:r>
            <w:r>
              <w:rPr>
                <w:spacing w:val="-6"/>
                <w:sz w:val="20"/>
              </w:rPr>
              <w:t> </w:t>
            </w:r>
            <w:r>
              <w:rPr>
                <w:sz w:val="20"/>
              </w:rPr>
              <w:t>should</w:t>
            </w:r>
            <w:r>
              <w:rPr>
                <w:spacing w:val="-6"/>
                <w:sz w:val="20"/>
              </w:rPr>
              <w:t> </w:t>
            </w:r>
            <w:r>
              <w:rPr>
                <w:sz w:val="20"/>
              </w:rPr>
              <w:t>write his/her feedback here)</w:t>
            </w:r>
          </w:p>
        </w:tc>
      </w:tr>
      <w:tr>
        <w:trPr>
          <w:trHeight w:val="1604" w:hRule="atLeast"/>
        </w:trPr>
        <w:tc>
          <w:tcPr>
            <w:tcW w:w="5355" w:type="dxa"/>
          </w:tcPr>
          <w:p>
            <w:pPr>
              <w:pStyle w:val="TableParagraph"/>
              <w:spacing w:before="9"/>
              <w:ind w:left="472" w:right="190"/>
              <w:rPr>
                <w:b/>
                <w:sz w:val="20"/>
              </w:rPr>
            </w:pPr>
            <w:r>
              <w:rPr>
                <w:b/>
                <w:sz w:val="20"/>
              </w:rPr>
              <w:t>Please</w:t>
            </w:r>
            <w:r>
              <w:rPr>
                <w:b/>
                <w:spacing w:val="-6"/>
                <w:sz w:val="20"/>
              </w:rPr>
              <w:t> </w:t>
            </w:r>
            <w:r>
              <w:rPr>
                <w:b/>
                <w:sz w:val="20"/>
              </w:rPr>
              <w:t>write</w:t>
            </w:r>
            <w:r>
              <w:rPr>
                <w:b/>
                <w:spacing w:val="-6"/>
                <w:sz w:val="20"/>
              </w:rPr>
              <w:t> </w:t>
            </w:r>
            <w:r>
              <w:rPr>
                <w:b/>
                <w:sz w:val="20"/>
              </w:rPr>
              <w:t>a</w:t>
            </w:r>
            <w:r>
              <w:rPr>
                <w:b/>
                <w:spacing w:val="-6"/>
                <w:sz w:val="20"/>
              </w:rPr>
              <w:t> </w:t>
            </w:r>
            <w:r>
              <w:rPr>
                <w:b/>
                <w:sz w:val="20"/>
              </w:rPr>
              <w:t>few</w:t>
            </w:r>
            <w:r>
              <w:rPr>
                <w:b/>
                <w:spacing w:val="-6"/>
                <w:sz w:val="20"/>
              </w:rPr>
              <w:t> </w:t>
            </w:r>
            <w:r>
              <w:rPr>
                <w:b/>
                <w:sz w:val="20"/>
              </w:rPr>
              <w:t>sentences</w:t>
            </w:r>
            <w:r>
              <w:rPr>
                <w:b/>
                <w:spacing w:val="-6"/>
                <w:sz w:val="20"/>
              </w:rPr>
              <w:t> </w:t>
            </w:r>
            <w:r>
              <w:rPr>
                <w:b/>
                <w:sz w:val="20"/>
              </w:rPr>
              <w:t>regarding</w:t>
            </w:r>
            <w:r>
              <w:rPr>
                <w:b/>
                <w:spacing w:val="-6"/>
                <w:sz w:val="20"/>
              </w:rPr>
              <w:t> </w:t>
            </w:r>
            <w:r>
              <w:rPr>
                <w:b/>
                <w:sz w:val="20"/>
              </w:rPr>
              <w:t>the</w:t>
            </w:r>
            <w:r>
              <w:rPr>
                <w:b/>
                <w:spacing w:val="-6"/>
                <w:sz w:val="20"/>
              </w:rPr>
              <w:t> </w:t>
            </w:r>
            <w:r>
              <w:rPr>
                <w:b/>
                <w:sz w:val="20"/>
              </w:rPr>
              <w:t>importance of this manuscript for the scientific community. A minimum of 3-4 sentences may be required for this </w:t>
            </w:r>
            <w:r>
              <w:rPr>
                <w:b/>
                <w:spacing w:val="-2"/>
                <w:sz w:val="20"/>
              </w:rPr>
              <w:t>part.</w:t>
            </w:r>
          </w:p>
        </w:tc>
        <w:tc>
          <w:tcPr>
            <w:tcW w:w="9360" w:type="dxa"/>
          </w:tcPr>
          <w:p>
            <w:pPr>
              <w:pStyle w:val="TableParagraph"/>
              <w:spacing w:before="9"/>
              <w:ind w:right="136"/>
              <w:rPr>
                <w:sz w:val="20"/>
              </w:rPr>
            </w:pPr>
            <w:r>
              <w:rPr>
                <w:sz w:val="20"/>
              </w:rPr>
              <w:t>This manuscript presents a rare and clinically significant case of cervicothoracic cellulitis complicated by descending mediastinitis in a diabetic patient. Its importance lies in highlighting the diagnostic challenges, rapid disease progression, and the critical role of early surgical intervention and reconstructive techniques in patient survival.</w:t>
            </w:r>
            <w:r>
              <w:rPr>
                <w:spacing w:val="-3"/>
                <w:sz w:val="20"/>
              </w:rPr>
              <w:t> </w:t>
            </w:r>
            <w:r>
              <w:rPr>
                <w:sz w:val="20"/>
              </w:rPr>
              <w:t>By</w:t>
            </w:r>
            <w:r>
              <w:rPr>
                <w:spacing w:val="-3"/>
                <w:sz w:val="20"/>
              </w:rPr>
              <w:t> </w:t>
            </w:r>
            <w:r>
              <w:rPr>
                <w:sz w:val="20"/>
              </w:rPr>
              <w:t>documenting</w:t>
            </w:r>
            <w:r>
              <w:rPr>
                <w:spacing w:val="-3"/>
                <w:sz w:val="20"/>
              </w:rPr>
              <w:t> </w:t>
            </w:r>
            <w:r>
              <w:rPr>
                <w:sz w:val="20"/>
              </w:rPr>
              <w:t>the</w:t>
            </w:r>
            <w:r>
              <w:rPr>
                <w:spacing w:val="-3"/>
                <w:sz w:val="20"/>
              </w:rPr>
              <w:t> </w:t>
            </w:r>
            <w:r>
              <w:rPr>
                <w:sz w:val="20"/>
              </w:rPr>
              <w:t>successful</w:t>
            </w:r>
            <w:r>
              <w:rPr>
                <w:spacing w:val="-3"/>
                <w:sz w:val="20"/>
              </w:rPr>
              <w:t> </w:t>
            </w:r>
            <w:r>
              <w:rPr>
                <w:sz w:val="20"/>
              </w:rPr>
              <w:t>use</w:t>
            </w:r>
            <w:r>
              <w:rPr>
                <w:spacing w:val="-3"/>
                <w:sz w:val="20"/>
              </w:rPr>
              <w:t> </w:t>
            </w:r>
            <w:r>
              <w:rPr>
                <w:sz w:val="20"/>
              </w:rPr>
              <w:t>of</w:t>
            </w:r>
            <w:r>
              <w:rPr>
                <w:spacing w:val="-3"/>
                <w:sz w:val="20"/>
              </w:rPr>
              <w:t> </w:t>
            </w:r>
            <w:r>
              <w:rPr>
                <w:sz w:val="20"/>
              </w:rPr>
              <w:t>the</w:t>
            </w:r>
            <w:r>
              <w:rPr>
                <w:spacing w:val="-3"/>
                <w:sz w:val="20"/>
              </w:rPr>
              <w:t> </w:t>
            </w:r>
            <w:r>
              <w:rPr>
                <w:sz w:val="20"/>
              </w:rPr>
              <w:t>pedicled</w:t>
            </w:r>
            <w:r>
              <w:rPr>
                <w:spacing w:val="-3"/>
                <w:sz w:val="20"/>
              </w:rPr>
              <w:t> </w:t>
            </w:r>
            <w:r>
              <w:rPr>
                <w:sz w:val="20"/>
              </w:rPr>
              <w:t>pectoralis</w:t>
            </w:r>
            <w:r>
              <w:rPr>
                <w:spacing w:val="-3"/>
                <w:sz w:val="20"/>
              </w:rPr>
              <w:t> </w:t>
            </w:r>
            <w:r>
              <w:rPr>
                <w:sz w:val="20"/>
              </w:rPr>
              <w:t>major</w:t>
            </w:r>
            <w:r>
              <w:rPr>
                <w:spacing w:val="-3"/>
                <w:sz w:val="20"/>
              </w:rPr>
              <w:t> </w:t>
            </w:r>
            <w:r>
              <w:rPr>
                <w:sz w:val="20"/>
              </w:rPr>
              <w:t>muscle</w:t>
            </w:r>
            <w:r>
              <w:rPr>
                <w:spacing w:val="-3"/>
                <w:sz w:val="20"/>
              </w:rPr>
              <w:t> </w:t>
            </w:r>
            <w:r>
              <w:rPr>
                <w:sz w:val="20"/>
              </w:rPr>
              <w:t>flap</w:t>
            </w:r>
            <w:r>
              <w:rPr>
                <w:spacing w:val="-3"/>
                <w:sz w:val="20"/>
              </w:rPr>
              <w:t> </w:t>
            </w:r>
            <w:r>
              <w:rPr>
                <w:sz w:val="20"/>
              </w:rPr>
              <w:t>in</w:t>
            </w:r>
            <w:r>
              <w:rPr>
                <w:spacing w:val="-3"/>
                <w:sz w:val="20"/>
              </w:rPr>
              <w:t> </w:t>
            </w:r>
            <w:r>
              <w:rPr>
                <w:sz w:val="20"/>
              </w:rPr>
              <w:t>extensive</w:t>
            </w:r>
            <w:r>
              <w:rPr>
                <w:spacing w:val="-3"/>
                <w:sz w:val="20"/>
              </w:rPr>
              <w:t> </w:t>
            </w:r>
            <w:r>
              <w:rPr>
                <w:sz w:val="20"/>
              </w:rPr>
              <w:t>tissue</w:t>
            </w:r>
            <w:r>
              <w:rPr>
                <w:spacing w:val="-3"/>
                <w:sz w:val="20"/>
              </w:rPr>
              <w:t> </w:t>
            </w:r>
            <w:r>
              <w:rPr>
                <w:sz w:val="20"/>
              </w:rPr>
              <w:t>loss, the report adds valuable insight for surgeons and clinicians managing similar cases. It reinforces the need for a</w:t>
            </w:r>
          </w:p>
          <w:p>
            <w:pPr>
              <w:pStyle w:val="TableParagraph"/>
              <w:spacing w:line="206" w:lineRule="exact" w:before="14"/>
              <w:ind w:right="136"/>
              <w:rPr>
                <w:sz w:val="20"/>
              </w:rPr>
            </w:pPr>
            <w:r>
              <w:rPr>
                <w:sz w:val="20"/>
              </w:rPr>
              <w:t>multidisciplinary</w:t>
            </w:r>
            <w:r>
              <w:rPr>
                <w:spacing w:val="-4"/>
                <w:sz w:val="20"/>
              </w:rPr>
              <w:t> </w:t>
            </w:r>
            <w:r>
              <w:rPr>
                <w:sz w:val="20"/>
              </w:rPr>
              <w:t>approach</w:t>
            </w:r>
            <w:r>
              <w:rPr>
                <w:spacing w:val="-4"/>
                <w:sz w:val="20"/>
              </w:rPr>
              <w:t> </w:t>
            </w:r>
            <w:r>
              <w:rPr>
                <w:sz w:val="20"/>
              </w:rPr>
              <w:t>in</w:t>
            </w:r>
            <w:r>
              <w:rPr>
                <w:spacing w:val="-4"/>
                <w:sz w:val="20"/>
              </w:rPr>
              <w:t> </w:t>
            </w:r>
            <w:r>
              <w:rPr>
                <w:sz w:val="20"/>
              </w:rPr>
              <w:t>treating</w:t>
            </w:r>
            <w:r>
              <w:rPr>
                <w:spacing w:val="-4"/>
                <w:sz w:val="20"/>
              </w:rPr>
              <w:t> </w:t>
            </w:r>
            <w:r>
              <w:rPr>
                <w:sz w:val="20"/>
              </w:rPr>
              <w:t>severe</w:t>
            </w:r>
            <w:r>
              <w:rPr>
                <w:spacing w:val="-4"/>
                <w:sz w:val="20"/>
              </w:rPr>
              <w:t> </w:t>
            </w:r>
            <w:r>
              <w:rPr>
                <w:sz w:val="20"/>
              </w:rPr>
              <w:t>deep</w:t>
            </w:r>
            <w:r>
              <w:rPr>
                <w:spacing w:val="-4"/>
                <w:sz w:val="20"/>
              </w:rPr>
              <w:t> </w:t>
            </w:r>
            <w:r>
              <w:rPr>
                <w:sz w:val="20"/>
              </w:rPr>
              <w:t>neck</w:t>
            </w:r>
            <w:r>
              <w:rPr>
                <w:spacing w:val="-4"/>
                <w:sz w:val="20"/>
              </w:rPr>
              <w:t> </w:t>
            </w:r>
            <w:r>
              <w:rPr>
                <w:sz w:val="20"/>
              </w:rPr>
              <w:t>infections,</w:t>
            </w:r>
            <w:r>
              <w:rPr>
                <w:spacing w:val="-4"/>
                <w:sz w:val="20"/>
              </w:rPr>
              <w:t> </w:t>
            </w:r>
            <w:r>
              <w:rPr>
                <w:sz w:val="20"/>
              </w:rPr>
              <w:t>particularly</w:t>
            </w:r>
            <w:r>
              <w:rPr>
                <w:spacing w:val="-4"/>
                <w:sz w:val="20"/>
              </w:rPr>
              <w:t> </w:t>
            </w:r>
            <w:r>
              <w:rPr>
                <w:sz w:val="20"/>
              </w:rPr>
              <w:t>in</w:t>
            </w:r>
            <w:r>
              <w:rPr>
                <w:spacing w:val="-4"/>
                <w:sz w:val="20"/>
              </w:rPr>
              <w:t> </w:t>
            </w:r>
            <w:r>
              <w:rPr>
                <w:sz w:val="20"/>
              </w:rPr>
              <w:t>immunocompromised </w:t>
            </w:r>
            <w:r>
              <w:rPr>
                <w:spacing w:val="-2"/>
                <w:sz w:val="20"/>
              </w:rPr>
              <w:t>populations.</w:t>
            </w:r>
          </w:p>
        </w:tc>
        <w:tc>
          <w:tcPr>
            <w:tcW w:w="6435" w:type="dxa"/>
          </w:tcPr>
          <w:p>
            <w:pPr>
              <w:pStyle w:val="TableParagraph"/>
              <w:spacing w:before="9"/>
              <w:ind w:left="7" w:right="45"/>
              <w:rPr>
                <w:sz w:val="18"/>
              </w:rPr>
            </w:pPr>
            <w:r>
              <w:rPr>
                <w:sz w:val="18"/>
              </w:rPr>
              <w:t>This</w:t>
            </w:r>
            <w:r>
              <w:rPr>
                <w:spacing w:val="-4"/>
                <w:sz w:val="18"/>
              </w:rPr>
              <w:t> </w:t>
            </w:r>
            <w:r>
              <w:rPr>
                <w:sz w:val="18"/>
              </w:rPr>
              <w:t>manuscript</w:t>
            </w:r>
            <w:r>
              <w:rPr>
                <w:spacing w:val="-4"/>
                <w:sz w:val="18"/>
              </w:rPr>
              <w:t> </w:t>
            </w:r>
            <w:r>
              <w:rPr>
                <w:sz w:val="18"/>
              </w:rPr>
              <w:t>highlights</w:t>
            </w:r>
            <w:r>
              <w:rPr>
                <w:spacing w:val="-4"/>
                <w:sz w:val="18"/>
              </w:rPr>
              <w:t> </w:t>
            </w:r>
            <w:r>
              <w:rPr>
                <w:sz w:val="18"/>
              </w:rPr>
              <w:t>the</w:t>
            </w:r>
            <w:r>
              <w:rPr>
                <w:spacing w:val="-4"/>
                <w:sz w:val="18"/>
              </w:rPr>
              <w:t> </w:t>
            </w:r>
            <w:r>
              <w:rPr>
                <w:sz w:val="18"/>
              </w:rPr>
              <w:t>urgency</w:t>
            </w:r>
            <w:r>
              <w:rPr>
                <w:spacing w:val="-4"/>
                <w:sz w:val="18"/>
              </w:rPr>
              <w:t> </w:t>
            </w:r>
            <w:r>
              <w:rPr>
                <w:sz w:val="18"/>
              </w:rPr>
              <w:t>of</w:t>
            </w:r>
            <w:r>
              <w:rPr>
                <w:spacing w:val="-4"/>
                <w:sz w:val="18"/>
              </w:rPr>
              <w:t> </w:t>
            </w:r>
            <w:r>
              <w:rPr>
                <w:sz w:val="18"/>
              </w:rPr>
              <w:t>diagnosis</w:t>
            </w:r>
            <w:r>
              <w:rPr>
                <w:spacing w:val="-4"/>
                <w:sz w:val="18"/>
              </w:rPr>
              <w:t> </w:t>
            </w:r>
            <w:r>
              <w:rPr>
                <w:sz w:val="18"/>
              </w:rPr>
              <w:t>and</w:t>
            </w:r>
            <w:r>
              <w:rPr>
                <w:spacing w:val="-4"/>
                <w:sz w:val="18"/>
              </w:rPr>
              <w:t> </w:t>
            </w:r>
            <w:r>
              <w:rPr>
                <w:sz w:val="18"/>
              </w:rPr>
              <w:t>surgical</w:t>
            </w:r>
            <w:r>
              <w:rPr>
                <w:spacing w:val="-4"/>
                <w:sz w:val="18"/>
              </w:rPr>
              <w:t> </w:t>
            </w:r>
            <w:r>
              <w:rPr>
                <w:sz w:val="18"/>
              </w:rPr>
              <w:t>treatment</w:t>
            </w:r>
            <w:r>
              <w:rPr>
                <w:spacing w:val="-4"/>
                <w:sz w:val="18"/>
              </w:rPr>
              <w:t> </w:t>
            </w:r>
            <w:r>
              <w:rPr>
                <w:sz w:val="18"/>
              </w:rPr>
              <w:t>for</w:t>
            </w:r>
            <w:r>
              <w:rPr>
                <w:spacing w:val="-4"/>
                <w:sz w:val="18"/>
              </w:rPr>
              <w:t> </w:t>
            </w:r>
            <w:r>
              <w:rPr>
                <w:sz w:val="18"/>
              </w:rPr>
              <w:t>cervical and thoracic cellulitis, which can spread very quickly to nearby structures of great importance, particularly the mediastinum, esophagus, and thoracic aorta, if left untreated, causing complications that can be fatal.</w:t>
            </w:r>
          </w:p>
        </w:tc>
      </w:tr>
      <w:tr>
        <w:trPr>
          <w:trHeight w:val="1259" w:hRule="atLeast"/>
        </w:trPr>
        <w:tc>
          <w:tcPr>
            <w:tcW w:w="5355" w:type="dxa"/>
          </w:tcPr>
          <w:p>
            <w:pPr>
              <w:pStyle w:val="TableParagraph"/>
              <w:spacing w:line="225" w:lineRule="exact"/>
              <w:ind w:left="472"/>
              <w:rPr>
                <w:b/>
                <w:sz w:val="20"/>
              </w:rPr>
            </w:pPr>
            <w:r>
              <w:rPr>
                <w:b/>
                <w:sz w:val="20"/>
              </w:rPr>
              <w:t>Is</w:t>
            </w:r>
            <w:r>
              <w:rPr>
                <w:b/>
                <w:spacing w:val="-1"/>
                <w:sz w:val="20"/>
              </w:rPr>
              <w:t> </w:t>
            </w:r>
            <w:r>
              <w:rPr>
                <w:b/>
                <w:sz w:val="20"/>
              </w:rPr>
              <w:t>the</w:t>
            </w:r>
            <w:r>
              <w:rPr>
                <w:b/>
                <w:spacing w:val="-1"/>
                <w:sz w:val="20"/>
              </w:rPr>
              <w:t> </w:t>
            </w:r>
            <w:r>
              <w:rPr>
                <w:b/>
                <w:sz w:val="20"/>
              </w:rPr>
              <w:t>title</w:t>
            </w:r>
            <w:r>
              <w:rPr>
                <w:b/>
                <w:spacing w:val="-1"/>
                <w:sz w:val="20"/>
              </w:rPr>
              <w:t> </w:t>
            </w:r>
            <w:r>
              <w:rPr>
                <w:b/>
                <w:sz w:val="20"/>
              </w:rPr>
              <w:t>of</w:t>
            </w:r>
            <w:r>
              <w:rPr>
                <w:b/>
                <w:spacing w:val="-1"/>
                <w:sz w:val="20"/>
              </w:rPr>
              <w:t> </w:t>
            </w:r>
            <w:r>
              <w:rPr>
                <w:b/>
                <w:sz w:val="20"/>
              </w:rPr>
              <w:t>the</w:t>
            </w:r>
            <w:r>
              <w:rPr>
                <w:b/>
                <w:spacing w:val="-1"/>
                <w:sz w:val="20"/>
              </w:rPr>
              <w:t> </w:t>
            </w:r>
            <w:r>
              <w:rPr>
                <w:b/>
                <w:sz w:val="20"/>
              </w:rPr>
              <w:t>article</w:t>
            </w:r>
            <w:r>
              <w:rPr>
                <w:b/>
                <w:spacing w:val="-1"/>
                <w:sz w:val="20"/>
              </w:rPr>
              <w:t> </w:t>
            </w:r>
            <w:r>
              <w:rPr>
                <w:b/>
                <w:spacing w:val="-2"/>
                <w:sz w:val="20"/>
              </w:rPr>
              <w:t>suitable?</w:t>
            </w:r>
          </w:p>
          <w:p>
            <w:pPr>
              <w:pStyle w:val="TableParagraph"/>
              <w:spacing w:line="225" w:lineRule="exact"/>
              <w:ind w:left="472"/>
              <w:rPr>
                <w:b/>
                <w:sz w:val="20"/>
              </w:rPr>
            </w:pPr>
            <w:r>
              <w:rPr>
                <w:b/>
                <w:sz w:val="20"/>
              </w:rPr>
              <w:t>(If</w:t>
            </w:r>
            <w:r>
              <w:rPr>
                <w:b/>
                <w:spacing w:val="-1"/>
                <w:sz w:val="20"/>
              </w:rPr>
              <w:t> </w:t>
            </w:r>
            <w:r>
              <w:rPr>
                <w:b/>
                <w:sz w:val="20"/>
              </w:rPr>
              <w:t>not</w:t>
            </w:r>
            <w:r>
              <w:rPr>
                <w:b/>
                <w:spacing w:val="-1"/>
                <w:sz w:val="20"/>
              </w:rPr>
              <w:t> </w:t>
            </w:r>
            <w:r>
              <w:rPr>
                <w:b/>
                <w:sz w:val="20"/>
              </w:rPr>
              <w:t>please</w:t>
            </w:r>
            <w:r>
              <w:rPr>
                <w:b/>
                <w:spacing w:val="-1"/>
                <w:sz w:val="20"/>
              </w:rPr>
              <w:t> </w:t>
            </w:r>
            <w:r>
              <w:rPr>
                <w:b/>
                <w:sz w:val="20"/>
              </w:rPr>
              <w:t>suggest</w:t>
            </w:r>
            <w:r>
              <w:rPr>
                <w:b/>
                <w:spacing w:val="-1"/>
                <w:sz w:val="20"/>
              </w:rPr>
              <w:t> </w:t>
            </w:r>
            <w:r>
              <w:rPr>
                <w:b/>
                <w:sz w:val="20"/>
              </w:rPr>
              <w:t>an</w:t>
            </w:r>
            <w:r>
              <w:rPr>
                <w:b/>
                <w:spacing w:val="-1"/>
                <w:sz w:val="20"/>
              </w:rPr>
              <w:t> </w:t>
            </w:r>
            <w:r>
              <w:rPr>
                <w:b/>
                <w:sz w:val="20"/>
              </w:rPr>
              <w:t>alternative</w:t>
            </w:r>
            <w:r>
              <w:rPr>
                <w:b/>
                <w:spacing w:val="-1"/>
                <w:sz w:val="20"/>
              </w:rPr>
              <w:t> </w:t>
            </w:r>
            <w:r>
              <w:rPr>
                <w:b/>
                <w:spacing w:val="-2"/>
                <w:sz w:val="20"/>
              </w:rPr>
              <w:t>title)</w:t>
            </w:r>
          </w:p>
        </w:tc>
        <w:tc>
          <w:tcPr>
            <w:tcW w:w="9360" w:type="dxa"/>
          </w:tcPr>
          <w:p>
            <w:pPr>
              <w:pStyle w:val="TableParagraph"/>
              <w:spacing w:line="225" w:lineRule="exact"/>
              <w:rPr>
                <w:sz w:val="20"/>
              </w:rPr>
            </w:pPr>
            <w:r>
              <w:rPr>
                <w:sz w:val="20"/>
              </w:rPr>
              <w:t>The</w:t>
            </w:r>
            <w:r>
              <w:rPr>
                <w:spacing w:val="-2"/>
                <w:sz w:val="20"/>
              </w:rPr>
              <w:t> </w:t>
            </w:r>
            <w:r>
              <w:rPr>
                <w:sz w:val="20"/>
              </w:rPr>
              <w:t>current</w:t>
            </w:r>
            <w:r>
              <w:rPr>
                <w:spacing w:val="-2"/>
                <w:sz w:val="20"/>
              </w:rPr>
              <w:t> </w:t>
            </w:r>
            <w:r>
              <w:rPr>
                <w:sz w:val="20"/>
              </w:rPr>
              <w:t>title</w:t>
            </w:r>
            <w:r>
              <w:rPr>
                <w:spacing w:val="-1"/>
                <w:sz w:val="20"/>
              </w:rPr>
              <w:t> </w:t>
            </w:r>
            <w:r>
              <w:rPr>
                <w:sz w:val="20"/>
              </w:rPr>
              <w:t>is</w:t>
            </w:r>
            <w:r>
              <w:rPr>
                <w:spacing w:val="-2"/>
                <w:sz w:val="20"/>
              </w:rPr>
              <w:t> </w:t>
            </w:r>
            <w:r>
              <w:rPr>
                <w:sz w:val="20"/>
              </w:rPr>
              <w:t>clear</w:t>
            </w:r>
            <w:r>
              <w:rPr>
                <w:spacing w:val="-1"/>
                <w:sz w:val="20"/>
              </w:rPr>
              <w:t> </w:t>
            </w:r>
            <w:r>
              <w:rPr>
                <w:sz w:val="20"/>
              </w:rPr>
              <w:t>and</w:t>
            </w:r>
            <w:r>
              <w:rPr>
                <w:spacing w:val="-2"/>
                <w:sz w:val="20"/>
              </w:rPr>
              <w:t> </w:t>
            </w:r>
            <w:r>
              <w:rPr>
                <w:sz w:val="20"/>
              </w:rPr>
              <w:t>appropriate.</w:t>
            </w:r>
            <w:r>
              <w:rPr>
                <w:spacing w:val="-1"/>
                <w:sz w:val="20"/>
              </w:rPr>
              <w:t> </w:t>
            </w:r>
            <w:r>
              <w:rPr>
                <w:sz w:val="20"/>
              </w:rPr>
              <w:t>However,</w:t>
            </w:r>
            <w:r>
              <w:rPr>
                <w:spacing w:val="-2"/>
                <w:sz w:val="20"/>
              </w:rPr>
              <w:t> </w:t>
            </w:r>
            <w:r>
              <w:rPr>
                <w:sz w:val="20"/>
              </w:rPr>
              <w:t>for</w:t>
            </w:r>
            <w:r>
              <w:rPr>
                <w:spacing w:val="-2"/>
                <w:sz w:val="20"/>
              </w:rPr>
              <w:t> </w:t>
            </w:r>
            <w:r>
              <w:rPr>
                <w:sz w:val="20"/>
              </w:rPr>
              <w:t>conciseness</w:t>
            </w:r>
            <w:r>
              <w:rPr>
                <w:spacing w:val="-1"/>
                <w:sz w:val="20"/>
              </w:rPr>
              <w:t> </w:t>
            </w:r>
            <w:r>
              <w:rPr>
                <w:sz w:val="20"/>
              </w:rPr>
              <w:t>and</w:t>
            </w:r>
            <w:r>
              <w:rPr>
                <w:spacing w:val="-2"/>
                <w:sz w:val="20"/>
              </w:rPr>
              <w:t> </w:t>
            </w:r>
            <w:r>
              <w:rPr>
                <w:sz w:val="20"/>
              </w:rPr>
              <w:t>impact,</w:t>
            </w:r>
            <w:r>
              <w:rPr>
                <w:spacing w:val="-1"/>
                <w:sz w:val="20"/>
              </w:rPr>
              <w:t> </w:t>
            </w:r>
            <w:r>
              <w:rPr>
                <w:sz w:val="20"/>
              </w:rPr>
              <w:t>you</w:t>
            </w:r>
            <w:r>
              <w:rPr>
                <w:spacing w:val="-2"/>
                <w:sz w:val="20"/>
              </w:rPr>
              <w:t> </w:t>
            </w:r>
            <w:r>
              <w:rPr>
                <w:sz w:val="20"/>
              </w:rPr>
              <w:t>may</w:t>
            </w:r>
            <w:r>
              <w:rPr>
                <w:spacing w:val="-1"/>
                <w:sz w:val="20"/>
              </w:rPr>
              <w:t> </w:t>
            </w:r>
            <w:r>
              <w:rPr>
                <w:spacing w:val="-2"/>
                <w:sz w:val="20"/>
              </w:rPr>
              <w:t>consider:</w:t>
            </w:r>
          </w:p>
          <w:p>
            <w:pPr>
              <w:pStyle w:val="TableParagraph"/>
              <w:spacing w:line="225" w:lineRule="exact"/>
              <w:rPr>
                <w:i/>
                <w:sz w:val="20"/>
              </w:rPr>
            </w:pPr>
            <w:r>
              <w:rPr>
                <w:i/>
                <w:sz w:val="20"/>
              </w:rPr>
              <w:t>“Descending</w:t>
            </w:r>
            <w:r>
              <w:rPr>
                <w:i/>
                <w:spacing w:val="-1"/>
                <w:sz w:val="20"/>
              </w:rPr>
              <w:t> </w:t>
            </w:r>
            <w:r>
              <w:rPr>
                <w:i/>
                <w:sz w:val="20"/>
              </w:rPr>
              <w:t>Mediastinitis</w:t>
            </w:r>
            <w:r>
              <w:rPr>
                <w:i/>
                <w:spacing w:val="-1"/>
                <w:sz w:val="20"/>
              </w:rPr>
              <w:t> </w:t>
            </w:r>
            <w:r>
              <w:rPr>
                <w:i/>
                <w:sz w:val="20"/>
              </w:rPr>
              <w:t>Secondary</w:t>
            </w:r>
            <w:r>
              <w:rPr>
                <w:i/>
                <w:spacing w:val="-1"/>
                <w:sz w:val="20"/>
              </w:rPr>
              <w:t> </w:t>
            </w:r>
            <w:r>
              <w:rPr>
                <w:i/>
                <w:sz w:val="20"/>
              </w:rPr>
              <w:t>to</w:t>
            </w:r>
            <w:r>
              <w:rPr>
                <w:i/>
                <w:spacing w:val="-1"/>
                <w:sz w:val="20"/>
              </w:rPr>
              <w:t> </w:t>
            </w:r>
            <w:r>
              <w:rPr>
                <w:i/>
                <w:sz w:val="20"/>
              </w:rPr>
              <w:t>Cervicothoracic</w:t>
            </w:r>
            <w:r>
              <w:rPr>
                <w:i/>
                <w:spacing w:val="-1"/>
                <w:sz w:val="20"/>
              </w:rPr>
              <w:t> </w:t>
            </w:r>
            <w:r>
              <w:rPr>
                <w:i/>
                <w:sz w:val="20"/>
              </w:rPr>
              <w:t>Cellulitis</w:t>
            </w:r>
            <w:r>
              <w:rPr>
                <w:i/>
                <w:spacing w:val="-1"/>
                <w:sz w:val="20"/>
              </w:rPr>
              <w:t> </w:t>
            </w:r>
            <w:r>
              <w:rPr>
                <w:i/>
                <w:sz w:val="20"/>
              </w:rPr>
              <w:t>in</w:t>
            </w:r>
            <w:r>
              <w:rPr>
                <w:i/>
                <w:spacing w:val="-1"/>
                <w:sz w:val="20"/>
              </w:rPr>
              <w:t> </w:t>
            </w:r>
            <w:r>
              <w:rPr>
                <w:i/>
                <w:sz w:val="20"/>
              </w:rPr>
              <w:t>a</w:t>
            </w:r>
            <w:r>
              <w:rPr>
                <w:i/>
                <w:spacing w:val="-1"/>
                <w:sz w:val="20"/>
              </w:rPr>
              <w:t> </w:t>
            </w:r>
            <w:r>
              <w:rPr>
                <w:i/>
                <w:sz w:val="20"/>
              </w:rPr>
              <w:t>Diabetic</w:t>
            </w:r>
            <w:r>
              <w:rPr>
                <w:i/>
                <w:spacing w:val="-1"/>
                <w:sz w:val="20"/>
              </w:rPr>
              <w:t> </w:t>
            </w:r>
            <w:r>
              <w:rPr>
                <w:i/>
                <w:sz w:val="20"/>
              </w:rPr>
              <w:t>Patient:</w:t>
            </w:r>
            <w:r>
              <w:rPr>
                <w:i/>
                <w:spacing w:val="-1"/>
                <w:sz w:val="20"/>
              </w:rPr>
              <w:t> </w:t>
            </w:r>
            <w:r>
              <w:rPr>
                <w:i/>
                <w:sz w:val="20"/>
              </w:rPr>
              <w:t>A</w:t>
            </w:r>
            <w:r>
              <w:rPr>
                <w:i/>
                <w:spacing w:val="-1"/>
                <w:sz w:val="20"/>
              </w:rPr>
              <w:t> </w:t>
            </w:r>
            <w:r>
              <w:rPr>
                <w:i/>
                <w:sz w:val="20"/>
              </w:rPr>
              <w:t>Case</w:t>
            </w:r>
            <w:r>
              <w:rPr>
                <w:i/>
                <w:spacing w:val="-1"/>
                <w:sz w:val="20"/>
              </w:rPr>
              <w:t> </w:t>
            </w:r>
            <w:r>
              <w:rPr>
                <w:i/>
                <w:spacing w:val="-2"/>
                <w:sz w:val="20"/>
              </w:rPr>
              <w:t>Report”</w:t>
            </w:r>
          </w:p>
        </w:tc>
        <w:tc>
          <w:tcPr>
            <w:tcW w:w="6435" w:type="dxa"/>
          </w:tcPr>
          <w:p>
            <w:pPr>
              <w:pStyle w:val="TableParagraph"/>
              <w:spacing w:before="9"/>
              <w:ind w:left="7" w:right="45"/>
              <w:rPr>
                <w:sz w:val="18"/>
              </w:rPr>
            </w:pPr>
            <w:r>
              <w:rPr>
                <w:sz w:val="18"/>
              </w:rPr>
              <w:t>I have a new suggested title “Cervicothoracic Cellulitis Complicated by Descending Mediastinitis</w:t>
            </w:r>
            <w:r>
              <w:rPr>
                <w:spacing w:val="-5"/>
                <w:sz w:val="18"/>
              </w:rPr>
              <w:t> </w:t>
            </w:r>
            <w:r>
              <w:rPr>
                <w:sz w:val="18"/>
              </w:rPr>
              <w:t>in</w:t>
            </w:r>
            <w:r>
              <w:rPr>
                <w:spacing w:val="-5"/>
                <w:sz w:val="18"/>
              </w:rPr>
              <w:t> </w:t>
            </w:r>
            <w:r>
              <w:rPr>
                <w:sz w:val="18"/>
              </w:rPr>
              <w:t>a</w:t>
            </w:r>
            <w:r>
              <w:rPr>
                <w:spacing w:val="-5"/>
                <w:sz w:val="18"/>
              </w:rPr>
              <w:t> </w:t>
            </w:r>
            <w:r>
              <w:rPr>
                <w:sz w:val="18"/>
              </w:rPr>
              <w:t>Diabetic</w:t>
            </w:r>
            <w:r>
              <w:rPr>
                <w:spacing w:val="-5"/>
                <w:sz w:val="18"/>
              </w:rPr>
              <w:t> </w:t>
            </w:r>
            <w:r>
              <w:rPr>
                <w:sz w:val="18"/>
              </w:rPr>
              <w:t>Patient:</w:t>
            </w:r>
            <w:r>
              <w:rPr>
                <w:spacing w:val="-5"/>
                <w:sz w:val="18"/>
              </w:rPr>
              <w:t> </w:t>
            </w:r>
            <w:r>
              <w:rPr>
                <w:sz w:val="18"/>
              </w:rPr>
              <w:t>Multidisciplinary</w:t>
            </w:r>
            <w:r>
              <w:rPr>
                <w:spacing w:val="-5"/>
                <w:sz w:val="18"/>
              </w:rPr>
              <w:t> </w:t>
            </w:r>
            <w:r>
              <w:rPr>
                <w:sz w:val="18"/>
              </w:rPr>
              <w:t>Management</w:t>
            </w:r>
            <w:r>
              <w:rPr>
                <w:spacing w:val="-5"/>
                <w:sz w:val="18"/>
              </w:rPr>
              <w:t> </w:t>
            </w:r>
            <w:r>
              <w:rPr>
                <w:sz w:val="18"/>
              </w:rPr>
              <w:t>and</w:t>
            </w:r>
            <w:r>
              <w:rPr>
                <w:spacing w:val="-5"/>
                <w:sz w:val="18"/>
              </w:rPr>
              <w:t> </w:t>
            </w:r>
            <w:r>
              <w:rPr>
                <w:sz w:val="18"/>
              </w:rPr>
              <w:t>Reconstructive Surgery Using a Pedicled Pectoralis Major Muscle Flap: case report”</w:t>
            </w:r>
          </w:p>
        </w:tc>
      </w:tr>
      <w:tr>
        <w:trPr>
          <w:trHeight w:val="1259" w:hRule="atLeast"/>
        </w:trPr>
        <w:tc>
          <w:tcPr>
            <w:tcW w:w="5355" w:type="dxa"/>
          </w:tcPr>
          <w:p>
            <w:pPr>
              <w:pStyle w:val="TableParagraph"/>
              <w:spacing w:before="9"/>
              <w:ind w:left="472" w:right="190"/>
              <w:rPr>
                <w:b/>
                <w:sz w:val="20"/>
              </w:rPr>
            </w:pPr>
            <w:r>
              <w:rPr>
                <w:b/>
                <w:sz w:val="20"/>
              </w:rPr>
              <w:t>Is the abstract of the article comprehensive? Do you suggest</w:t>
            </w:r>
            <w:r>
              <w:rPr>
                <w:b/>
                <w:spacing w:val="-5"/>
                <w:sz w:val="20"/>
              </w:rPr>
              <w:t> </w:t>
            </w:r>
            <w:r>
              <w:rPr>
                <w:b/>
                <w:sz w:val="20"/>
              </w:rPr>
              <w:t>the</w:t>
            </w:r>
            <w:r>
              <w:rPr>
                <w:b/>
                <w:spacing w:val="-5"/>
                <w:sz w:val="20"/>
              </w:rPr>
              <w:t> </w:t>
            </w:r>
            <w:r>
              <w:rPr>
                <w:b/>
                <w:sz w:val="20"/>
              </w:rPr>
              <w:t>addition</w:t>
            </w:r>
            <w:r>
              <w:rPr>
                <w:b/>
                <w:spacing w:val="-5"/>
                <w:sz w:val="20"/>
              </w:rPr>
              <w:t> </w:t>
            </w:r>
            <w:r>
              <w:rPr>
                <w:b/>
                <w:sz w:val="20"/>
              </w:rPr>
              <w:t>(or</w:t>
            </w:r>
            <w:r>
              <w:rPr>
                <w:b/>
                <w:spacing w:val="-5"/>
                <w:sz w:val="20"/>
              </w:rPr>
              <w:t> </w:t>
            </w:r>
            <w:r>
              <w:rPr>
                <w:b/>
                <w:sz w:val="20"/>
              </w:rPr>
              <w:t>deletion)</w:t>
            </w:r>
            <w:r>
              <w:rPr>
                <w:b/>
                <w:spacing w:val="-5"/>
                <w:sz w:val="20"/>
              </w:rPr>
              <w:t> </w:t>
            </w:r>
            <w:r>
              <w:rPr>
                <w:b/>
                <w:sz w:val="20"/>
              </w:rPr>
              <w:t>of</w:t>
            </w:r>
            <w:r>
              <w:rPr>
                <w:b/>
                <w:spacing w:val="-5"/>
                <w:sz w:val="20"/>
              </w:rPr>
              <w:t> </w:t>
            </w:r>
            <w:r>
              <w:rPr>
                <w:b/>
                <w:sz w:val="20"/>
              </w:rPr>
              <w:t>some</w:t>
            </w:r>
            <w:r>
              <w:rPr>
                <w:b/>
                <w:spacing w:val="-5"/>
                <w:sz w:val="20"/>
              </w:rPr>
              <w:t> </w:t>
            </w:r>
            <w:r>
              <w:rPr>
                <w:b/>
                <w:sz w:val="20"/>
              </w:rPr>
              <w:t>points</w:t>
            </w:r>
            <w:r>
              <w:rPr>
                <w:b/>
                <w:spacing w:val="-5"/>
                <w:sz w:val="20"/>
              </w:rPr>
              <w:t> </w:t>
            </w:r>
            <w:r>
              <w:rPr>
                <w:b/>
                <w:sz w:val="20"/>
              </w:rPr>
              <w:t>in</w:t>
            </w:r>
            <w:r>
              <w:rPr>
                <w:b/>
                <w:spacing w:val="-5"/>
                <w:sz w:val="20"/>
              </w:rPr>
              <w:t> </w:t>
            </w:r>
            <w:r>
              <w:rPr>
                <w:b/>
                <w:sz w:val="20"/>
              </w:rPr>
              <w:t>this section? Please write your suggestions here.</w:t>
            </w:r>
          </w:p>
        </w:tc>
        <w:tc>
          <w:tcPr>
            <w:tcW w:w="9360" w:type="dxa"/>
          </w:tcPr>
          <w:p>
            <w:pPr>
              <w:pStyle w:val="TableParagraph"/>
              <w:spacing w:before="9"/>
              <w:ind w:right="109"/>
              <w:rPr>
                <w:sz w:val="20"/>
              </w:rPr>
            </w:pPr>
            <w:r>
              <w:rPr>
                <w:sz w:val="20"/>
              </w:rPr>
              <w:t>The abstract is comprehensive, well-structured, and provides essential details regarding the case, management, and</w:t>
            </w:r>
            <w:r>
              <w:rPr>
                <w:spacing w:val="-4"/>
                <w:sz w:val="20"/>
              </w:rPr>
              <w:t> </w:t>
            </w:r>
            <w:r>
              <w:rPr>
                <w:sz w:val="20"/>
              </w:rPr>
              <w:t>outcomes.</w:t>
            </w:r>
            <w:r>
              <w:rPr>
                <w:spacing w:val="-4"/>
                <w:sz w:val="20"/>
              </w:rPr>
              <w:t> </w:t>
            </w:r>
            <w:r>
              <w:rPr>
                <w:sz w:val="20"/>
              </w:rPr>
              <w:t>However,</w:t>
            </w:r>
            <w:r>
              <w:rPr>
                <w:spacing w:val="-4"/>
                <w:sz w:val="20"/>
              </w:rPr>
              <w:t> </w:t>
            </w:r>
            <w:r>
              <w:rPr>
                <w:sz w:val="20"/>
              </w:rPr>
              <w:t>it</w:t>
            </w:r>
            <w:r>
              <w:rPr>
                <w:spacing w:val="-4"/>
                <w:sz w:val="20"/>
              </w:rPr>
              <w:t> </w:t>
            </w:r>
            <w:r>
              <w:rPr>
                <w:sz w:val="20"/>
              </w:rPr>
              <w:t>could</w:t>
            </w:r>
            <w:r>
              <w:rPr>
                <w:spacing w:val="-4"/>
                <w:sz w:val="20"/>
              </w:rPr>
              <w:t> </w:t>
            </w:r>
            <w:r>
              <w:rPr>
                <w:sz w:val="20"/>
              </w:rPr>
              <w:t>be</w:t>
            </w:r>
            <w:r>
              <w:rPr>
                <w:spacing w:val="-4"/>
                <w:sz w:val="20"/>
              </w:rPr>
              <w:t> </w:t>
            </w:r>
            <w:r>
              <w:rPr>
                <w:sz w:val="20"/>
              </w:rPr>
              <w:t>slightly</w:t>
            </w:r>
            <w:r>
              <w:rPr>
                <w:spacing w:val="-4"/>
                <w:sz w:val="20"/>
              </w:rPr>
              <w:t> </w:t>
            </w:r>
            <w:r>
              <w:rPr>
                <w:sz w:val="20"/>
              </w:rPr>
              <w:t>shortened</w:t>
            </w:r>
            <w:r>
              <w:rPr>
                <w:spacing w:val="-4"/>
                <w:sz w:val="20"/>
              </w:rPr>
              <w:t> </w:t>
            </w:r>
            <w:r>
              <w:rPr>
                <w:sz w:val="20"/>
              </w:rPr>
              <w:t>to</w:t>
            </w:r>
            <w:r>
              <w:rPr>
                <w:spacing w:val="-4"/>
                <w:sz w:val="20"/>
              </w:rPr>
              <w:t> </w:t>
            </w:r>
            <w:r>
              <w:rPr>
                <w:sz w:val="20"/>
              </w:rPr>
              <w:t>improve</w:t>
            </w:r>
            <w:r>
              <w:rPr>
                <w:spacing w:val="-4"/>
                <w:sz w:val="20"/>
              </w:rPr>
              <w:t> </w:t>
            </w:r>
            <w:r>
              <w:rPr>
                <w:sz w:val="20"/>
              </w:rPr>
              <w:t>readability</w:t>
            </w:r>
            <w:r>
              <w:rPr>
                <w:spacing w:val="-4"/>
                <w:sz w:val="20"/>
              </w:rPr>
              <w:t> </w:t>
            </w:r>
            <w:r>
              <w:rPr>
                <w:sz w:val="20"/>
              </w:rPr>
              <w:t>by</w:t>
            </w:r>
            <w:r>
              <w:rPr>
                <w:spacing w:val="-4"/>
                <w:sz w:val="20"/>
              </w:rPr>
              <w:t> </w:t>
            </w:r>
            <w:r>
              <w:rPr>
                <w:sz w:val="20"/>
              </w:rPr>
              <w:t>removing</w:t>
            </w:r>
            <w:r>
              <w:rPr>
                <w:spacing w:val="-4"/>
                <w:sz w:val="20"/>
              </w:rPr>
              <w:t> </w:t>
            </w:r>
            <w:r>
              <w:rPr>
                <w:sz w:val="20"/>
              </w:rPr>
              <w:t>redundant</w:t>
            </w:r>
            <w:r>
              <w:rPr>
                <w:spacing w:val="-4"/>
                <w:sz w:val="20"/>
              </w:rPr>
              <w:t> </w:t>
            </w:r>
            <w:r>
              <w:rPr>
                <w:sz w:val="20"/>
              </w:rPr>
              <w:t>details</w:t>
            </w:r>
            <w:r>
              <w:rPr>
                <w:spacing w:val="-4"/>
                <w:sz w:val="20"/>
              </w:rPr>
              <w:t> </w:t>
            </w:r>
            <w:r>
              <w:rPr>
                <w:sz w:val="20"/>
              </w:rPr>
              <w:t>(e.g., inflammatory</w:t>
            </w:r>
            <w:r>
              <w:rPr>
                <w:spacing w:val="-3"/>
                <w:sz w:val="20"/>
              </w:rPr>
              <w:t> </w:t>
            </w:r>
            <w:r>
              <w:rPr>
                <w:sz w:val="20"/>
              </w:rPr>
              <w:t>marker</w:t>
            </w:r>
            <w:r>
              <w:rPr>
                <w:spacing w:val="-3"/>
                <w:sz w:val="20"/>
              </w:rPr>
              <w:t> </w:t>
            </w:r>
            <w:r>
              <w:rPr>
                <w:sz w:val="20"/>
              </w:rPr>
              <w:t>values</w:t>
            </w:r>
            <w:r>
              <w:rPr>
                <w:spacing w:val="-3"/>
                <w:sz w:val="20"/>
              </w:rPr>
              <w:t> </w:t>
            </w:r>
            <w:r>
              <w:rPr>
                <w:sz w:val="20"/>
              </w:rPr>
              <w:t>can</w:t>
            </w:r>
            <w:r>
              <w:rPr>
                <w:spacing w:val="-3"/>
                <w:sz w:val="20"/>
              </w:rPr>
              <w:t> </w:t>
            </w:r>
            <w:r>
              <w:rPr>
                <w:sz w:val="20"/>
              </w:rPr>
              <w:t>be</w:t>
            </w:r>
            <w:r>
              <w:rPr>
                <w:spacing w:val="-3"/>
                <w:sz w:val="20"/>
              </w:rPr>
              <w:t> </w:t>
            </w:r>
            <w:r>
              <w:rPr>
                <w:sz w:val="20"/>
              </w:rPr>
              <w:t>summarized).</w:t>
            </w:r>
            <w:r>
              <w:rPr>
                <w:spacing w:val="-3"/>
                <w:sz w:val="20"/>
              </w:rPr>
              <w:t> </w:t>
            </w:r>
            <w:r>
              <w:rPr>
                <w:sz w:val="20"/>
              </w:rPr>
              <w:t>Additionally,</w:t>
            </w:r>
            <w:r>
              <w:rPr>
                <w:spacing w:val="-3"/>
                <w:sz w:val="20"/>
              </w:rPr>
              <w:t> </w:t>
            </w:r>
            <w:r>
              <w:rPr>
                <w:sz w:val="20"/>
              </w:rPr>
              <w:t>including</w:t>
            </w:r>
            <w:r>
              <w:rPr>
                <w:spacing w:val="-3"/>
                <w:sz w:val="20"/>
              </w:rPr>
              <w:t> </w:t>
            </w:r>
            <w:r>
              <w:rPr>
                <w:sz w:val="20"/>
              </w:rPr>
              <w:t>a</w:t>
            </w:r>
            <w:r>
              <w:rPr>
                <w:spacing w:val="-3"/>
                <w:sz w:val="20"/>
              </w:rPr>
              <w:t> </w:t>
            </w:r>
            <w:r>
              <w:rPr>
                <w:sz w:val="20"/>
              </w:rPr>
              <w:t>brief</w:t>
            </w:r>
            <w:r>
              <w:rPr>
                <w:spacing w:val="-3"/>
                <w:sz w:val="20"/>
              </w:rPr>
              <w:t> </w:t>
            </w:r>
            <w:r>
              <w:rPr>
                <w:sz w:val="20"/>
              </w:rPr>
              <w:t>statement</w:t>
            </w:r>
            <w:r>
              <w:rPr>
                <w:spacing w:val="-3"/>
                <w:sz w:val="20"/>
              </w:rPr>
              <w:t> </w:t>
            </w:r>
            <w:r>
              <w:rPr>
                <w:sz w:val="20"/>
              </w:rPr>
              <w:t>on</w:t>
            </w:r>
            <w:r>
              <w:rPr>
                <w:spacing w:val="-3"/>
                <w:sz w:val="20"/>
              </w:rPr>
              <w:t> </w:t>
            </w:r>
            <w:r>
              <w:rPr>
                <w:sz w:val="20"/>
              </w:rPr>
              <w:t>the</w:t>
            </w:r>
            <w:r>
              <w:rPr>
                <w:spacing w:val="-3"/>
                <w:sz w:val="20"/>
              </w:rPr>
              <w:t> </w:t>
            </w:r>
            <w:r>
              <w:rPr>
                <w:sz w:val="20"/>
              </w:rPr>
              <w:t>significance</w:t>
            </w:r>
            <w:r>
              <w:rPr>
                <w:spacing w:val="-3"/>
                <w:sz w:val="20"/>
              </w:rPr>
              <w:t> </w:t>
            </w:r>
            <w:r>
              <w:rPr>
                <w:sz w:val="20"/>
              </w:rPr>
              <w:t>for clinical practice would strengthen the conclusion.</w:t>
            </w:r>
          </w:p>
        </w:tc>
        <w:tc>
          <w:tcPr>
            <w:tcW w:w="6435" w:type="dxa"/>
          </w:tcPr>
          <w:p>
            <w:pPr>
              <w:pStyle w:val="TableParagraph"/>
              <w:spacing w:before="9"/>
              <w:ind w:left="7" w:right="45"/>
              <w:rPr>
                <w:sz w:val="18"/>
              </w:rPr>
            </w:pPr>
            <w:r>
              <w:rPr>
                <w:sz w:val="18"/>
              </w:rPr>
              <w:t>Changes</w:t>
            </w:r>
            <w:r>
              <w:rPr>
                <w:spacing w:val="-4"/>
                <w:sz w:val="18"/>
              </w:rPr>
              <w:t> </w:t>
            </w:r>
            <w:r>
              <w:rPr>
                <w:sz w:val="18"/>
              </w:rPr>
              <w:t>were</w:t>
            </w:r>
            <w:r>
              <w:rPr>
                <w:spacing w:val="-4"/>
                <w:sz w:val="18"/>
              </w:rPr>
              <w:t> </w:t>
            </w:r>
            <w:r>
              <w:rPr>
                <w:sz w:val="18"/>
              </w:rPr>
              <w:t>made</w:t>
            </w:r>
            <w:r>
              <w:rPr>
                <w:spacing w:val="-4"/>
                <w:sz w:val="18"/>
              </w:rPr>
              <w:t> </w:t>
            </w:r>
            <w:r>
              <w:rPr>
                <w:sz w:val="18"/>
              </w:rPr>
              <w:t>to</w:t>
            </w:r>
            <w:r>
              <w:rPr>
                <w:spacing w:val="-4"/>
                <w:sz w:val="18"/>
              </w:rPr>
              <w:t> </w:t>
            </w:r>
            <w:r>
              <w:rPr>
                <w:sz w:val="18"/>
              </w:rPr>
              <w:t>the</w:t>
            </w:r>
            <w:r>
              <w:rPr>
                <w:spacing w:val="-4"/>
                <w:sz w:val="18"/>
              </w:rPr>
              <w:t> </w:t>
            </w:r>
            <w:r>
              <w:rPr>
                <w:sz w:val="18"/>
              </w:rPr>
              <w:t>manuscript</w:t>
            </w:r>
            <w:r>
              <w:rPr>
                <w:spacing w:val="-4"/>
                <w:sz w:val="18"/>
              </w:rPr>
              <w:t> </w:t>
            </w:r>
            <w:r>
              <w:rPr>
                <w:sz w:val="18"/>
              </w:rPr>
              <w:t>concerning</w:t>
            </w:r>
            <w:r>
              <w:rPr>
                <w:spacing w:val="-4"/>
                <w:sz w:val="18"/>
              </w:rPr>
              <w:t> </w:t>
            </w:r>
            <w:r>
              <w:rPr>
                <w:sz w:val="18"/>
              </w:rPr>
              <w:t>the</w:t>
            </w:r>
            <w:r>
              <w:rPr>
                <w:spacing w:val="-4"/>
                <w:sz w:val="18"/>
              </w:rPr>
              <w:t> </w:t>
            </w:r>
            <w:r>
              <w:rPr>
                <w:sz w:val="18"/>
              </w:rPr>
              <w:t>abstract,</w:t>
            </w:r>
            <w:r>
              <w:rPr>
                <w:spacing w:val="-4"/>
                <w:sz w:val="18"/>
              </w:rPr>
              <w:t> </w:t>
            </w:r>
            <w:r>
              <w:rPr>
                <w:sz w:val="18"/>
              </w:rPr>
              <w:t>removing</w:t>
            </w:r>
            <w:r>
              <w:rPr>
                <w:spacing w:val="-4"/>
                <w:sz w:val="18"/>
              </w:rPr>
              <w:t> </w:t>
            </w:r>
            <w:r>
              <w:rPr>
                <w:sz w:val="18"/>
              </w:rPr>
              <w:t>the</w:t>
            </w:r>
            <w:r>
              <w:rPr>
                <w:spacing w:val="-4"/>
                <w:sz w:val="18"/>
              </w:rPr>
              <w:t> </w:t>
            </w:r>
            <w:r>
              <w:rPr>
                <w:sz w:val="18"/>
              </w:rPr>
              <w:t>most detailed parts of the clinical case that are included in the body of the article, summarizing it</w:t>
            </w:r>
          </w:p>
        </w:tc>
      </w:tr>
      <w:tr>
        <w:trPr>
          <w:trHeight w:val="1034" w:hRule="atLeast"/>
        </w:trPr>
        <w:tc>
          <w:tcPr>
            <w:tcW w:w="5355" w:type="dxa"/>
          </w:tcPr>
          <w:p>
            <w:pPr>
              <w:pStyle w:val="TableParagraph"/>
              <w:spacing w:before="9"/>
              <w:ind w:left="472" w:right="190"/>
              <w:rPr>
                <w:b/>
                <w:sz w:val="20"/>
              </w:rPr>
            </w:pPr>
            <w:r>
              <w:rPr>
                <w:b/>
                <w:sz w:val="20"/>
              </w:rPr>
              <w:t>Is</w:t>
            </w:r>
            <w:r>
              <w:rPr>
                <w:b/>
                <w:spacing w:val="-9"/>
                <w:sz w:val="20"/>
              </w:rPr>
              <w:t> </w:t>
            </w:r>
            <w:r>
              <w:rPr>
                <w:b/>
                <w:sz w:val="20"/>
              </w:rPr>
              <w:t>the</w:t>
            </w:r>
            <w:r>
              <w:rPr>
                <w:b/>
                <w:spacing w:val="-9"/>
                <w:sz w:val="20"/>
              </w:rPr>
              <w:t> </w:t>
            </w:r>
            <w:r>
              <w:rPr>
                <w:b/>
                <w:sz w:val="20"/>
              </w:rPr>
              <w:t>manuscript</w:t>
            </w:r>
            <w:r>
              <w:rPr>
                <w:b/>
                <w:spacing w:val="-9"/>
                <w:sz w:val="20"/>
              </w:rPr>
              <w:t> </w:t>
            </w:r>
            <w:r>
              <w:rPr>
                <w:b/>
                <w:sz w:val="20"/>
              </w:rPr>
              <w:t>scientifically,</w:t>
            </w:r>
            <w:r>
              <w:rPr>
                <w:b/>
                <w:spacing w:val="-9"/>
                <w:sz w:val="20"/>
              </w:rPr>
              <w:t> </w:t>
            </w:r>
            <w:r>
              <w:rPr>
                <w:b/>
                <w:sz w:val="20"/>
              </w:rPr>
              <w:t>correct?</w:t>
            </w:r>
            <w:r>
              <w:rPr>
                <w:b/>
                <w:spacing w:val="-9"/>
                <w:sz w:val="20"/>
              </w:rPr>
              <w:t> </w:t>
            </w:r>
            <w:r>
              <w:rPr>
                <w:b/>
                <w:sz w:val="20"/>
              </w:rPr>
              <w:t>Please</w:t>
            </w:r>
            <w:r>
              <w:rPr>
                <w:b/>
                <w:spacing w:val="-9"/>
                <w:sz w:val="20"/>
              </w:rPr>
              <w:t> </w:t>
            </w:r>
            <w:r>
              <w:rPr>
                <w:b/>
                <w:sz w:val="20"/>
              </w:rPr>
              <w:t>write </w:t>
            </w:r>
            <w:r>
              <w:rPr>
                <w:b/>
                <w:spacing w:val="-2"/>
                <w:sz w:val="20"/>
              </w:rPr>
              <w:t>here.</w:t>
            </w:r>
          </w:p>
        </w:tc>
        <w:tc>
          <w:tcPr>
            <w:tcW w:w="9360" w:type="dxa"/>
          </w:tcPr>
          <w:p>
            <w:pPr>
              <w:pStyle w:val="TableParagraph"/>
              <w:spacing w:line="232" w:lineRule="auto" w:before="14"/>
              <w:ind w:right="136"/>
              <w:rPr>
                <w:sz w:val="20"/>
              </w:rPr>
            </w:pPr>
            <w:r>
              <w:rPr>
                <w:sz w:val="20"/>
              </w:rPr>
              <w:t>The</w:t>
            </w:r>
            <w:r>
              <w:rPr>
                <w:spacing w:val="-4"/>
                <w:sz w:val="20"/>
              </w:rPr>
              <w:t> </w:t>
            </w:r>
            <w:r>
              <w:rPr>
                <w:sz w:val="20"/>
              </w:rPr>
              <w:t>manuscript</w:t>
            </w:r>
            <w:r>
              <w:rPr>
                <w:spacing w:val="-4"/>
                <w:sz w:val="20"/>
              </w:rPr>
              <w:t> </w:t>
            </w:r>
            <w:r>
              <w:rPr>
                <w:sz w:val="20"/>
              </w:rPr>
              <w:t>is</w:t>
            </w:r>
            <w:r>
              <w:rPr>
                <w:spacing w:val="-4"/>
                <w:sz w:val="20"/>
              </w:rPr>
              <w:t> </w:t>
            </w:r>
            <w:r>
              <w:rPr>
                <w:sz w:val="20"/>
              </w:rPr>
              <w:t>scientifically</w:t>
            </w:r>
            <w:r>
              <w:rPr>
                <w:spacing w:val="-4"/>
                <w:sz w:val="20"/>
              </w:rPr>
              <w:t> </w:t>
            </w:r>
            <w:r>
              <w:rPr>
                <w:sz w:val="20"/>
              </w:rPr>
              <w:t>accurate,</w:t>
            </w:r>
            <w:r>
              <w:rPr>
                <w:spacing w:val="-4"/>
                <w:sz w:val="20"/>
              </w:rPr>
              <w:t> </w:t>
            </w:r>
            <w:r>
              <w:rPr>
                <w:sz w:val="20"/>
              </w:rPr>
              <w:t>with</w:t>
            </w:r>
            <w:r>
              <w:rPr>
                <w:spacing w:val="-4"/>
                <w:sz w:val="20"/>
              </w:rPr>
              <w:t> </w:t>
            </w:r>
            <w:r>
              <w:rPr>
                <w:sz w:val="20"/>
              </w:rPr>
              <w:t>clear</w:t>
            </w:r>
            <w:r>
              <w:rPr>
                <w:spacing w:val="-4"/>
                <w:sz w:val="20"/>
              </w:rPr>
              <w:t> </w:t>
            </w:r>
            <w:r>
              <w:rPr>
                <w:sz w:val="20"/>
              </w:rPr>
              <w:t>clinical,</w:t>
            </w:r>
            <w:r>
              <w:rPr>
                <w:spacing w:val="-4"/>
                <w:sz w:val="20"/>
              </w:rPr>
              <w:t> </w:t>
            </w:r>
            <w:r>
              <w:rPr>
                <w:sz w:val="20"/>
              </w:rPr>
              <w:t>radiological,</w:t>
            </w:r>
            <w:r>
              <w:rPr>
                <w:spacing w:val="-4"/>
                <w:sz w:val="20"/>
              </w:rPr>
              <w:t> </w:t>
            </w:r>
            <w:r>
              <w:rPr>
                <w:sz w:val="20"/>
              </w:rPr>
              <w:t>surgical,</w:t>
            </w:r>
            <w:r>
              <w:rPr>
                <w:spacing w:val="-4"/>
                <w:sz w:val="20"/>
              </w:rPr>
              <w:t> </w:t>
            </w:r>
            <w:r>
              <w:rPr>
                <w:sz w:val="20"/>
              </w:rPr>
              <w:t>and</w:t>
            </w:r>
            <w:r>
              <w:rPr>
                <w:spacing w:val="-4"/>
                <w:sz w:val="20"/>
              </w:rPr>
              <w:t> </w:t>
            </w:r>
            <w:r>
              <w:rPr>
                <w:sz w:val="20"/>
              </w:rPr>
              <w:t>microbiological descriptions. The discussion is consistent with current literature and appropriately emphasizes urgent </w:t>
            </w:r>
            <w:r>
              <w:rPr>
                <w:spacing w:val="-2"/>
                <w:sz w:val="20"/>
              </w:rPr>
              <w:t>management.</w:t>
            </w:r>
          </w:p>
        </w:tc>
        <w:tc>
          <w:tcPr>
            <w:tcW w:w="6435" w:type="dxa"/>
          </w:tcPr>
          <w:p>
            <w:pPr>
              <w:pStyle w:val="TableParagraph"/>
              <w:spacing w:line="200" w:lineRule="atLeast"/>
              <w:ind w:left="7" w:right="2"/>
              <w:rPr>
                <w:sz w:val="18"/>
              </w:rPr>
            </w:pPr>
            <w:r>
              <w:rPr>
                <w:sz w:val="18"/>
              </w:rPr>
              <w:t>The manuscript is scientifically accurate according to the latest publications on cases of “descending mediastinitis complicating cervicothoracic cellulitis.” the clinical description</w:t>
            </w:r>
            <w:r>
              <w:rPr>
                <w:spacing w:val="-3"/>
                <w:sz w:val="18"/>
              </w:rPr>
              <w:t> </w:t>
            </w:r>
            <w:r>
              <w:rPr>
                <w:sz w:val="18"/>
              </w:rPr>
              <w:t>of</w:t>
            </w:r>
            <w:r>
              <w:rPr>
                <w:spacing w:val="-3"/>
                <w:sz w:val="18"/>
              </w:rPr>
              <w:t> </w:t>
            </w:r>
            <w:r>
              <w:rPr>
                <w:sz w:val="18"/>
              </w:rPr>
              <w:t>the</w:t>
            </w:r>
            <w:r>
              <w:rPr>
                <w:spacing w:val="-3"/>
                <w:sz w:val="18"/>
              </w:rPr>
              <w:t> </w:t>
            </w:r>
            <w:r>
              <w:rPr>
                <w:sz w:val="18"/>
              </w:rPr>
              <w:t>case</w:t>
            </w:r>
            <w:r>
              <w:rPr>
                <w:spacing w:val="-3"/>
                <w:sz w:val="18"/>
              </w:rPr>
              <w:t> </w:t>
            </w:r>
            <w:r>
              <w:rPr>
                <w:sz w:val="18"/>
              </w:rPr>
              <w:t>was</w:t>
            </w:r>
            <w:r>
              <w:rPr>
                <w:spacing w:val="-3"/>
                <w:sz w:val="18"/>
              </w:rPr>
              <w:t> </w:t>
            </w:r>
            <w:r>
              <w:rPr>
                <w:sz w:val="18"/>
              </w:rPr>
              <w:t>unique</w:t>
            </w:r>
            <w:r>
              <w:rPr>
                <w:spacing w:val="-3"/>
                <w:sz w:val="18"/>
              </w:rPr>
              <w:t> </w:t>
            </w:r>
            <w:r>
              <w:rPr>
                <w:sz w:val="18"/>
              </w:rPr>
              <w:t>with</w:t>
            </w:r>
            <w:r>
              <w:rPr>
                <w:spacing w:val="-3"/>
                <w:sz w:val="18"/>
              </w:rPr>
              <w:t> </w:t>
            </w:r>
            <w:r>
              <w:rPr>
                <w:sz w:val="18"/>
              </w:rPr>
              <w:t>pre-,</w:t>
            </w:r>
            <w:r>
              <w:rPr>
                <w:spacing w:val="-3"/>
                <w:sz w:val="18"/>
              </w:rPr>
              <w:t> </w:t>
            </w:r>
            <w:r>
              <w:rPr>
                <w:sz w:val="18"/>
              </w:rPr>
              <w:t>peri-,</w:t>
            </w:r>
            <w:r>
              <w:rPr>
                <w:spacing w:val="-3"/>
                <w:sz w:val="18"/>
              </w:rPr>
              <w:t> </w:t>
            </w:r>
            <w:r>
              <w:rPr>
                <w:sz w:val="18"/>
              </w:rPr>
              <w:t>and</w:t>
            </w:r>
            <w:r>
              <w:rPr>
                <w:spacing w:val="-3"/>
                <w:sz w:val="18"/>
              </w:rPr>
              <w:t> </w:t>
            </w:r>
            <w:r>
              <w:rPr>
                <w:sz w:val="18"/>
              </w:rPr>
              <w:t>post-operative</w:t>
            </w:r>
            <w:r>
              <w:rPr>
                <w:spacing w:val="-3"/>
                <w:sz w:val="18"/>
              </w:rPr>
              <w:t> </w:t>
            </w:r>
            <w:r>
              <w:rPr>
                <w:sz w:val="18"/>
              </w:rPr>
              <w:t>images,</w:t>
            </w:r>
            <w:r>
              <w:rPr>
                <w:spacing w:val="-3"/>
                <w:sz w:val="18"/>
              </w:rPr>
              <w:t> </w:t>
            </w:r>
            <w:r>
              <w:rPr>
                <w:sz w:val="18"/>
              </w:rPr>
              <w:t>the</w:t>
            </w:r>
            <w:r>
              <w:rPr>
                <w:spacing w:val="-3"/>
                <w:sz w:val="18"/>
              </w:rPr>
              <w:t> </w:t>
            </w:r>
            <w:r>
              <w:rPr>
                <w:sz w:val="18"/>
              </w:rPr>
              <w:t>results of biological tests, as well as the bacteriological examination of necrotic tissue samples taken during surgery, and the discussion, which is consistent with the literature.</w:t>
            </w:r>
          </w:p>
        </w:tc>
      </w:tr>
      <w:tr>
        <w:trPr>
          <w:trHeight w:val="1154" w:hRule="atLeast"/>
        </w:trPr>
        <w:tc>
          <w:tcPr>
            <w:tcW w:w="5355" w:type="dxa"/>
          </w:tcPr>
          <w:p>
            <w:pPr>
              <w:pStyle w:val="TableParagraph"/>
              <w:spacing w:line="228" w:lineRule="auto" w:before="9"/>
              <w:ind w:left="472" w:right="190"/>
              <w:rPr>
                <w:b/>
                <w:sz w:val="20"/>
              </w:rPr>
            </w:pPr>
            <w:r>
              <w:rPr>
                <w:b/>
                <w:sz w:val="20"/>
              </w:rPr>
              <w:t>Are</w:t>
            </w:r>
            <w:r>
              <w:rPr>
                <w:b/>
                <w:spacing w:val="-7"/>
                <w:sz w:val="20"/>
              </w:rPr>
              <w:t> </w:t>
            </w:r>
            <w:r>
              <w:rPr>
                <w:b/>
                <w:sz w:val="20"/>
              </w:rPr>
              <w:t>the</w:t>
            </w:r>
            <w:r>
              <w:rPr>
                <w:b/>
                <w:spacing w:val="-7"/>
                <w:sz w:val="20"/>
              </w:rPr>
              <w:t> </w:t>
            </w:r>
            <w:r>
              <w:rPr>
                <w:b/>
                <w:sz w:val="20"/>
              </w:rPr>
              <w:t>references</w:t>
            </w:r>
            <w:r>
              <w:rPr>
                <w:b/>
                <w:spacing w:val="-7"/>
                <w:sz w:val="20"/>
              </w:rPr>
              <w:t> </w:t>
            </w:r>
            <w:r>
              <w:rPr>
                <w:b/>
                <w:sz w:val="20"/>
              </w:rPr>
              <w:t>sufficient</w:t>
            </w:r>
            <w:r>
              <w:rPr>
                <w:b/>
                <w:spacing w:val="-7"/>
                <w:sz w:val="20"/>
              </w:rPr>
              <w:t> </w:t>
            </w:r>
            <w:r>
              <w:rPr>
                <w:b/>
                <w:sz w:val="20"/>
              </w:rPr>
              <w:t>and</w:t>
            </w:r>
            <w:r>
              <w:rPr>
                <w:b/>
                <w:spacing w:val="-7"/>
                <w:sz w:val="20"/>
              </w:rPr>
              <w:t> </w:t>
            </w:r>
            <w:r>
              <w:rPr>
                <w:b/>
                <w:sz w:val="20"/>
              </w:rPr>
              <w:t>recent?</w:t>
            </w:r>
            <w:r>
              <w:rPr>
                <w:b/>
                <w:spacing w:val="-7"/>
                <w:sz w:val="20"/>
              </w:rPr>
              <w:t> </w:t>
            </w:r>
            <w:r>
              <w:rPr>
                <w:b/>
                <w:sz w:val="20"/>
              </w:rPr>
              <w:t>If</w:t>
            </w:r>
            <w:r>
              <w:rPr>
                <w:b/>
                <w:spacing w:val="-7"/>
                <w:sz w:val="20"/>
              </w:rPr>
              <w:t> </w:t>
            </w:r>
            <w:r>
              <w:rPr>
                <w:b/>
                <w:sz w:val="20"/>
              </w:rPr>
              <w:t>you</w:t>
            </w:r>
            <w:r>
              <w:rPr>
                <w:b/>
                <w:spacing w:val="-7"/>
                <w:sz w:val="20"/>
              </w:rPr>
              <w:t> </w:t>
            </w:r>
            <w:r>
              <w:rPr>
                <w:b/>
                <w:sz w:val="20"/>
              </w:rPr>
              <w:t>have suggestions of additional references, please mention them in the review form.</w:t>
            </w:r>
          </w:p>
        </w:tc>
        <w:tc>
          <w:tcPr>
            <w:tcW w:w="9360" w:type="dxa"/>
          </w:tcPr>
          <w:p>
            <w:pPr>
              <w:pStyle w:val="TableParagraph"/>
              <w:spacing w:line="228" w:lineRule="auto" w:before="9"/>
              <w:rPr>
                <w:sz w:val="20"/>
              </w:rPr>
            </w:pPr>
            <w:r>
              <w:rPr>
                <w:sz w:val="20"/>
              </w:rPr>
              <w:t>The</w:t>
            </w:r>
            <w:r>
              <w:rPr>
                <w:spacing w:val="-3"/>
                <w:sz w:val="20"/>
              </w:rPr>
              <w:t> </w:t>
            </w:r>
            <w:r>
              <w:rPr>
                <w:sz w:val="20"/>
              </w:rPr>
              <w:t>references</w:t>
            </w:r>
            <w:r>
              <w:rPr>
                <w:spacing w:val="-3"/>
                <w:sz w:val="20"/>
              </w:rPr>
              <w:t> </w:t>
            </w:r>
            <w:r>
              <w:rPr>
                <w:sz w:val="20"/>
              </w:rPr>
              <w:t>are</w:t>
            </w:r>
            <w:r>
              <w:rPr>
                <w:spacing w:val="-3"/>
                <w:sz w:val="20"/>
              </w:rPr>
              <w:t> </w:t>
            </w:r>
            <w:r>
              <w:rPr>
                <w:sz w:val="20"/>
              </w:rPr>
              <w:t>adequate</w:t>
            </w:r>
            <w:r>
              <w:rPr>
                <w:spacing w:val="-3"/>
                <w:sz w:val="20"/>
              </w:rPr>
              <w:t> </w:t>
            </w:r>
            <w:r>
              <w:rPr>
                <w:sz w:val="20"/>
              </w:rPr>
              <w:t>but</w:t>
            </w:r>
            <w:r>
              <w:rPr>
                <w:spacing w:val="-3"/>
                <w:sz w:val="20"/>
              </w:rPr>
              <w:t> </w:t>
            </w:r>
            <w:r>
              <w:rPr>
                <w:sz w:val="20"/>
              </w:rPr>
              <w:t>slightly</w:t>
            </w:r>
            <w:r>
              <w:rPr>
                <w:spacing w:val="-3"/>
                <w:sz w:val="20"/>
              </w:rPr>
              <w:t> </w:t>
            </w:r>
            <w:r>
              <w:rPr>
                <w:sz w:val="20"/>
              </w:rPr>
              <w:t>dated,</w:t>
            </w:r>
            <w:r>
              <w:rPr>
                <w:spacing w:val="-3"/>
                <w:sz w:val="20"/>
              </w:rPr>
              <w:t> </w:t>
            </w:r>
            <w:r>
              <w:rPr>
                <w:sz w:val="20"/>
              </w:rPr>
              <w:t>with</w:t>
            </w:r>
            <w:r>
              <w:rPr>
                <w:spacing w:val="-3"/>
                <w:sz w:val="20"/>
              </w:rPr>
              <w:t> </w:t>
            </w:r>
            <w:r>
              <w:rPr>
                <w:sz w:val="20"/>
              </w:rPr>
              <w:t>some</w:t>
            </w:r>
            <w:r>
              <w:rPr>
                <w:spacing w:val="-3"/>
                <w:sz w:val="20"/>
              </w:rPr>
              <w:t> </w:t>
            </w:r>
            <w:r>
              <w:rPr>
                <w:sz w:val="20"/>
              </w:rPr>
              <w:t>being</w:t>
            </w:r>
            <w:r>
              <w:rPr>
                <w:spacing w:val="-3"/>
                <w:sz w:val="20"/>
              </w:rPr>
              <w:t> </w:t>
            </w:r>
            <w:r>
              <w:rPr>
                <w:sz w:val="20"/>
              </w:rPr>
              <w:t>over</w:t>
            </w:r>
            <w:r>
              <w:rPr>
                <w:spacing w:val="-3"/>
                <w:sz w:val="20"/>
              </w:rPr>
              <w:t> </w:t>
            </w:r>
            <w:r>
              <w:rPr>
                <w:sz w:val="20"/>
              </w:rPr>
              <w:t>two</w:t>
            </w:r>
            <w:r>
              <w:rPr>
                <w:spacing w:val="-3"/>
                <w:sz w:val="20"/>
              </w:rPr>
              <w:t> </w:t>
            </w:r>
            <w:r>
              <w:rPr>
                <w:sz w:val="20"/>
              </w:rPr>
              <w:t>decades</w:t>
            </w:r>
            <w:r>
              <w:rPr>
                <w:spacing w:val="-3"/>
                <w:sz w:val="20"/>
              </w:rPr>
              <w:t> </w:t>
            </w:r>
            <w:r>
              <w:rPr>
                <w:sz w:val="20"/>
              </w:rPr>
              <w:t>old.</w:t>
            </w:r>
            <w:r>
              <w:rPr>
                <w:spacing w:val="-3"/>
                <w:sz w:val="20"/>
              </w:rPr>
              <w:t> </w:t>
            </w:r>
            <w:r>
              <w:rPr>
                <w:sz w:val="20"/>
              </w:rPr>
              <w:t>It</w:t>
            </w:r>
            <w:r>
              <w:rPr>
                <w:spacing w:val="-3"/>
                <w:sz w:val="20"/>
              </w:rPr>
              <w:t> </w:t>
            </w:r>
            <w:r>
              <w:rPr>
                <w:sz w:val="20"/>
              </w:rPr>
              <w:t>would</w:t>
            </w:r>
            <w:r>
              <w:rPr>
                <w:spacing w:val="-3"/>
                <w:sz w:val="20"/>
              </w:rPr>
              <w:t> </w:t>
            </w:r>
            <w:r>
              <w:rPr>
                <w:sz w:val="20"/>
              </w:rPr>
              <w:t>be</w:t>
            </w:r>
            <w:r>
              <w:rPr>
                <w:spacing w:val="-3"/>
                <w:sz w:val="20"/>
              </w:rPr>
              <w:t> </w:t>
            </w:r>
            <w:r>
              <w:rPr>
                <w:sz w:val="20"/>
              </w:rPr>
              <w:t>useful</w:t>
            </w:r>
            <w:r>
              <w:rPr>
                <w:spacing w:val="-3"/>
                <w:sz w:val="20"/>
              </w:rPr>
              <w:t> </w:t>
            </w:r>
            <w:r>
              <w:rPr>
                <w:sz w:val="20"/>
              </w:rPr>
              <w:t>to</w:t>
            </w:r>
            <w:r>
              <w:rPr>
                <w:spacing w:val="-3"/>
                <w:sz w:val="20"/>
              </w:rPr>
              <w:t> </w:t>
            </w:r>
            <w:r>
              <w:rPr>
                <w:sz w:val="20"/>
              </w:rPr>
              <w:t>add more recent literature (post-2016) on mediastinitis management, imaging advances, and reconstructive surgery </w:t>
            </w:r>
            <w:r>
              <w:rPr>
                <w:spacing w:val="-2"/>
                <w:sz w:val="20"/>
              </w:rPr>
              <w:t>techniques.</w:t>
            </w:r>
          </w:p>
        </w:tc>
        <w:tc>
          <w:tcPr>
            <w:tcW w:w="6435" w:type="dxa"/>
          </w:tcPr>
          <w:p>
            <w:pPr>
              <w:pStyle w:val="TableParagraph"/>
              <w:spacing w:before="9"/>
              <w:ind w:left="7" w:right="45"/>
              <w:rPr>
                <w:sz w:val="20"/>
              </w:rPr>
            </w:pPr>
            <w:r>
              <w:rPr>
                <w:sz w:val="20"/>
              </w:rPr>
              <w:t>Upon</w:t>
            </w:r>
            <w:r>
              <w:rPr>
                <w:spacing w:val="-4"/>
                <w:sz w:val="20"/>
              </w:rPr>
              <w:t> </w:t>
            </w:r>
            <w:r>
              <w:rPr>
                <w:sz w:val="20"/>
              </w:rPr>
              <w:t>peer</w:t>
            </w:r>
            <w:r>
              <w:rPr>
                <w:spacing w:val="-4"/>
                <w:sz w:val="20"/>
              </w:rPr>
              <w:t> </w:t>
            </w:r>
            <w:r>
              <w:rPr>
                <w:sz w:val="20"/>
              </w:rPr>
              <w:t>review</w:t>
            </w:r>
            <w:r>
              <w:rPr>
                <w:spacing w:val="-4"/>
                <w:sz w:val="20"/>
              </w:rPr>
              <w:t> </w:t>
            </w:r>
            <w:r>
              <w:rPr>
                <w:sz w:val="20"/>
              </w:rPr>
              <w:t>request</w:t>
            </w:r>
            <w:r>
              <w:rPr>
                <w:spacing w:val="-4"/>
                <w:sz w:val="20"/>
              </w:rPr>
              <w:t> </w:t>
            </w:r>
            <w:r>
              <w:rPr>
                <w:sz w:val="20"/>
              </w:rPr>
              <w:t>I</w:t>
            </w:r>
            <w:r>
              <w:rPr>
                <w:spacing w:val="-4"/>
                <w:sz w:val="20"/>
              </w:rPr>
              <w:t> </w:t>
            </w:r>
            <w:r>
              <w:rPr>
                <w:sz w:val="20"/>
              </w:rPr>
              <w:t>have</w:t>
            </w:r>
            <w:r>
              <w:rPr>
                <w:spacing w:val="-4"/>
                <w:sz w:val="20"/>
              </w:rPr>
              <w:t> </w:t>
            </w:r>
            <w:r>
              <w:rPr>
                <w:sz w:val="20"/>
              </w:rPr>
              <w:t>provided</w:t>
            </w:r>
            <w:r>
              <w:rPr>
                <w:spacing w:val="-4"/>
                <w:sz w:val="20"/>
              </w:rPr>
              <w:t> </w:t>
            </w:r>
            <w:r>
              <w:rPr>
                <w:sz w:val="20"/>
              </w:rPr>
              <w:t>the</w:t>
            </w:r>
            <w:r>
              <w:rPr>
                <w:spacing w:val="-4"/>
                <w:sz w:val="20"/>
              </w:rPr>
              <w:t> </w:t>
            </w:r>
            <w:r>
              <w:rPr>
                <w:sz w:val="20"/>
              </w:rPr>
              <w:t>original</w:t>
            </w:r>
            <w:r>
              <w:rPr>
                <w:spacing w:val="-4"/>
                <w:sz w:val="20"/>
              </w:rPr>
              <w:t> </w:t>
            </w:r>
            <w:r>
              <w:rPr>
                <w:sz w:val="20"/>
              </w:rPr>
              <w:t>source</w:t>
            </w:r>
            <w:r>
              <w:rPr>
                <w:spacing w:val="-4"/>
                <w:sz w:val="20"/>
              </w:rPr>
              <w:t> </w:t>
            </w:r>
            <w:r>
              <w:rPr>
                <w:sz w:val="20"/>
              </w:rPr>
              <w:t>link</w:t>
            </w:r>
            <w:r>
              <w:rPr>
                <w:spacing w:val="-4"/>
                <w:sz w:val="20"/>
              </w:rPr>
              <w:t> </w:t>
            </w:r>
            <w:r>
              <w:rPr>
                <w:sz w:val="20"/>
              </w:rPr>
              <w:t>of</w:t>
            </w:r>
            <w:r>
              <w:rPr>
                <w:spacing w:val="-4"/>
                <w:sz w:val="20"/>
              </w:rPr>
              <w:t> </w:t>
            </w:r>
            <w:r>
              <w:rPr>
                <w:sz w:val="20"/>
              </w:rPr>
              <w:t>references used in the manuscript and also removed invalid references and replaced them with new journal published valid references (with</w:t>
            </w:r>
          </w:p>
          <w:p>
            <w:pPr>
              <w:pStyle w:val="TableParagraph"/>
              <w:spacing w:line="230" w:lineRule="atLeast"/>
              <w:ind w:left="7" w:right="45"/>
              <w:rPr>
                <w:sz w:val="20"/>
              </w:rPr>
            </w:pPr>
            <w:r>
              <w:rPr>
                <w:sz w:val="20"/>
              </w:rPr>
              <w:t>original</w:t>
            </w:r>
            <w:r>
              <w:rPr>
                <w:spacing w:val="-4"/>
                <w:sz w:val="20"/>
              </w:rPr>
              <w:t> </w:t>
            </w:r>
            <w:r>
              <w:rPr>
                <w:sz w:val="20"/>
              </w:rPr>
              <w:t>Journal</w:t>
            </w:r>
            <w:r>
              <w:rPr>
                <w:spacing w:val="-4"/>
                <w:sz w:val="20"/>
              </w:rPr>
              <w:t> </w:t>
            </w:r>
            <w:r>
              <w:rPr>
                <w:sz w:val="20"/>
              </w:rPr>
              <w:t>web</w:t>
            </w:r>
            <w:r>
              <w:rPr>
                <w:spacing w:val="-4"/>
                <w:sz w:val="20"/>
              </w:rPr>
              <w:t> </w:t>
            </w:r>
            <w:r>
              <w:rPr>
                <w:sz w:val="20"/>
              </w:rPr>
              <w:t>link)</w:t>
            </w:r>
            <w:r>
              <w:rPr>
                <w:spacing w:val="-4"/>
                <w:sz w:val="20"/>
              </w:rPr>
              <w:t> </w:t>
            </w:r>
            <w:r>
              <w:rPr>
                <w:sz w:val="20"/>
              </w:rPr>
              <w:t>with</w:t>
            </w:r>
            <w:r>
              <w:rPr>
                <w:spacing w:val="-4"/>
                <w:sz w:val="20"/>
              </w:rPr>
              <w:t> </w:t>
            </w:r>
            <w:r>
              <w:rPr>
                <w:sz w:val="20"/>
              </w:rPr>
              <w:t>proper</w:t>
            </w:r>
            <w:r>
              <w:rPr>
                <w:spacing w:val="-4"/>
                <w:sz w:val="20"/>
              </w:rPr>
              <w:t> </w:t>
            </w:r>
            <w:r>
              <w:rPr>
                <w:sz w:val="20"/>
              </w:rPr>
              <w:t>in</w:t>
            </w:r>
            <w:r>
              <w:rPr>
                <w:spacing w:val="-4"/>
                <w:sz w:val="20"/>
              </w:rPr>
              <w:t> </w:t>
            </w:r>
            <w:r>
              <w:rPr>
                <w:sz w:val="20"/>
              </w:rPr>
              <w:t>text</w:t>
            </w:r>
            <w:r>
              <w:rPr>
                <w:spacing w:val="-4"/>
                <w:sz w:val="20"/>
              </w:rPr>
              <w:t> </w:t>
            </w:r>
            <w:r>
              <w:rPr>
                <w:sz w:val="20"/>
              </w:rPr>
              <w:t>citations,</w:t>
            </w:r>
            <w:r>
              <w:rPr>
                <w:spacing w:val="-4"/>
                <w:sz w:val="20"/>
              </w:rPr>
              <w:t> </w:t>
            </w:r>
            <w:r>
              <w:rPr>
                <w:sz w:val="20"/>
              </w:rPr>
              <w:t>including</w:t>
            </w:r>
            <w:r>
              <w:rPr>
                <w:spacing w:val="-4"/>
                <w:sz w:val="20"/>
              </w:rPr>
              <w:t> </w:t>
            </w:r>
            <w:r>
              <w:rPr>
                <w:sz w:val="20"/>
              </w:rPr>
              <w:t>references</w:t>
            </w:r>
            <w:r>
              <w:rPr>
                <w:spacing w:val="-4"/>
                <w:sz w:val="20"/>
              </w:rPr>
              <w:t> </w:t>
            </w:r>
            <w:r>
              <w:rPr>
                <w:sz w:val="20"/>
              </w:rPr>
              <w:t>on reconstructive surgery and descending mediastinitis management</w:t>
            </w:r>
          </w:p>
        </w:tc>
      </w:tr>
      <w:tr>
        <w:trPr>
          <w:trHeight w:val="685" w:hRule="atLeast"/>
        </w:trPr>
        <w:tc>
          <w:tcPr>
            <w:tcW w:w="5355" w:type="dxa"/>
          </w:tcPr>
          <w:p>
            <w:pPr>
              <w:pStyle w:val="TableParagraph"/>
              <w:ind w:left="472" w:right="190"/>
              <w:rPr>
                <w:b/>
                <w:sz w:val="20"/>
              </w:rPr>
            </w:pPr>
            <w:r>
              <w:rPr>
                <w:b/>
                <w:sz w:val="20"/>
              </w:rPr>
              <w:t>Is</w:t>
            </w:r>
            <w:r>
              <w:rPr>
                <w:b/>
                <w:spacing w:val="-6"/>
                <w:sz w:val="20"/>
              </w:rPr>
              <w:t> </w:t>
            </w:r>
            <w:r>
              <w:rPr>
                <w:b/>
                <w:sz w:val="20"/>
              </w:rPr>
              <w:t>the</w:t>
            </w:r>
            <w:r>
              <w:rPr>
                <w:b/>
                <w:spacing w:val="-6"/>
                <w:sz w:val="20"/>
              </w:rPr>
              <w:t> </w:t>
            </w:r>
            <w:r>
              <w:rPr>
                <w:b/>
                <w:sz w:val="20"/>
              </w:rPr>
              <w:t>language/English</w:t>
            </w:r>
            <w:r>
              <w:rPr>
                <w:b/>
                <w:spacing w:val="-6"/>
                <w:sz w:val="20"/>
              </w:rPr>
              <w:t> </w:t>
            </w:r>
            <w:r>
              <w:rPr>
                <w:b/>
                <w:sz w:val="20"/>
              </w:rPr>
              <w:t>quality</w:t>
            </w:r>
            <w:r>
              <w:rPr>
                <w:b/>
                <w:spacing w:val="-6"/>
                <w:sz w:val="20"/>
              </w:rPr>
              <w:t> </w:t>
            </w:r>
            <w:r>
              <w:rPr>
                <w:b/>
                <w:sz w:val="20"/>
              </w:rPr>
              <w:t>of</w:t>
            </w:r>
            <w:r>
              <w:rPr>
                <w:b/>
                <w:spacing w:val="-6"/>
                <w:sz w:val="20"/>
              </w:rPr>
              <w:t> </w:t>
            </w:r>
            <w:r>
              <w:rPr>
                <w:b/>
                <w:sz w:val="20"/>
              </w:rPr>
              <w:t>the</w:t>
            </w:r>
            <w:r>
              <w:rPr>
                <w:b/>
                <w:spacing w:val="-6"/>
                <w:sz w:val="20"/>
              </w:rPr>
              <w:t> </w:t>
            </w:r>
            <w:r>
              <w:rPr>
                <w:b/>
                <w:sz w:val="20"/>
              </w:rPr>
              <w:t>article</w:t>
            </w:r>
            <w:r>
              <w:rPr>
                <w:b/>
                <w:spacing w:val="-6"/>
                <w:sz w:val="20"/>
              </w:rPr>
              <w:t> </w:t>
            </w:r>
            <w:r>
              <w:rPr>
                <w:b/>
                <w:sz w:val="20"/>
              </w:rPr>
              <w:t>suitable for scholarly communications?</w:t>
            </w:r>
          </w:p>
        </w:tc>
        <w:tc>
          <w:tcPr>
            <w:tcW w:w="9360" w:type="dxa"/>
          </w:tcPr>
          <w:p>
            <w:pPr>
              <w:pStyle w:val="TableParagraph"/>
              <w:rPr>
                <w:sz w:val="20"/>
              </w:rPr>
            </w:pPr>
            <w:r>
              <w:rPr>
                <w:sz w:val="20"/>
              </w:rPr>
              <w:t>The</w:t>
            </w:r>
            <w:r>
              <w:rPr>
                <w:spacing w:val="-4"/>
                <w:sz w:val="20"/>
              </w:rPr>
              <w:t> </w:t>
            </w:r>
            <w:r>
              <w:rPr>
                <w:sz w:val="20"/>
              </w:rPr>
              <w:t>language</w:t>
            </w:r>
            <w:r>
              <w:rPr>
                <w:spacing w:val="-4"/>
                <w:sz w:val="20"/>
              </w:rPr>
              <w:t> </w:t>
            </w:r>
            <w:r>
              <w:rPr>
                <w:sz w:val="20"/>
              </w:rPr>
              <w:t>is</w:t>
            </w:r>
            <w:r>
              <w:rPr>
                <w:spacing w:val="-4"/>
                <w:sz w:val="20"/>
              </w:rPr>
              <w:t> </w:t>
            </w:r>
            <w:r>
              <w:rPr>
                <w:sz w:val="20"/>
              </w:rPr>
              <w:t>clear</w:t>
            </w:r>
            <w:r>
              <w:rPr>
                <w:spacing w:val="-4"/>
                <w:sz w:val="20"/>
              </w:rPr>
              <w:t> </w:t>
            </w:r>
            <w:r>
              <w:rPr>
                <w:sz w:val="20"/>
              </w:rPr>
              <w:t>and</w:t>
            </w:r>
            <w:r>
              <w:rPr>
                <w:spacing w:val="-4"/>
                <w:sz w:val="20"/>
              </w:rPr>
              <w:t> </w:t>
            </w:r>
            <w:r>
              <w:rPr>
                <w:sz w:val="20"/>
              </w:rPr>
              <w:t>of</w:t>
            </w:r>
            <w:r>
              <w:rPr>
                <w:spacing w:val="-4"/>
                <w:sz w:val="20"/>
              </w:rPr>
              <w:t> </w:t>
            </w:r>
            <w:r>
              <w:rPr>
                <w:sz w:val="20"/>
              </w:rPr>
              <w:t>sufficient</w:t>
            </w:r>
            <w:r>
              <w:rPr>
                <w:spacing w:val="-4"/>
                <w:sz w:val="20"/>
              </w:rPr>
              <w:t> </w:t>
            </w:r>
            <w:r>
              <w:rPr>
                <w:sz w:val="20"/>
              </w:rPr>
              <w:t>quality</w:t>
            </w:r>
            <w:r>
              <w:rPr>
                <w:spacing w:val="-4"/>
                <w:sz w:val="20"/>
              </w:rPr>
              <w:t> </w:t>
            </w:r>
            <w:r>
              <w:rPr>
                <w:sz w:val="20"/>
              </w:rPr>
              <w:t>for</w:t>
            </w:r>
            <w:r>
              <w:rPr>
                <w:spacing w:val="-4"/>
                <w:sz w:val="20"/>
              </w:rPr>
              <w:t> </w:t>
            </w:r>
            <w:r>
              <w:rPr>
                <w:sz w:val="20"/>
              </w:rPr>
              <w:t>scholarly</w:t>
            </w:r>
            <w:r>
              <w:rPr>
                <w:spacing w:val="-4"/>
                <w:sz w:val="20"/>
              </w:rPr>
              <w:t> </w:t>
            </w:r>
            <w:r>
              <w:rPr>
                <w:sz w:val="20"/>
              </w:rPr>
              <w:t>communication.</w:t>
            </w:r>
            <w:r>
              <w:rPr>
                <w:spacing w:val="-4"/>
                <w:sz w:val="20"/>
              </w:rPr>
              <w:t> </w:t>
            </w:r>
            <w:r>
              <w:rPr>
                <w:sz w:val="20"/>
              </w:rPr>
              <w:t>Minor</w:t>
            </w:r>
            <w:r>
              <w:rPr>
                <w:spacing w:val="-4"/>
                <w:sz w:val="20"/>
              </w:rPr>
              <w:t> </w:t>
            </w:r>
            <w:r>
              <w:rPr>
                <w:sz w:val="20"/>
              </w:rPr>
              <w:t>grammatical</w:t>
            </w:r>
            <w:r>
              <w:rPr>
                <w:spacing w:val="-4"/>
                <w:sz w:val="20"/>
              </w:rPr>
              <w:t> </w:t>
            </w:r>
            <w:r>
              <w:rPr>
                <w:sz w:val="20"/>
              </w:rPr>
              <w:t>polishing</w:t>
            </w:r>
            <w:r>
              <w:rPr>
                <w:spacing w:val="-4"/>
                <w:sz w:val="20"/>
              </w:rPr>
              <w:t> </w:t>
            </w:r>
            <w:r>
              <w:rPr>
                <w:sz w:val="20"/>
              </w:rPr>
              <w:t>could further improve fluency, but no major issues are noted.</w:t>
            </w:r>
          </w:p>
        </w:tc>
        <w:tc>
          <w:tcPr>
            <w:tcW w:w="6435" w:type="dxa"/>
          </w:tcPr>
          <w:p>
            <w:pPr>
              <w:pStyle w:val="TableParagraph"/>
              <w:spacing w:line="207" w:lineRule="exact"/>
              <w:ind w:left="7"/>
              <w:rPr>
                <w:sz w:val="18"/>
              </w:rPr>
            </w:pPr>
            <w:r>
              <w:rPr>
                <w:sz w:val="18"/>
              </w:rPr>
              <w:t>I’m willing to correct any further grammatical errors </w:t>
            </w:r>
            <w:r>
              <w:rPr>
                <w:spacing w:val="-2"/>
                <w:sz w:val="18"/>
              </w:rPr>
              <w:t>noted</w:t>
            </w:r>
          </w:p>
        </w:tc>
      </w:tr>
      <w:tr>
        <w:trPr>
          <w:trHeight w:val="1184" w:hRule="atLeast"/>
        </w:trPr>
        <w:tc>
          <w:tcPr>
            <w:tcW w:w="5355" w:type="dxa"/>
          </w:tcPr>
          <w:p>
            <w:pPr>
              <w:pStyle w:val="TableParagraph"/>
              <w:spacing w:line="225" w:lineRule="exact"/>
              <w:rPr>
                <w:sz w:val="20"/>
              </w:rPr>
            </w:pPr>
            <w:r>
              <w:rPr>
                <w:b/>
                <w:sz w:val="20"/>
                <w:u w:val="single"/>
              </w:rPr>
              <w:t>Optional/General</w:t>
            </w:r>
            <w:r>
              <w:rPr>
                <w:b/>
                <w:spacing w:val="-3"/>
                <w:sz w:val="20"/>
              </w:rPr>
              <w:t> </w:t>
            </w:r>
            <w:r>
              <w:rPr>
                <w:spacing w:val="-2"/>
                <w:sz w:val="20"/>
              </w:rPr>
              <w:t>comments</w:t>
            </w:r>
          </w:p>
        </w:tc>
        <w:tc>
          <w:tcPr>
            <w:tcW w:w="9360" w:type="dxa"/>
          </w:tcPr>
          <w:p>
            <w:pPr>
              <w:pStyle w:val="TableParagraph"/>
              <w:spacing w:before="3"/>
              <w:ind w:right="136"/>
              <w:rPr>
                <w:sz w:val="20"/>
              </w:rPr>
            </w:pPr>
            <w:r>
              <w:rPr>
                <w:sz w:val="20"/>
              </w:rPr>
              <w:t>The manuscript is well-structured, informative, and clinically relevant. The inclusion of CT findings, surgical techniques,</w:t>
            </w:r>
            <w:r>
              <w:rPr>
                <w:spacing w:val="-4"/>
                <w:sz w:val="20"/>
              </w:rPr>
              <w:t> </w:t>
            </w:r>
            <w:r>
              <w:rPr>
                <w:sz w:val="20"/>
              </w:rPr>
              <w:t>and</w:t>
            </w:r>
            <w:r>
              <w:rPr>
                <w:spacing w:val="-4"/>
                <w:sz w:val="20"/>
              </w:rPr>
              <w:t> </w:t>
            </w:r>
            <w:r>
              <w:rPr>
                <w:sz w:val="20"/>
              </w:rPr>
              <w:t>postoperative</w:t>
            </w:r>
            <w:r>
              <w:rPr>
                <w:spacing w:val="-4"/>
                <w:sz w:val="20"/>
              </w:rPr>
              <w:t> </w:t>
            </w:r>
            <w:r>
              <w:rPr>
                <w:sz w:val="20"/>
              </w:rPr>
              <w:t>recovery</w:t>
            </w:r>
            <w:r>
              <w:rPr>
                <w:spacing w:val="-4"/>
                <w:sz w:val="20"/>
              </w:rPr>
              <w:t> </w:t>
            </w:r>
            <w:r>
              <w:rPr>
                <w:sz w:val="20"/>
              </w:rPr>
              <w:t>adds</w:t>
            </w:r>
            <w:r>
              <w:rPr>
                <w:spacing w:val="-4"/>
                <w:sz w:val="20"/>
              </w:rPr>
              <w:t> </w:t>
            </w:r>
            <w:r>
              <w:rPr>
                <w:sz w:val="20"/>
              </w:rPr>
              <w:t>educational</w:t>
            </w:r>
            <w:r>
              <w:rPr>
                <w:spacing w:val="-4"/>
                <w:sz w:val="20"/>
              </w:rPr>
              <w:t> </w:t>
            </w:r>
            <w:r>
              <w:rPr>
                <w:sz w:val="20"/>
              </w:rPr>
              <w:t>value.</w:t>
            </w:r>
            <w:r>
              <w:rPr>
                <w:spacing w:val="-4"/>
                <w:sz w:val="20"/>
              </w:rPr>
              <w:t> </w:t>
            </w:r>
            <w:r>
              <w:rPr>
                <w:sz w:val="20"/>
              </w:rPr>
              <w:t>Figures,</w:t>
            </w:r>
            <w:r>
              <w:rPr>
                <w:spacing w:val="-4"/>
                <w:sz w:val="20"/>
              </w:rPr>
              <w:t> </w:t>
            </w:r>
            <w:r>
              <w:rPr>
                <w:sz w:val="20"/>
              </w:rPr>
              <w:t>if</w:t>
            </w:r>
            <w:r>
              <w:rPr>
                <w:spacing w:val="-4"/>
                <w:sz w:val="20"/>
              </w:rPr>
              <w:t> </w:t>
            </w:r>
            <w:r>
              <w:rPr>
                <w:sz w:val="20"/>
              </w:rPr>
              <w:t>available,</w:t>
            </w:r>
            <w:r>
              <w:rPr>
                <w:spacing w:val="-4"/>
                <w:sz w:val="20"/>
              </w:rPr>
              <w:t> </w:t>
            </w:r>
            <w:r>
              <w:rPr>
                <w:sz w:val="20"/>
              </w:rPr>
              <w:t>could</w:t>
            </w:r>
            <w:r>
              <w:rPr>
                <w:spacing w:val="-4"/>
                <w:sz w:val="20"/>
              </w:rPr>
              <w:t> </w:t>
            </w:r>
            <w:r>
              <w:rPr>
                <w:sz w:val="20"/>
              </w:rPr>
              <w:t>further</w:t>
            </w:r>
            <w:r>
              <w:rPr>
                <w:spacing w:val="-4"/>
                <w:sz w:val="20"/>
              </w:rPr>
              <w:t> </w:t>
            </w:r>
            <w:r>
              <w:rPr>
                <w:sz w:val="20"/>
              </w:rPr>
              <w:t>enhance</w:t>
            </w:r>
            <w:r>
              <w:rPr>
                <w:spacing w:val="-4"/>
                <w:sz w:val="20"/>
              </w:rPr>
              <w:t> </w:t>
            </w:r>
            <w:r>
              <w:rPr>
                <w:sz w:val="20"/>
              </w:rPr>
              <w:t>the case presentation.</w:t>
            </w:r>
          </w:p>
        </w:tc>
        <w:tc>
          <w:tcPr>
            <w:tcW w:w="6435" w:type="dxa"/>
          </w:tcPr>
          <w:p>
            <w:pPr>
              <w:pStyle w:val="TableParagraph"/>
              <w:spacing w:before="3"/>
              <w:ind w:left="7" w:right="45"/>
              <w:rPr>
                <w:sz w:val="18"/>
              </w:rPr>
            </w:pPr>
            <w:r>
              <w:rPr>
                <w:sz w:val="18"/>
              </w:rPr>
              <w:t>I</w:t>
            </w:r>
            <w:r>
              <w:rPr>
                <w:spacing w:val="-4"/>
                <w:sz w:val="18"/>
              </w:rPr>
              <w:t> </w:t>
            </w:r>
            <w:r>
              <w:rPr>
                <w:sz w:val="18"/>
              </w:rPr>
              <w:t>have</w:t>
            </w:r>
            <w:r>
              <w:rPr>
                <w:spacing w:val="-4"/>
                <w:sz w:val="18"/>
              </w:rPr>
              <w:t> </w:t>
            </w:r>
            <w:r>
              <w:rPr>
                <w:sz w:val="18"/>
              </w:rPr>
              <w:t>added</w:t>
            </w:r>
            <w:r>
              <w:rPr>
                <w:spacing w:val="-4"/>
                <w:sz w:val="18"/>
              </w:rPr>
              <w:t> </w:t>
            </w:r>
            <w:r>
              <w:rPr>
                <w:sz w:val="18"/>
              </w:rPr>
              <w:t>more</w:t>
            </w:r>
            <w:r>
              <w:rPr>
                <w:spacing w:val="-4"/>
                <w:sz w:val="18"/>
              </w:rPr>
              <w:t> </w:t>
            </w:r>
            <w:r>
              <w:rPr>
                <w:sz w:val="18"/>
              </w:rPr>
              <w:t>pictures</w:t>
            </w:r>
            <w:r>
              <w:rPr>
                <w:spacing w:val="-4"/>
                <w:sz w:val="18"/>
              </w:rPr>
              <w:t> </w:t>
            </w:r>
            <w:r>
              <w:rPr>
                <w:sz w:val="18"/>
              </w:rPr>
              <w:t>of</w:t>
            </w:r>
            <w:r>
              <w:rPr>
                <w:spacing w:val="-4"/>
                <w:sz w:val="18"/>
              </w:rPr>
              <w:t> </w:t>
            </w:r>
            <w:r>
              <w:rPr>
                <w:sz w:val="18"/>
              </w:rPr>
              <w:t>the</w:t>
            </w:r>
            <w:r>
              <w:rPr>
                <w:spacing w:val="-4"/>
                <w:sz w:val="18"/>
              </w:rPr>
              <w:t> </w:t>
            </w:r>
            <w:r>
              <w:rPr>
                <w:sz w:val="18"/>
              </w:rPr>
              <w:t>case</w:t>
            </w:r>
            <w:r>
              <w:rPr>
                <w:spacing w:val="-4"/>
                <w:sz w:val="18"/>
              </w:rPr>
              <w:t> </w:t>
            </w:r>
            <w:r>
              <w:rPr>
                <w:sz w:val="18"/>
              </w:rPr>
              <w:t>,</w:t>
            </w:r>
            <w:r>
              <w:rPr>
                <w:spacing w:val="-4"/>
                <w:sz w:val="18"/>
              </w:rPr>
              <w:t> </w:t>
            </w:r>
            <w:r>
              <w:rPr>
                <w:sz w:val="18"/>
              </w:rPr>
              <w:t>intraoperative,</w:t>
            </w:r>
            <w:r>
              <w:rPr>
                <w:spacing w:val="-4"/>
                <w:sz w:val="18"/>
              </w:rPr>
              <w:t> </w:t>
            </w:r>
            <w:r>
              <w:rPr>
                <w:sz w:val="18"/>
              </w:rPr>
              <w:t>reconstructive</w:t>
            </w:r>
            <w:r>
              <w:rPr>
                <w:spacing w:val="-4"/>
                <w:sz w:val="18"/>
              </w:rPr>
              <w:t> </w:t>
            </w:r>
            <w:r>
              <w:rPr>
                <w:sz w:val="18"/>
              </w:rPr>
              <w:t>surgery</w:t>
            </w:r>
            <w:r>
              <w:rPr>
                <w:spacing w:val="-4"/>
                <w:sz w:val="18"/>
              </w:rPr>
              <w:t> </w:t>
            </w:r>
            <w:r>
              <w:rPr>
                <w:sz w:val="18"/>
              </w:rPr>
              <w:t>and recovery pictures one month after the reconstructive surgery</w:t>
            </w:r>
          </w:p>
        </w:tc>
      </w:tr>
    </w:tbl>
    <w:p>
      <w:pPr>
        <w:pStyle w:val="TableParagraph"/>
        <w:spacing w:after="0"/>
        <w:rPr>
          <w:sz w:val="18"/>
        </w:rPr>
        <w:sectPr>
          <w:headerReference w:type="default" r:id="rId5"/>
          <w:type w:val="continuous"/>
          <w:pgSz w:w="23830" w:h="16860" w:orient="landscape"/>
          <w:pgMar w:header="1331" w:footer="0" w:top="2000" w:bottom="280" w:left="1133" w:right="1133"/>
          <w:pgNumType w:start="1"/>
        </w:sectPr>
      </w:pPr>
    </w:p>
    <w:p>
      <w:pPr>
        <w:spacing w:line="240" w:lineRule="auto" w:before="0"/>
        <w:rPr>
          <w:b/>
          <w:sz w:val="20"/>
        </w:rPr>
      </w:pPr>
    </w:p>
    <w:p>
      <w:pPr>
        <w:spacing w:line="240" w:lineRule="auto" w:before="37"/>
        <w:rPr>
          <w:b/>
          <w:sz w:val="20"/>
        </w:rPr>
      </w:pPr>
    </w:p>
    <w:p>
      <w:pPr>
        <w:pStyle w:val="BodyText"/>
        <w:ind w:left="141"/>
        <w:rPr>
          <w:rFonts w:ascii="Arial"/>
        </w:rPr>
      </w:pPr>
      <w:r>
        <w:rPr>
          <w:rFonts w:ascii="Arial"/>
          <w:color w:val="000000"/>
          <w:highlight w:val="yellow"/>
          <w:u w:val="single"/>
        </w:rPr>
        <w:t>PART</w:t>
      </w:r>
      <w:r>
        <w:rPr>
          <w:rFonts w:ascii="Arial"/>
          <w:color w:val="000000"/>
          <w:spacing w:val="37"/>
          <w:highlight w:val="yellow"/>
          <w:u w:val="single"/>
        </w:rPr>
        <w:t> </w:t>
      </w:r>
      <w:r>
        <w:rPr>
          <w:rFonts w:ascii="Arial"/>
          <w:color w:val="000000"/>
          <w:spacing w:val="-5"/>
          <w:highlight w:val="yellow"/>
          <w:u w:val="single"/>
        </w:rPr>
        <w:t>2:</w:t>
      </w:r>
    </w:p>
    <w:p>
      <w:pPr>
        <w:pStyle w:val="BodyText"/>
        <w:spacing w:before="60"/>
        <w:rPr>
          <w:rFonts w:ascii="Arial"/>
        </w:rPr>
      </w:pPr>
    </w:p>
    <w:tbl>
      <w:tblPr>
        <w:tblW w:w="0" w:type="auto"/>
        <w:jc w:val="left"/>
        <w:tblInd w:w="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945"/>
        <w:gridCol w:w="7275"/>
        <w:gridCol w:w="7260"/>
      </w:tblGrid>
      <w:tr>
        <w:trPr>
          <w:trHeight w:val="914" w:hRule="atLeast"/>
        </w:trPr>
        <w:tc>
          <w:tcPr>
            <w:tcW w:w="6945" w:type="dxa"/>
          </w:tcPr>
          <w:p>
            <w:pPr>
              <w:pStyle w:val="TableParagraph"/>
              <w:ind w:left="0"/>
              <w:rPr>
                <w:sz w:val="20"/>
              </w:rPr>
            </w:pPr>
          </w:p>
        </w:tc>
        <w:tc>
          <w:tcPr>
            <w:tcW w:w="7275" w:type="dxa"/>
          </w:tcPr>
          <w:p>
            <w:pPr>
              <w:pStyle w:val="TableParagraph"/>
              <w:spacing w:before="9"/>
              <w:ind w:left="97"/>
              <w:rPr>
                <w:rFonts w:ascii="Arial" w:hAnsi="Arial"/>
                <w:b/>
                <w:sz w:val="20"/>
              </w:rPr>
            </w:pPr>
            <w:r>
              <w:rPr>
                <w:rFonts w:ascii="Arial" w:hAnsi="Arial"/>
                <w:b/>
                <w:sz w:val="20"/>
              </w:rPr>
              <w:t>Reviewer’s</w:t>
            </w:r>
            <w:r>
              <w:rPr>
                <w:rFonts w:ascii="Arial" w:hAnsi="Arial"/>
                <w:b/>
                <w:spacing w:val="-2"/>
                <w:sz w:val="20"/>
              </w:rPr>
              <w:t> comment</w:t>
            </w:r>
          </w:p>
        </w:tc>
        <w:tc>
          <w:tcPr>
            <w:tcW w:w="7260" w:type="dxa"/>
          </w:tcPr>
          <w:p>
            <w:pPr>
              <w:pStyle w:val="TableParagraph"/>
              <w:spacing w:line="252" w:lineRule="auto" w:before="9"/>
              <w:ind w:left="7"/>
              <w:rPr>
                <w:rFonts w:ascii="Arial MT" w:hAnsi="Arial MT"/>
                <w:sz w:val="20"/>
              </w:rPr>
            </w:pPr>
            <w:r>
              <w:rPr>
                <w:rFonts w:ascii="Arial" w:hAnsi="Arial"/>
                <w:b/>
                <w:sz w:val="20"/>
              </w:rPr>
              <w:t>Author’s</w:t>
            </w:r>
            <w:r>
              <w:rPr>
                <w:rFonts w:ascii="Arial" w:hAnsi="Arial"/>
                <w:b/>
                <w:spacing w:val="-4"/>
                <w:sz w:val="20"/>
              </w:rPr>
              <w:t> </w:t>
            </w:r>
            <w:r>
              <w:rPr>
                <w:rFonts w:ascii="Arial" w:hAnsi="Arial"/>
                <w:b/>
                <w:sz w:val="20"/>
              </w:rPr>
              <w:t>Feedback</w:t>
            </w:r>
            <w:r>
              <w:rPr>
                <w:rFonts w:ascii="Arial" w:hAnsi="Arial"/>
                <w:b/>
                <w:spacing w:val="-4"/>
                <w:sz w:val="20"/>
              </w:rPr>
              <w:t> </w:t>
            </w:r>
            <w:r>
              <w:rPr>
                <w:rFonts w:ascii="Arial MT" w:hAnsi="Arial MT"/>
                <w:sz w:val="20"/>
              </w:rPr>
              <w:t>(It</w:t>
            </w:r>
            <w:r>
              <w:rPr>
                <w:rFonts w:ascii="Arial MT" w:hAnsi="Arial MT"/>
                <w:spacing w:val="-4"/>
                <w:sz w:val="20"/>
              </w:rPr>
              <w:t> </w:t>
            </w:r>
            <w:r>
              <w:rPr>
                <w:rFonts w:ascii="Arial MT" w:hAnsi="Arial MT"/>
                <w:sz w:val="20"/>
              </w:rPr>
              <w:t>is</w:t>
            </w:r>
            <w:r>
              <w:rPr>
                <w:rFonts w:ascii="Arial MT" w:hAnsi="Arial MT"/>
                <w:spacing w:val="-4"/>
                <w:sz w:val="20"/>
              </w:rPr>
              <w:t> </w:t>
            </w:r>
            <w:r>
              <w:rPr>
                <w:rFonts w:ascii="Arial MT" w:hAnsi="Arial MT"/>
                <w:sz w:val="20"/>
              </w:rPr>
              <w:t>mandatory</w:t>
            </w:r>
            <w:r>
              <w:rPr>
                <w:rFonts w:ascii="Arial MT" w:hAnsi="Arial MT"/>
                <w:spacing w:val="-4"/>
                <w:sz w:val="20"/>
              </w:rPr>
              <w:t> </w:t>
            </w:r>
            <w:r>
              <w:rPr>
                <w:rFonts w:ascii="Arial MT" w:hAnsi="Arial MT"/>
                <w:sz w:val="20"/>
              </w:rPr>
              <w:t>that</w:t>
            </w:r>
            <w:r>
              <w:rPr>
                <w:rFonts w:ascii="Arial MT" w:hAnsi="Arial MT"/>
                <w:spacing w:val="-4"/>
                <w:sz w:val="20"/>
              </w:rPr>
              <w:t> </w:t>
            </w:r>
            <w:r>
              <w:rPr>
                <w:rFonts w:ascii="Arial MT" w:hAnsi="Arial MT"/>
                <w:sz w:val="20"/>
              </w:rPr>
              <w:t>authors</w:t>
            </w:r>
            <w:r>
              <w:rPr>
                <w:rFonts w:ascii="Arial MT" w:hAnsi="Arial MT"/>
                <w:spacing w:val="-4"/>
                <w:sz w:val="20"/>
              </w:rPr>
              <w:t> </w:t>
            </w:r>
            <w:r>
              <w:rPr>
                <w:rFonts w:ascii="Arial MT" w:hAnsi="Arial MT"/>
                <w:sz w:val="20"/>
              </w:rPr>
              <w:t>should</w:t>
            </w:r>
            <w:r>
              <w:rPr>
                <w:rFonts w:ascii="Arial MT" w:hAnsi="Arial MT"/>
                <w:spacing w:val="-4"/>
                <w:sz w:val="20"/>
              </w:rPr>
              <w:t> </w:t>
            </w:r>
            <w:r>
              <w:rPr>
                <w:rFonts w:ascii="Arial MT" w:hAnsi="Arial MT"/>
                <w:sz w:val="20"/>
              </w:rPr>
              <w:t>write</w:t>
            </w:r>
            <w:r>
              <w:rPr>
                <w:rFonts w:ascii="Arial MT" w:hAnsi="Arial MT"/>
                <w:spacing w:val="-4"/>
                <w:sz w:val="20"/>
              </w:rPr>
              <w:t> </w:t>
            </w:r>
            <w:r>
              <w:rPr>
                <w:rFonts w:ascii="Arial MT" w:hAnsi="Arial MT"/>
                <w:sz w:val="20"/>
              </w:rPr>
              <w:t>his/her</w:t>
            </w:r>
            <w:r>
              <w:rPr>
                <w:rFonts w:ascii="Arial MT" w:hAnsi="Arial MT"/>
                <w:spacing w:val="-4"/>
                <w:sz w:val="20"/>
              </w:rPr>
              <w:t> </w:t>
            </w:r>
            <w:r>
              <w:rPr>
                <w:rFonts w:ascii="Arial MT" w:hAnsi="Arial MT"/>
                <w:sz w:val="20"/>
              </w:rPr>
              <w:t>feedback </w:t>
            </w:r>
            <w:r>
              <w:rPr>
                <w:rFonts w:ascii="Arial MT" w:hAnsi="Arial MT"/>
                <w:spacing w:val="-2"/>
                <w:sz w:val="20"/>
              </w:rPr>
              <w:t>here)</w:t>
            </w:r>
          </w:p>
        </w:tc>
      </w:tr>
      <w:tr>
        <w:trPr>
          <w:trHeight w:val="884" w:hRule="atLeast"/>
        </w:trPr>
        <w:tc>
          <w:tcPr>
            <w:tcW w:w="6945" w:type="dxa"/>
          </w:tcPr>
          <w:p>
            <w:pPr>
              <w:pStyle w:val="TableParagraph"/>
              <w:spacing w:before="179"/>
              <w:ind w:left="97"/>
              <w:rPr>
                <w:rFonts w:ascii="Arial"/>
                <w:b/>
                <w:sz w:val="20"/>
              </w:rPr>
            </w:pPr>
            <w:r>
              <w:rPr>
                <w:rFonts w:ascii="Arial"/>
                <w:b/>
                <w:sz w:val="20"/>
              </w:rPr>
              <w:t>Are</w:t>
            </w:r>
            <w:r>
              <w:rPr>
                <w:rFonts w:ascii="Arial"/>
                <w:b/>
                <w:spacing w:val="-1"/>
                <w:sz w:val="20"/>
              </w:rPr>
              <w:t> </w:t>
            </w:r>
            <w:r>
              <w:rPr>
                <w:rFonts w:ascii="Arial"/>
                <w:b/>
                <w:sz w:val="20"/>
              </w:rPr>
              <w:t>there</w:t>
            </w:r>
            <w:r>
              <w:rPr>
                <w:rFonts w:ascii="Arial"/>
                <w:b/>
                <w:spacing w:val="-1"/>
                <w:sz w:val="20"/>
              </w:rPr>
              <w:t> </w:t>
            </w:r>
            <w:r>
              <w:rPr>
                <w:rFonts w:ascii="Arial"/>
                <w:b/>
                <w:sz w:val="20"/>
              </w:rPr>
              <w:t>ethical</w:t>
            </w:r>
            <w:r>
              <w:rPr>
                <w:rFonts w:ascii="Arial"/>
                <w:b/>
                <w:spacing w:val="-1"/>
                <w:sz w:val="20"/>
              </w:rPr>
              <w:t> </w:t>
            </w:r>
            <w:r>
              <w:rPr>
                <w:rFonts w:ascii="Arial"/>
                <w:b/>
                <w:sz w:val="20"/>
              </w:rPr>
              <w:t>issues</w:t>
            </w:r>
            <w:r>
              <w:rPr>
                <w:rFonts w:ascii="Arial"/>
                <w:b/>
                <w:spacing w:val="-1"/>
                <w:sz w:val="20"/>
              </w:rPr>
              <w:t> </w:t>
            </w:r>
            <w:r>
              <w:rPr>
                <w:rFonts w:ascii="Arial"/>
                <w:b/>
                <w:sz w:val="20"/>
              </w:rPr>
              <w:t>in</w:t>
            </w:r>
            <w:r>
              <w:rPr>
                <w:rFonts w:ascii="Arial"/>
                <w:b/>
                <w:spacing w:val="-1"/>
                <w:sz w:val="20"/>
              </w:rPr>
              <w:t> </w:t>
            </w:r>
            <w:r>
              <w:rPr>
                <w:rFonts w:ascii="Arial"/>
                <w:b/>
                <w:sz w:val="20"/>
              </w:rPr>
              <w:t>this</w:t>
            </w:r>
            <w:r>
              <w:rPr>
                <w:rFonts w:ascii="Arial"/>
                <w:b/>
                <w:spacing w:val="-1"/>
                <w:sz w:val="20"/>
              </w:rPr>
              <w:t> </w:t>
            </w:r>
            <w:r>
              <w:rPr>
                <w:rFonts w:ascii="Arial"/>
                <w:b/>
                <w:spacing w:val="-2"/>
                <w:sz w:val="20"/>
              </w:rPr>
              <w:t>manuscript?</w:t>
            </w:r>
          </w:p>
        </w:tc>
        <w:tc>
          <w:tcPr>
            <w:tcW w:w="7275" w:type="dxa"/>
          </w:tcPr>
          <w:p>
            <w:pPr>
              <w:pStyle w:val="TableParagraph"/>
              <w:spacing w:before="179"/>
              <w:ind w:left="97"/>
              <w:rPr>
                <w:rFonts w:ascii="Arial"/>
                <w:i/>
                <w:sz w:val="20"/>
              </w:rPr>
            </w:pPr>
            <w:r>
              <w:rPr>
                <w:rFonts w:ascii="Arial"/>
                <w:i/>
                <w:sz w:val="20"/>
                <w:u w:val="single"/>
              </w:rPr>
              <w:t>(If</w:t>
            </w:r>
            <w:r>
              <w:rPr>
                <w:rFonts w:ascii="Arial"/>
                <w:i/>
                <w:spacing w:val="-1"/>
                <w:sz w:val="20"/>
                <w:u w:val="single"/>
              </w:rPr>
              <w:t> </w:t>
            </w:r>
            <w:r>
              <w:rPr>
                <w:rFonts w:ascii="Arial"/>
                <w:i/>
                <w:sz w:val="20"/>
                <w:u w:val="single"/>
              </w:rPr>
              <w:t>yes,</w:t>
            </w:r>
            <w:r>
              <w:rPr>
                <w:rFonts w:ascii="Arial"/>
                <w:i/>
                <w:spacing w:val="-1"/>
                <w:sz w:val="20"/>
                <w:u w:val="single"/>
              </w:rPr>
              <w:t> </w:t>
            </w:r>
            <w:r>
              <w:rPr>
                <w:rFonts w:ascii="Arial"/>
                <w:i/>
                <w:sz w:val="20"/>
                <w:u w:val="single"/>
              </w:rPr>
              <w:t>Kindly</w:t>
            </w:r>
            <w:r>
              <w:rPr>
                <w:rFonts w:ascii="Arial"/>
                <w:i/>
                <w:spacing w:val="-1"/>
                <w:sz w:val="20"/>
                <w:u w:val="single"/>
              </w:rPr>
              <w:t> </w:t>
            </w:r>
            <w:r>
              <w:rPr>
                <w:rFonts w:ascii="Arial"/>
                <w:i/>
                <w:sz w:val="20"/>
                <w:u w:val="single"/>
              </w:rPr>
              <w:t>please</w:t>
            </w:r>
            <w:r>
              <w:rPr>
                <w:rFonts w:ascii="Arial"/>
                <w:i/>
                <w:spacing w:val="-1"/>
                <w:sz w:val="20"/>
                <w:u w:val="single"/>
              </w:rPr>
              <w:t> </w:t>
            </w:r>
            <w:r>
              <w:rPr>
                <w:rFonts w:ascii="Arial"/>
                <w:i/>
                <w:sz w:val="20"/>
                <w:u w:val="single"/>
              </w:rPr>
              <w:t>write</w:t>
            </w:r>
            <w:r>
              <w:rPr>
                <w:rFonts w:ascii="Arial"/>
                <w:i/>
                <w:spacing w:val="-1"/>
                <w:sz w:val="20"/>
                <w:u w:val="single"/>
              </w:rPr>
              <w:t> </w:t>
            </w:r>
            <w:r>
              <w:rPr>
                <w:rFonts w:ascii="Arial"/>
                <w:i/>
                <w:sz w:val="20"/>
                <w:u w:val="single"/>
              </w:rPr>
              <w:t>down</w:t>
            </w:r>
            <w:r>
              <w:rPr>
                <w:rFonts w:ascii="Arial"/>
                <w:i/>
                <w:spacing w:val="-1"/>
                <w:sz w:val="20"/>
                <w:u w:val="single"/>
              </w:rPr>
              <w:t> </w:t>
            </w:r>
            <w:r>
              <w:rPr>
                <w:rFonts w:ascii="Arial"/>
                <w:i/>
                <w:sz w:val="20"/>
                <w:u w:val="single"/>
              </w:rPr>
              <w:t>the</w:t>
            </w:r>
            <w:r>
              <w:rPr>
                <w:rFonts w:ascii="Arial"/>
                <w:i/>
                <w:spacing w:val="-1"/>
                <w:sz w:val="20"/>
                <w:u w:val="single"/>
              </w:rPr>
              <w:t> </w:t>
            </w:r>
            <w:r>
              <w:rPr>
                <w:rFonts w:ascii="Arial"/>
                <w:i/>
                <w:sz w:val="20"/>
                <w:u w:val="single"/>
              </w:rPr>
              <w:t>ethical</w:t>
            </w:r>
            <w:r>
              <w:rPr>
                <w:rFonts w:ascii="Arial"/>
                <w:i/>
                <w:spacing w:val="-1"/>
                <w:sz w:val="20"/>
                <w:u w:val="single"/>
              </w:rPr>
              <w:t> </w:t>
            </w:r>
            <w:r>
              <w:rPr>
                <w:rFonts w:ascii="Arial"/>
                <w:i/>
                <w:sz w:val="20"/>
                <w:u w:val="single"/>
              </w:rPr>
              <w:t>issues</w:t>
            </w:r>
            <w:r>
              <w:rPr>
                <w:rFonts w:ascii="Arial"/>
                <w:i/>
                <w:spacing w:val="-1"/>
                <w:sz w:val="20"/>
                <w:u w:val="single"/>
              </w:rPr>
              <w:t> </w:t>
            </w:r>
            <w:r>
              <w:rPr>
                <w:rFonts w:ascii="Arial"/>
                <w:i/>
                <w:sz w:val="20"/>
                <w:u w:val="single"/>
              </w:rPr>
              <w:t>here</w:t>
            </w:r>
            <w:r>
              <w:rPr>
                <w:rFonts w:ascii="Arial"/>
                <w:i/>
                <w:spacing w:val="-1"/>
                <w:sz w:val="20"/>
                <w:u w:val="single"/>
              </w:rPr>
              <w:t> </w:t>
            </w:r>
            <w:r>
              <w:rPr>
                <w:rFonts w:ascii="Arial"/>
                <w:i/>
                <w:sz w:val="20"/>
                <w:u w:val="single"/>
              </w:rPr>
              <w:t>in</w:t>
            </w:r>
            <w:r>
              <w:rPr>
                <w:rFonts w:ascii="Arial"/>
                <w:i/>
                <w:spacing w:val="-1"/>
                <w:sz w:val="20"/>
                <w:u w:val="single"/>
              </w:rPr>
              <w:t> </w:t>
            </w:r>
            <w:r>
              <w:rPr>
                <w:rFonts w:ascii="Arial"/>
                <w:i/>
                <w:spacing w:val="-2"/>
                <w:sz w:val="20"/>
                <w:u w:val="single"/>
              </w:rPr>
              <w:t>details)</w:t>
            </w:r>
          </w:p>
        </w:tc>
        <w:tc>
          <w:tcPr>
            <w:tcW w:w="7260" w:type="dxa"/>
          </w:tcPr>
          <w:p>
            <w:pPr>
              <w:pStyle w:val="TableParagraph"/>
              <w:spacing w:before="47"/>
              <w:ind w:left="7"/>
              <w:rPr>
                <w:rFonts w:ascii="Arial MT" w:hAnsi="Arial MT"/>
                <w:sz w:val="20"/>
              </w:rPr>
            </w:pPr>
            <w:r>
              <w:rPr>
                <w:rFonts w:ascii="Arial MT" w:hAnsi="Arial MT"/>
                <w:sz w:val="20"/>
              </w:rPr>
              <w:t>No,</w:t>
            </w:r>
            <w:r>
              <w:rPr>
                <w:rFonts w:ascii="Arial MT" w:hAnsi="Arial MT"/>
                <w:spacing w:val="-1"/>
                <w:sz w:val="20"/>
              </w:rPr>
              <w:t> </w:t>
            </w:r>
            <w:r>
              <w:rPr>
                <w:rFonts w:ascii="Arial MT" w:hAnsi="Arial MT"/>
                <w:sz w:val="20"/>
              </w:rPr>
              <w:t>there</w:t>
            </w:r>
            <w:r>
              <w:rPr>
                <w:rFonts w:ascii="Arial MT" w:hAnsi="Arial MT"/>
                <w:spacing w:val="-1"/>
                <w:sz w:val="20"/>
              </w:rPr>
              <w:t> </w:t>
            </w:r>
            <w:r>
              <w:rPr>
                <w:rFonts w:ascii="Arial MT" w:hAnsi="Arial MT"/>
                <w:sz w:val="20"/>
              </w:rPr>
              <w:t>aren’t</w:t>
            </w:r>
            <w:r>
              <w:rPr>
                <w:rFonts w:ascii="Arial MT" w:hAnsi="Arial MT"/>
                <w:spacing w:val="-1"/>
                <w:sz w:val="20"/>
              </w:rPr>
              <w:t> </w:t>
            </w:r>
            <w:r>
              <w:rPr>
                <w:rFonts w:ascii="Arial MT" w:hAnsi="Arial MT"/>
                <w:sz w:val="20"/>
              </w:rPr>
              <w:t>any</w:t>
            </w:r>
            <w:r>
              <w:rPr>
                <w:rFonts w:ascii="Arial MT" w:hAnsi="Arial MT"/>
                <w:spacing w:val="-1"/>
                <w:sz w:val="20"/>
              </w:rPr>
              <w:t> </w:t>
            </w:r>
            <w:r>
              <w:rPr>
                <w:rFonts w:ascii="Arial MT" w:hAnsi="Arial MT"/>
                <w:sz w:val="20"/>
              </w:rPr>
              <w:t>ethical</w:t>
            </w:r>
            <w:r>
              <w:rPr>
                <w:rFonts w:ascii="Arial MT" w:hAnsi="Arial MT"/>
                <w:spacing w:val="-1"/>
                <w:sz w:val="20"/>
              </w:rPr>
              <w:t> </w:t>
            </w:r>
            <w:r>
              <w:rPr>
                <w:rFonts w:ascii="Arial MT" w:hAnsi="Arial MT"/>
                <w:sz w:val="20"/>
              </w:rPr>
              <w:t>issues</w:t>
            </w:r>
            <w:r>
              <w:rPr>
                <w:rFonts w:ascii="Arial MT" w:hAnsi="Arial MT"/>
                <w:spacing w:val="-1"/>
                <w:sz w:val="20"/>
              </w:rPr>
              <w:t> </w:t>
            </w:r>
            <w:r>
              <w:rPr>
                <w:rFonts w:ascii="Arial MT" w:hAnsi="Arial MT"/>
                <w:sz w:val="20"/>
              </w:rPr>
              <w:t>in</w:t>
            </w:r>
            <w:r>
              <w:rPr>
                <w:rFonts w:ascii="Arial MT" w:hAnsi="Arial MT"/>
                <w:spacing w:val="-1"/>
                <w:sz w:val="20"/>
              </w:rPr>
              <w:t> </w:t>
            </w:r>
            <w:r>
              <w:rPr>
                <w:rFonts w:ascii="Arial MT" w:hAnsi="Arial MT"/>
                <w:sz w:val="20"/>
              </w:rPr>
              <w:t>this</w:t>
            </w:r>
            <w:r>
              <w:rPr>
                <w:rFonts w:ascii="Arial MT" w:hAnsi="Arial MT"/>
                <w:spacing w:val="-1"/>
                <w:sz w:val="20"/>
              </w:rPr>
              <w:t> </w:t>
            </w:r>
            <w:r>
              <w:rPr>
                <w:rFonts w:ascii="Arial MT" w:hAnsi="Arial MT"/>
                <w:spacing w:val="-2"/>
                <w:sz w:val="20"/>
              </w:rPr>
              <w:t>manuscript.</w:t>
            </w:r>
          </w:p>
        </w:tc>
      </w:tr>
    </w:tbl>
    <w:sectPr>
      <w:pgSz w:w="23830" w:h="16860" w:orient="landscape"/>
      <w:pgMar w:header="1331" w:footer="0" w:top="2000" w:bottom="280" w:left="1133" w:right="113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rPr>
    </w:pPr>
    <w:r>
      <w:rPr>
        <w:b w:val="0"/>
      </w:rPr>
      <mc:AlternateContent>
        <mc:Choice Requires="wps">
          <w:drawing>
            <wp:anchor distT="0" distB="0" distL="0" distR="0" allowOverlap="1" layoutInCell="1" locked="0" behindDoc="1" simplePos="0" relativeHeight="487502848">
              <wp:simplePos x="0" y="0"/>
              <wp:positionH relativeFrom="page">
                <wp:posOffset>909796</wp:posOffset>
              </wp:positionH>
              <wp:positionV relativeFrom="page">
                <wp:posOffset>845121</wp:posOffset>
              </wp:positionV>
              <wp:extent cx="1089025" cy="142240"/>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1089025" cy="142240"/>
                        <a:chExt cx="1089025" cy="142240"/>
                      </a:xfrm>
                    </wpg:grpSpPr>
                    <pic:pic>
                      <pic:nvPicPr>
                        <pic:cNvPr id="2" name="Image 2"/>
                        <pic:cNvPicPr/>
                      </pic:nvPicPr>
                      <pic:blipFill>
                        <a:blip r:embed="rId1" cstate="print"/>
                        <a:stretch>
                          <a:fillRect/>
                        </a:stretch>
                      </pic:blipFill>
                      <pic:spPr>
                        <a:xfrm>
                          <a:off x="6416" y="0"/>
                          <a:ext cx="1075703" cy="119026"/>
                        </a:xfrm>
                        <a:prstGeom prst="rect">
                          <a:avLst/>
                        </a:prstGeom>
                      </pic:spPr>
                    </pic:pic>
                    <wps:wsp>
                      <wps:cNvPr id="3" name="Graphic 3"/>
                      <wps:cNvSpPr/>
                      <wps:spPr>
                        <a:xfrm>
                          <a:off x="0" y="127538"/>
                          <a:ext cx="1089025" cy="15240"/>
                        </a:xfrm>
                        <a:custGeom>
                          <a:avLst/>
                          <a:gdLst/>
                          <a:ahLst/>
                          <a:cxnLst/>
                          <a:rect l="l" t="t" r="r" b="b"/>
                          <a:pathLst>
                            <a:path w="1089025" h="15240">
                              <a:moveTo>
                                <a:pt x="1088672" y="14645"/>
                              </a:moveTo>
                              <a:lnTo>
                                <a:pt x="0" y="14645"/>
                              </a:lnTo>
                              <a:lnTo>
                                <a:pt x="0" y="0"/>
                              </a:lnTo>
                              <a:lnTo>
                                <a:pt x="1088672" y="0"/>
                              </a:lnTo>
                              <a:lnTo>
                                <a:pt x="1088672" y="14645"/>
                              </a:lnTo>
                              <a:close/>
                            </a:path>
                          </a:pathLst>
                        </a:custGeom>
                        <a:solidFill>
                          <a:srgbClr val="003399"/>
                        </a:solidFill>
                      </wps:spPr>
                      <wps:bodyPr wrap="square" lIns="0" tIns="0" rIns="0" bIns="0" rtlCol="0">
                        <a:prstTxWarp prst="textNoShape">
                          <a:avLst/>
                        </a:prstTxWarp>
                        <a:noAutofit/>
                      </wps:bodyPr>
                    </wps:wsp>
                  </wpg:wgp>
                </a:graphicData>
              </a:graphic>
            </wp:anchor>
          </w:drawing>
        </mc:Choice>
        <mc:Fallback>
          <w:pict>
            <v:group style="position:absolute;margin-left:71.637535pt;margin-top:66.545021pt;width:85.75pt;height:11.2pt;mso-position-horizontal-relative:page;mso-position-vertical-relative:page;z-index:-15813632" id="docshapegroup1" coordorigin="1433,1331" coordsize="1715,224">
              <v:shape style="position:absolute;left:1442;top:1330;width:1695;height:188" type="#_x0000_t75" id="docshape2" stroked="false">
                <v:imagedata r:id="rId1" o:title=""/>
              </v:shape>
              <v:rect style="position:absolute;left:1432;top:1531;width:1715;height:24" id="docshape3" filled="true" fillcolor="#003399" stroked="false">
                <v:fill type="solid"/>
              </v:rect>
              <w10:wrap type="none"/>
            </v:group>
          </w:pict>
        </mc:Fallback>
      </mc:AlternateConten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b/>
      <w:bCs/>
      <w:sz w:val="20"/>
      <w:szCs w:val="20"/>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ind w:left="112"/>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yperlink" Target="https://journalijmpcr.com/index.php/IJMPC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Rev_IJMPCR_144425_Ind.docx - Google Docs</dc:title>
  <dcterms:created xsi:type="dcterms:W3CDTF">2025-09-15T07:37:48Z</dcterms:created>
  <dcterms:modified xsi:type="dcterms:W3CDTF">2025-09-15T07:37:48Z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2025-09-13T00:00:00Z</vt:filetime>
  </property>
  <property fmtid="{D5CDD505-2E9C-101B-9397-08002B2CF9AE}" pid="3" name="Creator">
    <vt:lpwstr>Mozilla/5.0 (Windows NT 10.0; Win64; x64) AppleWebKit/537.36 (KHTML, like Gecko) Chrome/140.0.0.0 Safari/537.36</vt:lpwstr>
  </property>
  <property fmtid="{D5CDD505-2E9C-101B-9397-08002B2CF9AE}" pid="4" name="LastSaved">
    <vt:filetime>2025-09-15T00:00:00Z</vt:filetime>
  </property>
  <property fmtid="{D5CDD505-2E9C-101B-9397-08002B2CF9AE}" pid="5" name="Producer">
    <vt:lpwstr>Skia/PDF m140</vt:lpwstr>
  </property>
</Properties>
</file>