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CDB" w:rsidRDefault="00126CD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126CDB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126CDB" w:rsidRDefault="00126CDB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126CDB">
        <w:trPr>
          <w:trHeight w:val="290"/>
        </w:trPr>
        <w:tc>
          <w:tcPr>
            <w:tcW w:w="5167" w:type="dxa"/>
          </w:tcPr>
          <w:p w:rsidR="00126CDB" w:rsidRDefault="00550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CDB" w:rsidRDefault="00550AAE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Medical Principles and Clinical Practice</w:t>
              </w:r>
            </w:hyperlink>
            <w:r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126CDB">
        <w:trPr>
          <w:trHeight w:val="290"/>
        </w:trPr>
        <w:tc>
          <w:tcPr>
            <w:tcW w:w="5167" w:type="dxa"/>
          </w:tcPr>
          <w:p w:rsidR="00126CDB" w:rsidRDefault="00550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CDB" w:rsidRDefault="00550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Ms_AJMPCP_144688</w:t>
            </w:r>
          </w:p>
        </w:tc>
      </w:tr>
      <w:tr w:rsidR="00126CDB">
        <w:trPr>
          <w:trHeight w:val="650"/>
        </w:trPr>
        <w:tc>
          <w:tcPr>
            <w:tcW w:w="5167" w:type="dxa"/>
          </w:tcPr>
          <w:p w:rsidR="00126CDB" w:rsidRDefault="00550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CDB" w:rsidRDefault="00550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EFFECT OF AFTER-MEAL CONSUMPTION OF SOFT DRINKS ON THE GLYCEMIC INDEX AND GLYCEMIC LOAD OF FRIED YAM</w:t>
            </w:r>
          </w:p>
        </w:tc>
      </w:tr>
      <w:tr w:rsidR="00126CDB">
        <w:trPr>
          <w:trHeight w:val="332"/>
        </w:trPr>
        <w:tc>
          <w:tcPr>
            <w:tcW w:w="5167" w:type="dxa"/>
          </w:tcPr>
          <w:p w:rsidR="00126CDB" w:rsidRDefault="00550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CDB" w:rsidRDefault="00550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Original Research Article</w:t>
            </w:r>
          </w:p>
        </w:tc>
      </w:tr>
    </w:tbl>
    <w:p w:rsidR="00126CDB" w:rsidRDefault="00126CDB">
      <w:pPr>
        <w:rPr>
          <w:sz w:val="20"/>
          <w:szCs w:val="20"/>
        </w:rPr>
      </w:pPr>
      <w:bookmarkStart w:id="0" w:name="_heading=h.pii9f0hreq12" w:colFirst="0" w:colLast="0"/>
      <w:bookmarkStart w:id="1" w:name="_heading=h.l07yzwvjs7ho" w:colFirst="0" w:colLast="0"/>
      <w:bookmarkEnd w:id="0"/>
      <w:bookmarkEnd w:id="1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126CDB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126CDB" w:rsidRDefault="00550AAE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:rsidR="00126CDB" w:rsidRDefault="00126CDB">
            <w:pPr>
              <w:rPr>
                <w:sz w:val="20"/>
                <w:szCs w:val="20"/>
              </w:rPr>
            </w:pPr>
          </w:p>
        </w:tc>
      </w:tr>
      <w:tr w:rsidR="00126CDB">
        <w:tc>
          <w:tcPr>
            <w:tcW w:w="5351" w:type="dxa"/>
          </w:tcPr>
          <w:p w:rsidR="00126CDB" w:rsidRDefault="00126CDB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:rsidR="00126CDB" w:rsidRDefault="00550AAE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:rsidR="00126CDB" w:rsidRDefault="00550AAE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126CDB" w:rsidRDefault="00126CDB"/>
        </w:tc>
        <w:tc>
          <w:tcPr>
            <w:tcW w:w="6442" w:type="dxa"/>
          </w:tcPr>
          <w:p w:rsidR="00126CDB" w:rsidRDefault="00550AAE">
            <w:pPr>
              <w:spacing w:after="160" w:line="254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126CDB" w:rsidRDefault="00126CDB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126CDB">
        <w:trPr>
          <w:trHeight w:val="1264"/>
        </w:trPr>
        <w:tc>
          <w:tcPr>
            <w:tcW w:w="5351" w:type="dxa"/>
          </w:tcPr>
          <w:p w:rsidR="00126CDB" w:rsidRDefault="00550AAE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126CDB" w:rsidRDefault="00126CDB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126CDB" w:rsidRDefault="00550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The 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>study  projects</w:t>
            </w:r>
            <w:proofErr w:type="gramEnd"/>
            <w:r>
              <w:rPr>
                <w:b/>
                <w:color w:val="000000"/>
                <w:sz w:val="20"/>
                <w:szCs w:val="20"/>
              </w:rPr>
              <w:t xml:space="preserve"> the hidden metabolic risks of culturally prevalent eating habits which cre</w:t>
            </w:r>
            <w:r>
              <w:rPr>
                <w:b/>
                <w:color w:val="000000"/>
                <w:sz w:val="20"/>
                <w:szCs w:val="20"/>
              </w:rPr>
              <w:t xml:space="preserve">ate a strong foundation for policy framing and dietary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guidelines.Moreover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the study adds the local valuable data also for broad spectrum research purposes on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Diabetes.This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study focuses on how common practices, such as consuming sugar sweetened beverages </w:t>
            </w:r>
            <w:r>
              <w:rPr>
                <w:b/>
                <w:color w:val="000000"/>
                <w:sz w:val="20"/>
                <w:szCs w:val="20"/>
              </w:rPr>
              <w:t xml:space="preserve">immediately after starchy meals can worsen post prandial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glycemic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responses.</w:t>
            </w:r>
          </w:p>
        </w:tc>
        <w:tc>
          <w:tcPr>
            <w:tcW w:w="6442" w:type="dxa"/>
          </w:tcPr>
          <w:p w:rsidR="00126CDB" w:rsidRDefault="00550AAE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Thank you for the comment Doctor.</w:t>
            </w:r>
          </w:p>
        </w:tc>
      </w:tr>
      <w:tr w:rsidR="00126CDB">
        <w:trPr>
          <w:trHeight w:val="1262"/>
        </w:trPr>
        <w:tc>
          <w:tcPr>
            <w:tcW w:w="5351" w:type="dxa"/>
          </w:tcPr>
          <w:p w:rsidR="00126CDB" w:rsidRDefault="00550AAE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:rsidR="00126CDB" w:rsidRDefault="00550AAE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:rsidR="00126CDB" w:rsidRDefault="00126CDB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126CDB" w:rsidRDefault="00550AAE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126CDB" w:rsidRDefault="00126CDB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126CDB">
        <w:trPr>
          <w:trHeight w:val="1262"/>
        </w:trPr>
        <w:tc>
          <w:tcPr>
            <w:tcW w:w="5351" w:type="dxa"/>
          </w:tcPr>
          <w:p w:rsidR="00126CDB" w:rsidRDefault="00550AAE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:rsidR="00126CDB" w:rsidRDefault="00126CDB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126CDB" w:rsidRDefault="00126CDB">
            <w:pPr>
              <w:ind w:left="360"/>
              <w:rPr>
                <w:sz w:val="20"/>
                <w:szCs w:val="20"/>
              </w:rPr>
            </w:pPr>
          </w:p>
          <w:p w:rsidR="00126CDB" w:rsidRDefault="00550AAE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No suggestions</w:t>
            </w:r>
          </w:p>
        </w:tc>
        <w:tc>
          <w:tcPr>
            <w:tcW w:w="6442" w:type="dxa"/>
          </w:tcPr>
          <w:p w:rsidR="00126CDB" w:rsidRDefault="00126CDB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126CDB">
        <w:trPr>
          <w:trHeight w:val="704"/>
        </w:trPr>
        <w:tc>
          <w:tcPr>
            <w:tcW w:w="5351" w:type="dxa"/>
          </w:tcPr>
          <w:p w:rsidR="00126CDB" w:rsidRDefault="00550AAE">
            <w:pPr>
              <w:pStyle w:val="Heading2"/>
              <w:ind w:left="360"/>
              <w:jc w:val="left"/>
              <w:rPr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126CDB" w:rsidRDefault="00550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Yes the manuscript uses the standard crossover </w:t>
            </w:r>
            <w:proofErr w:type="spellStart"/>
            <w:proofErr w:type="gramStart"/>
            <w:r>
              <w:rPr>
                <w:b/>
                <w:color w:val="000000"/>
                <w:sz w:val="20"/>
                <w:szCs w:val="20"/>
              </w:rPr>
              <w:t>method,appropriate</w:t>
            </w:r>
            <w:proofErr w:type="spellEnd"/>
            <w:proofErr w:type="gramEnd"/>
            <w:r>
              <w:rPr>
                <w:b/>
                <w:color w:val="000000"/>
                <w:sz w:val="20"/>
                <w:szCs w:val="20"/>
              </w:rPr>
              <w:t xml:space="preserve"> sample size as per GI Task Force guidelines and the established calculations for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GI,GL&amp;iAUC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>.</w:t>
            </w:r>
          </w:p>
          <w:p w:rsidR="00126CDB" w:rsidRDefault="00126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  <w:p w:rsidR="00126CDB" w:rsidRDefault="00126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126CDB" w:rsidRDefault="00126CDB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126CDB">
        <w:trPr>
          <w:trHeight w:val="703"/>
        </w:trPr>
        <w:tc>
          <w:tcPr>
            <w:tcW w:w="5351" w:type="dxa"/>
          </w:tcPr>
          <w:p w:rsidR="00126CDB" w:rsidRDefault="00550AAE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</w:t>
            </w:r>
            <w:r>
              <w:rPr>
                <w:b/>
                <w:sz w:val="20"/>
                <w:szCs w:val="20"/>
              </w:rPr>
              <w:t>lease mention them in the review form.</w:t>
            </w:r>
          </w:p>
        </w:tc>
        <w:tc>
          <w:tcPr>
            <w:tcW w:w="9357" w:type="dxa"/>
          </w:tcPr>
          <w:p w:rsidR="00126CDB" w:rsidRDefault="00550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  NA</w:t>
            </w:r>
          </w:p>
        </w:tc>
        <w:tc>
          <w:tcPr>
            <w:tcW w:w="6442" w:type="dxa"/>
          </w:tcPr>
          <w:p w:rsidR="00126CDB" w:rsidRDefault="00126CDB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126CDB">
        <w:trPr>
          <w:trHeight w:val="386"/>
        </w:trPr>
        <w:tc>
          <w:tcPr>
            <w:tcW w:w="5351" w:type="dxa"/>
          </w:tcPr>
          <w:p w:rsidR="00126CDB" w:rsidRDefault="00550AAE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:rsidR="00126CDB" w:rsidRDefault="00126CDB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126CDB" w:rsidRDefault="00550AAE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Yes</w:t>
            </w:r>
          </w:p>
        </w:tc>
        <w:tc>
          <w:tcPr>
            <w:tcW w:w="6442" w:type="dxa"/>
          </w:tcPr>
          <w:p w:rsidR="00126CDB" w:rsidRDefault="00126CDB">
            <w:pPr>
              <w:rPr>
                <w:sz w:val="20"/>
                <w:szCs w:val="20"/>
              </w:rPr>
            </w:pPr>
          </w:p>
        </w:tc>
      </w:tr>
      <w:tr w:rsidR="00126CDB">
        <w:trPr>
          <w:trHeight w:val="1178"/>
        </w:trPr>
        <w:tc>
          <w:tcPr>
            <w:tcW w:w="5351" w:type="dxa"/>
          </w:tcPr>
          <w:p w:rsidR="00126CDB" w:rsidRDefault="00550AAE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:rsidR="00126CDB" w:rsidRDefault="00126CDB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:rsidR="00126CDB" w:rsidRDefault="00550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The post prandial monitoring can be extended to 3-4 hours to check the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glycemic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dips or rebounds which may be caused by sugar present in soft 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>drinks .</w:t>
            </w:r>
            <w:proofErr w:type="gramEnd"/>
          </w:p>
          <w:p w:rsidR="00126CDB" w:rsidRDefault="00550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The study can be widened by testing across age groups or metabolic risk population like pre diabetics can</w:t>
            </w:r>
            <w:r>
              <w:rPr>
                <w:b/>
                <w:color w:val="000000"/>
                <w:sz w:val="20"/>
                <w:szCs w:val="20"/>
              </w:rPr>
              <w:t xml:space="preserve"> be </w:t>
            </w:r>
            <w:proofErr w:type="spellStart"/>
            <w:proofErr w:type="gramStart"/>
            <w:r>
              <w:rPr>
                <w:b/>
                <w:color w:val="000000"/>
                <w:sz w:val="20"/>
                <w:szCs w:val="20"/>
              </w:rPr>
              <w:t>suggested.The</w:t>
            </w:r>
            <w:proofErr w:type="spellEnd"/>
            <w:proofErr w:type="gramEnd"/>
            <w:r>
              <w:rPr>
                <w:b/>
                <w:color w:val="000000"/>
                <w:sz w:val="20"/>
                <w:szCs w:val="20"/>
              </w:rPr>
              <w:t xml:space="preserve"> gender based nearly equal male &amp; female subgroup distribution analysis can also reveal interesting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glycemic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responses.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</w:rPr>
              <w:t xml:space="preserve">The research can be 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>make</w:t>
            </w:r>
            <w:proofErr w:type="gramEnd"/>
            <w:r>
              <w:rPr>
                <w:b/>
                <w:color w:val="000000"/>
                <w:sz w:val="20"/>
                <w:szCs w:val="20"/>
              </w:rPr>
              <w:t xml:space="preserve"> more policy relevant by integrating findings into the Nigerian or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WHOguidelines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6442" w:type="dxa"/>
          </w:tcPr>
          <w:p w:rsidR="00126CDB" w:rsidRDefault="00550A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Noted with th</w:t>
            </w:r>
            <w:r>
              <w:rPr>
                <w:sz w:val="20"/>
                <w:szCs w:val="20"/>
              </w:rPr>
              <w:t>anks.</w:t>
            </w:r>
          </w:p>
        </w:tc>
      </w:tr>
    </w:tbl>
    <w:p w:rsidR="00126CDB" w:rsidRDefault="00126CD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126CDB" w:rsidRDefault="00126CD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126CDB" w:rsidRDefault="00126CD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126CDB" w:rsidRDefault="00126CD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126CDB" w:rsidRDefault="00126CD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E4B9C" w:rsidRDefault="007E4B9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E4B9C" w:rsidRDefault="007E4B9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E4B9C" w:rsidRDefault="007E4B9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E4B9C" w:rsidRDefault="007E4B9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bookmarkStart w:id="2" w:name="_GoBack"/>
      <w:bookmarkEnd w:id="2"/>
    </w:p>
    <w:p w:rsidR="00126CDB" w:rsidRDefault="00126CD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bookmarkStart w:id="3" w:name="_heading=h.tg6aigs7hob7" w:colFirst="0" w:colLast="0"/>
      <w:bookmarkEnd w:id="3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126CDB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CDB" w:rsidRDefault="00550AAE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lastRenderedPageBreak/>
              <w:t>PART  2:</w:t>
            </w:r>
            <w:r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126CDB" w:rsidRDefault="00126CD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126CDB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CDB" w:rsidRDefault="00126CD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CDB" w:rsidRDefault="00550AAE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CDB" w:rsidRDefault="00550AAE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126CDB" w:rsidRDefault="00126CDB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26CDB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CDB" w:rsidRDefault="00550AAE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126CDB" w:rsidRDefault="00126CD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CDB" w:rsidRDefault="00550AAE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126CDB" w:rsidRDefault="00126CD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126CDB" w:rsidRDefault="00126CD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CDB" w:rsidRDefault="00126CD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126CDB" w:rsidRDefault="00126CD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126CDB" w:rsidRDefault="00126CD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126CDB" w:rsidRDefault="00126CDB"/>
    <w:p w:rsidR="00126CDB" w:rsidRDefault="00126CDB"/>
    <w:p w:rsidR="00126CDB" w:rsidRDefault="00126CDB">
      <w:pPr>
        <w:rPr>
          <w:u w:val="single"/>
        </w:rPr>
      </w:pPr>
    </w:p>
    <w:p w:rsidR="00126CDB" w:rsidRDefault="00126CDB"/>
    <w:p w:rsidR="00126CDB" w:rsidRDefault="00126CD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126CDB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0AAE" w:rsidRDefault="00550AAE">
      <w:r>
        <w:separator/>
      </w:r>
    </w:p>
  </w:endnote>
  <w:endnote w:type="continuationSeparator" w:id="0">
    <w:p w:rsidR="00550AAE" w:rsidRDefault="00550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6CDB" w:rsidRDefault="00550AAE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0AAE" w:rsidRDefault="00550AAE">
      <w:r>
        <w:separator/>
      </w:r>
    </w:p>
  </w:footnote>
  <w:footnote w:type="continuationSeparator" w:id="0">
    <w:p w:rsidR="00550AAE" w:rsidRDefault="00550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6CDB" w:rsidRDefault="00126CDB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126CDB" w:rsidRDefault="00550AAE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CDB"/>
    <w:rsid w:val="00126CDB"/>
    <w:rsid w:val="00550AAE"/>
    <w:rsid w:val="007E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87D92"/>
  <w15:docId w15:val="{F72F6537-CC49-4BDD-86DD-2ABD99F3A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Calibri" w:eastAsia="Calibri" w:hAnsi="Calibri" w:cs="Calibri"/>
      <w:b/>
      <w:sz w:val="32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 w:eastAsia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customStyle="1" w:styleId="Heading1Char">
    <w:name w:val="Heading 1 Char"/>
    <w:rPr>
      <w:rFonts w:ascii="Calibri Light" w:eastAsia="Times New Roman" w:hAnsi="Calibri Light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mpcp.com/index.php/AJMPC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m3o9kYeb0hBvuugLz/aL7HWO4A==">CgMxLjAyDmgucGlpOWYwaHJlcTEyMg5oLmwwN3l6d3ZqczdobzIOaC50ZzZhaWdzN2hvYjc4AHIhMUNMRGlqWDB1TEtBTUthY0I2bmR2M1NzbEpJODdMRFJu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410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2</cp:revision>
  <dcterms:created xsi:type="dcterms:W3CDTF">2011-08-01T09:21:00Z</dcterms:created>
  <dcterms:modified xsi:type="dcterms:W3CDTF">2025-09-22T11:14:00Z</dcterms:modified>
</cp:coreProperties>
</file>