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26386955" w14:textId="77777777" w:rsidTr="002643B3">
        <w:trPr>
          <w:trHeight w:val="290"/>
        </w:trPr>
        <w:tc>
          <w:tcPr>
            <w:tcW w:w="5000" w:type="pct"/>
            <w:gridSpan w:val="2"/>
            <w:tcBorders>
              <w:top w:val="nil"/>
              <w:left w:val="nil"/>
              <w:right w:val="nil"/>
            </w:tcBorders>
          </w:tcPr>
          <w:p w14:paraId="694564C9" w14:textId="77777777" w:rsidR="00602F7D" w:rsidRPr="00F245A7" w:rsidRDefault="00602F7D" w:rsidP="00F2643C">
            <w:pPr>
              <w:pStyle w:val="Heading2"/>
              <w:jc w:val="left"/>
              <w:rPr>
                <w:rFonts w:ascii="Arial" w:hAnsi="Arial" w:cs="Arial"/>
                <w:b w:val="0"/>
                <w:bCs w:val="0"/>
                <w:sz w:val="28"/>
                <w:szCs w:val="28"/>
                <w:lang w:val="en-GB" w:eastAsia="en-US"/>
              </w:rPr>
            </w:pPr>
          </w:p>
        </w:tc>
      </w:tr>
      <w:tr w:rsidR="0000007A" w:rsidRPr="00F245A7" w14:paraId="1FEDA8F3" w14:textId="77777777" w:rsidTr="002643B3">
        <w:trPr>
          <w:trHeight w:val="290"/>
        </w:trPr>
        <w:tc>
          <w:tcPr>
            <w:tcW w:w="1234" w:type="pct"/>
          </w:tcPr>
          <w:p w14:paraId="5D2DB473"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Journal Name:</w:t>
            </w:r>
          </w:p>
        </w:tc>
        <w:tc>
          <w:tcPr>
            <w:tcW w:w="3766" w:type="pct"/>
            <w:tcMar>
              <w:top w:w="0" w:type="dxa"/>
              <w:left w:w="108" w:type="dxa"/>
              <w:bottom w:w="0" w:type="dxa"/>
              <w:right w:w="108" w:type="dxa"/>
            </w:tcMar>
            <w:vAlign w:val="center"/>
          </w:tcPr>
          <w:p w14:paraId="3D708010" w14:textId="77777777" w:rsidR="0000007A" w:rsidRPr="00E65EB7" w:rsidRDefault="007E70F7" w:rsidP="00E65EB7">
            <w:pPr>
              <w:rPr>
                <w:rFonts w:ascii="Arial" w:hAnsi="Arial" w:cs="Arial"/>
                <w:b/>
                <w:bCs/>
                <w:color w:val="0000FF"/>
                <w:sz w:val="20"/>
                <w:szCs w:val="20"/>
              </w:rPr>
            </w:pPr>
            <w:hyperlink r:id="rId8" w:history="1">
              <w:r w:rsidR="00D96C9F" w:rsidRPr="00306C13">
                <w:rPr>
                  <w:rStyle w:val="Hyperlink"/>
                  <w:rFonts w:ascii="Arial" w:hAnsi="Arial" w:cs="Arial"/>
                  <w:b/>
                  <w:bCs/>
                  <w:sz w:val="20"/>
                  <w:szCs w:val="20"/>
                </w:rPr>
                <w:t>Asian Journal of Medical Principles and Clinical Practice</w:t>
              </w:r>
            </w:hyperlink>
            <w:r w:rsidR="00D96C9F" w:rsidRPr="00D96C9F">
              <w:rPr>
                <w:rFonts w:ascii="Arial" w:hAnsi="Arial" w:cs="Arial"/>
                <w:b/>
                <w:bCs/>
                <w:color w:val="0000FF"/>
                <w:sz w:val="20"/>
                <w:szCs w:val="20"/>
              </w:rPr>
              <w:t xml:space="preserve"> </w:t>
            </w:r>
          </w:p>
        </w:tc>
      </w:tr>
      <w:tr w:rsidR="0000007A" w:rsidRPr="00F245A7" w14:paraId="16DE846D" w14:textId="77777777" w:rsidTr="002643B3">
        <w:trPr>
          <w:trHeight w:val="290"/>
        </w:trPr>
        <w:tc>
          <w:tcPr>
            <w:tcW w:w="1234" w:type="pct"/>
          </w:tcPr>
          <w:p w14:paraId="7B774286"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Manuscript Number:</w:t>
            </w:r>
          </w:p>
        </w:tc>
        <w:tc>
          <w:tcPr>
            <w:tcW w:w="3766" w:type="pct"/>
            <w:tcMar>
              <w:top w:w="0" w:type="dxa"/>
              <w:left w:w="108" w:type="dxa"/>
              <w:bottom w:w="0" w:type="dxa"/>
              <w:right w:w="108" w:type="dxa"/>
            </w:tcMar>
            <w:vAlign w:val="center"/>
          </w:tcPr>
          <w:p w14:paraId="293FFD20" w14:textId="77777777" w:rsidR="0000007A" w:rsidRPr="00F245A7" w:rsidRDefault="00031BEB" w:rsidP="00F3669D">
            <w:pPr>
              <w:pStyle w:val="NormalWeb"/>
              <w:spacing w:before="0" w:beforeAutospacing="0" w:after="0" w:afterAutospacing="0"/>
              <w:rPr>
                <w:rFonts w:ascii="Arial" w:hAnsi="Arial" w:cs="Arial"/>
                <w:b/>
                <w:bCs/>
                <w:sz w:val="20"/>
                <w:szCs w:val="28"/>
                <w:lang w:val="en-GB"/>
              </w:rPr>
            </w:pPr>
            <w:r w:rsidRPr="00031BEB">
              <w:rPr>
                <w:rFonts w:ascii="Arial" w:hAnsi="Arial" w:cs="Arial"/>
                <w:b/>
                <w:bCs/>
                <w:sz w:val="20"/>
                <w:szCs w:val="28"/>
                <w:lang w:val="en-GB"/>
              </w:rPr>
              <w:t>Ms_AJMPCP_144536</w:t>
            </w:r>
          </w:p>
        </w:tc>
      </w:tr>
      <w:tr w:rsidR="0000007A" w:rsidRPr="00F245A7" w14:paraId="6DF600D3" w14:textId="77777777" w:rsidTr="002643B3">
        <w:trPr>
          <w:trHeight w:val="650"/>
        </w:trPr>
        <w:tc>
          <w:tcPr>
            <w:tcW w:w="1234" w:type="pct"/>
          </w:tcPr>
          <w:p w14:paraId="718B0E3B"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 xml:space="preserve">Title of the Manuscript: </w:t>
            </w:r>
          </w:p>
        </w:tc>
        <w:tc>
          <w:tcPr>
            <w:tcW w:w="3766" w:type="pct"/>
            <w:tcMar>
              <w:top w:w="0" w:type="dxa"/>
              <w:left w:w="108" w:type="dxa"/>
              <w:bottom w:w="0" w:type="dxa"/>
              <w:right w:w="108" w:type="dxa"/>
            </w:tcMar>
            <w:vAlign w:val="center"/>
          </w:tcPr>
          <w:p w14:paraId="7EADD5F4" w14:textId="77777777" w:rsidR="0000007A" w:rsidRPr="00F245A7" w:rsidRDefault="00031BEB" w:rsidP="000450FC">
            <w:pPr>
              <w:pStyle w:val="NormalWeb"/>
              <w:spacing w:before="0" w:beforeAutospacing="0" w:after="0" w:afterAutospacing="0"/>
              <w:rPr>
                <w:rFonts w:ascii="Arial" w:hAnsi="Arial" w:cs="Arial"/>
                <w:b/>
                <w:sz w:val="20"/>
                <w:szCs w:val="28"/>
                <w:lang w:val="en-GB"/>
              </w:rPr>
            </w:pPr>
            <w:r w:rsidRPr="00031BEB">
              <w:rPr>
                <w:rFonts w:ascii="Arial" w:hAnsi="Arial" w:cs="Arial"/>
                <w:b/>
                <w:sz w:val="20"/>
                <w:szCs w:val="28"/>
                <w:lang w:val="en-GB"/>
              </w:rPr>
              <w:t>PHARMACIST-LED MEDICATION RECONCILIATION INTERVENTIONS IN HOSPITAL SETTINGS: A SYSTEMATIC REVIEW</w:t>
            </w:r>
          </w:p>
        </w:tc>
      </w:tr>
      <w:tr w:rsidR="00CF0BBB" w:rsidRPr="00F245A7" w14:paraId="17DBA723" w14:textId="77777777" w:rsidTr="002643B3">
        <w:trPr>
          <w:trHeight w:val="332"/>
        </w:trPr>
        <w:tc>
          <w:tcPr>
            <w:tcW w:w="1234" w:type="pct"/>
          </w:tcPr>
          <w:p w14:paraId="118AA35A" w14:textId="77777777" w:rsidR="00CF0BBB" w:rsidRPr="00F245A7" w:rsidRDefault="00CF0BBB"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Type of the Article</w:t>
            </w:r>
          </w:p>
        </w:tc>
        <w:tc>
          <w:tcPr>
            <w:tcW w:w="3766" w:type="pct"/>
            <w:tcMar>
              <w:top w:w="0" w:type="dxa"/>
              <w:left w:w="108" w:type="dxa"/>
              <w:bottom w:w="0" w:type="dxa"/>
              <w:right w:w="108" w:type="dxa"/>
            </w:tcMar>
            <w:vAlign w:val="center"/>
          </w:tcPr>
          <w:p w14:paraId="0EA9818D" w14:textId="77777777" w:rsidR="00CF0BBB" w:rsidRPr="00F245A7" w:rsidRDefault="00615CE2" w:rsidP="000450FC">
            <w:pPr>
              <w:pStyle w:val="NormalWeb"/>
              <w:spacing w:before="0" w:beforeAutospacing="0" w:after="0" w:afterAutospacing="0"/>
              <w:rPr>
                <w:rFonts w:ascii="Arial" w:hAnsi="Arial" w:cs="Arial"/>
                <w:b/>
                <w:sz w:val="20"/>
                <w:szCs w:val="28"/>
                <w:lang w:val="en-GB"/>
              </w:rPr>
            </w:pPr>
            <w:r w:rsidRPr="00615CE2">
              <w:rPr>
                <w:rFonts w:ascii="Arial" w:hAnsi="Arial" w:cs="Arial"/>
                <w:b/>
                <w:sz w:val="20"/>
                <w:szCs w:val="28"/>
                <w:lang w:val="en-GB"/>
              </w:rPr>
              <w:t>Review Article</w:t>
            </w:r>
          </w:p>
        </w:tc>
      </w:tr>
    </w:tbl>
    <w:p w14:paraId="249611EA" w14:textId="3BF21A19" w:rsidR="00511081" w:rsidRPr="00900E9B" w:rsidRDefault="00511081" w:rsidP="00511081">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11081" w:rsidRPr="00900E9B" w14:paraId="5634FC81" w14:textId="77777777">
        <w:tc>
          <w:tcPr>
            <w:tcW w:w="5000" w:type="pct"/>
            <w:gridSpan w:val="3"/>
            <w:tcBorders>
              <w:top w:val="nil"/>
              <w:left w:val="nil"/>
              <w:right w:val="nil"/>
            </w:tcBorders>
            <w:noWrap/>
          </w:tcPr>
          <w:p w14:paraId="2C39FCF3" w14:textId="77777777" w:rsidR="00511081" w:rsidRPr="00C22FA3" w:rsidRDefault="00511081">
            <w:pPr>
              <w:pStyle w:val="Heading2"/>
              <w:jc w:val="left"/>
              <w:rPr>
                <w:rFonts w:ascii="Times New Roman" w:hAnsi="Times New Roman" w:cs="Helvetica"/>
                <w:lang w:val="en-GB" w:eastAsia="en-US"/>
              </w:rPr>
            </w:pPr>
            <w:r w:rsidRPr="00C22FA3">
              <w:rPr>
                <w:rFonts w:ascii="Times New Roman" w:hAnsi="Times New Roman" w:cs="Helvetica"/>
                <w:highlight w:val="yellow"/>
                <w:lang w:val="en-GB" w:eastAsia="en-US"/>
              </w:rPr>
              <w:t>PART  1:</w:t>
            </w:r>
            <w:r w:rsidRPr="00C22FA3">
              <w:rPr>
                <w:rFonts w:ascii="Times New Roman" w:hAnsi="Times New Roman" w:cs="Helvetica"/>
                <w:lang w:val="en-GB" w:eastAsia="en-US"/>
              </w:rPr>
              <w:t xml:space="preserve"> Comments</w:t>
            </w:r>
          </w:p>
          <w:p w14:paraId="47A9BFEF" w14:textId="77777777" w:rsidR="00511081" w:rsidRPr="00900E9B" w:rsidRDefault="00511081">
            <w:pPr>
              <w:rPr>
                <w:sz w:val="20"/>
                <w:szCs w:val="20"/>
                <w:lang w:val="en-GB"/>
              </w:rPr>
            </w:pPr>
          </w:p>
        </w:tc>
      </w:tr>
      <w:tr w:rsidR="00511081" w:rsidRPr="00900E9B" w14:paraId="357C12F6" w14:textId="77777777">
        <w:tc>
          <w:tcPr>
            <w:tcW w:w="1265" w:type="pct"/>
            <w:noWrap/>
          </w:tcPr>
          <w:p w14:paraId="49C7C20C" w14:textId="77777777" w:rsidR="00511081" w:rsidRPr="00C22FA3" w:rsidRDefault="00511081">
            <w:pPr>
              <w:pStyle w:val="Heading2"/>
              <w:jc w:val="left"/>
              <w:rPr>
                <w:rFonts w:ascii="Times New Roman" w:hAnsi="Times New Roman" w:cs="Helvetica"/>
                <w:lang w:val="en-GB" w:eastAsia="en-US"/>
              </w:rPr>
            </w:pPr>
          </w:p>
        </w:tc>
        <w:tc>
          <w:tcPr>
            <w:tcW w:w="2212" w:type="pct"/>
          </w:tcPr>
          <w:p w14:paraId="0F6C1064" w14:textId="77777777" w:rsidR="00511081" w:rsidRPr="00C22FA3" w:rsidRDefault="00511081">
            <w:pPr>
              <w:pStyle w:val="Heading2"/>
              <w:jc w:val="left"/>
              <w:rPr>
                <w:rFonts w:ascii="Times New Roman" w:hAnsi="Times New Roman" w:cs="Helvetica"/>
                <w:lang w:val="en-GB" w:eastAsia="en-US"/>
              </w:rPr>
            </w:pPr>
            <w:r w:rsidRPr="00C22FA3">
              <w:rPr>
                <w:rFonts w:ascii="Times New Roman" w:hAnsi="Times New Roman" w:cs="Helvetica"/>
                <w:lang w:val="en-GB" w:eastAsia="en-US"/>
              </w:rPr>
              <w:t>Reviewer’s comment</w:t>
            </w:r>
          </w:p>
          <w:p w14:paraId="3FBD917D" w14:textId="77777777" w:rsidR="004022E2" w:rsidRDefault="004022E2" w:rsidP="004022E2">
            <w:pPr>
              <w:rPr>
                <w:b/>
                <w:bCs/>
                <w:sz w:val="20"/>
                <w:szCs w:val="20"/>
              </w:rPr>
            </w:pPr>
            <w:r w:rsidRPr="00A604EE">
              <w:rPr>
                <w:b/>
                <w:bCs/>
                <w:sz w:val="20"/>
                <w:szCs w:val="20"/>
                <w:highlight w:val="yellow"/>
              </w:rPr>
              <w:t>Artificial Intelligence (AI) generated or assisted review comments are strictly prohibited during peer review.</w:t>
            </w:r>
          </w:p>
          <w:p w14:paraId="668334FC" w14:textId="77777777" w:rsidR="004022E2" w:rsidRPr="004022E2" w:rsidRDefault="004022E2" w:rsidP="004022E2">
            <w:pPr>
              <w:rPr>
                <w:lang w:val="en-GB"/>
              </w:rPr>
            </w:pPr>
          </w:p>
        </w:tc>
        <w:tc>
          <w:tcPr>
            <w:tcW w:w="1523" w:type="pct"/>
          </w:tcPr>
          <w:p w14:paraId="529499D0" w14:textId="77777777" w:rsidR="00DE434F" w:rsidRDefault="00DE434F" w:rsidP="00DE434F">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29DD9A7A" w14:textId="77777777" w:rsidR="00511081" w:rsidRPr="00C22FA3" w:rsidRDefault="00511081">
            <w:pPr>
              <w:pStyle w:val="Heading2"/>
              <w:jc w:val="left"/>
              <w:rPr>
                <w:rFonts w:ascii="Times New Roman" w:hAnsi="Times New Roman" w:cs="Helvetica"/>
                <w:b w:val="0"/>
                <w:lang w:val="en-GB" w:eastAsia="en-US"/>
              </w:rPr>
            </w:pPr>
          </w:p>
        </w:tc>
      </w:tr>
      <w:tr w:rsidR="00511081" w:rsidRPr="00900E9B" w14:paraId="2C9F9DFC" w14:textId="77777777">
        <w:trPr>
          <w:trHeight w:val="1264"/>
        </w:trPr>
        <w:tc>
          <w:tcPr>
            <w:tcW w:w="1265" w:type="pct"/>
            <w:noWrap/>
          </w:tcPr>
          <w:p w14:paraId="73F03CA2" w14:textId="77777777" w:rsidR="00511081" w:rsidRPr="00900E9B" w:rsidRDefault="00511081">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625307D0" w14:textId="77777777" w:rsidR="00511081" w:rsidRPr="00900E9B" w:rsidRDefault="00511081">
            <w:pPr>
              <w:ind w:left="360"/>
              <w:rPr>
                <w:rFonts w:eastAsia="MS Mincho"/>
                <w:b/>
                <w:bCs/>
                <w:sz w:val="20"/>
                <w:szCs w:val="20"/>
                <w:lang w:val="en-GB"/>
              </w:rPr>
            </w:pPr>
          </w:p>
        </w:tc>
        <w:tc>
          <w:tcPr>
            <w:tcW w:w="2212" w:type="pct"/>
          </w:tcPr>
          <w:p w14:paraId="265FA53C" w14:textId="77777777" w:rsidR="00C4759F" w:rsidRPr="00C4759F" w:rsidRDefault="00C4759F" w:rsidP="00C4759F">
            <w:pPr>
              <w:rPr>
                <w:sz w:val="20"/>
              </w:rPr>
            </w:pPr>
            <w:r w:rsidRPr="00C4759F">
              <w:rPr>
                <w:sz w:val="20"/>
              </w:rPr>
              <w:t>This manuscript synthesizes evidence on pharmacist-led medication reconciliation during hospital transitions, demonstrating its critical role in enhancing patient safety. The systematic analysis of interventions across various clinical settings confirms that pharmacist involvement substantially lowers medication discrepancies and clinically significant errors. The review also highlights the benefits of engaging pharmacy students and technicians, presenting scalable implementation models. The findings offer actionable guidance for policymakers, hospital administrators, and clinicians to standardize practices, mitigate medication-related risks, and improve healthcare outcomes.</w:t>
            </w:r>
          </w:p>
          <w:p w14:paraId="3E52AD23" w14:textId="77777777" w:rsidR="00511081" w:rsidRPr="00900E9B" w:rsidRDefault="00511081">
            <w:pPr>
              <w:pStyle w:val="ListParagraph"/>
              <w:ind w:left="0"/>
              <w:rPr>
                <w:b/>
                <w:bCs/>
                <w:sz w:val="20"/>
                <w:szCs w:val="20"/>
                <w:lang w:val="en-GB"/>
              </w:rPr>
            </w:pPr>
          </w:p>
        </w:tc>
        <w:tc>
          <w:tcPr>
            <w:tcW w:w="1523" w:type="pct"/>
          </w:tcPr>
          <w:p w14:paraId="04C8F65A" w14:textId="14662E52" w:rsidR="00511081" w:rsidRPr="00C22FA3" w:rsidRDefault="004B502F">
            <w:pPr>
              <w:pStyle w:val="Heading2"/>
              <w:jc w:val="left"/>
              <w:rPr>
                <w:rFonts w:ascii="Times New Roman" w:hAnsi="Times New Roman" w:cs="Helvetica"/>
                <w:b w:val="0"/>
                <w:lang w:val="en-GB" w:eastAsia="en-US"/>
              </w:rPr>
            </w:pPr>
            <w:r>
              <w:rPr>
                <w:rFonts w:ascii="Times New Roman" w:hAnsi="Times New Roman" w:cs="Helvetica"/>
                <w:b w:val="0"/>
                <w:lang w:val="en-GB" w:eastAsia="en-US"/>
              </w:rPr>
              <w:t>Ok</w:t>
            </w:r>
          </w:p>
        </w:tc>
      </w:tr>
      <w:tr w:rsidR="00511081" w:rsidRPr="00900E9B" w14:paraId="48530791" w14:textId="77777777">
        <w:trPr>
          <w:trHeight w:val="1262"/>
        </w:trPr>
        <w:tc>
          <w:tcPr>
            <w:tcW w:w="1265" w:type="pct"/>
            <w:noWrap/>
          </w:tcPr>
          <w:p w14:paraId="027C845F" w14:textId="77777777" w:rsidR="00511081" w:rsidRPr="00900E9B" w:rsidRDefault="00511081">
            <w:pPr>
              <w:ind w:left="360"/>
              <w:rPr>
                <w:b/>
                <w:bCs/>
                <w:sz w:val="20"/>
                <w:szCs w:val="20"/>
                <w:lang w:val="en-GB"/>
              </w:rPr>
            </w:pPr>
            <w:r w:rsidRPr="00900E9B">
              <w:rPr>
                <w:b/>
                <w:bCs/>
                <w:sz w:val="20"/>
                <w:szCs w:val="20"/>
                <w:lang w:val="en-GB"/>
              </w:rPr>
              <w:t>Is the title of the article suitable?</w:t>
            </w:r>
          </w:p>
          <w:p w14:paraId="7DEEF059" w14:textId="77777777" w:rsidR="00511081" w:rsidRPr="00900E9B" w:rsidRDefault="00511081">
            <w:pPr>
              <w:ind w:left="360"/>
              <w:rPr>
                <w:b/>
                <w:bCs/>
                <w:sz w:val="20"/>
                <w:szCs w:val="20"/>
                <w:lang w:val="en-GB"/>
              </w:rPr>
            </w:pPr>
            <w:r w:rsidRPr="00900E9B">
              <w:rPr>
                <w:b/>
                <w:bCs/>
                <w:sz w:val="20"/>
                <w:szCs w:val="20"/>
                <w:lang w:val="en-GB"/>
              </w:rPr>
              <w:t>(If not please suggest an alternative title)</w:t>
            </w:r>
          </w:p>
          <w:p w14:paraId="52877D3F" w14:textId="77777777" w:rsidR="00511081" w:rsidRPr="00C22FA3" w:rsidRDefault="00511081">
            <w:pPr>
              <w:pStyle w:val="Heading2"/>
              <w:jc w:val="left"/>
              <w:rPr>
                <w:rFonts w:ascii="Times New Roman" w:hAnsi="Times New Roman" w:cs="Helvetica"/>
                <w:u w:val="single"/>
                <w:lang w:val="en-GB" w:eastAsia="en-US"/>
              </w:rPr>
            </w:pPr>
          </w:p>
        </w:tc>
        <w:tc>
          <w:tcPr>
            <w:tcW w:w="2212" w:type="pct"/>
          </w:tcPr>
          <w:p w14:paraId="32DCAE7B" w14:textId="77777777" w:rsidR="00511081" w:rsidRPr="0094201C" w:rsidRDefault="0094201C">
            <w:pPr>
              <w:ind w:left="360"/>
              <w:rPr>
                <w:bCs/>
                <w:sz w:val="20"/>
                <w:szCs w:val="20"/>
                <w:lang w:val="en-GB"/>
              </w:rPr>
            </w:pPr>
            <w:proofErr w:type="gramStart"/>
            <w:r w:rsidRPr="0094201C">
              <w:rPr>
                <w:bCs/>
                <w:sz w:val="20"/>
                <w:szCs w:val="20"/>
                <w:lang w:val="en-GB"/>
              </w:rPr>
              <w:t>Yes it is</w:t>
            </w:r>
            <w:proofErr w:type="gramEnd"/>
            <w:r w:rsidRPr="0094201C">
              <w:rPr>
                <w:bCs/>
                <w:sz w:val="20"/>
                <w:szCs w:val="20"/>
                <w:lang w:val="en-GB"/>
              </w:rPr>
              <w:t xml:space="preserve"> suitable one. </w:t>
            </w:r>
          </w:p>
        </w:tc>
        <w:tc>
          <w:tcPr>
            <w:tcW w:w="1523" w:type="pct"/>
          </w:tcPr>
          <w:p w14:paraId="571E814B" w14:textId="718F6ADA" w:rsidR="00511081" w:rsidRPr="00C22FA3" w:rsidRDefault="004B502F">
            <w:pPr>
              <w:pStyle w:val="Heading2"/>
              <w:jc w:val="left"/>
              <w:rPr>
                <w:rFonts w:ascii="Times New Roman" w:hAnsi="Times New Roman" w:cs="Helvetica"/>
                <w:b w:val="0"/>
                <w:lang w:val="en-GB" w:eastAsia="en-US"/>
              </w:rPr>
            </w:pPr>
            <w:r>
              <w:rPr>
                <w:rFonts w:ascii="Times New Roman" w:hAnsi="Times New Roman" w:cs="Helvetica"/>
                <w:b w:val="0"/>
                <w:lang w:val="en-GB" w:eastAsia="en-US"/>
              </w:rPr>
              <w:t>Ok</w:t>
            </w:r>
          </w:p>
        </w:tc>
      </w:tr>
      <w:tr w:rsidR="00511081" w:rsidRPr="00900E9B" w14:paraId="4238090C" w14:textId="77777777">
        <w:trPr>
          <w:trHeight w:val="1262"/>
        </w:trPr>
        <w:tc>
          <w:tcPr>
            <w:tcW w:w="1265" w:type="pct"/>
            <w:noWrap/>
          </w:tcPr>
          <w:p w14:paraId="3456200A" w14:textId="77777777" w:rsidR="00511081" w:rsidRPr="00C22FA3" w:rsidRDefault="00511081">
            <w:pPr>
              <w:pStyle w:val="Heading2"/>
              <w:ind w:left="360"/>
              <w:jc w:val="left"/>
              <w:rPr>
                <w:rFonts w:ascii="Times New Roman" w:hAnsi="Times New Roman" w:cs="Helvetica"/>
                <w:lang w:val="en-GB" w:eastAsia="en-US"/>
              </w:rPr>
            </w:pPr>
            <w:r w:rsidRPr="00C22FA3">
              <w:rPr>
                <w:rFonts w:ascii="Times New Roman" w:hAnsi="Times New Roman" w:cs="Helvetica"/>
                <w:lang w:val="en-GB" w:eastAsia="en-US"/>
              </w:rPr>
              <w:t>Is the abstract of the article comprehensive? Do you suggest the addition (or deletion) of some points in this section? Please write your suggestions here.</w:t>
            </w:r>
          </w:p>
          <w:p w14:paraId="6717FBB8" w14:textId="77777777" w:rsidR="00511081" w:rsidRPr="00C22FA3" w:rsidRDefault="00511081">
            <w:pPr>
              <w:pStyle w:val="Heading2"/>
              <w:jc w:val="left"/>
              <w:rPr>
                <w:rFonts w:ascii="Times New Roman" w:hAnsi="Times New Roman" w:cs="Helvetica"/>
                <w:u w:val="single"/>
                <w:lang w:val="en-GB" w:eastAsia="en-US"/>
              </w:rPr>
            </w:pPr>
          </w:p>
        </w:tc>
        <w:tc>
          <w:tcPr>
            <w:tcW w:w="2212" w:type="pct"/>
          </w:tcPr>
          <w:p w14:paraId="1E20A4C0" w14:textId="77777777" w:rsidR="00511081" w:rsidRPr="0094201C" w:rsidRDefault="0094201C">
            <w:pPr>
              <w:ind w:left="360"/>
              <w:rPr>
                <w:bCs/>
                <w:sz w:val="20"/>
                <w:szCs w:val="20"/>
                <w:lang w:val="en-GB"/>
              </w:rPr>
            </w:pPr>
            <w:proofErr w:type="gramStart"/>
            <w:r>
              <w:rPr>
                <w:bCs/>
                <w:sz w:val="20"/>
                <w:szCs w:val="20"/>
                <w:lang w:val="en-GB"/>
              </w:rPr>
              <w:t>Yes it is</w:t>
            </w:r>
            <w:proofErr w:type="gramEnd"/>
            <w:r>
              <w:rPr>
                <w:bCs/>
                <w:sz w:val="20"/>
                <w:szCs w:val="20"/>
                <w:lang w:val="en-GB"/>
              </w:rPr>
              <w:t>. No need of any deletion or addition.</w:t>
            </w:r>
          </w:p>
        </w:tc>
        <w:tc>
          <w:tcPr>
            <w:tcW w:w="1523" w:type="pct"/>
          </w:tcPr>
          <w:p w14:paraId="655D2A98" w14:textId="60DACBDB" w:rsidR="00511081" w:rsidRPr="00C22FA3" w:rsidRDefault="004B502F">
            <w:pPr>
              <w:pStyle w:val="Heading2"/>
              <w:jc w:val="left"/>
              <w:rPr>
                <w:rFonts w:ascii="Times New Roman" w:hAnsi="Times New Roman" w:cs="Helvetica"/>
                <w:b w:val="0"/>
                <w:lang w:val="en-GB" w:eastAsia="en-US"/>
              </w:rPr>
            </w:pPr>
            <w:r>
              <w:rPr>
                <w:rFonts w:ascii="Times New Roman" w:hAnsi="Times New Roman" w:cs="Helvetica"/>
                <w:b w:val="0"/>
                <w:lang w:val="en-GB" w:eastAsia="en-US"/>
              </w:rPr>
              <w:t>Ok</w:t>
            </w:r>
          </w:p>
        </w:tc>
      </w:tr>
      <w:tr w:rsidR="00511081" w:rsidRPr="00900E9B" w14:paraId="1E3A3F07" w14:textId="77777777">
        <w:trPr>
          <w:trHeight w:val="704"/>
        </w:trPr>
        <w:tc>
          <w:tcPr>
            <w:tcW w:w="1265" w:type="pct"/>
            <w:noWrap/>
          </w:tcPr>
          <w:p w14:paraId="7ABFE68D" w14:textId="77777777" w:rsidR="00511081" w:rsidRPr="00C22FA3" w:rsidRDefault="00511081">
            <w:pPr>
              <w:pStyle w:val="Heading2"/>
              <w:ind w:left="360"/>
              <w:jc w:val="left"/>
              <w:rPr>
                <w:rFonts w:cs="Helvetica"/>
                <w:b w:val="0"/>
                <w:bCs w:val="0"/>
                <w:u w:val="single"/>
                <w:lang w:val="en-GB" w:eastAsia="en-US"/>
              </w:rPr>
            </w:pPr>
            <w:r w:rsidRPr="00C22FA3">
              <w:rPr>
                <w:rFonts w:ascii="Times New Roman" w:hAnsi="Times New Roman" w:cs="Helvetica"/>
                <w:lang w:val="en-GB" w:eastAsia="en-US"/>
              </w:rPr>
              <w:t>Is the manuscript scientifically, correct? Please write here.</w:t>
            </w:r>
          </w:p>
        </w:tc>
        <w:tc>
          <w:tcPr>
            <w:tcW w:w="2212" w:type="pct"/>
          </w:tcPr>
          <w:p w14:paraId="2EFC9D38" w14:textId="77777777" w:rsidR="00511081" w:rsidRPr="00C115E9" w:rsidRDefault="00D86FCA">
            <w:pPr>
              <w:pStyle w:val="ListParagraph"/>
              <w:ind w:left="0"/>
              <w:rPr>
                <w:bCs/>
                <w:sz w:val="20"/>
                <w:szCs w:val="20"/>
                <w:lang w:val="en-GB"/>
              </w:rPr>
            </w:pPr>
            <w:r w:rsidRPr="00C905A7">
              <w:rPr>
                <w:sz w:val="20"/>
              </w:rPr>
              <w:t>Yes, the manuscript is scientifically correct. It follows a systematic review methodology in line with PRISMA guidelines, incorporates evidence from peer-reviewed studies, and presents consistent findings supported by both randomized controlled trials and observational data. The conclusions drawn are evidence-based, highlighting measurable reductions in medication discrepancies, improved patient safety, and strengthened interdisciplinary collaboration. Additionally, the discussion addresses limitations, implementation challenges, and future research needs, which reflects scientific rigor and balanced interpretation of results.</w:t>
            </w:r>
          </w:p>
        </w:tc>
        <w:tc>
          <w:tcPr>
            <w:tcW w:w="1523" w:type="pct"/>
          </w:tcPr>
          <w:p w14:paraId="2C2839B2" w14:textId="347C2C8F" w:rsidR="00511081" w:rsidRPr="00C22FA3" w:rsidRDefault="004B502F">
            <w:pPr>
              <w:pStyle w:val="Heading2"/>
              <w:jc w:val="left"/>
              <w:rPr>
                <w:rFonts w:ascii="Times New Roman" w:hAnsi="Times New Roman" w:cs="Helvetica"/>
                <w:b w:val="0"/>
                <w:lang w:val="en-GB" w:eastAsia="en-US"/>
              </w:rPr>
            </w:pPr>
            <w:r>
              <w:rPr>
                <w:rFonts w:ascii="Times New Roman" w:hAnsi="Times New Roman" w:cs="Helvetica"/>
                <w:b w:val="0"/>
                <w:lang w:val="en-GB" w:eastAsia="en-US"/>
              </w:rPr>
              <w:t>Ok</w:t>
            </w:r>
            <w:r w:rsidR="004D0926">
              <w:rPr>
                <w:rFonts w:ascii="Times New Roman" w:hAnsi="Times New Roman" w:cs="Helvetica"/>
                <w:b w:val="0"/>
                <w:lang w:val="en-GB" w:eastAsia="en-US"/>
              </w:rPr>
              <w:t xml:space="preserve"> noted </w:t>
            </w:r>
            <w:bookmarkStart w:id="2" w:name="_GoBack"/>
            <w:bookmarkEnd w:id="2"/>
          </w:p>
        </w:tc>
      </w:tr>
      <w:tr w:rsidR="00511081" w:rsidRPr="00900E9B" w14:paraId="01878503" w14:textId="77777777">
        <w:trPr>
          <w:trHeight w:val="703"/>
        </w:trPr>
        <w:tc>
          <w:tcPr>
            <w:tcW w:w="1265" w:type="pct"/>
            <w:noWrap/>
          </w:tcPr>
          <w:p w14:paraId="3B90AF75" w14:textId="77777777" w:rsidR="00511081" w:rsidRPr="00E10705" w:rsidRDefault="00511081">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38A7F305" w14:textId="77777777" w:rsidR="002B7D9B" w:rsidRPr="002B7D9B" w:rsidRDefault="002B7D9B" w:rsidP="002B7D9B">
            <w:pPr>
              <w:rPr>
                <w:sz w:val="20"/>
              </w:rPr>
            </w:pPr>
            <w:r w:rsidRPr="002B7D9B">
              <w:rPr>
                <w:sz w:val="20"/>
              </w:rPr>
              <w:t>The manuscript's references are largely adequate and appropriate, comprising systematic reviews, randomized controlled trials, observational studies, and meta-analyses. A significant portion is recent (2015–2022), enhancing the findings' validity and relevance. However, some older citations (early 2000s, 1990s) could be augmented with more current literature on digital health, electronic health records, and technology-supported reconciliation to better reflect recent progress.</w:t>
            </w:r>
          </w:p>
          <w:p w14:paraId="1E22E6A7" w14:textId="77777777" w:rsidR="00D367DA" w:rsidRPr="00D367DA" w:rsidRDefault="00D367DA" w:rsidP="00D367DA">
            <w:pPr>
              <w:spacing w:before="100" w:beforeAutospacing="1" w:after="100" w:afterAutospacing="1"/>
              <w:rPr>
                <w:sz w:val="20"/>
                <w:u w:val="single"/>
              </w:rPr>
            </w:pPr>
            <w:r w:rsidRPr="00D367DA">
              <w:rPr>
                <w:b/>
                <w:bCs/>
                <w:sz w:val="20"/>
                <w:u w:val="single"/>
              </w:rPr>
              <w:t>Suggested additional references:</w:t>
            </w:r>
          </w:p>
          <w:p w14:paraId="3BF7545C" w14:textId="77777777" w:rsidR="00D367DA" w:rsidRPr="00D367DA" w:rsidRDefault="00D367DA" w:rsidP="00D367DA">
            <w:pPr>
              <w:numPr>
                <w:ilvl w:val="0"/>
                <w:numId w:val="13"/>
              </w:numPr>
              <w:spacing w:before="100" w:beforeAutospacing="1" w:after="100" w:afterAutospacing="1"/>
              <w:rPr>
                <w:sz w:val="20"/>
              </w:rPr>
            </w:pPr>
            <w:r w:rsidRPr="00D367DA">
              <w:rPr>
                <w:sz w:val="20"/>
              </w:rPr>
              <w:t xml:space="preserve">Mueller SK, Sponsler KC, Kripalani S, Schnipper JL. </w:t>
            </w:r>
            <w:r w:rsidRPr="00D367DA">
              <w:rPr>
                <w:i/>
                <w:iCs/>
                <w:sz w:val="20"/>
              </w:rPr>
              <w:t>Hospital-based medication reconciliation practices: a systematic review</w:t>
            </w:r>
            <w:r w:rsidRPr="00D367DA">
              <w:rPr>
                <w:sz w:val="20"/>
              </w:rPr>
              <w:t>. Arch Intern Med. 2012;172(14):1057-69.</w:t>
            </w:r>
          </w:p>
          <w:p w14:paraId="1A6C1009" w14:textId="77777777" w:rsidR="00D367DA" w:rsidRPr="00D367DA" w:rsidRDefault="00D367DA" w:rsidP="00D367DA">
            <w:pPr>
              <w:numPr>
                <w:ilvl w:val="0"/>
                <w:numId w:val="13"/>
              </w:numPr>
              <w:spacing w:before="100" w:beforeAutospacing="1" w:after="100" w:afterAutospacing="1"/>
              <w:rPr>
                <w:sz w:val="20"/>
              </w:rPr>
            </w:pPr>
            <w:r w:rsidRPr="00D367DA">
              <w:rPr>
                <w:sz w:val="20"/>
              </w:rPr>
              <w:t xml:space="preserve">Redmond P, Grimes TC, McDonnell R, Boland F, Hughes C, Fahey T. </w:t>
            </w:r>
            <w:r w:rsidRPr="00D367DA">
              <w:rPr>
                <w:i/>
                <w:iCs/>
                <w:sz w:val="20"/>
              </w:rPr>
              <w:t>Impact of medication reconciliation for improving transitions of care</w:t>
            </w:r>
            <w:r w:rsidRPr="00D367DA">
              <w:rPr>
                <w:sz w:val="20"/>
              </w:rPr>
              <w:t>. Cochrane Database Syst Rev. 2018; (8):CD010791.</w:t>
            </w:r>
          </w:p>
          <w:p w14:paraId="3EAFEF1A" w14:textId="77777777" w:rsidR="00D367DA" w:rsidRPr="00D367DA" w:rsidRDefault="00D367DA" w:rsidP="00D367DA">
            <w:pPr>
              <w:numPr>
                <w:ilvl w:val="0"/>
                <w:numId w:val="13"/>
              </w:numPr>
              <w:spacing w:before="100" w:beforeAutospacing="1" w:after="100" w:afterAutospacing="1"/>
              <w:rPr>
                <w:sz w:val="20"/>
              </w:rPr>
            </w:pPr>
            <w:r w:rsidRPr="00D367DA">
              <w:rPr>
                <w:sz w:val="20"/>
              </w:rPr>
              <w:t xml:space="preserve">Manias E, </w:t>
            </w:r>
            <w:proofErr w:type="spellStart"/>
            <w:r w:rsidRPr="00D367DA">
              <w:rPr>
                <w:sz w:val="20"/>
              </w:rPr>
              <w:t>Gerdtz</w:t>
            </w:r>
            <w:proofErr w:type="spellEnd"/>
            <w:r w:rsidRPr="00D367DA">
              <w:rPr>
                <w:sz w:val="20"/>
              </w:rPr>
              <w:t xml:space="preserve"> M, Weiland T, Collins M. </w:t>
            </w:r>
            <w:r w:rsidRPr="00D367DA">
              <w:rPr>
                <w:i/>
                <w:iCs/>
                <w:sz w:val="20"/>
              </w:rPr>
              <w:t>Medication reconciliation in hospitals: a literature review</w:t>
            </w:r>
            <w:r w:rsidRPr="00D367DA">
              <w:rPr>
                <w:sz w:val="20"/>
              </w:rPr>
              <w:t>. Aust J Hosp Pharm. 2020;50(2):89-96.</w:t>
            </w:r>
          </w:p>
          <w:p w14:paraId="7E749D5F" w14:textId="77777777" w:rsidR="00511081" w:rsidRPr="006F5EBE" w:rsidRDefault="00511081">
            <w:pPr>
              <w:pStyle w:val="ListParagraph"/>
              <w:ind w:left="0"/>
              <w:rPr>
                <w:bCs/>
                <w:sz w:val="20"/>
                <w:szCs w:val="20"/>
                <w:lang w:val="en-GB"/>
              </w:rPr>
            </w:pPr>
          </w:p>
        </w:tc>
        <w:tc>
          <w:tcPr>
            <w:tcW w:w="1523" w:type="pct"/>
          </w:tcPr>
          <w:p w14:paraId="5AC6390D" w14:textId="114C1F35" w:rsidR="00511081" w:rsidRPr="00C22FA3" w:rsidRDefault="004B502F">
            <w:pPr>
              <w:pStyle w:val="Heading2"/>
              <w:jc w:val="left"/>
              <w:rPr>
                <w:rFonts w:ascii="Times New Roman" w:hAnsi="Times New Roman" w:cs="Helvetica"/>
                <w:b w:val="0"/>
                <w:lang w:val="en-GB" w:eastAsia="en-US"/>
              </w:rPr>
            </w:pPr>
            <w:r>
              <w:rPr>
                <w:rFonts w:ascii="Times New Roman" w:hAnsi="Times New Roman" w:cs="Helvetica"/>
                <w:b w:val="0"/>
                <w:lang w:val="en-GB" w:eastAsia="en-US"/>
              </w:rPr>
              <w:t>Ok</w:t>
            </w:r>
          </w:p>
        </w:tc>
      </w:tr>
      <w:tr w:rsidR="00511081" w:rsidRPr="00900E9B" w14:paraId="5549F649" w14:textId="77777777">
        <w:trPr>
          <w:trHeight w:val="386"/>
        </w:trPr>
        <w:tc>
          <w:tcPr>
            <w:tcW w:w="1265" w:type="pct"/>
            <w:noWrap/>
          </w:tcPr>
          <w:p w14:paraId="47067D09" w14:textId="77777777" w:rsidR="00511081" w:rsidRPr="00C22FA3" w:rsidRDefault="00511081">
            <w:pPr>
              <w:pStyle w:val="Heading2"/>
              <w:ind w:left="360"/>
              <w:jc w:val="left"/>
              <w:rPr>
                <w:rFonts w:ascii="Times New Roman" w:hAnsi="Times New Roman" w:cs="Helvetica"/>
                <w:bCs w:val="0"/>
                <w:lang w:val="en-GB" w:eastAsia="en-US"/>
              </w:rPr>
            </w:pPr>
            <w:r w:rsidRPr="00C22FA3">
              <w:rPr>
                <w:rFonts w:ascii="Times New Roman" w:hAnsi="Times New Roman" w:cs="Helvetica"/>
                <w:bCs w:val="0"/>
                <w:lang w:val="en-GB" w:eastAsia="en-US"/>
              </w:rPr>
              <w:lastRenderedPageBreak/>
              <w:t>Is the language/English quality of the article suitable for scholarly communications?</w:t>
            </w:r>
          </w:p>
          <w:p w14:paraId="5EF79DE8" w14:textId="77777777" w:rsidR="00511081" w:rsidRPr="00900E9B" w:rsidRDefault="00511081">
            <w:pPr>
              <w:rPr>
                <w:sz w:val="20"/>
                <w:szCs w:val="20"/>
                <w:lang w:val="en-GB"/>
              </w:rPr>
            </w:pPr>
          </w:p>
        </w:tc>
        <w:tc>
          <w:tcPr>
            <w:tcW w:w="2212" w:type="pct"/>
          </w:tcPr>
          <w:p w14:paraId="5C71B834" w14:textId="77777777" w:rsidR="00511081" w:rsidRPr="00900E9B" w:rsidRDefault="00DD3717">
            <w:pPr>
              <w:rPr>
                <w:sz w:val="20"/>
                <w:szCs w:val="20"/>
                <w:lang w:val="en-GB"/>
              </w:rPr>
            </w:pPr>
            <w:proofErr w:type="gramStart"/>
            <w:r>
              <w:rPr>
                <w:sz w:val="20"/>
                <w:szCs w:val="20"/>
                <w:lang w:val="en-GB"/>
              </w:rPr>
              <w:t>Yes it is</w:t>
            </w:r>
            <w:proofErr w:type="gramEnd"/>
            <w:r>
              <w:rPr>
                <w:sz w:val="20"/>
                <w:szCs w:val="20"/>
                <w:lang w:val="en-GB"/>
              </w:rPr>
              <w:t xml:space="preserve"> up to the mark</w:t>
            </w:r>
          </w:p>
        </w:tc>
        <w:tc>
          <w:tcPr>
            <w:tcW w:w="1523" w:type="pct"/>
          </w:tcPr>
          <w:p w14:paraId="11B48473" w14:textId="77777777" w:rsidR="00511081" w:rsidRPr="00900E9B" w:rsidRDefault="00511081">
            <w:pPr>
              <w:rPr>
                <w:sz w:val="20"/>
                <w:szCs w:val="20"/>
                <w:lang w:val="en-GB"/>
              </w:rPr>
            </w:pPr>
          </w:p>
        </w:tc>
      </w:tr>
      <w:tr w:rsidR="00511081" w:rsidRPr="00900E9B" w14:paraId="040AB0D4" w14:textId="77777777" w:rsidTr="002E5558">
        <w:trPr>
          <w:trHeight w:val="1296"/>
        </w:trPr>
        <w:tc>
          <w:tcPr>
            <w:tcW w:w="1265" w:type="pct"/>
            <w:noWrap/>
          </w:tcPr>
          <w:p w14:paraId="117A2571" w14:textId="77777777" w:rsidR="00511081" w:rsidRPr="00C22FA3" w:rsidRDefault="00511081">
            <w:pPr>
              <w:pStyle w:val="Heading2"/>
              <w:jc w:val="left"/>
              <w:rPr>
                <w:rFonts w:ascii="Times New Roman" w:hAnsi="Times New Roman" w:cs="Helvetica"/>
                <w:b w:val="0"/>
                <w:bCs w:val="0"/>
                <w:lang w:val="en-GB" w:eastAsia="en-US"/>
              </w:rPr>
            </w:pPr>
            <w:r w:rsidRPr="00C22FA3">
              <w:rPr>
                <w:rFonts w:ascii="Times New Roman" w:hAnsi="Times New Roman" w:cs="Helvetica"/>
                <w:bCs w:val="0"/>
                <w:u w:val="single"/>
                <w:lang w:val="en-GB" w:eastAsia="en-US"/>
              </w:rPr>
              <w:t>Optional/General</w:t>
            </w:r>
            <w:r w:rsidRPr="00C22FA3">
              <w:rPr>
                <w:rFonts w:ascii="Times New Roman" w:hAnsi="Times New Roman" w:cs="Helvetica"/>
                <w:bCs w:val="0"/>
                <w:lang w:val="en-GB" w:eastAsia="en-US"/>
              </w:rPr>
              <w:t xml:space="preserve"> </w:t>
            </w:r>
            <w:r w:rsidRPr="00C22FA3">
              <w:rPr>
                <w:rFonts w:ascii="Times New Roman" w:hAnsi="Times New Roman" w:cs="Helvetica"/>
                <w:b w:val="0"/>
                <w:bCs w:val="0"/>
                <w:lang w:val="en-GB" w:eastAsia="en-US"/>
              </w:rPr>
              <w:t>comments</w:t>
            </w:r>
          </w:p>
          <w:p w14:paraId="15FB0824" w14:textId="77777777" w:rsidR="00511081" w:rsidRPr="00C22FA3" w:rsidRDefault="00511081">
            <w:pPr>
              <w:pStyle w:val="Heading2"/>
              <w:jc w:val="left"/>
              <w:rPr>
                <w:rFonts w:ascii="Times New Roman" w:hAnsi="Times New Roman" w:cs="Helvetica"/>
                <w:b w:val="0"/>
                <w:lang w:val="en-GB" w:eastAsia="en-US"/>
              </w:rPr>
            </w:pPr>
          </w:p>
        </w:tc>
        <w:tc>
          <w:tcPr>
            <w:tcW w:w="2212" w:type="pct"/>
          </w:tcPr>
          <w:p w14:paraId="5A74075F" w14:textId="77777777" w:rsidR="002E5558" w:rsidRPr="002E5558" w:rsidRDefault="002E5558" w:rsidP="002E5558">
            <w:pPr>
              <w:rPr>
                <w:sz w:val="20"/>
              </w:rPr>
            </w:pPr>
            <w:r w:rsidRPr="002E5558">
              <w:rPr>
                <w:sz w:val="20"/>
              </w:rPr>
              <w:t>This manuscript, characterized by its clear writing and scientific rigor, addresses a crucial aspect of patient safety. It synthesizes evidence on pharmacist-led medication reconciliation, offering valuable insights for clinical practice and policy. Although the references are adequate, the inclusion of more recent literature concerning digital health integration would strengthen its contemporary relevance. The review represents a significant contribution to its field, appealing to both researchers and healthcare practitioners.</w:t>
            </w:r>
          </w:p>
          <w:p w14:paraId="304BAD7E" w14:textId="77777777" w:rsidR="00511081" w:rsidRPr="0068647D" w:rsidRDefault="00511081" w:rsidP="002E5558">
            <w:pPr>
              <w:spacing w:before="100" w:beforeAutospacing="1" w:after="100" w:afterAutospacing="1"/>
            </w:pPr>
          </w:p>
        </w:tc>
        <w:tc>
          <w:tcPr>
            <w:tcW w:w="1523" w:type="pct"/>
          </w:tcPr>
          <w:p w14:paraId="624B766A" w14:textId="6DE67D3A" w:rsidR="00511081" w:rsidRPr="00900E9B" w:rsidRDefault="004B502F">
            <w:pPr>
              <w:rPr>
                <w:sz w:val="20"/>
                <w:szCs w:val="20"/>
                <w:lang w:val="en-GB"/>
              </w:rPr>
            </w:pPr>
            <w:r>
              <w:rPr>
                <w:sz w:val="20"/>
                <w:szCs w:val="20"/>
                <w:lang w:val="en-GB"/>
              </w:rPr>
              <w:t>Ok</w:t>
            </w:r>
          </w:p>
        </w:tc>
      </w:tr>
    </w:tbl>
    <w:p w14:paraId="20E62E1E" w14:textId="77777777" w:rsidR="00511081" w:rsidRPr="00900E9B" w:rsidRDefault="00511081" w:rsidP="00511081">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511081" w:rsidRPr="00900E9B" w14:paraId="2094E040"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3983E860" w14:textId="77777777" w:rsidR="00511081" w:rsidRPr="00900E9B" w:rsidRDefault="00511081">
            <w:pPr>
              <w:pStyle w:val="NormalWeb"/>
              <w:spacing w:before="0" w:beforeAutospacing="0" w:after="0" w:afterAutospacing="0"/>
              <w:rPr>
                <w:rFonts w:ascii="Times New Roman" w:hAnsi="Times New Roman" w:cs="Times New Roman"/>
                <w:b/>
                <w:sz w:val="20"/>
                <w:szCs w:val="20"/>
                <w:u w:val="single"/>
                <w:lang w:val="en-GB"/>
              </w:rPr>
            </w:pPr>
            <w:r w:rsidRPr="00900E9B">
              <w:rPr>
                <w:rFonts w:ascii="Times New Roman" w:hAnsi="Times New Roman" w:cs="Times New Roman"/>
                <w:b/>
                <w:sz w:val="20"/>
                <w:szCs w:val="20"/>
                <w:highlight w:val="yellow"/>
                <w:u w:val="single"/>
                <w:lang w:val="en-GB"/>
              </w:rPr>
              <w:t>PART  2:</w:t>
            </w:r>
            <w:r w:rsidRPr="00900E9B">
              <w:rPr>
                <w:rFonts w:ascii="Times New Roman" w:hAnsi="Times New Roman" w:cs="Times New Roman"/>
                <w:b/>
                <w:sz w:val="20"/>
                <w:szCs w:val="20"/>
                <w:u w:val="single"/>
                <w:lang w:val="en-GB"/>
              </w:rPr>
              <w:t xml:space="preserve"> </w:t>
            </w:r>
          </w:p>
          <w:p w14:paraId="14767C8D" w14:textId="77777777" w:rsidR="00511081" w:rsidRPr="00900E9B" w:rsidRDefault="00511081">
            <w:pPr>
              <w:pStyle w:val="NormalWeb"/>
              <w:spacing w:before="0" w:beforeAutospacing="0" w:after="0" w:afterAutospacing="0"/>
              <w:rPr>
                <w:rFonts w:ascii="Times New Roman" w:hAnsi="Times New Roman" w:cs="Times New Roman"/>
                <w:b/>
                <w:sz w:val="20"/>
                <w:szCs w:val="20"/>
                <w:u w:val="single"/>
                <w:lang w:val="en-GB"/>
              </w:rPr>
            </w:pPr>
          </w:p>
        </w:tc>
      </w:tr>
      <w:tr w:rsidR="00511081" w:rsidRPr="00900E9B" w14:paraId="5677DD48" w14:textId="77777777">
        <w:trPr>
          <w:trHeight w:val="935"/>
        </w:trPr>
        <w:tc>
          <w:tcPr>
            <w:tcW w:w="1615" w:type="pct"/>
            <w:noWrap/>
            <w:tcMar>
              <w:top w:w="0" w:type="dxa"/>
              <w:left w:w="108" w:type="dxa"/>
              <w:bottom w:w="0" w:type="dxa"/>
              <w:right w:w="108" w:type="dxa"/>
            </w:tcMar>
            <w:vAlign w:val="center"/>
          </w:tcPr>
          <w:p w14:paraId="0A6BC57B" w14:textId="77777777" w:rsidR="00511081" w:rsidRPr="00900E9B" w:rsidRDefault="00511081">
            <w:pPr>
              <w:pStyle w:val="NormalWeb"/>
              <w:spacing w:before="0" w:beforeAutospacing="0" w:after="0" w:afterAutospacing="0"/>
              <w:rPr>
                <w:rFonts w:ascii="Times New Roman" w:hAnsi="Times New Roman" w:cs="Times New Roman"/>
                <w:sz w:val="20"/>
                <w:szCs w:val="20"/>
                <w:lang w:val="en-GB"/>
              </w:rPr>
            </w:pPr>
          </w:p>
        </w:tc>
        <w:tc>
          <w:tcPr>
            <w:tcW w:w="2043" w:type="pct"/>
            <w:tcMar>
              <w:top w:w="0" w:type="dxa"/>
              <w:left w:w="108" w:type="dxa"/>
              <w:bottom w:w="0" w:type="dxa"/>
              <w:right w:w="108" w:type="dxa"/>
            </w:tcMar>
          </w:tcPr>
          <w:p w14:paraId="6383A512" w14:textId="77777777" w:rsidR="00511081" w:rsidRPr="00C22FA3" w:rsidRDefault="00511081">
            <w:pPr>
              <w:pStyle w:val="Heading2"/>
              <w:jc w:val="left"/>
              <w:rPr>
                <w:rFonts w:ascii="Times New Roman" w:hAnsi="Times New Roman" w:cs="Helvetica"/>
                <w:lang w:val="en-GB" w:eastAsia="en-US"/>
              </w:rPr>
            </w:pPr>
            <w:r w:rsidRPr="00C22FA3">
              <w:rPr>
                <w:rFonts w:ascii="Times New Roman" w:hAnsi="Times New Roman" w:cs="Helvetica"/>
                <w:lang w:val="en-GB" w:eastAsia="en-US"/>
              </w:rPr>
              <w:t>Reviewer’s comment</w:t>
            </w:r>
          </w:p>
        </w:tc>
        <w:tc>
          <w:tcPr>
            <w:tcW w:w="1342" w:type="pct"/>
          </w:tcPr>
          <w:p w14:paraId="4C6095E1" w14:textId="77777777" w:rsidR="00DE434F" w:rsidRDefault="00DE434F" w:rsidP="00DE434F">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3062B99F" w14:textId="77777777" w:rsidR="00511081" w:rsidRPr="00C22FA3" w:rsidRDefault="00511081">
            <w:pPr>
              <w:pStyle w:val="Heading2"/>
              <w:jc w:val="left"/>
              <w:rPr>
                <w:rFonts w:ascii="Times New Roman" w:hAnsi="Times New Roman" w:cs="Helvetica"/>
                <w:b w:val="0"/>
                <w:lang w:val="en-GB" w:eastAsia="en-US"/>
              </w:rPr>
            </w:pPr>
          </w:p>
        </w:tc>
      </w:tr>
      <w:tr w:rsidR="00511081" w:rsidRPr="00900E9B" w14:paraId="6219BA90" w14:textId="77777777">
        <w:trPr>
          <w:trHeight w:val="697"/>
        </w:trPr>
        <w:tc>
          <w:tcPr>
            <w:tcW w:w="1615" w:type="pct"/>
            <w:noWrap/>
            <w:tcMar>
              <w:top w:w="0" w:type="dxa"/>
              <w:left w:w="108" w:type="dxa"/>
              <w:bottom w:w="0" w:type="dxa"/>
              <w:right w:w="108" w:type="dxa"/>
            </w:tcMar>
            <w:vAlign w:val="center"/>
          </w:tcPr>
          <w:p w14:paraId="4F70E8CC" w14:textId="77777777" w:rsidR="00511081" w:rsidRPr="00900E9B" w:rsidRDefault="00511081">
            <w:pPr>
              <w:pStyle w:val="NormalWeb"/>
              <w:spacing w:before="0" w:beforeAutospacing="0" w:after="0" w:afterAutospacing="0"/>
              <w:rPr>
                <w:rFonts w:ascii="Times New Roman" w:hAnsi="Times New Roman" w:cs="Times New Roman"/>
                <w:b/>
                <w:sz w:val="20"/>
                <w:szCs w:val="20"/>
                <w:lang w:val="en-GB"/>
              </w:rPr>
            </w:pPr>
            <w:r w:rsidRPr="00900E9B">
              <w:rPr>
                <w:rFonts w:ascii="Times New Roman" w:hAnsi="Times New Roman" w:cs="Times New Roman"/>
                <w:b/>
                <w:sz w:val="20"/>
                <w:szCs w:val="20"/>
                <w:lang w:val="en-GB"/>
              </w:rPr>
              <w:t xml:space="preserve">Are there ethical issues in this manuscript? </w:t>
            </w:r>
          </w:p>
          <w:p w14:paraId="399FCB8D" w14:textId="77777777" w:rsidR="00511081" w:rsidRPr="00900E9B" w:rsidRDefault="00511081">
            <w:pPr>
              <w:pStyle w:val="NormalWeb"/>
              <w:spacing w:before="0" w:beforeAutospacing="0" w:after="0" w:afterAutospacing="0"/>
              <w:rPr>
                <w:rFonts w:ascii="Times New Roman" w:hAnsi="Times New Roman" w:cs="Times New Roman"/>
                <w:sz w:val="20"/>
                <w:szCs w:val="20"/>
                <w:lang w:val="en-GB"/>
              </w:rPr>
            </w:pPr>
          </w:p>
        </w:tc>
        <w:tc>
          <w:tcPr>
            <w:tcW w:w="2043" w:type="pct"/>
            <w:tcMar>
              <w:top w:w="0" w:type="dxa"/>
              <w:left w:w="108" w:type="dxa"/>
              <w:bottom w:w="0" w:type="dxa"/>
              <w:right w:w="108" w:type="dxa"/>
            </w:tcMar>
            <w:vAlign w:val="center"/>
          </w:tcPr>
          <w:p w14:paraId="4250BA36" w14:textId="77777777" w:rsidR="00511081" w:rsidRPr="00900E9B" w:rsidRDefault="00511081">
            <w:pPr>
              <w:pStyle w:val="NormalWeb"/>
              <w:spacing w:before="0" w:beforeAutospacing="0" w:after="0" w:afterAutospacing="0"/>
              <w:rPr>
                <w:rFonts w:ascii="Times New Roman" w:hAnsi="Times New Roman" w:cs="Times New Roman"/>
                <w:i/>
                <w:iCs/>
                <w:sz w:val="20"/>
                <w:szCs w:val="20"/>
                <w:u w:val="single"/>
                <w:lang w:val="en-GB"/>
              </w:rPr>
            </w:pPr>
            <w:r w:rsidRPr="00900E9B">
              <w:rPr>
                <w:rFonts w:ascii="Times New Roman" w:hAnsi="Times New Roman" w:cs="Times New Roman"/>
                <w:i/>
                <w:iCs/>
                <w:sz w:val="20"/>
                <w:szCs w:val="20"/>
                <w:u w:val="single"/>
                <w:lang w:val="en-GB"/>
              </w:rPr>
              <w:t xml:space="preserve">(If yes, </w:t>
            </w:r>
            <w:proofErr w:type="gramStart"/>
            <w:r w:rsidRPr="00900E9B">
              <w:rPr>
                <w:rFonts w:ascii="Times New Roman" w:hAnsi="Times New Roman" w:cs="Times New Roman"/>
                <w:i/>
                <w:iCs/>
                <w:sz w:val="20"/>
                <w:szCs w:val="20"/>
                <w:u w:val="single"/>
                <w:lang w:val="en-GB"/>
              </w:rPr>
              <w:t>Kindly</w:t>
            </w:r>
            <w:proofErr w:type="gramEnd"/>
            <w:r w:rsidRPr="00900E9B">
              <w:rPr>
                <w:rFonts w:ascii="Times New Roman" w:hAnsi="Times New Roman" w:cs="Times New Roman"/>
                <w:i/>
                <w:iCs/>
                <w:sz w:val="20"/>
                <w:szCs w:val="20"/>
                <w:u w:val="single"/>
                <w:lang w:val="en-GB"/>
              </w:rPr>
              <w:t xml:space="preserve"> please write down the ethical issues here in </w:t>
            </w:r>
            <w:r>
              <w:rPr>
                <w:rFonts w:ascii="Times New Roman" w:hAnsi="Times New Roman" w:cs="Times New Roman"/>
                <w:i/>
                <w:iCs/>
                <w:sz w:val="20"/>
                <w:szCs w:val="20"/>
                <w:u w:val="single"/>
                <w:lang w:val="en-GB"/>
              </w:rPr>
              <w:t>detail</w:t>
            </w:r>
            <w:r w:rsidRPr="00900E9B">
              <w:rPr>
                <w:rFonts w:ascii="Times New Roman" w:hAnsi="Times New Roman" w:cs="Times New Roman"/>
                <w:i/>
                <w:iCs/>
                <w:sz w:val="20"/>
                <w:szCs w:val="20"/>
                <w:u w:val="single"/>
                <w:lang w:val="en-GB"/>
              </w:rPr>
              <w:t>)</w:t>
            </w:r>
          </w:p>
          <w:p w14:paraId="2E04893A" w14:textId="77777777" w:rsidR="00511081" w:rsidRDefault="00511081">
            <w:pPr>
              <w:pStyle w:val="NormalWeb"/>
              <w:spacing w:before="0" w:beforeAutospacing="0" w:after="0" w:afterAutospacing="0"/>
              <w:rPr>
                <w:rFonts w:ascii="Times New Roman" w:hAnsi="Times New Roman" w:cs="Times New Roman"/>
                <w:sz w:val="20"/>
                <w:szCs w:val="20"/>
              </w:rPr>
            </w:pPr>
          </w:p>
          <w:p w14:paraId="7F114737" w14:textId="77777777" w:rsidR="00511081" w:rsidRPr="00900E9B" w:rsidRDefault="00511081">
            <w:pPr>
              <w:pStyle w:val="NormalWeb"/>
              <w:spacing w:before="0" w:beforeAutospacing="0" w:after="0" w:afterAutospacing="0"/>
              <w:rPr>
                <w:rFonts w:ascii="Times New Roman" w:hAnsi="Times New Roman" w:cs="Times New Roman"/>
                <w:sz w:val="20"/>
                <w:szCs w:val="20"/>
                <w:lang w:val="en-GB"/>
              </w:rPr>
            </w:pPr>
          </w:p>
        </w:tc>
        <w:tc>
          <w:tcPr>
            <w:tcW w:w="1342" w:type="pct"/>
            <w:vAlign w:val="center"/>
          </w:tcPr>
          <w:p w14:paraId="54E5FE51" w14:textId="77777777" w:rsidR="00511081" w:rsidRPr="00900E9B" w:rsidRDefault="00511081">
            <w:pPr>
              <w:rPr>
                <w:rFonts w:eastAsia="Arial Unicode MS"/>
                <w:sz w:val="20"/>
                <w:szCs w:val="20"/>
                <w:lang w:val="en-GB"/>
              </w:rPr>
            </w:pPr>
          </w:p>
          <w:p w14:paraId="165A5480" w14:textId="77777777" w:rsidR="00511081" w:rsidRPr="00900E9B" w:rsidRDefault="00511081">
            <w:pPr>
              <w:rPr>
                <w:rFonts w:eastAsia="Arial Unicode MS"/>
                <w:sz w:val="20"/>
                <w:szCs w:val="20"/>
                <w:lang w:val="en-GB"/>
              </w:rPr>
            </w:pPr>
          </w:p>
          <w:p w14:paraId="22687BA2" w14:textId="77777777" w:rsidR="00511081" w:rsidRPr="00900E9B" w:rsidRDefault="00511081">
            <w:pPr>
              <w:rPr>
                <w:rFonts w:eastAsia="Arial Unicode MS"/>
                <w:sz w:val="20"/>
                <w:szCs w:val="20"/>
                <w:lang w:val="en-GB"/>
              </w:rPr>
            </w:pPr>
          </w:p>
          <w:p w14:paraId="1D5BB41F" w14:textId="7F25DD01" w:rsidR="00511081" w:rsidRPr="00900E9B" w:rsidRDefault="004B502F">
            <w:pPr>
              <w:pStyle w:val="NormalWeb"/>
              <w:spacing w:before="0" w:beforeAutospacing="0" w:after="0" w:afterAutospacing="0"/>
              <w:rPr>
                <w:rFonts w:ascii="Times New Roman" w:hAnsi="Times New Roman" w:cs="Times New Roman"/>
                <w:sz w:val="20"/>
                <w:szCs w:val="20"/>
                <w:lang w:val="en-GB"/>
              </w:rPr>
            </w:pPr>
            <w:r>
              <w:rPr>
                <w:rFonts w:ascii="Times New Roman" w:hAnsi="Times New Roman" w:cs="Times New Roman"/>
                <w:sz w:val="20"/>
                <w:szCs w:val="20"/>
                <w:lang w:val="en-GB"/>
              </w:rPr>
              <w:t>Yes</w:t>
            </w:r>
          </w:p>
        </w:tc>
      </w:tr>
      <w:bookmarkEnd w:id="0"/>
      <w:bookmarkEnd w:id="1"/>
    </w:tbl>
    <w:p w14:paraId="10171416" w14:textId="77777777" w:rsidR="008913D5" w:rsidRDefault="008913D5" w:rsidP="00511081">
      <w:pPr>
        <w:pStyle w:val="BodyText"/>
        <w:outlineLvl w:val="0"/>
        <w:rPr>
          <w:rFonts w:ascii="Arial" w:hAnsi="Arial" w:cs="Arial"/>
          <w:sz w:val="20"/>
          <w:szCs w:val="20"/>
          <w:lang w:val="en-GB"/>
        </w:rPr>
      </w:pPr>
    </w:p>
    <w:sectPr w:rsidR="008913D5" w:rsidSect="0058792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6A11B" w14:textId="77777777" w:rsidR="007E70F7" w:rsidRPr="0000007A" w:rsidRDefault="007E70F7" w:rsidP="0099583E">
      <w:r>
        <w:separator/>
      </w:r>
    </w:p>
  </w:endnote>
  <w:endnote w:type="continuationSeparator" w:id="0">
    <w:p w14:paraId="12C779AE" w14:textId="77777777" w:rsidR="007E70F7" w:rsidRPr="0000007A" w:rsidRDefault="007E70F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7B1D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7579" w:rsidRPr="006D7579">
      <w:rPr>
        <w:sz w:val="16"/>
      </w:rPr>
      <w:t xml:space="preserve">Version: </w:t>
    </w:r>
    <w:r w:rsidR="00951AB7">
      <w:rPr>
        <w:sz w:val="16"/>
      </w:rPr>
      <w:t>3</w:t>
    </w:r>
    <w:r w:rsidR="006D7579" w:rsidRPr="006D7579">
      <w:rPr>
        <w:sz w:val="16"/>
      </w:rPr>
      <w:t xml:space="preserve"> (0</w:t>
    </w:r>
    <w:r w:rsidR="00951AB7">
      <w:rPr>
        <w:sz w:val="16"/>
      </w:rPr>
      <w:t>7</w:t>
    </w:r>
    <w:r w:rsidR="006D7579" w:rsidRPr="006D757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7D39C" w14:textId="77777777" w:rsidR="007E70F7" w:rsidRPr="0000007A" w:rsidRDefault="007E70F7" w:rsidP="0099583E">
      <w:r>
        <w:separator/>
      </w:r>
    </w:p>
  </w:footnote>
  <w:footnote w:type="continuationSeparator" w:id="0">
    <w:p w14:paraId="529A359F" w14:textId="77777777" w:rsidR="007E70F7" w:rsidRPr="0000007A" w:rsidRDefault="007E70F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77A6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0802F2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1AB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AB54FE"/>
    <w:multiLevelType w:val="multilevel"/>
    <w:tmpl w:val="644AF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KxMDE2MDY2tTQ0tDBW0lEKTi0uzszPAykwrAUAfkcOGiwAAAA="/>
  </w:docVars>
  <w:rsids>
    <w:rsidRoot w:val="0000007A"/>
    <w:rsid w:val="0000007A"/>
    <w:rsid w:val="00006187"/>
    <w:rsid w:val="00010403"/>
    <w:rsid w:val="00012C8B"/>
    <w:rsid w:val="00021981"/>
    <w:rsid w:val="000234E1"/>
    <w:rsid w:val="0002598E"/>
    <w:rsid w:val="00031BEB"/>
    <w:rsid w:val="00037D52"/>
    <w:rsid w:val="000450FC"/>
    <w:rsid w:val="00052AF4"/>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3910"/>
    <w:rsid w:val="00100577"/>
    <w:rsid w:val="00101322"/>
    <w:rsid w:val="001145A2"/>
    <w:rsid w:val="00136984"/>
    <w:rsid w:val="00144521"/>
    <w:rsid w:val="00150304"/>
    <w:rsid w:val="0015296D"/>
    <w:rsid w:val="00163622"/>
    <w:rsid w:val="001645A2"/>
    <w:rsid w:val="00164F4E"/>
    <w:rsid w:val="00165685"/>
    <w:rsid w:val="00170DC8"/>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5268"/>
    <w:rsid w:val="0023696A"/>
    <w:rsid w:val="002422CB"/>
    <w:rsid w:val="00245E23"/>
    <w:rsid w:val="0025366D"/>
    <w:rsid w:val="00254F80"/>
    <w:rsid w:val="00262634"/>
    <w:rsid w:val="002643B3"/>
    <w:rsid w:val="00275984"/>
    <w:rsid w:val="00280EC9"/>
    <w:rsid w:val="00291D08"/>
    <w:rsid w:val="00293482"/>
    <w:rsid w:val="002B7D9B"/>
    <w:rsid w:val="002D7EA9"/>
    <w:rsid w:val="002E1211"/>
    <w:rsid w:val="002E2339"/>
    <w:rsid w:val="002E5558"/>
    <w:rsid w:val="002E6D86"/>
    <w:rsid w:val="002F6935"/>
    <w:rsid w:val="00306C13"/>
    <w:rsid w:val="00312559"/>
    <w:rsid w:val="003204B8"/>
    <w:rsid w:val="0033692F"/>
    <w:rsid w:val="00346223"/>
    <w:rsid w:val="003A04E7"/>
    <w:rsid w:val="003A4991"/>
    <w:rsid w:val="003A6E1A"/>
    <w:rsid w:val="003B2172"/>
    <w:rsid w:val="003E746A"/>
    <w:rsid w:val="004022E2"/>
    <w:rsid w:val="00412D4F"/>
    <w:rsid w:val="0042465A"/>
    <w:rsid w:val="004356CC"/>
    <w:rsid w:val="00435B36"/>
    <w:rsid w:val="00442B24"/>
    <w:rsid w:val="0044444D"/>
    <w:rsid w:val="00444813"/>
    <w:rsid w:val="0044519B"/>
    <w:rsid w:val="00445B35"/>
    <w:rsid w:val="00446659"/>
    <w:rsid w:val="00457AB1"/>
    <w:rsid w:val="00457BC0"/>
    <w:rsid w:val="00462996"/>
    <w:rsid w:val="004674B4"/>
    <w:rsid w:val="004B4CAD"/>
    <w:rsid w:val="004B4FDC"/>
    <w:rsid w:val="004B502F"/>
    <w:rsid w:val="004C3DF1"/>
    <w:rsid w:val="004D0926"/>
    <w:rsid w:val="004D2E36"/>
    <w:rsid w:val="00503AB6"/>
    <w:rsid w:val="005047C5"/>
    <w:rsid w:val="00510920"/>
    <w:rsid w:val="00511081"/>
    <w:rsid w:val="00521812"/>
    <w:rsid w:val="00523D2C"/>
    <w:rsid w:val="00531C82"/>
    <w:rsid w:val="005339A8"/>
    <w:rsid w:val="00533FC1"/>
    <w:rsid w:val="0054564B"/>
    <w:rsid w:val="00545A13"/>
    <w:rsid w:val="00546343"/>
    <w:rsid w:val="00557CD3"/>
    <w:rsid w:val="00560D3C"/>
    <w:rsid w:val="00567DE0"/>
    <w:rsid w:val="005735A5"/>
    <w:rsid w:val="0058792B"/>
    <w:rsid w:val="005A0BB2"/>
    <w:rsid w:val="005A5BE0"/>
    <w:rsid w:val="005B12E0"/>
    <w:rsid w:val="005C25A0"/>
    <w:rsid w:val="005C6C32"/>
    <w:rsid w:val="005D230D"/>
    <w:rsid w:val="00602F7D"/>
    <w:rsid w:val="00605952"/>
    <w:rsid w:val="00615CE2"/>
    <w:rsid w:val="00620677"/>
    <w:rsid w:val="00624032"/>
    <w:rsid w:val="00637FBC"/>
    <w:rsid w:val="00645A56"/>
    <w:rsid w:val="006532DF"/>
    <w:rsid w:val="0065579D"/>
    <w:rsid w:val="00663792"/>
    <w:rsid w:val="0067046C"/>
    <w:rsid w:val="00676845"/>
    <w:rsid w:val="00680547"/>
    <w:rsid w:val="0068446F"/>
    <w:rsid w:val="0068647D"/>
    <w:rsid w:val="0069428E"/>
    <w:rsid w:val="00696CAD"/>
    <w:rsid w:val="006A5E0B"/>
    <w:rsid w:val="006B73EA"/>
    <w:rsid w:val="006C3797"/>
    <w:rsid w:val="006D757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A4D"/>
    <w:rsid w:val="00767F8C"/>
    <w:rsid w:val="00780B67"/>
    <w:rsid w:val="007B1099"/>
    <w:rsid w:val="007B6E18"/>
    <w:rsid w:val="007D0246"/>
    <w:rsid w:val="007E70F7"/>
    <w:rsid w:val="007F5873"/>
    <w:rsid w:val="008022C6"/>
    <w:rsid w:val="00806382"/>
    <w:rsid w:val="00815F94"/>
    <w:rsid w:val="0082130C"/>
    <w:rsid w:val="008224E2"/>
    <w:rsid w:val="00825DC9"/>
    <w:rsid w:val="0082676D"/>
    <w:rsid w:val="00831055"/>
    <w:rsid w:val="008423BB"/>
    <w:rsid w:val="00846F1F"/>
    <w:rsid w:val="0087201B"/>
    <w:rsid w:val="00877F10"/>
    <w:rsid w:val="00882091"/>
    <w:rsid w:val="008839C6"/>
    <w:rsid w:val="008913D5"/>
    <w:rsid w:val="00893E75"/>
    <w:rsid w:val="008C2778"/>
    <w:rsid w:val="008C2F62"/>
    <w:rsid w:val="008D020E"/>
    <w:rsid w:val="008D1117"/>
    <w:rsid w:val="008D15A4"/>
    <w:rsid w:val="008D4197"/>
    <w:rsid w:val="008F36E4"/>
    <w:rsid w:val="00933C8B"/>
    <w:rsid w:val="0094201C"/>
    <w:rsid w:val="00951AB7"/>
    <w:rsid w:val="009553EC"/>
    <w:rsid w:val="0096687F"/>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2B85"/>
    <w:rsid w:val="00A519D1"/>
    <w:rsid w:val="00A6343B"/>
    <w:rsid w:val="00A65C50"/>
    <w:rsid w:val="00A66DD2"/>
    <w:rsid w:val="00A93C2A"/>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4764F"/>
    <w:rsid w:val="00B62087"/>
    <w:rsid w:val="00B62F41"/>
    <w:rsid w:val="00B73785"/>
    <w:rsid w:val="00B760E1"/>
    <w:rsid w:val="00B807F8"/>
    <w:rsid w:val="00B858FF"/>
    <w:rsid w:val="00BA1472"/>
    <w:rsid w:val="00BA1AB3"/>
    <w:rsid w:val="00BA6421"/>
    <w:rsid w:val="00BB34E6"/>
    <w:rsid w:val="00BB4FEC"/>
    <w:rsid w:val="00BC402F"/>
    <w:rsid w:val="00BD27BA"/>
    <w:rsid w:val="00BD5BA7"/>
    <w:rsid w:val="00BE13EF"/>
    <w:rsid w:val="00BE40A5"/>
    <w:rsid w:val="00BE6454"/>
    <w:rsid w:val="00BF39A4"/>
    <w:rsid w:val="00C02797"/>
    <w:rsid w:val="00C10283"/>
    <w:rsid w:val="00C10B82"/>
    <w:rsid w:val="00C110CC"/>
    <w:rsid w:val="00C22886"/>
    <w:rsid w:val="00C22FA3"/>
    <w:rsid w:val="00C25C8F"/>
    <w:rsid w:val="00C263C6"/>
    <w:rsid w:val="00C4759F"/>
    <w:rsid w:val="00C62E61"/>
    <w:rsid w:val="00C635B6"/>
    <w:rsid w:val="00C70DFC"/>
    <w:rsid w:val="00C82466"/>
    <w:rsid w:val="00C84097"/>
    <w:rsid w:val="00C905A7"/>
    <w:rsid w:val="00C917ED"/>
    <w:rsid w:val="00CA37F3"/>
    <w:rsid w:val="00CB429B"/>
    <w:rsid w:val="00CB6DAC"/>
    <w:rsid w:val="00CC2753"/>
    <w:rsid w:val="00CD093E"/>
    <w:rsid w:val="00CD1556"/>
    <w:rsid w:val="00CD1FD7"/>
    <w:rsid w:val="00CD7207"/>
    <w:rsid w:val="00CE199A"/>
    <w:rsid w:val="00CE5AC7"/>
    <w:rsid w:val="00CF0BBB"/>
    <w:rsid w:val="00D04FB4"/>
    <w:rsid w:val="00D1283A"/>
    <w:rsid w:val="00D17979"/>
    <w:rsid w:val="00D2075F"/>
    <w:rsid w:val="00D3257B"/>
    <w:rsid w:val="00D367DA"/>
    <w:rsid w:val="00D40416"/>
    <w:rsid w:val="00D45CF7"/>
    <w:rsid w:val="00D4782A"/>
    <w:rsid w:val="00D7603E"/>
    <w:rsid w:val="00D8579C"/>
    <w:rsid w:val="00D86FCA"/>
    <w:rsid w:val="00D90124"/>
    <w:rsid w:val="00D9392F"/>
    <w:rsid w:val="00D96C9F"/>
    <w:rsid w:val="00DA41F5"/>
    <w:rsid w:val="00DB5B54"/>
    <w:rsid w:val="00DB7E1B"/>
    <w:rsid w:val="00DC1D81"/>
    <w:rsid w:val="00DD3717"/>
    <w:rsid w:val="00DE434F"/>
    <w:rsid w:val="00E05F29"/>
    <w:rsid w:val="00E451EA"/>
    <w:rsid w:val="00E53E52"/>
    <w:rsid w:val="00E57F4B"/>
    <w:rsid w:val="00E63889"/>
    <w:rsid w:val="00E65EB7"/>
    <w:rsid w:val="00E717F3"/>
    <w:rsid w:val="00E71C8D"/>
    <w:rsid w:val="00E72360"/>
    <w:rsid w:val="00E90EE6"/>
    <w:rsid w:val="00E972A7"/>
    <w:rsid w:val="00EA2839"/>
    <w:rsid w:val="00EB3E91"/>
    <w:rsid w:val="00EC6894"/>
    <w:rsid w:val="00ED6B12"/>
    <w:rsid w:val="00EE0D3E"/>
    <w:rsid w:val="00EF326D"/>
    <w:rsid w:val="00EF53FE"/>
    <w:rsid w:val="00F245A7"/>
    <w:rsid w:val="00F2643C"/>
    <w:rsid w:val="00F26CF2"/>
    <w:rsid w:val="00F3295A"/>
    <w:rsid w:val="00F34D8E"/>
    <w:rsid w:val="00F3669D"/>
    <w:rsid w:val="00F405F8"/>
    <w:rsid w:val="00F41154"/>
    <w:rsid w:val="00F4700F"/>
    <w:rsid w:val="00F51F7F"/>
    <w:rsid w:val="00F573EA"/>
    <w:rsid w:val="00F57E9D"/>
    <w:rsid w:val="00FA093F"/>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1C54E"/>
  <w15:chartTrackingRefBased/>
  <w15:docId w15:val="{F1825539-68BA-2C41-A615-A3AC6CEB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06C13"/>
    <w:rPr>
      <w:color w:val="605E5C"/>
      <w:shd w:val="clear" w:color="auto" w:fill="E1DFDD"/>
    </w:rPr>
  </w:style>
  <w:style w:type="character" w:styleId="Strong">
    <w:name w:val="Strong"/>
    <w:uiPriority w:val="22"/>
    <w:qFormat/>
    <w:rsid w:val="00D367DA"/>
    <w:rPr>
      <w:b/>
      <w:bCs/>
    </w:rPr>
  </w:style>
  <w:style w:type="character" w:styleId="Emphasis">
    <w:name w:val="Emphasis"/>
    <w:uiPriority w:val="20"/>
    <w:qFormat/>
    <w:rsid w:val="00D367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74356">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392169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61446667">
      <w:bodyDiv w:val="1"/>
      <w:marLeft w:val="0"/>
      <w:marRight w:val="0"/>
      <w:marTop w:val="0"/>
      <w:marBottom w:val="0"/>
      <w:divBdr>
        <w:top w:val="none" w:sz="0" w:space="0" w:color="auto"/>
        <w:left w:val="none" w:sz="0" w:space="0" w:color="auto"/>
        <w:bottom w:val="none" w:sz="0" w:space="0" w:color="auto"/>
        <w:right w:val="none" w:sz="0" w:space="0" w:color="auto"/>
      </w:divBdr>
    </w:div>
    <w:div w:id="378550259">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80467140">
      <w:bodyDiv w:val="1"/>
      <w:marLeft w:val="0"/>
      <w:marRight w:val="0"/>
      <w:marTop w:val="0"/>
      <w:marBottom w:val="0"/>
      <w:divBdr>
        <w:top w:val="none" w:sz="0" w:space="0" w:color="auto"/>
        <w:left w:val="none" w:sz="0" w:space="0" w:color="auto"/>
        <w:bottom w:val="none" w:sz="0" w:space="0" w:color="auto"/>
        <w:right w:val="none" w:sz="0" w:space="0" w:color="auto"/>
      </w:divBdr>
    </w:div>
    <w:div w:id="118798031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39969290">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03082592">
      <w:bodyDiv w:val="1"/>
      <w:marLeft w:val="0"/>
      <w:marRight w:val="0"/>
      <w:marTop w:val="0"/>
      <w:marBottom w:val="0"/>
      <w:divBdr>
        <w:top w:val="none" w:sz="0" w:space="0" w:color="auto"/>
        <w:left w:val="none" w:sz="0" w:space="0" w:color="auto"/>
        <w:bottom w:val="none" w:sz="0" w:space="0" w:color="auto"/>
        <w:right w:val="none" w:sz="0" w:space="0" w:color="auto"/>
      </w:divBdr>
    </w:div>
    <w:div w:id="1557357736">
      <w:bodyDiv w:val="1"/>
      <w:marLeft w:val="0"/>
      <w:marRight w:val="0"/>
      <w:marTop w:val="0"/>
      <w:marBottom w:val="0"/>
      <w:divBdr>
        <w:top w:val="none" w:sz="0" w:space="0" w:color="auto"/>
        <w:left w:val="none" w:sz="0" w:space="0" w:color="auto"/>
        <w:bottom w:val="none" w:sz="0" w:space="0" w:color="auto"/>
        <w:right w:val="none" w:sz="0" w:space="0" w:color="auto"/>
      </w:divBdr>
    </w:div>
    <w:div w:id="1650792093">
      <w:bodyDiv w:val="1"/>
      <w:marLeft w:val="0"/>
      <w:marRight w:val="0"/>
      <w:marTop w:val="0"/>
      <w:marBottom w:val="0"/>
      <w:divBdr>
        <w:top w:val="none" w:sz="0" w:space="0" w:color="auto"/>
        <w:left w:val="none" w:sz="0" w:space="0" w:color="auto"/>
        <w:bottom w:val="none" w:sz="0" w:space="0" w:color="auto"/>
        <w:right w:val="none" w:sz="0" w:space="0" w:color="auto"/>
      </w:divBdr>
    </w:div>
    <w:div w:id="1964918129">
      <w:bodyDiv w:val="1"/>
      <w:marLeft w:val="0"/>
      <w:marRight w:val="0"/>
      <w:marTop w:val="0"/>
      <w:marBottom w:val="0"/>
      <w:divBdr>
        <w:top w:val="none" w:sz="0" w:space="0" w:color="auto"/>
        <w:left w:val="none" w:sz="0" w:space="0" w:color="auto"/>
        <w:bottom w:val="none" w:sz="0" w:space="0" w:color="auto"/>
        <w:right w:val="none" w:sz="0" w:space="0" w:color="auto"/>
      </w:divBdr>
    </w:div>
    <w:div w:id="2040086826">
      <w:bodyDiv w:val="1"/>
      <w:marLeft w:val="0"/>
      <w:marRight w:val="0"/>
      <w:marTop w:val="0"/>
      <w:marBottom w:val="0"/>
      <w:divBdr>
        <w:top w:val="none" w:sz="0" w:space="0" w:color="auto"/>
        <w:left w:val="none" w:sz="0" w:space="0" w:color="auto"/>
        <w:bottom w:val="none" w:sz="0" w:space="0" w:color="auto"/>
        <w:right w:val="none" w:sz="0" w:space="0" w:color="auto"/>
      </w:divBdr>
    </w:div>
    <w:div w:id="211906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pcp.com/index.php/AJMPC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A777B-298D-4583-B8F7-DC8A1D5D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Links>
    <vt:vector size="6" baseType="variant">
      <vt:variant>
        <vt:i4>6553635</vt:i4>
      </vt:variant>
      <vt:variant>
        <vt:i4>0</vt:i4>
      </vt:variant>
      <vt:variant>
        <vt:i4>0</vt:i4>
      </vt:variant>
      <vt:variant>
        <vt:i4>5</vt:i4>
      </vt:variant>
      <vt:variant>
        <vt:lpwstr>https://journalajmpcp.com/index.php/AJMPCP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5</cp:revision>
  <dcterms:created xsi:type="dcterms:W3CDTF">2025-09-15T13:42:00Z</dcterms:created>
  <dcterms:modified xsi:type="dcterms:W3CDTF">2025-09-16T08:18:00Z</dcterms:modified>
</cp:coreProperties>
</file>