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406" w:rsidRPr="007C12E2" w:rsidRDefault="00E244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24406" w:rsidRPr="007C12E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24406" w:rsidRPr="007C12E2" w:rsidRDefault="00E2440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24406" w:rsidRPr="007C12E2">
        <w:trPr>
          <w:trHeight w:val="290"/>
        </w:trPr>
        <w:tc>
          <w:tcPr>
            <w:tcW w:w="516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oyffklca3kxb" w:colFirst="0" w:colLast="0"/>
            <w:bookmarkEnd w:id="0"/>
            <w:r w:rsidRPr="007C12E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406" w:rsidRPr="007C12E2" w:rsidRDefault="00551AB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7C12E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Asian </w:t>
              </w:r>
              <w:proofErr w:type="spellStart"/>
              <w:r w:rsidRPr="007C12E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Hematology</w:t>
              </w:r>
              <w:proofErr w:type="spellEnd"/>
              <w:r w:rsidRPr="007C12E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 Research Journal</w:t>
              </w:r>
            </w:hyperlink>
            <w:r w:rsidRPr="007C12E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24406" w:rsidRPr="007C12E2">
        <w:trPr>
          <w:trHeight w:val="290"/>
        </w:trPr>
        <w:tc>
          <w:tcPr>
            <w:tcW w:w="516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Ms_AHRJ_143321</w:t>
            </w:r>
          </w:p>
        </w:tc>
      </w:tr>
      <w:tr w:rsidR="00E24406" w:rsidRPr="007C12E2">
        <w:trPr>
          <w:trHeight w:val="650"/>
        </w:trPr>
        <w:tc>
          <w:tcPr>
            <w:tcW w:w="516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1" w:name="_yb64u5h4v8gb" w:colFirst="0" w:colLast="0"/>
            <w:bookmarkEnd w:id="1"/>
            <w:r w:rsidRPr="007C12E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The Correlation of Vitamin D3 with Biochemical Markers in β-Thalassemia Major Patients at Diwaniyah Thalassemia </w:t>
            </w:r>
            <w:proofErr w:type="spellStart"/>
            <w:r w:rsidRPr="007C12E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Center</w:t>
            </w:r>
            <w:proofErr w:type="spellEnd"/>
          </w:p>
        </w:tc>
      </w:tr>
      <w:tr w:rsidR="00E24406" w:rsidRPr="007C12E2">
        <w:trPr>
          <w:trHeight w:val="332"/>
        </w:trPr>
        <w:tc>
          <w:tcPr>
            <w:tcW w:w="516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406" w:rsidRPr="007C12E2" w:rsidRDefault="00E244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E24406" w:rsidRPr="007C12E2" w:rsidRDefault="00E244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24406" w:rsidRPr="007C12E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24406" w:rsidRPr="007C12E2" w:rsidRDefault="00551AB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C12E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C12E2">
              <w:rPr>
                <w:rFonts w:ascii="Arial" w:eastAsia="Times New Roman" w:hAnsi="Arial" w:cs="Arial"/>
              </w:rPr>
              <w:t xml:space="preserve"> Comments</w:t>
            </w:r>
          </w:p>
          <w:p w:rsidR="00E24406" w:rsidRPr="007C12E2" w:rsidRDefault="00E24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406" w:rsidRPr="007C12E2">
        <w:tc>
          <w:tcPr>
            <w:tcW w:w="5351" w:type="dxa"/>
          </w:tcPr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24406" w:rsidRPr="007C12E2" w:rsidRDefault="00551AB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C12E2">
              <w:rPr>
                <w:rFonts w:ascii="Arial" w:eastAsia="Times New Roman" w:hAnsi="Arial" w:cs="Arial"/>
              </w:rPr>
              <w:t>Reviewer’s comment</w:t>
            </w:r>
          </w:p>
          <w:p w:rsidR="00E24406" w:rsidRPr="007C12E2" w:rsidRDefault="00551ABB">
            <w:pPr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24406" w:rsidRPr="007C12E2" w:rsidRDefault="00E24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24406" w:rsidRPr="007C12E2" w:rsidRDefault="00551AB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C12E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24406" w:rsidRPr="007C12E2">
        <w:trPr>
          <w:trHeight w:val="1264"/>
        </w:trPr>
        <w:tc>
          <w:tcPr>
            <w:tcW w:w="5351" w:type="dxa"/>
          </w:tcPr>
          <w:p w:rsidR="00E24406" w:rsidRPr="007C12E2" w:rsidRDefault="00551A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7C12E2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E24406" w:rsidRPr="007C12E2" w:rsidRDefault="00E2440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The study contributes to understanding the impact of Vitamin D deficiency as a comorbidity in thalassemia patients. It highlights the importance of screening for vitamin D and monitoring iron overload in thalassemia patients receiving regular blood transfu</w:t>
            </w: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sions. Additionally, it offers insights into its association with liver injury.</w:t>
            </w:r>
          </w:p>
        </w:tc>
        <w:tc>
          <w:tcPr>
            <w:tcW w:w="6442" w:type="dxa"/>
          </w:tcPr>
          <w:p w:rsidR="00E24406" w:rsidRPr="007C12E2" w:rsidRDefault="00551AB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C12E2">
              <w:rPr>
                <w:rFonts w:ascii="Arial" w:eastAsia="Times New Roman" w:hAnsi="Arial" w:cs="Arial"/>
                <w:b w:val="0"/>
              </w:rPr>
              <w:t>This manuscript provides important clinical data on a cohort of Iraqi patients with β-thalassemia major, confirming the critical prevalence of vitamin D deficiency (84%) and associated metabolic derangements. Its primary significance lies in establishing a</w:t>
            </w:r>
            <w:r w:rsidRPr="007C12E2">
              <w:rPr>
                <w:rFonts w:ascii="Arial" w:eastAsia="Times New Roman" w:hAnsi="Arial" w:cs="Arial"/>
                <w:b w:val="0"/>
              </w:rPr>
              <w:t xml:space="preserve"> statistically significant inverse correlation between liver injury, indicated by elevated ALT, and low serum vitamin D levels, offering strong evidence for a direct pathophysiological link. These findings underscore the multisystemic nature of thalassemia</w:t>
            </w:r>
            <w:r w:rsidRPr="007C12E2">
              <w:rPr>
                <w:rFonts w:ascii="Arial" w:eastAsia="Times New Roman" w:hAnsi="Arial" w:cs="Arial"/>
                <w:b w:val="0"/>
              </w:rPr>
              <w:t xml:space="preserve"> complications and highlight the necessity for clinicians to expand patient monitoring beyond iron overload to include routine screening for vitamin D and hepatic dysfunction. This research contributes to a better understanding of the complex interplay bet</w:t>
            </w:r>
            <w:r w:rsidRPr="007C12E2">
              <w:rPr>
                <w:rFonts w:ascii="Arial" w:eastAsia="Times New Roman" w:hAnsi="Arial" w:cs="Arial"/>
                <w:b w:val="0"/>
              </w:rPr>
              <w:t>ween organ systems in thalassemia and supports a more comprehensive approach to patient care to mitigate long-term morbidity.</w:t>
            </w:r>
          </w:p>
        </w:tc>
      </w:tr>
      <w:tr w:rsidR="00E24406" w:rsidRPr="007C12E2" w:rsidTr="007C12E2">
        <w:trPr>
          <w:trHeight w:val="96"/>
        </w:trPr>
        <w:tc>
          <w:tcPr>
            <w:tcW w:w="5351" w:type="dxa"/>
          </w:tcPr>
          <w:p w:rsidR="00E24406" w:rsidRPr="007C12E2" w:rsidRDefault="00551A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E24406" w:rsidRPr="007C12E2" w:rsidRDefault="00551ABB" w:rsidP="007C12E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C12E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:rsidR="00E24406" w:rsidRPr="007C12E2" w:rsidRDefault="00551A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sz w:val="20"/>
                <w:szCs w:val="20"/>
              </w:rPr>
              <w:t>The title is suitable.</w:t>
            </w:r>
          </w:p>
        </w:tc>
        <w:tc>
          <w:tcPr>
            <w:tcW w:w="6442" w:type="dxa"/>
          </w:tcPr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24406" w:rsidRPr="007C12E2" w:rsidTr="007C12E2">
        <w:trPr>
          <w:trHeight w:val="96"/>
        </w:trPr>
        <w:tc>
          <w:tcPr>
            <w:tcW w:w="5351" w:type="dxa"/>
          </w:tcPr>
          <w:p w:rsidR="00E24406" w:rsidRPr="007C12E2" w:rsidRDefault="00551ABB" w:rsidP="007C12E2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7C12E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E24406" w:rsidRPr="007C12E2" w:rsidRDefault="00551A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sz w:val="20"/>
                <w:szCs w:val="20"/>
              </w:rPr>
              <w:t>Abstract is comprehensive.</w:t>
            </w:r>
          </w:p>
        </w:tc>
        <w:tc>
          <w:tcPr>
            <w:tcW w:w="6442" w:type="dxa"/>
          </w:tcPr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24406" w:rsidRPr="007C12E2" w:rsidTr="007C12E2">
        <w:trPr>
          <w:trHeight w:val="96"/>
        </w:trPr>
        <w:tc>
          <w:tcPr>
            <w:tcW w:w="5351" w:type="dxa"/>
          </w:tcPr>
          <w:p w:rsidR="00E24406" w:rsidRPr="007C12E2" w:rsidRDefault="00551AB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C12E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Manuscri</w:t>
            </w: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 xml:space="preserve">pt appears scientifically </w:t>
            </w:r>
            <w:proofErr w:type="gramStart"/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correct..</w:t>
            </w:r>
            <w:proofErr w:type="gramEnd"/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42" w:type="dxa"/>
          </w:tcPr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24406" w:rsidRPr="007C12E2">
        <w:trPr>
          <w:trHeight w:val="703"/>
        </w:trPr>
        <w:tc>
          <w:tcPr>
            <w:tcW w:w="5351" w:type="dxa"/>
          </w:tcPr>
          <w:p w:rsidR="00E24406" w:rsidRPr="007C12E2" w:rsidRDefault="00551A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References are recent and adequate for the topic</w:t>
            </w:r>
          </w:p>
        </w:tc>
        <w:tc>
          <w:tcPr>
            <w:tcW w:w="6442" w:type="dxa"/>
          </w:tcPr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24406" w:rsidRPr="007C12E2">
        <w:trPr>
          <w:trHeight w:val="386"/>
        </w:trPr>
        <w:tc>
          <w:tcPr>
            <w:tcW w:w="5351" w:type="dxa"/>
          </w:tcPr>
          <w:p w:rsidR="00E24406" w:rsidRPr="007C12E2" w:rsidRDefault="00551AB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C12E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E24406" w:rsidRPr="007C12E2" w:rsidRDefault="00E24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24406" w:rsidRPr="007C12E2" w:rsidRDefault="00551ABB">
            <w:pPr>
              <w:rPr>
                <w:rFonts w:ascii="Arial" w:hAnsi="Arial" w:cs="Arial"/>
                <w:sz w:val="20"/>
                <w:szCs w:val="20"/>
              </w:rPr>
            </w:pPr>
            <w:r w:rsidRPr="007C12E2">
              <w:rPr>
                <w:rFonts w:ascii="Arial" w:hAnsi="Arial" w:cs="Arial"/>
                <w:sz w:val="20"/>
                <w:szCs w:val="20"/>
              </w:rPr>
              <w:t xml:space="preserve">English is suitable for scholarly communications, with minor improvements required. </w:t>
            </w:r>
          </w:p>
        </w:tc>
        <w:tc>
          <w:tcPr>
            <w:tcW w:w="6442" w:type="dxa"/>
          </w:tcPr>
          <w:p w:rsidR="00E24406" w:rsidRPr="007C12E2" w:rsidRDefault="00E24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406" w:rsidRPr="007C12E2">
        <w:trPr>
          <w:trHeight w:val="1178"/>
        </w:trPr>
        <w:tc>
          <w:tcPr>
            <w:tcW w:w="5351" w:type="dxa"/>
          </w:tcPr>
          <w:p w:rsidR="00E24406" w:rsidRPr="007C12E2" w:rsidRDefault="00551AB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C12E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C12E2">
              <w:rPr>
                <w:rFonts w:ascii="Arial" w:eastAsia="Times New Roman" w:hAnsi="Arial" w:cs="Arial"/>
              </w:rPr>
              <w:t xml:space="preserve"> </w:t>
            </w:r>
            <w:r w:rsidRPr="007C12E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E24406" w:rsidRPr="007C12E2" w:rsidRDefault="00E244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24406" w:rsidRPr="007C12E2" w:rsidRDefault="005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The sample size of 50 is relatively small, and the study does not include a control group. Without comparing the prevalence of vitamin D3 in test and control groups, it is impossible to determine whether the observed rate of vitamin D deficiency is specifi</w:t>
            </w:r>
            <w:r w:rsidRPr="007C12E2">
              <w:rPr>
                <w:rFonts w:ascii="Arial" w:hAnsi="Arial" w:cs="Arial"/>
                <w:color w:val="000000"/>
                <w:sz w:val="20"/>
                <w:szCs w:val="20"/>
              </w:rPr>
              <w:t>cally linked to the thalassaemia test group or due to iron overload, and it may only represent the prevalence of vitamin D in that population.</w:t>
            </w:r>
          </w:p>
        </w:tc>
        <w:tc>
          <w:tcPr>
            <w:tcW w:w="6442" w:type="dxa"/>
          </w:tcPr>
          <w:p w:rsidR="00E24406" w:rsidRPr="007C12E2" w:rsidRDefault="00E24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4406" w:rsidRPr="007C12E2" w:rsidRDefault="00E24406" w:rsidP="007C12E2">
      <w:pPr>
        <w:rPr>
          <w:rFonts w:ascii="Arial" w:hAnsi="Arial" w:cs="Arial"/>
          <w:sz w:val="20"/>
          <w:szCs w:val="20"/>
        </w:rPr>
      </w:pPr>
      <w:bookmarkStart w:id="2" w:name="_fcw1hkuhm7u5" w:colFirst="0" w:colLast="0"/>
      <w:bookmarkStart w:id="3" w:name="_2teh5dygcpke" w:colFirst="0" w:colLast="0"/>
      <w:bookmarkEnd w:id="2"/>
      <w:bookmarkEnd w:id="3"/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  <w:bookmarkStart w:id="4" w:name="_GoBack"/>
      <w:bookmarkEnd w:id="4"/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C12E2" w:rsidRPr="007C12E2" w:rsidTr="00442BA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2E2" w:rsidRPr="007C12E2" w:rsidRDefault="007C12E2" w:rsidP="00442B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5" w:name="_Hlk156057883"/>
            <w:bookmarkStart w:id="6" w:name="_Hlk156057704"/>
            <w:r w:rsidRPr="007C12E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C12E2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C12E2" w:rsidRPr="007C12E2" w:rsidRDefault="007C12E2" w:rsidP="00442B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C12E2" w:rsidRPr="007C12E2" w:rsidTr="00442BA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2E2" w:rsidRPr="007C12E2" w:rsidRDefault="007C12E2" w:rsidP="00442B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7C12E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C12E2" w:rsidRPr="007C12E2" w:rsidRDefault="007C12E2" w:rsidP="00442BA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12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12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C12E2" w:rsidRPr="007C12E2" w:rsidRDefault="007C12E2" w:rsidP="00442B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7C12E2" w:rsidRPr="007C12E2" w:rsidTr="00442BA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2E2" w:rsidRPr="007C12E2" w:rsidRDefault="007C12E2" w:rsidP="00442BAA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7C12E2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2E2" w:rsidRPr="007C12E2" w:rsidRDefault="007C12E2" w:rsidP="00442BA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7C12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C12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7C12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7C12E2" w:rsidRPr="007C12E2" w:rsidRDefault="007C12E2" w:rsidP="00442BA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5"/>
    </w:tbl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bCs/>
          <w:sz w:val="20"/>
          <w:szCs w:val="20"/>
          <w:u w:val="single"/>
        </w:rPr>
      </w:pPr>
    </w:p>
    <w:bookmarkEnd w:id="6"/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p w:rsidR="007C12E2" w:rsidRPr="007C12E2" w:rsidRDefault="007C12E2" w:rsidP="007C12E2">
      <w:pPr>
        <w:rPr>
          <w:rFonts w:ascii="Arial" w:hAnsi="Arial" w:cs="Arial"/>
          <w:sz w:val="20"/>
          <w:szCs w:val="20"/>
        </w:rPr>
      </w:pPr>
    </w:p>
    <w:sectPr w:rsidR="007C12E2" w:rsidRPr="007C12E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ABB" w:rsidRDefault="00551ABB">
      <w:r>
        <w:separator/>
      </w:r>
    </w:p>
  </w:endnote>
  <w:endnote w:type="continuationSeparator" w:id="0">
    <w:p w:rsidR="00551ABB" w:rsidRDefault="0055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406" w:rsidRDefault="00551AB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(03-07-2024)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ABB" w:rsidRDefault="00551ABB">
      <w:r>
        <w:separator/>
      </w:r>
    </w:p>
  </w:footnote>
  <w:footnote w:type="continuationSeparator" w:id="0">
    <w:p w:rsidR="00551ABB" w:rsidRDefault="00551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406" w:rsidRDefault="00E2440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24406" w:rsidRDefault="00551AB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406"/>
    <w:rsid w:val="00551ABB"/>
    <w:rsid w:val="007C12E2"/>
    <w:rsid w:val="00E2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18FA7"/>
  <w15:docId w15:val="{E1B06987-79B7-468A-8E2E-E0F591B5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hrj.com/index.php/AH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2025-08-29T06:28:00Z</dcterms:created>
  <dcterms:modified xsi:type="dcterms:W3CDTF">2025-08-29T06:30:00Z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9e776cbb-8513-4c06-9986-d8f08956351c</vt:lpwstr>
  </property>
</Properties>
</file>