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4977" w14:textId="77777777" w:rsidR="009344FF" w:rsidRPr="00B47698" w:rsidRDefault="009344FF" w:rsidP="009344FF">
      <w:pPr>
        <w:rPr>
          <w:rFonts w:ascii="Arial" w:hAnsi="Arial" w:cs="Arial"/>
          <w:b/>
          <w:sz w:val="20"/>
          <w:szCs w:val="20"/>
          <w:u w:val="single"/>
        </w:rPr>
      </w:pPr>
      <w:r w:rsidRPr="00B47698">
        <w:rPr>
          <w:rFonts w:ascii="Arial" w:hAnsi="Arial" w:cs="Arial"/>
          <w:b/>
          <w:sz w:val="20"/>
          <w:szCs w:val="20"/>
          <w:u w:val="single"/>
        </w:rPr>
        <w:t>Editor’s Comment:</w:t>
      </w:r>
    </w:p>
    <w:p w14:paraId="085EBA3C" w14:textId="70C8936B" w:rsidR="00B47698" w:rsidRPr="00B47698" w:rsidRDefault="00B47698" w:rsidP="00B47698">
      <w:pPr>
        <w:rPr>
          <w:rFonts w:ascii="Arial" w:hAnsi="Arial" w:cs="Arial"/>
          <w:sz w:val="20"/>
          <w:szCs w:val="20"/>
        </w:rPr>
      </w:pPr>
      <w:r w:rsidRPr="00B47698">
        <w:rPr>
          <w:rFonts w:ascii="Arial" w:hAnsi="Arial" w:cs="Arial"/>
          <w:sz w:val="20"/>
          <w:szCs w:val="20"/>
        </w:rPr>
        <w:t>Ventricular tachycardia (VT) typically arises in patients with impaired left ventricular ejection fraction (LVEF). However, VT may also occur in individuals with preserved EF, highlighting the importance of myocardial fibrosis as an arrhythmogenic substrate. Cardiac magnetic resonance imaging (CMR) with late gadolinium enhancement (LGE) has emerged as a key tool in identifying such risk beyond EF assessment. This case emphasizes the importance of CMR in arrhythmic risk stratification, supports ICD therapy regardless of EF, and illustrates the challenges of multidisciplinary management in patients with oncological and gastrointestinal comorbidities.</w:t>
      </w:r>
    </w:p>
    <w:p w14:paraId="7A345CFA" w14:textId="47FC8D3A" w:rsidR="009344FF" w:rsidRPr="00B47698" w:rsidRDefault="00B47698" w:rsidP="00B47698">
      <w:pPr>
        <w:rPr>
          <w:rFonts w:ascii="Arial" w:hAnsi="Arial" w:cs="Arial"/>
          <w:sz w:val="20"/>
          <w:szCs w:val="20"/>
        </w:rPr>
      </w:pPr>
      <w:r w:rsidRPr="00B47698">
        <w:rPr>
          <w:rFonts w:ascii="Arial" w:hAnsi="Arial" w:cs="Arial"/>
          <w:sz w:val="20"/>
          <w:szCs w:val="20"/>
        </w:rPr>
        <w:t>With due consideration to the reviewer's comments and the revisions made, the decision on the manuscript</w:t>
      </w:r>
      <w:r w:rsidRPr="00B47698">
        <w:rPr>
          <w:rFonts w:ascii="Arial" w:hAnsi="Arial" w:cs="Arial"/>
          <w:sz w:val="20"/>
          <w:szCs w:val="20"/>
        </w:rPr>
        <w:t xml:space="preserve"> </w:t>
      </w:r>
      <w:r w:rsidRPr="00B47698">
        <w:rPr>
          <w:rFonts w:ascii="Arial" w:hAnsi="Arial" w:cs="Arial"/>
          <w:sz w:val="20"/>
          <w:szCs w:val="20"/>
        </w:rPr>
        <w:t xml:space="preserve"> for the Asian Journal of Cardiology Research is Accepted.</w:t>
      </w:r>
    </w:p>
    <w:p w14:paraId="45DFE1AD" w14:textId="77777777" w:rsidR="00000000" w:rsidRPr="00B47698" w:rsidRDefault="009344FF" w:rsidP="009344FF">
      <w:pPr>
        <w:rPr>
          <w:rFonts w:ascii="Arial" w:hAnsi="Arial" w:cs="Arial"/>
          <w:b/>
          <w:sz w:val="20"/>
          <w:szCs w:val="20"/>
          <w:u w:val="single"/>
        </w:rPr>
      </w:pPr>
      <w:r w:rsidRPr="00B47698">
        <w:rPr>
          <w:rFonts w:ascii="Arial" w:hAnsi="Arial" w:cs="Arial"/>
          <w:b/>
          <w:sz w:val="20"/>
          <w:szCs w:val="20"/>
          <w:u w:val="single"/>
        </w:rPr>
        <w:t>Editor’s Details:</w:t>
      </w:r>
    </w:p>
    <w:p w14:paraId="75B53415" w14:textId="616E944D" w:rsidR="00B47698" w:rsidRPr="00B47698" w:rsidRDefault="00B47698" w:rsidP="009344FF">
      <w:pPr>
        <w:rPr>
          <w:rFonts w:ascii="Arial" w:hAnsi="Arial" w:cs="Arial"/>
          <w:bCs/>
          <w:sz w:val="20"/>
          <w:szCs w:val="20"/>
        </w:rPr>
      </w:pPr>
      <w:bookmarkStart w:id="0" w:name="_Hlk207811723"/>
      <w:r w:rsidRPr="00B47698">
        <w:rPr>
          <w:rFonts w:ascii="Arial" w:hAnsi="Arial" w:cs="Arial"/>
          <w:bCs/>
          <w:sz w:val="20"/>
          <w:szCs w:val="20"/>
        </w:rPr>
        <w:t>Prof. Abha Chandra</w:t>
      </w:r>
      <w:r w:rsidRPr="00B47698">
        <w:rPr>
          <w:rFonts w:ascii="Arial" w:hAnsi="Arial" w:cs="Arial"/>
          <w:bCs/>
          <w:sz w:val="20"/>
          <w:szCs w:val="20"/>
        </w:rPr>
        <w:t xml:space="preserve">, </w:t>
      </w:r>
      <w:r w:rsidRPr="00B47698">
        <w:rPr>
          <w:rFonts w:ascii="Arial" w:hAnsi="Arial" w:cs="Arial"/>
          <w:bCs/>
          <w:sz w:val="20"/>
          <w:szCs w:val="20"/>
        </w:rPr>
        <w:t>Integral University, India</w:t>
      </w:r>
      <w:bookmarkEnd w:id="0"/>
    </w:p>
    <w:sectPr w:rsidR="00B47698" w:rsidRPr="00B47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1797A"/>
    <w:rsid w:val="009344FF"/>
    <w:rsid w:val="009F328F"/>
    <w:rsid w:val="00A72896"/>
    <w:rsid w:val="00B476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3C28"/>
  <w15:docId w15:val="{70A2ABD9-DC55-4EEA-82AD-F8DEBFC5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2025-09-03T11:38:00Z</dcterms:modified>
</cp:coreProperties>
</file>