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D63" w:rsidRDefault="00377729">
      <w:pPr>
        <w:jc w:val="center"/>
        <w:rPr>
          <w:rFonts w:ascii="Arial" w:hAnsi="Arial" w:cs="Arial"/>
          <w:b/>
          <w:bCs/>
          <w:sz w:val="20"/>
          <w:szCs w:val="20"/>
        </w:rPr>
      </w:pPr>
      <w:bookmarkStart w:id="0" w:name="_Hlk204608069"/>
      <w:r>
        <w:rPr>
          <w:rFonts w:ascii="Arial" w:hAnsi="Arial" w:cs="Arial"/>
          <w:b/>
          <w:bCs/>
          <w:sz w:val="20"/>
          <w:szCs w:val="20"/>
        </w:rPr>
        <w:t xml:space="preserve">Anti-inflammatory of n-hexane, ethyl-acetate and aqueous-methanol fractions of </w:t>
      </w:r>
      <w:proofErr w:type="spellStart"/>
      <w:r>
        <w:rPr>
          <w:rFonts w:ascii="Arial" w:hAnsi="Arial" w:cs="Arial"/>
          <w:b/>
          <w:bCs/>
          <w:i/>
          <w:iCs/>
          <w:sz w:val="20"/>
          <w:szCs w:val="20"/>
        </w:rPr>
        <w:t>HarunganaMadagascriensis</w:t>
      </w:r>
      <w:proofErr w:type="spellEnd"/>
      <w:r>
        <w:rPr>
          <w:rFonts w:ascii="Arial" w:hAnsi="Arial" w:cs="Arial"/>
          <w:b/>
          <w:bCs/>
          <w:sz w:val="20"/>
          <w:szCs w:val="20"/>
        </w:rPr>
        <w:t xml:space="preserve"> leaves on </w:t>
      </w:r>
      <w:proofErr w:type="spellStart"/>
      <w:r>
        <w:rPr>
          <w:rFonts w:ascii="Arial" w:hAnsi="Arial" w:cs="Arial"/>
          <w:b/>
          <w:bCs/>
          <w:sz w:val="20"/>
          <w:szCs w:val="20"/>
        </w:rPr>
        <w:t>Wistar</w:t>
      </w:r>
      <w:proofErr w:type="spellEnd"/>
      <w:r>
        <w:rPr>
          <w:rFonts w:ascii="Arial" w:hAnsi="Arial" w:cs="Arial"/>
          <w:b/>
          <w:bCs/>
          <w:sz w:val="20"/>
          <w:szCs w:val="20"/>
        </w:rPr>
        <w:t xml:space="preserve"> albino rats: A Comparative study</w:t>
      </w:r>
      <w:bookmarkEnd w:id="0"/>
    </w:p>
    <w:p w:rsidR="00341D63" w:rsidRDefault="00341D63">
      <w:pPr>
        <w:spacing w:after="0"/>
        <w:rPr>
          <w:rFonts w:ascii="Arial" w:hAnsi="Arial" w:cs="Arial"/>
          <w:sz w:val="20"/>
          <w:szCs w:val="20"/>
        </w:rPr>
      </w:pPr>
    </w:p>
    <w:p w:rsidR="00341D63" w:rsidRDefault="00377729">
      <w:pPr>
        <w:spacing w:after="0"/>
        <w:rPr>
          <w:rFonts w:ascii="Arial" w:hAnsi="Arial" w:cs="Arial"/>
          <w:b/>
          <w:sz w:val="20"/>
          <w:szCs w:val="20"/>
        </w:rPr>
      </w:pPr>
      <w:r>
        <w:rPr>
          <w:rFonts w:ascii="Arial" w:hAnsi="Arial" w:cs="Arial"/>
          <w:b/>
          <w:sz w:val="20"/>
          <w:szCs w:val="20"/>
        </w:rPr>
        <w:t>ABSTRACT</w:t>
      </w:r>
    </w:p>
    <w:p w:rsidR="00341D63" w:rsidRDefault="00341D63">
      <w:pPr>
        <w:spacing w:after="0"/>
        <w:rPr>
          <w:rFonts w:ascii="Arial" w:hAnsi="Arial" w:cs="Arial"/>
          <w:sz w:val="20"/>
          <w:szCs w:val="20"/>
        </w:rPr>
      </w:pPr>
    </w:p>
    <w:p w:rsidR="00341D63" w:rsidRDefault="00377729">
      <w:pPr>
        <w:spacing w:after="0" w:line="240" w:lineRule="auto"/>
        <w:jc w:val="both"/>
        <w:rPr>
          <w:rFonts w:ascii="Arial" w:hAnsi="Arial" w:cs="Arial"/>
          <w:sz w:val="20"/>
          <w:szCs w:val="20"/>
        </w:rPr>
      </w:pPr>
      <w:r>
        <w:rPr>
          <w:rFonts w:ascii="Arial" w:hAnsi="Arial" w:cs="Arial"/>
          <w:sz w:val="20"/>
          <w:szCs w:val="20"/>
        </w:rPr>
        <w:t>Background</w:t>
      </w:r>
    </w:p>
    <w:p w:rsidR="00341D63" w:rsidRDefault="00377729">
      <w:pPr>
        <w:spacing w:after="0" w:line="240" w:lineRule="auto"/>
        <w:jc w:val="both"/>
        <w:rPr>
          <w:rFonts w:ascii="Arial" w:hAnsi="Arial" w:cs="Arial"/>
          <w:sz w:val="20"/>
          <w:szCs w:val="20"/>
        </w:rPr>
      </w:pPr>
      <w:r>
        <w:rPr>
          <w:rFonts w:ascii="Arial" w:hAnsi="Arial" w:cs="Arial"/>
          <w:color w:val="000000" w:themeColor="text1"/>
          <w:sz w:val="20"/>
          <w:szCs w:val="20"/>
        </w:rPr>
        <w:t xml:space="preserve">Inflammation is a protective attempt by the organism to remove the injurious stimuli as well as initiate the healing process for the tissue. When inflammation is inappropriately directed against self-tissues or is not adequately controlled, it becomes the cause of injury and disease. </w:t>
      </w:r>
      <w:proofErr w:type="spellStart"/>
      <w:r>
        <w:rPr>
          <w:rFonts w:ascii="Arial" w:hAnsi="Arial" w:cs="Arial"/>
          <w:iCs/>
          <w:color w:val="000000" w:themeColor="text1"/>
          <w:sz w:val="20"/>
          <w:szCs w:val="20"/>
        </w:rPr>
        <w:t>This</w:t>
      </w:r>
      <w:r>
        <w:rPr>
          <w:rFonts w:ascii="Arial" w:hAnsi="Arial" w:cs="Arial"/>
          <w:color w:val="000000" w:themeColor="text1"/>
          <w:sz w:val="20"/>
          <w:szCs w:val="20"/>
        </w:rPr>
        <w:t>scientific</w:t>
      </w:r>
      <w:proofErr w:type="spellEnd"/>
      <w:r>
        <w:rPr>
          <w:rFonts w:ascii="Arial" w:hAnsi="Arial" w:cs="Arial"/>
          <w:color w:val="000000" w:themeColor="text1"/>
          <w:sz w:val="20"/>
          <w:szCs w:val="20"/>
        </w:rPr>
        <w:t xml:space="preserve"> investigation could help in the search for new drugs especially those which can be used in treatment and management of several ailments, especially inflammatory diseases</w:t>
      </w:r>
      <w:r>
        <w:rPr>
          <w:rFonts w:ascii="Arial" w:hAnsi="Arial" w:cs="Arial"/>
          <w:sz w:val="20"/>
          <w:szCs w:val="20"/>
        </w:rPr>
        <w:t xml:space="preserve">. </w:t>
      </w:r>
    </w:p>
    <w:p w:rsidR="00341D63" w:rsidRDefault="00377729">
      <w:pPr>
        <w:spacing w:after="0" w:line="240" w:lineRule="auto"/>
        <w:jc w:val="both"/>
        <w:rPr>
          <w:rFonts w:ascii="Arial" w:hAnsi="Arial" w:cs="Arial"/>
          <w:b/>
          <w:sz w:val="20"/>
          <w:szCs w:val="20"/>
        </w:rPr>
      </w:pPr>
      <w:r>
        <w:rPr>
          <w:rFonts w:ascii="Arial" w:hAnsi="Arial" w:cs="Arial"/>
          <w:b/>
          <w:sz w:val="20"/>
          <w:szCs w:val="20"/>
        </w:rPr>
        <w:t>Methods</w:t>
      </w:r>
    </w:p>
    <w:p w:rsidR="00341D63" w:rsidRDefault="00377729">
      <w:pPr>
        <w:spacing w:after="0" w:line="240" w:lineRule="auto"/>
        <w:jc w:val="both"/>
        <w:rPr>
          <w:rFonts w:ascii="Arial" w:hAnsi="Arial" w:cs="Arial"/>
          <w:sz w:val="20"/>
          <w:szCs w:val="20"/>
        </w:rPr>
      </w:pPr>
      <w:r>
        <w:rPr>
          <w:rFonts w:ascii="Arial" w:hAnsi="Arial" w:cs="Arial"/>
          <w:sz w:val="20"/>
          <w:szCs w:val="20"/>
        </w:rPr>
        <w:t xml:space="preserve">Plant extract and albino Wister rats were used for the study. </w:t>
      </w:r>
      <w:r>
        <w:rPr>
          <w:rFonts w:ascii="Arial" w:hAnsi="Arial" w:cs="Arial"/>
          <w:bCs/>
          <w:color w:val="000000" w:themeColor="text1"/>
          <w:sz w:val="20"/>
          <w:szCs w:val="20"/>
        </w:rPr>
        <w:t xml:space="preserve">Fractioning of the extract was prepared using n-hexane, ethyl acetate and aqueous-methanol. </w:t>
      </w:r>
      <w:r>
        <w:rPr>
          <w:rFonts w:ascii="Arial" w:hAnsi="Arial" w:cs="Arial"/>
          <w:sz w:val="20"/>
          <w:szCs w:val="20"/>
        </w:rPr>
        <w:t xml:space="preserve">Rats were treated with different concentrations of the fractions. </w:t>
      </w:r>
    </w:p>
    <w:p w:rsidR="00341D63" w:rsidRDefault="00377729">
      <w:pPr>
        <w:spacing w:after="0" w:line="240" w:lineRule="auto"/>
        <w:jc w:val="both"/>
        <w:rPr>
          <w:rFonts w:ascii="Arial" w:hAnsi="Arial" w:cs="Arial"/>
          <w:b/>
          <w:sz w:val="20"/>
          <w:szCs w:val="20"/>
        </w:rPr>
      </w:pPr>
      <w:r>
        <w:rPr>
          <w:rFonts w:ascii="Arial" w:hAnsi="Arial" w:cs="Arial"/>
          <w:b/>
          <w:sz w:val="20"/>
          <w:szCs w:val="20"/>
        </w:rPr>
        <w:t>Results</w:t>
      </w:r>
    </w:p>
    <w:p w:rsidR="00341D63" w:rsidRDefault="00377729">
      <w:pPr>
        <w:spacing w:after="0" w:line="240" w:lineRule="auto"/>
        <w:jc w:val="both"/>
        <w:rPr>
          <w:rFonts w:ascii="Arial" w:eastAsia="Times New Roman" w:hAnsi="Arial" w:cs="Arial"/>
          <w:sz w:val="20"/>
          <w:szCs w:val="20"/>
        </w:rPr>
      </w:pPr>
      <w:r>
        <w:rPr>
          <w:rFonts w:ascii="Arial" w:hAnsi="Arial" w:cs="Arial"/>
          <w:sz w:val="20"/>
          <w:szCs w:val="20"/>
        </w:rPr>
        <w:t xml:space="preserve">The n-hexane, ethyl acetate and aqueous-methanol fractions of </w:t>
      </w:r>
      <w:r>
        <w:rPr>
          <w:rFonts w:ascii="Arial" w:hAnsi="Arial" w:cs="Arial"/>
          <w:i/>
          <w:sz w:val="20"/>
          <w:szCs w:val="20"/>
        </w:rPr>
        <w:t xml:space="preserve">H. </w:t>
      </w:r>
      <w:proofErr w:type="spellStart"/>
      <w:r>
        <w:rPr>
          <w:rFonts w:ascii="Arial" w:hAnsi="Arial" w:cs="Arial"/>
          <w:i/>
          <w:sz w:val="20"/>
          <w:szCs w:val="20"/>
        </w:rPr>
        <w:t>madagascariensis</w:t>
      </w:r>
      <w:proofErr w:type="spellEnd"/>
      <w:r w:rsidR="00A87683">
        <w:rPr>
          <w:rFonts w:ascii="Arial" w:hAnsi="Arial" w:cs="Arial"/>
          <w:i/>
          <w:sz w:val="20"/>
          <w:szCs w:val="20"/>
        </w:rPr>
        <w:t xml:space="preserve"> </w:t>
      </w:r>
      <w:r>
        <w:rPr>
          <w:rFonts w:ascii="Arial" w:hAnsi="Arial" w:cs="Arial"/>
          <w:iCs/>
          <w:sz w:val="20"/>
          <w:szCs w:val="20"/>
        </w:rPr>
        <w:t xml:space="preserve">demonstrated substantial </w:t>
      </w:r>
      <w:r>
        <w:rPr>
          <w:rFonts w:ascii="Arial" w:eastAsia="Times New Roman" w:hAnsi="Arial" w:cs="Arial"/>
          <w:sz w:val="20"/>
          <w:szCs w:val="20"/>
        </w:rPr>
        <w:t xml:space="preserve">anti-inflammatory activity which suppressed paw oedema in both the early and later phases of inflammation. In acetic acid-induced writhing test, the fractions exhibited significant (P&lt;0.05) decreases in the number of writhes in comparison to the control. The n-hexane fraction exhibited a dose dependent significant reduction (27.1, 42.9 and 65.7%) in the </w:t>
      </w:r>
      <w:r>
        <w:rPr>
          <w:rFonts w:ascii="Arial" w:eastAsia="Times New Roman" w:hAnsi="Arial" w:cs="Arial"/>
          <w:i/>
          <w:sz w:val="20"/>
          <w:szCs w:val="20"/>
        </w:rPr>
        <w:t>in vivo</w:t>
      </w:r>
      <w:r>
        <w:rPr>
          <w:rFonts w:ascii="Arial" w:eastAsia="Times New Roman" w:hAnsi="Arial" w:cs="Arial"/>
          <w:sz w:val="20"/>
          <w:szCs w:val="20"/>
        </w:rPr>
        <w:t xml:space="preserve"> leukocyte mobilization. Contrary to the n-hexane fraction, there was a non-dose dependent significant reduction (P&lt;0.05) in the percentage inhibition of mobilization by the ethyl acetate (32.9, 63.3, and 58.6%) and aqueous-methanol (54.5, 63.3, and 62.1%) fraction. In all the fractions, the proportion of neutrophils in the </w:t>
      </w:r>
      <w:proofErr w:type="spellStart"/>
      <w:r>
        <w:rPr>
          <w:rFonts w:ascii="Arial" w:eastAsia="Times New Roman" w:hAnsi="Arial" w:cs="Arial"/>
          <w:sz w:val="20"/>
          <w:szCs w:val="20"/>
        </w:rPr>
        <w:t>perfusate</w:t>
      </w:r>
      <w:proofErr w:type="spellEnd"/>
      <w:r>
        <w:rPr>
          <w:rFonts w:ascii="Arial" w:eastAsia="Times New Roman" w:hAnsi="Arial" w:cs="Arial"/>
          <w:sz w:val="20"/>
          <w:szCs w:val="20"/>
        </w:rPr>
        <w:t xml:space="preserve"> was higher than lymphocytes and macrophages at different doses. The fractions significantly (P&lt;0.05) decreased granuloma formation induced by cotton pellet. The fractions at all doses significantly (P&lt;0.05) inhibited the activity of phospholipase A</w:t>
      </w:r>
      <w:r>
        <w:rPr>
          <w:rFonts w:ascii="Arial" w:eastAsia="Times New Roman" w:hAnsi="Arial" w:cs="Arial"/>
          <w:sz w:val="20"/>
          <w:szCs w:val="20"/>
          <w:vertAlign w:val="subscript"/>
        </w:rPr>
        <w:t xml:space="preserve">2 </w:t>
      </w:r>
      <w:r>
        <w:rPr>
          <w:rFonts w:ascii="Arial" w:eastAsia="Times New Roman" w:hAnsi="Arial" w:cs="Arial"/>
          <w:sz w:val="20"/>
          <w:szCs w:val="20"/>
        </w:rPr>
        <w:t>(PLA</w:t>
      </w:r>
      <w:r>
        <w:rPr>
          <w:rFonts w:ascii="Arial" w:eastAsia="Times New Roman" w:hAnsi="Arial" w:cs="Arial"/>
          <w:sz w:val="20"/>
          <w:szCs w:val="20"/>
          <w:vertAlign w:val="subscript"/>
        </w:rPr>
        <w:t>2</w:t>
      </w:r>
      <w:r>
        <w:rPr>
          <w:rFonts w:ascii="Arial" w:eastAsia="Times New Roman" w:hAnsi="Arial" w:cs="Arial"/>
          <w:sz w:val="20"/>
          <w:szCs w:val="20"/>
        </w:rPr>
        <w:t>) and significantly protected the human erythrocyte membrane against lysis induced by hypotonic solution. Comparatively, the aqueous-methanol fraction had a better activity than</w:t>
      </w:r>
      <w:r>
        <w:rPr>
          <w:rFonts w:ascii="Arial" w:hAnsi="Arial" w:cs="Arial"/>
          <w:sz w:val="20"/>
          <w:szCs w:val="20"/>
        </w:rPr>
        <w:t xml:space="preserve"> n-hexane, and ethyl acetate </w:t>
      </w:r>
      <w:r>
        <w:rPr>
          <w:rFonts w:ascii="Arial" w:eastAsia="Times New Roman" w:hAnsi="Arial" w:cs="Arial"/>
          <w:sz w:val="20"/>
          <w:szCs w:val="20"/>
        </w:rPr>
        <w:t xml:space="preserve">fractions. </w:t>
      </w:r>
    </w:p>
    <w:p w:rsidR="00341D63" w:rsidRDefault="00377729">
      <w:pPr>
        <w:spacing w:after="0" w:line="240" w:lineRule="auto"/>
        <w:jc w:val="both"/>
        <w:rPr>
          <w:rFonts w:ascii="Arial" w:eastAsia="Times New Roman" w:hAnsi="Arial" w:cs="Arial"/>
          <w:b/>
          <w:sz w:val="20"/>
          <w:szCs w:val="20"/>
        </w:rPr>
      </w:pPr>
      <w:r>
        <w:rPr>
          <w:rFonts w:ascii="Arial" w:eastAsia="Times New Roman" w:hAnsi="Arial" w:cs="Arial"/>
          <w:b/>
          <w:sz w:val="20"/>
          <w:szCs w:val="20"/>
        </w:rPr>
        <w:t>Conclusion</w:t>
      </w:r>
    </w:p>
    <w:p w:rsidR="00341D63" w:rsidRDefault="00377729">
      <w:pPr>
        <w:spacing w:after="0" w:line="240" w:lineRule="auto"/>
        <w:jc w:val="both"/>
        <w:rPr>
          <w:rFonts w:ascii="Arial" w:eastAsia="Times New Roman" w:hAnsi="Arial" w:cs="Arial"/>
          <w:sz w:val="20"/>
          <w:szCs w:val="20"/>
        </w:rPr>
      </w:pPr>
      <w:proofErr w:type="spellStart"/>
      <w:r>
        <w:rPr>
          <w:rFonts w:ascii="Arial" w:eastAsia="Times New Roman" w:hAnsi="Arial" w:cs="Arial"/>
          <w:i/>
          <w:iCs/>
          <w:sz w:val="20"/>
          <w:szCs w:val="20"/>
        </w:rPr>
        <w:t>H.madagascariensis</w:t>
      </w:r>
      <w:proofErr w:type="spellEnd"/>
      <w:r>
        <w:rPr>
          <w:rFonts w:ascii="Arial" w:eastAsia="Times New Roman" w:hAnsi="Arial" w:cs="Arial"/>
          <w:sz w:val="20"/>
          <w:szCs w:val="20"/>
        </w:rPr>
        <w:t xml:space="preserve"> leaf extract possesses potent anti-inflammatory properties and could be used for the effective treatment of inflammation and inflammatory related diseases </w:t>
      </w:r>
    </w:p>
    <w:p w:rsidR="00341D63" w:rsidRDefault="00341D63">
      <w:pPr>
        <w:rPr>
          <w:rFonts w:ascii="Arial" w:hAnsi="Arial" w:cs="Arial"/>
          <w:sz w:val="20"/>
          <w:szCs w:val="20"/>
        </w:rPr>
      </w:pPr>
    </w:p>
    <w:p w:rsidR="00341D63" w:rsidRDefault="00377729">
      <w:pPr>
        <w:spacing w:line="240" w:lineRule="auto"/>
        <w:jc w:val="both"/>
        <w:rPr>
          <w:rFonts w:ascii="Arial" w:hAnsi="Arial" w:cs="Arial"/>
          <w:sz w:val="20"/>
          <w:szCs w:val="20"/>
        </w:rPr>
      </w:pPr>
      <w:r>
        <w:rPr>
          <w:rFonts w:ascii="Arial" w:hAnsi="Arial" w:cs="Arial"/>
          <w:sz w:val="20"/>
          <w:szCs w:val="20"/>
        </w:rPr>
        <w:t xml:space="preserve">Key words: Inflammation, </w:t>
      </w:r>
      <w:proofErr w:type="spellStart"/>
      <w:r>
        <w:rPr>
          <w:rFonts w:ascii="Arial" w:hAnsi="Arial" w:cs="Arial"/>
          <w:i/>
          <w:sz w:val="20"/>
          <w:szCs w:val="20"/>
        </w:rPr>
        <w:t>Harungana</w:t>
      </w:r>
      <w:proofErr w:type="spellEnd"/>
      <w:r w:rsidR="00A87683">
        <w:rPr>
          <w:rFonts w:ascii="Arial" w:hAnsi="Arial" w:cs="Arial"/>
          <w:i/>
          <w:sz w:val="20"/>
          <w:szCs w:val="20"/>
        </w:rPr>
        <w:t xml:space="preserve"> </w:t>
      </w:r>
      <w:proofErr w:type="spellStart"/>
      <w:r>
        <w:rPr>
          <w:rFonts w:ascii="Arial" w:hAnsi="Arial" w:cs="Arial"/>
          <w:i/>
          <w:sz w:val="20"/>
          <w:szCs w:val="20"/>
        </w:rPr>
        <w:t>Madagascariensis</w:t>
      </w:r>
      <w:proofErr w:type="spellEnd"/>
      <w:r>
        <w:rPr>
          <w:rFonts w:ascii="Arial" w:hAnsi="Arial" w:cs="Arial"/>
          <w:sz w:val="20"/>
          <w:szCs w:val="20"/>
        </w:rPr>
        <w:t>, Fractions, n-Hexane, Ethyl-acetate, Aqueous-methanol</w:t>
      </w:r>
    </w:p>
    <w:p w:rsidR="00341D63" w:rsidRDefault="00341D63">
      <w:pPr>
        <w:spacing w:line="480" w:lineRule="auto"/>
        <w:rPr>
          <w:rFonts w:ascii="Arial" w:hAnsi="Arial" w:cs="Arial"/>
          <w:sz w:val="20"/>
          <w:szCs w:val="20"/>
        </w:rPr>
      </w:pPr>
    </w:p>
    <w:p w:rsidR="00341D63" w:rsidRDefault="00377729">
      <w:pPr>
        <w:rPr>
          <w:rFonts w:ascii="Arial" w:hAnsi="Arial" w:cs="Arial"/>
          <w:sz w:val="20"/>
          <w:szCs w:val="20"/>
        </w:rPr>
      </w:pPr>
      <w:r>
        <w:rPr>
          <w:rFonts w:ascii="Arial" w:hAnsi="Arial" w:cs="Arial"/>
          <w:sz w:val="20"/>
          <w:szCs w:val="20"/>
        </w:rPr>
        <w:br w:type="page"/>
      </w:r>
    </w:p>
    <w:p w:rsidR="00341D63" w:rsidRDefault="00377729">
      <w:pPr>
        <w:pStyle w:val="ListParagraph"/>
        <w:numPr>
          <w:ilvl w:val="0"/>
          <w:numId w:val="5"/>
        </w:numPr>
        <w:spacing w:line="480" w:lineRule="auto"/>
        <w:ind w:hanging="720"/>
        <w:rPr>
          <w:rFonts w:ascii="Arial" w:hAnsi="Arial" w:cs="Arial"/>
          <w:b/>
          <w:sz w:val="20"/>
          <w:szCs w:val="20"/>
        </w:rPr>
      </w:pPr>
      <w:r>
        <w:rPr>
          <w:rFonts w:ascii="Arial" w:hAnsi="Arial" w:cs="Arial"/>
          <w:b/>
          <w:sz w:val="20"/>
          <w:szCs w:val="20"/>
        </w:rPr>
        <w:lastRenderedPageBreak/>
        <w:t>INTRODUCTION</w:t>
      </w:r>
    </w:p>
    <w:p w:rsidR="00341D63" w:rsidRDefault="00F30F9F">
      <w:pPr>
        <w:autoSpaceDE w:val="0"/>
        <w:autoSpaceDN w:val="0"/>
        <w:adjustRightInd w:val="0"/>
        <w:spacing w:before="240" w:after="0" w:line="480" w:lineRule="auto"/>
        <w:jc w:val="both"/>
        <w:rPr>
          <w:rFonts w:ascii="Arial" w:hAnsi="Arial" w:cs="Arial"/>
          <w:color w:val="000000" w:themeColor="text1"/>
          <w:sz w:val="20"/>
          <w:szCs w:val="20"/>
        </w:rPr>
      </w:pPr>
      <w:r>
        <w:rPr>
          <w:rFonts w:ascii="Arial" w:hAnsi="Arial" w:cs="Arial"/>
          <w:sz w:val="20"/>
          <w:szCs w:val="20"/>
        </w:rPr>
        <w:t>“</w:t>
      </w:r>
      <w:r w:rsidR="00377729">
        <w:rPr>
          <w:rFonts w:ascii="Arial" w:hAnsi="Arial" w:cs="Arial"/>
          <w:sz w:val="20"/>
          <w:szCs w:val="20"/>
        </w:rPr>
        <w:t>Inflammation is an important biological response of the body’s immune system to harmful stimuli, such as damaged cells, pathogens and irritants</w:t>
      </w:r>
      <w:r>
        <w:rPr>
          <w:rFonts w:ascii="Arial" w:hAnsi="Arial" w:cs="Arial"/>
          <w:sz w:val="20"/>
          <w:szCs w:val="20"/>
        </w:rPr>
        <w:t>”</w:t>
      </w:r>
      <w:r w:rsidR="00377729">
        <w:rPr>
          <w:rFonts w:ascii="Arial" w:hAnsi="Arial" w:cs="Arial"/>
          <w:sz w:val="20"/>
          <w:szCs w:val="20"/>
        </w:rPr>
        <w:t xml:space="preserve"> (</w:t>
      </w:r>
      <w:proofErr w:type="spellStart"/>
      <w:r w:rsidR="00377729">
        <w:rPr>
          <w:rFonts w:ascii="Arial" w:hAnsi="Arial" w:cs="Arial"/>
          <w:color w:val="222222"/>
          <w:sz w:val="20"/>
          <w:szCs w:val="20"/>
          <w:shd w:val="clear" w:color="auto" w:fill="FFFFFF"/>
        </w:rPr>
        <w:t>Gusev</w:t>
      </w:r>
      <w:proofErr w:type="spellEnd"/>
      <w:r w:rsidR="00377729">
        <w:rPr>
          <w:rFonts w:ascii="Arial" w:hAnsi="Arial" w:cs="Arial"/>
          <w:color w:val="222222"/>
          <w:sz w:val="20"/>
          <w:szCs w:val="20"/>
          <w:shd w:val="clear" w:color="auto" w:fill="FFFFFF"/>
        </w:rPr>
        <w:t xml:space="preserve"> &amp;</w:t>
      </w:r>
      <w:r w:rsidR="00A87683">
        <w:rPr>
          <w:rFonts w:ascii="Arial" w:hAnsi="Arial" w:cs="Arial"/>
          <w:color w:val="222222"/>
          <w:sz w:val="20"/>
          <w:szCs w:val="20"/>
          <w:shd w:val="clear" w:color="auto" w:fill="FFFFFF"/>
        </w:rPr>
        <w:t xml:space="preserve"> </w:t>
      </w:r>
      <w:proofErr w:type="spellStart"/>
      <w:r w:rsidR="00377729">
        <w:rPr>
          <w:rFonts w:ascii="Arial" w:hAnsi="Arial" w:cs="Arial"/>
          <w:color w:val="222222"/>
          <w:sz w:val="20"/>
          <w:szCs w:val="20"/>
          <w:shd w:val="clear" w:color="auto" w:fill="FFFFFF"/>
        </w:rPr>
        <w:t>Zhuravleva</w:t>
      </w:r>
      <w:proofErr w:type="spellEnd"/>
      <w:r w:rsidR="00377729">
        <w:rPr>
          <w:rFonts w:ascii="Arial" w:hAnsi="Arial" w:cs="Arial"/>
          <w:color w:val="222222"/>
          <w:sz w:val="20"/>
          <w:szCs w:val="20"/>
          <w:shd w:val="clear" w:color="auto" w:fill="FFFFFF"/>
        </w:rPr>
        <w:t xml:space="preserve"> 2022</w:t>
      </w:r>
      <w:r w:rsidR="00377729">
        <w:rPr>
          <w:rFonts w:ascii="Arial" w:hAnsi="Arial" w:cs="Arial"/>
          <w:sz w:val="20"/>
          <w:szCs w:val="20"/>
        </w:rPr>
        <w:t xml:space="preserve">). </w:t>
      </w:r>
      <w:r>
        <w:rPr>
          <w:rFonts w:ascii="Arial" w:hAnsi="Arial" w:cs="Arial"/>
          <w:sz w:val="20"/>
          <w:szCs w:val="20"/>
        </w:rPr>
        <w:t>“</w:t>
      </w:r>
      <w:r w:rsidR="00377729">
        <w:rPr>
          <w:rFonts w:ascii="Arial" w:hAnsi="Arial" w:cs="Arial"/>
          <w:sz w:val="20"/>
          <w:szCs w:val="20"/>
        </w:rPr>
        <w:t xml:space="preserve">It serves as a protective mechanism intended to eliminate the initial cause of cell injury, clear dead cells and tissues and initiate tissue repair. </w:t>
      </w:r>
      <w:r w:rsidR="00377729">
        <w:rPr>
          <w:rFonts w:ascii="Arial" w:hAnsi="Arial" w:cs="Arial"/>
          <w:color w:val="000000" w:themeColor="text1"/>
          <w:sz w:val="20"/>
          <w:szCs w:val="20"/>
        </w:rPr>
        <w:t>It is protective attempts by the organism to remove the injurious stimuli as well as initiate healing process for the tissue</w:t>
      </w:r>
      <w:r>
        <w:rPr>
          <w:rFonts w:ascii="Arial" w:hAnsi="Arial" w:cs="Arial"/>
          <w:color w:val="000000" w:themeColor="text1"/>
          <w:sz w:val="20"/>
          <w:szCs w:val="20"/>
        </w:rPr>
        <w:t>”</w:t>
      </w:r>
      <w:r w:rsidR="00377729">
        <w:rPr>
          <w:rFonts w:ascii="Arial" w:hAnsi="Arial" w:cs="Arial"/>
          <w:color w:val="000000" w:themeColor="text1"/>
          <w:sz w:val="20"/>
          <w:szCs w:val="20"/>
        </w:rPr>
        <w:t xml:space="preserve"> (</w:t>
      </w:r>
      <w:r w:rsidR="00377729">
        <w:rPr>
          <w:rFonts w:ascii="Arial" w:hAnsi="Arial" w:cs="Arial"/>
          <w:color w:val="222222"/>
          <w:sz w:val="20"/>
          <w:szCs w:val="20"/>
          <w:shd w:val="clear" w:color="auto" w:fill="FFFFFF"/>
        </w:rPr>
        <w:t>Burgess, et al., 2022</w:t>
      </w:r>
      <w:r w:rsidR="00377729">
        <w:rPr>
          <w:rFonts w:ascii="Arial" w:hAnsi="Arial" w:cs="Arial"/>
          <w:color w:val="000000" w:themeColor="text1"/>
          <w:sz w:val="20"/>
          <w:szCs w:val="20"/>
        </w:rPr>
        <w:t xml:space="preserve">). </w:t>
      </w:r>
      <w:r>
        <w:rPr>
          <w:rFonts w:ascii="Arial" w:hAnsi="Arial" w:cs="Arial"/>
          <w:color w:val="000000" w:themeColor="text1"/>
          <w:sz w:val="20"/>
          <w:szCs w:val="20"/>
        </w:rPr>
        <w:t>“</w:t>
      </w:r>
      <w:r w:rsidR="00377729">
        <w:rPr>
          <w:rFonts w:ascii="Arial" w:hAnsi="Arial" w:cs="Arial"/>
          <w:color w:val="000000" w:themeColor="text1"/>
          <w:sz w:val="20"/>
          <w:szCs w:val="20"/>
        </w:rPr>
        <w:t>The factors that can stimulate inflammation include microorganisms, physical agents, chemicals, inappropriate immunological responses, and tissue death</w:t>
      </w:r>
      <w:r>
        <w:rPr>
          <w:rFonts w:ascii="Arial" w:hAnsi="Arial" w:cs="Arial"/>
          <w:color w:val="000000" w:themeColor="text1"/>
          <w:sz w:val="20"/>
          <w:szCs w:val="20"/>
        </w:rPr>
        <w:t>”</w:t>
      </w:r>
      <w:r w:rsidR="00377729">
        <w:rPr>
          <w:rFonts w:ascii="Arial" w:hAnsi="Arial" w:cs="Arial"/>
          <w:color w:val="000000" w:themeColor="text1"/>
          <w:sz w:val="20"/>
          <w:szCs w:val="20"/>
        </w:rPr>
        <w:t xml:space="preserve"> (</w:t>
      </w:r>
      <w:proofErr w:type="spellStart"/>
      <w:r w:rsidR="00377729">
        <w:rPr>
          <w:rFonts w:ascii="Arial" w:hAnsi="Arial" w:cs="Arial"/>
          <w:color w:val="222222"/>
          <w:sz w:val="20"/>
          <w:szCs w:val="20"/>
          <w:shd w:val="clear" w:color="auto" w:fill="FFFFFF"/>
        </w:rPr>
        <w:t>Oronsky</w:t>
      </w:r>
      <w:proofErr w:type="spellEnd"/>
      <w:r w:rsidR="00377729">
        <w:rPr>
          <w:rFonts w:ascii="Arial" w:hAnsi="Arial" w:cs="Arial"/>
          <w:color w:val="222222"/>
          <w:sz w:val="20"/>
          <w:szCs w:val="20"/>
          <w:shd w:val="clear" w:color="auto" w:fill="FFFFFF"/>
        </w:rPr>
        <w:t>, et al., 2022)</w:t>
      </w:r>
      <w:r w:rsidR="00377729">
        <w:rPr>
          <w:rFonts w:ascii="Arial" w:hAnsi="Arial" w:cs="Arial"/>
          <w:color w:val="000000" w:themeColor="text1"/>
          <w:sz w:val="20"/>
          <w:szCs w:val="20"/>
        </w:rPr>
        <w:t>.</w:t>
      </w:r>
      <w:r>
        <w:rPr>
          <w:rFonts w:ascii="Arial" w:hAnsi="Arial" w:cs="Arial"/>
          <w:color w:val="000000" w:themeColor="text1"/>
          <w:sz w:val="20"/>
          <w:szCs w:val="20"/>
        </w:rPr>
        <w:t xml:space="preserve"> “</w:t>
      </w:r>
      <w:r w:rsidR="00377729">
        <w:rPr>
          <w:rFonts w:ascii="Arial" w:hAnsi="Arial" w:cs="Arial"/>
          <w:color w:val="000000" w:themeColor="text1"/>
          <w:sz w:val="20"/>
          <w:szCs w:val="20"/>
        </w:rPr>
        <w:t>Inflammation can also result when tissues die from a lack of oxygen or nutrients, a situation that often is caused by loss of blood flow to the area</w:t>
      </w:r>
      <w:r>
        <w:rPr>
          <w:rFonts w:ascii="Arial" w:hAnsi="Arial" w:cs="Arial"/>
          <w:color w:val="000000" w:themeColor="text1"/>
          <w:sz w:val="20"/>
          <w:szCs w:val="20"/>
        </w:rPr>
        <w:t>”</w:t>
      </w:r>
      <w:r w:rsidR="00377729">
        <w:rPr>
          <w:rFonts w:ascii="Arial" w:hAnsi="Arial" w:cs="Arial"/>
          <w:color w:val="000000" w:themeColor="text1"/>
          <w:sz w:val="20"/>
          <w:szCs w:val="20"/>
        </w:rPr>
        <w:t xml:space="preserve"> (</w:t>
      </w:r>
      <w:r w:rsidR="00377729">
        <w:rPr>
          <w:rFonts w:ascii="Arial" w:hAnsi="Arial" w:cs="Arial"/>
          <w:color w:val="222222"/>
          <w:sz w:val="20"/>
          <w:szCs w:val="20"/>
          <w:shd w:val="clear" w:color="auto" w:fill="FFFFFF"/>
        </w:rPr>
        <w:t>Ji, et al., 2023)</w:t>
      </w:r>
      <w:r w:rsidR="00377729">
        <w:rPr>
          <w:rFonts w:ascii="Arial" w:hAnsi="Arial" w:cs="Arial"/>
          <w:color w:val="000000" w:themeColor="text1"/>
          <w:sz w:val="20"/>
          <w:szCs w:val="20"/>
        </w:rPr>
        <w:t xml:space="preserve">. </w:t>
      </w:r>
      <w:r>
        <w:rPr>
          <w:rFonts w:ascii="Arial" w:hAnsi="Arial" w:cs="Arial"/>
          <w:color w:val="000000" w:themeColor="text1"/>
          <w:sz w:val="20"/>
          <w:szCs w:val="20"/>
        </w:rPr>
        <w:t>“</w:t>
      </w:r>
      <w:r w:rsidR="00377729">
        <w:rPr>
          <w:rFonts w:ascii="Arial" w:hAnsi="Arial" w:cs="Arial"/>
          <w:color w:val="000000" w:themeColor="text1"/>
          <w:sz w:val="20"/>
          <w:szCs w:val="20"/>
        </w:rPr>
        <w:t>The four cardinal signs of inflammation include: redness (</w:t>
      </w:r>
      <w:proofErr w:type="spellStart"/>
      <w:r w:rsidR="00377729">
        <w:rPr>
          <w:rStyle w:val="Emphasis"/>
          <w:rFonts w:ascii="Arial" w:hAnsi="Arial" w:cs="Arial"/>
          <w:color w:val="000000" w:themeColor="text1"/>
          <w:sz w:val="20"/>
          <w:szCs w:val="20"/>
        </w:rPr>
        <w:t>rubor</w:t>
      </w:r>
      <w:proofErr w:type="spellEnd"/>
      <w:r w:rsidR="00377729">
        <w:rPr>
          <w:rFonts w:ascii="Arial" w:hAnsi="Arial" w:cs="Arial"/>
          <w:color w:val="000000" w:themeColor="text1"/>
          <w:sz w:val="20"/>
          <w:szCs w:val="20"/>
        </w:rPr>
        <w:t xml:space="preserve">), </w:t>
      </w:r>
      <w:hyperlink r:id="rId7" w:history="1">
        <w:r w:rsidR="00377729" w:rsidRPr="00A87683">
          <w:rPr>
            <w:rStyle w:val="Hyperlink"/>
            <w:rFonts w:ascii="Arial" w:hAnsi="Arial" w:cs="Arial"/>
            <w:color w:val="000000" w:themeColor="text1"/>
            <w:sz w:val="20"/>
            <w:szCs w:val="20"/>
            <w:u w:val="none"/>
          </w:rPr>
          <w:t>heat</w:t>
        </w:r>
      </w:hyperlink>
      <w:r w:rsidR="00377729">
        <w:rPr>
          <w:rFonts w:ascii="Arial" w:hAnsi="Arial" w:cs="Arial"/>
          <w:color w:val="000000" w:themeColor="text1"/>
          <w:sz w:val="20"/>
          <w:szCs w:val="20"/>
        </w:rPr>
        <w:t xml:space="preserve"> (</w:t>
      </w:r>
      <w:proofErr w:type="spellStart"/>
      <w:r w:rsidR="00377729">
        <w:rPr>
          <w:rStyle w:val="Emphasis"/>
          <w:rFonts w:ascii="Arial" w:hAnsi="Arial" w:cs="Arial"/>
          <w:color w:val="000000" w:themeColor="text1"/>
          <w:sz w:val="20"/>
          <w:szCs w:val="20"/>
        </w:rPr>
        <w:t>calor</w:t>
      </w:r>
      <w:proofErr w:type="spellEnd"/>
      <w:r w:rsidR="00377729">
        <w:rPr>
          <w:rFonts w:ascii="Arial" w:hAnsi="Arial" w:cs="Arial"/>
          <w:color w:val="000000" w:themeColor="text1"/>
          <w:sz w:val="20"/>
          <w:szCs w:val="20"/>
        </w:rPr>
        <w:t>), swelling (</w:t>
      </w:r>
      <w:proofErr w:type="spellStart"/>
      <w:r w:rsidR="00377729">
        <w:rPr>
          <w:rStyle w:val="Emphasis"/>
          <w:rFonts w:ascii="Arial" w:hAnsi="Arial" w:cs="Arial"/>
          <w:color w:val="000000" w:themeColor="text1"/>
          <w:sz w:val="20"/>
          <w:szCs w:val="20"/>
        </w:rPr>
        <w:t>tumor</w:t>
      </w:r>
      <w:proofErr w:type="spellEnd"/>
      <w:r w:rsidR="00377729">
        <w:rPr>
          <w:rFonts w:ascii="Arial" w:hAnsi="Arial" w:cs="Arial"/>
          <w:color w:val="000000" w:themeColor="text1"/>
          <w:sz w:val="20"/>
          <w:szCs w:val="20"/>
        </w:rPr>
        <w:t>), and pain (</w:t>
      </w:r>
      <w:proofErr w:type="spellStart"/>
      <w:r w:rsidR="00377729">
        <w:rPr>
          <w:rStyle w:val="Emphasis"/>
          <w:rFonts w:ascii="Arial" w:hAnsi="Arial" w:cs="Arial"/>
          <w:color w:val="000000" w:themeColor="text1"/>
          <w:sz w:val="20"/>
          <w:szCs w:val="20"/>
        </w:rPr>
        <w:t>dolor</w:t>
      </w:r>
      <w:proofErr w:type="spellEnd"/>
      <w:r w:rsidR="00377729">
        <w:rPr>
          <w:rFonts w:ascii="Arial" w:hAnsi="Arial" w:cs="Arial"/>
          <w:color w:val="000000" w:themeColor="text1"/>
          <w:sz w:val="20"/>
          <w:szCs w:val="20"/>
        </w:rPr>
        <w:t xml:space="preserve">). Heat results from increased blood flow through the area and are experienced only in </w:t>
      </w:r>
      <w:hyperlink r:id="rId8" w:history="1">
        <w:r w:rsidR="00377729" w:rsidRPr="00A87683">
          <w:rPr>
            <w:rStyle w:val="Hyperlink"/>
            <w:rFonts w:ascii="Arial" w:hAnsi="Arial" w:cs="Arial"/>
            <w:color w:val="000000" w:themeColor="text1"/>
            <w:sz w:val="20"/>
            <w:szCs w:val="20"/>
            <w:u w:val="none"/>
          </w:rPr>
          <w:t>peripheral</w:t>
        </w:r>
      </w:hyperlink>
      <w:r w:rsidR="00377729">
        <w:rPr>
          <w:rFonts w:ascii="Arial" w:hAnsi="Arial" w:cs="Arial"/>
          <w:color w:val="000000" w:themeColor="text1"/>
          <w:sz w:val="20"/>
          <w:szCs w:val="20"/>
        </w:rPr>
        <w:t xml:space="preserve"> parts of the body such as the skin. Fever is brought about by chemical mediators of inflammation and contributes to the rise in temperature at the injury. Swelling, called </w:t>
      </w:r>
      <w:hyperlink r:id="rId9" w:history="1">
        <w:proofErr w:type="spellStart"/>
        <w:r w:rsidR="00377729" w:rsidRPr="00A87683">
          <w:rPr>
            <w:rStyle w:val="Hyperlink"/>
            <w:rFonts w:ascii="Arial" w:hAnsi="Arial" w:cs="Arial"/>
            <w:color w:val="000000" w:themeColor="text1"/>
            <w:sz w:val="20"/>
            <w:szCs w:val="20"/>
            <w:u w:val="none"/>
          </w:rPr>
          <w:t>edema</w:t>
        </w:r>
        <w:proofErr w:type="spellEnd"/>
      </w:hyperlink>
      <w:r w:rsidR="00377729">
        <w:rPr>
          <w:rFonts w:ascii="Arial" w:hAnsi="Arial" w:cs="Arial"/>
          <w:color w:val="000000" w:themeColor="text1"/>
          <w:sz w:val="20"/>
          <w:szCs w:val="20"/>
        </w:rPr>
        <w:t xml:space="preserve">, is caused primarily by the accumulation of fluid outside the blood vessels. The pain associated with inflammation results in part from the distortion of tissues caused by </w:t>
      </w:r>
      <w:proofErr w:type="spellStart"/>
      <w:r w:rsidR="00377729">
        <w:rPr>
          <w:rFonts w:ascii="Arial" w:hAnsi="Arial" w:cs="Arial"/>
          <w:color w:val="000000" w:themeColor="text1"/>
          <w:sz w:val="20"/>
          <w:szCs w:val="20"/>
        </w:rPr>
        <w:t>edema</w:t>
      </w:r>
      <w:proofErr w:type="spellEnd"/>
      <w:r w:rsidR="00377729">
        <w:rPr>
          <w:rFonts w:ascii="Arial" w:hAnsi="Arial" w:cs="Arial"/>
          <w:color w:val="000000" w:themeColor="text1"/>
          <w:sz w:val="20"/>
          <w:szCs w:val="20"/>
        </w:rPr>
        <w:t xml:space="preserve">, and it also is induced by certain chemical mediators of inflammation, such as bradykinin, </w:t>
      </w:r>
      <w:hyperlink r:id="rId10" w:history="1">
        <w:r w:rsidR="00377729" w:rsidRPr="00A87683">
          <w:rPr>
            <w:rStyle w:val="Hyperlink"/>
            <w:rFonts w:ascii="Arial" w:hAnsi="Arial" w:cs="Arial"/>
            <w:color w:val="000000" w:themeColor="text1"/>
            <w:sz w:val="20"/>
            <w:szCs w:val="20"/>
            <w:u w:val="none"/>
          </w:rPr>
          <w:t>serotonin</w:t>
        </w:r>
      </w:hyperlink>
      <w:r w:rsidR="00377729" w:rsidRPr="00A87683">
        <w:rPr>
          <w:rFonts w:ascii="Arial" w:hAnsi="Arial" w:cs="Arial"/>
          <w:color w:val="000000" w:themeColor="text1"/>
          <w:sz w:val="20"/>
          <w:szCs w:val="20"/>
        </w:rPr>
        <w:t>,</w:t>
      </w:r>
      <w:r w:rsidR="00377729">
        <w:rPr>
          <w:rFonts w:ascii="Arial" w:hAnsi="Arial" w:cs="Arial"/>
          <w:color w:val="000000" w:themeColor="text1"/>
          <w:sz w:val="20"/>
          <w:szCs w:val="20"/>
        </w:rPr>
        <w:t xml:space="preserve"> and the </w:t>
      </w:r>
      <w:hyperlink r:id="rId11" w:history="1">
        <w:r w:rsidR="00377729" w:rsidRPr="00A87683">
          <w:rPr>
            <w:rStyle w:val="Hyperlink"/>
            <w:rFonts w:ascii="Arial" w:hAnsi="Arial" w:cs="Arial"/>
            <w:color w:val="000000" w:themeColor="text1"/>
            <w:sz w:val="20"/>
            <w:szCs w:val="20"/>
            <w:u w:val="none"/>
          </w:rPr>
          <w:t>prostaglandins</w:t>
        </w:r>
      </w:hyperlink>
      <w:r>
        <w:rPr>
          <w:rStyle w:val="Hyperlink"/>
          <w:rFonts w:ascii="Arial" w:hAnsi="Arial" w:cs="Arial"/>
          <w:color w:val="000000" w:themeColor="text1"/>
          <w:sz w:val="20"/>
          <w:szCs w:val="20"/>
          <w:u w:val="none"/>
        </w:rPr>
        <w:t>”</w:t>
      </w:r>
      <w:r w:rsidR="00A87683">
        <w:t xml:space="preserve"> </w:t>
      </w:r>
      <w:r w:rsidR="00A87683" w:rsidRPr="00A87683">
        <w:rPr>
          <w:rFonts w:ascii="Arial" w:hAnsi="Arial" w:cs="Arial"/>
        </w:rPr>
        <w:t>(</w:t>
      </w:r>
      <w:proofErr w:type="spellStart"/>
      <w:r w:rsidR="00A87683" w:rsidRPr="00A87683">
        <w:rPr>
          <w:rFonts w:ascii="Arial" w:hAnsi="Arial" w:cs="Arial"/>
          <w:sz w:val="20"/>
          <w:szCs w:val="20"/>
          <w:lang w:val="en-IN"/>
        </w:rPr>
        <w:t>Shorinwa</w:t>
      </w:r>
      <w:proofErr w:type="spellEnd"/>
      <w:r w:rsidR="00A87683" w:rsidRPr="00A87683">
        <w:rPr>
          <w:rFonts w:ascii="Arial" w:hAnsi="Arial" w:cs="Arial"/>
          <w:sz w:val="20"/>
          <w:szCs w:val="20"/>
          <w:lang w:val="en-IN"/>
        </w:rPr>
        <w:t xml:space="preserve">, &amp; </w:t>
      </w:r>
      <w:proofErr w:type="spellStart"/>
      <w:r w:rsidR="00A87683" w:rsidRPr="00A87683">
        <w:rPr>
          <w:rFonts w:ascii="Arial" w:hAnsi="Arial" w:cs="Arial"/>
          <w:sz w:val="20"/>
          <w:szCs w:val="20"/>
          <w:lang w:val="en-IN"/>
        </w:rPr>
        <w:t>Monsi</w:t>
      </w:r>
      <w:proofErr w:type="spellEnd"/>
      <w:r w:rsidR="00A87683" w:rsidRPr="00A87683">
        <w:rPr>
          <w:rFonts w:ascii="Arial" w:hAnsi="Arial" w:cs="Arial"/>
          <w:sz w:val="20"/>
          <w:szCs w:val="20"/>
          <w:lang w:val="en-IN"/>
        </w:rPr>
        <w:t>, 2019</w:t>
      </w:r>
      <w:r w:rsidR="00A87683" w:rsidRPr="00A87683">
        <w:rPr>
          <w:rFonts w:ascii="Arial" w:hAnsi="Arial" w:cs="Arial"/>
          <w:color w:val="000000" w:themeColor="text1"/>
          <w:sz w:val="20"/>
          <w:szCs w:val="20"/>
        </w:rPr>
        <w:t>)</w:t>
      </w:r>
      <w:r w:rsidR="00377729">
        <w:rPr>
          <w:rFonts w:ascii="Arial" w:hAnsi="Arial" w:cs="Arial"/>
          <w:color w:val="000000" w:themeColor="text1"/>
          <w:sz w:val="20"/>
          <w:szCs w:val="20"/>
        </w:rPr>
        <w:t xml:space="preserve"> </w:t>
      </w:r>
      <w:r>
        <w:rPr>
          <w:rFonts w:ascii="Arial" w:hAnsi="Arial" w:cs="Arial"/>
          <w:color w:val="000000" w:themeColor="text1"/>
          <w:sz w:val="20"/>
          <w:szCs w:val="20"/>
        </w:rPr>
        <w:t>“</w:t>
      </w:r>
      <w:r w:rsidR="00377729">
        <w:rPr>
          <w:rFonts w:ascii="Arial" w:hAnsi="Arial" w:cs="Arial"/>
          <w:color w:val="000000" w:themeColor="text1"/>
          <w:sz w:val="20"/>
          <w:szCs w:val="20"/>
        </w:rPr>
        <w:t xml:space="preserve">A fifth consequence of inflammation is the loss of function of the inflamed area. Loss of function may result from pain that </w:t>
      </w:r>
      <w:hyperlink r:id="rId12" w:history="1">
        <w:r w:rsidR="00377729" w:rsidRPr="00A87683">
          <w:rPr>
            <w:rStyle w:val="Hyperlink"/>
            <w:rFonts w:ascii="Arial" w:hAnsi="Arial" w:cs="Arial"/>
            <w:color w:val="000000" w:themeColor="text1"/>
            <w:sz w:val="20"/>
            <w:szCs w:val="20"/>
            <w:u w:val="none"/>
          </w:rPr>
          <w:t>inhibits</w:t>
        </w:r>
      </w:hyperlink>
      <w:r w:rsidR="00377729">
        <w:rPr>
          <w:rFonts w:ascii="Arial" w:hAnsi="Arial" w:cs="Arial"/>
          <w:color w:val="000000" w:themeColor="text1"/>
          <w:sz w:val="20"/>
          <w:szCs w:val="20"/>
        </w:rPr>
        <w:t xml:space="preserve"> mobility or from severe swelling that prevents movement in the area</w:t>
      </w:r>
      <w:r>
        <w:rPr>
          <w:rFonts w:ascii="Arial" w:hAnsi="Arial" w:cs="Arial"/>
          <w:color w:val="000000" w:themeColor="text1"/>
          <w:sz w:val="20"/>
          <w:szCs w:val="20"/>
        </w:rPr>
        <w:t>”</w:t>
      </w:r>
      <w:r w:rsidR="00377729">
        <w:rPr>
          <w:rFonts w:ascii="Arial" w:hAnsi="Arial" w:cs="Arial"/>
          <w:color w:val="000000" w:themeColor="text1"/>
          <w:sz w:val="20"/>
          <w:szCs w:val="20"/>
        </w:rPr>
        <w:t xml:space="preserve"> (</w:t>
      </w:r>
      <w:r w:rsidR="00377729">
        <w:rPr>
          <w:rFonts w:ascii="Arial" w:hAnsi="Arial" w:cs="Arial"/>
          <w:color w:val="222222"/>
          <w:sz w:val="20"/>
          <w:szCs w:val="20"/>
          <w:shd w:val="clear" w:color="auto" w:fill="FFFFFF"/>
        </w:rPr>
        <w:t>Ahmad, &amp; Ahsan 2022)</w:t>
      </w:r>
      <w:r w:rsidR="00377729">
        <w:rPr>
          <w:rFonts w:ascii="Arial" w:hAnsi="Arial" w:cs="Arial"/>
          <w:color w:val="000000" w:themeColor="text1"/>
          <w:sz w:val="20"/>
          <w:szCs w:val="20"/>
        </w:rPr>
        <w:t>.</w:t>
      </w:r>
    </w:p>
    <w:p w:rsidR="00341D63" w:rsidRDefault="00F30F9F">
      <w:pPr>
        <w:autoSpaceDE w:val="0"/>
        <w:autoSpaceDN w:val="0"/>
        <w:adjustRightInd w:val="0"/>
        <w:spacing w:before="240" w:after="0" w:line="480" w:lineRule="auto"/>
        <w:jc w:val="both"/>
        <w:rPr>
          <w:rFonts w:ascii="Arial" w:hAnsi="Arial" w:cs="Arial"/>
          <w:color w:val="000000" w:themeColor="text1"/>
          <w:sz w:val="20"/>
          <w:szCs w:val="20"/>
        </w:rPr>
      </w:pPr>
      <w:r>
        <w:rPr>
          <w:rFonts w:ascii="Arial" w:hAnsi="Arial" w:cs="Arial"/>
          <w:color w:val="000000" w:themeColor="text1"/>
          <w:sz w:val="20"/>
          <w:szCs w:val="20"/>
        </w:rPr>
        <w:t>“</w:t>
      </w:r>
      <w:r w:rsidR="00377729">
        <w:rPr>
          <w:rFonts w:ascii="Arial" w:hAnsi="Arial" w:cs="Arial"/>
          <w:color w:val="000000" w:themeColor="text1"/>
          <w:sz w:val="20"/>
          <w:szCs w:val="20"/>
        </w:rPr>
        <w:t>Mechanisms designed to destroy foreign invaders and necrotic tissues have an intrinsic ability to injure normal tissues. When inflammation is inappropriately directed against self-tissues or is not adequately controlled, it becomes the cause of injury and disease</w:t>
      </w:r>
      <w:r>
        <w:rPr>
          <w:rFonts w:ascii="Arial" w:hAnsi="Arial" w:cs="Arial"/>
          <w:color w:val="000000" w:themeColor="text1"/>
          <w:sz w:val="20"/>
          <w:szCs w:val="20"/>
        </w:rPr>
        <w:t>”</w:t>
      </w:r>
      <w:r w:rsidR="00377729">
        <w:rPr>
          <w:rFonts w:ascii="Arial" w:hAnsi="Arial" w:cs="Arial"/>
          <w:color w:val="000000" w:themeColor="text1"/>
          <w:sz w:val="20"/>
          <w:szCs w:val="20"/>
        </w:rPr>
        <w:t xml:space="preserve"> (</w:t>
      </w:r>
      <w:r w:rsidR="00377729">
        <w:rPr>
          <w:rFonts w:ascii="Arial" w:hAnsi="Arial" w:cs="Arial"/>
          <w:color w:val="222222"/>
          <w:sz w:val="20"/>
          <w:szCs w:val="20"/>
          <w:shd w:val="clear" w:color="auto" w:fill="FFFFFF"/>
        </w:rPr>
        <w:t>Yasmeen</w:t>
      </w:r>
      <w:r w:rsidR="00377729">
        <w:rPr>
          <w:rFonts w:ascii="Arial" w:hAnsi="Arial" w:cs="Arial"/>
          <w:color w:val="000000" w:themeColor="text1"/>
          <w:sz w:val="20"/>
          <w:szCs w:val="20"/>
        </w:rPr>
        <w:t xml:space="preserve">, et al., 2024; </w:t>
      </w:r>
      <w:r w:rsidR="00377729">
        <w:rPr>
          <w:rFonts w:ascii="Arial" w:hAnsi="Arial" w:cs="Arial"/>
          <w:color w:val="222222"/>
          <w:sz w:val="20"/>
          <w:szCs w:val="20"/>
          <w:shd w:val="clear" w:color="auto" w:fill="FFFFFF"/>
        </w:rPr>
        <w:t>Nair, et al., 2021</w:t>
      </w:r>
      <w:r w:rsidR="00377729">
        <w:rPr>
          <w:rFonts w:ascii="Arial" w:hAnsi="Arial" w:cs="Arial"/>
          <w:color w:val="000000" w:themeColor="text1"/>
          <w:sz w:val="20"/>
          <w:szCs w:val="20"/>
        </w:rPr>
        <w:t xml:space="preserve">) </w:t>
      </w:r>
      <w:r>
        <w:rPr>
          <w:rFonts w:ascii="Arial" w:hAnsi="Arial" w:cs="Arial"/>
          <w:color w:val="000000" w:themeColor="text1"/>
          <w:sz w:val="20"/>
          <w:szCs w:val="20"/>
        </w:rPr>
        <w:t>“</w:t>
      </w:r>
      <w:r w:rsidR="00377729">
        <w:rPr>
          <w:rFonts w:ascii="Arial" w:hAnsi="Arial" w:cs="Arial"/>
          <w:color w:val="000000" w:themeColor="text1"/>
          <w:sz w:val="20"/>
          <w:szCs w:val="20"/>
        </w:rPr>
        <w:t>Inflammation is typically categorized into two types: acute, is the initial response of the body to the harmful stimuli and is achieved by the increase movement of plasma and leukocytes from the blood to the injured site, tissues. It is a short-term process, usually appearing within a few minutes or hours and ceasing upon the removal of the injurious stimuli, and chronic, which persists over time and may lead to tissue damage</w:t>
      </w:r>
      <w:r>
        <w:rPr>
          <w:rFonts w:ascii="Arial" w:hAnsi="Arial" w:cs="Arial"/>
          <w:color w:val="000000" w:themeColor="text1"/>
          <w:sz w:val="20"/>
          <w:szCs w:val="20"/>
        </w:rPr>
        <w:t>”</w:t>
      </w:r>
      <w:r w:rsidR="00377729">
        <w:rPr>
          <w:rFonts w:ascii="Arial" w:hAnsi="Arial" w:cs="Arial"/>
          <w:color w:val="000000" w:themeColor="text1"/>
          <w:sz w:val="20"/>
          <w:szCs w:val="20"/>
        </w:rPr>
        <w:t>(</w:t>
      </w:r>
      <w:proofErr w:type="spellStart"/>
      <w:r w:rsidR="00377729">
        <w:rPr>
          <w:rFonts w:ascii="Arial" w:hAnsi="Arial" w:cs="Arial"/>
          <w:color w:val="222222"/>
          <w:sz w:val="20"/>
          <w:szCs w:val="20"/>
          <w:shd w:val="clear" w:color="auto" w:fill="FFFFFF"/>
        </w:rPr>
        <w:t>Raziyeva</w:t>
      </w:r>
      <w:proofErr w:type="spellEnd"/>
      <w:r w:rsidR="00377729">
        <w:rPr>
          <w:rFonts w:ascii="Arial" w:hAnsi="Arial" w:cs="Arial"/>
          <w:color w:val="222222"/>
          <w:sz w:val="20"/>
          <w:szCs w:val="20"/>
          <w:shd w:val="clear" w:color="auto" w:fill="FFFFFF"/>
        </w:rPr>
        <w:t>, et al., 2021</w:t>
      </w:r>
      <w:r w:rsidR="00377729">
        <w:rPr>
          <w:rFonts w:ascii="Arial" w:hAnsi="Arial" w:cs="Arial"/>
          <w:color w:val="000000" w:themeColor="text1"/>
          <w:sz w:val="20"/>
          <w:szCs w:val="20"/>
        </w:rPr>
        <w:t>).</w:t>
      </w:r>
      <w:r>
        <w:rPr>
          <w:rFonts w:ascii="Arial" w:hAnsi="Arial" w:cs="Arial"/>
          <w:color w:val="000000" w:themeColor="text1"/>
          <w:sz w:val="20"/>
          <w:szCs w:val="20"/>
        </w:rPr>
        <w:t xml:space="preserve"> “</w:t>
      </w:r>
      <w:r w:rsidR="00377729">
        <w:rPr>
          <w:rFonts w:ascii="Arial" w:hAnsi="Arial" w:cs="Arial"/>
          <w:color w:val="000000" w:themeColor="text1"/>
          <w:sz w:val="20"/>
          <w:szCs w:val="20"/>
        </w:rPr>
        <w:t>It is characterized by simultaneous destruction and healing of the tissue from the inflammatory process</w:t>
      </w:r>
      <w:r>
        <w:rPr>
          <w:rFonts w:ascii="Arial" w:hAnsi="Arial" w:cs="Arial"/>
          <w:color w:val="000000" w:themeColor="text1"/>
          <w:sz w:val="20"/>
          <w:szCs w:val="20"/>
        </w:rPr>
        <w:t>”</w:t>
      </w:r>
      <w:r w:rsidR="00377729">
        <w:rPr>
          <w:rFonts w:ascii="Arial" w:hAnsi="Arial" w:cs="Arial"/>
          <w:color w:val="000000" w:themeColor="text1"/>
          <w:sz w:val="20"/>
          <w:szCs w:val="20"/>
        </w:rPr>
        <w:t xml:space="preserve"> (</w:t>
      </w:r>
      <w:proofErr w:type="spellStart"/>
      <w:r w:rsidR="00377729">
        <w:rPr>
          <w:rFonts w:ascii="Arial" w:hAnsi="Arial" w:cs="Arial"/>
          <w:color w:val="222222"/>
          <w:sz w:val="20"/>
          <w:szCs w:val="20"/>
          <w:shd w:val="clear" w:color="auto" w:fill="FFFFFF"/>
        </w:rPr>
        <w:t>Soliman</w:t>
      </w:r>
      <w:proofErr w:type="spellEnd"/>
      <w:r w:rsidR="00377729">
        <w:rPr>
          <w:rFonts w:ascii="Arial" w:hAnsi="Arial" w:cs="Arial"/>
          <w:color w:val="222222"/>
          <w:sz w:val="20"/>
          <w:szCs w:val="20"/>
          <w:shd w:val="clear" w:color="auto" w:fill="FFFFFF"/>
        </w:rPr>
        <w:t>, &amp;</w:t>
      </w:r>
      <w:proofErr w:type="spellStart"/>
      <w:r w:rsidR="00377729">
        <w:rPr>
          <w:rFonts w:ascii="Arial" w:hAnsi="Arial" w:cs="Arial"/>
          <w:color w:val="222222"/>
          <w:sz w:val="20"/>
          <w:szCs w:val="20"/>
          <w:shd w:val="clear" w:color="auto" w:fill="FFFFFF"/>
        </w:rPr>
        <w:t>Barreda</w:t>
      </w:r>
      <w:proofErr w:type="spellEnd"/>
      <w:r w:rsidR="00377729">
        <w:rPr>
          <w:rFonts w:ascii="Arial" w:hAnsi="Arial" w:cs="Arial"/>
          <w:color w:val="222222"/>
          <w:sz w:val="20"/>
          <w:szCs w:val="20"/>
          <w:shd w:val="clear" w:color="auto" w:fill="FFFFFF"/>
        </w:rPr>
        <w:t xml:space="preserve"> 2022; Kumar, et al., 2024</w:t>
      </w:r>
      <w:r w:rsidR="00377729">
        <w:rPr>
          <w:rFonts w:ascii="Arial" w:hAnsi="Arial" w:cs="Arial"/>
          <w:color w:val="000000" w:themeColor="text1"/>
          <w:sz w:val="20"/>
          <w:szCs w:val="20"/>
        </w:rPr>
        <w:t>).</w:t>
      </w:r>
    </w:p>
    <w:p w:rsidR="00341D63" w:rsidRDefault="00F30F9F">
      <w:pPr>
        <w:autoSpaceDE w:val="0"/>
        <w:autoSpaceDN w:val="0"/>
        <w:adjustRightInd w:val="0"/>
        <w:spacing w:after="0" w:line="480" w:lineRule="auto"/>
        <w:jc w:val="both"/>
        <w:rPr>
          <w:rFonts w:ascii="Arial" w:hAnsi="Arial" w:cs="Arial"/>
          <w:color w:val="000000" w:themeColor="text1"/>
          <w:sz w:val="20"/>
          <w:szCs w:val="20"/>
        </w:rPr>
      </w:pPr>
      <w:r>
        <w:rPr>
          <w:rFonts w:ascii="Arial" w:hAnsi="Arial" w:cs="Arial"/>
          <w:i/>
          <w:iCs/>
          <w:color w:val="000000" w:themeColor="text1"/>
          <w:sz w:val="20"/>
          <w:szCs w:val="20"/>
        </w:rPr>
        <w:lastRenderedPageBreak/>
        <w:t>“</w:t>
      </w:r>
      <w:proofErr w:type="spellStart"/>
      <w:r w:rsidR="00377729">
        <w:rPr>
          <w:rFonts w:ascii="Arial" w:hAnsi="Arial" w:cs="Arial"/>
          <w:i/>
          <w:iCs/>
          <w:color w:val="000000" w:themeColor="text1"/>
          <w:sz w:val="20"/>
          <w:szCs w:val="20"/>
        </w:rPr>
        <w:t>Harungana</w:t>
      </w:r>
      <w:proofErr w:type="spellEnd"/>
      <w:r w:rsidR="00C11A99">
        <w:rPr>
          <w:rFonts w:ascii="Arial" w:hAnsi="Arial" w:cs="Arial"/>
          <w:i/>
          <w:iCs/>
          <w:color w:val="000000" w:themeColor="text1"/>
          <w:sz w:val="20"/>
          <w:szCs w:val="20"/>
        </w:rPr>
        <w:t xml:space="preserve"> </w:t>
      </w:r>
      <w:proofErr w:type="spellStart"/>
      <w:r w:rsidR="00377729">
        <w:rPr>
          <w:rFonts w:ascii="Arial" w:hAnsi="Arial" w:cs="Arial"/>
          <w:i/>
          <w:iCs/>
          <w:color w:val="000000" w:themeColor="text1"/>
          <w:sz w:val="20"/>
          <w:szCs w:val="20"/>
        </w:rPr>
        <w:t>madagascariensis</w:t>
      </w:r>
      <w:proofErr w:type="spellEnd"/>
      <w:r w:rsidR="00804F65">
        <w:rPr>
          <w:rFonts w:ascii="Arial" w:hAnsi="Arial" w:cs="Arial"/>
          <w:i/>
          <w:iCs/>
          <w:color w:val="000000" w:themeColor="text1"/>
          <w:sz w:val="20"/>
          <w:szCs w:val="20"/>
        </w:rPr>
        <w:t xml:space="preserve"> </w:t>
      </w:r>
      <w:r w:rsidR="00377729">
        <w:rPr>
          <w:rFonts w:ascii="Arial" w:hAnsi="Arial" w:cs="Arial"/>
          <w:color w:val="000000" w:themeColor="text1"/>
          <w:sz w:val="20"/>
          <w:szCs w:val="20"/>
        </w:rPr>
        <w:t xml:space="preserve">is a tropical much-branched shrub to small tree growing up to 12 m tall commonly known as ‘Dragon’s blood tree. </w:t>
      </w:r>
      <w:r w:rsidR="00377729">
        <w:rPr>
          <w:rFonts w:ascii="Arial" w:hAnsi="Arial" w:cs="Arial"/>
          <w:bCs/>
          <w:color w:val="000000" w:themeColor="text1"/>
          <w:sz w:val="20"/>
          <w:szCs w:val="20"/>
        </w:rPr>
        <w:t>The Plant has many common names such as</w:t>
      </w:r>
      <w:r w:rsidR="00377729">
        <w:rPr>
          <w:rFonts w:ascii="Arial" w:hAnsi="Arial" w:cs="Arial"/>
          <w:color w:val="000000" w:themeColor="text1"/>
          <w:sz w:val="20"/>
          <w:szCs w:val="20"/>
        </w:rPr>
        <w:t>; English (orange-milk tree, blood tree); Hausa (</w:t>
      </w:r>
      <w:proofErr w:type="spellStart"/>
      <w:r w:rsidR="00377729">
        <w:rPr>
          <w:rFonts w:ascii="Arial" w:hAnsi="Arial" w:cs="Arial"/>
          <w:color w:val="000000" w:themeColor="text1"/>
          <w:sz w:val="20"/>
          <w:szCs w:val="20"/>
        </w:rPr>
        <w:t>alillibar</w:t>
      </w:r>
      <w:proofErr w:type="spellEnd"/>
      <w:r w:rsidR="00377729">
        <w:rPr>
          <w:rFonts w:ascii="Arial" w:hAnsi="Arial" w:cs="Arial"/>
          <w:color w:val="000000" w:themeColor="text1"/>
          <w:sz w:val="20"/>
          <w:szCs w:val="20"/>
        </w:rPr>
        <w:t>); Igbo (</w:t>
      </w:r>
      <w:proofErr w:type="spellStart"/>
      <w:r w:rsidR="00377729">
        <w:rPr>
          <w:rFonts w:ascii="Arial" w:hAnsi="Arial" w:cs="Arial"/>
          <w:color w:val="000000" w:themeColor="text1"/>
          <w:sz w:val="20"/>
          <w:szCs w:val="20"/>
        </w:rPr>
        <w:t>oturu</w:t>
      </w:r>
      <w:proofErr w:type="spellEnd"/>
      <w:r w:rsidR="00377729">
        <w:rPr>
          <w:rFonts w:ascii="Arial" w:hAnsi="Arial" w:cs="Arial"/>
          <w:color w:val="000000" w:themeColor="text1"/>
          <w:sz w:val="20"/>
          <w:szCs w:val="20"/>
        </w:rPr>
        <w:t>); Yoruba (</w:t>
      </w:r>
      <w:proofErr w:type="spellStart"/>
      <w:r w:rsidR="00377729">
        <w:rPr>
          <w:rFonts w:ascii="Arial" w:hAnsi="Arial" w:cs="Arial"/>
          <w:color w:val="000000" w:themeColor="text1"/>
          <w:sz w:val="20"/>
          <w:szCs w:val="20"/>
        </w:rPr>
        <w:t>elepo</w:t>
      </w:r>
      <w:proofErr w:type="spellEnd"/>
      <w:r w:rsidR="00377729">
        <w:rPr>
          <w:rFonts w:ascii="Arial" w:hAnsi="Arial" w:cs="Arial"/>
          <w:color w:val="000000" w:themeColor="text1"/>
          <w:sz w:val="20"/>
          <w:szCs w:val="20"/>
        </w:rPr>
        <w:t xml:space="preserve">). Ethno-medicinal applications include its utilization in the cure for leprosy, jaundice, ulcers, asthma </w:t>
      </w:r>
      <w:proofErr w:type="spellStart"/>
      <w:r w:rsidR="00377729">
        <w:rPr>
          <w:rFonts w:ascii="Arial" w:hAnsi="Arial" w:cs="Arial"/>
          <w:color w:val="000000" w:themeColor="text1"/>
          <w:sz w:val="20"/>
          <w:szCs w:val="20"/>
        </w:rPr>
        <w:t>etc</w:t>
      </w:r>
      <w:proofErr w:type="spellEnd"/>
      <w:r>
        <w:rPr>
          <w:rFonts w:ascii="Arial" w:hAnsi="Arial" w:cs="Arial"/>
          <w:color w:val="000000" w:themeColor="text1"/>
          <w:sz w:val="20"/>
          <w:szCs w:val="20"/>
        </w:rPr>
        <w:t>”</w:t>
      </w:r>
      <w:r w:rsidR="00377729">
        <w:rPr>
          <w:rFonts w:ascii="Arial" w:hAnsi="Arial" w:cs="Arial"/>
          <w:color w:val="000000" w:themeColor="text1"/>
          <w:sz w:val="20"/>
          <w:szCs w:val="20"/>
        </w:rPr>
        <w:t xml:space="preserve"> (</w:t>
      </w:r>
      <w:proofErr w:type="spellStart"/>
      <w:r w:rsidR="00377729">
        <w:rPr>
          <w:rFonts w:ascii="Arial" w:hAnsi="Arial" w:cs="Arial"/>
          <w:color w:val="222222"/>
          <w:sz w:val="20"/>
          <w:szCs w:val="20"/>
          <w:shd w:val="clear" w:color="auto" w:fill="FFFFFF"/>
        </w:rPr>
        <w:t>Khatun</w:t>
      </w:r>
      <w:proofErr w:type="spellEnd"/>
      <w:r w:rsidR="00377729">
        <w:rPr>
          <w:rFonts w:ascii="Arial" w:hAnsi="Arial" w:cs="Arial"/>
          <w:color w:val="222222"/>
          <w:sz w:val="20"/>
          <w:szCs w:val="20"/>
          <w:shd w:val="clear" w:color="auto" w:fill="FFFFFF"/>
        </w:rPr>
        <w:t>, et al., 2022</w:t>
      </w:r>
      <w:r w:rsidR="00377729">
        <w:rPr>
          <w:rFonts w:ascii="Arial" w:hAnsi="Arial" w:cs="Arial"/>
          <w:color w:val="000000" w:themeColor="text1"/>
          <w:sz w:val="20"/>
          <w:szCs w:val="20"/>
        </w:rPr>
        <w:t xml:space="preserve">).  </w:t>
      </w:r>
      <w:r>
        <w:rPr>
          <w:rFonts w:ascii="Arial" w:hAnsi="Arial" w:cs="Arial"/>
          <w:color w:val="000000" w:themeColor="text1"/>
          <w:sz w:val="20"/>
          <w:szCs w:val="20"/>
        </w:rPr>
        <w:t>“</w:t>
      </w:r>
      <w:r w:rsidR="00377729">
        <w:rPr>
          <w:rFonts w:ascii="Arial" w:hAnsi="Arial" w:cs="Arial"/>
          <w:color w:val="000000" w:themeColor="text1"/>
          <w:sz w:val="20"/>
          <w:szCs w:val="20"/>
        </w:rPr>
        <w:t>The bark and root decoctions are remedy for dysentery and piles. It relieves stomach-ache, painful menstruation menstrual problems, dysmenorrhea, menstrual irregularity, miscarriage, sterility and haematuria</w:t>
      </w:r>
      <w:r>
        <w:rPr>
          <w:rFonts w:ascii="Arial" w:hAnsi="Arial" w:cs="Arial"/>
          <w:color w:val="000000" w:themeColor="text1"/>
          <w:sz w:val="20"/>
          <w:szCs w:val="20"/>
        </w:rPr>
        <w:t>”</w:t>
      </w:r>
      <w:r w:rsidR="00377729">
        <w:rPr>
          <w:rFonts w:ascii="Arial" w:hAnsi="Arial" w:cs="Arial"/>
          <w:color w:val="000000" w:themeColor="text1"/>
          <w:sz w:val="20"/>
          <w:szCs w:val="20"/>
        </w:rPr>
        <w:t xml:space="preserve"> (</w:t>
      </w:r>
      <w:proofErr w:type="spellStart"/>
      <w:r w:rsidR="00377729">
        <w:rPr>
          <w:rFonts w:ascii="Arial" w:hAnsi="Arial" w:cs="Arial"/>
          <w:sz w:val="20"/>
          <w:szCs w:val="20"/>
          <w:shd w:val="clear" w:color="auto" w:fill="FFFFFF"/>
        </w:rPr>
        <w:t>Asadu</w:t>
      </w:r>
      <w:proofErr w:type="spellEnd"/>
      <w:r w:rsidR="00377729">
        <w:rPr>
          <w:rFonts w:ascii="Arial" w:hAnsi="Arial" w:cs="Arial"/>
          <w:sz w:val="20"/>
          <w:szCs w:val="20"/>
          <w:shd w:val="clear" w:color="auto" w:fill="FFFFFF"/>
        </w:rPr>
        <w:t>, et al., 2005</w:t>
      </w:r>
      <w:r w:rsidR="00377729">
        <w:rPr>
          <w:rFonts w:ascii="Arial" w:hAnsi="Arial" w:cs="Arial"/>
          <w:color w:val="000000" w:themeColor="text1"/>
          <w:sz w:val="20"/>
          <w:szCs w:val="20"/>
        </w:rPr>
        <w:t xml:space="preserve">). </w:t>
      </w:r>
      <w:r>
        <w:rPr>
          <w:rFonts w:ascii="Arial" w:hAnsi="Arial" w:cs="Arial"/>
          <w:color w:val="000000" w:themeColor="text1"/>
          <w:sz w:val="20"/>
          <w:szCs w:val="20"/>
        </w:rPr>
        <w:t>“</w:t>
      </w:r>
      <w:r w:rsidR="00377729">
        <w:rPr>
          <w:rFonts w:ascii="Arial" w:hAnsi="Arial" w:cs="Arial"/>
          <w:i/>
          <w:iCs/>
          <w:color w:val="000000" w:themeColor="text1"/>
          <w:sz w:val="20"/>
          <w:szCs w:val="20"/>
        </w:rPr>
        <w:t xml:space="preserve">H. </w:t>
      </w:r>
      <w:proofErr w:type="spellStart"/>
      <w:r w:rsidR="00377729">
        <w:rPr>
          <w:rFonts w:ascii="Arial" w:hAnsi="Arial" w:cs="Arial"/>
          <w:i/>
          <w:iCs/>
          <w:color w:val="000000" w:themeColor="text1"/>
          <w:sz w:val="20"/>
          <w:szCs w:val="20"/>
        </w:rPr>
        <w:t>madagascariensis</w:t>
      </w:r>
      <w:proofErr w:type="spellEnd"/>
      <w:r w:rsidR="00804F65">
        <w:rPr>
          <w:rFonts w:ascii="Arial" w:hAnsi="Arial" w:cs="Arial"/>
          <w:i/>
          <w:iCs/>
          <w:color w:val="000000" w:themeColor="text1"/>
          <w:sz w:val="20"/>
          <w:szCs w:val="20"/>
        </w:rPr>
        <w:t xml:space="preserve"> </w:t>
      </w:r>
      <w:r w:rsidR="00377729">
        <w:rPr>
          <w:rFonts w:ascii="Arial" w:hAnsi="Arial" w:cs="Arial"/>
          <w:color w:val="000000" w:themeColor="text1"/>
          <w:sz w:val="20"/>
          <w:szCs w:val="20"/>
        </w:rPr>
        <w:t>has been shown to have hypoglycaemic effects, lowering blood glucose levels in diabetes mellitus, and others like antioxidant, anti-hepatotoxicity and antimicrobial activities</w:t>
      </w:r>
      <w:r>
        <w:rPr>
          <w:rFonts w:ascii="Arial" w:hAnsi="Arial" w:cs="Arial"/>
          <w:color w:val="000000" w:themeColor="text1"/>
          <w:sz w:val="20"/>
          <w:szCs w:val="20"/>
        </w:rPr>
        <w:t>”</w:t>
      </w:r>
      <w:r w:rsidR="00377729">
        <w:rPr>
          <w:rFonts w:ascii="Arial" w:hAnsi="Arial" w:cs="Arial"/>
          <w:color w:val="000000" w:themeColor="text1"/>
          <w:sz w:val="20"/>
          <w:szCs w:val="20"/>
        </w:rPr>
        <w:t xml:space="preserve"> (</w:t>
      </w:r>
      <w:proofErr w:type="spellStart"/>
      <w:r w:rsidR="00377729">
        <w:rPr>
          <w:rFonts w:ascii="Arial" w:hAnsi="Arial" w:cs="Arial"/>
          <w:color w:val="222222"/>
          <w:sz w:val="20"/>
          <w:szCs w:val="20"/>
          <w:shd w:val="clear" w:color="auto" w:fill="FFFFFF"/>
        </w:rPr>
        <w:t>Khatun</w:t>
      </w:r>
      <w:proofErr w:type="spellEnd"/>
      <w:r w:rsidR="00377729">
        <w:rPr>
          <w:rFonts w:ascii="Arial" w:hAnsi="Arial" w:cs="Arial"/>
          <w:color w:val="222222"/>
          <w:sz w:val="20"/>
          <w:szCs w:val="20"/>
          <w:shd w:val="clear" w:color="auto" w:fill="FFFFFF"/>
        </w:rPr>
        <w:t>, et al., 2022</w:t>
      </w:r>
      <w:r w:rsidR="00377729">
        <w:rPr>
          <w:rFonts w:ascii="Arial" w:hAnsi="Arial" w:cs="Arial"/>
          <w:color w:val="000000" w:themeColor="text1"/>
          <w:sz w:val="20"/>
          <w:szCs w:val="20"/>
        </w:rPr>
        <w:t>;</w:t>
      </w:r>
      <w:r w:rsidR="00DA1C85">
        <w:rPr>
          <w:rFonts w:ascii="Arial" w:hAnsi="Arial" w:cs="Arial"/>
          <w:color w:val="000000" w:themeColor="text1"/>
          <w:sz w:val="20"/>
          <w:szCs w:val="20"/>
        </w:rPr>
        <w:t xml:space="preserve"> </w:t>
      </w:r>
      <w:r w:rsidR="00377729">
        <w:rPr>
          <w:rFonts w:ascii="Arial" w:hAnsi="Arial" w:cs="Arial"/>
          <w:color w:val="222222"/>
          <w:sz w:val="20"/>
          <w:szCs w:val="20"/>
          <w:shd w:val="clear" w:color="auto" w:fill="FFFFFF"/>
        </w:rPr>
        <w:t>Roy, et al., 2025</w:t>
      </w:r>
      <w:r w:rsidR="00377729">
        <w:rPr>
          <w:rFonts w:ascii="Arial" w:hAnsi="Arial" w:cs="Arial"/>
          <w:color w:val="000000" w:themeColor="text1"/>
          <w:sz w:val="20"/>
          <w:szCs w:val="20"/>
        </w:rPr>
        <w:t>, ].Thus, many researchers have dedicated their efforts to search for safer drugs as well as natural products with less adverse effects for inflammatory diseases.</w:t>
      </w:r>
    </w:p>
    <w:p w:rsidR="00341D63" w:rsidRDefault="00377729">
      <w:pPr>
        <w:spacing w:line="480" w:lineRule="auto"/>
        <w:rPr>
          <w:rFonts w:ascii="Arial" w:hAnsi="Arial" w:cs="Arial"/>
          <w:b/>
          <w:color w:val="000000" w:themeColor="text1"/>
          <w:sz w:val="20"/>
          <w:szCs w:val="20"/>
        </w:rPr>
      </w:pPr>
      <w:r>
        <w:rPr>
          <w:rFonts w:ascii="Arial" w:hAnsi="Arial" w:cs="Arial"/>
          <w:b/>
          <w:color w:val="000000" w:themeColor="text1"/>
          <w:sz w:val="20"/>
          <w:szCs w:val="20"/>
        </w:rPr>
        <w:t>AIM OF THE STUDY</w:t>
      </w:r>
    </w:p>
    <w:p w:rsidR="00341D63" w:rsidRDefault="00377729">
      <w:pPr>
        <w:autoSpaceDE w:val="0"/>
        <w:autoSpaceDN w:val="0"/>
        <w:adjustRightInd w:val="0"/>
        <w:spacing w:after="0" w:line="480" w:lineRule="auto"/>
        <w:jc w:val="both"/>
        <w:rPr>
          <w:rFonts w:ascii="Arial" w:hAnsi="Arial" w:cs="Arial"/>
          <w:color w:val="000000" w:themeColor="text1"/>
          <w:sz w:val="20"/>
          <w:szCs w:val="20"/>
        </w:rPr>
      </w:pPr>
      <w:r>
        <w:rPr>
          <w:rFonts w:ascii="Arial" w:hAnsi="Arial" w:cs="Arial"/>
          <w:color w:val="000000" w:themeColor="text1"/>
          <w:sz w:val="20"/>
          <w:szCs w:val="20"/>
        </w:rPr>
        <w:t xml:space="preserve">This study was aimed at evaluating the anti-inflammatory activities of different fractions </w:t>
      </w:r>
      <w:proofErr w:type="spellStart"/>
      <w:r>
        <w:rPr>
          <w:rFonts w:ascii="Arial" w:hAnsi="Arial" w:cs="Arial"/>
          <w:i/>
          <w:color w:val="000000" w:themeColor="text1"/>
          <w:sz w:val="20"/>
          <w:szCs w:val="20"/>
        </w:rPr>
        <w:t>Harunganamadagascariensis</w:t>
      </w:r>
      <w:r>
        <w:rPr>
          <w:rFonts w:ascii="Arial" w:hAnsi="Arial" w:cs="Arial"/>
          <w:color w:val="000000" w:themeColor="text1"/>
          <w:sz w:val="20"/>
          <w:szCs w:val="20"/>
        </w:rPr>
        <w:t>leaves</w:t>
      </w:r>
      <w:proofErr w:type="spellEnd"/>
      <w:r>
        <w:rPr>
          <w:rFonts w:ascii="Arial" w:hAnsi="Arial" w:cs="Arial"/>
          <w:color w:val="000000" w:themeColor="text1"/>
          <w:sz w:val="20"/>
          <w:szCs w:val="20"/>
        </w:rPr>
        <w:t xml:space="preserve"> and</w:t>
      </w:r>
      <w:r>
        <w:rPr>
          <w:rFonts w:ascii="Arial" w:hAnsi="Arial" w:cs="Arial"/>
          <w:i/>
          <w:color w:val="000000" w:themeColor="text1"/>
          <w:sz w:val="20"/>
          <w:szCs w:val="20"/>
        </w:rPr>
        <w:t xml:space="preserve">, </w:t>
      </w:r>
      <w:r>
        <w:rPr>
          <w:rFonts w:ascii="Arial" w:hAnsi="Arial" w:cs="Arial"/>
          <w:color w:val="000000" w:themeColor="text1"/>
          <w:sz w:val="20"/>
          <w:szCs w:val="20"/>
        </w:rPr>
        <w:t>the underlying mechanisms of action of the plant.</w:t>
      </w:r>
    </w:p>
    <w:p w:rsidR="00341D63" w:rsidRDefault="00377729">
      <w:pPr>
        <w:pStyle w:val="ListParagraph"/>
        <w:numPr>
          <w:ilvl w:val="0"/>
          <w:numId w:val="4"/>
        </w:numPr>
        <w:spacing w:after="0" w:line="480" w:lineRule="auto"/>
        <w:ind w:left="567" w:hanging="567"/>
        <w:rPr>
          <w:rFonts w:ascii="Arial" w:hAnsi="Arial" w:cs="Arial"/>
          <w:b/>
          <w:color w:val="000000" w:themeColor="text1"/>
          <w:sz w:val="20"/>
          <w:szCs w:val="20"/>
        </w:rPr>
      </w:pPr>
      <w:r>
        <w:rPr>
          <w:rFonts w:ascii="Arial" w:hAnsi="Arial" w:cs="Arial"/>
          <w:b/>
          <w:color w:val="000000" w:themeColor="text1"/>
          <w:sz w:val="20"/>
          <w:szCs w:val="20"/>
        </w:rPr>
        <w:t>MATERIALS AND METHODS</w:t>
      </w:r>
    </w:p>
    <w:p w:rsidR="00341D63" w:rsidRDefault="00377729">
      <w:pPr>
        <w:spacing w:line="480" w:lineRule="auto"/>
        <w:rPr>
          <w:rFonts w:ascii="Arial" w:hAnsi="Arial" w:cs="Arial"/>
          <w:b/>
          <w:color w:val="000000" w:themeColor="text1"/>
          <w:sz w:val="20"/>
          <w:szCs w:val="20"/>
        </w:rPr>
      </w:pPr>
      <w:bookmarkStart w:id="1" w:name="_Hlk18234920"/>
      <w:proofErr w:type="gramStart"/>
      <w:r>
        <w:rPr>
          <w:rFonts w:ascii="Arial" w:hAnsi="Arial" w:cs="Arial"/>
          <w:b/>
          <w:color w:val="000000" w:themeColor="text1"/>
          <w:sz w:val="20"/>
          <w:szCs w:val="20"/>
        </w:rPr>
        <w:t>2.1  Plant</w:t>
      </w:r>
      <w:proofErr w:type="gramEnd"/>
      <w:r>
        <w:rPr>
          <w:rFonts w:ascii="Arial" w:hAnsi="Arial" w:cs="Arial"/>
          <w:b/>
          <w:color w:val="000000" w:themeColor="text1"/>
          <w:sz w:val="20"/>
          <w:szCs w:val="20"/>
        </w:rPr>
        <w:t xml:space="preserve"> Material</w:t>
      </w:r>
    </w:p>
    <w:bookmarkEnd w:id="1"/>
    <w:p w:rsidR="00341D63" w:rsidRDefault="00377729">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 xml:space="preserve">The leaves of </w:t>
      </w:r>
      <w:proofErr w:type="spellStart"/>
      <w:r>
        <w:rPr>
          <w:rFonts w:ascii="Arial" w:hAnsi="Arial" w:cs="Arial"/>
          <w:i/>
          <w:color w:val="000000" w:themeColor="text1"/>
          <w:sz w:val="20"/>
          <w:szCs w:val="20"/>
        </w:rPr>
        <w:t>Harunganamadagascariensis</w:t>
      </w:r>
      <w:proofErr w:type="spellEnd"/>
      <w:r>
        <w:rPr>
          <w:rFonts w:ascii="Arial" w:hAnsi="Arial" w:cs="Arial"/>
          <w:color w:val="000000" w:themeColor="text1"/>
          <w:sz w:val="20"/>
          <w:szCs w:val="20"/>
        </w:rPr>
        <w:t xml:space="preserve"> were used for this study. They were collected from </w:t>
      </w:r>
      <w:proofErr w:type="spellStart"/>
      <w:r>
        <w:rPr>
          <w:rFonts w:ascii="Arial" w:hAnsi="Arial" w:cs="Arial"/>
          <w:color w:val="000000" w:themeColor="text1"/>
          <w:sz w:val="20"/>
          <w:szCs w:val="20"/>
        </w:rPr>
        <w:t>Adada</w:t>
      </w:r>
      <w:proofErr w:type="spellEnd"/>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river</w:t>
      </w:r>
      <w:proofErr w:type="gramEnd"/>
      <w:r>
        <w:rPr>
          <w:rFonts w:ascii="Arial" w:hAnsi="Arial" w:cs="Arial"/>
          <w:color w:val="000000" w:themeColor="text1"/>
          <w:sz w:val="20"/>
          <w:szCs w:val="20"/>
        </w:rPr>
        <w:t xml:space="preserve"> in </w:t>
      </w:r>
      <w:proofErr w:type="spellStart"/>
      <w:r>
        <w:rPr>
          <w:rFonts w:ascii="Arial" w:hAnsi="Arial" w:cs="Arial"/>
          <w:color w:val="000000" w:themeColor="text1"/>
          <w:sz w:val="20"/>
          <w:szCs w:val="20"/>
        </w:rPr>
        <w:t>Nsukka</w:t>
      </w:r>
      <w:proofErr w:type="spellEnd"/>
      <w:r>
        <w:rPr>
          <w:rFonts w:ascii="Arial" w:hAnsi="Arial" w:cs="Arial"/>
          <w:color w:val="000000" w:themeColor="text1"/>
          <w:sz w:val="20"/>
          <w:szCs w:val="20"/>
        </w:rPr>
        <w:t xml:space="preserve">, Enugu State and identified by Mr. Alfred </w:t>
      </w:r>
      <w:proofErr w:type="spellStart"/>
      <w:r>
        <w:rPr>
          <w:rFonts w:ascii="Arial" w:hAnsi="Arial" w:cs="Arial"/>
          <w:color w:val="000000" w:themeColor="text1"/>
          <w:sz w:val="20"/>
          <w:szCs w:val="20"/>
        </w:rPr>
        <w:t>Ozioko</w:t>
      </w:r>
      <w:proofErr w:type="spellEnd"/>
      <w:r>
        <w:rPr>
          <w:rFonts w:ascii="Arial" w:hAnsi="Arial" w:cs="Arial"/>
          <w:color w:val="000000" w:themeColor="text1"/>
          <w:sz w:val="20"/>
          <w:szCs w:val="20"/>
        </w:rPr>
        <w:t xml:space="preserve"> of </w:t>
      </w:r>
      <w:proofErr w:type="spellStart"/>
      <w:r>
        <w:rPr>
          <w:rFonts w:ascii="Arial" w:hAnsi="Arial" w:cs="Arial"/>
          <w:color w:val="000000" w:themeColor="text1"/>
          <w:sz w:val="20"/>
          <w:szCs w:val="20"/>
        </w:rPr>
        <w:t>Bioresource</w:t>
      </w:r>
      <w:proofErr w:type="spellEnd"/>
      <w:r>
        <w:rPr>
          <w:rFonts w:ascii="Arial" w:hAnsi="Arial" w:cs="Arial"/>
          <w:color w:val="000000" w:themeColor="text1"/>
          <w:sz w:val="20"/>
          <w:szCs w:val="20"/>
        </w:rPr>
        <w:t xml:space="preserve"> Development and Conservation Programme (BDCP) Research Centre, </w:t>
      </w:r>
      <w:proofErr w:type="spellStart"/>
      <w:r>
        <w:rPr>
          <w:rFonts w:ascii="Arial" w:hAnsi="Arial" w:cs="Arial"/>
          <w:color w:val="000000" w:themeColor="text1"/>
          <w:sz w:val="20"/>
          <w:szCs w:val="20"/>
        </w:rPr>
        <w:t>Nsukka</w:t>
      </w:r>
      <w:proofErr w:type="spellEnd"/>
      <w:r>
        <w:rPr>
          <w:rFonts w:ascii="Arial" w:hAnsi="Arial" w:cs="Arial"/>
          <w:color w:val="000000" w:themeColor="text1"/>
          <w:sz w:val="20"/>
          <w:szCs w:val="20"/>
        </w:rPr>
        <w:t>, Enugu State Nigeria.</w:t>
      </w:r>
    </w:p>
    <w:p w:rsidR="00341D63" w:rsidRDefault="00377729">
      <w:pPr>
        <w:spacing w:line="480" w:lineRule="auto"/>
        <w:jc w:val="both"/>
        <w:rPr>
          <w:rFonts w:ascii="Arial" w:hAnsi="Arial" w:cs="Arial"/>
          <w:b/>
          <w:color w:val="000000" w:themeColor="text1"/>
          <w:sz w:val="20"/>
          <w:szCs w:val="20"/>
        </w:rPr>
      </w:pPr>
      <w:r>
        <w:rPr>
          <w:rFonts w:ascii="Arial" w:hAnsi="Arial" w:cs="Arial"/>
          <w:b/>
          <w:color w:val="000000" w:themeColor="text1"/>
          <w:sz w:val="20"/>
          <w:szCs w:val="20"/>
        </w:rPr>
        <w:t>Experimental Animals</w:t>
      </w:r>
    </w:p>
    <w:p w:rsidR="00341D63" w:rsidRDefault="00377729">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 xml:space="preserve">Adult </w:t>
      </w:r>
      <w:proofErr w:type="spellStart"/>
      <w:r>
        <w:rPr>
          <w:rFonts w:ascii="Arial" w:hAnsi="Arial" w:cs="Arial"/>
          <w:color w:val="000000" w:themeColor="text1"/>
          <w:sz w:val="20"/>
          <w:szCs w:val="20"/>
        </w:rPr>
        <w:t>Wistar</w:t>
      </w:r>
      <w:proofErr w:type="spellEnd"/>
      <w:r>
        <w:rPr>
          <w:rFonts w:ascii="Arial" w:hAnsi="Arial" w:cs="Arial"/>
          <w:color w:val="000000" w:themeColor="text1"/>
          <w:sz w:val="20"/>
          <w:szCs w:val="20"/>
        </w:rPr>
        <w:t xml:space="preserve"> rats and adult </w:t>
      </w:r>
      <w:proofErr w:type="spellStart"/>
      <w:r>
        <w:rPr>
          <w:rFonts w:ascii="Arial" w:hAnsi="Arial" w:cs="Arial"/>
          <w:color w:val="000000" w:themeColor="text1"/>
          <w:sz w:val="20"/>
          <w:szCs w:val="20"/>
        </w:rPr>
        <w:t>swiss</w:t>
      </w:r>
      <w:proofErr w:type="spellEnd"/>
      <w:r>
        <w:rPr>
          <w:rFonts w:ascii="Arial" w:hAnsi="Arial" w:cs="Arial"/>
          <w:color w:val="000000" w:themeColor="text1"/>
          <w:sz w:val="20"/>
          <w:szCs w:val="20"/>
        </w:rPr>
        <w:t xml:space="preserve"> albino mice of both sexes were used for the experiments. The animals were obtained from the Animal house of the Faculty of Biological Sciences, University of Nigeria, </w:t>
      </w:r>
      <w:proofErr w:type="spellStart"/>
      <w:proofErr w:type="gramStart"/>
      <w:r>
        <w:rPr>
          <w:rFonts w:ascii="Arial" w:hAnsi="Arial" w:cs="Arial"/>
          <w:color w:val="000000" w:themeColor="text1"/>
          <w:sz w:val="20"/>
          <w:szCs w:val="20"/>
        </w:rPr>
        <w:t>Nsukka</w:t>
      </w:r>
      <w:proofErr w:type="spellEnd"/>
      <w:proofErr w:type="gramEnd"/>
      <w:r>
        <w:rPr>
          <w:rFonts w:ascii="Arial" w:hAnsi="Arial" w:cs="Arial"/>
          <w:color w:val="000000" w:themeColor="text1"/>
          <w:sz w:val="20"/>
          <w:szCs w:val="20"/>
        </w:rPr>
        <w:t xml:space="preserve"> and acclimatized for 7 days under standard environmental conditions prior to the experiment. They were grouped as follows:</w:t>
      </w:r>
    </w:p>
    <w:p w:rsidR="00341D63" w:rsidRDefault="00377729">
      <w:pPr>
        <w:numPr>
          <w:ilvl w:val="0"/>
          <w:numId w:val="2"/>
        </w:numPr>
        <w:spacing w:line="480" w:lineRule="auto"/>
        <w:jc w:val="both"/>
        <w:rPr>
          <w:rFonts w:ascii="Arial" w:hAnsi="Arial" w:cs="Arial"/>
          <w:color w:val="000000" w:themeColor="text1"/>
          <w:sz w:val="20"/>
          <w:szCs w:val="20"/>
        </w:rPr>
      </w:pPr>
      <w:r>
        <w:rPr>
          <w:rFonts w:ascii="Arial" w:hAnsi="Arial" w:cs="Arial"/>
          <w:color w:val="000000" w:themeColor="text1"/>
          <w:sz w:val="20"/>
          <w:szCs w:val="20"/>
        </w:rPr>
        <w:t>Group 1: Rats were treated with 3%tween80 (2 ml/kg)</w:t>
      </w:r>
    </w:p>
    <w:p w:rsidR="00341D63" w:rsidRDefault="00377729">
      <w:pPr>
        <w:numPr>
          <w:ilvl w:val="0"/>
          <w:numId w:val="2"/>
        </w:numPr>
        <w:spacing w:line="480" w:lineRule="auto"/>
        <w:jc w:val="both"/>
        <w:rPr>
          <w:rFonts w:ascii="Arial" w:hAnsi="Arial" w:cs="Arial"/>
          <w:color w:val="000000" w:themeColor="text1"/>
          <w:sz w:val="20"/>
          <w:szCs w:val="20"/>
        </w:rPr>
      </w:pPr>
      <w:r>
        <w:rPr>
          <w:rFonts w:ascii="Arial" w:hAnsi="Arial" w:cs="Arial"/>
          <w:color w:val="000000" w:themeColor="text1"/>
          <w:sz w:val="20"/>
          <w:szCs w:val="20"/>
        </w:rPr>
        <w:t>Group 2: Rats were treated with 100 mg/kg body weight of fraction</w:t>
      </w:r>
    </w:p>
    <w:p w:rsidR="00341D63" w:rsidRDefault="00377729">
      <w:pPr>
        <w:numPr>
          <w:ilvl w:val="0"/>
          <w:numId w:val="2"/>
        </w:numPr>
        <w:spacing w:line="480" w:lineRule="auto"/>
        <w:jc w:val="both"/>
        <w:rPr>
          <w:rFonts w:ascii="Arial" w:hAnsi="Arial" w:cs="Arial"/>
          <w:color w:val="000000" w:themeColor="text1"/>
          <w:sz w:val="20"/>
          <w:szCs w:val="20"/>
        </w:rPr>
      </w:pPr>
      <w:r>
        <w:rPr>
          <w:rFonts w:ascii="Arial" w:hAnsi="Arial" w:cs="Arial"/>
          <w:color w:val="000000" w:themeColor="text1"/>
          <w:sz w:val="20"/>
          <w:szCs w:val="20"/>
        </w:rPr>
        <w:t>Group 3: Rats were treated with 200 mg/kg body weight of fraction</w:t>
      </w:r>
    </w:p>
    <w:p w:rsidR="00341D63" w:rsidRDefault="00377729">
      <w:pPr>
        <w:numPr>
          <w:ilvl w:val="0"/>
          <w:numId w:val="2"/>
        </w:numPr>
        <w:spacing w:line="48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Group 4: Rats were treated with 400mg/kg body weight of fraction</w:t>
      </w:r>
    </w:p>
    <w:p w:rsidR="00341D63" w:rsidRDefault="00377729">
      <w:pPr>
        <w:numPr>
          <w:ilvl w:val="0"/>
          <w:numId w:val="2"/>
        </w:numPr>
        <w:spacing w:line="480" w:lineRule="auto"/>
        <w:jc w:val="both"/>
        <w:rPr>
          <w:rFonts w:ascii="Arial" w:hAnsi="Arial" w:cs="Arial"/>
          <w:color w:val="000000" w:themeColor="text1"/>
          <w:sz w:val="20"/>
          <w:szCs w:val="20"/>
        </w:rPr>
      </w:pPr>
      <w:r>
        <w:rPr>
          <w:rFonts w:ascii="Arial" w:hAnsi="Arial" w:cs="Arial"/>
          <w:color w:val="000000" w:themeColor="text1"/>
          <w:sz w:val="20"/>
          <w:szCs w:val="20"/>
        </w:rPr>
        <w:t>Group 5: Rats were treated with a known amount of standard drug</w:t>
      </w:r>
    </w:p>
    <w:p w:rsidR="00341D63" w:rsidRDefault="00377729">
      <w:pPr>
        <w:spacing w:line="480" w:lineRule="auto"/>
        <w:rPr>
          <w:rFonts w:ascii="Arial" w:hAnsi="Arial" w:cs="Arial"/>
          <w:b/>
          <w:color w:val="000000" w:themeColor="text1"/>
          <w:sz w:val="20"/>
          <w:szCs w:val="20"/>
        </w:rPr>
      </w:pPr>
      <w:r>
        <w:rPr>
          <w:rFonts w:ascii="Arial" w:hAnsi="Arial" w:cs="Arial"/>
          <w:b/>
          <w:color w:val="000000" w:themeColor="text1"/>
          <w:sz w:val="20"/>
          <w:szCs w:val="20"/>
        </w:rPr>
        <w:t>Blood samples</w:t>
      </w:r>
    </w:p>
    <w:p w:rsidR="00341D63" w:rsidRDefault="00377729">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Human blood used for phospholipase A</w:t>
      </w:r>
      <w:r>
        <w:rPr>
          <w:rFonts w:ascii="Arial" w:hAnsi="Arial" w:cs="Arial"/>
          <w:color w:val="000000" w:themeColor="text1"/>
          <w:sz w:val="20"/>
          <w:szCs w:val="20"/>
          <w:vertAlign w:val="subscript"/>
        </w:rPr>
        <w:t>2</w:t>
      </w:r>
      <w:r>
        <w:rPr>
          <w:rFonts w:ascii="Arial" w:hAnsi="Arial" w:cs="Arial"/>
          <w:color w:val="000000" w:themeColor="text1"/>
          <w:sz w:val="20"/>
          <w:szCs w:val="20"/>
        </w:rPr>
        <w:t xml:space="preserve"> and membrane stabilisation was collected from healthy individual free from anti-inflammatory drugs.</w:t>
      </w:r>
    </w:p>
    <w:p w:rsidR="00341D63" w:rsidRDefault="00377729">
      <w:pPr>
        <w:spacing w:line="480"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Chemicals </w:t>
      </w:r>
    </w:p>
    <w:p w:rsidR="00341D63" w:rsidRDefault="00377729">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 xml:space="preserve">All chemicals used in this study were of analytical grade and products of Sigma Aldrich, (USA), British Drug House (BDH) England, Burgoyne, (India), Harkin and Williams, (England), </w:t>
      </w:r>
      <w:proofErr w:type="spellStart"/>
      <w:r>
        <w:rPr>
          <w:rFonts w:ascii="Arial" w:hAnsi="Arial" w:cs="Arial"/>
          <w:color w:val="000000" w:themeColor="text1"/>
          <w:sz w:val="20"/>
          <w:szCs w:val="20"/>
        </w:rPr>
        <w:t>Qualikems</w:t>
      </w:r>
      <w:proofErr w:type="spellEnd"/>
      <w:r>
        <w:rPr>
          <w:rFonts w:ascii="Arial" w:hAnsi="Arial" w:cs="Arial"/>
          <w:color w:val="000000" w:themeColor="text1"/>
          <w:sz w:val="20"/>
          <w:szCs w:val="20"/>
        </w:rPr>
        <w:t xml:space="preserve"> (India), </w:t>
      </w:r>
      <w:proofErr w:type="spellStart"/>
      <w:r>
        <w:rPr>
          <w:rFonts w:ascii="Arial" w:hAnsi="Arial" w:cs="Arial"/>
          <w:color w:val="000000" w:themeColor="text1"/>
          <w:sz w:val="20"/>
          <w:szCs w:val="20"/>
        </w:rPr>
        <w:t>Fluka</w:t>
      </w:r>
      <w:proofErr w:type="spellEnd"/>
      <w:r>
        <w:rPr>
          <w:rFonts w:ascii="Arial" w:hAnsi="Arial" w:cs="Arial"/>
          <w:color w:val="000000" w:themeColor="text1"/>
          <w:sz w:val="20"/>
          <w:szCs w:val="20"/>
        </w:rPr>
        <w:t xml:space="preserve"> (Germany), May and Baker, (England).</w:t>
      </w:r>
    </w:p>
    <w:p w:rsidR="00341D63" w:rsidRDefault="00377729">
      <w:pPr>
        <w:spacing w:line="480" w:lineRule="auto"/>
        <w:jc w:val="both"/>
        <w:rPr>
          <w:rFonts w:ascii="Arial" w:hAnsi="Arial" w:cs="Arial"/>
          <w:b/>
          <w:color w:val="000000" w:themeColor="text1"/>
          <w:sz w:val="20"/>
          <w:szCs w:val="20"/>
        </w:rPr>
      </w:pPr>
      <w:r>
        <w:rPr>
          <w:rFonts w:ascii="Arial" w:hAnsi="Arial" w:cs="Arial"/>
          <w:b/>
          <w:color w:val="000000" w:themeColor="text1"/>
          <w:sz w:val="20"/>
          <w:szCs w:val="20"/>
        </w:rPr>
        <w:t>2.2 Methods</w:t>
      </w:r>
    </w:p>
    <w:p w:rsidR="00341D63" w:rsidRDefault="00377729">
      <w:pPr>
        <w:spacing w:before="240" w:line="480" w:lineRule="auto"/>
        <w:rPr>
          <w:rFonts w:ascii="Arial" w:hAnsi="Arial" w:cs="Arial"/>
          <w:b/>
          <w:color w:val="000000" w:themeColor="text1"/>
          <w:sz w:val="20"/>
          <w:szCs w:val="20"/>
        </w:rPr>
      </w:pPr>
      <w:bookmarkStart w:id="2" w:name="_Hlk18235136"/>
      <w:r>
        <w:rPr>
          <w:rFonts w:ascii="Arial" w:hAnsi="Arial" w:cs="Arial"/>
          <w:b/>
          <w:color w:val="000000" w:themeColor="text1"/>
          <w:sz w:val="20"/>
          <w:szCs w:val="20"/>
        </w:rPr>
        <w:t xml:space="preserve"> 2.2.1 Preparation of extract</w:t>
      </w:r>
    </w:p>
    <w:bookmarkEnd w:id="2"/>
    <w:p w:rsidR="00341D63" w:rsidRDefault="00377729">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 xml:space="preserve">The fresh leaves of </w:t>
      </w:r>
      <w:proofErr w:type="spellStart"/>
      <w:r>
        <w:rPr>
          <w:rFonts w:ascii="Arial" w:hAnsi="Arial" w:cs="Arial"/>
          <w:i/>
          <w:iCs/>
          <w:color w:val="000000" w:themeColor="text1"/>
          <w:sz w:val="20"/>
          <w:szCs w:val="20"/>
        </w:rPr>
        <w:t>Harunganamadagascariensis</w:t>
      </w:r>
      <w:proofErr w:type="spellEnd"/>
      <w:r>
        <w:rPr>
          <w:rFonts w:ascii="Arial" w:hAnsi="Arial" w:cs="Arial"/>
          <w:color w:val="000000" w:themeColor="text1"/>
          <w:sz w:val="20"/>
          <w:szCs w:val="20"/>
        </w:rPr>
        <w:t xml:space="preserve"> were air-dried, milled into coarse powder and macerated in a mixture of methanol and chloroform (2:1) for 48 hours. The solution was filtered with </w:t>
      </w:r>
      <w:proofErr w:type="spellStart"/>
      <w:r>
        <w:rPr>
          <w:rFonts w:ascii="Arial" w:hAnsi="Arial" w:cs="Arial"/>
          <w:color w:val="000000" w:themeColor="text1"/>
          <w:sz w:val="20"/>
          <w:szCs w:val="20"/>
        </w:rPr>
        <w:t>Whatman</w:t>
      </w:r>
      <w:proofErr w:type="spellEnd"/>
      <w:r>
        <w:rPr>
          <w:rFonts w:ascii="Arial" w:hAnsi="Arial" w:cs="Arial"/>
          <w:color w:val="000000" w:themeColor="text1"/>
          <w:sz w:val="20"/>
          <w:szCs w:val="20"/>
        </w:rPr>
        <w:t xml:space="preserve"> No.1 filter paper and fractioned with 20% distilled water of the total volume of the filtrate to obtain two layers that were separated using a separation funnel. The upper layer was designated methanol extract and the lower layer designated chloroform extract. They were concentrated differently using a rotary evaporator at an optimum temperature range of 45–50</w:t>
      </w:r>
      <w:r>
        <w:rPr>
          <w:rFonts w:ascii="Arial" w:hAnsi="Arial" w:cs="Arial"/>
          <w:color w:val="000000" w:themeColor="text1"/>
          <w:sz w:val="20"/>
          <w:szCs w:val="20"/>
          <w:vertAlign w:val="superscript"/>
        </w:rPr>
        <w:t>O</w:t>
      </w:r>
      <w:r>
        <w:rPr>
          <w:rFonts w:ascii="Arial" w:hAnsi="Arial" w:cs="Arial"/>
          <w:color w:val="000000" w:themeColor="text1"/>
          <w:sz w:val="20"/>
          <w:szCs w:val="20"/>
        </w:rPr>
        <w:t xml:space="preserve">C. </w:t>
      </w:r>
    </w:p>
    <w:p w:rsidR="00341D63" w:rsidRDefault="00377729">
      <w:pPr>
        <w:spacing w:line="480" w:lineRule="auto"/>
        <w:jc w:val="both"/>
        <w:rPr>
          <w:rFonts w:ascii="Arial" w:hAnsi="Arial" w:cs="Arial"/>
          <w:b/>
          <w:color w:val="000000" w:themeColor="text1"/>
          <w:sz w:val="20"/>
          <w:szCs w:val="20"/>
        </w:rPr>
      </w:pPr>
      <w:bookmarkStart w:id="3" w:name="_Hlk18237114"/>
      <w:r>
        <w:rPr>
          <w:rFonts w:ascii="Arial" w:hAnsi="Arial" w:cs="Arial"/>
          <w:b/>
          <w:color w:val="000000" w:themeColor="text1"/>
          <w:sz w:val="20"/>
          <w:szCs w:val="20"/>
        </w:rPr>
        <w:t xml:space="preserve"> Fractionation of the methanol extract</w:t>
      </w:r>
      <w:bookmarkEnd w:id="3"/>
    </w:p>
    <w:p w:rsidR="00341D63" w:rsidRDefault="00377729">
      <w:pPr>
        <w:spacing w:line="480" w:lineRule="auto"/>
        <w:jc w:val="both"/>
        <w:rPr>
          <w:rFonts w:ascii="Arial" w:hAnsi="Arial" w:cs="Arial"/>
          <w:color w:val="000000" w:themeColor="text1"/>
          <w:sz w:val="20"/>
          <w:szCs w:val="20"/>
        </w:rPr>
      </w:pPr>
      <w:r>
        <w:rPr>
          <w:rFonts w:ascii="Arial" w:hAnsi="Arial" w:cs="Arial"/>
          <w:bCs/>
          <w:color w:val="000000" w:themeColor="text1"/>
          <w:sz w:val="20"/>
          <w:szCs w:val="20"/>
        </w:rPr>
        <w:t xml:space="preserve">Fractionation of methanol extract was done using fractioning method. Fractioning of the methanol extract was done using n-hexane, ethyl acetate and aqueous-methanol (90:10 v/v) in a separation funnel. Methanol extract (20g) was dissolved in 250 ml of aqueous-methanol (90:10) and poured into a separation funnel. 250 ml of n-hexane was poured and shaken vigorously and allowed to stand. Two layers were formed; upper layer and lower layers. The upper layer was collected and designated n-hexane fraction. The lower layer was poured back to the funnel and re-washed with n-hexane. Ethyl acetate was introduced into the aqueous portion, and treated same as n-hexane. After re-washing </w:t>
      </w:r>
      <w:r>
        <w:rPr>
          <w:rFonts w:ascii="Arial" w:hAnsi="Arial" w:cs="Arial"/>
          <w:bCs/>
          <w:color w:val="000000" w:themeColor="text1"/>
          <w:sz w:val="20"/>
          <w:szCs w:val="20"/>
        </w:rPr>
        <w:lastRenderedPageBreak/>
        <w:t>with ethyl acetate, the last portion was aqueous methanol fraction. The fractions were concentrated using rotary evaporator and used for inflammatory tests.</w:t>
      </w:r>
    </w:p>
    <w:p w:rsidR="00341D63" w:rsidRDefault="00377729">
      <w:pPr>
        <w:spacing w:line="480" w:lineRule="auto"/>
        <w:rPr>
          <w:rFonts w:ascii="Arial" w:hAnsi="Arial" w:cs="Arial"/>
          <w:b/>
          <w:sz w:val="20"/>
          <w:szCs w:val="20"/>
        </w:rPr>
      </w:pPr>
      <w:r>
        <w:rPr>
          <w:rFonts w:ascii="Arial" w:hAnsi="Arial" w:cs="Arial"/>
          <w:b/>
          <w:sz w:val="20"/>
          <w:szCs w:val="20"/>
        </w:rPr>
        <w:t>2.3 ANTI-INFLAMMATORY ASSAYS</w:t>
      </w:r>
    </w:p>
    <w:p w:rsidR="00341D63" w:rsidRDefault="00377729">
      <w:pPr>
        <w:spacing w:line="480" w:lineRule="auto"/>
        <w:rPr>
          <w:rFonts w:ascii="Arial" w:hAnsi="Arial" w:cs="Arial"/>
          <w:b/>
          <w:color w:val="000000" w:themeColor="text1"/>
          <w:sz w:val="20"/>
          <w:szCs w:val="20"/>
        </w:rPr>
      </w:pPr>
      <w:r>
        <w:rPr>
          <w:rFonts w:ascii="Arial" w:hAnsi="Arial" w:cs="Arial"/>
          <w:b/>
          <w:color w:val="000000" w:themeColor="text1"/>
          <w:sz w:val="20"/>
          <w:szCs w:val="20"/>
        </w:rPr>
        <w:t>2.3.1 Egg albumin-induced oedema in rats</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The rat paw oedema method of Winter </w:t>
      </w:r>
      <w:r>
        <w:rPr>
          <w:rFonts w:ascii="Arial" w:hAnsi="Arial" w:cs="Arial"/>
          <w:bCs/>
          <w:i/>
          <w:iCs/>
          <w:color w:val="000000" w:themeColor="text1"/>
          <w:sz w:val="20"/>
          <w:szCs w:val="20"/>
        </w:rPr>
        <w:t>et al</w:t>
      </w:r>
      <w:r>
        <w:rPr>
          <w:rFonts w:ascii="Arial" w:hAnsi="Arial" w:cs="Arial"/>
          <w:bCs/>
          <w:color w:val="000000" w:themeColor="text1"/>
          <w:sz w:val="20"/>
          <w:szCs w:val="20"/>
        </w:rPr>
        <w:t xml:space="preserve">. 1962 was used. Increase in the right hind paw volume induced by the sub-plantar injection of fresh egg albumin was used as a model for acute inflammation. For each of the (n-hexane, ethyl acetate and aqueous-methanol), thirty-two (32) adult </w:t>
      </w:r>
      <w:proofErr w:type="spellStart"/>
      <w:r>
        <w:rPr>
          <w:rFonts w:ascii="Arial" w:hAnsi="Arial" w:cs="Arial"/>
          <w:bCs/>
          <w:color w:val="000000" w:themeColor="text1"/>
          <w:sz w:val="20"/>
          <w:szCs w:val="20"/>
        </w:rPr>
        <w:t>wistar</w:t>
      </w:r>
      <w:proofErr w:type="spellEnd"/>
      <w:r>
        <w:rPr>
          <w:rFonts w:ascii="Arial" w:hAnsi="Arial" w:cs="Arial"/>
          <w:bCs/>
          <w:color w:val="000000" w:themeColor="text1"/>
          <w:sz w:val="20"/>
          <w:szCs w:val="20"/>
        </w:rPr>
        <w:t xml:space="preserve"> rats of either sex (120-200g) were divided into eight groups of four rats each. They were fasted and deprived of water for 18 hours before the experiment. Deprivation of water was to ensure hydration and to minimize variability in oedematous response. After the fasting and deprivation, the right hind paw volume of the rats was measured at time zero (t =0) using Vernier calliper. Then group 1 received 2 ml/kg </w:t>
      </w:r>
      <w:proofErr w:type="spellStart"/>
      <w:r>
        <w:rPr>
          <w:rFonts w:ascii="Arial" w:hAnsi="Arial" w:cs="Arial"/>
          <w:bCs/>
          <w:color w:val="000000" w:themeColor="text1"/>
          <w:sz w:val="20"/>
          <w:szCs w:val="20"/>
        </w:rPr>
        <w:t>b.w</w:t>
      </w:r>
      <w:proofErr w:type="spellEnd"/>
      <w:r>
        <w:rPr>
          <w:rFonts w:ascii="Arial" w:hAnsi="Arial" w:cs="Arial"/>
          <w:bCs/>
          <w:color w:val="000000" w:themeColor="text1"/>
          <w:sz w:val="20"/>
          <w:szCs w:val="20"/>
        </w:rPr>
        <w:t xml:space="preserve"> of 3% tween 80, group 2 and 3 received 100 and 400 mg/kg of n-hexane respectively, group 4 and 5 received 100 and 400 </w:t>
      </w:r>
      <w:proofErr w:type="spellStart"/>
      <w:r>
        <w:rPr>
          <w:rFonts w:ascii="Arial" w:hAnsi="Arial" w:cs="Arial"/>
          <w:bCs/>
          <w:color w:val="000000" w:themeColor="text1"/>
          <w:sz w:val="20"/>
          <w:szCs w:val="20"/>
        </w:rPr>
        <w:t>ethylacetate</w:t>
      </w:r>
      <w:proofErr w:type="spellEnd"/>
      <w:r>
        <w:rPr>
          <w:rFonts w:ascii="Arial" w:hAnsi="Arial" w:cs="Arial"/>
          <w:bCs/>
          <w:color w:val="000000" w:themeColor="text1"/>
          <w:sz w:val="20"/>
          <w:szCs w:val="20"/>
        </w:rPr>
        <w:t xml:space="preserve"> fraction and group 6 and 7 received aqueous-methanol fraction respectively while group 8 received 10 mg/kg indomethacin </w:t>
      </w:r>
      <w:proofErr w:type="spellStart"/>
      <w:r>
        <w:rPr>
          <w:rFonts w:ascii="Arial" w:hAnsi="Arial" w:cs="Arial"/>
          <w:bCs/>
          <w:color w:val="000000" w:themeColor="text1"/>
          <w:sz w:val="20"/>
          <w:szCs w:val="20"/>
        </w:rPr>
        <w:t>intraperitoneally</w:t>
      </w:r>
      <w:proofErr w:type="spellEnd"/>
      <w:r>
        <w:rPr>
          <w:rFonts w:ascii="Arial" w:hAnsi="Arial" w:cs="Arial"/>
          <w:bCs/>
          <w:color w:val="000000" w:themeColor="text1"/>
          <w:sz w:val="20"/>
          <w:szCs w:val="20"/>
        </w:rPr>
        <w:t>. Acute inflammation was induced one hour after administration of fractions, by injecting 0.1 ml of undiluted fresh egg albumin into the sub-plantar of the right hind paw of the rats. Paw volumes were measured at 0.5, 1, 2, 3, 4 and 5 hours after egg albumin injection. Oedema formation was assessed by finding the difference in the zero-time paw circumference and its circumference at the different times after egg albumin injection. This was used to calculate the percentage inhibition of inflammation:</w:t>
      </w:r>
    </w:p>
    <w:p w:rsidR="00341D63" w:rsidRDefault="00377729">
      <w:pPr>
        <w:spacing w:line="480" w:lineRule="auto"/>
        <w:jc w:val="both"/>
        <w:rPr>
          <w:rFonts w:ascii="Arial" w:hAnsi="Arial" w:cs="Arial"/>
          <w:bCs/>
          <w:color w:val="000000" w:themeColor="text1"/>
          <w:sz w:val="20"/>
          <w:szCs w:val="20"/>
        </w:rPr>
      </w:pPr>
      <m:oMathPara>
        <m:oMath>
          <m:r>
            <m:rPr>
              <m:sty m:val="p"/>
            </m:rPr>
            <w:rPr>
              <w:rFonts w:ascii="Cambria Math" w:hAnsi="Arial" w:cs="Arial"/>
              <w:color w:val="000000" w:themeColor="text1"/>
              <w:sz w:val="20"/>
              <w:szCs w:val="20"/>
            </w:rPr>
            <m:t xml:space="preserve"> % inhibition of inflammation =</m:t>
          </m:r>
          <m:f>
            <m:fPr>
              <m:ctrlPr>
                <w:rPr>
                  <w:rFonts w:ascii="Cambria Math" w:hAnsi="Arial" w:cs="Arial"/>
                  <w:bCs/>
                  <w:color w:val="000000" w:themeColor="text1"/>
                  <w:sz w:val="20"/>
                  <w:szCs w:val="20"/>
                </w:rPr>
              </m:ctrlPr>
            </m:fPr>
            <m:num>
              <m:d>
                <m:dPr>
                  <m:ctrlPr>
                    <w:rPr>
                      <w:rFonts w:ascii="Cambria Math" w:hAnsi="Arial" w:cs="Arial"/>
                      <w:color w:val="000000" w:themeColor="text1"/>
                      <w:sz w:val="20"/>
                      <w:szCs w:val="20"/>
                    </w:rPr>
                  </m:ctrlPr>
                </m:dPr>
                <m:e>
                  <m:r>
                    <m:rPr>
                      <m:sty m:val="p"/>
                    </m:rPr>
                    <w:rPr>
                      <w:rFonts w:ascii="Cambria Math" w:hAnsi="Arial" w:cs="Arial"/>
                      <w:color w:val="000000" w:themeColor="text1"/>
                      <w:sz w:val="20"/>
                      <w:szCs w:val="20"/>
                    </w:rPr>
                    <m:t>Vt</m:t>
                  </m:r>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Vo</m:t>
                  </m:r>
                </m:e>
              </m:d>
              <m:r>
                <m:rPr>
                  <m:sty m:val="p"/>
                </m:rPr>
                <w:rPr>
                  <w:rFonts w:ascii="Cambria Math" w:hAnsi="Arial" w:cs="Arial"/>
                  <w:color w:val="000000" w:themeColor="text1"/>
                  <w:sz w:val="20"/>
                  <w:szCs w:val="20"/>
                </w:rPr>
                <m:t>control</m:t>
              </m:r>
              <m:r>
                <m:rPr>
                  <m:sty m:val="p"/>
                </m:rPr>
                <w:rPr>
                  <w:rFonts w:ascii="Arial" w:hAnsi="Arial" w:cs="Arial"/>
                  <w:color w:val="000000" w:themeColor="text1"/>
                  <w:sz w:val="20"/>
                  <w:szCs w:val="20"/>
                </w:rPr>
                <m:t>-</m:t>
              </m:r>
              <m:d>
                <m:dPr>
                  <m:ctrlPr>
                    <w:rPr>
                      <w:rFonts w:ascii="Cambria Math" w:hAnsi="Arial" w:cs="Arial"/>
                      <w:color w:val="000000" w:themeColor="text1"/>
                      <w:sz w:val="20"/>
                      <w:szCs w:val="20"/>
                    </w:rPr>
                  </m:ctrlPr>
                </m:dPr>
                <m:e>
                  <m:r>
                    <m:rPr>
                      <m:sty m:val="p"/>
                    </m:rPr>
                    <w:rPr>
                      <w:rFonts w:ascii="Cambria Math" w:hAnsi="Arial" w:cs="Arial"/>
                      <w:color w:val="000000" w:themeColor="text1"/>
                      <w:sz w:val="20"/>
                      <w:szCs w:val="20"/>
                    </w:rPr>
                    <m:t>Vt</m:t>
                  </m:r>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Vo</m:t>
                  </m:r>
                </m:e>
              </m:d>
              <m:r>
                <w:rPr>
                  <w:rFonts w:ascii="Cambria Math" w:hAnsi="Cambria Math" w:cs="Arial"/>
                  <w:color w:val="000000" w:themeColor="text1"/>
                  <w:sz w:val="20"/>
                  <w:szCs w:val="20"/>
                </w:rPr>
                <m:t>treatedgroups</m:t>
              </m:r>
            </m:num>
            <m:den>
              <m:d>
                <m:dPr>
                  <m:ctrlPr>
                    <w:rPr>
                      <w:rFonts w:ascii="Cambria Math" w:hAnsi="Arial" w:cs="Arial"/>
                      <w:color w:val="000000" w:themeColor="text1"/>
                      <w:sz w:val="20"/>
                      <w:szCs w:val="20"/>
                    </w:rPr>
                  </m:ctrlPr>
                </m:dPr>
                <m:e>
                  <m:r>
                    <m:rPr>
                      <m:sty m:val="p"/>
                    </m:rPr>
                    <w:rPr>
                      <w:rFonts w:ascii="Cambria Math" w:hAnsi="Arial" w:cs="Arial"/>
                      <w:color w:val="000000" w:themeColor="text1"/>
                      <w:sz w:val="20"/>
                      <w:szCs w:val="20"/>
                    </w:rPr>
                    <m:t>Vt</m:t>
                  </m:r>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Vo</m:t>
                  </m:r>
                </m:e>
              </m:d>
              <m:r>
                <w:rPr>
                  <w:rFonts w:ascii="Cambria Math" w:hAnsi="Cambria Math" w:cs="Arial"/>
                  <w:color w:val="000000" w:themeColor="text1"/>
                  <w:sz w:val="20"/>
                  <w:szCs w:val="20"/>
                </w:rPr>
                <m:t>control</m:t>
              </m:r>
            </m:den>
          </m:f>
          <m:r>
            <m:rPr>
              <m:sty m:val="p"/>
            </m:rPr>
            <w:rPr>
              <w:rFonts w:ascii="Cambria Math" w:hAnsi="Arial" w:cs="Arial"/>
              <w:color w:val="000000" w:themeColor="text1"/>
              <w:sz w:val="20"/>
              <w:szCs w:val="20"/>
            </w:rPr>
            <m:t>x 100</m:t>
          </m:r>
        </m:oMath>
      </m:oMathPara>
    </w:p>
    <w:p w:rsidR="00341D63" w:rsidRDefault="00377729">
      <w:pPr>
        <w:spacing w:after="0" w:line="480" w:lineRule="auto"/>
        <w:rPr>
          <w:rFonts w:ascii="Arial" w:hAnsi="Arial" w:cs="Arial"/>
          <w:bCs/>
          <w:color w:val="000000" w:themeColor="text1"/>
          <w:sz w:val="20"/>
          <w:szCs w:val="20"/>
        </w:rPr>
      </w:pPr>
      <w:r>
        <w:rPr>
          <w:rFonts w:ascii="Arial" w:hAnsi="Arial" w:cs="Arial"/>
          <w:bCs/>
          <w:color w:val="000000" w:themeColor="text1"/>
          <w:sz w:val="20"/>
          <w:szCs w:val="20"/>
        </w:rPr>
        <w:t xml:space="preserve">Where </w:t>
      </w:r>
      <w:proofErr w:type="spellStart"/>
      <w:r>
        <w:rPr>
          <w:rFonts w:ascii="Arial" w:hAnsi="Arial" w:cs="Arial"/>
          <w:bCs/>
          <w:color w:val="000000" w:themeColor="text1"/>
          <w:sz w:val="20"/>
          <w:szCs w:val="20"/>
        </w:rPr>
        <w:t>Vt</w:t>
      </w:r>
      <w:proofErr w:type="spellEnd"/>
      <w:r>
        <w:rPr>
          <w:rFonts w:ascii="Arial" w:hAnsi="Arial" w:cs="Arial"/>
          <w:bCs/>
          <w:color w:val="000000" w:themeColor="text1"/>
          <w:sz w:val="20"/>
          <w:szCs w:val="20"/>
        </w:rPr>
        <w:t xml:space="preserve"> = volume of oedema at time (0.5</w:t>
      </w:r>
      <w:proofErr w:type="gramStart"/>
      <w:r>
        <w:rPr>
          <w:rFonts w:ascii="Arial" w:hAnsi="Arial" w:cs="Arial"/>
          <w:bCs/>
          <w:color w:val="000000" w:themeColor="text1"/>
          <w:sz w:val="20"/>
          <w:szCs w:val="20"/>
        </w:rPr>
        <w:t>,1,2,3,4</w:t>
      </w:r>
      <w:proofErr w:type="gramEnd"/>
      <w:r>
        <w:rPr>
          <w:rFonts w:ascii="Arial" w:hAnsi="Arial" w:cs="Arial"/>
          <w:bCs/>
          <w:color w:val="000000" w:themeColor="text1"/>
          <w:sz w:val="20"/>
          <w:szCs w:val="20"/>
        </w:rPr>
        <w:t xml:space="preserve"> and 5 hours)</w:t>
      </w:r>
    </w:p>
    <w:p w:rsidR="00341D63" w:rsidRDefault="00377729">
      <w:pPr>
        <w:spacing w:after="0" w:line="480" w:lineRule="auto"/>
        <w:rPr>
          <w:rFonts w:ascii="Arial" w:hAnsi="Arial" w:cs="Arial"/>
          <w:bCs/>
          <w:color w:val="000000" w:themeColor="text1"/>
          <w:sz w:val="20"/>
          <w:szCs w:val="20"/>
        </w:rPr>
      </w:pPr>
      <w:r>
        <w:rPr>
          <w:rFonts w:ascii="Arial" w:hAnsi="Arial" w:cs="Arial"/>
          <w:bCs/>
          <w:color w:val="000000" w:themeColor="text1"/>
          <w:sz w:val="20"/>
          <w:szCs w:val="20"/>
        </w:rPr>
        <w:tab/>
      </w:r>
      <w:proofErr w:type="gramStart"/>
      <w:r>
        <w:rPr>
          <w:rFonts w:ascii="Arial" w:hAnsi="Arial" w:cs="Arial"/>
          <w:bCs/>
          <w:color w:val="000000" w:themeColor="text1"/>
          <w:sz w:val="20"/>
          <w:szCs w:val="20"/>
        </w:rPr>
        <w:t>Vo</w:t>
      </w:r>
      <w:proofErr w:type="gramEnd"/>
      <w:r>
        <w:rPr>
          <w:rFonts w:ascii="Arial" w:hAnsi="Arial" w:cs="Arial"/>
          <w:bCs/>
          <w:color w:val="000000" w:themeColor="text1"/>
          <w:sz w:val="20"/>
          <w:szCs w:val="20"/>
        </w:rPr>
        <w:t>= volume of oedema at time zero (initial time)</w:t>
      </w:r>
    </w:p>
    <w:p w:rsidR="00341D63" w:rsidRDefault="00341D63">
      <w:pPr>
        <w:spacing w:after="0" w:line="480" w:lineRule="auto"/>
        <w:rPr>
          <w:rFonts w:ascii="Arial" w:hAnsi="Arial" w:cs="Arial"/>
          <w:bCs/>
          <w:color w:val="000000" w:themeColor="text1"/>
          <w:sz w:val="20"/>
          <w:szCs w:val="20"/>
        </w:rPr>
      </w:pPr>
    </w:p>
    <w:p w:rsidR="00341D63" w:rsidRDefault="00377729">
      <w:pPr>
        <w:spacing w:line="480" w:lineRule="auto"/>
        <w:rPr>
          <w:rFonts w:ascii="Arial" w:hAnsi="Arial" w:cs="Arial"/>
          <w:b/>
          <w:color w:val="000000" w:themeColor="text1"/>
          <w:sz w:val="20"/>
          <w:szCs w:val="20"/>
        </w:rPr>
      </w:pPr>
      <w:bookmarkStart w:id="4" w:name="_Hlk18262147"/>
      <w:r>
        <w:rPr>
          <w:rFonts w:ascii="Arial" w:hAnsi="Arial" w:cs="Arial"/>
          <w:b/>
          <w:color w:val="000000" w:themeColor="text1"/>
          <w:sz w:val="20"/>
          <w:szCs w:val="20"/>
        </w:rPr>
        <w:t>2.3.2 Acetic acid induced writhing in mice</w:t>
      </w:r>
    </w:p>
    <w:bookmarkEnd w:id="4"/>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The method described by </w:t>
      </w:r>
      <w:proofErr w:type="spellStart"/>
      <w:r>
        <w:rPr>
          <w:rFonts w:ascii="Arial" w:hAnsi="Arial" w:cs="Arial"/>
          <w:bCs/>
          <w:color w:val="000000" w:themeColor="text1"/>
          <w:sz w:val="20"/>
          <w:szCs w:val="20"/>
        </w:rPr>
        <w:t>Koster</w:t>
      </w:r>
      <w:proofErr w:type="spellEnd"/>
      <w:r w:rsidR="00DA1C85">
        <w:rPr>
          <w:rFonts w:ascii="Arial" w:hAnsi="Arial" w:cs="Arial"/>
          <w:bCs/>
          <w:color w:val="000000" w:themeColor="text1"/>
          <w:sz w:val="20"/>
          <w:szCs w:val="20"/>
        </w:rPr>
        <w:t xml:space="preserve"> </w:t>
      </w:r>
      <w:r>
        <w:rPr>
          <w:rFonts w:ascii="Arial" w:hAnsi="Arial" w:cs="Arial"/>
          <w:bCs/>
          <w:i/>
          <w:iCs/>
          <w:color w:val="000000" w:themeColor="text1"/>
          <w:sz w:val="20"/>
          <w:szCs w:val="20"/>
        </w:rPr>
        <w:t>et al</w:t>
      </w:r>
      <w:r>
        <w:rPr>
          <w:rFonts w:ascii="Arial" w:hAnsi="Arial" w:cs="Arial"/>
          <w:bCs/>
          <w:color w:val="000000" w:themeColor="text1"/>
          <w:sz w:val="20"/>
          <w:szCs w:val="20"/>
        </w:rPr>
        <w:t xml:space="preserve">. 1959 [16] and Taber </w:t>
      </w:r>
      <w:r>
        <w:rPr>
          <w:rFonts w:ascii="Arial" w:hAnsi="Arial" w:cs="Arial"/>
          <w:bCs/>
          <w:i/>
          <w:iCs/>
          <w:color w:val="000000" w:themeColor="text1"/>
          <w:sz w:val="20"/>
          <w:szCs w:val="20"/>
        </w:rPr>
        <w:t>et al</w:t>
      </w:r>
      <w:r>
        <w:rPr>
          <w:rFonts w:ascii="Arial" w:hAnsi="Arial" w:cs="Arial"/>
          <w:bCs/>
          <w:color w:val="000000" w:themeColor="text1"/>
          <w:sz w:val="20"/>
          <w:szCs w:val="20"/>
        </w:rPr>
        <w:t xml:space="preserve">. 1969 were used.  Twenty mice were fasted for six hours and divided by into five groups of four animals per group for each fraction. Groups </w:t>
      </w:r>
      <w:r>
        <w:rPr>
          <w:rFonts w:ascii="Arial" w:hAnsi="Arial" w:cs="Arial"/>
          <w:bCs/>
          <w:color w:val="000000" w:themeColor="text1"/>
          <w:sz w:val="20"/>
          <w:szCs w:val="20"/>
        </w:rPr>
        <w:lastRenderedPageBreak/>
        <w:t xml:space="preserve">3-5 received the fractions </w:t>
      </w:r>
      <w:proofErr w:type="spellStart"/>
      <w:r>
        <w:rPr>
          <w:rFonts w:ascii="Arial" w:hAnsi="Arial" w:cs="Arial"/>
          <w:bCs/>
          <w:color w:val="000000" w:themeColor="text1"/>
          <w:sz w:val="20"/>
          <w:szCs w:val="20"/>
        </w:rPr>
        <w:t>intraperitoneally</w:t>
      </w:r>
      <w:proofErr w:type="spellEnd"/>
      <w:r>
        <w:rPr>
          <w:rFonts w:ascii="Arial" w:hAnsi="Arial" w:cs="Arial"/>
          <w:bCs/>
          <w:color w:val="000000" w:themeColor="text1"/>
          <w:sz w:val="20"/>
          <w:szCs w:val="20"/>
        </w:rPr>
        <w:t xml:space="preserve"> (100, 200 and 400 mg/kg respectively) while the groups 1 (vehicle control) and 2 (treatment control) received 2 mg /kg </w:t>
      </w:r>
      <w:proofErr w:type="spellStart"/>
      <w:r>
        <w:rPr>
          <w:rFonts w:ascii="Arial" w:hAnsi="Arial" w:cs="Arial"/>
          <w:bCs/>
          <w:color w:val="000000" w:themeColor="text1"/>
          <w:sz w:val="20"/>
          <w:szCs w:val="20"/>
        </w:rPr>
        <w:t>b.w</w:t>
      </w:r>
      <w:proofErr w:type="spellEnd"/>
      <w:r>
        <w:rPr>
          <w:rFonts w:ascii="Arial" w:hAnsi="Arial" w:cs="Arial"/>
          <w:bCs/>
          <w:color w:val="000000" w:themeColor="text1"/>
          <w:sz w:val="20"/>
          <w:szCs w:val="20"/>
        </w:rPr>
        <w:t xml:space="preserve"> of 3% Tween 80 and Indomethacin (10 mg/kg </w:t>
      </w:r>
      <w:proofErr w:type="spellStart"/>
      <w:r>
        <w:rPr>
          <w:rFonts w:ascii="Arial" w:hAnsi="Arial" w:cs="Arial"/>
          <w:bCs/>
          <w:color w:val="000000" w:themeColor="text1"/>
          <w:sz w:val="20"/>
          <w:szCs w:val="20"/>
        </w:rPr>
        <w:t>b.w</w:t>
      </w:r>
      <w:proofErr w:type="spellEnd"/>
      <w:r>
        <w:rPr>
          <w:rFonts w:ascii="Arial" w:hAnsi="Arial" w:cs="Arial"/>
          <w:bCs/>
          <w:color w:val="000000" w:themeColor="text1"/>
          <w:sz w:val="20"/>
          <w:szCs w:val="20"/>
        </w:rPr>
        <w:t xml:space="preserve">) respectively, 30 minutes before administration of  1% acetic acid solution (0.1 ml/kg </w:t>
      </w:r>
      <w:proofErr w:type="spellStart"/>
      <w:r>
        <w:rPr>
          <w:rFonts w:ascii="Arial" w:hAnsi="Arial" w:cs="Arial"/>
          <w:bCs/>
          <w:color w:val="000000" w:themeColor="text1"/>
          <w:sz w:val="20"/>
          <w:szCs w:val="20"/>
        </w:rPr>
        <w:t>i.p</w:t>
      </w:r>
      <w:proofErr w:type="spellEnd"/>
      <w:r>
        <w:rPr>
          <w:rFonts w:ascii="Arial" w:hAnsi="Arial" w:cs="Arial"/>
          <w:bCs/>
          <w:color w:val="000000" w:themeColor="text1"/>
          <w:sz w:val="20"/>
          <w:szCs w:val="20"/>
        </w:rPr>
        <w:t>). The writhes (each of which is characterized by a wave of contraction of abdominal musculature followed by extension of the hind limbs) were counted 5 minutes after acetic acid injection for the period of 20 minutes. The percentage protection against writhing was taken as an index of analgesia and calculated using the following formula:</w:t>
      </w:r>
    </w:p>
    <w:p w:rsidR="00341D63" w:rsidRDefault="00377729">
      <w:pPr>
        <w:spacing w:line="480" w:lineRule="auto"/>
        <w:jc w:val="both"/>
        <w:rPr>
          <w:rFonts w:ascii="Arial" w:hAnsi="Arial" w:cs="Arial"/>
          <w:bCs/>
          <w:color w:val="000000" w:themeColor="text1"/>
          <w:sz w:val="20"/>
          <w:szCs w:val="20"/>
        </w:rPr>
      </w:pPr>
      <m:oMathPara>
        <m:oMath>
          <m:r>
            <m:rPr>
              <m:sty m:val="p"/>
            </m:rPr>
            <w:rPr>
              <w:rFonts w:ascii="Cambria Math" w:hAnsi="Arial" w:cs="Arial"/>
              <w:color w:val="000000" w:themeColor="text1"/>
              <w:sz w:val="20"/>
              <w:szCs w:val="20"/>
            </w:rPr>
            <m:t>% Analgesic activity =</m:t>
          </m:r>
          <m:f>
            <m:fPr>
              <m:ctrlPr>
                <w:rPr>
                  <w:rFonts w:ascii="Cambria Math" w:hAnsi="Arial" w:cs="Arial"/>
                  <w:bCs/>
                  <w:color w:val="000000" w:themeColor="text1"/>
                  <w:sz w:val="20"/>
                  <w:szCs w:val="20"/>
                </w:rPr>
              </m:ctrlPr>
            </m:fPr>
            <m:num>
              <m:r>
                <w:rPr>
                  <w:rFonts w:ascii="Cambria Math" w:hAnsi="Cambria Math" w:cs="Arial"/>
                  <w:color w:val="000000" w:themeColor="text1"/>
                  <w:sz w:val="20"/>
                  <w:szCs w:val="20"/>
                </w:rPr>
                <m:t>Meanwrit</m:t>
              </m:r>
              <m:r>
                <w:rPr>
                  <w:rFonts w:ascii="Arial" w:hAnsi="Cambria Math" w:cs="Arial"/>
                  <w:color w:val="000000" w:themeColor="text1"/>
                  <w:sz w:val="20"/>
                  <w:szCs w:val="20"/>
                </w:rPr>
                <m:t>h</m:t>
              </m:r>
              <m:r>
                <w:rPr>
                  <w:rFonts w:ascii="Cambria Math" w:hAnsi="Cambria Math" w:cs="Arial"/>
                  <w:color w:val="000000" w:themeColor="text1"/>
                  <w:sz w:val="20"/>
                  <w:szCs w:val="20"/>
                </w:rPr>
                <m:t>ingcount</m:t>
              </m:r>
              <m:r>
                <w:rPr>
                  <w:rFonts w:ascii="Cambria Math" w:hAnsi="Arial" w:cs="Arial"/>
                  <w:color w:val="000000" w:themeColor="text1"/>
                  <w:sz w:val="20"/>
                  <w:szCs w:val="20"/>
                </w:rPr>
                <m:t>(</m:t>
              </m:r>
              <m:r>
                <w:rPr>
                  <w:rFonts w:ascii="Cambria Math" w:hAnsi="Cambria Math" w:cs="Arial"/>
                  <w:color w:val="000000" w:themeColor="text1"/>
                  <w:sz w:val="20"/>
                  <w:szCs w:val="20"/>
                </w:rPr>
                <m:t>controlgroup</m:t>
              </m:r>
              <m:r>
                <w:rPr>
                  <w:rFonts w:ascii="Arial" w:hAnsi="Arial" w:cs="Arial"/>
                  <w:color w:val="000000" w:themeColor="text1"/>
                  <w:sz w:val="20"/>
                  <w:szCs w:val="20"/>
                </w:rPr>
                <m:t>-</m:t>
              </m:r>
              <m:r>
                <w:rPr>
                  <w:rFonts w:ascii="Cambria Math" w:hAnsi="Cambria Math" w:cs="Arial"/>
                  <w:color w:val="000000" w:themeColor="text1"/>
                  <w:sz w:val="20"/>
                  <w:szCs w:val="20"/>
                </w:rPr>
                <m:t>treatedgroup</m:t>
              </m:r>
              <m:r>
                <w:rPr>
                  <w:rFonts w:ascii="Cambria Math" w:hAnsi="Arial" w:cs="Arial"/>
                  <w:color w:val="000000" w:themeColor="text1"/>
                  <w:sz w:val="20"/>
                  <w:szCs w:val="20"/>
                </w:rPr>
                <m:t>)</m:t>
              </m:r>
            </m:num>
            <m:den>
              <m:r>
                <m:rPr>
                  <m:sty m:val="p"/>
                </m:rPr>
                <w:rPr>
                  <w:rFonts w:ascii="Cambria Math" w:hAnsi="Arial" w:cs="Arial"/>
                  <w:color w:val="000000" w:themeColor="text1"/>
                  <w:sz w:val="20"/>
                  <w:szCs w:val="20"/>
                </w:rPr>
                <m:t xml:space="preserve">Mean wrthing count of </m:t>
              </m:r>
              <m:r>
                <w:rPr>
                  <w:rFonts w:ascii="Cambria Math" w:hAnsi="Cambria Math" w:cs="Arial"/>
                  <w:color w:val="000000" w:themeColor="text1"/>
                  <w:sz w:val="20"/>
                  <w:szCs w:val="20"/>
                </w:rPr>
                <m:t>controlgroup</m:t>
              </m:r>
            </m:den>
          </m:f>
          <m:r>
            <m:rPr>
              <m:sty m:val="p"/>
            </m:rPr>
            <w:rPr>
              <w:rFonts w:ascii="Cambria Math" w:hAnsi="Arial" w:cs="Arial"/>
              <w:color w:val="000000" w:themeColor="text1"/>
              <w:sz w:val="20"/>
              <w:szCs w:val="20"/>
            </w:rPr>
            <m:t>x 100</m:t>
          </m:r>
        </m:oMath>
      </m:oMathPara>
      <w:bookmarkStart w:id="5" w:name="_Hlk18262329"/>
    </w:p>
    <w:p w:rsidR="00341D63" w:rsidRDefault="00377729">
      <w:pPr>
        <w:spacing w:line="480" w:lineRule="auto"/>
        <w:rPr>
          <w:rFonts w:ascii="Arial" w:hAnsi="Arial" w:cs="Arial"/>
          <w:b/>
          <w:color w:val="000000" w:themeColor="text1"/>
          <w:sz w:val="20"/>
          <w:szCs w:val="20"/>
        </w:rPr>
      </w:pPr>
      <w:proofErr w:type="gramStart"/>
      <w:r>
        <w:rPr>
          <w:rFonts w:ascii="Arial" w:hAnsi="Arial" w:cs="Arial"/>
          <w:b/>
          <w:color w:val="000000" w:themeColor="text1"/>
          <w:sz w:val="20"/>
          <w:szCs w:val="20"/>
        </w:rPr>
        <w:t>2.3.3  Leukocyte</w:t>
      </w:r>
      <w:proofErr w:type="gramEnd"/>
      <w:r>
        <w:rPr>
          <w:rFonts w:ascii="Arial" w:hAnsi="Arial" w:cs="Arial"/>
          <w:b/>
          <w:color w:val="000000" w:themeColor="text1"/>
          <w:sz w:val="20"/>
          <w:szCs w:val="20"/>
        </w:rPr>
        <w:t xml:space="preserve"> mobilization in rats</w:t>
      </w:r>
    </w:p>
    <w:bookmarkEnd w:id="5"/>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The effects of the fractions (n-hexane, ethyl acetate and aqueous-methanol) of the </w:t>
      </w:r>
      <w:r>
        <w:rPr>
          <w:rFonts w:ascii="Arial" w:hAnsi="Arial" w:cs="Arial"/>
          <w:bCs/>
          <w:i/>
          <w:iCs/>
          <w:color w:val="000000" w:themeColor="text1"/>
          <w:sz w:val="20"/>
          <w:szCs w:val="20"/>
        </w:rPr>
        <w:t xml:space="preserve">H. </w:t>
      </w:r>
      <w:proofErr w:type="spellStart"/>
      <w:r>
        <w:rPr>
          <w:rFonts w:ascii="Arial" w:hAnsi="Arial" w:cs="Arial"/>
          <w:bCs/>
          <w:i/>
          <w:iCs/>
          <w:color w:val="000000" w:themeColor="text1"/>
          <w:sz w:val="20"/>
          <w:szCs w:val="20"/>
        </w:rPr>
        <w:t>madagascariensis</w:t>
      </w:r>
      <w:proofErr w:type="spellEnd"/>
      <w:r w:rsidR="00E85168">
        <w:rPr>
          <w:rFonts w:ascii="Arial" w:hAnsi="Arial" w:cs="Arial"/>
          <w:bCs/>
          <w:i/>
          <w:iCs/>
          <w:color w:val="000000" w:themeColor="text1"/>
          <w:sz w:val="20"/>
          <w:szCs w:val="20"/>
        </w:rPr>
        <w:t xml:space="preserve"> </w:t>
      </w:r>
      <w:r>
        <w:rPr>
          <w:rFonts w:ascii="Arial" w:hAnsi="Arial" w:cs="Arial"/>
          <w:bCs/>
          <w:color w:val="000000" w:themeColor="text1"/>
          <w:sz w:val="20"/>
          <w:szCs w:val="20"/>
        </w:rPr>
        <w:t xml:space="preserve">leaf on </w:t>
      </w:r>
      <w:r>
        <w:rPr>
          <w:rFonts w:ascii="Arial" w:hAnsi="Arial" w:cs="Arial"/>
          <w:bCs/>
          <w:i/>
          <w:iCs/>
          <w:color w:val="000000" w:themeColor="text1"/>
          <w:sz w:val="20"/>
          <w:szCs w:val="20"/>
        </w:rPr>
        <w:t>in vivo</w:t>
      </w:r>
      <w:r>
        <w:rPr>
          <w:rFonts w:ascii="Arial" w:hAnsi="Arial" w:cs="Arial"/>
          <w:bCs/>
          <w:color w:val="000000" w:themeColor="text1"/>
          <w:sz w:val="20"/>
          <w:szCs w:val="20"/>
        </w:rPr>
        <w:t xml:space="preserve"> leukocyte mobilization induced by inflammatory stimulus (agar) were investigated using the method of </w:t>
      </w:r>
      <w:proofErr w:type="spellStart"/>
      <w:r>
        <w:rPr>
          <w:rFonts w:ascii="Arial" w:hAnsi="Arial" w:cs="Arial"/>
          <w:bCs/>
          <w:color w:val="000000" w:themeColor="text1"/>
          <w:sz w:val="20"/>
          <w:szCs w:val="20"/>
        </w:rPr>
        <w:t>Rebeiro</w:t>
      </w:r>
      <w:proofErr w:type="spellEnd"/>
      <w:r w:rsidR="00E85168">
        <w:rPr>
          <w:rFonts w:ascii="Arial" w:hAnsi="Arial" w:cs="Arial"/>
          <w:bCs/>
          <w:color w:val="000000" w:themeColor="text1"/>
          <w:sz w:val="20"/>
          <w:szCs w:val="20"/>
        </w:rPr>
        <w:t xml:space="preserve"> </w:t>
      </w:r>
      <w:r>
        <w:rPr>
          <w:rFonts w:ascii="Arial" w:hAnsi="Arial" w:cs="Arial"/>
          <w:bCs/>
          <w:i/>
          <w:iCs/>
          <w:color w:val="000000" w:themeColor="text1"/>
          <w:sz w:val="20"/>
          <w:szCs w:val="20"/>
        </w:rPr>
        <w:t>et al</w:t>
      </w:r>
      <w:r>
        <w:rPr>
          <w:rFonts w:ascii="Arial" w:hAnsi="Arial" w:cs="Arial"/>
          <w:bCs/>
          <w:color w:val="000000" w:themeColor="text1"/>
          <w:sz w:val="20"/>
          <w:szCs w:val="20"/>
        </w:rPr>
        <w:t xml:space="preserve">. 1991. </w:t>
      </w:r>
      <w:proofErr w:type="spellStart"/>
      <w:r>
        <w:rPr>
          <w:rFonts w:ascii="Arial" w:hAnsi="Arial" w:cs="Arial"/>
          <w:bCs/>
          <w:color w:val="000000" w:themeColor="text1"/>
          <w:sz w:val="20"/>
          <w:szCs w:val="20"/>
        </w:rPr>
        <w:t>Wistar</w:t>
      </w:r>
      <w:proofErr w:type="spellEnd"/>
      <w:r>
        <w:rPr>
          <w:rFonts w:ascii="Arial" w:hAnsi="Arial" w:cs="Arial"/>
          <w:bCs/>
          <w:color w:val="000000" w:themeColor="text1"/>
          <w:sz w:val="20"/>
          <w:szCs w:val="20"/>
        </w:rPr>
        <w:t xml:space="preserve"> rats of either sex divided into five groups of four rats each were used for each fraction. Group 1 (control) was administered 2 ml of 3% tween 80, group 2, 3 and 4 was administered 100, 200 and 400 mg/kg of the different fractions respectively while group 5 received 10 mg/kg </w:t>
      </w:r>
      <w:proofErr w:type="spellStart"/>
      <w:r>
        <w:rPr>
          <w:rFonts w:ascii="Arial" w:hAnsi="Arial" w:cs="Arial"/>
          <w:bCs/>
          <w:color w:val="000000" w:themeColor="text1"/>
          <w:sz w:val="20"/>
          <w:szCs w:val="20"/>
        </w:rPr>
        <w:t>b.w</w:t>
      </w:r>
      <w:proofErr w:type="spellEnd"/>
      <w:r>
        <w:rPr>
          <w:rFonts w:ascii="Arial" w:hAnsi="Arial" w:cs="Arial"/>
          <w:bCs/>
          <w:color w:val="000000" w:themeColor="text1"/>
          <w:sz w:val="20"/>
          <w:szCs w:val="20"/>
        </w:rPr>
        <w:t xml:space="preserve"> of indomethacin. Each rat in the groups received intraperitoneal injection of 05 ml of 3% (w/v) agar in normal saline one hour after oral administration of the test substance. The rats were sacrificed four hours after agar injection and their peritonea washed with 5 ml </w:t>
      </w:r>
      <w:bookmarkStart w:id="6" w:name="_Hlk18304351"/>
      <w:r>
        <w:rPr>
          <w:rFonts w:ascii="Arial" w:hAnsi="Arial" w:cs="Arial"/>
          <w:bCs/>
          <w:color w:val="000000" w:themeColor="text1"/>
          <w:sz w:val="20"/>
          <w:szCs w:val="20"/>
        </w:rPr>
        <w:t xml:space="preserve">phosphate buffered saline </w:t>
      </w:r>
      <w:bookmarkEnd w:id="6"/>
      <w:r>
        <w:rPr>
          <w:rFonts w:ascii="Arial" w:hAnsi="Arial" w:cs="Arial"/>
          <w:bCs/>
          <w:color w:val="000000" w:themeColor="text1"/>
          <w:sz w:val="20"/>
          <w:szCs w:val="20"/>
        </w:rPr>
        <w:t>(</w:t>
      </w:r>
      <w:bookmarkStart w:id="7" w:name="_Hlk18304334"/>
      <w:r>
        <w:rPr>
          <w:rFonts w:ascii="Arial" w:hAnsi="Arial" w:cs="Arial"/>
          <w:bCs/>
          <w:color w:val="000000" w:themeColor="text1"/>
          <w:sz w:val="20"/>
          <w:szCs w:val="20"/>
        </w:rPr>
        <w:t>PBS</w:t>
      </w:r>
      <w:bookmarkEnd w:id="7"/>
      <w:r>
        <w:rPr>
          <w:rFonts w:ascii="Arial" w:hAnsi="Arial" w:cs="Arial"/>
          <w:bCs/>
          <w:color w:val="000000" w:themeColor="text1"/>
          <w:sz w:val="20"/>
          <w:szCs w:val="20"/>
        </w:rPr>
        <w:t xml:space="preserve">) containing 0.5 ml of 10 % EDTA. The peritoneal fluid was recovered and used for evaluation of total and differential leukocyte count (TLC and DLC) on the </w:t>
      </w:r>
      <w:proofErr w:type="spellStart"/>
      <w:r>
        <w:rPr>
          <w:rFonts w:ascii="Arial" w:hAnsi="Arial" w:cs="Arial"/>
          <w:bCs/>
          <w:color w:val="000000" w:themeColor="text1"/>
          <w:sz w:val="20"/>
          <w:szCs w:val="20"/>
        </w:rPr>
        <w:t>perfusates</w:t>
      </w:r>
      <w:proofErr w:type="spellEnd"/>
      <w:r>
        <w:rPr>
          <w:rFonts w:ascii="Arial" w:hAnsi="Arial" w:cs="Arial"/>
          <w:bCs/>
          <w:color w:val="000000" w:themeColor="text1"/>
          <w:sz w:val="20"/>
          <w:szCs w:val="20"/>
        </w:rPr>
        <w:t xml:space="preserve"> after staining with </w:t>
      </w:r>
      <w:proofErr w:type="spellStart"/>
      <w:r>
        <w:rPr>
          <w:rFonts w:ascii="Arial" w:hAnsi="Arial" w:cs="Arial"/>
          <w:bCs/>
          <w:color w:val="000000" w:themeColor="text1"/>
          <w:sz w:val="20"/>
          <w:szCs w:val="20"/>
        </w:rPr>
        <w:t>Leishmannʼs</w:t>
      </w:r>
      <w:proofErr w:type="spellEnd"/>
      <w:r>
        <w:rPr>
          <w:rFonts w:ascii="Arial" w:hAnsi="Arial" w:cs="Arial"/>
          <w:bCs/>
          <w:color w:val="000000" w:themeColor="text1"/>
          <w:sz w:val="20"/>
          <w:szCs w:val="20"/>
        </w:rPr>
        <w:t xml:space="preserve"> stain. The percent inhibition of leukocyte migration was calculated the following formula:</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Percentage </w:t>
      </w:r>
      <m:oMath>
        <m:r>
          <m:rPr>
            <m:sty m:val="p"/>
          </m:rPr>
          <w:rPr>
            <w:rFonts w:ascii="Cambria Math" w:hAnsi="Arial" w:cs="Arial"/>
            <w:color w:val="000000" w:themeColor="text1"/>
            <w:sz w:val="20"/>
            <w:szCs w:val="20"/>
          </w:rPr>
          <m:t>% leukocyte inhibition=1(</m:t>
        </m:r>
        <m:f>
          <m:fPr>
            <m:ctrlPr>
              <w:rPr>
                <w:rFonts w:ascii="Cambria Math" w:hAnsi="Arial" w:cs="Arial"/>
                <w:bCs/>
                <w:color w:val="000000" w:themeColor="text1"/>
                <w:sz w:val="20"/>
                <w:szCs w:val="20"/>
              </w:rPr>
            </m:ctrlPr>
          </m:fPr>
          <m:num>
            <m:r>
              <w:rPr>
                <w:rFonts w:ascii="Cambria Math" w:hAnsi="Cambria Math" w:cs="Arial"/>
                <w:color w:val="000000" w:themeColor="text1"/>
                <w:sz w:val="20"/>
                <w:szCs w:val="20"/>
              </w:rPr>
              <m:t>T</m:t>
            </m:r>
          </m:num>
          <m:den>
            <m:r>
              <w:rPr>
                <w:rFonts w:ascii="Cambria Math" w:hAnsi="Cambria Math" w:cs="Arial"/>
                <w:color w:val="000000" w:themeColor="text1"/>
                <w:sz w:val="20"/>
                <w:szCs w:val="20"/>
              </w:rPr>
              <m:t>C</m:t>
            </m:r>
          </m:den>
        </m:f>
        <m:r>
          <m:rPr>
            <m:sty m:val="p"/>
          </m:rPr>
          <w:rPr>
            <w:rFonts w:ascii="Cambria Math" w:hAnsi="Arial" w:cs="Arial"/>
            <w:color w:val="000000" w:themeColor="text1"/>
            <w:sz w:val="20"/>
            <w:szCs w:val="20"/>
          </w:rPr>
          <m:t>)x 100</m:t>
        </m:r>
      </m:oMath>
    </w:p>
    <w:p w:rsidR="00341D63" w:rsidRDefault="00377729">
      <w:pPr>
        <w:spacing w:line="480" w:lineRule="auto"/>
        <w:rPr>
          <w:rFonts w:ascii="Arial" w:hAnsi="Arial" w:cs="Arial"/>
          <w:color w:val="000000" w:themeColor="text1"/>
          <w:sz w:val="20"/>
          <w:szCs w:val="20"/>
        </w:rPr>
      </w:pPr>
      <w:r>
        <w:rPr>
          <w:rFonts w:ascii="Arial" w:hAnsi="Arial" w:cs="Arial"/>
          <w:color w:val="000000" w:themeColor="text1"/>
          <w:sz w:val="20"/>
          <w:szCs w:val="20"/>
        </w:rPr>
        <w:t>Where T represents the leukocyte count of the treated group and C represent the leukocyte count of the control group.</w:t>
      </w:r>
    </w:p>
    <w:p w:rsidR="00341D63" w:rsidRDefault="00341D63">
      <w:pPr>
        <w:spacing w:line="480" w:lineRule="auto"/>
        <w:rPr>
          <w:rFonts w:ascii="Arial" w:hAnsi="Arial" w:cs="Arial"/>
          <w:color w:val="000000" w:themeColor="text1"/>
          <w:sz w:val="20"/>
          <w:szCs w:val="20"/>
        </w:rPr>
      </w:pPr>
    </w:p>
    <w:p w:rsidR="00341D63" w:rsidRDefault="00341D63">
      <w:pPr>
        <w:spacing w:line="480" w:lineRule="auto"/>
        <w:rPr>
          <w:rFonts w:ascii="Arial" w:hAnsi="Arial" w:cs="Arial"/>
          <w:color w:val="000000" w:themeColor="text1"/>
          <w:sz w:val="20"/>
          <w:szCs w:val="20"/>
        </w:rPr>
      </w:pPr>
    </w:p>
    <w:p w:rsidR="00341D63" w:rsidRDefault="00377729">
      <w:pPr>
        <w:spacing w:line="480" w:lineRule="auto"/>
        <w:rPr>
          <w:rFonts w:ascii="Arial" w:hAnsi="Arial" w:cs="Arial"/>
          <w:b/>
          <w:bCs/>
          <w:color w:val="000000" w:themeColor="text1"/>
          <w:sz w:val="20"/>
          <w:szCs w:val="20"/>
        </w:rPr>
      </w:pPr>
      <w:bookmarkStart w:id="8" w:name="_Hlk18262373"/>
      <w:proofErr w:type="gramStart"/>
      <w:r>
        <w:rPr>
          <w:rFonts w:ascii="Arial" w:hAnsi="Arial" w:cs="Arial"/>
          <w:b/>
          <w:bCs/>
          <w:color w:val="000000" w:themeColor="text1"/>
          <w:sz w:val="20"/>
          <w:szCs w:val="20"/>
        </w:rPr>
        <w:lastRenderedPageBreak/>
        <w:t>2.3.4  Cotton</w:t>
      </w:r>
      <w:proofErr w:type="gramEnd"/>
      <w:r>
        <w:rPr>
          <w:rFonts w:ascii="Arial" w:hAnsi="Arial" w:cs="Arial"/>
          <w:b/>
          <w:bCs/>
          <w:color w:val="000000" w:themeColor="text1"/>
          <w:sz w:val="20"/>
          <w:szCs w:val="20"/>
        </w:rPr>
        <w:t xml:space="preserve"> pellet induced granuloma test in rats</w:t>
      </w:r>
    </w:p>
    <w:bookmarkEnd w:id="8"/>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The effect of </w:t>
      </w:r>
      <w:r>
        <w:rPr>
          <w:rFonts w:ascii="Arial" w:hAnsi="Arial" w:cs="Arial"/>
          <w:bCs/>
          <w:i/>
          <w:iCs/>
          <w:color w:val="000000" w:themeColor="text1"/>
          <w:sz w:val="20"/>
          <w:szCs w:val="20"/>
        </w:rPr>
        <w:t xml:space="preserve">H. </w:t>
      </w:r>
      <w:proofErr w:type="spellStart"/>
      <w:r>
        <w:rPr>
          <w:rFonts w:ascii="Arial" w:hAnsi="Arial" w:cs="Arial"/>
          <w:bCs/>
          <w:i/>
          <w:iCs/>
          <w:color w:val="000000" w:themeColor="text1"/>
          <w:sz w:val="20"/>
          <w:szCs w:val="20"/>
        </w:rPr>
        <w:t>madagascariensis</w:t>
      </w:r>
      <w:r>
        <w:rPr>
          <w:rFonts w:ascii="Arial" w:hAnsi="Arial" w:cs="Arial"/>
          <w:bCs/>
          <w:color w:val="000000" w:themeColor="text1"/>
          <w:sz w:val="20"/>
          <w:szCs w:val="20"/>
        </w:rPr>
        <w:t>leaf</w:t>
      </w:r>
      <w:proofErr w:type="spellEnd"/>
      <w:r>
        <w:rPr>
          <w:rFonts w:ascii="Arial" w:hAnsi="Arial" w:cs="Arial"/>
          <w:bCs/>
          <w:color w:val="000000" w:themeColor="text1"/>
          <w:sz w:val="20"/>
          <w:szCs w:val="20"/>
        </w:rPr>
        <w:t xml:space="preserve"> on chronic inflammation was evaluated using cotton-pellet granuloma in rats according to the method of </w:t>
      </w:r>
      <w:proofErr w:type="spellStart"/>
      <w:r>
        <w:rPr>
          <w:rFonts w:ascii="Arial" w:eastAsia="Times New Roman" w:hAnsi="Arial" w:cs="Arial"/>
          <w:color w:val="000000" w:themeColor="text1"/>
          <w:sz w:val="20"/>
          <w:szCs w:val="20"/>
        </w:rPr>
        <w:t>Mosquera</w:t>
      </w:r>
      <w:proofErr w:type="spellEnd"/>
      <w:r>
        <w:rPr>
          <w:rFonts w:ascii="Arial" w:eastAsia="Times New Roman" w:hAnsi="Arial" w:cs="Arial"/>
          <w:color w:val="000000" w:themeColor="text1"/>
          <w:sz w:val="20"/>
          <w:szCs w:val="20"/>
        </w:rPr>
        <w:t xml:space="preserve"> </w:t>
      </w:r>
      <w:r>
        <w:rPr>
          <w:rFonts w:ascii="Arial" w:hAnsi="Arial" w:cs="Arial"/>
          <w:bCs/>
          <w:i/>
          <w:iCs/>
          <w:color w:val="000000" w:themeColor="text1"/>
          <w:sz w:val="20"/>
          <w:szCs w:val="20"/>
        </w:rPr>
        <w:t>et al</w:t>
      </w:r>
      <w:r>
        <w:rPr>
          <w:rFonts w:ascii="Arial" w:hAnsi="Arial" w:cs="Arial"/>
          <w:bCs/>
          <w:color w:val="000000" w:themeColor="text1"/>
          <w:sz w:val="20"/>
          <w:szCs w:val="20"/>
        </w:rPr>
        <w:t xml:space="preserve">. 2011. For each of the fraction, twenty (20) adult </w:t>
      </w:r>
      <w:proofErr w:type="spellStart"/>
      <w:r>
        <w:rPr>
          <w:rFonts w:ascii="Arial" w:hAnsi="Arial" w:cs="Arial"/>
          <w:bCs/>
          <w:color w:val="000000" w:themeColor="text1"/>
          <w:sz w:val="20"/>
          <w:szCs w:val="20"/>
        </w:rPr>
        <w:t>Wistar</w:t>
      </w:r>
      <w:proofErr w:type="spellEnd"/>
      <w:r>
        <w:rPr>
          <w:rFonts w:ascii="Arial" w:hAnsi="Arial" w:cs="Arial"/>
          <w:bCs/>
          <w:color w:val="000000" w:themeColor="text1"/>
          <w:sz w:val="20"/>
          <w:szCs w:val="20"/>
        </w:rPr>
        <w:t xml:space="preserve"> rats of either sex (120-200g) were divided into five groups of four rats each. On day 1(one), groups 2, 3 and 4 of the rats received orally graded doses of (100, 200 and 400 mg/kg) of the fractions respectively. The control and reference groups (1 and 5 respectively) received equivalent volume of 3% tween 80 and indomethacin (10 mg/kg) respectively. Thirty minutes later, two autoclaved cotton pellets were aseptically implanted under the skin of previously shaved back of anaesthetised rats. The fraction doses, vehicle and reference were administered once daily for the following seven (7) days. On the 8 day, the animals were killed by overdose of ether and the pellets dissected out from the extraneous tissues. The wet pellets were weighed and dried in a hot air oven overnight at 40 </w:t>
      </w:r>
      <w:proofErr w:type="spellStart"/>
      <w:r>
        <w:rPr>
          <w:rFonts w:ascii="Arial" w:hAnsi="Arial" w:cs="Arial"/>
          <w:bCs/>
          <w:color w:val="000000" w:themeColor="text1"/>
          <w:sz w:val="20"/>
          <w:szCs w:val="20"/>
          <w:vertAlign w:val="superscript"/>
        </w:rPr>
        <w:t>o</w:t>
      </w:r>
      <w:r>
        <w:rPr>
          <w:rFonts w:ascii="Arial" w:hAnsi="Arial" w:cs="Arial"/>
          <w:bCs/>
          <w:color w:val="000000" w:themeColor="text1"/>
          <w:sz w:val="20"/>
          <w:szCs w:val="20"/>
        </w:rPr>
        <w:t>C.</w:t>
      </w:r>
      <w:proofErr w:type="spellEnd"/>
      <w:r>
        <w:rPr>
          <w:rFonts w:ascii="Arial" w:hAnsi="Arial" w:cs="Arial"/>
          <w:bCs/>
          <w:color w:val="000000" w:themeColor="text1"/>
          <w:sz w:val="20"/>
          <w:szCs w:val="20"/>
        </w:rPr>
        <w:t xml:space="preserve"> The dried pellets were weighed and increases in the dry weight of the pellets were taken as a measure of the granuloma tissue formed around each pellet. </w:t>
      </w:r>
    </w:p>
    <w:p w:rsidR="00341D63" w:rsidRDefault="00377729">
      <w:pPr>
        <w:spacing w:after="0" w:line="480" w:lineRule="auto"/>
        <w:rPr>
          <w:rFonts w:ascii="Arial" w:hAnsi="Arial" w:cs="Arial"/>
          <w:color w:val="000000" w:themeColor="text1"/>
          <w:sz w:val="20"/>
          <w:szCs w:val="20"/>
        </w:rPr>
      </w:pPr>
      <w:r>
        <w:rPr>
          <w:rFonts w:ascii="Arial" w:hAnsi="Arial" w:cs="Arial"/>
          <w:bCs/>
          <w:color w:val="000000" w:themeColor="text1"/>
          <w:sz w:val="20"/>
          <w:szCs w:val="20"/>
        </w:rPr>
        <w:t xml:space="preserve">The level of granuloma tissue formation was calculated thus: </w:t>
      </w:r>
      <w:r>
        <w:rPr>
          <w:rFonts w:ascii="Arial" w:hAnsi="Arial" w:cs="Arial"/>
          <w:color w:val="000000" w:themeColor="text1"/>
          <w:sz w:val="20"/>
          <w:szCs w:val="20"/>
        </w:rPr>
        <w:br/>
      </w:r>
    </w:p>
    <w:p w:rsidR="00341D63" w:rsidRDefault="00377729">
      <w:pPr>
        <w:spacing w:after="0" w:line="480" w:lineRule="auto"/>
        <w:rPr>
          <w:rFonts w:ascii="Arial" w:hAnsi="Arial" w:cs="Arial"/>
          <w:color w:val="000000" w:themeColor="text1"/>
          <w:sz w:val="20"/>
          <w:szCs w:val="20"/>
        </w:rPr>
      </w:pPr>
      <m:oMath>
        <m:r>
          <m:rPr>
            <m:sty m:val="p"/>
          </m:rPr>
          <w:rPr>
            <w:rFonts w:ascii="Cambria Math" w:hAnsi="Arial" w:cs="Arial"/>
            <w:color w:val="000000" w:themeColor="text1"/>
            <w:sz w:val="20"/>
            <w:szCs w:val="20"/>
          </w:rPr>
          <m:t>(</m:t>
        </m:r>
        <m:f>
          <m:fPr>
            <m:ctrlPr>
              <w:rPr>
                <w:rFonts w:ascii="Cambria Math" w:hAnsi="Arial" w:cs="Arial"/>
                <w:bCs/>
                <w:color w:val="000000" w:themeColor="text1"/>
                <w:sz w:val="20"/>
                <w:szCs w:val="20"/>
              </w:rPr>
            </m:ctrlPr>
          </m:fPr>
          <m:num>
            <m:r>
              <w:rPr>
                <w:rFonts w:ascii="Cambria Math" w:hAnsi="Cambria Math" w:cs="Arial"/>
                <w:color w:val="000000" w:themeColor="text1"/>
                <w:sz w:val="20"/>
                <w:szCs w:val="20"/>
              </w:rPr>
              <m:t>Tc</m:t>
            </m:r>
            <m:r>
              <w:rPr>
                <w:rFonts w:ascii="Arial" w:hAnsi="Arial" w:cs="Arial"/>
                <w:color w:val="000000" w:themeColor="text1"/>
                <w:sz w:val="20"/>
                <w:szCs w:val="20"/>
              </w:rPr>
              <m:t>-</m:t>
            </m:r>
            <m:r>
              <w:rPr>
                <w:rFonts w:ascii="Cambria Math" w:hAnsi="Cambria Math" w:cs="Arial"/>
                <w:color w:val="000000" w:themeColor="text1"/>
                <w:sz w:val="20"/>
                <w:szCs w:val="20"/>
              </w:rPr>
              <m:t>Tt</m:t>
            </m:r>
          </m:num>
          <m:den>
            <m:r>
              <w:rPr>
                <w:rFonts w:ascii="Cambria Math" w:hAnsi="Cambria Math" w:cs="Arial"/>
                <w:color w:val="000000" w:themeColor="text1"/>
                <w:sz w:val="20"/>
                <w:szCs w:val="20"/>
              </w:rPr>
              <m:t>TC</m:t>
            </m:r>
          </m:den>
        </m:f>
        <m:r>
          <m:rPr>
            <m:sty m:val="p"/>
          </m:rPr>
          <w:rPr>
            <w:rFonts w:ascii="Cambria Math" w:hAnsi="Arial" w:cs="Arial"/>
            <w:color w:val="000000" w:themeColor="text1"/>
            <w:sz w:val="20"/>
            <w:szCs w:val="20"/>
          </w:rPr>
          <m:t>)x 100</m:t>
        </m:r>
      </m:oMath>
      <w:r>
        <w:rPr>
          <w:rFonts w:ascii="Arial" w:hAnsi="Arial" w:cs="Arial"/>
          <w:color w:val="000000" w:themeColor="text1"/>
          <w:sz w:val="20"/>
          <w:szCs w:val="20"/>
        </w:rPr>
        <w:t xml:space="preserve"> = level of granuloma tissue.</w:t>
      </w:r>
    </w:p>
    <w:p w:rsidR="00341D63" w:rsidRDefault="00377729">
      <w:pPr>
        <w:spacing w:after="0" w:line="480" w:lineRule="auto"/>
        <w:rPr>
          <w:rFonts w:ascii="Arial" w:hAnsi="Arial" w:cs="Arial"/>
          <w:color w:val="000000" w:themeColor="text1"/>
          <w:sz w:val="20"/>
          <w:szCs w:val="20"/>
        </w:rPr>
      </w:pPr>
      <w:r>
        <w:rPr>
          <w:rFonts w:ascii="Arial" w:hAnsi="Arial" w:cs="Arial"/>
          <w:color w:val="000000" w:themeColor="text1"/>
          <w:sz w:val="20"/>
          <w:szCs w:val="20"/>
        </w:rPr>
        <w:t>Where Tc represent weight of granuloma tissue of control group</w:t>
      </w:r>
    </w:p>
    <w:p w:rsidR="00341D63" w:rsidRDefault="00377729">
      <w:pPr>
        <w:spacing w:after="0" w:line="480" w:lineRule="auto"/>
        <w:rPr>
          <w:rFonts w:ascii="Arial" w:hAnsi="Arial" w:cs="Arial"/>
          <w:color w:val="000000" w:themeColor="text1"/>
          <w:sz w:val="20"/>
          <w:szCs w:val="20"/>
        </w:rPr>
      </w:pPr>
      <w:r>
        <w:rPr>
          <w:rFonts w:ascii="Arial" w:hAnsi="Arial" w:cs="Arial"/>
          <w:color w:val="000000" w:themeColor="text1"/>
          <w:sz w:val="20"/>
          <w:szCs w:val="20"/>
        </w:rPr>
        <w:tab/>
        <w:t>Tt represent weight of tissue of treated group.</w:t>
      </w:r>
    </w:p>
    <w:p w:rsidR="00341D63" w:rsidRDefault="00341D63">
      <w:pPr>
        <w:spacing w:after="0" w:line="480" w:lineRule="auto"/>
        <w:rPr>
          <w:rFonts w:ascii="Arial" w:hAnsi="Arial" w:cs="Arial"/>
          <w:color w:val="000000" w:themeColor="text1"/>
          <w:sz w:val="20"/>
          <w:szCs w:val="20"/>
        </w:rPr>
      </w:pPr>
    </w:p>
    <w:p w:rsidR="00341D63" w:rsidRDefault="00377729">
      <w:pPr>
        <w:spacing w:after="0" w:line="480" w:lineRule="auto"/>
        <w:rPr>
          <w:rFonts w:ascii="Arial" w:hAnsi="Arial" w:cs="Arial"/>
          <w:b/>
          <w:bCs/>
          <w:color w:val="000000" w:themeColor="text1"/>
          <w:sz w:val="20"/>
          <w:szCs w:val="20"/>
        </w:rPr>
      </w:pPr>
      <w:bookmarkStart w:id="9" w:name="_Hlk18262421"/>
      <w:r>
        <w:rPr>
          <w:rFonts w:ascii="Arial" w:hAnsi="Arial" w:cs="Arial"/>
          <w:b/>
          <w:bCs/>
          <w:color w:val="000000" w:themeColor="text1"/>
          <w:sz w:val="20"/>
          <w:szCs w:val="20"/>
        </w:rPr>
        <w:t>2.3.4 Determination of phospholipase A</w:t>
      </w:r>
      <w:r>
        <w:rPr>
          <w:rFonts w:ascii="Arial" w:hAnsi="Arial" w:cs="Arial"/>
          <w:b/>
          <w:bCs/>
          <w:color w:val="000000" w:themeColor="text1"/>
          <w:sz w:val="20"/>
          <w:szCs w:val="20"/>
          <w:vertAlign w:val="subscript"/>
        </w:rPr>
        <w:t>2</w:t>
      </w:r>
      <w:r>
        <w:rPr>
          <w:rFonts w:ascii="Arial" w:hAnsi="Arial" w:cs="Arial"/>
          <w:b/>
          <w:bCs/>
          <w:color w:val="000000" w:themeColor="text1"/>
          <w:sz w:val="20"/>
          <w:szCs w:val="20"/>
        </w:rPr>
        <w:t xml:space="preserve"> activity</w:t>
      </w:r>
    </w:p>
    <w:bookmarkEnd w:id="9"/>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The preparation of phospholipase A</w:t>
      </w:r>
      <w:r>
        <w:rPr>
          <w:rFonts w:ascii="Arial" w:hAnsi="Arial" w:cs="Arial"/>
          <w:bCs/>
          <w:color w:val="000000" w:themeColor="text1"/>
          <w:sz w:val="20"/>
          <w:szCs w:val="20"/>
          <w:vertAlign w:val="subscript"/>
        </w:rPr>
        <w:t>2</w:t>
      </w:r>
      <w:r>
        <w:rPr>
          <w:rFonts w:ascii="Arial" w:hAnsi="Arial" w:cs="Arial"/>
          <w:bCs/>
          <w:color w:val="000000" w:themeColor="text1"/>
          <w:sz w:val="20"/>
          <w:szCs w:val="20"/>
        </w:rPr>
        <w:t xml:space="preserve"> from </w:t>
      </w:r>
      <w:r>
        <w:rPr>
          <w:rFonts w:ascii="Arial" w:hAnsi="Arial" w:cs="Arial"/>
          <w:bCs/>
          <w:i/>
          <w:iCs/>
          <w:color w:val="000000" w:themeColor="text1"/>
          <w:sz w:val="20"/>
          <w:szCs w:val="20"/>
        </w:rPr>
        <w:t xml:space="preserve">Aspergillus </w:t>
      </w:r>
      <w:proofErr w:type="spellStart"/>
      <w:proofErr w:type="gramStart"/>
      <w:r>
        <w:rPr>
          <w:rFonts w:ascii="Arial" w:hAnsi="Arial" w:cs="Arial"/>
          <w:bCs/>
          <w:i/>
          <w:iCs/>
          <w:color w:val="000000" w:themeColor="text1"/>
          <w:sz w:val="20"/>
          <w:szCs w:val="20"/>
        </w:rPr>
        <w:t>niger</w:t>
      </w:r>
      <w:proofErr w:type="spellEnd"/>
      <w:proofErr w:type="gramEnd"/>
      <w:r>
        <w:rPr>
          <w:rFonts w:ascii="Arial" w:hAnsi="Arial" w:cs="Arial"/>
          <w:bCs/>
          <w:color w:val="000000" w:themeColor="text1"/>
          <w:sz w:val="20"/>
          <w:szCs w:val="20"/>
        </w:rPr>
        <w:t xml:space="preserve"> and assay of the effects of the on its activity was performed using the method of Vane 1971.</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Fresh whole blood (5 ml) each was collected from healthy volunteers who were free from drugs for at least two weeks, the blood was centrifuged at 3000 rpm for 10 minutes and the supernatant (plasma) was discarded. The red cells obtained were re-suspended in a volume of normal saline equal to that of plasma, re-centrifuged at 3000 rpm for 10 minutes and the supernatant discarded. The red cells were reconstituted as a 40 % (v/v) suspension with isotonic buffer solution (10 </w:t>
      </w:r>
      <w:proofErr w:type="spellStart"/>
      <w:r>
        <w:rPr>
          <w:rFonts w:ascii="Arial" w:hAnsi="Arial" w:cs="Arial"/>
          <w:bCs/>
          <w:color w:val="000000" w:themeColor="text1"/>
          <w:sz w:val="20"/>
          <w:szCs w:val="20"/>
        </w:rPr>
        <w:t>mM</w:t>
      </w:r>
      <w:proofErr w:type="spellEnd"/>
      <w:r>
        <w:rPr>
          <w:rFonts w:ascii="Arial" w:hAnsi="Arial" w:cs="Arial"/>
          <w:bCs/>
          <w:color w:val="000000" w:themeColor="text1"/>
          <w:sz w:val="20"/>
          <w:szCs w:val="20"/>
        </w:rPr>
        <w:t xml:space="preserve"> sodium phosphate buffer pH 7.4) and this served as the substrate for phospholipase.</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lastRenderedPageBreak/>
        <w:t xml:space="preserve">Fungal enzyme preparation was obtained from </w:t>
      </w:r>
      <w:r>
        <w:rPr>
          <w:rFonts w:ascii="Arial" w:hAnsi="Arial" w:cs="Arial"/>
          <w:bCs/>
          <w:i/>
          <w:iCs/>
          <w:color w:val="000000" w:themeColor="text1"/>
          <w:sz w:val="20"/>
          <w:szCs w:val="20"/>
        </w:rPr>
        <w:t xml:space="preserve">Aspergillus </w:t>
      </w:r>
      <w:proofErr w:type="spellStart"/>
      <w:proofErr w:type="gramStart"/>
      <w:r>
        <w:rPr>
          <w:rFonts w:ascii="Arial" w:hAnsi="Arial" w:cs="Arial"/>
          <w:bCs/>
          <w:i/>
          <w:iCs/>
          <w:color w:val="000000" w:themeColor="text1"/>
          <w:sz w:val="20"/>
          <w:szCs w:val="20"/>
        </w:rPr>
        <w:t>niger</w:t>
      </w:r>
      <w:proofErr w:type="spellEnd"/>
      <w:proofErr w:type="gramEnd"/>
      <w:r>
        <w:rPr>
          <w:rFonts w:ascii="Arial" w:hAnsi="Arial" w:cs="Arial"/>
          <w:bCs/>
          <w:color w:val="000000" w:themeColor="text1"/>
          <w:sz w:val="20"/>
          <w:szCs w:val="20"/>
        </w:rPr>
        <w:t xml:space="preserve"> which was cultivated in a </w:t>
      </w:r>
      <w:proofErr w:type="spellStart"/>
      <w:r>
        <w:rPr>
          <w:rFonts w:ascii="Arial" w:hAnsi="Arial" w:cs="Arial"/>
          <w:bCs/>
          <w:color w:val="000000" w:themeColor="text1"/>
          <w:sz w:val="20"/>
          <w:szCs w:val="20"/>
        </w:rPr>
        <w:t>sabouraud</w:t>
      </w:r>
      <w:proofErr w:type="spellEnd"/>
      <w:r>
        <w:rPr>
          <w:rFonts w:ascii="Arial" w:hAnsi="Arial" w:cs="Arial"/>
          <w:bCs/>
          <w:color w:val="000000" w:themeColor="text1"/>
          <w:sz w:val="20"/>
          <w:szCs w:val="20"/>
        </w:rPr>
        <w:t xml:space="preserve"> dextrose broth for three days with intermittent shaking. The culture was transferred into a test tube containing 3 ml phosphate buffer saline and centrifuged at 3000 rpm for 10 minutes. The fungal cells settled at the bottom of the test tube while the supernatant contained the enzyme preparation that was used for enzyme assay. A volume of phosphate buffered saline (1 ml) was added into each sets of test tubes for both “test” and “blank”. Aliquots (0.2 ml) of red blood cells suspension and CaCl</w:t>
      </w:r>
      <w:r>
        <w:rPr>
          <w:rFonts w:ascii="Arial" w:hAnsi="Arial" w:cs="Arial"/>
          <w:bCs/>
          <w:color w:val="000000" w:themeColor="text1"/>
          <w:sz w:val="20"/>
          <w:szCs w:val="20"/>
          <w:vertAlign w:val="subscript"/>
        </w:rPr>
        <w:t>2</w:t>
      </w:r>
      <w:r>
        <w:rPr>
          <w:rFonts w:ascii="Arial" w:hAnsi="Arial" w:cs="Arial"/>
          <w:bCs/>
          <w:color w:val="000000" w:themeColor="text1"/>
          <w:sz w:val="20"/>
          <w:szCs w:val="20"/>
        </w:rPr>
        <w:t xml:space="preserve"> solution (0.2 ml) were added into each set of test tubes. While each test tube labelled “test” was treated with 1 ml of free enzyme, the test tubes labelled “blank” were treated with 1 ml of boiled enzyme separately. Aliquots (1 ml) of varying concentrations of each fraction (0.2-1.0 mg/ml) and 0.4 mg/ml of indomethacin in phosphate buffered saline were dispensed into the respective test tubes. The control red blood cell suspension, CaCl</w:t>
      </w:r>
      <w:r>
        <w:rPr>
          <w:rFonts w:ascii="Arial" w:hAnsi="Arial" w:cs="Arial"/>
          <w:bCs/>
          <w:color w:val="000000" w:themeColor="text1"/>
          <w:sz w:val="20"/>
          <w:szCs w:val="20"/>
          <w:vertAlign w:val="subscript"/>
        </w:rPr>
        <w:t>2</w:t>
      </w:r>
      <w:r>
        <w:rPr>
          <w:rFonts w:ascii="Arial" w:hAnsi="Arial" w:cs="Arial"/>
          <w:bCs/>
          <w:color w:val="000000" w:themeColor="text1"/>
          <w:sz w:val="20"/>
          <w:szCs w:val="20"/>
        </w:rPr>
        <w:t xml:space="preserve"> and free enzyme. The set up was incubated for 1 hour at room temperature. The incubates were then centrifuged at a speed of 3000 rpm for 10 minutes and absorbance taken at a wavelength of 418 nm using spectrophotometer. </w:t>
      </w:r>
    </w:p>
    <w:p w:rsidR="00341D63" w:rsidRDefault="00377729">
      <w:pPr>
        <w:spacing w:line="480" w:lineRule="auto"/>
        <w:rPr>
          <w:rFonts w:ascii="Arial" w:hAnsi="Arial" w:cs="Arial"/>
          <w:bCs/>
          <w:color w:val="000000" w:themeColor="text1"/>
          <w:sz w:val="20"/>
          <w:szCs w:val="20"/>
        </w:rPr>
      </w:pPr>
      <m:oMathPara>
        <m:oMath>
          <m:r>
            <m:rPr>
              <m:sty m:val="p"/>
            </m:rPr>
            <w:rPr>
              <w:rFonts w:ascii="Cambria Math" w:hAnsi="Arial" w:cs="Arial"/>
              <w:color w:val="000000" w:themeColor="text1"/>
              <w:sz w:val="20"/>
              <w:szCs w:val="20"/>
            </w:rPr>
            <m:t>% inhibition of enzyme activity =</m:t>
          </m:r>
          <m:f>
            <m:fPr>
              <m:ctrlPr>
                <w:rPr>
                  <w:rFonts w:ascii="Cambria Math" w:hAnsi="Arial" w:cs="Arial"/>
                  <w:bCs/>
                  <w:color w:val="000000" w:themeColor="text1"/>
                  <w:sz w:val="20"/>
                  <w:szCs w:val="20"/>
                </w:rPr>
              </m:ctrlPr>
            </m:fPr>
            <m:num>
              <m:r>
                <m:rPr>
                  <m:sty m:val="p"/>
                </m:rPr>
                <w:rPr>
                  <w:rFonts w:ascii="Cambria Math" w:hAnsi="Arial" w:cs="Arial"/>
                  <w:color w:val="000000" w:themeColor="text1"/>
                  <w:sz w:val="20"/>
                  <w:szCs w:val="20"/>
                </w:rPr>
                <m:t>Ac</m:t>
              </m:r>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At</m:t>
              </m:r>
            </m:num>
            <m:den>
              <m:r>
                <w:rPr>
                  <w:rFonts w:ascii="Cambria Math" w:hAnsi="Cambria Math" w:cs="Arial"/>
                  <w:color w:val="000000" w:themeColor="text1"/>
                  <w:sz w:val="20"/>
                  <w:szCs w:val="20"/>
                </w:rPr>
                <m:t>Ac</m:t>
              </m:r>
            </m:den>
          </m:f>
          <m:r>
            <m:rPr>
              <m:sty m:val="p"/>
            </m:rPr>
            <w:rPr>
              <w:rFonts w:ascii="Cambria Math" w:hAnsi="Arial" w:cs="Arial"/>
              <w:color w:val="000000" w:themeColor="text1"/>
              <w:sz w:val="20"/>
              <w:szCs w:val="20"/>
            </w:rPr>
            <m:t>x 100</m:t>
          </m:r>
        </m:oMath>
      </m:oMathPara>
    </w:p>
    <w:p w:rsidR="00341D63" w:rsidRDefault="00377729">
      <w:pPr>
        <w:spacing w:line="480" w:lineRule="auto"/>
        <w:rPr>
          <w:rFonts w:ascii="Arial" w:hAnsi="Arial" w:cs="Arial"/>
          <w:b/>
          <w:color w:val="000000" w:themeColor="text1"/>
          <w:sz w:val="20"/>
          <w:szCs w:val="20"/>
        </w:rPr>
      </w:pPr>
      <w:bookmarkStart w:id="10" w:name="_Hlk18262465"/>
      <w:r>
        <w:rPr>
          <w:rFonts w:ascii="Arial" w:hAnsi="Arial" w:cs="Arial"/>
          <w:b/>
          <w:color w:val="000000" w:themeColor="text1"/>
          <w:sz w:val="20"/>
          <w:szCs w:val="20"/>
        </w:rPr>
        <w:t xml:space="preserve">2.3.5 Determination of </w:t>
      </w:r>
      <w:proofErr w:type="spellStart"/>
      <w:r>
        <w:rPr>
          <w:rFonts w:ascii="Arial" w:hAnsi="Arial" w:cs="Arial"/>
          <w:b/>
          <w:color w:val="000000" w:themeColor="text1"/>
          <w:sz w:val="20"/>
          <w:szCs w:val="20"/>
        </w:rPr>
        <w:t>hypotonicity</w:t>
      </w:r>
      <w:proofErr w:type="spellEnd"/>
      <w:r>
        <w:rPr>
          <w:rFonts w:ascii="Arial" w:hAnsi="Arial" w:cs="Arial"/>
          <w:b/>
          <w:color w:val="000000" w:themeColor="text1"/>
          <w:sz w:val="20"/>
          <w:szCs w:val="20"/>
        </w:rPr>
        <w:t>-induced haemolysis of human red blood cell</w:t>
      </w:r>
    </w:p>
    <w:bookmarkEnd w:id="10"/>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The effects of the on haemolysis of </w:t>
      </w:r>
      <w:bookmarkStart w:id="11" w:name="_Hlk18304456"/>
      <w:r>
        <w:rPr>
          <w:rFonts w:ascii="Arial" w:hAnsi="Arial" w:cs="Arial"/>
          <w:bCs/>
          <w:color w:val="000000" w:themeColor="text1"/>
          <w:sz w:val="20"/>
          <w:szCs w:val="20"/>
        </w:rPr>
        <w:t xml:space="preserve">human red blood cells </w:t>
      </w:r>
      <w:bookmarkStart w:id="12" w:name="_Hlk18304421"/>
      <w:bookmarkEnd w:id="11"/>
      <w:r>
        <w:rPr>
          <w:rFonts w:ascii="Arial" w:hAnsi="Arial" w:cs="Arial"/>
          <w:bCs/>
          <w:color w:val="000000" w:themeColor="text1"/>
          <w:sz w:val="20"/>
          <w:szCs w:val="20"/>
        </w:rPr>
        <w:t>(HRBC</w:t>
      </w:r>
      <w:bookmarkEnd w:id="12"/>
      <w:r>
        <w:rPr>
          <w:rFonts w:ascii="Arial" w:hAnsi="Arial" w:cs="Arial"/>
          <w:bCs/>
          <w:color w:val="000000" w:themeColor="text1"/>
          <w:sz w:val="20"/>
          <w:szCs w:val="20"/>
        </w:rPr>
        <w:t xml:space="preserve">) induced by hypotonic solution (distilled water) was evaluated using the method of </w:t>
      </w:r>
      <w:proofErr w:type="spellStart"/>
      <w:r>
        <w:rPr>
          <w:rFonts w:ascii="Arial" w:hAnsi="Arial" w:cs="Arial"/>
          <w:bCs/>
          <w:color w:val="000000" w:themeColor="text1"/>
          <w:sz w:val="20"/>
          <w:szCs w:val="20"/>
        </w:rPr>
        <w:t>Shinde</w:t>
      </w:r>
      <w:proofErr w:type="spellEnd"/>
      <w:r>
        <w:rPr>
          <w:rFonts w:ascii="Arial" w:hAnsi="Arial" w:cs="Arial"/>
          <w:bCs/>
          <w:color w:val="000000" w:themeColor="text1"/>
          <w:sz w:val="20"/>
          <w:szCs w:val="20"/>
        </w:rPr>
        <w:t xml:space="preserve"> </w:t>
      </w:r>
      <w:r>
        <w:rPr>
          <w:rFonts w:ascii="Arial" w:hAnsi="Arial" w:cs="Arial"/>
          <w:bCs/>
          <w:i/>
          <w:color w:val="000000" w:themeColor="text1"/>
          <w:sz w:val="20"/>
          <w:szCs w:val="20"/>
        </w:rPr>
        <w:t>et al</w:t>
      </w:r>
      <w:r>
        <w:rPr>
          <w:rFonts w:ascii="Arial" w:hAnsi="Arial" w:cs="Arial"/>
          <w:bCs/>
          <w:color w:val="000000" w:themeColor="text1"/>
          <w:sz w:val="20"/>
          <w:szCs w:val="20"/>
        </w:rPr>
        <w:t>. 1999.</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Samples of each used in this assay were dissolved in distilled water (hypotonic solution) and normal (isotonic solution). The hypotonic solution (5 ml) containing graded doses of each fraction (0.2-1.0 mg/ml) were put into two sets of centrifuge tubes. The isotonic solution (5 ml) containing graded concentrations of each (0.2-1.0 mg/ml). </w:t>
      </w:r>
      <w:proofErr w:type="gramStart"/>
      <w:r>
        <w:rPr>
          <w:rFonts w:ascii="Arial" w:hAnsi="Arial" w:cs="Arial"/>
          <w:bCs/>
          <w:color w:val="000000" w:themeColor="text1"/>
          <w:sz w:val="20"/>
          <w:szCs w:val="20"/>
        </w:rPr>
        <w:t>was</w:t>
      </w:r>
      <w:proofErr w:type="gramEnd"/>
      <w:r>
        <w:rPr>
          <w:rFonts w:ascii="Arial" w:hAnsi="Arial" w:cs="Arial"/>
          <w:bCs/>
          <w:color w:val="000000" w:themeColor="text1"/>
          <w:sz w:val="20"/>
          <w:szCs w:val="20"/>
        </w:rPr>
        <w:t xml:space="preserve"> also put into duplicate (per dose) of the centrifuge tubes. Controls tubes contained 5 ml of distilled water and 5 ml of 0.4 of indomethacin respectively. Erythrocyte suspension (0.1) was added to each of the tubes and mixed gently. The mixtures were incubated for 1 hour at room temperature, and afterwards, centrifuged at 1300 g for 3 minutes. The absorbance (OD) of the haemoglobin content of the supernatant was determined at a wavelength of 418 nm using a spectrophotometer. The percentage haemolysis was calculated by assuming the haemolysis produced in the presence of distilled water as 100 %.  The percentage inhibition of haemolysis by each fraction was calculated thus:</w:t>
      </w:r>
    </w:p>
    <w:p w:rsidR="00341D63" w:rsidRDefault="00377729">
      <w:pPr>
        <w:spacing w:line="480" w:lineRule="auto"/>
        <w:rPr>
          <w:rFonts w:ascii="Arial" w:hAnsi="Arial" w:cs="Arial"/>
          <w:bCs/>
          <w:color w:val="000000" w:themeColor="text1"/>
          <w:sz w:val="20"/>
          <w:szCs w:val="20"/>
        </w:rPr>
      </w:pPr>
      <m:oMathPara>
        <m:oMath>
          <m:r>
            <m:rPr>
              <m:sty m:val="p"/>
            </m:rPr>
            <w:rPr>
              <w:rFonts w:ascii="Cambria Math" w:hAnsi="Arial" w:cs="Arial"/>
              <w:color w:val="000000" w:themeColor="text1"/>
              <w:sz w:val="20"/>
              <w:szCs w:val="20"/>
            </w:rPr>
            <w:lastRenderedPageBreak/>
            <m:t>% inhibition of haemolysis =1</m:t>
          </m:r>
          <m:r>
            <m:rPr>
              <m:sty m:val="p"/>
            </m:rPr>
            <w:rPr>
              <w:rFonts w:ascii="Arial" w:hAnsi="Arial" w:cs="Arial"/>
              <w:color w:val="000000" w:themeColor="text1"/>
              <w:sz w:val="20"/>
              <w:szCs w:val="20"/>
            </w:rPr>
            <m:t>-</m:t>
          </m:r>
          <m:f>
            <m:fPr>
              <m:ctrlPr>
                <w:rPr>
                  <w:rFonts w:ascii="Cambria Math" w:hAnsi="Arial" w:cs="Arial"/>
                  <w:bCs/>
                  <w:color w:val="000000" w:themeColor="text1"/>
                  <w:sz w:val="20"/>
                  <w:szCs w:val="20"/>
                </w:rPr>
              </m:ctrlPr>
            </m:fPr>
            <m:num>
              <m:r>
                <m:rPr>
                  <m:sty m:val="p"/>
                </m:rPr>
                <w:rPr>
                  <w:rFonts w:ascii="Cambria Math" w:hAnsi="Arial" w:cs="Arial"/>
                  <w:color w:val="000000" w:themeColor="text1"/>
                  <w:sz w:val="20"/>
                  <w:szCs w:val="20"/>
                </w:rPr>
                <m:t>OD2</m:t>
              </m:r>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OD1</m:t>
              </m:r>
            </m:num>
            <m:den>
              <m:r>
                <w:rPr>
                  <w:rFonts w:ascii="Cambria Math" w:hAnsi="Cambria Math" w:cs="Arial"/>
                  <w:color w:val="000000" w:themeColor="text1"/>
                  <w:sz w:val="20"/>
                  <w:szCs w:val="20"/>
                </w:rPr>
                <m:t>OD</m:t>
              </m:r>
              <m:r>
                <w:rPr>
                  <w:rFonts w:ascii="Cambria Math" w:hAnsi="Arial" w:cs="Arial"/>
                  <w:color w:val="000000" w:themeColor="text1"/>
                  <w:sz w:val="20"/>
                  <w:szCs w:val="20"/>
                </w:rPr>
                <m:t>3</m:t>
              </m:r>
              <m:r>
                <w:rPr>
                  <w:rFonts w:ascii="Arial" w:hAnsi="Arial" w:cs="Arial"/>
                  <w:color w:val="000000" w:themeColor="text1"/>
                  <w:sz w:val="20"/>
                  <w:szCs w:val="20"/>
                </w:rPr>
                <m:t>-</m:t>
              </m:r>
              <m:r>
                <w:rPr>
                  <w:rFonts w:ascii="Cambria Math" w:hAnsi="Cambria Math" w:cs="Arial"/>
                  <w:color w:val="000000" w:themeColor="text1"/>
                  <w:sz w:val="20"/>
                  <w:szCs w:val="20"/>
                </w:rPr>
                <m:t>OD</m:t>
              </m:r>
              <m:r>
                <w:rPr>
                  <w:rFonts w:ascii="Cambria Math" w:hAnsi="Arial" w:cs="Arial"/>
                  <w:color w:val="000000" w:themeColor="text1"/>
                  <w:sz w:val="20"/>
                  <w:szCs w:val="20"/>
                </w:rPr>
                <m:t>1</m:t>
              </m:r>
            </m:den>
          </m:f>
          <m:r>
            <m:rPr>
              <m:sty m:val="p"/>
            </m:rPr>
            <w:rPr>
              <w:rFonts w:ascii="Cambria Math" w:hAnsi="Arial" w:cs="Arial"/>
              <w:color w:val="000000" w:themeColor="text1"/>
              <w:sz w:val="20"/>
              <w:szCs w:val="20"/>
            </w:rPr>
            <m:t>x 100</m:t>
          </m:r>
        </m:oMath>
      </m:oMathPara>
    </w:p>
    <w:p w:rsidR="00341D63" w:rsidRDefault="00377729">
      <w:pPr>
        <w:spacing w:after="0" w:line="480" w:lineRule="auto"/>
        <w:rPr>
          <w:rFonts w:ascii="Arial" w:hAnsi="Arial" w:cs="Arial"/>
          <w:bCs/>
          <w:color w:val="000000" w:themeColor="text1"/>
          <w:sz w:val="20"/>
          <w:szCs w:val="20"/>
        </w:rPr>
      </w:pPr>
      <w:r>
        <w:rPr>
          <w:rFonts w:ascii="Arial" w:hAnsi="Arial" w:cs="Arial"/>
          <w:bCs/>
          <w:color w:val="000000" w:themeColor="text1"/>
          <w:sz w:val="20"/>
          <w:szCs w:val="20"/>
        </w:rPr>
        <w:t>Where OD</w:t>
      </w:r>
      <w:r>
        <w:rPr>
          <w:rFonts w:ascii="Arial" w:hAnsi="Arial" w:cs="Arial"/>
          <w:bCs/>
          <w:color w:val="000000" w:themeColor="text1"/>
          <w:sz w:val="20"/>
          <w:szCs w:val="20"/>
          <w:vertAlign w:val="subscript"/>
        </w:rPr>
        <w:t>1</w:t>
      </w:r>
      <w:r>
        <w:rPr>
          <w:rFonts w:ascii="Arial" w:hAnsi="Arial" w:cs="Arial"/>
          <w:bCs/>
          <w:color w:val="000000" w:themeColor="text1"/>
          <w:sz w:val="20"/>
          <w:szCs w:val="20"/>
        </w:rPr>
        <w:t>= absorbance of test sample in isotonic solution</w:t>
      </w:r>
    </w:p>
    <w:p w:rsidR="00341D63" w:rsidRDefault="00377729">
      <w:pPr>
        <w:spacing w:after="0" w:line="480" w:lineRule="auto"/>
        <w:rPr>
          <w:rFonts w:ascii="Arial" w:hAnsi="Arial" w:cs="Arial"/>
          <w:bCs/>
          <w:color w:val="000000" w:themeColor="text1"/>
          <w:sz w:val="20"/>
          <w:szCs w:val="20"/>
        </w:rPr>
      </w:pPr>
      <w:r>
        <w:rPr>
          <w:rFonts w:ascii="Arial" w:hAnsi="Arial" w:cs="Arial"/>
          <w:bCs/>
          <w:color w:val="000000" w:themeColor="text1"/>
          <w:sz w:val="20"/>
          <w:szCs w:val="20"/>
        </w:rPr>
        <w:t>OD</w:t>
      </w:r>
      <w:r>
        <w:rPr>
          <w:rFonts w:ascii="Arial" w:hAnsi="Arial" w:cs="Arial"/>
          <w:bCs/>
          <w:color w:val="000000" w:themeColor="text1"/>
          <w:sz w:val="20"/>
          <w:szCs w:val="20"/>
          <w:vertAlign w:val="subscript"/>
        </w:rPr>
        <w:t>2</w:t>
      </w:r>
      <w:r>
        <w:rPr>
          <w:rFonts w:ascii="Arial" w:hAnsi="Arial" w:cs="Arial"/>
          <w:bCs/>
          <w:color w:val="000000" w:themeColor="text1"/>
          <w:sz w:val="20"/>
          <w:szCs w:val="20"/>
        </w:rPr>
        <w:t>= absorbance of test sample in hypotonic solution</w:t>
      </w:r>
    </w:p>
    <w:p w:rsidR="00341D63" w:rsidRDefault="00377729">
      <w:pPr>
        <w:spacing w:after="0" w:line="480" w:lineRule="auto"/>
        <w:rPr>
          <w:rFonts w:ascii="Arial" w:hAnsi="Arial" w:cs="Arial"/>
          <w:bCs/>
          <w:color w:val="000000" w:themeColor="text1"/>
          <w:sz w:val="20"/>
          <w:szCs w:val="20"/>
        </w:rPr>
      </w:pPr>
      <w:r>
        <w:rPr>
          <w:rFonts w:ascii="Arial" w:hAnsi="Arial" w:cs="Arial"/>
          <w:bCs/>
          <w:color w:val="000000" w:themeColor="text1"/>
          <w:sz w:val="20"/>
          <w:szCs w:val="20"/>
        </w:rPr>
        <w:t>OD</w:t>
      </w:r>
      <w:r>
        <w:rPr>
          <w:rFonts w:ascii="Arial" w:hAnsi="Arial" w:cs="Arial"/>
          <w:bCs/>
          <w:color w:val="000000" w:themeColor="text1"/>
          <w:sz w:val="20"/>
          <w:szCs w:val="20"/>
          <w:vertAlign w:val="subscript"/>
        </w:rPr>
        <w:t>3</w:t>
      </w:r>
      <w:r>
        <w:rPr>
          <w:rFonts w:ascii="Arial" w:hAnsi="Arial" w:cs="Arial"/>
          <w:bCs/>
          <w:color w:val="000000" w:themeColor="text1"/>
          <w:sz w:val="20"/>
          <w:szCs w:val="20"/>
        </w:rPr>
        <w:t>= absorbance of test sample in hypotonic solution</w:t>
      </w:r>
    </w:p>
    <w:p w:rsidR="00341D63" w:rsidRDefault="00341D63">
      <w:pPr>
        <w:spacing w:after="0" w:line="480" w:lineRule="auto"/>
        <w:rPr>
          <w:rFonts w:ascii="Arial" w:hAnsi="Arial" w:cs="Arial"/>
          <w:sz w:val="20"/>
          <w:szCs w:val="20"/>
        </w:rPr>
      </w:pPr>
    </w:p>
    <w:p w:rsidR="00341D63" w:rsidRDefault="00377729">
      <w:pPr>
        <w:spacing w:line="480" w:lineRule="auto"/>
        <w:rPr>
          <w:rFonts w:ascii="Arial" w:hAnsi="Arial" w:cs="Arial"/>
          <w:b/>
          <w:sz w:val="20"/>
          <w:szCs w:val="20"/>
        </w:rPr>
      </w:pPr>
      <w:r>
        <w:rPr>
          <w:rFonts w:ascii="Arial" w:hAnsi="Arial" w:cs="Arial"/>
          <w:b/>
          <w:sz w:val="20"/>
          <w:szCs w:val="20"/>
        </w:rPr>
        <w:t>2.4 STATISTICAL ANALYSIS</w:t>
      </w:r>
    </w:p>
    <w:p w:rsidR="00341D63" w:rsidRDefault="00377729">
      <w:pPr>
        <w:autoSpaceDE w:val="0"/>
        <w:autoSpaceDN w:val="0"/>
        <w:adjustRightInd w:val="0"/>
        <w:spacing w:after="0" w:line="480" w:lineRule="auto"/>
        <w:rPr>
          <w:rFonts w:ascii="Arial" w:hAnsi="Arial" w:cs="Arial"/>
          <w:sz w:val="20"/>
          <w:szCs w:val="20"/>
        </w:rPr>
      </w:pPr>
      <w:r>
        <w:rPr>
          <w:rFonts w:ascii="Arial" w:hAnsi="Arial" w:cs="Arial"/>
          <w:sz w:val="20"/>
          <w:szCs w:val="20"/>
        </w:rPr>
        <w:t xml:space="preserve">The biochemical data obtained from the study were </w:t>
      </w:r>
      <w:proofErr w:type="spellStart"/>
      <w:r>
        <w:rPr>
          <w:rFonts w:ascii="Arial" w:hAnsi="Arial" w:cs="Arial"/>
          <w:sz w:val="20"/>
          <w:szCs w:val="20"/>
        </w:rPr>
        <w:t>analyzed</w:t>
      </w:r>
      <w:proofErr w:type="spellEnd"/>
      <w:r>
        <w:rPr>
          <w:rFonts w:ascii="Arial" w:hAnsi="Arial" w:cs="Arial"/>
          <w:sz w:val="20"/>
          <w:szCs w:val="20"/>
        </w:rPr>
        <w:t xml:space="preserve"> using a statistical program SPSS, version 22. The results were expressed as Mean ± SD. A one-way / two-way ANOVA was employed for comparison among the groups followed by </w:t>
      </w:r>
      <w:proofErr w:type="spellStart"/>
      <w:r>
        <w:rPr>
          <w:rFonts w:ascii="Arial" w:hAnsi="Arial" w:cs="Arial"/>
          <w:sz w:val="20"/>
          <w:szCs w:val="20"/>
        </w:rPr>
        <w:t>Dunnet’s</w:t>
      </w:r>
      <w:proofErr w:type="spellEnd"/>
      <w:r>
        <w:rPr>
          <w:rFonts w:ascii="Arial" w:hAnsi="Arial" w:cs="Arial"/>
          <w:sz w:val="20"/>
          <w:szCs w:val="20"/>
        </w:rPr>
        <w:t xml:space="preserve"> Post-Hoc Multiple Comparisons tests. </w:t>
      </w:r>
      <w:r>
        <w:rPr>
          <w:rFonts w:ascii="Arial" w:hAnsi="Arial" w:cs="Arial"/>
          <w:i/>
          <w:iCs/>
          <w:sz w:val="20"/>
          <w:szCs w:val="20"/>
        </w:rPr>
        <w:t xml:space="preserve">P=0.05 </w:t>
      </w:r>
      <w:r>
        <w:rPr>
          <w:rFonts w:ascii="Arial" w:hAnsi="Arial" w:cs="Arial"/>
          <w:sz w:val="20"/>
          <w:szCs w:val="20"/>
        </w:rPr>
        <w:t>was considered as statistically significant.</w:t>
      </w:r>
    </w:p>
    <w:p w:rsidR="00341D63" w:rsidRDefault="00377729">
      <w:pPr>
        <w:spacing w:line="480" w:lineRule="auto"/>
        <w:rPr>
          <w:rFonts w:ascii="Arial" w:hAnsi="Arial" w:cs="Arial"/>
          <w:b/>
          <w:sz w:val="20"/>
          <w:szCs w:val="20"/>
        </w:rPr>
      </w:pPr>
      <w:proofErr w:type="gramStart"/>
      <w:r>
        <w:rPr>
          <w:rFonts w:ascii="Arial" w:hAnsi="Arial" w:cs="Arial"/>
          <w:b/>
          <w:sz w:val="20"/>
          <w:szCs w:val="20"/>
        </w:rPr>
        <w:t>3.0  RESULTS</w:t>
      </w:r>
      <w:proofErr w:type="gramEnd"/>
    </w:p>
    <w:p w:rsidR="00341D63" w:rsidRDefault="00377729">
      <w:pPr>
        <w:spacing w:line="480" w:lineRule="auto"/>
        <w:rPr>
          <w:rFonts w:ascii="Arial" w:hAnsi="Arial" w:cs="Arial"/>
          <w:b/>
          <w:sz w:val="20"/>
          <w:szCs w:val="20"/>
        </w:rPr>
      </w:pPr>
      <w:r>
        <w:rPr>
          <w:rFonts w:ascii="Arial" w:hAnsi="Arial" w:cs="Arial"/>
          <w:b/>
          <w:bCs/>
          <w:sz w:val="20"/>
          <w:szCs w:val="20"/>
        </w:rPr>
        <w:t>3. 1 EFFECT OF DIFFERENT FRACTIONS ON EGG ALBUMIN INDUCED RAT PAW OEDEMA</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Results in Table 1 show that the paw volumes of the rats increased significantly (P&lt;0.05) 30 minutes after egg albumin induction. Subsequently, there was significant decrease in paw oedema in rats treated with n-hexane, ethyl acetate and aqueous-methanol fractions of methanol extract in a time dependent manner compared with rats in the negative control those administered with (3% tween 80). The reduction in paw volume (oedema) was greatest at the 5</w:t>
      </w:r>
      <w:r>
        <w:rPr>
          <w:rFonts w:ascii="Arial" w:hAnsi="Arial" w:cs="Arial"/>
          <w:bCs/>
          <w:color w:val="000000" w:themeColor="text1"/>
          <w:sz w:val="20"/>
          <w:szCs w:val="20"/>
          <w:vertAlign w:val="superscript"/>
        </w:rPr>
        <w:t>th</w:t>
      </w:r>
      <w:r>
        <w:rPr>
          <w:rFonts w:ascii="Arial" w:hAnsi="Arial" w:cs="Arial"/>
          <w:bCs/>
          <w:color w:val="000000" w:themeColor="text1"/>
          <w:sz w:val="20"/>
          <w:szCs w:val="20"/>
        </w:rPr>
        <w:t xml:space="preserve"> hour in all the fractions. Maximum oedema inhibition of </w:t>
      </w:r>
      <w:r>
        <w:rPr>
          <w:rFonts w:ascii="Arial" w:eastAsia="Times New Roman" w:hAnsi="Arial" w:cs="Arial"/>
          <w:color w:val="000000" w:themeColor="text1"/>
          <w:sz w:val="20"/>
          <w:szCs w:val="20"/>
        </w:rPr>
        <w:t xml:space="preserve">69.49 % and 72.88 % was observed in rats administered with 100 and 400 mg/kg </w:t>
      </w:r>
      <w:proofErr w:type="spellStart"/>
      <w:proofErr w:type="gramStart"/>
      <w:r>
        <w:rPr>
          <w:rFonts w:ascii="Arial" w:eastAsia="Times New Roman" w:hAnsi="Arial" w:cs="Arial"/>
          <w:color w:val="000000" w:themeColor="text1"/>
          <w:sz w:val="20"/>
          <w:szCs w:val="20"/>
        </w:rPr>
        <w:t>bw</w:t>
      </w:r>
      <w:proofErr w:type="spellEnd"/>
      <w:proofErr w:type="gramEnd"/>
      <w:r>
        <w:rPr>
          <w:rFonts w:ascii="Arial" w:eastAsia="Times New Roman" w:hAnsi="Arial" w:cs="Arial"/>
          <w:color w:val="000000" w:themeColor="text1"/>
          <w:sz w:val="20"/>
          <w:szCs w:val="20"/>
        </w:rPr>
        <w:t xml:space="preserve"> of aqueous-methanol fraction respectively at 5</w:t>
      </w:r>
      <w:r>
        <w:rPr>
          <w:rFonts w:ascii="Arial" w:eastAsia="Times New Roman" w:hAnsi="Arial" w:cs="Arial"/>
          <w:color w:val="000000" w:themeColor="text1"/>
          <w:sz w:val="20"/>
          <w:szCs w:val="20"/>
          <w:vertAlign w:val="superscript"/>
        </w:rPr>
        <w:t>th</w:t>
      </w:r>
      <w:r>
        <w:rPr>
          <w:rFonts w:ascii="Arial" w:eastAsia="Times New Roman" w:hAnsi="Arial" w:cs="Arial"/>
          <w:color w:val="000000" w:themeColor="text1"/>
          <w:sz w:val="20"/>
          <w:szCs w:val="20"/>
        </w:rPr>
        <w:t xml:space="preserve"> hour. Data in Table 1 also show that the percentage inhibitory effect and decrease in paw volume of all ethyl acetate and aqueous methanol fractions were comparable with that of the standard anti-inflammatory drug, indomethacin.</w:t>
      </w: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77729">
      <w:pPr>
        <w:spacing w:line="480" w:lineRule="auto"/>
        <w:rPr>
          <w:rFonts w:ascii="Arial" w:hAnsi="Arial" w:cs="Arial"/>
          <w:b/>
          <w:sz w:val="20"/>
          <w:szCs w:val="20"/>
        </w:rPr>
      </w:pPr>
      <w:r>
        <w:rPr>
          <w:rFonts w:ascii="Arial" w:hAnsi="Arial" w:cs="Arial"/>
          <w:b/>
          <w:bCs/>
          <w:sz w:val="20"/>
          <w:szCs w:val="20"/>
        </w:rPr>
        <w:lastRenderedPageBreak/>
        <w:t>TABLE 1: EFFECT OF DIFFERENT FRACTIONS ON EGG ALBUMIN INDUCED RAT PAW OEDEMA</w:t>
      </w:r>
    </w:p>
    <w:tbl>
      <w:tblPr>
        <w:tblpPr w:leftFromText="180" w:rightFromText="180" w:vertAnchor="text" w:horzAnchor="margin" w:tblpXSpec="center" w:tblpY="129"/>
        <w:tblW w:w="10349" w:type="dxa"/>
        <w:shd w:val="clear" w:color="auto" w:fill="FFFFFF" w:themeFill="background1"/>
        <w:tblLook w:val="0000" w:firstRow="0" w:lastRow="0" w:firstColumn="0" w:lastColumn="0" w:noHBand="0" w:noVBand="0"/>
      </w:tblPr>
      <w:tblGrid>
        <w:gridCol w:w="1536"/>
        <w:gridCol w:w="1407"/>
        <w:gridCol w:w="1452"/>
        <w:gridCol w:w="1418"/>
        <w:gridCol w:w="1559"/>
        <w:gridCol w:w="1417"/>
        <w:gridCol w:w="1560"/>
      </w:tblGrid>
      <w:tr w:rsidR="00341D63">
        <w:trPr>
          <w:trHeight w:val="283"/>
        </w:trPr>
        <w:tc>
          <w:tcPr>
            <w:tcW w:w="1536" w:type="dxa"/>
            <w:tcBorders>
              <w:top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Groups</w:t>
            </w:r>
          </w:p>
        </w:tc>
        <w:tc>
          <w:tcPr>
            <w:tcW w:w="8813" w:type="dxa"/>
            <w:gridSpan w:val="6"/>
            <w:tcBorders>
              <w:top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 Paw volume(oedema) mm and % inhibition of oedema</w:t>
            </w:r>
          </w:p>
        </w:tc>
      </w:tr>
      <w:tr w:rsidR="00341D63">
        <w:trPr>
          <w:trHeight w:val="274"/>
        </w:trPr>
        <w:tc>
          <w:tcPr>
            <w:tcW w:w="1536" w:type="dxa"/>
            <w:tcBorders>
              <w:bottom w:val="single" w:sz="4" w:space="0" w:color="auto"/>
            </w:tcBorders>
            <w:shd w:val="clear" w:color="auto" w:fill="FFFFFF" w:themeFill="background1"/>
          </w:tcPr>
          <w:p w:rsidR="00341D63" w:rsidRDefault="00341D63">
            <w:pPr>
              <w:rPr>
                <w:rFonts w:ascii="Arial" w:eastAsia="Calibri" w:hAnsi="Arial" w:cs="Arial"/>
                <w:bCs/>
                <w:color w:val="000000" w:themeColor="text1"/>
                <w:sz w:val="20"/>
                <w:szCs w:val="20"/>
              </w:rPr>
            </w:pPr>
          </w:p>
        </w:tc>
        <w:tc>
          <w:tcPr>
            <w:tcW w:w="1407" w:type="dxa"/>
            <w:tcBorders>
              <w:bottom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 xml:space="preserve">30 </w:t>
            </w:r>
            <w:proofErr w:type="spellStart"/>
            <w:r>
              <w:rPr>
                <w:rFonts w:ascii="Arial" w:eastAsia="Times New Roman" w:hAnsi="Arial" w:cs="Arial"/>
                <w:bCs/>
                <w:color w:val="000000" w:themeColor="text1"/>
                <w:sz w:val="20"/>
                <w:szCs w:val="20"/>
              </w:rPr>
              <w:t>mins</w:t>
            </w:r>
            <w:proofErr w:type="spellEnd"/>
          </w:p>
        </w:tc>
        <w:tc>
          <w:tcPr>
            <w:tcW w:w="1452" w:type="dxa"/>
            <w:tcBorders>
              <w:bottom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1 hr</w:t>
            </w:r>
          </w:p>
        </w:tc>
        <w:tc>
          <w:tcPr>
            <w:tcW w:w="1418" w:type="dxa"/>
            <w:tcBorders>
              <w:bottom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2hrs</w:t>
            </w:r>
          </w:p>
        </w:tc>
        <w:tc>
          <w:tcPr>
            <w:tcW w:w="1559" w:type="dxa"/>
            <w:tcBorders>
              <w:bottom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3hrs</w:t>
            </w:r>
          </w:p>
        </w:tc>
        <w:tc>
          <w:tcPr>
            <w:tcW w:w="1417" w:type="dxa"/>
            <w:tcBorders>
              <w:bottom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4hrs</w:t>
            </w:r>
          </w:p>
        </w:tc>
        <w:tc>
          <w:tcPr>
            <w:tcW w:w="1560" w:type="dxa"/>
            <w:tcBorders>
              <w:bottom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5hrs</w:t>
            </w:r>
          </w:p>
        </w:tc>
      </w:tr>
      <w:tr w:rsidR="00341D63">
        <w:trPr>
          <w:trHeight w:val="732"/>
        </w:trPr>
        <w:tc>
          <w:tcPr>
            <w:tcW w:w="1536" w:type="dxa"/>
            <w:tcBorders>
              <w:top w:val="single" w:sz="4" w:space="0" w:color="auto"/>
            </w:tcBorders>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Control</w:t>
            </w:r>
          </w:p>
        </w:tc>
        <w:tc>
          <w:tcPr>
            <w:tcW w:w="1407" w:type="dxa"/>
            <w:tcBorders>
              <w:top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0.48 ± 0.01</w:t>
            </w:r>
            <w:r>
              <w:rPr>
                <w:rFonts w:ascii="Arial" w:eastAsia="Times New Roman" w:hAnsi="Arial" w:cs="Arial"/>
                <w:color w:val="000000" w:themeColor="text1"/>
                <w:sz w:val="20"/>
                <w:szCs w:val="20"/>
                <w:vertAlign w:val="superscript"/>
              </w:rPr>
              <w:t>e</w:t>
            </w:r>
          </w:p>
          <w:p w:rsidR="00341D63" w:rsidRDefault="00341D63">
            <w:pPr>
              <w:rPr>
                <w:rFonts w:ascii="Arial" w:hAnsi="Arial" w:cs="Arial"/>
                <w:color w:val="000000" w:themeColor="text1"/>
                <w:sz w:val="20"/>
                <w:szCs w:val="20"/>
              </w:rPr>
            </w:pPr>
          </w:p>
        </w:tc>
        <w:tc>
          <w:tcPr>
            <w:tcW w:w="1452" w:type="dxa"/>
            <w:tcBorders>
              <w:top w:val="single" w:sz="4" w:space="0" w:color="auto"/>
            </w:tcBorders>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0.50 ± 0.01</w:t>
            </w:r>
            <w:r>
              <w:rPr>
                <w:rFonts w:ascii="Arial" w:eastAsia="Times New Roman" w:hAnsi="Arial" w:cs="Arial"/>
                <w:color w:val="000000" w:themeColor="text1"/>
                <w:sz w:val="20"/>
                <w:szCs w:val="20"/>
                <w:vertAlign w:val="superscript"/>
              </w:rPr>
              <w:t>e</w:t>
            </w:r>
          </w:p>
        </w:tc>
        <w:tc>
          <w:tcPr>
            <w:tcW w:w="1418" w:type="dxa"/>
            <w:tcBorders>
              <w:top w:val="single" w:sz="4" w:space="0" w:color="auto"/>
            </w:tcBorders>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0.53 ± 0.01</w:t>
            </w:r>
            <w:r>
              <w:rPr>
                <w:rFonts w:ascii="Arial" w:eastAsia="Times New Roman" w:hAnsi="Arial" w:cs="Arial"/>
                <w:color w:val="000000" w:themeColor="text1"/>
                <w:sz w:val="20"/>
                <w:szCs w:val="20"/>
                <w:vertAlign w:val="superscript"/>
              </w:rPr>
              <w:t>e</w:t>
            </w:r>
          </w:p>
        </w:tc>
        <w:tc>
          <w:tcPr>
            <w:tcW w:w="1559" w:type="dxa"/>
            <w:tcBorders>
              <w:top w:val="single" w:sz="4" w:space="0" w:color="auto"/>
            </w:tcBorders>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0.55 ± .01</w:t>
            </w:r>
            <w:r>
              <w:rPr>
                <w:rFonts w:ascii="Arial" w:eastAsia="Times New Roman" w:hAnsi="Arial" w:cs="Arial"/>
                <w:color w:val="000000" w:themeColor="text1"/>
                <w:sz w:val="20"/>
                <w:szCs w:val="20"/>
                <w:vertAlign w:val="superscript"/>
              </w:rPr>
              <w:t>f</w:t>
            </w:r>
          </w:p>
        </w:tc>
        <w:tc>
          <w:tcPr>
            <w:tcW w:w="1417" w:type="dxa"/>
            <w:tcBorders>
              <w:top w:val="single" w:sz="4" w:space="0" w:color="auto"/>
            </w:tcBorders>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0.57 ± 0.01</w:t>
            </w:r>
            <w:r>
              <w:rPr>
                <w:rFonts w:ascii="Arial" w:eastAsia="Times New Roman" w:hAnsi="Arial" w:cs="Arial"/>
                <w:color w:val="000000" w:themeColor="text1"/>
                <w:sz w:val="20"/>
                <w:szCs w:val="20"/>
                <w:vertAlign w:val="superscript"/>
              </w:rPr>
              <w:t>f</w:t>
            </w:r>
          </w:p>
        </w:tc>
        <w:tc>
          <w:tcPr>
            <w:tcW w:w="1560" w:type="dxa"/>
            <w:tcBorders>
              <w:top w:val="single" w:sz="4" w:space="0" w:color="auto"/>
            </w:tcBorders>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0.59 ± 0.01</w:t>
            </w:r>
            <w:r>
              <w:rPr>
                <w:rFonts w:ascii="Arial" w:eastAsia="Times New Roman" w:hAnsi="Arial" w:cs="Arial"/>
                <w:color w:val="000000" w:themeColor="text1"/>
                <w:sz w:val="20"/>
                <w:szCs w:val="20"/>
                <w:vertAlign w:val="superscript"/>
              </w:rPr>
              <w:t>f</w:t>
            </w:r>
          </w:p>
        </w:tc>
      </w:tr>
      <w:tr w:rsidR="00341D63">
        <w:trPr>
          <w:trHeight w:val="869"/>
        </w:trPr>
        <w:tc>
          <w:tcPr>
            <w:tcW w:w="1536" w:type="dxa"/>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 xml:space="preserve">100mg/kg n-hexane </w:t>
            </w:r>
          </w:p>
        </w:tc>
        <w:tc>
          <w:tcPr>
            <w:tcW w:w="140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0.39 ± 0.02</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 xml:space="preserve"> 18.75%</w:t>
            </w:r>
          </w:p>
        </w:tc>
        <w:tc>
          <w:tcPr>
            <w:tcW w:w="1452"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0.38 ± 0.02</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24%</w:t>
            </w:r>
          </w:p>
        </w:tc>
        <w:tc>
          <w:tcPr>
            <w:tcW w:w="1418"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0.36 ± 0.01</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32.07</w:t>
            </w:r>
          </w:p>
        </w:tc>
        <w:tc>
          <w:tcPr>
            <w:tcW w:w="1559"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0.34± 0.02</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38.18%</w:t>
            </w:r>
          </w:p>
        </w:tc>
        <w:tc>
          <w:tcPr>
            <w:tcW w:w="141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0.32 ± 0.01</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43.86%</w:t>
            </w:r>
          </w:p>
        </w:tc>
        <w:tc>
          <w:tcPr>
            <w:tcW w:w="1560"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0.30 ± 0.01</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49.15%</w:t>
            </w:r>
          </w:p>
        </w:tc>
      </w:tr>
      <w:tr w:rsidR="00341D63">
        <w:trPr>
          <w:trHeight w:val="741"/>
        </w:trPr>
        <w:tc>
          <w:tcPr>
            <w:tcW w:w="1536" w:type="dxa"/>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400mg/kg n-hexane</w:t>
            </w:r>
          </w:p>
        </w:tc>
        <w:tc>
          <w:tcPr>
            <w:tcW w:w="140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0.32 ±0.03</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33.33%</w:t>
            </w:r>
          </w:p>
        </w:tc>
        <w:tc>
          <w:tcPr>
            <w:tcW w:w="1452"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0.30 ± 0.02</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40%</w:t>
            </w:r>
          </w:p>
        </w:tc>
        <w:tc>
          <w:tcPr>
            <w:tcW w:w="1418"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0.28 ± 0.02</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50%</w:t>
            </w:r>
          </w:p>
        </w:tc>
        <w:tc>
          <w:tcPr>
            <w:tcW w:w="1559"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0.27 ± 0 .02</w:t>
            </w:r>
            <w:r>
              <w:rPr>
                <w:rFonts w:ascii="Arial" w:eastAsia="Times New Roman" w:hAnsi="Arial" w:cs="Arial"/>
                <w:color w:val="000000" w:themeColor="text1"/>
                <w:sz w:val="20"/>
                <w:szCs w:val="20"/>
                <w:vertAlign w:val="superscript"/>
              </w:rPr>
              <w:t>bc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50.90%</w:t>
            </w:r>
          </w:p>
        </w:tc>
        <w:tc>
          <w:tcPr>
            <w:tcW w:w="141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0.25 ± 0.02</w:t>
            </w:r>
            <w:r>
              <w:rPr>
                <w:rFonts w:ascii="Arial" w:eastAsia="Times New Roman" w:hAnsi="Arial" w:cs="Arial"/>
                <w:color w:val="000000" w:themeColor="text1"/>
                <w:sz w:val="20"/>
                <w:szCs w:val="20"/>
                <w:vertAlign w:val="superscript"/>
              </w:rPr>
              <w:t>b</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56.14%</w:t>
            </w:r>
          </w:p>
        </w:tc>
        <w:tc>
          <w:tcPr>
            <w:tcW w:w="1560"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0.23 ± 0.1</w:t>
            </w:r>
            <w:r>
              <w:rPr>
                <w:rFonts w:ascii="Arial" w:eastAsia="Times New Roman" w:hAnsi="Arial" w:cs="Arial"/>
                <w:color w:val="000000" w:themeColor="text1"/>
                <w:sz w:val="20"/>
                <w:szCs w:val="20"/>
                <w:vertAlign w:val="superscript"/>
              </w:rPr>
              <w:t>b</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61.01%</w:t>
            </w:r>
          </w:p>
        </w:tc>
      </w:tr>
      <w:tr w:rsidR="00341D63">
        <w:trPr>
          <w:trHeight w:val="741"/>
        </w:trPr>
        <w:tc>
          <w:tcPr>
            <w:tcW w:w="1536" w:type="dxa"/>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100mg/kg ethyl acetate</w:t>
            </w:r>
          </w:p>
        </w:tc>
        <w:tc>
          <w:tcPr>
            <w:tcW w:w="140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0.44 ± 0.03</w:t>
            </w:r>
            <w:r>
              <w:rPr>
                <w:rFonts w:ascii="Arial" w:eastAsia="Times New Roman" w:hAnsi="Arial" w:cs="Arial"/>
                <w:color w:val="000000" w:themeColor="text1"/>
                <w:sz w:val="20"/>
                <w:szCs w:val="20"/>
                <w:vertAlign w:val="superscript"/>
              </w:rPr>
              <w:t>e</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8.33%</w:t>
            </w:r>
          </w:p>
        </w:tc>
        <w:tc>
          <w:tcPr>
            <w:tcW w:w="1452"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0.43 ± 0.03</w:t>
            </w:r>
            <w:r>
              <w:rPr>
                <w:rFonts w:ascii="Arial" w:eastAsia="Times New Roman" w:hAnsi="Arial" w:cs="Arial"/>
                <w:color w:val="000000" w:themeColor="text1"/>
                <w:sz w:val="20"/>
                <w:szCs w:val="20"/>
                <w:vertAlign w:val="superscript"/>
              </w:rPr>
              <w:t>e</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14%</w:t>
            </w:r>
          </w:p>
        </w:tc>
        <w:tc>
          <w:tcPr>
            <w:tcW w:w="1418"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0.41 ± 0.03</w:t>
            </w:r>
            <w:r>
              <w:rPr>
                <w:rFonts w:ascii="Arial" w:eastAsia="Times New Roman" w:hAnsi="Arial" w:cs="Arial"/>
                <w:color w:val="000000" w:themeColor="text1"/>
                <w:sz w:val="20"/>
                <w:szCs w:val="20"/>
                <w:vertAlign w:val="superscript"/>
              </w:rPr>
              <w:t>e</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22.64%</w:t>
            </w:r>
          </w:p>
        </w:tc>
        <w:tc>
          <w:tcPr>
            <w:tcW w:w="1559"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0.35 ± 0.1</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36.36%</w:t>
            </w:r>
          </w:p>
        </w:tc>
        <w:tc>
          <w:tcPr>
            <w:tcW w:w="141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0.37 ± 0.04</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35.08%</w:t>
            </w:r>
          </w:p>
        </w:tc>
        <w:tc>
          <w:tcPr>
            <w:tcW w:w="1560"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0.35 ± 0.04</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40.67%</w:t>
            </w:r>
          </w:p>
        </w:tc>
      </w:tr>
      <w:tr w:rsidR="00341D63">
        <w:trPr>
          <w:trHeight w:val="869"/>
        </w:trPr>
        <w:tc>
          <w:tcPr>
            <w:tcW w:w="1536" w:type="dxa"/>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400mg/kg ethyl acetate</w:t>
            </w:r>
          </w:p>
        </w:tc>
        <w:tc>
          <w:tcPr>
            <w:tcW w:w="140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0.39 ± 0.02</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18.75%</w:t>
            </w:r>
          </w:p>
        </w:tc>
        <w:tc>
          <w:tcPr>
            <w:tcW w:w="1452"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0.38 ± 0.03</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24%</w:t>
            </w:r>
          </w:p>
        </w:tc>
        <w:tc>
          <w:tcPr>
            <w:tcW w:w="1418"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0.36 ± 0.03</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32.07%</w:t>
            </w:r>
          </w:p>
        </w:tc>
        <w:tc>
          <w:tcPr>
            <w:tcW w:w="1559"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0.35 ± 0.03</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36.36%</w:t>
            </w:r>
          </w:p>
        </w:tc>
        <w:tc>
          <w:tcPr>
            <w:tcW w:w="141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0.32 ± 0.04</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43.85%</w:t>
            </w:r>
          </w:p>
        </w:tc>
        <w:tc>
          <w:tcPr>
            <w:tcW w:w="1560"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0.29 ± 0.05</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50.84%</w:t>
            </w:r>
          </w:p>
        </w:tc>
      </w:tr>
      <w:tr w:rsidR="00341D63">
        <w:trPr>
          <w:trHeight w:val="1312"/>
        </w:trPr>
        <w:tc>
          <w:tcPr>
            <w:tcW w:w="1536"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100mg/kg</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Aqueous-methanol</w:t>
            </w:r>
          </w:p>
        </w:tc>
        <w:tc>
          <w:tcPr>
            <w:tcW w:w="140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0.27 ± 0.01</w:t>
            </w:r>
            <w:r>
              <w:rPr>
                <w:rFonts w:ascii="Arial" w:eastAsia="Times New Roman" w:hAnsi="Arial" w:cs="Arial"/>
                <w:color w:val="000000" w:themeColor="text1"/>
                <w:sz w:val="20"/>
                <w:szCs w:val="20"/>
                <w:vertAlign w:val="superscript"/>
              </w:rPr>
              <w:t>b</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43.75%</w:t>
            </w:r>
          </w:p>
        </w:tc>
        <w:tc>
          <w:tcPr>
            <w:tcW w:w="1452"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0.25 ± 0.01</w:t>
            </w:r>
            <w:r>
              <w:rPr>
                <w:rFonts w:ascii="Arial" w:eastAsia="Times New Roman" w:hAnsi="Arial" w:cs="Arial"/>
                <w:color w:val="000000" w:themeColor="text1"/>
                <w:sz w:val="20"/>
                <w:szCs w:val="20"/>
                <w:vertAlign w:val="superscript"/>
              </w:rPr>
              <w:t>b</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50%</w:t>
            </w:r>
          </w:p>
        </w:tc>
        <w:tc>
          <w:tcPr>
            <w:tcW w:w="1418"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0.24 ± 0.01</w:t>
            </w:r>
            <w:r>
              <w:rPr>
                <w:rFonts w:ascii="Arial" w:eastAsia="Times New Roman" w:hAnsi="Arial" w:cs="Arial"/>
                <w:color w:val="000000" w:themeColor="text1"/>
                <w:sz w:val="20"/>
                <w:szCs w:val="20"/>
                <w:vertAlign w:val="superscript"/>
              </w:rPr>
              <w:t>b</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54.71%</w:t>
            </w:r>
          </w:p>
        </w:tc>
        <w:tc>
          <w:tcPr>
            <w:tcW w:w="1559"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0.22 ± 0 .02</w:t>
            </w:r>
            <w:r>
              <w:rPr>
                <w:rFonts w:ascii="Arial" w:eastAsia="Times New Roman" w:hAnsi="Arial" w:cs="Arial"/>
                <w:color w:val="000000" w:themeColor="text1"/>
                <w:sz w:val="20"/>
                <w:szCs w:val="20"/>
                <w:vertAlign w:val="superscript"/>
              </w:rPr>
              <w:t>ab</w:t>
            </w:r>
            <w:r>
              <w:rPr>
                <w:rFonts w:ascii="Arial" w:eastAsia="Times New Roman" w:hAnsi="Arial" w:cs="Arial"/>
                <w:color w:val="000000" w:themeColor="text1"/>
                <w:sz w:val="20"/>
                <w:szCs w:val="20"/>
              </w:rPr>
              <w:t>60%</w:t>
            </w:r>
          </w:p>
        </w:tc>
        <w:tc>
          <w:tcPr>
            <w:tcW w:w="141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0.20 ± 0.01</w:t>
            </w:r>
            <w:r>
              <w:rPr>
                <w:rFonts w:ascii="Arial" w:eastAsia="Times New Roman" w:hAnsi="Arial" w:cs="Arial"/>
                <w:color w:val="000000" w:themeColor="text1"/>
                <w:sz w:val="20"/>
                <w:szCs w:val="20"/>
                <w:vertAlign w:val="superscript"/>
              </w:rPr>
              <w:t>a</w:t>
            </w:r>
          </w:p>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64.91%</w:t>
            </w:r>
          </w:p>
        </w:tc>
        <w:tc>
          <w:tcPr>
            <w:tcW w:w="1560"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0.18 ± 0.02</w:t>
            </w:r>
            <w:r>
              <w:rPr>
                <w:rFonts w:ascii="Arial" w:eastAsia="Times New Roman" w:hAnsi="Arial" w:cs="Arial"/>
                <w:color w:val="000000" w:themeColor="text1"/>
                <w:sz w:val="20"/>
                <w:szCs w:val="20"/>
                <w:vertAlign w:val="superscript"/>
              </w:rPr>
              <w:t>a</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69.49%</w:t>
            </w:r>
          </w:p>
        </w:tc>
      </w:tr>
      <w:tr w:rsidR="00341D63">
        <w:trPr>
          <w:trHeight w:val="859"/>
        </w:trPr>
        <w:tc>
          <w:tcPr>
            <w:tcW w:w="1536"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400mg/kg</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Aqueous-methanol</w:t>
            </w:r>
          </w:p>
        </w:tc>
        <w:tc>
          <w:tcPr>
            <w:tcW w:w="140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0.23 ± 0.02</w:t>
            </w:r>
            <w:r>
              <w:rPr>
                <w:rFonts w:ascii="Arial" w:eastAsia="Times New Roman" w:hAnsi="Arial" w:cs="Arial"/>
                <w:color w:val="000000" w:themeColor="text1"/>
                <w:sz w:val="20"/>
                <w:szCs w:val="20"/>
                <w:vertAlign w:val="superscript"/>
              </w:rPr>
              <w:t>a</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52.08%</w:t>
            </w:r>
          </w:p>
        </w:tc>
        <w:tc>
          <w:tcPr>
            <w:tcW w:w="1452"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0.22 ± 0.02</w:t>
            </w:r>
            <w:r>
              <w:rPr>
                <w:rFonts w:ascii="Arial" w:eastAsia="Times New Roman" w:hAnsi="Arial" w:cs="Arial"/>
                <w:color w:val="000000" w:themeColor="text1"/>
                <w:sz w:val="20"/>
                <w:szCs w:val="20"/>
                <w:vertAlign w:val="superscript"/>
              </w:rPr>
              <w:t>a</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56%</w:t>
            </w:r>
          </w:p>
        </w:tc>
        <w:tc>
          <w:tcPr>
            <w:tcW w:w="1418"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0.20 ± 0.02</w:t>
            </w:r>
            <w:r>
              <w:rPr>
                <w:rFonts w:ascii="Arial" w:eastAsia="Times New Roman" w:hAnsi="Arial" w:cs="Arial"/>
                <w:color w:val="000000" w:themeColor="text1"/>
                <w:sz w:val="20"/>
                <w:szCs w:val="20"/>
                <w:vertAlign w:val="superscript"/>
              </w:rPr>
              <w:t>a</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62.26%</w:t>
            </w:r>
          </w:p>
        </w:tc>
        <w:tc>
          <w:tcPr>
            <w:tcW w:w="1559"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0.19 ± 0 .02</w:t>
            </w:r>
            <w:r>
              <w:rPr>
                <w:rFonts w:ascii="Arial" w:eastAsia="Times New Roman" w:hAnsi="Arial" w:cs="Arial"/>
                <w:color w:val="000000" w:themeColor="text1"/>
                <w:sz w:val="20"/>
                <w:szCs w:val="20"/>
                <w:vertAlign w:val="superscript"/>
              </w:rPr>
              <w:t>a</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65.45%</w:t>
            </w:r>
          </w:p>
        </w:tc>
        <w:tc>
          <w:tcPr>
            <w:tcW w:w="141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0.18 ± 0.02</w:t>
            </w:r>
            <w:r>
              <w:rPr>
                <w:rFonts w:ascii="Arial" w:eastAsia="Times New Roman" w:hAnsi="Arial" w:cs="Arial"/>
                <w:color w:val="000000" w:themeColor="text1"/>
                <w:sz w:val="20"/>
                <w:szCs w:val="20"/>
                <w:vertAlign w:val="superscript"/>
              </w:rPr>
              <w:t>a</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68.42 %</w:t>
            </w:r>
          </w:p>
        </w:tc>
        <w:tc>
          <w:tcPr>
            <w:tcW w:w="1560"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0.16 ± 0.02</w:t>
            </w:r>
            <w:r>
              <w:rPr>
                <w:rFonts w:ascii="Arial" w:eastAsia="Times New Roman" w:hAnsi="Arial" w:cs="Arial"/>
                <w:color w:val="000000" w:themeColor="text1"/>
                <w:sz w:val="20"/>
                <w:szCs w:val="20"/>
                <w:vertAlign w:val="superscript"/>
              </w:rPr>
              <w:t>a</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72.88%</w:t>
            </w:r>
          </w:p>
        </w:tc>
      </w:tr>
      <w:tr w:rsidR="00341D63">
        <w:trPr>
          <w:trHeight w:val="714"/>
        </w:trPr>
        <w:tc>
          <w:tcPr>
            <w:tcW w:w="1536" w:type="dxa"/>
            <w:tcBorders>
              <w:bottom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10mg/kg</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Indomethacin</w:t>
            </w:r>
          </w:p>
        </w:tc>
        <w:tc>
          <w:tcPr>
            <w:tcW w:w="1407" w:type="dxa"/>
            <w:tcBorders>
              <w:bottom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0.39 ± 0.02</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18.75</w:t>
            </w:r>
          </w:p>
        </w:tc>
        <w:tc>
          <w:tcPr>
            <w:tcW w:w="1452" w:type="dxa"/>
            <w:tcBorders>
              <w:bottom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0.37 ± 0.01</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26%</w:t>
            </w:r>
          </w:p>
        </w:tc>
        <w:tc>
          <w:tcPr>
            <w:tcW w:w="1418" w:type="dxa"/>
            <w:tcBorders>
              <w:bottom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0.34 ± 0.02</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35.84%</w:t>
            </w:r>
          </w:p>
        </w:tc>
        <w:tc>
          <w:tcPr>
            <w:tcW w:w="1559" w:type="dxa"/>
            <w:tcBorders>
              <w:bottom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0.32 ± 0.01</w:t>
            </w:r>
            <w:r>
              <w:rPr>
                <w:rFonts w:ascii="Arial" w:eastAsia="Times New Roman" w:hAnsi="Arial" w:cs="Arial"/>
                <w:color w:val="000000" w:themeColor="text1"/>
                <w:sz w:val="20"/>
                <w:szCs w:val="20"/>
                <w:vertAlign w:val="superscript"/>
              </w:rPr>
              <w:t>cd</w:t>
            </w:r>
          </w:p>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41.81%</w:t>
            </w:r>
          </w:p>
          <w:p w:rsidR="00341D63" w:rsidRDefault="00341D63">
            <w:pPr>
              <w:rPr>
                <w:rFonts w:ascii="Arial" w:hAnsi="Arial" w:cs="Arial"/>
                <w:color w:val="000000" w:themeColor="text1"/>
                <w:sz w:val="20"/>
                <w:szCs w:val="20"/>
              </w:rPr>
            </w:pPr>
          </w:p>
        </w:tc>
        <w:tc>
          <w:tcPr>
            <w:tcW w:w="1417" w:type="dxa"/>
            <w:tcBorders>
              <w:bottom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0.30 ± 0.01</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47.38%</w:t>
            </w:r>
          </w:p>
        </w:tc>
        <w:tc>
          <w:tcPr>
            <w:tcW w:w="1560" w:type="dxa"/>
            <w:tcBorders>
              <w:bottom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0.27 ± 0.02</w:t>
            </w:r>
            <w:r>
              <w:rPr>
                <w:rFonts w:ascii="Arial" w:eastAsia="Times New Roman" w:hAnsi="Arial" w:cs="Arial"/>
                <w:color w:val="000000" w:themeColor="text1"/>
                <w:sz w:val="20"/>
                <w:szCs w:val="20"/>
                <w:vertAlign w:val="superscript"/>
              </w:rPr>
              <w:t>bc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54.24%</w:t>
            </w:r>
          </w:p>
        </w:tc>
      </w:tr>
    </w:tbl>
    <w:p w:rsidR="00341D63" w:rsidRDefault="00377729">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 change in paw circumference</w:t>
      </w:r>
    </w:p>
    <w:p w:rsidR="00341D63" w:rsidRDefault="00377729">
      <w:pPr>
        <w:spacing w:after="0" w:line="240" w:lineRule="auto"/>
        <w:jc w:val="both"/>
        <w:rPr>
          <w:rFonts w:ascii="Arial" w:hAnsi="Arial" w:cs="Arial"/>
          <w:color w:val="000000" w:themeColor="text1"/>
          <w:sz w:val="20"/>
          <w:szCs w:val="20"/>
        </w:rPr>
      </w:pPr>
      <w:r>
        <w:rPr>
          <w:rFonts w:ascii="Arial" w:eastAsia="Times New Roman" w:hAnsi="Arial" w:cs="Arial"/>
          <w:color w:val="000000" w:themeColor="text1"/>
          <w:sz w:val="20"/>
          <w:szCs w:val="20"/>
        </w:rPr>
        <w:t>Values are presented as mean ± SD, n=4, p &lt; 0.05</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Percentage inhibition of oedema was calculated relative to control</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Mean values with different letters of alphabet down to the column are significantly different (P &lt; 0.05) while mean values with the same letters of alphabet down the column are not- significantly different (P &gt; 0.05).</w:t>
      </w: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77729">
      <w:pPr>
        <w:spacing w:after="0" w:line="480" w:lineRule="auto"/>
        <w:rPr>
          <w:rFonts w:ascii="Arial" w:hAnsi="Arial" w:cs="Arial"/>
          <w:b/>
          <w:bCs/>
          <w:sz w:val="20"/>
          <w:szCs w:val="20"/>
        </w:rPr>
      </w:pPr>
      <w:proofErr w:type="gramStart"/>
      <w:r>
        <w:rPr>
          <w:rFonts w:ascii="Arial" w:hAnsi="Arial" w:cs="Arial"/>
          <w:b/>
          <w:bCs/>
          <w:sz w:val="20"/>
          <w:szCs w:val="20"/>
        </w:rPr>
        <w:t>3.2  EFFECT</w:t>
      </w:r>
      <w:proofErr w:type="gramEnd"/>
      <w:r>
        <w:rPr>
          <w:rFonts w:ascii="Arial" w:hAnsi="Arial" w:cs="Arial"/>
          <w:b/>
          <w:bCs/>
          <w:sz w:val="20"/>
          <w:szCs w:val="20"/>
        </w:rPr>
        <w:t xml:space="preserve"> OF FRACTIONS ON ACETIC ACID INDUCED NOCICEPTIVE (ANALGESIC)</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As shown in Table 2, all the fractions (n-hexane, ethyl acetate and aqueous-methanol) as well as the standard drug, indomethacin exhibited a significant (P&lt;0.05) inhibition of writhing induced by acetic acid though not dose dependently in n-hexane fraction. The inhibitory effect observed in groups treated with aqueous-methanol fraction was found to be higher than that observed in n-hexane and ethyl acetate fractions.</w:t>
      </w:r>
    </w:p>
    <w:p w:rsidR="00341D63" w:rsidRDefault="00377729">
      <w:pPr>
        <w:spacing w:line="480" w:lineRule="auto"/>
        <w:rPr>
          <w:rFonts w:ascii="Arial" w:hAnsi="Arial" w:cs="Arial"/>
          <w:b/>
          <w:bCs/>
          <w:sz w:val="20"/>
          <w:szCs w:val="20"/>
        </w:rPr>
      </w:pPr>
      <w:r>
        <w:rPr>
          <w:rFonts w:ascii="Arial" w:hAnsi="Arial" w:cs="Arial"/>
          <w:b/>
          <w:sz w:val="20"/>
          <w:szCs w:val="20"/>
        </w:rPr>
        <w:t xml:space="preserve">TABLE 2: </w:t>
      </w:r>
      <w:r>
        <w:rPr>
          <w:rFonts w:ascii="Arial" w:hAnsi="Arial" w:cs="Arial"/>
          <w:b/>
          <w:bCs/>
          <w:sz w:val="20"/>
          <w:szCs w:val="20"/>
        </w:rPr>
        <w:t>EFFECT OF FRACTIONS ON ACETIC ACID INDUCED NOCICEPTIVE (ANALGESIC)</w:t>
      </w:r>
    </w:p>
    <w:p w:rsidR="00341D63" w:rsidRDefault="00341D63">
      <w:pPr>
        <w:spacing w:line="480" w:lineRule="auto"/>
        <w:rPr>
          <w:rFonts w:ascii="Arial" w:hAnsi="Arial" w:cs="Arial"/>
          <w:bCs/>
          <w:sz w:val="20"/>
          <w:szCs w:val="20"/>
        </w:rPr>
      </w:pPr>
    </w:p>
    <w:tbl>
      <w:tblPr>
        <w:tblW w:w="10482" w:type="dxa"/>
        <w:tblInd w:w="-142" w:type="dxa"/>
        <w:tblLayout w:type="fixed"/>
        <w:tblCellMar>
          <w:left w:w="0" w:type="dxa"/>
          <w:right w:w="0" w:type="dxa"/>
        </w:tblCellMar>
        <w:tblLook w:val="0420" w:firstRow="1" w:lastRow="0" w:firstColumn="0" w:lastColumn="0" w:noHBand="0" w:noVBand="1"/>
      </w:tblPr>
      <w:tblGrid>
        <w:gridCol w:w="1135"/>
        <w:gridCol w:w="1125"/>
        <w:gridCol w:w="1710"/>
        <w:gridCol w:w="1559"/>
        <w:gridCol w:w="1559"/>
        <w:gridCol w:w="1043"/>
        <w:gridCol w:w="1043"/>
        <w:gridCol w:w="1308"/>
      </w:tblGrid>
      <w:tr w:rsidR="00341D63">
        <w:trPr>
          <w:trHeight w:val="641"/>
        </w:trPr>
        <w:tc>
          <w:tcPr>
            <w:tcW w:w="113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bCs/>
                <w:color w:val="000000" w:themeColor="text1"/>
                <w:sz w:val="20"/>
                <w:szCs w:val="20"/>
              </w:rPr>
              <w:t>Groups</w:t>
            </w:r>
          </w:p>
        </w:tc>
        <w:tc>
          <w:tcPr>
            <w:tcW w:w="112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bCs/>
                <w:color w:val="000000" w:themeColor="text1"/>
                <w:sz w:val="20"/>
                <w:szCs w:val="20"/>
              </w:rPr>
              <w:t>Dose (mg/kg)</w:t>
            </w:r>
          </w:p>
        </w:tc>
        <w:tc>
          <w:tcPr>
            <w:tcW w:w="4828" w:type="dxa"/>
            <w:gridSpan w:val="3"/>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bCs/>
                <w:color w:val="000000" w:themeColor="text1"/>
                <w:sz w:val="20"/>
                <w:szCs w:val="20"/>
              </w:rPr>
              <w:t xml:space="preserve">No of writhing (counts/20 </w:t>
            </w:r>
            <w:proofErr w:type="spellStart"/>
            <w:r>
              <w:rPr>
                <w:rFonts w:ascii="Arial" w:hAnsi="Arial" w:cs="Arial"/>
                <w:bCs/>
                <w:color w:val="000000" w:themeColor="text1"/>
                <w:sz w:val="20"/>
                <w:szCs w:val="20"/>
              </w:rPr>
              <w:t>mins</w:t>
            </w:r>
            <w:proofErr w:type="spellEnd"/>
            <w:r>
              <w:rPr>
                <w:rFonts w:ascii="Arial" w:hAnsi="Arial" w:cs="Arial"/>
                <w:bCs/>
                <w:color w:val="000000" w:themeColor="text1"/>
                <w:sz w:val="20"/>
                <w:szCs w:val="20"/>
              </w:rPr>
              <w:t>)</w:t>
            </w:r>
          </w:p>
        </w:tc>
        <w:tc>
          <w:tcPr>
            <w:tcW w:w="3394" w:type="dxa"/>
            <w:gridSpan w:val="3"/>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bCs/>
                <w:color w:val="000000" w:themeColor="text1"/>
                <w:sz w:val="20"/>
                <w:szCs w:val="20"/>
              </w:rPr>
              <w:t>Percentage (%) inhibition</w:t>
            </w:r>
          </w:p>
        </w:tc>
      </w:tr>
      <w:tr w:rsidR="00341D63">
        <w:trPr>
          <w:trHeight w:val="778"/>
        </w:trPr>
        <w:tc>
          <w:tcPr>
            <w:tcW w:w="1135"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41D63">
            <w:pPr>
              <w:spacing w:line="240" w:lineRule="auto"/>
              <w:rPr>
                <w:rFonts w:ascii="Arial" w:hAnsi="Arial" w:cs="Arial"/>
                <w:color w:val="000000" w:themeColor="text1"/>
                <w:sz w:val="20"/>
                <w:szCs w:val="20"/>
              </w:rPr>
            </w:pPr>
          </w:p>
        </w:tc>
        <w:tc>
          <w:tcPr>
            <w:tcW w:w="1125"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41D63">
            <w:pPr>
              <w:spacing w:line="240" w:lineRule="auto"/>
              <w:rPr>
                <w:rFonts w:ascii="Arial" w:hAnsi="Arial" w:cs="Arial"/>
                <w:color w:val="000000" w:themeColor="text1"/>
                <w:sz w:val="20"/>
                <w:szCs w:val="20"/>
              </w:rPr>
            </w:pPr>
          </w:p>
        </w:tc>
        <w:tc>
          <w:tcPr>
            <w:tcW w:w="1710"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color w:val="000000" w:themeColor="text1"/>
                <w:sz w:val="20"/>
                <w:szCs w:val="20"/>
              </w:rPr>
              <w:t>N-hexane</w:t>
            </w:r>
          </w:p>
        </w:tc>
        <w:tc>
          <w:tcPr>
            <w:tcW w:w="1559"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color w:val="000000" w:themeColor="text1"/>
                <w:sz w:val="20"/>
                <w:szCs w:val="20"/>
              </w:rPr>
              <w:t>Ethyl acetate</w:t>
            </w:r>
          </w:p>
        </w:tc>
        <w:tc>
          <w:tcPr>
            <w:tcW w:w="1559"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color w:val="000000" w:themeColor="text1"/>
                <w:sz w:val="20"/>
                <w:szCs w:val="20"/>
              </w:rPr>
              <w:t>Aqueous-methanol</w:t>
            </w:r>
          </w:p>
        </w:tc>
        <w:tc>
          <w:tcPr>
            <w:tcW w:w="1043"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color w:val="000000" w:themeColor="text1"/>
                <w:sz w:val="20"/>
                <w:szCs w:val="20"/>
              </w:rPr>
              <w:t>N-hexane</w:t>
            </w:r>
          </w:p>
        </w:tc>
        <w:tc>
          <w:tcPr>
            <w:tcW w:w="1043"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color w:val="000000" w:themeColor="text1"/>
                <w:sz w:val="20"/>
                <w:szCs w:val="20"/>
              </w:rPr>
              <w:t>Ethyl acetate</w:t>
            </w:r>
          </w:p>
        </w:tc>
        <w:tc>
          <w:tcPr>
            <w:tcW w:w="1308"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color w:val="000000" w:themeColor="text1"/>
                <w:sz w:val="20"/>
                <w:szCs w:val="20"/>
              </w:rPr>
              <w:t>Aqueous-methanol</w:t>
            </w:r>
          </w:p>
        </w:tc>
      </w:tr>
      <w:tr w:rsidR="00341D63">
        <w:trPr>
          <w:trHeight w:val="1037"/>
        </w:trPr>
        <w:tc>
          <w:tcPr>
            <w:tcW w:w="113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1</w:t>
            </w:r>
          </w:p>
        </w:tc>
        <w:tc>
          <w:tcPr>
            <w:tcW w:w="112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 ml</w:t>
            </w:r>
          </w:p>
        </w:tc>
        <w:tc>
          <w:tcPr>
            <w:tcW w:w="1710"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56.80 ± 7.90</w:t>
            </w:r>
            <w:r>
              <w:rPr>
                <w:rFonts w:ascii="Arial" w:hAnsi="Arial" w:cs="Arial"/>
                <w:bCs/>
                <w:color w:val="000000" w:themeColor="text1"/>
                <w:sz w:val="20"/>
                <w:szCs w:val="20"/>
                <w:vertAlign w:val="superscript"/>
              </w:rPr>
              <w:t>d</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56.8 ± 7.90</w:t>
            </w:r>
            <w:r>
              <w:rPr>
                <w:rFonts w:ascii="Arial" w:hAnsi="Arial" w:cs="Arial"/>
                <w:bCs/>
                <w:color w:val="000000" w:themeColor="text1"/>
                <w:sz w:val="20"/>
                <w:szCs w:val="20"/>
                <w:vertAlign w:val="superscript"/>
              </w:rPr>
              <w:t>d</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56.8 ± 7.90</w:t>
            </w:r>
            <w:r>
              <w:rPr>
                <w:rFonts w:ascii="Arial" w:hAnsi="Arial" w:cs="Arial"/>
                <w:bCs/>
                <w:color w:val="000000" w:themeColor="text1"/>
                <w:sz w:val="20"/>
                <w:szCs w:val="20"/>
                <w:vertAlign w:val="superscript"/>
              </w:rPr>
              <w:t>d</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w:t>
            </w:r>
          </w:p>
        </w:tc>
        <w:tc>
          <w:tcPr>
            <w:tcW w:w="1308"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w:t>
            </w:r>
          </w:p>
        </w:tc>
      </w:tr>
      <w:tr w:rsidR="00341D63">
        <w:trPr>
          <w:trHeight w:val="1037"/>
        </w:trPr>
        <w:tc>
          <w:tcPr>
            <w:tcW w:w="113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w:t>
            </w:r>
          </w:p>
        </w:tc>
        <w:tc>
          <w:tcPr>
            <w:tcW w:w="112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100</w:t>
            </w:r>
          </w:p>
        </w:tc>
        <w:tc>
          <w:tcPr>
            <w:tcW w:w="1710"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34.00 ± 2.16</w:t>
            </w:r>
            <w:r>
              <w:rPr>
                <w:rFonts w:ascii="Arial" w:hAnsi="Arial" w:cs="Arial"/>
                <w:bCs/>
                <w:color w:val="000000" w:themeColor="text1"/>
                <w:sz w:val="20"/>
                <w:szCs w:val="20"/>
                <w:vertAlign w:val="superscript"/>
              </w:rPr>
              <w:t>c</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30.25 ± 2.6</w:t>
            </w:r>
            <w:r>
              <w:rPr>
                <w:rFonts w:ascii="Arial" w:hAnsi="Arial" w:cs="Arial"/>
                <w:bCs/>
                <w:color w:val="000000" w:themeColor="text1"/>
                <w:sz w:val="20"/>
                <w:szCs w:val="20"/>
                <w:vertAlign w:val="superscript"/>
              </w:rPr>
              <w:t>b</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33.5 ± 3.4</w:t>
            </w:r>
            <w:r>
              <w:rPr>
                <w:rFonts w:ascii="Arial" w:hAnsi="Arial" w:cs="Arial"/>
                <w:bCs/>
                <w:color w:val="000000" w:themeColor="text1"/>
                <w:sz w:val="20"/>
                <w:szCs w:val="20"/>
                <w:vertAlign w:val="superscript"/>
              </w:rPr>
              <w:t>c</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40.1</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46.7</w:t>
            </w:r>
          </w:p>
        </w:tc>
        <w:tc>
          <w:tcPr>
            <w:tcW w:w="1308"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41</w:t>
            </w:r>
          </w:p>
        </w:tc>
      </w:tr>
      <w:tr w:rsidR="00341D63">
        <w:trPr>
          <w:trHeight w:val="1037"/>
        </w:trPr>
        <w:tc>
          <w:tcPr>
            <w:tcW w:w="113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3</w:t>
            </w:r>
          </w:p>
        </w:tc>
        <w:tc>
          <w:tcPr>
            <w:tcW w:w="112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200</w:t>
            </w:r>
          </w:p>
        </w:tc>
        <w:tc>
          <w:tcPr>
            <w:tcW w:w="1710"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29.00 ± 8.79</w:t>
            </w:r>
            <w:r>
              <w:rPr>
                <w:rFonts w:ascii="Arial" w:hAnsi="Arial" w:cs="Arial"/>
                <w:bCs/>
                <w:color w:val="000000" w:themeColor="text1"/>
                <w:sz w:val="20"/>
                <w:szCs w:val="20"/>
                <w:vertAlign w:val="superscript"/>
              </w:rPr>
              <w:t>bc</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27.25 ± 6.4</w:t>
            </w:r>
            <w:r>
              <w:rPr>
                <w:rFonts w:ascii="Arial" w:hAnsi="Arial" w:cs="Arial"/>
                <w:bCs/>
                <w:color w:val="000000" w:themeColor="text1"/>
                <w:sz w:val="20"/>
                <w:szCs w:val="20"/>
                <w:vertAlign w:val="superscript"/>
              </w:rPr>
              <w:t>b</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25.3 ± 2.2</w:t>
            </w:r>
            <w:r>
              <w:rPr>
                <w:rFonts w:ascii="Arial" w:hAnsi="Arial" w:cs="Arial"/>
                <w:bCs/>
                <w:color w:val="000000" w:themeColor="text1"/>
                <w:sz w:val="20"/>
                <w:szCs w:val="20"/>
                <w:vertAlign w:val="superscript"/>
              </w:rPr>
              <w:t>b</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48.9</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51.9</w:t>
            </w:r>
          </w:p>
        </w:tc>
        <w:tc>
          <w:tcPr>
            <w:tcW w:w="1308"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55.4</w:t>
            </w:r>
          </w:p>
        </w:tc>
      </w:tr>
      <w:tr w:rsidR="00341D63">
        <w:trPr>
          <w:trHeight w:val="1037"/>
        </w:trPr>
        <w:tc>
          <w:tcPr>
            <w:tcW w:w="113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4</w:t>
            </w:r>
          </w:p>
        </w:tc>
        <w:tc>
          <w:tcPr>
            <w:tcW w:w="112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400</w:t>
            </w:r>
          </w:p>
        </w:tc>
        <w:tc>
          <w:tcPr>
            <w:tcW w:w="1710"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24.25 ± 4.35</w:t>
            </w:r>
            <w:r>
              <w:rPr>
                <w:rFonts w:ascii="Arial" w:hAnsi="Arial" w:cs="Arial"/>
                <w:bCs/>
                <w:color w:val="000000" w:themeColor="text1"/>
                <w:sz w:val="20"/>
                <w:szCs w:val="20"/>
                <w:vertAlign w:val="superscript"/>
              </w:rPr>
              <w:t>b</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24.00 ± 3.4</w:t>
            </w:r>
            <w:r>
              <w:rPr>
                <w:rFonts w:ascii="Arial" w:hAnsi="Arial" w:cs="Arial"/>
                <w:bCs/>
                <w:color w:val="000000" w:themeColor="text1"/>
                <w:sz w:val="20"/>
                <w:szCs w:val="20"/>
                <w:vertAlign w:val="superscript"/>
              </w:rPr>
              <w:t>b</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20.0 ± 3.7</w:t>
            </w:r>
            <w:r>
              <w:rPr>
                <w:rFonts w:ascii="Arial" w:hAnsi="Arial" w:cs="Arial"/>
                <w:bCs/>
                <w:color w:val="000000" w:themeColor="text1"/>
                <w:sz w:val="20"/>
                <w:szCs w:val="20"/>
                <w:vertAlign w:val="superscript"/>
              </w:rPr>
              <w:t>ab</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39.2</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57.0</w:t>
            </w:r>
          </w:p>
        </w:tc>
        <w:tc>
          <w:tcPr>
            <w:tcW w:w="1308"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64.8</w:t>
            </w:r>
          </w:p>
        </w:tc>
      </w:tr>
      <w:tr w:rsidR="00341D63">
        <w:trPr>
          <w:trHeight w:val="1037"/>
        </w:trPr>
        <w:tc>
          <w:tcPr>
            <w:tcW w:w="1135"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5</w:t>
            </w:r>
          </w:p>
        </w:tc>
        <w:tc>
          <w:tcPr>
            <w:tcW w:w="1125"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10</w:t>
            </w:r>
          </w:p>
        </w:tc>
        <w:tc>
          <w:tcPr>
            <w:tcW w:w="1710"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14.50 ± 2.30</w:t>
            </w:r>
            <w:r>
              <w:rPr>
                <w:rFonts w:ascii="Arial" w:hAnsi="Arial" w:cs="Arial"/>
                <w:bCs/>
                <w:color w:val="000000" w:themeColor="text1"/>
                <w:sz w:val="20"/>
                <w:szCs w:val="20"/>
                <w:vertAlign w:val="superscript"/>
              </w:rPr>
              <w:t>a</w:t>
            </w:r>
          </w:p>
        </w:tc>
        <w:tc>
          <w:tcPr>
            <w:tcW w:w="1559"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14.5 ± 2.3</w:t>
            </w:r>
            <w:r>
              <w:rPr>
                <w:rFonts w:ascii="Arial" w:hAnsi="Arial" w:cs="Arial"/>
                <w:bCs/>
                <w:color w:val="000000" w:themeColor="text1"/>
                <w:sz w:val="20"/>
                <w:szCs w:val="20"/>
                <w:vertAlign w:val="superscript"/>
              </w:rPr>
              <w:t>a</w:t>
            </w:r>
          </w:p>
        </w:tc>
        <w:tc>
          <w:tcPr>
            <w:tcW w:w="1559"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14.5 ± 2.3</w:t>
            </w:r>
            <w:r>
              <w:rPr>
                <w:rFonts w:ascii="Arial" w:hAnsi="Arial" w:cs="Arial"/>
                <w:bCs/>
                <w:color w:val="000000" w:themeColor="text1"/>
                <w:sz w:val="20"/>
                <w:szCs w:val="20"/>
                <w:vertAlign w:val="superscript"/>
              </w:rPr>
              <w:t>a</w:t>
            </w:r>
          </w:p>
        </w:tc>
        <w:tc>
          <w:tcPr>
            <w:tcW w:w="1043"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74.4</w:t>
            </w:r>
          </w:p>
        </w:tc>
        <w:tc>
          <w:tcPr>
            <w:tcW w:w="1043"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74.4</w:t>
            </w:r>
          </w:p>
        </w:tc>
        <w:tc>
          <w:tcPr>
            <w:tcW w:w="1308"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74.4</w:t>
            </w:r>
          </w:p>
        </w:tc>
      </w:tr>
    </w:tbl>
    <w:p w:rsidR="00341D63" w:rsidRDefault="00377729">
      <w:pPr>
        <w:spacing w:after="0" w:line="240" w:lineRule="auto"/>
        <w:jc w:val="both"/>
        <w:rPr>
          <w:rFonts w:ascii="Arial" w:hAnsi="Arial" w:cs="Arial"/>
          <w:color w:val="000000" w:themeColor="text1"/>
          <w:sz w:val="20"/>
          <w:szCs w:val="20"/>
        </w:rPr>
      </w:pPr>
      <w:r>
        <w:rPr>
          <w:rFonts w:ascii="Arial" w:eastAsia="Times New Roman" w:hAnsi="Arial" w:cs="Arial"/>
          <w:color w:val="000000" w:themeColor="text1"/>
          <w:sz w:val="20"/>
          <w:szCs w:val="20"/>
        </w:rPr>
        <w:t>Values are presented as mean ± SD, n=4, p &lt; 0.05</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Percentage inhibition was calculated relative to control</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Mean values with different letters of alphabet down to the column are significantly different (P &lt; 0.05) while mean values with the same letters of alphabet are not- significantly different (P &gt; 0.05).</w:t>
      </w: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77729">
      <w:pPr>
        <w:spacing w:line="480" w:lineRule="auto"/>
        <w:rPr>
          <w:rFonts w:ascii="Arial" w:hAnsi="Arial" w:cs="Arial"/>
          <w:b/>
          <w:sz w:val="20"/>
          <w:szCs w:val="20"/>
        </w:rPr>
      </w:pPr>
      <w:proofErr w:type="gramStart"/>
      <w:r>
        <w:rPr>
          <w:rFonts w:ascii="Arial" w:hAnsi="Arial" w:cs="Arial"/>
          <w:b/>
          <w:bCs/>
          <w:sz w:val="20"/>
          <w:szCs w:val="20"/>
        </w:rPr>
        <w:lastRenderedPageBreak/>
        <w:t>3.3  EFFECT</w:t>
      </w:r>
      <w:proofErr w:type="gramEnd"/>
      <w:r>
        <w:rPr>
          <w:rFonts w:ascii="Arial" w:hAnsi="Arial" w:cs="Arial"/>
          <w:b/>
          <w:bCs/>
          <w:sz w:val="20"/>
          <w:szCs w:val="20"/>
        </w:rPr>
        <w:t xml:space="preserve"> OF FRACTIONS ON AGAR INDUCED </w:t>
      </w:r>
      <w:r>
        <w:rPr>
          <w:rFonts w:ascii="Arial" w:hAnsi="Arial" w:cs="Arial"/>
          <w:b/>
          <w:bCs/>
          <w:i/>
          <w:iCs/>
          <w:sz w:val="20"/>
          <w:szCs w:val="20"/>
        </w:rPr>
        <w:t>IN VIVO</w:t>
      </w:r>
      <w:r>
        <w:rPr>
          <w:rFonts w:ascii="Arial" w:hAnsi="Arial" w:cs="Arial"/>
          <w:b/>
          <w:bCs/>
          <w:sz w:val="20"/>
          <w:szCs w:val="20"/>
        </w:rPr>
        <w:t xml:space="preserve"> LEUCOCYTE MOBILISATION</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As shown in table 3, the n-hexane fraction caused a significant reduction in the in vivo leukocyte migration to the inflammation area induced by agar. The percentage inhibitions of migration were lower than that obtained for the groups treated with indomethacin. The proportion of neutrophils in the </w:t>
      </w:r>
      <w:proofErr w:type="spellStart"/>
      <w:r>
        <w:rPr>
          <w:rFonts w:ascii="Arial" w:hAnsi="Arial" w:cs="Arial"/>
          <w:bCs/>
          <w:color w:val="000000" w:themeColor="text1"/>
          <w:sz w:val="20"/>
          <w:szCs w:val="20"/>
        </w:rPr>
        <w:t>perfusate</w:t>
      </w:r>
      <w:proofErr w:type="spellEnd"/>
      <w:r>
        <w:rPr>
          <w:rFonts w:ascii="Arial" w:hAnsi="Arial" w:cs="Arial"/>
          <w:bCs/>
          <w:color w:val="000000" w:themeColor="text1"/>
          <w:sz w:val="20"/>
          <w:szCs w:val="20"/>
        </w:rPr>
        <w:t xml:space="preserve"> was higher than lymphocytes and macrophages in all the groups administered with n-hexane fraction compared to the control. All the doses of ethyl acetate fraction significantly reduced (p &lt; 0.05) the agar induced in vivo leukocyte migration to the inflamed area, though not dose dependently. The percentage inhibitions of migration obtained with were 32.9, 63.3 and 58.6 % respectively and were lower than the 69.9 % inhibition obtained for the group treated with indomethacin. While the aqueous-methanol fraction significantly reduced (p &lt; 0.05) the agar induced in vivo leukocyte migration to the inflamed area. The percentage inhibition of migration obtained were 54.5, 63.3 and 62.1 % respectively and was lower than the 69.9 % inhibition obtained for the group treated with indomethacin. The proportion of neutrophils in the </w:t>
      </w:r>
      <w:proofErr w:type="spellStart"/>
      <w:r>
        <w:rPr>
          <w:rFonts w:ascii="Arial" w:hAnsi="Arial" w:cs="Arial"/>
          <w:bCs/>
          <w:color w:val="000000" w:themeColor="text1"/>
          <w:sz w:val="20"/>
          <w:szCs w:val="20"/>
        </w:rPr>
        <w:t>perfusate</w:t>
      </w:r>
      <w:proofErr w:type="spellEnd"/>
      <w:r>
        <w:rPr>
          <w:rFonts w:ascii="Arial" w:hAnsi="Arial" w:cs="Arial"/>
          <w:bCs/>
          <w:color w:val="000000" w:themeColor="text1"/>
          <w:sz w:val="20"/>
          <w:szCs w:val="20"/>
        </w:rPr>
        <w:t xml:space="preserve"> was higher than lymphocytes and macrophages compared to the control. </w:t>
      </w:r>
      <w:r>
        <w:rPr>
          <w:rFonts w:ascii="Arial" w:hAnsi="Arial" w:cs="Arial"/>
          <w:bCs/>
          <w:sz w:val="20"/>
          <w:szCs w:val="20"/>
        </w:rPr>
        <w:t>Comparatively, the total leukocyte migrations produced by the n-hexane and ethyl acetate treated groups were higher than that obtained for the aqueous-methanol fraction. Conversely, the aqueous-methanol fraction showed a greater inhibition of leukocyte migration to the flamed area than was obtained with n-hexane and ethyl acetate doses except for groups treated with n-hexane 400 mg/kg.</w:t>
      </w: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77729">
      <w:pPr>
        <w:rPr>
          <w:rFonts w:ascii="Arial" w:hAnsi="Arial" w:cs="Arial"/>
          <w:b/>
          <w:bCs/>
          <w:sz w:val="20"/>
          <w:szCs w:val="20"/>
        </w:rPr>
      </w:pPr>
      <w:r>
        <w:rPr>
          <w:rFonts w:ascii="Arial" w:hAnsi="Arial" w:cs="Arial"/>
          <w:b/>
          <w:sz w:val="20"/>
          <w:szCs w:val="20"/>
        </w:rPr>
        <w:lastRenderedPageBreak/>
        <w:t xml:space="preserve">TABLE 3: </w:t>
      </w:r>
      <w:r>
        <w:rPr>
          <w:rFonts w:ascii="Arial" w:hAnsi="Arial" w:cs="Arial"/>
          <w:b/>
          <w:bCs/>
          <w:sz w:val="20"/>
          <w:szCs w:val="20"/>
        </w:rPr>
        <w:t xml:space="preserve">EFFECT OF FRACTIONS ON AGAR INDUCED </w:t>
      </w:r>
      <w:r>
        <w:rPr>
          <w:rFonts w:ascii="Arial" w:hAnsi="Arial" w:cs="Arial"/>
          <w:b/>
          <w:bCs/>
          <w:i/>
          <w:iCs/>
          <w:sz w:val="20"/>
          <w:szCs w:val="20"/>
        </w:rPr>
        <w:t>IN VIVO</w:t>
      </w:r>
      <w:r>
        <w:rPr>
          <w:rFonts w:ascii="Arial" w:hAnsi="Arial" w:cs="Arial"/>
          <w:b/>
          <w:bCs/>
          <w:sz w:val="20"/>
          <w:szCs w:val="20"/>
        </w:rPr>
        <w:t xml:space="preserve"> LEUCOCYTE MOBILISATION</w:t>
      </w:r>
    </w:p>
    <w:tbl>
      <w:tblPr>
        <w:tblpPr w:leftFromText="180" w:rightFromText="180" w:vertAnchor="page" w:horzAnchor="margin" w:tblpXSpec="center" w:tblpY="2341"/>
        <w:tblW w:w="10224" w:type="dxa"/>
        <w:tblCellMar>
          <w:left w:w="0" w:type="dxa"/>
          <w:right w:w="0" w:type="dxa"/>
        </w:tblCellMar>
        <w:tblLook w:val="0420" w:firstRow="1" w:lastRow="0" w:firstColumn="0" w:lastColumn="0" w:noHBand="0" w:noVBand="1"/>
      </w:tblPr>
      <w:tblGrid>
        <w:gridCol w:w="1744"/>
        <w:gridCol w:w="1126"/>
        <w:gridCol w:w="1582"/>
        <w:gridCol w:w="1253"/>
        <w:gridCol w:w="89"/>
        <w:gridCol w:w="929"/>
        <w:gridCol w:w="980"/>
        <w:gridCol w:w="860"/>
        <w:gridCol w:w="801"/>
        <w:gridCol w:w="860"/>
      </w:tblGrid>
      <w:tr w:rsidR="00341D63">
        <w:trPr>
          <w:trHeight w:val="576"/>
        </w:trPr>
        <w:tc>
          <w:tcPr>
            <w:tcW w:w="1744"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rPr>
                <w:rFonts w:ascii="Arial" w:hAnsi="Arial" w:cs="Arial"/>
                <w:sz w:val="20"/>
                <w:szCs w:val="20"/>
              </w:rPr>
            </w:pPr>
            <w:r>
              <w:rPr>
                <w:rFonts w:ascii="Arial" w:hAnsi="Arial" w:cs="Arial"/>
                <w:bCs/>
                <w:sz w:val="20"/>
                <w:szCs w:val="20"/>
              </w:rPr>
              <w:t>Treatment</w:t>
            </w:r>
          </w:p>
        </w:tc>
        <w:tc>
          <w:tcPr>
            <w:tcW w:w="1126"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rPr>
                <w:rFonts w:ascii="Arial" w:hAnsi="Arial" w:cs="Arial"/>
                <w:sz w:val="20"/>
                <w:szCs w:val="20"/>
              </w:rPr>
            </w:pPr>
            <w:r>
              <w:rPr>
                <w:rFonts w:ascii="Arial" w:hAnsi="Arial" w:cs="Arial"/>
                <w:bCs/>
                <w:sz w:val="20"/>
                <w:szCs w:val="20"/>
              </w:rPr>
              <w:t>Dose (mg/kg)</w:t>
            </w:r>
          </w:p>
        </w:tc>
        <w:tc>
          <w:tcPr>
            <w:tcW w:w="1582"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rPr>
                <w:rFonts w:ascii="Arial" w:hAnsi="Arial" w:cs="Arial"/>
                <w:sz w:val="20"/>
                <w:szCs w:val="20"/>
              </w:rPr>
            </w:pPr>
            <w:r>
              <w:rPr>
                <w:rFonts w:ascii="Arial" w:hAnsi="Arial" w:cs="Arial"/>
                <w:bCs/>
                <w:sz w:val="20"/>
                <w:szCs w:val="20"/>
              </w:rPr>
              <w:t>TLC (mm3)</w:t>
            </w:r>
          </w:p>
        </w:tc>
        <w:tc>
          <w:tcPr>
            <w:tcW w:w="1342" w:type="dxa"/>
            <w:gridSpan w:val="2"/>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rPr>
                <w:rFonts w:ascii="Arial" w:hAnsi="Arial" w:cs="Arial"/>
                <w:sz w:val="20"/>
                <w:szCs w:val="20"/>
              </w:rPr>
            </w:pPr>
            <w:r>
              <w:rPr>
                <w:rFonts w:ascii="Arial" w:hAnsi="Arial" w:cs="Arial"/>
                <w:bCs/>
                <w:sz w:val="20"/>
                <w:szCs w:val="20"/>
              </w:rPr>
              <w:t>% inhibition</w:t>
            </w:r>
          </w:p>
        </w:tc>
        <w:tc>
          <w:tcPr>
            <w:tcW w:w="4430" w:type="dxa"/>
            <w:gridSpan w:val="5"/>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rPr>
                <w:rFonts w:ascii="Arial" w:hAnsi="Arial" w:cs="Arial"/>
                <w:sz w:val="20"/>
                <w:szCs w:val="20"/>
              </w:rPr>
            </w:pPr>
            <w:r>
              <w:rPr>
                <w:rFonts w:ascii="Arial" w:hAnsi="Arial" w:cs="Arial"/>
                <w:bCs/>
                <w:sz w:val="20"/>
                <w:szCs w:val="20"/>
              </w:rPr>
              <w:t>Differential Leucocyte mobilization (%)</w:t>
            </w:r>
          </w:p>
        </w:tc>
      </w:tr>
      <w:tr w:rsidR="00341D63">
        <w:trPr>
          <w:trHeight w:val="419"/>
        </w:trPr>
        <w:tc>
          <w:tcPr>
            <w:tcW w:w="1744"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1126"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1582"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1342" w:type="dxa"/>
            <w:gridSpan w:val="2"/>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929"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N</w:t>
            </w:r>
          </w:p>
        </w:tc>
        <w:tc>
          <w:tcPr>
            <w:tcW w:w="980"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L</w:t>
            </w:r>
          </w:p>
        </w:tc>
        <w:tc>
          <w:tcPr>
            <w:tcW w:w="860"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M</w:t>
            </w:r>
          </w:p>
        </w:tc>
        <w:tc>
          <w:tcPr>
            <w:tcW w:w="801"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B</w:t>
            </w:r>
          </w:p>
        </w:tc>
        <w:tc>
          <w:tcPr>
            <w:tcW w:w="860"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E</w:t>
            </w:r>
          </w:p>
        </w:tc>
      </w:tr>
      <w:tr w:rsidR="00341D63">
        <w:trPr>
          <w:trHeight w:val="576"/>
        </w:trPr>
        <w:tc>
          <w:tcPr>
            <w:tcW w:w="1744"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Control</w:t>
            </w:r>
          </w:p>
        </w:tc>
        <w:tc>
          <w:tcPr>
            <w:tcW w:w="1126" w:type="dxa"/>
            <w:tcBorders>
              <w:top w:val="nil"/>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1582"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5716.7±189</w:t>
            </w:r>
            <w:r>
              <w:rPr>
                <w:rFonts w:ascii="Arial" w:hAnsi="Arial" w:cs="Arial"/>
                <w:bCs/>
                <w:sz w:val="20"/>
                <w:szCs w:val="20"/>
                <w:vertAlign w:val="superscript"/>
              </w:rPr>
              <w:t>d</w:t>
            </w:r>
          </w:p>
        </w:tc>
        <w:tc>
          <w:tcPr>
            <w:tcW w:w="1342" w:type="dxa"/>
            <w:gridSpan w:val="2"/>
            <w:tcBorders>
              <w:top w:val="nil"/>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 xml:space="preserve">     -</w:t>
            </w:r>
          </w:p>
        </w:tc>
        <w:tc>
          <w:tcPr>
            <w:tcW w:w="929"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70.33</w:t>
            </w:r>
            <w:r>
              <w:rPr>
                <w:rFonts w:ascii="Arial" w:hAnsi="Arial" w:cs="Arial"/>
                <w:bCs/>
                <w:sz w:val="20"/>
                <w:szCs w:val="20"/>
                <w:vertAlign w:val="superscript"/>
              </w:rPr>
              <w:t>c</w:t>
            </w:r>
          </w:p>
        </w:tc>
        <w:tc>
          <w:tcPr>
            <w:tcW w:w="98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19.67</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5.67</w:t>
            </w:r>
            <w:r>
              <w:rPr>
                <w:rFonts w:ascii="Arial" w:hAnsi="Arial" w:cs="Arial"/>
                <w:bCs/>
                <w:sz w:val="20"/>
                <w:szCs w:val="20"/>
                <w:vertAlign w:val="superscript"/>
              </w:rPr>
              <w:t>b</w:t>
            </w:r>
          </w:p>
        </w:tc>
        <w:tc>
          <w:tcPr>
            <w:tcW w:w="801"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2.0</w:t>
            </w:r>
            <w:r>
              <w:rPr>
                <w:rFonts w:ascii="Arial" w:hAnsi="Arial" w:cs="Arial"/>
                <w:bCs/>
                <w:sz w:val="20"/>
                <w:szCs w:val="20"/>
                <w:vertAlign w:val="superscript"/>
              </w:rPr>
              <w:t>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2.33</w:t>
            </w:r>
            <w:r>
              <w:rPr>
                <w:rFonts w:ascii="Arial" w:hAnsi="Arial" w:cs="Arial"/>
                <w:bCs/>
                <w:sz w:val="20"/>
                <w:szCs w:val="20"/>
                <w:vertAlign w:val="superscript"/>
              </w:rPr>
              <w:t>b</w:t>
            </w:r>
          </w:p>
        </w:tc>
      </w:tr>
      <w:tr w:rsidR="00341D63">
        <w:trPr>
          <w:trHeight w:val="338"/>
        </w:trPr>
        <w:tc>
          <w:tcPr>
            <w:tcW w:w="1744"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N-hexane</w:t>
            </w:r>
          </w:p>
        </w:tc>
        <w:tc>
          <w:tcPr>
            <w:tcW w:w="1126"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100</w:t>
            </w:r>
          </w:p>
        </w:tc>
        <w:tc>
          <w:tcPr>
            <w:tcW w:w="1582"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4166.7 ± 136</w:t>
            </w:r>
            <w:r>
              <w:rPr>
                <w:rFonts w:ascii="Arial" w:hAnsi="Arial" w:cs="Arial"/>
                <w:bCs/>
                <w:sz w:val="20"/>
                <w:szCs w:val="20"/>
                <w:vertAlign w:val="superscript"/>
              </w:rPr>
              <w:t>c</w:t>
            </w:r>
          </w:p>
        </w:tc>
        <w:tc>
          <w:tcPr>
            <w:tcW w:w="1342" w:type="dxa"/>
            <w:gridSpan w:val="2"/>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27.1</w:t>
            </w:r>
          </w:p>
        </w:tc>
        <w:tc>
          <w:tcPr>
            <w:tcW w:w="929"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64</w:t>
            </w:r>
            <w:r>
              <w:rPr>
                <w:rFonts w:ascii="Arial" w:hAnsi="Arial" w:cs="Arial"/>
                <w:bCs/>
                <w:sz w:val="20"/>
                <w:szCs w:val="20"/>
                <w:vertAlign w:val="superscript"/>
              </w:rPr>
              <w:t>a</w:t>
            </w:r>
          </w:p>
        </w:tc>
        <w:tc>
          <w:tcPr>
            <w:tcW w:w="98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21.66</w:t>
            </w:r>
            <w:r>
              <w:rPr>
                <w:rFonts w:ascii="Arial" w:hAnsi="Arial" w:cs="Arial"/>
                <w:bCs/>
                <w:sz w:val="20"/>
                <w:szCs w:val="20"/>
                <w:vertAlign w:val="superscript"/>
              </w:rPr>
              <w:t>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5.0</w:t>
            </w:r>
            <w:r>
              <w:rPr>
                <w:rFonts w:ascii="Arial" w:hAnsi="Arial" w:cs="Arial"/>
                <w:bCs/>
                <w:sz w:val="20"/>
                <w:szCs w:val="20"/>
                <w:vertAlign w:val="superscript"/>
              </w:rPr>
              <w:t>b</w:t>
            </w:r>
          </w:p>
        </w:tc>
        <w:tc>
          <w:tcPr>
            <w:tcW w:w="801"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1.0</w:t>
            </w:r>
            <w:r>
              <w:rPr>
                <w:rFonts w:ascii="Arial" w:hAnsi="Arial" w:cs="Arial"/>
                <w:bCs/>
                <w:sz w:val="20"/>
                <w:szCs w:val="20"/>
                <w:vertAlign w:val="superscript"/>
              </w:rPr>
              <w:t>ab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0.6</w:t>
            </w:r>
            <w:r>
              <w:rPr>
                <w:rFonts w:ascii="Arial" w:hAnsi="Arial" w:cs="Arial"/>
                <w:bCs/>
                <w:sz w:val="20"/>
                <w:szCs w:val="20"/>
                <w:vertAlign w:val="superscript"/>
              </w:rPr>
              <w:t>a</w:t>
            </w:r>
          </w:p>
        </w:tc>
      </w:tr>
      <w:tr w:rsidR="00341D63">
        <w:trPr>
          <w:trHeight w:val="419"/>
        </w:trPr>
        <w:tc>
          <w:tcPr>
            <w:tcW w:w="1744" w:type="dxa"/>
            <w:vMerge w:val="restart"/>
            <w:tcBorders>
              <w:top w:val="nil"/>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200</w:t>
            </w:r>
          </w:p>
        </w:tc>
        <w:tc>
          <w:tcPr>
            <w:tcW w:w="1582"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3266.7 ± 152</w:t>
            </w:r>
            <w:r>
              <w:rPr>
                <w:rFonts w:ascii="Arial" w:hAnsi="Arial" w:cs="Arial"/>
                <w:bCs/>
                <w:sz w:val="20"/>
                <w:szCs w:val="20"/>
                <w:vertAlign w:val="superscript"/>
              </w:rPr>
              <w:t>b</w:t>
            </w:r>
          </w:p>
        </w:tc>
        <w:tc>
          <w:tcPr>
            <w:tcW w:w="1342" w:type="dxa"/>
            <w:gridSpan w:val="2"/>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42.9</w:t>
            </w:r>
          </w:p>
        </w:tc>
        <w:tc>
          <w:tcPr>
            <w:tcW w:w="929"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68.33</w:t>
            </w:r>
            <w:r>
              <w:rPr>
                <w:rFonts w:ascii="Arial" w:hAnsi="Arial" w:cs="Arial"/>
                <w:bCs/>
                <w:sz w:val="20"/>
                <w:szCs w:val="20"/>
                <w:vertAlign w:val="superscript"/>
              </w:rPr>
              <w:t>a</w:t>
            </w:r>
          </w:p>
        </w:tc>
        <w:tc>
          <w:tcPr>
            <w:tcW w:w="98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32.09</w:t>
            </w:r>
            <w:r>
              <w:rPr>
                <w:rFonts w:ascii="Arial" w:hAnsi="Arial" w:cs="Arial"/>
                <w:bCs/>
                <w:sz w:val="20"/>
                <w:szCs w:val="20"/>
                <w:vertAlign w:val="superscript"/>
              </w:rPr>
              <w:t>ab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3.33</w:t>
            </w:r>
            <w:r>
              <w:rPr>
                <w:rFonts w:ascii="Arial" w:hAnsi="Arial" w:cs="Arial"/>
                <w:bCs/>
                <w:sz w:val="20"/>
                <w:szCs w:val="20"/>
                <w:vertAlign w:val="superscript"/>
              </w:rPr>
              <w:t>ab</w:t>
            </w:r>
          </w:p>
        </w:tc>
        <w:tc>
          <w:tcPr>
            <w:tcW w:w="801"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r>
      <w:tr w:rsidR="00341D63">
        <w:trPr>
          <w:trHeight w:val="419"/>
        </w:trPr>
        <w:tc>
          <w:tcPr>
            <w:tcW w:w="0" w:type="auto"/>
            <w:vMerge/>
            <w:tcBorders>
              <w:top w:val="nil"/>
              <w:left w:val="nil"/>
              <w:bottom w:val="nil"/>
              <w:right w:val="nil"/>
            </w:tcBorders>
            <w:vAlign w:val="center"/>
            <w:hideMark/>
          </w:tcPr>
          <w:p w:rsidR="00341D63" w:rsidRDefault="00341D63">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400</w:t>
            </w:r>
          </w:p>
        </w:tc>
        <w:tc>
          <w:tcPr>
            <w:tcW w:w="1582"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3450 ± 304</w:t>
            </w:r>
            <w:r>
              <w:rPr>
                <w:rFonts w:ascii="Arial" w:hAnsi="Arial" w:cs="Arial"/>
                <w:bCs/>
                <w:sz w:val="20"/>
                <w:szCs w:val="20"/>
                <w:vertAlign w:val="superscript"/>
              </w:rPr>
              <w:t>b</w:t>
            </w:r>
          </w:p>
        </w:tc>
        <w:tc>
          <w:tcPr>
            <w:tcW w:w="1342" w:type="dxa"/>
            <w:gridSpan w:val="2"/>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65.7</w:t>
            </w:r>
          </w:p>
        </w:tc>
        <w:tc>
          <w:tcPr>
            <w:tcW w:w="929"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57.33</w:t>
            </w:r>
            <w:r>
              <w:rPr>
                <w:rFonts w:ascii="Arial" w:hAnsi="Arial" w:cs="Arial"/>
                <w:bCs/>
                <w:sz w:val="20"/>
                <w:szCs w:val="20"/>
                <w:vertAlign w:val="superscript"/>
              </w:rPr>
              <w:t>a</w:t>
            </w:r>
          </w:p>
        </w:tc>
        <w:tc>
          <w:tcPr>
            <w:tcW w:w="98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37.33</w:t>
            </w:r>
            <w:r>
              <w:rPr>
                <w:rFonts w:ascii="Arial" w:hAnsi="Arial" w:cs="Arial"/>
                <w:bCs/>
                <w:sz w:val="20"/>
                <w:szCs w:val="20"/>
                <w:vertAlign w:val="superscript"/>
              </w:rPr>
              <w:t>ab</w:t>
            </w:r>
          </w:p>
        </w:tc>
        <w:tc>
          <w:tcPr>
            <w:tcW w:w="86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3.33</w:t>
            </w:r>
            <w:r>
              <w:rPr>
                <w:rFonts w:ascii="Arial" w:hAnsi="Arial" w:cs="Arial"/>
                <w:bCs/>
                <w:sz w:val="20"/>
                <w:szCs w:val="20"/>
                <w:vertAlign w:val="superscript"/>
              </w:rPr>
              <w:t>ab</w:t>
            </w:r>
          </w:p>
        </w:tc>
        <w:tc>
          <w:tcPr>
            <w:tcW w:w="801"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ab</w:t>
            </w:r>
          </w:p>
        </w:tc>
        <w:tc>
          <w:tcPr>
            <w:tcW w:w="86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1.33</w:t>
            </w:r>
            <w:r>
              <w:rPr>
                <w:rFonts w:ascii="Arial" w:hAnsi="Arial" w:cs="Arial"/>
                <w:bCs/>
                <w:sz w:val="20"/>
                <w:szCs w:val="20"/>
                <w:vertAlign w:val="superscript"/>
              </w:rPr>
              <w:t>ab</w:t>
            </w:r>
          </w:p>
        </w:tc>
      </w:tr>
      <w:tr w:rsidR="00341D63">
        <w:trPr>
          <w:trHeight w:val="338"/>
        </w:trPr>
        <w:tc>
          <w:tcPr>
            <w:tcW w:w="1744"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Ethyl acetate</w:t>
            </w: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100</w:t>
            </w:r>
          </w:p>
        </w:tc>
        <w:tc>
          <w:tcPr>
            <w:tcW w:w="1582"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2633.3 ± 196</w:t>
            </w:r>
            <w:r>
              <w:rPr>
                <w:rFonts w:ascii="Arial" w:hAnsi="Arial" w:cs="Arial"/>
                <w:bCs/>
                <w:sz w:val="20"/>
                <w:szCs w:val="20"/>
                <w:vertAlign w:val="superscript"/>
              </w:rPr>
              <w:t>b</w:t>
            </w:r>
          </w:p>
        </w:tc>
        <w:tc>
          <w:tcPr>
            <w:tcW w:w="1342" w:type="dxa"/>
            <w:gridSpan w:val="2"/>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32.9</w:t>
            </w:r>
          </w:p>
        </w:tc>
        <w:tc>
          <w:tcPr>
            <w:tcW w:w="929"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61.67</w:t>
            </w:r>
            <w:r>
              <w:rPr>
                <w:rFonts w:ascii="Arial" w:hAnsi="Arial" w:cs="Arial"/>
                <w:bCs/>
                <w:sz w:val="20"/>
                <w:szCs w:val="20"/>
                <w:vertAlign w:val="superscript"/>
              </w:rPr>
              <w:t>b</w:t>
            </w:r>
          </w:p>
        </w:tc>
        <w:tc>
          <w:tcPr>
            <w:tcW w:w="98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36.67</w:t>
            </w:r>
            <w:r>
              <w:rPr>
                <w:rFonts w:ascii="Arial" w:hAnsi="Arial" w:cs="Arial"/>
                <w:bCs/>
                <w:sz w:val="20"/>
                <w:szCs w:val="20"/>
                <w:vertAlign w:val="superscript"/>
              </w:rPr>
              <w:t>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1.0</w:t>
            </w:r>
            <w:r>
              <w:rPr>
                <w:rFonts w:ascii="Arial" w:hAnsi="Arial" w:cs="Arial"/>
                <w:bCs/>
                <w:sz w:val="20"/>
                <w:szCs w:val="20"/>
                <w:vertAlign w:val="superscript"/>
              </w:rPr>
              <w:t>a</w:t>
            </w:r>
          </w:p>
        </w:tc>
        <w:tc>
          <w:tcPr>
            <w:tcW w:w="801"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r>
      <w:tr w:rsidR="00341D63">
        <w:trPr>
          <w:trHeight w:val="419"/>
        </w:trPr>
        <w:tc>
          <w:tcPr>
            <w:tcW w:w="1744" w:type="dxa"/>
            <w:vMerge w:val="restart"/>
            <w:tcBorders>
              <w:top w:val="nil"/>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200</w:t>
            </w:r>
          </w:p>
        </w:tc>
        <w:tc>
          <w:tcPr>
            <w:tcW w:w="1582"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2100 ± 264</w:t>
            </w:r>
            <w:r>
              <w:rPr>
                <w:rFonts w:ascii="Arial" w:hAnsi="Arial" w:cs="Arial"/>
                <w:bCs/>
                <w:sz w:val="20"/>
                <w:szCs w:val="20"/>
                <w:vertAlign w:val="superscript"/>
              </w:rPr>
              <w:t>b</w:t>
            </w:r>
          </w:p>
        </w:tc>
        <w:tc>
          <w:tcPr>
            <w:tcW w:w="1253"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63.3</w:t>
            </w:r>
          </w:p>
        </w:tc>
        <w:tc>
          <w:tcPr>
            <w:tcW w:w="1018" w:type="dxa"/>
            <w:gridSpan w:val="2"/>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55.67</w:t>
            </w:r>
            <w:r>
              <w:rPr>
                <w:rFonts w:ascii="Arial" w:hAnsi="Arial" w:cs="Arial"/>
                <w:bCs/>
                <w:sz w:val="20"/>
                <w:szCs w:val="20"/>
                <w:vertAlign w:val="superscript"/>
              </w:rPr>
              <w:t>ab</w:t>
            </w:r>
          </w:p>
        </w:tc>
        <w:tc>
          <w:tcPr>
            <w:tcW w:w="98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41.67</w:t>
            </w:r>
            <w:r>
              <w:rPr>
                <w:rFonts w:ascii="Arial" w:hAnsi="Arial" w:cs="Arial"/>
                <w:bCs/>
                <w:sz w:val="20"/>
                <w:szCs w:val="20"/>
                <w:vertAlign w:val="superscript"/>
              </w:rPr>
              <w:t>bc</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1.3</w:t>
            </w:r>
            <w:r>
              <w:rPr>
                <w:rFonts w:ascii="Arial" w:hAnsi="Arial" w:cs="Arial"/>
                <w:bCs/>
                <w:sz w:val="20"/>
                <w:szCs w:val="20"/>
                <w:vertAlign w:val="superscript"/>
              </w:rPr>
              <w:t>a</w:t>
            </w:r>
          </w:p>
        </w:tc>
        <w:tc>
          <w:tcPr>
            <w:tcW w:w="801"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w:t>
            </w:r>
          </w:p>
        </w:tc>
      </w:tr>
      <w:tr w:rsidR="00341D63">
        <w:trPr>
          <w:trHeight w:val="419"/>
        </w:trPr>
        <w:tc>
          <w:tcPr>
            <w:tcW w:w="0" w:type="auto"/>
            <w:vMerge/>
            <w:tcBorders>
              <w:top w:val="nil"/>
              <w:left w:val="nil"/>
              <w:bottom w:val="nil"/>
              <w:right w:val="nil"/>
            </w:tcBorders>
            <w:vAlign w:val="center"/>
            <w:hideMark/>
          </w:tcPr>
          <w:p w:rsidR="00341D63" w:rsidRDefault="00341D63">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400</w:t>
            </w:r>
          </w:p>
        </w:tc>
        <w:tc>
          <w:tcPr>
            <w:tcW w:w="1582"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2366.7 ± 251</w:t>
            </w:r>
            <w:r>
              <w:rPr>
                <w:rFonts w:ascii="Arial" w:hAnsi="Arial" w:cs="Arial"/>
                <w:bCs/>
                <w:sz w:val="20"/>
                <w:szCs w:val="20"/>
                <w:vertAlign w:val="superscript"/>
              </w:rPr>
              <w:t>b</w:t>
            </w:r>
          </w:p>
        </w:tc>
        <w:tc>
          <w:tcPr>
            <w:tcW w:w="1342" w:type="dxa"/>
            <w:gridSpan w:val="2"/>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58.6</w:t>
            </w:r>
          </w:p>
        </w:tc>
        <w:tc>
          <w:tcPr>
            <w:tcW w:w="929"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50.57</w:t>
            </w:r>
            <w:r>
              <w:rPr>
                <w:rFonts w:ascii="Arial" w:hAnsi="Arial" w:cs="Arial"/>
                <w:bCs/>
                <w:sz w:val="20"/>
                <w:szCs w:val="20"/>
                <w:vertAlign w:val="superscript"/>
              </w:rPr>
              <w:t>a</w:t>
            </w:r>
          </w:p>
        </w:tc>
        <w:tc>
          <w:tcPr>
            <w:tcW w:w="98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47</w:t>
            </w:r>
            <w:r>
              <w:rPr>
                <w:rFonts w:ascii="Arial" w:hAnsi="Arial" w:cs="Arial"/>
                <w:bCs/>
                <w:sz w:val="20"/>
                <w:szCs w:val="20"/>
                <w:vertAlign w:val="superscript"/>
              </w:rPr>
              <w:t>c</w:t>
            </w:r>
          </w:p>
        </w:tc>
        <w:tc>
          <w:tcPr>
            <w:tcW w:w="86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1.3</w:t>
            </w:r>
            <w:r>
              <w:rPr>
                <w:rFonts w:ascii="Arial" w:hAnsi="Arial" w:cs="Arial"/>
                <w:bCs/>
                <w:sz w:val="20"/>
                <w:szCs w:val="20"/>
                <w:vertAlign w:val="superscript"/>
              </w:rPr>
              <w:t>a</w:t>
            </w:r>
          </w:p>
        </w:tc>
        <w:tc>
          <w:tcPr>
            <w:tcW w:w="801"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 xml:space="preserve">a                </w:t>
            </w:r>
          </w:p>
        </w:tc>
      </w:tr>
      <w:tr w:rsidR="00341D63">
        <w:trPr>
          <w:trHeight w:val="419"/>
        </w:trPr>
        <w:tc>
          <w:tcPr>
            <w:tcW w:w="1744"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Aqueous-methanol</w:t>
            </w: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100</w:t>
            </w:r>
          </w:p>
        </w:tc>
        <w:tc>
          <w:tcPr>
            <w:tcW w:w="1582"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2600 ± 173</w:t>
            </w:r>
            <w:r>
              <w:rPr>
                <w:rFonts w:ascii="Arial" w:hAnsi="Arial" w:cs="Arial"/>
                <w:bCs/>
                <w:sz w:val="20"/>
                <w:szCs w:val="20"/>
                <w:vertAlign w:val="superscript"/>
              </w:rPr>
              <w:t>b</w:t>
            </w:r>
          </w:p>
        </w:tc>
        <w:tc>
          <w:tcPr>
            <w:tcW w:w="1342" w:type="dxa"/>
            <w:gridSpan w:val="2"/>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54.5</w:t>
            </w:r>
          </w:p>
        </w:tc>
        <w:tc>
          <w:tcPr>
            <w:tcW w:w="929"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68</w:t>
            </w:r>
            <w:r>
              <w:rPr>
                <w:rFonts w:ascii="Arial" w:hAnsi="Arial" w:cs="Arial"/>
                <w:bCs/>
                <w:sz w:val="20"/>
                <w:szCs w:val="20"/>
                <w:vertAlign w:val="superscript"/>
              </w:rPr>
              <w:t>c</w:t>
            </w:r>
          </w:p>
        </w:tc>
        <w:tc>
          <w:tcPr>
            <w:tcW w:w="98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24.33</w:t>
            </w:r>
            <w:r>
              <w:rPr>
                <w:rFonts w:ascii="Arial" w:hAnsi="Arial" w:cs="Arial"/>
                <w:bCs/>
                <w:sz w:val="20"/>
                <w:szCs w:val="20"/>
                <w:vertAlign w:val="superscript"/>
              </w:rPr>
              <w:t>ab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5.67</w:t>
            </w:r>
            <w:r>
              <w:rPr>
                <w:rFonts w:ascii="Arial" w:hAnsi="Arial" w:cs="Arial"/>
                <w:bCs/>
                <w:sz w:val="20"/>
                <w:szCs w:val="20"/>
                <w:vertAlign w:val="superscript"/>
              </w:rPr>
              <w:t>b</w:t>
            </w:r>
          </w:p>
        </w:tc>
        <w:tc>
          <w:tcPr>
            <w:tcW w:w="801"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1.33</w:t>
            </w:r>
            <w:r>
              <w:rPr>
                <w:rFonts w:ascii="Arial" w:hAnsi="Arial" w:cs="Arial"/>
                <w:bCs/>
                <w:sz w:val="20"/>
                <w:szCs w:val="20"/>
                <w:vertAlign w:val="superscript"/>
              </w:rPr>
              <w:t>b</w:t>
            </w:r>
          </w:p>
        </w:tc>
      </w:tr>
      <w:tr w:rsidR="00341D63">
        <w:trPr>
          <w:trHeight w:val="419"/>
        </w:trPr>
        <w:tc>
          <w:tcPr>
            <w:tcW w:w="1744" w:type="dxa"/>
            <w:vMerge w:val="restart"/>
            <w:tcBorders>
              <w:top w:val="nil"/>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200</w:t>
            </w:r>
          </w:p>
        </w:tc>
        <w:tc>
          <w:tcPr>
            <w:tcW w:w="1582"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2100 ± 264</w:t>
            </w:r>
            <w:r>
              <w:rPr>
                <w:rFonts w:ascii="Arial" w:hAnsi="Arial" w:cs="Arial"/>
                <w:bCs/>
                <w:sz w:val="20"/>
                <w:szCs w:val="20"/>
                <w:vertAlign w:val="superscript"/>
              </w:rPr>
              <w:t>a</w:t>
            </w:r>
          </w:p>
        </w:tc>
        <w:tc>
          <w:tcPr>
            <w:tcW w:w="1342" w:type="dxa"/>
            <w:gridSpan w:val="2"/>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63.3</w:t>
            </w:r>
          </w:p>
        </w:tc>
        <w:tc>
          <w:tcPr>
            <w:tcW w:w="929"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66</w:t>
            </w:r>
            <w:r>
              <w:rPr>
                <w:rFonts w:ascii="Arial" w:hAnsi="Arial" w:cs="Arial"/>
                <w:bCs/>
                <w:sz w:val="20"/>
                <w:szCs w:val="20"/>
                <w:vertAlign w:val="superscript"/>
              </w:rPr>
              <w:t>abc</w:t>
            </w:r>
          </w:p>
        </w:tc>
        <w:tc>
          <w:tcPr>
            <w:tcW w:w="98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28.66</w:t>
            </w:r>
            <w:r>
              <w:rPr>
                <w:rFonts w:ascii="Arial" w:hAnsi="Arial" w:cs="Arial"/>
                <w:bCs/>
                <w:sz w:val="20"/>
                <w:szCs w:val="20"/>
                <w:vertAlign w:val="superscript"/>
              </w:rPr>
              <w:t>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4.33</w:t>
            </w:r>
            <w:r>
              <w:rPr>
                <w:rFonts w:ascii="Arial" w:hAnsi="Arial" w:cs="Arial"/>
                <w:bCs/>
                <w:sz w:val="20"/>
                <w:szCs w:val="20"/>
                <w:vertAlign w:val="superscript"/>
              </w:rPr>
              <w:t>b</w:t>
            </w:r>
          </w:p>
        </w:tc>
        <w:tc>
          <w:tcPr>
            <w:tcW w:w="801"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ab</w:t>
            </w:r>
          </w:p>
        </w:tc>
      </w:tr>
      <w:tr w:rsidR="00341D63">
        <w:trPr>
          <w:trHeight w:val="419"/>
        </w:trPr>
        <w:tc>
          <w:tcPr>
            <w:tcW w:w="0" w:type="auto"/>
            <w:vMerge/>
            <w:tcBorders>
              <w:top w:val="nil"/>
              <w:left w:val="nil"/>
              <w:bottom w:val="nil"/>
              <w:right w:val="nil"/>
            </w:tcBorders>
            <w:vAlign w:val="center"/>
            <w:hideMark/>
          </w:tcPr>
          <w:p w:rsidR="00341D63" w:rsidRDefault="00341D63">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400</w:t>
            </w:r>
          </w:p>
        </w:tc>
        <w:tc>
          <w:tcPr>
            <w:tcW w:w="1582"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2166.7 ± 251</w:t>
            </w:r>
            <w:r>
              <w:rPr>
                <w:rFonts w:ascii="Arial" w:hAnsi="Arial" w:cs="Arial"/>
                <w:bCs/>
                <w:sz w:val="20"/>
                <w:szCs w:val="20"/>
                <w:vertAlign w:val="superscript"/>
              </w:rPr>
              <w:t>a</w:t>
            </w:r>
          </w:p>
        </w:tc>
        <w:tc>
          <w:tcPr>
            <w:tcW w:w="1342" w:type="dxa"/>
            <w:gridSpan w:val="2"/>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62.1</w:t>
            </w:r>
          </w:p>
        </w:tc>
        <w:tc>
          <w:tcPr>
            <w:tcW w:w="929"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60.33</w:t>
            </w:r>
            <w:r>
              <w:rPr>
                <w:rFonts w:ascii="Arial" w:hAnsi="Arial" w:cs="Arial"/>
                <w:bCs/>
                <w:sz w:val="20"/>
                <w:szCs w:val="20"/>
                <w:vertAlign w:val="superscript"/>
              </w:rPr>
              <w:t>ab</w:t>
            </w:r>
          </w:p>
        </w:tc>
        <w:tc>
          <w:tcPr>
            <w:tcW w:w="98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38</w:t>
            </w:r>
            <w:r>
              <w:rPr>
                <w:rFonts w:ascii="Arial" w:hAnsi="Arial" w:cs="Arial"/>
                <w:bCs/>
                <w:sz w:val="20"/>
                <w:szCs w:val="20"/>
                <w:vertAlign w:val="superscript"/>
              </w:rPr>
              <w:t>c</w:t>
            </w:r>
          </w:p>
        </w:tc>
        <w:tc>
          <w:tcPr>
            <w:tcW w:w="86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1.33</w:t>
            </w:r>
            <w:r>
              <w:rPr>
                <w:rFonts w:ascii="Arial" w:hAnsi="Arial" w:cs="Arial"/>
                <w:bCs/>
                <w:sz w:val="20"/>
                <w:szCs w:val="20"/>
                <w:vertAlign w:val="superscript"/>
              </w:rPr>
              <w:t>a</w:t>
            </w:r>
          </w:p>
        </w:tc>
        <w:tc>
          <w:tcPr>
            <w:tcW w:w="801"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0.0</w:t>
            </w:r>
            <w:r>
              <w:rPr>
                <w:rFonts w:ascii="Arial" w:hAnsi="Arial" w:cs="Arial"/>
                <w:bCs/>
                <w:sz w:val="20"/>
                <w:szCs w:val="20"/>
                <w:vertAlign w:val="superscript"/>
              </w:rPr>
              <w:t xml:space="preserve">a        </w:t>
            </w:r>
          </w:p>
        </w:tc>
      </w:tr>
      <w:tr w:rsidR="00341D63">
        <w:trPr>
          <w:trHeight w:val="576"/>
        </w:trPr>
        <w:tc>
          <w:tcPr>
            <w:tcW w:w="1744"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Indomethacin</w:t>
            </w:r>
          </w:p>
        </w:tc>
        <w:tc>
          <w:tcPr>
            <w:tcW w:w="1126" w:type="dxa"/>
            <w:tcBorders>
              <w:top w:val="nil"/>
              <w:left w:val="nil"/>
              <w:bottom w:val="single" w:sz="8" w:space="0" w:color="000000"/>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10</w:t>
            </w:r>
          </w:p>
        </w:tc>
        <w:tc>
          <w:tcPr>
            <w:tcW w:w="1582" w:type="dxa"/>
            <w:tcBorders>
              <w:top w:val="nil"/>
              <w:left w:val="nil"/>
              <w:bottom w:val="single" w:sz="8" w:space="0" w:color="000000"/>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1750 ± 150</w:t>
            </w:r>
            <w:r>
              <w:rPr>
                <w:rFonts w:ascii="Arial" w:hAnsi="Arial" w:cs="Arial"/>
                <w:bCs/>
                <w:sz w:val="20"/>
                <w:szCs w:val="20"/>
                <w:vertAlign w:val="superscript"/>
              </w:rPr>
              <w:t>a</w:t>
            </w:r>
          </w:p>
        </w:tc>
        <w:tc>
          <w:tcPr>
            <w:tcW w:w="1342" w:type="dxa"/>
            <w:gridSpan w:val="2"/>
            <w:tcBorders>
              <w:top w:val="nil"/>
              <w:left w:val="nil"/>
              <w:bottom w:val="single" w:sz="8" w:space="0" w:color="000000"/>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69.9</w:t>
            </w:r>
          </w:p>
        </w:tc>
        <w:tc>
          <w:tcPr>
            <w:tcW w:w="929" w:type="dxa"/>
            <w:tcBorders>
              <w:top w:val="nil"/>
              <w:left w:val="nil"/>
              <w:bottom w:val="single" w:sz="8" w:space="0" w:color="000000"/>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56.33</w:t>
            </w:r>
            <w:r>
              <w:rPr>
                <w:rFonts w:ascii="Arial" w:hAnsi="Arial" w:cs="Arial"/>
                <w:bCs/>
                <w:sz w:val="20"/>
                <w:szCs w:val="20"/>
                <w:vertAlign w:val="superscript"/>
              </w:rPr>
              <w:t>a</w:t>
            </w:r>
          </w:p>
        </w:tc>
        <w:tc>
          <w:tcPr>
            <w:tcW w:w="980" w:type="dxa"/>
            <w:tcBorders>
              <w:top w:val="nil"/>
              <w:left w:val="nil"/>
              <w:bottom w:val="single" w:sz="8" w:space="0" w:color="000000"/>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42</w:t>
            </w:r>
            <w:r>
              <w:rPr>
                <w:rFonts w:ascii="Arial" w:hAnsi="Arial" w:cs="Arial"/>
                <w:bCs/>
                <w:sz w:val="20"/>
                <w:szCs w:val="20"/>
                <w:vertAlign w:val="superscript"/>
              </w:rPr>
              <w:t>a</w:t>
            </w:r>
          </w:p>
        </w:tc>
        <w:tc>
          <w:tcPr>
            <w:tcW w:w="860" w:type="dxa"/>
            <w:tcBorders>
              <w:top w:val="nil"/>
              <w:left w:val="nil"/>
              <w:bottom w:val="single" w:sz="8" w:space="0" w:color="000000"/>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1.0</w:t>
            </w:r>
            <w:r>
              <w:rPr>
                <w:rFonts w:ascii="Arial" w:hAnsi="Arial" w:cs="Arial"/>
                <w:bCs/>
                <w:sz w:val="20"/>
                <w:szCs w:val="20"/>
                <w:vertAlign w:val="superscript"/>
              </w:rPr>
              <w:t>a</w:t>
            </w:r>
          </w:p>
        </w:tc>
        <w:tc>
          <w:tcPr>
            <w:tcW w:w="801" w:type="dxa"/>
            <w:tcBorders>
              <w:top w:val="nil"/>
              <w:left w:val="nil"/>
              <w:bottom w:val="single" w:sz="8" w:space="0" w:color="000000"/>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c>
          <w:tcPr>
            <w:tcW w:w="860" w:type="dxa"/>
            <w:tcBorders>
              <w:top w:val="nil"/>
              <w:left w:val="nil"/>
              <w:bottom w:val="single" w:sz="8" w:space="0" w:color="000000"/>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r>
    </w:tbl>
    <w:p w:rsidR="00341D63" w:rsidRDefault="00377729">
      <w:pPr>
        <w:spacing w:after="0" w:line="240" w:lineRule="auto"/>
        <w:jc w:val="both"/>
        <w:rPr>
          <w:rFonts w:ascii="Arial" w:hAnsi="Arial" w:cs="Arial"/>
          <w:color w:val="000000" w:themeColor="text1"/>
          <w:sz w:val="20"/>
          <w:szCs w:val="20"/>
        </w:rPr>
      </w:pPr>
      <w:r>
        <w:rPr>
          <w:rFonts w:ascii="Arial" w:eastAsia="Times New Roman" w:hAnsi="Arial" w:cs="Arial"/>
          <w:color w:val="000000" w:themeColor="text1"/>
          <w:sz w:val="20"/>
          <w:szCs w:val="20"/>
        </w:rPr>
        <w:t>Values are presented as mean ± SD, n=4, p &lt; 0.05</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Percentage inhibition was calculated relative to control</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Mean values with different letters of alphabet down to the column are significantly different (P &lt; 0.05) while mean values with the same letters of alphabet are not- significantly different (P &gt; 0.05).</w:t>
      </w: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line="480" w:lineRule="auto"/>
        <w:rPr>
          <w:rFonts w:ascii="Arial" w:hAnsi="Arial" w:cs="Arial"/>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77729">
      <w:pPr>
        <w:spacing w:line="360" w:lineRule="auto"/>
        <w:jc w:val="both"/>
        <w:rPr>
          <w:rFonts w:ascii="Arial" w:hAnsi="Arial" w:cs="Arial"/>
          <w:b/>
          <w:bCs/>
          <w:color w:val="000000" w:themeColor="text1"/>
          <w:sz w:val="20"/>
          <w:szCs w:val="20"/>
        </w:rPr>
      </w:pPr>
      <w:r>
        <w:rPr>
          <w:rFonts w:ascii="Arial" w:hAnsi="Arial" w:cs="Arial"/>
          <w:b/>
          <w:bCs/>
          <w:color w:val="000000" w:themeColor="text1"/>
          <w:sz w:val="20"/>
          <w:szCs w:val="20"/>
        </w:rPr>
        <w:lastRenderedPageBreak/>
        <w:t>3.4 EFFECT OF N-HEXANE, ETHYL ACETATE AND AQUEOUS METHANOL FRACTIONS ON COTTON PELLET INDUCED GRANULOMA</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All the doses of n-hexane fraction significantly inhibited the cotton pellet induced granuloma tissue in rats in a dose dependent manner. Granuloma tissue weights of group treated with n-hexane fraction were significantly p &lt; 0.05 lower than that of their control (Table 4). </w:t>
      </w:r>
      <w:proofErr w:type="gramStart"/>
      <w:r>
        <w:rPr>
          <w:rFonts w:ascii="Arial" w:hAnsi="Arial" w:cs="Arial"/>
          <w:bCs/>
          <w:color w:val="000000" w:themeColor="text1"/>
          <w:sz w:val="20"/>
          <w:szCs w:val="20"/>
        </w:rPr>
        <w:t>n-hexane</w:t>
      </w:r>
      <w:proofErr w:type="gramEnd"/>
      <w:r>
        <w:rPr>
          <w:rFonts w:ascii="Arial" w:hAnsi="Arial" w:cs="Arial"/>
          <w:bCs/>
          <w:color w:val="000000" w:themeColor="text1"/>
          <w:sz w:val="20"/>
          <w:szCs w:val="20"/>
        </w:rPr>
        <w:t xml:space="preserve"> fraction exhibited 33.3, 40 and 43.3 % inhibition of granuloma formation at different doses, whereas indomethacin showed 71.7% inhibition when compared to the control. Different doses of Ethyl acetate fraction, significantly inhibited the granuloma formation though, not dose dependent by 50, 46.7 and 51.7 % respectively.  While aqueous-methanol fraction significantly inhibited the granuloma formation by 58.3, 63.3 and 66.7% respectively, while the standard anti-inflammatory drug, indomethacin (10 mg/kg) inhibited granuloma tissue formation more than the varied doses of the different </w:t>
      </w:r>
      <w:proofErr w:type="spellStart"/>
      <w:r>
        <w:rPr>
          <w:rFonts w:ascii="Arial" w:hAnsi="Arial" w:cs="Arial"/>
          <w:bCs/>
          <w:color w:val="000000" w:themeColor="text1"/>
          <w:sz w:val="20"/>
          <w:szCs w:val="20"/>
        </w:rPr>
        <w:t>fractions.</w:t>
      </w:r>
      <w:r>
        <w:rPr>
          <w:rFonts w:ascii="Arial" w:hAnsi="Arial" w:cs="Arial"/>
          <w:bCs/>
          <w:sz w:val="20"/>
          <w:szCs w:val="20"/>
        </w:rPr>
        <w:t>Comparatively</w:t>
      </w:r>
      <w:proofErr w:type="spellEnd"/>
      <w:r>
        <w:rPr>
          <w:rFonts w:ascii="Arial" w:hAnsi="Arial" w:cs="Arial"/>
          <w:bCs/>
          <w:sz w:val="20"/>
          <w:szCs w:val="20"/>
        </w:rPr>
        <w:t>, aqueous-methanol fraction (400 mg/kg) had the highest inhibition compared with n-hexane and ethyl acetate fractions</w:t>
      </w:r>
    </w:p>
    <w:p w:rsidR="00341D63" w:rsidRDefault="00341D63">
      <w:pPr>
        <w:spacing w:line="480" w:lineRule="auto"/>
        <w:jc w:val="both"/>
        <w:rPr>
          <w:rFonts w:ascii="Arial" w:hAnsi="Arial" w:cs="Arial"/>
          <w:bCs/>
          <w:sz w:val="20"/>
          <w:szCs w:val="20"/>
        </w:rPr>
      </w:pPr>
    </w:p>
    <w:p w:rsidR="00341D63" w:rsidRDefault="00341D63">
      <w:pPr>
        <w:spacing w:line="480" w:lineRule="auto"/>
        <w:jc w:val="both"/>
        <w:rPr>
          <w:rFonts w:ascii="Arial" w:hAnsi="Arial" w:cs="Arial"/>
          <w:bCs/>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77729">
      <w:pPr>
        <w:spacing w:line="240" w:lineRule="auto"/>
        <w:jc w:val="both"/>
        <w:rPr>
          <w:rFonts w:ascii="Arial" w:hAnsi="Arial" w:cs="Arial"/>
          <w:b/>
          <w:bCs/>
          <w:color w:val="000000" w:themeColor="text1"/>
          <w:sz w:val="20"/>
          <w:szCs w:val="20"/>
        </w:rPr>
      </w:pPr>
      <w:r>
        <w:rPr>
          <w:rFonts w:ascii="Arial" w:hAnsi="Arial" w:cs="Arial"/>
          <w:b/>
          <w:bCs/>
          <w:color w:val="000000" w:themeColor="text1"/>
          <w:sz w:val="20"/>
          <w:szCs w:val="20"/>
        </w:rPr>
        <w:lastRenderedPageBreak/>
        <w:t>TABLE 4: EFFECT OF N-HEXANE, ETHYL ACETATE AND AQUEOUS METHANOL FRACTIONS ON COTTON PELLET INDUCED GRANULOMA</w:t>
      </w:r>
    </w:p>
    <w:p w:rsidR="00341D63" w:rsidRDefault="00341D63">
      <w:pPr>
        <w:spacing w:line="240" w:lineRule="auto"/>
        <w:jc w:val="both"/>
        <w:rPr>
          <w:rFonts w:ascii="Arial" w:hAnsi="Arial" w:cs="Arial"/>
          <w:bCs/>
          <w:color w:val="000000" w:themeColor="text1"/>
          <w:sz w:val="20"/>
          <w:szCs w:val="20"/>
        </w:rPr>
      </w:pPr>
    </w:p>
    <w:tbl>
      <w:tblPr>
        <w:tblW w:w="9196" w:type="dxa"/>
        <w:tblCellMar>
          <w:left w:w="0" w:type="dxa"/>
          <w:right w:w="0" w:type="dxa"/>
        </w:tblCellMar>
        <w:tblLook w:val="04A0" w:firstRow="1" w:lastRow="0" w:firstColumn="1" w:lastColumn="0" w:noHBand="0" w:noVBand="1"/>
      </w:tblPr>
      <w:tblGrid>
        <w:gridCol w:w="1652"/>
        <w:gridCol w:w="1586"/>
        <w:gridCol w:w="1453"/>
        <w:gridCol w:w="1585"/>
        <w:gridCol w:w="1586"/>
        <w:gridCol w:w="1334"/>
      </w:tblGrid>
      <w:tr w:rsidR="00341D63">
        <w:trPr>
          <w:trHeight w:val="1096"/>
        </w:trPr>
        <w:tc>
          <w:tcPr>
            <w:tcW w:w="1652"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bCs/>
                <w:sz w:val="20"/>
                <w:szCs w:val="20"/>
              </w:rPr>
              <w:t>Treatment</w:t>
            </w:r>
          </w:p>
        </w:tc>
        <w:tc>
          <w:tcPr>
            <w:tcW w:w="1586"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bCs/>
                <w:sz w:val="20"/>
                <w:szCs w:val="20"/>
              </w:rPr>
              <w:t> Dose</w:t>
            </w:r>
          </w:p>
          <w:p w:rsidR="00341D63" w:rsidRDefault="00377729">
            <w:pPr>
              <w:spacing w:line="240" w:lineRule="auto"/>
              <w:rPr>
                <w:rFonts w:ascii="Arial" w:hAnsi="Arial" w:cs="Arial"/>
                <w:sz w:val="20"/>
                <w:szCs w:val="20"/>
              </w:rPr>
            </w:pPr>
            <w:r>
              <w:rPr>
                <w:rFonts w:ascii="Arial" w:hAnsi="Arial" w:cs="Arial"/>
                <w:bCs/>
                <w:sz w:val="20"/>
                <w:szCs w:val="20"/>
              </w:rPr>
              <w:t>(mg/kg/day)</w:t>
            </w:r>
          </w:p>
        </w:tc>
        <w:tc>
          <w:tcPr>
            <w:tcW w:w="1453"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bCs/>
                <w:sz w:val="20"/>
                <w:szCs w:val="20"/>
              </w:rPr>
              <w:t> Wet weight(mg)</w:t>
            </w:r>
          </w:p>
        </w:tc>
        <w:tc>
          <w:tcPr>
            <w:tcW w:w="1585"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bCs/>
                <w:sz w:val="20"/>
                <w:szCs w:val="20"/>
              </w:rPr>
              <w:t> Dry weight (mg)</w:t>
            </w:r>
          </w:p>
        </w:tc>
        <w:tc>
          <w:tcPr>
            <w:tcW w:w="1586"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bCs/>
                <w:sz w:val="20"/>
                <w:szCs w:val="20"/>
              </w:rPr>
              <w:t xml:space="preserve"> Granuloma weight (mg) </w:t>
            </w:r>
          </w:p>
        </w:tc>
        <w:tc>
          <w:tcPr>
            <w:tcW w:w="1334"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bCs/>
                <w:sz w:val="20"/>
                <w:szCs w:val="20"/>
              </w:rPr>
              <w:t> % inhibition</w:t>
            </w:r>
          </w:p>
        </w:tc>
      </w:tr>
      <w:tr w:rsidR="00341D63">
        <w:trPr>
          <w:trHeight w:val="530"/>
        </w:trPr>
        <w:tc>
          <w:tcPr>
            <w:tcW w:w="1652" w:type="dxa"/>
            <w:tcBorders>
              <w:top w:val="single" w:sz="8" w:space="0" w:color="000000"/>
              <w:left w:val="nil"/>
              <w:bottom w:val="nil"/>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Control (3% tween 80)</w:t>
            </w:r>
          </w:p>
        </w:tc>
        <w:tc>
          <w:tcPr>
            <w:tcW w:w="1586" w:type="dxa"/>
            <w:tcBorders>
              <w:top w:val="single" w:sz="8" w:space="0" w:color="000000"/>
              <w:left w:val="nil"/>
              <w:bottom w:val="nil"/>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2ml</w:t>
            </w:r>
          </w:p>
        </w:tc>
        <w:tc>
          <w:tcPr>
            <w:tcW w:w="1453" w:type="dxa"/>
            <w:tcBorders>
              <w:top w:val="single" w:sz="8" w:space="0" w:color="000000"/>
              <w:left w:val="nil"/>
              <w:bottom w:val="nil"/>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247± 8.7</w:t>
            </w:r>
            <w:r>
              <w:rPr>
                <w:rFonts w:ascii="Arial" w:hAnsi="Arial" w:cs="Arial"/>
                <w:sz w:val="20"/>
                <w:szCs w:val="20"/>
                <w:vertAlign w:val="superscript"/>
              </w:rPr>
              <w:t>e</w:t>
            </w:r>
          </w:p>
        </w:tc>
        <w:tc>
          <w:tcPr>
            <w:tcW w:w="1585" w:type="dxa"/>
            <w:tcBorders>
              <w:top w:val="single" w:sz="8" w:space="0" w:color="000000"/>
              <w:left w:val="nil"/>
              <w:bottom w:val="nil"/>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187±4.5</w:t>
            </w:r>
            <w:r>
              <w:rPr>
                <w:rFonts w:ascii="Arial" w:hAnsi="Arial" w:cs="Arial"/>
                <w:sz w:val="20"/>
                <w:szCs w:val="20"/>
                <w:vertAlign w:val="superscript"/>
              </w:rPr>
              <w:t>e</w:t>
            </w:r>
          </w:p>
        </w:tc>
        <w:tc>
          <w:tcPr>
            <w:tcW w:w="1586" w:type="dxa"/>
            <w:tcBorders>
              <w:top w:val="single" w:sz="8" w:space="0" w:color="000000"/>
              <w:left w:val="nil"/>
              <w:bottom w:val="nil"/>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60±4.5</w:t>
            </w:r>
            <w:r>
              <w:rPr>
                <w:rFonts w:ascii="Arial" w:hAnsi="Arial" w:cs="Arial"/>
                <w:sz w:val="20"/>
                <w:szCs w:val="20"/>
                <w:vertAlign w:val="superscript"/>
              </w:rPr>
              <w:t>e  </w:t>
            </w:r>
          </w:p>
        </w:tc>
        <w:tc>
          <w:tcPr>
            <w:tcW w:w="1334" w:type="dxa"/>
            <w:tcBorders>
              <w:top w:val="single" w:sz="8" w:space="0" w:color="000000"/>
              <w:left w:val="nil"/>
              <w:bottom w:val="nil"/>
              <w:right w:val="nil"/>
            </w:tcBorders>
            <w:shd w:val="clear" w:color="auto" w:fill="FFFFFF"/>
            <w:tcMar>
              <w:top w:w="47" w:type="dxa"/>
              <w:left w:w="94" w:type="dxa"/>
              <w:bottom w:w="47" w:type="dxa"/>
              <w:right w:w="94" w:type="dxa"/>
            </w:tcMar>
            <w:hideMark/>
          </w:tcPr>
          <w:p w:rsidR="00341D63" w:rsidRDefault="00377729">
            <w:pPr>
              <w:spacing w:line="240" w:lineRule="auto"/>
              <w:rPr>
                <w:rFonts w:ascii="Arial" w:hAnsi="Arial" w:cs="Arial"/>
                <w:sz w:val="20"/>
                <w:szCs w:val="20"/>
              </w:rPr>
            </w:pPr>
            <w:r>
              <w:rPr>
                <w:rFonts w:ascii="Arial" w:hAnsi="Arial" w:cs="Arial"/>
                <w:sz w:val="20"/>
                <w:szCs w:val="20"/>
              </w:rPr>
              <w:t xml:space="preserve">   -</w:t>
            </w:r>
          </w:p>
        </w:tc>
      </w:tr>
      <w:tr w:rsidR="00341D63">
        <w:trPr>
          <w:trHeight w:val="530"/>
        </w:trPr>
        <w:tc>
          <w:tcPr>
            <w:tcW w:w="1652" w:type="dxa"/>
            <w:vMerge w:val="restart"/>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xml:space="preserve"> n-hexane </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100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117 ± 3.1</w:t>
            </w:r>
            <w:r>
              <w:rPr>
                <w:rFonts w:ascii="Arial" w:hAnsi="Arial" w:cs="Arial"/>
                <w:sz w:val="20"/>
                <w:szCs w:val="20"/>
                <w:vertAlign w:val="superscript"/>
              </w:rPr>
              <w:t>d</w:t>
            </w:r>
          </w:p>
        </w:tc>
        <w:tc>
          <w:tcPr>
            <w:tcW w:w="1585"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77±9.0</w:t>
            </w:r>
            <w:r>
              <w:rPr>
                <w:rFonts w:ascii="Arial" w:hAnsi="Arial" w:cs="Arial"/>
                <w:sz w:val="20"/>
                <w:szCs w:val="20"/>
                <w:vertAlign w:val="superscript"/>
              </w:rPr>
              <w:t>c</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40±3.2</w:t>
            </w:r>
            <w:r>
              <w:rPr>
                <w:rFonts w:ascii="Arial" w:hAnsi="Arial" w:cs="Arial"/>
                <w:sz w:val="20"/>
                <w:szCs w:val="20"/>
                <w:vertAlign w:val="superscript"/>
              </w:rPr>
              <w:t xml:space="preserve"> c</w:t>
            </w:r>
          </w:p>
        </w:tc>
        <w:tc>
          <w:tcPr>
            <w:tcW w:w="1334"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33.3</w:t>
            </w:r>
          </w:p>
        </w:tc>
      </w:tr>
      <w:tr w:rsidR="00341D63">
        <w:trPr>
          <w:trHeight w:val="530"/>
        </w:trPr>
        <w:tc>
          <w:tcPr>
            <w:tcW w:w="0" w:type="auto"/>
            <w:vMerge/>
            <w:tcBorders>
              <w:top w:val="nil"/>
              <w:left w:val="nil"/>
              <w:bottom w:val="nil"/>
              <w:right w:val="nil"/>
            </w:tcBorders>
            <w:vAlign w:val="center"/>
            <w:hideMark/>
          </w:tcPr>
          <w:p w:rsidR="00341D63" w:rsidRDefault="00341D63">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200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141± 3.5</w:t>
            </w:r>
            <w:r>
              <w:rPr>
                <w:rFonts w:ascii="Arial" w:hAnsi="Arial" w:cs="Arial"/>
                <w:sz w:val="20"/>
                <w:szCs w:val="20"/>
                <w:vertAlign w:val="superscript"/>
              </w:rPr>
              <w:t>b</w:t>
            </w:r>
          </w:p>
        </w:tc>
        <w:tc>
          <w:tcPr>
            <w:tcW w:w="1585"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105±7.6</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36±9.0</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40</w:t>
            </w:r>
          </w:p>
        </w:tc>
      </w:tr>
      <w:tr w:rsidR="00341D63">
        <w:trPr>
          <w:trHeight w:val="530"/>
        </w:trPr>
        <w:tc>
          <w:tcPr>
            <w:tcW w:w="0" w:type="auto"/>
            <w:vMerge/>
            <w:tcBorders>
              <w:top w:val="nil"/>
              <w:left w:val="nil"/>
              <w:bottom w:val="nil"/>
              <w:right w:val="nil"/>
            </w:tcBorders>
            <w:vAlign w:val="center"/>
            <w:hideMark/>
          </w:tcPr>
          <w:p w:rsidR="00341D63" w:rsidRDefault="00341D63">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400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127±2.5</w:t>
            </w:r>
            <w:r>
              <w:rPr>
                <w:rFonts w:ascii="Arial" w:hAnsi="Arial" w:cs="Arial"/>
                <w:sz w:val="20"/>
                <w:szCs w:val="20"/>
                <w:vertAlign w:val="superscript"/>
              </w:rPr>
              <w:t>a</w:t>
            </w:r>
          </w:p>
        </w:tc>
        <w:tc>
          <w:tcPr>
            <w:tcW w:w="1585"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93±2.0</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34±2.0</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43.3</w:t>
            </w:r>
          </w:p>
        </w:tc>
      </w:tr>
      <w:tr w:rsidR="00341D63">
        <w:trPr>
          <w:trHeight w:val="530"/>
        </w:trPr>
        <w:tc>
          <w:tcPr>
            <w:tcW w:w="1652" w:type="dxa"/>
            <w:vMerge w:val="restart"/>
            <w:tcBorders>
              <w:top w:val="nil"/>
              <w:left w:val="nil"/>
              <w:bottom w:val="nil"/>
              <w:right w:val="nil"/>
            </w:tcBorders>
            <w:shd w:val="clear" w:color="auto" w:fill="FFFFFF"/>
            <w:tcMar>
              <w:top w:w="47" w:type="dxa"/>
              <w:left w:w="7" w:type="dxa"/>
              <w:bottom w:w="47" w:type="dxa"/>
              <w:right w:w="7" w:type="dxa"/>
            </w:tcMar>
            <w:vAlign w:val="center"/>
            <w:hideMark/>
          </w:tcPr>
          <w:p w:rsidR="00341D63" w:rsidRDefault="00377729">
            <w:pPr>
              <w:spacing w:line="240" w:lineRule="auto"/>
              <w:rPr>
                <w:rFonts w:ascii="Arial" w:hAnsi="Arial" w:cs="Arial"/>
                <w:sz w:val="20"/>
                <w:szCs w:val="20"/>
              </w:rPr>
            </w:pPr>
            <w:r>
              <w:rPr>
                <w:rFonts w:ascii="Arial" w:hAnsi="Arial" w:cs="Arial"/>
                <w:sz w:val="20"/>
                <w:szCs w:val="20"/>
              </w:rPr>
              <w:t>Ethyl acetate</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100</w:t>
            </w:r>
          </w:p>
        </w:tc>
        <w:tc>
          <w:tcPr>
            <w:tcW w:w="1453"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207 ± 9.1</w:t>
            </w:r>
            <w:r>
              <w:rPr>
                <w:rFonts w:ascii="Arial" w:hAnsi="Arial" w:cs="Arial"/>
                <w:sz w:val="20"/>
                <w:szCs w:val="20"/>
                <w:vertAlign w:val="superscript"/>
              </w:rPr>
              <w:t>d</w:t>
            </w:r>
          </w:p>
        </w:tc>
        <w:tc>
          <w:tcPr>
            <w:tcW w:w="1585"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117±3.8</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30±3.8</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50</w:t>
            </w:r>
          </w:p>
        </w:tc>
      </w:tr>
      <w:tr w:rsidR="00341D63">
        <w:trPr>
          <w:trHeight w:val="530"/>
        </w:trPr>
        <w:tc>
          <w:tcPr>
            <w:tcW w:w="0" w:type="auto"/>
            <w:vMerge/>
            <w:tcBorders>
              <w:top w:val="nil"/>
              <w:left w:val="nil"/>
              <w:bottom w:val="nil"/>
              <w:right w:val="nil"/>
            </w:tcBorders>
            <w:vAlign w:val="center"/>
            <w:hideMark/>
          </w:tcPr>
          <w:p w:rsidR="00341D63" w:rsidRDefault="00341D63">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200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193±5.1</w:t>
            </w:r>
            <w:r>
              <w:rPr>
                <w:rFonts w:ascii="Arial" w:hAnsi="Arial" w:cs="Arial"/>
                <w:sz w:val="20"/>
                <w:szCs w:val="20"/>
                <w:vertAlign w:val="superscript"/>
              </w:rPr>
              <w:t>c</w:t>
            </w:r>
          </w:p>
        </w:tc>
        <w:tc>
          <w:tcPr>
            <w:tcW w:w="1585"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161±4.5</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32±4.5</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46.7</w:t>
            </w:r>
          </w:p>
        </w:tc>
      </w:tr>
      <w:tr w:rsidR="00341D63">
        <w:trPr>
          <w:trHeight w:val="530"/>
        </w:trPr>
        <w:tc>
          <w:tcPr>
            <w:tcW w:w="0" w:type="auto"/>
            <w:vMerge/>
            <w:tcBorders>
              <w:top w:val="nil"/>
              <w:left w:val="nil"/>
              <w:bottom w:val="nil"/>
              <w:right w:val="nil"/>
            </w:tcBorders>
            <w:vAlign w:val="center"/>
            <w:hideMark/>
          </w:tcPr>
          <w:p w:rsidR="00341D63" w:rsidRDefault="00341D63">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400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164±3.6</w:t>
            </w:r>
            <w:r>
              <w:rPr>
                <w:rFonts w:ascii="Arial" w:hAnsi="Arial" w:cs="Arial"/>
                <w:sz w:val="20"/>
                <w:szCs w:val="20"/>
                <w:vertAlign w:val="superscript"/>
              </w:rPr>
              <w:t>b</w:t>
            </w:r>
          </w:p>
        </w:tc>
        <w:tc>
          <w:tcPr>
            <w:tcW w:w="1585"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135±2.3</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29±2.3</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51.7</w:t>
            </w:r>
          </w:p>
        </w:tc>
      </w:tr>
      <w:tr w:rsidR="00341D63">
        <w:trPr>
          <w:trHeight w:val="530"/>
        </w:trPr>
        <w:tc>
          <w:tcPr>
            <w:tcW w:w="1652" w:type="dxa"/>
            <w:vMerge w:val="restart"/>
            <w:tcBorders>
              <w:top w:val="nil"/>
              <w:left w:val="nil"/>
              <w:bottom w:val="nil"/>
              <w:right w:val="nil"/>
            </w:tcBorders>
            <w:shd w:val="clear" w:color="auto" w:fill="FFFFFF"/>
            <w:tcMar>
              <w:top w:w="47" w:type="dxa"/>
              <w:left w:w="7" w:type="dxa"/>
              <w:bottom w:w="47" w:type="dxa"/>
              <w:right w:w="7" w:type="dxa"/>
            </w:tcMar>
            <w:vAlign w:val="center"/>
            <w:hideMark/>
          </w:tcPr>
          <w:p w:rsidR="00341D63" w:rsidRDefault="00377729">
            <w:pPr>
              <w:spacing w:line="240" w:lineRule="auto"/>
              <w:rPr>
                <w:rFonts w:ascii="Arial" w:hAnsi="Arial" w:cs="Arial"/>
                <w:sz w:val="20"/>
                <w:szCs w:val="20"/>
              </w:rPr>
            </w:pPr>
            <w:r>
              <w:rPr>
                <w:rFonts w:ascii="Arial" w:hAnsi="Arial" w:cs="Arial"/>
                <w:sz w:val="20"/>
                <w:szCs w:val="20"/>
              </w:rPr>
              <w:t>Aqueous-methanol</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100</w:t>
            </w:r>
          </w:p>
        </w:tc>
        <w:tc>
          <w:tcPr>
            <w:tcW w:w="1453"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193 ± 2.9</w:t>
            </w:r>
            <w:r>
              <w:rPr>
                <w:rFonts w:ascii="Arial" w:hAnsi="Arial" w:cs="Arial"/>
                <w:sz w:val="20"/>
                <w:szCs w:val="20"/>
                <w:vertAlign w:val="superscript"/>
              </w:rPr>
              <w:t>d</w:t>
            </w:r>
          </w:p>
        </w:tc>
        <w:tc>
          <w:tcPr>
            <w:tcW w:w="1585"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168±5.2</w:t>
            </w:r>
            <w:r>
              <w:rPr>
                <w:rFonts w:ascii="Arial" w:hAnsi="Arial" w:cs="Arial"/>
                <w:sz w:val="20"/>
                <w:szCs w:val="20"/>
                <w:vertAlign w:val="superscript"/>
              </w:rPr>
              <w:t>d</w:t>
            </w:r>
          </w:p>
        </w:tc>
        <w:tc>
          <w:tcPr>
            <w:tcW w:w="1586"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25±5.8</w:t>
            </w:r>
            <w:r>
              <w:rPr>
                <w:rFonts w:ascii="Arial" w:hAnsi="Arial" w:cs="Arial"/>
                <w:sz w:val="20"/>
                <w:szCs w:val="20"/>
                <w:vertAlign w:val="superscript"/>
              </w:rPr>
              <w:t>d</w:t>
            </w:r>
          </w:p>
        </w:tc>
        <w:tc>
          <w:tcPr>
            <w:tcW w:w="1334"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58.3</w:t>
            </w:r>
          </w:p>
        </w:tc>
      </w:tr>
      <w:tr w:rsidR="00341D63">
        <w:trPr>
          <w:trHeight w:val="530"/>
        </w:trPr>
        <w:tc>
          <w:tcPr>
            <w:tcW w:w="0" w:type="auto"/>
            <w:vMerge/>
            <w:tcBorders>
              <w:top w:val="nil"/>
              <w:left w:val="nil"/>
              <w:bottom w:val="nil"/>
              <w:right w:val="nil"/>
            </w:tcBorders>
            <w:vAlign w:val="center"/>
            <w:hideMark/>
          </w:tcPr>
          <w:p w:rsidR="00341D63" w:rsidRDefault="00341D63">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200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172±4.6</w:t>
            </w:r>
            <w:r>
              <w:rPr>
                <w:rFonts w:ascii="Arial" w:hAnsi="Arial" w:cs="Arial"/>
                <w:sz w:val="20"/>
                <w:szCs w:val="20"/>
                <w:vertAlign w:val="superscript"/>
              </w:rPr>
              <w:t>c</w:t>
            </w:r>
          </w:p>
        </w:tc>
        <w:tc>
          <w:tcPr>
            <w:tcW w:w="1585"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150±2.9</w:t>
            </w:r>
            <w:r>
              <w:rPr>
                <w:rFonts w:ascii="Arial" w:hAnsi="Arial" w:cs="Arial"/>
                <w:sz w:val="20"/>
                <w:szCs w:val="20"/>
                <w:vertAlign w:val="superscript"/>
              </w:rPr>
              <w:t>c</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22±2.9</w:t>
            </w:r>
            <w:r>
              <w:rPr>
                <w:rFonts w:ascii="Arial" w:hAnsi="Arial" w:cs="Arial"/>
                <w:sz w:val="20"/>
                <w:szCs w:val="20"/>
                <w:vertAlign w:val="superscript"/>
              </w:rPr>
              <w:t>c</w:t>
            </w:r>
          </w:p>
        </w:tc>
        <w:tc>
          <w:tcPr>
            <w:tcW w:w="1334"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63.3</w:t>
            </w:r>
          </w:p>
        </w:tc>
      </w:tr>
      <w:tr w:rsidR="00341D63">
        <w:trPr>
          <w:trHeight w:val="530"/>
        </w:trPr>
        <w:tc>
          <w:tcPr>
            <w:tcW w:w="0" w:type="auto"/>
            <w:vMerge/>
            <w:tcBorders>
              <w:top w:val="nil"/>
              <w:left w:val="nil"/>
              <w:bottom w:val="nil"/>
              <w:right w:val="nil"/>
            </w:tcBorders>
            <w:vAlign w:val="center"/>
            <w:hideMark/>
          </w:tcPr>
          <w:p w:rsidR="00341D63" w:rsidRDefault="00341D63">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400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157±8.2</w:t>
            </w:r>
            <w:r>
              <w:rPr>
                <w:rFonts w:ascii="Arial" w:hAnsi="Arial" w:cs="Arial"/>
                <w:sz w:val="20"/>
                <w:szCs w:val="20"/>
                <w:vertAlign w:val="superscript"/>
              </w:rPr>
              <w:t>b</w:t>
            </w:r>
          </w:p>
        </w:tc>
        <w:tc>
          <w:tcPr>
            <w:tcW w:w="1585"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137±2.9</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20±2.9</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66.7</w:t>
            </w:r>
          </w:p>
        </w:tc>
      </w:tr>
      <w:tr w:rsidR="00341D63">
        <w:trPr>
          <w:trHeight w:val="758"/>
        </w:trPr>
        <w:tc>
          <w:tcPr>
            <w:tcW w:w="1652" w:type="dxa"/>
            <w:tcBorders>
              <w:top w:val="nil"/>
              <w:left w:val="nil"/>
              <w:bottom w:val="single" w:sz="8" w:space="0" w:color="000000"/>
              <w:right w:val="nil"/>
            </w:tcBorders>
            <w:shd w:val="clear" w:color="auto" w:fill="FFFFFF"/>
            <w:tcMar>
              <w:top w:w="47" w:type="dxa"/>
              <w:left w:w="7" w:type="dxa"/>
              <w:bottom w:w="47" w:type="dxa"/>
              <w:right w:w="7" w:type="dxa"/>
            </w:tcMar>
            <w:vAlign w:val="center"/>
            <w:hideMark/>
          </w:tcPr>
          <w:p w:rsidR="00341D63" w:rsidRDefault="00377729">
            <w:pPr>
              <w:spacing w:line="240" w:lineRule="auto"/>
              <w:rPr>
                <w:rFonts w:ascii="Arial" w:hAnsi="Arial" w:cs="Arial"/>
                <w:sz w:val="20"/>
                <w:szCs w:val="20"/>
              </w:rPr>
            </w:pPr>
            <w:r>
              <w:rPr>
                <w:rFonts w:ascii="Arial" w:hAnsi="Arial" w:cs="Arial"/>
                <w:sz w:val="20"/>
                <w:szCs w:val="20"/>
              </w:rPr>
              <w:t>Indomethacin</w:t>
            </w:r>
          </w:p>
        </w:tc>
        <w:tc>
          <w:tcPr>
            <w:tcW w:w="1586" w:type="dxa"/>
            <w:tcBorders>
              <w:top w:val="nil"/>
              <w:left w:val="nil"/>
              <w:bottom w:val="single" w:sz="8" w:space="0" w:color="000000"/>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10</w:t>
            </w:r>
          </w:p>
        </w:tc>
        <w:tc>
          <w:tcPr>
            <w:tcW w:w="1453" w:type="dxa"/>
            <w:tcBorders>
              <w:top w:val="nil"/>
              <w:left w:val="nil"/>
              <w:bottom w:val="single" w:sz="8" w:space="0" w:color="000000"/>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133±2.0</w:t>
            </w:r>
            <w:r>
              <w:rPr>
                <w:rFonts w:ascii="Arial" w:hAnsi="Arial" w:cs="Arial"/>
                <w:sz w:val="20"/>
                <w:szCs w:val="20"/>
                <w:vertAlign w:val="superscript"/>
              </w:rPr>
              <w:t>a</w:t>
            </w:r>
          </w:p>
        </w:tc>
        <w:tc>
          <w:tcPr>
            <w:tcW w:w="1585" w:type="dxa"/>
            <w:tcBorders>
              <w:top w:val="nil"/>
              <w:left w:val="nil"/>
              <w:bottom w:val="single" w:sz="8" w:space="0" w:color="000000"/>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116±4.0</w:t>
            </w:r>
            <w:r>
              <w:rPr>
                <w:rFonts w:ascii="Arial" w:hAnsi="Arial" w:cs="Arial"/>
                <w:sz w:val="20"/>
                <w:szCs w:val="20"/>
                <w:vertAlign w:val="superscript"/>
              </w:rPr>
              <w:t>a</w:t>
            </w:r>
          </w:p>
        </w:tc>
        <w:tc>
          <w:tcPr>
            <w:tcW w:w="1586" w:type="dxa"/>
            <w:tcBorders>
              <w:top w:val="nil"/>
              <w:left w:val="nil"/>
              <w:bottom w:val="single" w:sz="8" w:space="0" w:color="000000"/>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17±4.0</w:t>
            </w:r>
            <w:r>
              <w:rPr>
                <w:rFonts w:ascii="Arial" w:hAnsi="Arial" w:cs="Arial"/>
                <w:sz w:val="20"/>
                <w:szCs w:val="20"/>
                <w:vertAlign w:val="superscript"/>
              </w:rPr>
              <w:t>a</w:t>
            </w:r>
          </w:p>
        </w:tc>
        <w:tc>
          <w:tcPr>
            <w:tcW w:w="1334" w:type="dxa"/>
            <w:tcBorders>
              <w:top w:val="nil"/>
              <w:left w:val="nil"/>
              <w:bottom w:val="single" w:sz="8" w:space="0" w:color="000000"/>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71.7</w:t>
            </w:r>
          </w:p>
        </w:tc>
      </w:tr>
    </w:tbl>
    <w:p w:rsidR="00341D63" w:rsidRDefault="00341D63">
      <w:pPr>
        <w:spacing w:after="0" w:line="240" w:lineRule="auto"/>
        <w:rPr>
          <w:rFonts w:ascii="Arial" w:hAnsi="Arial" w:cs="Arial"/>
          <w:sz w:val="20"/>
          <w:szCs w:val="20"/>
        </w:rPr>
      </w:pPr>
    </w:p>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 xml:space="preserve">Mean values with different alphabet down the column are significantly different (p &lt; 0.05). n=4, </w:t>
      </w:r>
    </w:p>
    <w:p w:rsidR="00341D63" w:rsidRDefault="00341D63">
      <w:pPr>
        <w:spacing w:line="480" w:lineRule="auto"/>
        <w:rPr>
          <w:rFonts w:ascii="Arial" w:hAnsi="Arial" w:cs="Arial"/>
          <w:bCs/>
          <w:color w:val="000000" w:themeColor="text1"/>
          <w:sz w:val="20"/>
          <w:szCs w:val="20"/>
        </w:rPr>
      </w:pPr>
    </w:p>
    <w:p w:rsidR="00341D63" w:rsidRDefault="00341D63">
      <w:pPr>
        <w:spacing w:line="480" w:lineRule="auto"/>
        <w:rPr>
          <w:rFonts w:ascii="Arial" w:hAnsi="Arial" w:cs="Arial"/>
          <w:bCs/>
          <w:color w:val="000000" w:themeColor="text1"/>
          <w:sz w:val="20"/>
          <w:szCs w:val="20"/>
        </w:rPr>
      </w:pPr>
    </w:p>
    <w:p w:rsidR="00341D63" w:rsidRDefault="00341D63">
      <w:pPr>
        <w:spacing w:line="480" w:lineRule="auto"/>
        <w:rPr>
          <w:rFonts w:ascii="Arial" w:hAnsi="Arial" w:cs="Arial"/>
          <w:bCs/>
          <w:color w:val="000000" w:themeColor="text1"/>
          <w:sz w:val="20"/>
          <w:szCs w:val="20"/>
        </w:rPr>
      </w:pPr>
    </w:p>
    <w:p w:rsidR="00341D63" w:rsidRDefault="00341D63">
      <w:pPr>
        <w:spacing w:line="480" w:lineRule="auto"/>
        <w:rPr>
          <w:rFonts w:ascii="Arial" w:hAnsi="Arial" w:cs="Arial"/>
          <w:bCs/>
          <w:color w:val="000000" w:themeColor="text1"/>
          <w:sz w:val="20"/>
          <w:szCs w:val="20"/>
        </w:rPr>
      </w:pPr>
    </w:p>
    <w:p w:rsidR="00341D63" w:rsidRDefault="00341D63">
      <w:pPr>
        <w:spacing w:line="480" w:lineRule="auto"/>
        <w:rPr>
          <w:rFonts w:ascii="Arial" w:hAnsi="Arial" w:cs="Arial"/>
          <w:bCs/>
          <w:color w:val="000000" w:themeColor="text1"/>
          <w:sz w:val="20"/>
          <w:szCs w:val="20"/>
        </w:rPr>
      </w:pPr>
    </w:p>
    <w:p w:rsidR="00341D63" w:rsidRDefault="00377729">
      <w:pPr>
        <w:spacing w:line="360" w:lineRule="auto"/>
        <w:rPr>
          <w:rFonts w:ascii="Arial" w:hAnsi="Arial" w:cs="Arial"/>
          <w:b/>
          <w:bCs/>
          <w:color w:val="000000" w:themeColor="text1"/>
          <w:sz w:val="20"/>
          <w:szCs w:val="20"/>
        </w:rPr>
      </w:pPr>
      <w:proofErr w:type="gramStart"/>
      <w:r>
        <w:rPr>
          <w:rFonts w:ascii="Arial" w:hAnsi="Arial" w:cs="Arial"/>
          <w:b/>
          <w:bCs/>
          <w:color w:val="000000" w:themeColor="text1"/>
          <w:sz w:val="20"/>
          <w:szCs w:val="20"/>
        </w:rPr>
        <w:lastRenderedPageBreak/>
        <w:t>3.5  EFFECT</w:t>
      </w:r>
      <w:proofErr w:type="gramEnd"/>
      <w:r>
        <w:rPr>
          <w:rFonts w:ascii="Arial" w:hAnsi="Arial" w:cs="Arial"/>
          <w:b/>
          <w:bCs/>
          <w:color w:val="000000" w:themeColor="text1"/>
          <w:sz w:val="20"/>
          <w:szCs w:val="20"/>
        </w:rPr>
        <w:t xml:space="preserve"> OF N-HEXANE, ETHYL ACETATE, AND AQUEOUS METHANOL FRACTIONS ON PHOSPHOLIPASE A</w:t>
      </w:r>
      <w:r>
        <w:rPr>
          <w:rFonts w:ascii="Arial" w:hAnsi="Arial" w:cs="Arial"/>
          <w:b/>
          <w:bCs/>
          <w:color w:val="000000" w:themeColor="text1"/>
          <w:sz w:val="20"/>
          <w:szCs w:val="20"/>
          <w:vertAlign w:val="subscript"/>
        </w:rPr>
        <w:t>2</w:t>
      </w:r>
      <w:r>
        <w:rPr>
          <w:rFonts w:ascii="Arial" w:hAnsi="Arial" w:cs="Arial"/>
          <w:b/>
          <w:bCs/>
          <w:color w:val="000000" w:themeColor="text1"/>
          <w:sz w:val="20"/>
          <w:szCs w:val="20"/>
        </w:rPr>
        <w:t xml:space="preserve"> ACTIVITY</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Results in Table 5, reveal that n-hexane, ethyl acetate and aqueous-methanol fractions as well as the standard drug diclofenac inhibited the release of haemoglobin into the medium by PLA</w:t>
      </w:r>
      <w:r>
        <w:rPr>
          <w:rFonts w:ascii="Arial" w:hAnsi="Arial" w:cs="Arial"/>
          <w:bCs/>
          <w:color w:val="000000" w:themeColor="text1"/>
          <w:sz w:val="20"/>
          <w:szCs w:val="20"/>
          <w:vertAlign w:val="subscript"/>
        </w:rPr>
        <w:t>2</w:t>
      </w:r>
      <w:r>
        <w:rPr>
          <w:rFonts w:ascii="Arial" w:hAnsi="Arial" w:cs="Arial"/>
          <w:bCs/>
          <w:color w:val="000000" w:themeColor="text1"/>
          <w:sz w:val="20"/>
          <w:szCs w:val="20"/>
        </w:rPr>
        <w:t>. This was shown by the significant (P &lt; 0.05) decreases in optical densities in the varying concentrations of the fractions and diclofenac, indicating reduced haemoglobin. The percentage inhibition calculated relative to control shows that the highest concentration (1.0 mg/ml) had 59.9, 51.9 and 66.5 % exhibited a higher % inhibitory activity against the lowest concentration (0.2 mg/ml) had 29.9, 32.7 and 40.5 % in the entire fraction. Comparatively the aqueous-methanol fraction exhibited the highest activity.</w:t>
      </w: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rPr>
          <w:rFonts w:ascii="Arial" w:hAnsi="Arial" w:cs="Arial"/>
          <w:bCs/>
          <w:color w:val="000000" w:themeColor="text1"/>
          <w:sz w:val="20"/>
          <w:szCs w:val="20"/>
        </w:rPr>
      </w:pPr>
    </w:p>
    <w:p w:rsidR="00341D63" w:rsidRDefault="00377729">
      <w:pPr>
        <w:spacing w:line="480" w:lineRule="auto"/>
        <w:rPr>
          <w:rFonts w:ascii="Arial" w:hAnsi="Arial" w:cs="Arial"/>
          <w:b/>
          <w:bCs/>
          <w:color w:val="000000" w:themeColor="text1"/>
          <w:sz w:val="20"/>
          <w:szCs w:val="20"/>
        </w:rPr>
      </w:pPr>
      <w:r>
        <w:rPr>
          <w:rFonts w:ascii="Arial" w:hAnsi="Arial" w:cs="Arial"/>
          <w:b/>
          <w:bCs/>
          <w:color w:val="000000" w:themeColor="text1"/>
          <w:sz w:val="20"/>
          <w:szCs w:val="20"/>
        </w:rPr>
        <w:lastRenderedPageBreak/>
        <w:t>TABLE 5: EFFECT OF N-HEXANE, ETHYL ACETATE, AND AQUEOUS METHANOL FRACTIONS ON PHOSPHOLIPASE A</w:t>
      </w:r>
      <w:r>
        <w:rPr>
          <w:rFonts w:ascii="Arial" w:hAnsi="Arial" w:cs="Arial"/>
          <w:b/>
          <w:bCs/>
          <w:color w:val="000000" w:themeColor="text1"/>
          <w:sz w:val="20"/>
          <w:szCs w:val="20"/>
          <w:vertAlign w:val="subscript"/>
        </w:rPr>
        <w:t>2</w:t>
      </w:r>
      <w:r>
        <w:rPr>
          <w:rFonts w:ascii="Arial" w:hAnsi="Arial" w:cs="Arial"/>
          <w:b/>
          <w:bCs/>
          <w:color w:val="000000" w:themeColor="text1"/>
          <w:sz w:val="20"/>
          <w:szCs w:val="20"/>
        </w:rPr>
        <w:t xml:space="preserve"> ACTIVITY</w:t>
      </w:r>
    </w:p>
    <w:tbl>
      <w:tblPr>
        <w:tblpPr w:leftFromText="180" w:rightFromText="180" w:vertAnchor="text" w:horzAnchor="margin" w:tblpXSpec="center" w:tblpY="138"/>
        <w:tblW w:w="10207" w:type="dxa"/>
        <w:tblCellMar>
          <w:left w:w="0" w:type="dxa"/>
          <w:right w:w="0" w:type="dxa"/>
        </w:tblCellMar>
        <w:tblLook w:val="04A0" w:firstRow="1" w:lastRow="0" w:firstColumn="1" w:lastColumn="0" w:noHBand="0" w:noVBand="1"/>
      </w:tblPr>
      <w:tblGrid>
        <w:gridCol w:w="1295"/>
        <w:gridCol w:w="1016"/>
        <w:gridCol w:w="1429"/>
        <w:gridCol w:w="1203"/>
        <w:gridCol w:w="1429"/>
        <w:gridCol w:w="1203"/>
        <w:gridCol w:w="1429"/>
        <w:gridCol w:w="1203"/>
      </w:tblGrid>
      <w:tr w:rsidR="00341D63">
        <w:trPr>
          <w:trHeight w:val="1772"/>
        </w:trPr>
        <w:tc>
          <w:tcPr>
            <w:tcW w:w="1295"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bCs/>
                <w:sz w:val="20"/>
                <w:szCs w:val="20"/>
              </w:rPr>
              <w:t>Treatment</w:t>
            </w:r>
          </w:p>
        </w:tc>
        <w:tc>
          <w:tcPr>
            <w:tcW w:w="1016"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proofErr w:type="spellStart"/>
            <w:r>
              <w:rPr>
                <w:rFonts w:ascii="Arial" w:hAnsi="Arial" w:cs="Arial"/>
                <w:bCs/>
                <w:sz w:val="20"/>
                <w:szCs w:val="20"/>
              </w:rPr>
              <w:t>Conc</w:t>
            </w:r>
            <w:proofErr w:type="spellEnd"/>
            <w:r>
              <w:rPr>
                <w:rFonts w:ascii="Arial" w:hAnsi="Arial" w:cs="Arial"/>
                <w:bCs/>
                <w:sz w:val="20"/>
                <w:szCs w:val="20"/>
              </w:rPr>
              <w:t xml:space="preserve"> (mg/ml)</w:t>
            </w:r>
          </w:p>
        </w:tc>
        <w:tc>
          <w:tcPr>
            <w:tcW w:w="1429"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bCs/>
                <w:sz w:val="20"/>
                <w:szCs w:val="20"/>
              </w:rPr>
              <w:t>Absorbance</w:t>
            </w:r>
          </w:p>
          <w:p w:rsidR="00341D63" w:rsidRDefault="00377729">
            <w:pPr>
              <w:spacing w:line="240" w:lineRule="auto"/>
              <w:rPr>
                <w:rFonts w:ascii="Arial" w:hAnsi="Arial" w:cs="Arial"/>
                <w:sz w:val="20"/>
                <w:szCs w:val="20"/>
              </w:rPr>
            </w:pPr>
            <w:r>
              <w:rPr>
                <w:rFonts w:ascii="Arial" w:hAnsi="Arial" w:cs="Arial"/>
                <w:bCs/>
                <w:sz w:val="20"/>
                <w:szCs w:val="20"/>
              </w:rPr>
              <w:t>(418 nm)</w:t>
            </w:r>
          </w:p>
          <w:p w:rsidR="00341D63" w:rsidRDefault="00377729">
            <w:pPr>
              <w:spacing w:line="240" w:lineRule="auto"/>
              <w:rPr>
                <w:rFonts w:ascii="Arial" w:hAnsi="Arial" w:cs="Arial"/>
                <w:sz w:val="20"/>
                <w:szCs w:val="20"/>
              </w:rPr>
            </w:pPr>
            <w:r>
              <w:rPr>
                <w:rFonts w:ascii="Arial" w:hAnsi="Arial" w:cs="Arial"/>
                <w:bCs/>
                <w:sz w:val="20"/>
                <w:szCs w:val="20"/>
              </w:rPr>
              <w:t>n-hexane</w:t>
            </w:r>
          </w:p>
        </w:tc>
        <w:tc>
          <w:tcPr>
            <w:tcW w:w="1203"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bCs/>
                <w:sz w:val="20"/>
                <w:szCs w:val="20"/>
              </w:rPr>
              <w:t>% inhibition</w:t>
            </w:r>
          </w:p>
          <w:p w:rsidR="00341D63" w:rsidRDefault="00377729">
            <w:pPr>
              <w:spacing w:line="240" w:lineRule="auto"/>
              <w:rPr>
                <w:rFonts w:ascii="Arial" w:hAnsi="Arial" w:cs="Arial"/>
                <w:sz w:val="20"/>
                <w:szCs w:val="20"/>
              </w:rPr>
            </w:pPr>
            <w:r>
              <w:rPr>
                <w:rFonts w:ascii="Arial" w:hAnsi="Arial" w:cs="Arial"/>
                <w:bCs/>
                <w:sz w:val="20"/>
                <w:szCs w:val="20"/>
              </w:rPr>
              <w:t>PLA</w:t>
            </w:r>
            <w:r>
              <w:rPr>
                <w:rFonts w:ascii="Arial" w:hAnsi="Arial" w:cs="Arial"/>
                <w:bCs/>
                <w:sz w:val="20"/>
                <w:szCs w:val="20"/>
                <w:vertAlign w:val="subscript"/>
              </w:rPr>
              <w:t>2</w:t>
            </w:r>
            <w:r>
              <w:rPr>
                <w:rFonts w:ascii="Arial" w:hAnsi="Arial" w:cs="Arial"/>
                <w:bCs/>
                <w:sz w:val="20"/>
                <w:szCs w:val="20"/>
              </w:rPr>
              <w:t xml:space="preserve"> activity</w:t>
            </w:r>
          </w:p>
        </w:tc>
        <w:tc>
          <w:tcPr>
            <w:tcW w:w="1429"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bCs/>
                <w:sz w:val="20"/>
                <w:szCs w:val="20"/>
              </w:rPr>
              <w:t>Absorbance (418 nm)</w:t>
            </w:r>
          </w:p>
          <w:p w:rsidR="00341D63" w:rsidRDefault="00377729">
            <w:pPr>
              <w:spacing w:line="240" w:lineRule="auto"/>
              <w:rPr>
                <w:rFonts w:ascii="Arial" w:hAnsi="Arial" w:cs="Arial"/>
                <w:sz w:val="20"/>
                <w:szCs w:val="20"/>
              </w:rPr>
            </w:pPr>
            <w:r>
              <w:rPr>
                <w:rFonts w:ascii="Arial" w:hAnsi="Arial" w:cs="Arial"/>
                <w:bCs/>
                <w:sz w:val="20"/>
                <w:szCs w:val="20"/>
              </w:rPr>
              <w:t>Ethyl acetate</w:t>
            </w:r>
          </w:p>
        </w:tc>
        <w:tc>
          <w:tcPr>
            <w:tcW w:w="1203"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bCs/>
                <w:sz w:val="20"/>
                <w:szCs w:val="20"/>
              </w:rPr>
              <w:t>% inhibition</w:t>
            </w:r>
          </w:p>
          <w:p w:rsidR="00341D63" w:rsidRDefault="00377729">
            <w:pPr>
              <w:spacing w:line="240" w:lineRule="auto"/>
              <w:rPr>
                <w:rFonts w:ascii="Arial" w:hAnsi="Arial" w:cs="Arial"/>
                <w:sz w:val="20"/>
                <w:szCs w:val="20"/>
              </w:rPr>
            </w:pPr>
            <w:r>
              <w:rPr>
                <w:rFonts w:ascii="Arial" w:hAnsi="Arial" w:cs="Arial"/>
                <w:bCs/>
                <w:sz w:val="20"/>
                <w:szCs w:val="20"/>
              </w:rPr>
              <w:t>PLA</w:t>
            </w:r>
            <w:r>
              <w:rPr>
                <w:rFonts w:ascii="Arial" w:hAnsi="Arial" w:cs="Arial"/>
                <w:bCs/>
                <w:sz w:val="20"/>
                <w:szCs w:val="20"/>
                <w:vertAlign w:val="subscript"/>
              </w:rPr>
              <w:t>2</w:t>
            </w:r>
            <w:r>
              <w:rPr>
                <w:rFonts w:ascii="Arial" w:hAnsi="Arial" w:cs="Arial"/>
                <w:bCs/>
                <w:sz w:val="20"/>
                <w:szCs w:val="20"/>
              </w:rPr>
              <w:t xml:space="preserve"> activity</w:t>
            </w:r>
          </w:p>
        </w:tc>
        <w:tc>
          <w:tcPr>
            <w:tcW w:w="1429"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bCs/>
                <w:sz w:val="20"/>
                <w:szCs w:val="20"/>
              </w:rPr>
              <w:t>Absorbance (418 nm)</w:t>
            </w:r>
          </w:p>
          <w:p w:rsidR="00341D63" w:rsidRDefault="00377729">
            <w:pPr>
              <w:spacing w:line="240" w:lineRule="auto"/>
              <w:rPr>
                <w:rFonts w:ascii="Arial" w:hAnsi="Arial" w:cs="Arial"/>
                <w:sz w:val="20"/>
                <w:szCs w:val="20"/>
              </w:rPr>
            </w:pPr>
            <w:proofErr w:type="spellStart"/>
            <w:r>
              <w:rPr>
                <w:rFonts w:ascii="Arial" w:hAnsi="Arial" w:cs="Arial"/>
                <w:bCs/>
                <w:sz w:val="20"/>
                <w:szCs w:val="20"/>
              </w:rPr>
              <w:t>Aq-MeOH</w:t>
            </w:r>
            <w:proofErr w:type="spellEnd"/>
          </w:p>
        </w:tc>
        <w:tc>
          <w:tcPr>
            <w:tcW w:w="1203"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bCs/>
                <w:sz w:val="20"/>
                <w:szCs w:val="20"/>
              </w:rPr>
              <w:t>% inhibition</w:t>
            </w:r>
          </w:p>
          <w:p w:rsidR="00341D63" w:rsidRDefault="00377729">
            <w:pPr>
              <w:spacing w:line="240" w:lineRule="auto"/>
              <w:rPr>
                <w:rFonts w:ascii="Arial" w:hAnsi="Arial" w:cs="Arial"/>
                <w:sz w:val="20"/>
                <w:szCs w:val="20"/>
              </w:rPr>
            </w:pPr>
            <w:r>
              <w:rPr>
                <w:rFonts w:ascii="Arial" w:hAnsi="Arial" w:cs="Arial"/>
                <w:bCs/>
                <w:sz w:val="20"/>
                <w:szCs w:val="20"/>
              </w:rPr>
              <w:t>PLA</w:t>
            </w:r>
            <w:r>
              <w:rPr>
                <w:rFonts w:ascii="Arial" w:hAnsi="Arial" w:cs="Arial"/>
                <w:bCs/>
                <w:sz w:val="20"/>
                <w:szCs w:val="20"/>
                <w:vertAlign w:val="subscript"/>
              </w:rPr>
              <w:t>2</w:t>
            </w:r>
            <w:r>
              <w:rPr>
                <w:rFonts w:ascii="Arial" w:hAnsi="Arial" w:cs="Arial"/>
                <w:bCs/>
                <w:sz w:val="20"/>
                <w:szCs w:val="20"/>
              </w:rPr>
              <w:t xml:space="preserve"> activity</w:t>
            </w:r>
          </w:p>
        </w:tc>
      </w:tr>
      <w:tr w:rsidR="00341D63">
        <w:trPr>
          <w:trHeight w:val="881"/>
        </w:trPr>
        <w:tc>
          <w:tcPr>
            <w:tcW w:w="1295"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Control</w:t>
            </w:r>
          </w:p>
        </w:tc>
        <w:tc>
          <w:tcPr>
            <w:tcW w:w="1016"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w:t>
            </w:r>
          </w:p>
        </w:tc>
        <w:tc>
          <w:tcPr>
            <w:tcW w:w="1429"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1.359±0.01</w:t>
            </w:r>
          </w:p>
        </w:tc>
        <w:tc>
          <w:tcPr>
            <w:tcW w:w="1203"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429"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 </w:t>
            </w:r>
          </w:p>
        </w:tc>
        <w:tc>
          <w:tcPr>
            <w:tcW w:w="1203"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429"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203"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r>
      <w:tr w:rsidR="00341D63">
        <w:trPr>
          <w:trHeight w:val="994"/>
        </w:trPr>
        <w:tc>
          <w:tcPr>
            <w:tcW w:w="1295"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Fractions</w:t>
            </w:r>
          </w:p>
        </w:tc>
        <w:tc>
          <w:tcPr>
            <w:tcW w:w="1016" w:type="dxa"/>
            <w:tcBorders>
              <w:top w:val="nil"/>
              <w:left w:val="nil"/>
              <w:bottom w:val="nil"/>
              <w:right w:val="nil"/>
            </w:tcBorders>
            <w:shd w:val="clear" w:color="auto" w:fill="FFFFFF"/>
            <w:tcMar>
              <w:top w:w="15" w:type="dxa"/>
              <w:left w:w="101" w:type="dxa"/>
              <w:bottom w:w="0" w:type="dxa"/>
              <w:right w:w="101"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0.2</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0.953±0.01*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29.9</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0.914±0.02*</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32.7</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0.808±0.03*</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40.5</w:t>
            </w:r>
          </w:p>
        </w:tc>
      </w:tr>
      <w:tr w:rsidR="00341D63">
        <w:trPr>
          <w:trHeight w:val="994"/>
        </w:trPr>
        <w:tc>
          <w:tcPr>
            <w:tcW w:w="1295"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16" w:type="dxa"/>
            <w:tcBorders>
              <w:top w:val="nil"/>
              <w:left w:val="nil"/>
              <w:bottom w:val="nil"/>
              <w:right w:val="nil"/>
            </w:tcBorders>
            <w:shd w:val="clear" w:color="auto" w:fill="FFFFFF"/>
            <w:tcMar>
              <w:top w:w="15" w:type="dxa"/>
              <w:left w:w="101" w:type="dxa"/>
              <w:bottom w:w="0" w:type="dxa"/>
              <w:right w:w="101"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0.4</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0.791±0.07*</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41.8</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0.894±0.01*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34.2</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0.662±0.04*</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51.3</w:t>
            </w:r>
          </w:p>
        </w:tc>
      </w:tr>
      <w:tr w:rsidR="00341D63">
        <w:trPr>
          <w:trHeight w:val="994"/>
        </w:trPr>
        <w:tc>
          <w:tcPr>
            <w:tcW w:w="1295"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16" w:type="dxa"/>
            <w:tcBorders>
              <w:top w:val="nil"/>
              <w:left w:val="nil"/>
              <w:bottom w:val="nil"/>
              <w:right w:val="nil"/>
            </w:tcBorders>
            <w:shd w:val="clear" w:color="auto" w:fill="FFFFFF"/>
            <w:tcMar>
              <w:top w:w="15" w:type="dxa"/>
              <w:left w:w="101" w:type="dxa"/>
              <w:bottom w:w="0" w:type="dxa"/>
              <w:right w:w="101"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0.6</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0.715±0.01*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47.4</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0.764±0.10*</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43.8</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0.512±0.01*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62.3</w:t>
            </w:r>
          </w:p>
        </w:tc>
      </w:tr>
      <w:tr w:rsidR="00341D63">
        <w:trPr>
          <w:trHeight w:val="994"/>
        </w:trPr>
        <w:tc>
          <w:tcPr>
            <w:tcW w:w="1295"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16" w:type="dxa"/>
            <w:tcBorders>
              <w:top w:val="nil"/>
              <w:left w:val="nil"/>
              <w:bottom w:val="nil"/>
              <w:right w:val="nil"/>
            </w:tcBorders>
            <w:shd w:val="clear" w:color="auto" w:fill="FFFFFF"/>
            <w:tcMar>
              <w:top w:w="15" w:type="dxa"/>
              <w:left w:w="101" w:type="dxa"/>
              <w:bottom w:w="0" w:type="dxa"/>
              <w:right w:w="101"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0.8</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0.626±0.01*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53.9</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0.675±0.02*</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50.3</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0.498±0.01*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63.4</w:t>
            </w:r>
          </w:p>
        </w:tc>
      </w:tr>
      <w:tr w:rsidR="00341D63">
        <w:trPr>
          <w:trHeight w:val="994"/>
        </w:trPr>
        <w:tc>
          <w:tcPr>
            <w:tcW w:w="1295"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16" w:type="dxa"/>
            <w:tcBorders>
              <w:top w:val="nil"/>
              <w:left w:val="nil"/>
              <w:bottom w:val="nil"/>
              <w:right w:val="nil"/>
            </w:tcBorders>
            <w:shd w:val="clear" w:color="auto" w:fill="FFFFFF"/>
            <w:tcMar>
              <w:top w:w="15" w:type="dxa"/>
              <w:left w:w="101" w:type="dxa"/>
              <w:bottom w:w="0" w:type="dxa"/>
              <w:right w:w="101"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1.0</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0.554±0.04*</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59.9</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0.654±0.00*</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51.9</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0.455±0.02*</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66.5</w:t>
            </w:r>
          </w:p>
        </w:tc>
      </w:tr>
      <w:tr w:rsidR="00341D63">
        <w:trPr>
          <w:trHeight w:val="966"/>
        </w:trPr>
        <w:tc>
          <w:tcPr>
            <w:tcW w:w="1295"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Diclofenac</w:t>
            </w:r>
          </w:p>
        </w:tc>
        <w:tc>
          <w:tcPr>
            <w:tcW w:w="1016"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0.4</w:t>
            </w:r>
          </w:p>
        </w:tc>
        <w:tc>
          <w:tcPr>
            <w:tcW w:w="1429"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0.365±0.03*</w:t>
            </w:r>
          </w:p>
        </w:tc>
        <w:tc>
          <w:tcPr>
            <w:tcW w:w="1203"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73.1</w:t>
            </w:r>
          </w:p>
        </w:tc>
        <w:tc>
          <w:tcPr>
            <w:tcW w:w="1429"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0.365±0.03*</w:t>
            </w:r>
          </w:p>
        </w:tc>
        <w:tc>
          <w:tcPr>
            <w:tcW w:w="1203"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73.1</w:t>
            </w:r>
          </w:p>
        </w:tc>
        <w:tc>
          <w:tcPr>
            <w:tcW w:w="1429"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0.365±0.03*</w:t>
            </w:r>
          </w:p>
        </w:tc>
        <w:tc>
          <w:tcPr>
            <w:tcW w:w="1203"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73.1</w:t>
            </w:r>
          </w:p>
        </w:tc>
      </w:tr>
    </w:tbl>
    <w:p w:rsidR="00341D63" w:rsidRDefault="00341D63">
      <w:pPr>
        <w:spacing w:after="0" w:line="240" w:lineRule="auto"/>
        <w:jc w:val="both"/>
        <w:rPr>
          <w:rFonts w:ascii="Arial" w:hAnsi="Arial" w:cs="Arial"/>
          <w:bCs/>
          <w:color w:val="000000" w:themeColor="text1"/>
          <w:sz w:val="20"/>
          <w:szCs w:val="20"/>
        </w:rPr>
      </w:pP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lang w:val="en-US"/>
        </w:rPr>
        <w:t xml:space="preserve">Absorbance values are presented as </w:t>
      </w:r>
      <w:proofErr w:type="spellStart"/>
      <w:r>
        <w:rPr>
          <w:rFonts w:ascii="Arial" w:hAnsi="Arial" w:cs="Arial"/>
          <w:bCs/>
          <w:color w:val="000000" w:themeColor="text1"/>
          <w:sz w:val="20"/>
          <w:szCs w:val="20"/>
          <w:lang w:val="en-US"/>
        </w:rPr>
        <w:t>mean±SD</w:t>
      </w:r>
      <w:proofErr w:type="spellEnd"/>
      <w:r>
        <w:rPr>
          <w:rFonts w:ascii="Arial" w:hAnsi="Arial" w:cs="Arial"/>
          <w:bCs/>
          <w:color w:val="000000" w:themeColor="text1"/>
          <w:sz w:val="20"/>
          <w:szCs w:val="20"/>
          <w:lang w:val="en-US"/>
        </w:rPr>
        <w:t xml:space="preserve"> n=3.P&lt;0.05 is significantly different compared with control</w:t>
      </w:r>
    </w:p>
    <w:p w:rsidR="00341D63" w:rsidRDefault="00341D63">
      <w:pPr>
        <w:spacing w:after="0" w:line="480" w:lineRule="auto"/>
        <w:jc w:val="both"/>
        <w:rPr>
          <w:rFonts w:ascii="Arial" w:hAnsi="Arial" w:cs="Arial"/>
          <w:bCs/>
          <w:color w:val="000000" w:themeColor="text1"/>
          <w:sz w:val="20"/>
          <w:szCs w:val="20"/>
        </w:rPr>
      </w:pPr>
    </w:p>
    <w:p w:rsidR="00341D63" w:rsidRDefault="00341D63">
      <w:pPr>
        <w:spacing w:after="0"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77729">
      <w:pPr>
        <w:spacing w:line="480" w:lineRule="auto"/>
        <w:jc w:val="both"/>
        <w:rPr>
          <w:rFonts w:ascii="Arial" w:hAnsi="Arial" w:cs="Arial"/>
          <w:b/>
          <w:bCs/>
          <w:color w:val="000000" w:themeColor="text1"/>
          <w:sz w:val="20"/>
          <w:szCs w:val="20"/>
        </w:rPr>
      </w:pPr>
      <w:proofErr w:type="gramStart"/>
      <w:r>
        <w:rPr>
          <w:rFonts w:ascii="Arial" w:hAnsi="Arial" w:cs="Arial"/>
          <w:b/>
          <w:bCs/>
          <w:color w:val="000000" w:themeColor="text1"/>
          <w:sz w:val="20"/>
          <w:szCs w:val="20"/>
        </w:rPr>
        <w:lastRenderedPageBreak/>
        <w:t>3.6  EFFECT</w:t>
      </w:r>
      <w:proofErr w:type="gramEnd"/>
      <w:r>
        <w:rPr>
          <w:rFonts w:ascii="Arial" w:hAnsi="Arial" w:cs="Arial"/>
          <w:b/>
          <w:bCs/>
          <w:color w:val="000000" w:themeColor="text1"/>
          <w:sz w:val="20"/>
          <w:szCs w:val="20"/>
        </w:rPr>
        <w:t xml:space="preserve"> OF N-HEXANE, ETHYL ACETATE, AND AQUEOUS-METHANOL FRACTIONS ON MEMBRANE STABILIZATION OF HUMAN RED BLOOD CELL</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Results in Table 6, show that the n-hexane, ethyl acetate and aqueous-methanol fractions inhibited lyses of HRBC subjected to hypotonic solution. This was shown by the decrease in optical densities (OD) of hypotonic solution when compared with the control. The decrease in OD implies less haemoglobin in the medium which indicates inhibition of lyses of HRBC. The n-hexane, ethyl acetate and aqueous-methanol fractions had a concentration dependent inhibition of haemolysis, with increased concentration. The percentage inhibition (77.6 %) obtained for aqueous-methanol fraction (1.0 mg/ml) was comparable to that of the standard drug, diclofenac (81.9 %) at 0.4 mg/ml (Table 6).</w:t>
      </w: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77729">
      <w:pPr>
        <w:spacing w:line="480" w:lineRule="auto"/>
        <w:jc w:val="both"/>
        <w:rPr>
          <w:rFonts w:ascii="Arial" w:hAnsi="Arial" w:cs="Arial"/>
          <w:b/>
          <w:bCs/>
          <w:color w:val="000000" w:themeColor="text1"/>
          <w:sz w:val="20"/>
          <w:szCs w:val="20"/>
        </w:rPr>
      </w:pPr>
      <w:r>
        <w:rPr>
          <w:rFonts w:ascii="Arial" w:hAnsi="Arial" w:cs="Arial"/>
          <w:b/>
          <w:bCs/>
          <w:color w:val="000000" w:themeColor="text1"/>
          <w:sz w:val="20"/>
          <w:szCs w:val="20"/>
        </w:rPr>
        <w:lastRenderedPageBreak/>
        <w:t>TABLE 6: EFFECT OF N-HEXANE, ETHYL ACETATE, AND AQUEOUS-METHANOL FRACTIONS ON MEMBRANE STABILIZATION OF HUMAN RED BLOOD CELL</w:t>
      </w:r>
    </w:p>
    <w:tbl>
      <w:tblPr>
        <w:tblW w:w="10778" w:type="dxa"/>
        <w:tblInd w:w="-857" w:type="dxa"/>
        <w:tblCellMar>
          <w:left w:w="0" w:type="dxa"/>
          <w:right w:w="0" w:type="dxa"/>
        </w:tblCellMar>
        <w:tblLook w:val="04A0" w:firstRow="1" w:lastRow="0" w:firstColumn="1" w:lastColumn="0" w:noHBand="0" w:noVBand="1"/>
      </w:tblPr>
      <w:tblGrid>
        <w:gridCol w:w="1299"/>
        <w:gridCol w:w="1020"/>
        <w:gridCol w:w="1439"/>
        <w:gridCol w:w="1380"/>
        <w:gridCol w:w="1440"/>
        <w:gridCol w:w="1380"/>
        <w:gridCol w:w="1440"/>
        <w:gridCol w:w="1380"/>
      </w:tblGrid>
      <w:tr w:rsidR="00341D63">
        <w:trPr>
          <w:trHeight w:val="1621"/>
        </w:trPr>
        <w:tc>
          <w:tcPr>
            <w:tcW w:w="1299"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r>
              <w:rPr>
                <w:rFonts w:ascii="Arial" w:hAnsi="Arial" w:cs="Arial"/>
                <w:bCs/>
                <w:sz w:val="20"/>
                <w:szCs w:val="20"/>
              </w:rPr>
              <w:t>Treatment</w:t>
            </w:r>
          </w:p>
        </w:tc>
        <w:tc>
          <w:tcPr>
            <w:tcW w:w="102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proofErr w:type="spellStart"/>
            <w:r>
              <w:rPr>
                <w:rFonts w:ascii="Arial" w:hAnsi="Arial" w:cs="Arial"/>
                <w:bCs/>
                <w:sz w:val="20"/>
                <w:szCs w:val="20"/>
              </w:rPr>
              <w:t>Conc</w:t>
            </w:r>
            <w:proofErr w:type="spellEnd"/>
            <w:r>
              <w:rPr>
                <w:rFonts w:ascii="Arial" w:hAnsi="Arial" w:cs="Arial"/>
                <w:bCs/>
                <w:sz w:val="20"/>
                <w:szCs w:val="20"/>
              </w:rPr>
              <w:t xml:space="preserve"> (mg/ml)</w:t>
            </w:r>
          </w:p>
        </w:tc>
        <w:tc>
          <w:tcPr>
            <w:tcW w:w="1439"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r>
              <w:rPr>
                <w:rFonts w:ascii="Arial" w:hAnsi="Arial" w:cs="Arial"/>
                <w:bCs/>
                <w:sz w:val="20"/>
                <w:szCs w:val="20"/>
              </w:rPr>
              <w:t>Absorbance</w:t>
            </w:r>
          </w:p>
          <w:p w:rsidR="00341D63" w:rsidRDefault="00377729">
            <w:pPr>
              <w:spacing w:after="0" w:line="240" w:lineRule="auto"/>
              <w:rPr>
                <w:rFonts w:ascii="Arial" w:hAnsi="Arial" w:cs="Arial"/>
                <w:bCs/>
                <w:sz w:val="20"/>
                <w:szCs w:val="20"/>
              </w:rPr>
            </w:pPr>
            <w:r>
              <w:rPr>
                <w:rFonts w:ascii="Arial" w:hAnsi="Arial" w:cs="Arial"/>
                <w:bCs/>
                <w:sz w:val="20"/>
                <w:szCs w:val="20"/>
              </w:rPr>
              <w:t>(418 nm)</w:t>
            </w:r>
          </w:p>
          <w:p w:rsidR="00341D63" w:rsidRDefault="00377729">
            <w:pPr>
              <w:spacing w:after="0" w:line="240" w:lineRule="auto"/>
              <w:rPr>
                <w:rFonts w:ascii="Arial" w:hAnsi="Arial" w:cs="Arial"/>
                <w:bCs/>
                <w:sz w:val="20"/>
                <w:szCs w:val="20"/>
              </w:rPr>
            </w:pPr>
            <w:r>
              <w:rPr>
                <w:rFonts w:ascii="Arial" w:hAnsi="Arial" w:cs="Arial"/>
                <w:bCs/>
                <w:sz w:val="20"/>
                <w:szCs w:val="20"/>
              </w:rPr>
              <w:t>n-hexane</w:t>
            </w:r>
          </w:p>
        </w:tc>
        <w:tc>
          <w:tcPr>
            <w:tcW w:w="138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r>
              <w:rPr>
                <w:rFonts w:ascii="Arial" w:hAnsi="Arial" w:cs="Arial"/>
                <w:bCs/>
                <w:sz w:val="20"/>
                <w:szCs w:val="20"/>
              </w:rPr>
              <w:t>% inhibition of</w:t>
            </w:r>
          </w:p>
          <w:p w:rsidR="00341D63" w:rsidRDefault="00377729">
            <w:pPr>
              <w:spacing w:after="0" w:line="240" w:lineRule="auto"/>
              <w:rPr>
                <w:rFonts w:ascii="Arial" w:hAnsi="Arial" w:cs="Arial"/>
                <w:bCs/>
                <w:sz w:val="20"/>
                <w:szCs w:val="20"/>
              </w:rPr>
            </w:pPr>
            <w:r>
              <w:rPr>
                <w:rFonts w:ascii="Arial" w:hAnsi="Arial" w:cs="Arial"/>
                <w:bCs/>
                <w:sz w:val="20"/>
                <w:szCs w:val="20"/>
              </w:rPr>
              <w:t>Haemolysis HRBC</w:t>
            </w:r>
          </w:p>
        </w:tc>
        <w:tc>
          <w:tcPr>
            <w:tcW w:w="144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r>
              <w:rPr>
                <w:rFonts w:ascii="Arial" w:hAnsi="Arial" w:cs="Arial"/>
                <w:bCs/>
                <w:sz w:val="20"/>
                <w:szCs w:val="20"/>
              </w:rPr>
              <w:t>Absorbance (418 nm)</w:t>
            </w:r>
          </w:p>
          <w:p w:rsidR="00341D63" w:rsidRDefault="00377729">
            <w:pPr>
              <w:spacing w:after="0" w:line="240" w:lineRule="auto"/>
              <w:rPr>
                <w:rFonts w:ascii="Arial" w:hAnsi="Arial" w:cs="Arial"/>
                <w:bCs/>
                <w:sz w:val="20"/>
                <w:szCs w:val="20"/>
              </w:rPr>
            </w:pPr>
            <w:r>
              <w:rPr>
                <w:rFonts w:ascii="Arial" w:hAnsi="Arial" w:cs="Arial"/>
                <w:bCs/>
                <w:sz w:val="20"/>
                <w:szCs w:val="20"/>
              </w:rPr>
              <w:t>Ethyl acetate</w:t>
            </w:r>
          </w:p>
        </w:tc>
        <w:tc>
          <w:tcPr>
            <w:tcW w:w="138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r>
              <w:rPr>
                <w:rFonts w:ascii="Arial" w:hAnsi="Arial" w:cs="Arial"/>
                <w:bCs/>
                <w:sz w:val="20"/>
                <w:szCs w:val="20"/>
              </w:rPr>
              <w:t>% inhibition</w:t>
            </w:r>
          </w:p>
          <w:p w:rsidR="00341D63" w:rsidRDefault="00377729">
            <w:pPr>
              <w:spacing w:after="0" w:line="240" w:lineRule="auto"/>
              <w:rPr>
                <w:rFonts w:ascii="Arial" w:hAnsi="Arial" w:cs="Arial"/>
                <w:bCs/>
                <w:sz w:val="20"/>
                <w:szCs w:val="20"/>
              </w:rPr>
            </w:pPr>
            <w:r>
              <w:rPr>
                <w:rFonts w:ascii="Arial" w:hAnsi="Arial" w:cs="Arial"/>
                <w:bCs/>
                <w:sz w:val="20"/>
                <w:szCs w:val="20"/>
              </w:rPr>
              <w:t>Haemolysis HRBC</w:t>
            </w:r>
          </w:p>
        </w:tc>
        <w:tc>
          <w:tcPr>
            <w:tcW w:w="144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r>
              <w:rPr>
                <w:rFonts w:ascii="Arial" w:hAnsi="Arial" w:cs="Arial"/>
                <w:bCs/>
                <w:sz w:val="20"/>
                <w:szCs w:val="20"/>
              </w:rPr>
              <w:t>Absorbance (418 nm)</w:t>
            </w:r>
          </w:p>
          <w:p w:rsidR="00341D63" w:rsidRDefault="00377729">
            <w:pPr>
              <w:spacing w:after="0" w:line="240" w:lineRule="auto"/>
              <w:rPr>
                <w:rFonts w:ascii="Arial" w:hAnsi="Arial" w:cs="Arial"/>
                <w:bCs/>
                <w:sz w:val="20"/>
                <w:szCs w:val="20"/>
              </w:rPr>
            </w:pPr>
            <w:proofErr w:type="spellStart"/>
            <w:r>
              <w:rPr>
                <w:rFonts w:ascii="Arial" w:hAnsi="Arial" w:cs="Arial"/>
                <w:bCs/>
                <w:sz w:val="20"/>
                <w:szCs w:val="20"/>
              </w:rPr>
              <w:t>Aq-MeOH</w:t>
            </w:r>
            <w:proofErr w:type="spellEnd"/>
          </w:p>
        </w:tc>
        <w:tc>
          <w:tcPr>
            <w:tcW w:w="138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r>
              <w:rPr>
                <w:rFonts w:ascii="Arial" w:hAnsi="Arial" w:cs="Arial"/>
                <w:bCs/>
                <w:sz w:val="20"/>
                <w:szCs w:val="20"/>
              </w:rPr>
              <w:t>% inhibition</w:t>
            </w:r>
          </w:p>
          <w:p w:rsidR="00341D63" w:rsidRDefault="00377729">
            <w:pPr>
              <w:spacing w:after="0" w:line="240" w:lineRule="auto"/>
              <w:rPr>
                <w:rFonts w:ascii="Arial" w:hAnsi="Arial" w:cs="Arial"/>
                <w:bCs/>
                <w:sz w:val="20"/>
                <w:szCs w:val="20"/>
              </w:rPr>
            </w:pPr>
            <w:r>
              <w:rPr>
                <w:rFonts w:ascii="Arial" w:hAnsi="Arial" w:cs="Arial"/>
                <w:bCs/>
                <w:sz w:val="20"/>
                <w:szCs w:val="20"/>
              </w:rPr>
              <w:t>Haemolysis HRBC</w:t>
            </w:r>
          </w:p>
        </w:tc>
      </w:tr>
      <w:tr w:rsidR="00341D63">
        <w:trPr>
          <w:trHeight w:val="703"/>
        </w:trPr>
        <w:tc>
          <w:tcPr>
            <w:tcW w:w="1299"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Control</w:t>
            </w:r>
          </w:p>
        </w:tc>
        <w:tc>
          <w:tcPr>
            <w:tcW w:w="1020"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w:t>
            </w:r>
          </w:p>
        </w:tc>
        <w:tc>
          <w:tcPr>
            <w:tcW w:w="1439"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2.178±0.01</w:t>
            </w:r>
          </w:p>
        </w:tc>
        <w:tc>
          <w:tcPr>
            <w:tcW w:w="1380"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440"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 </w:t>
            </w:r>
          </w:p>
        </w:tc>
        <w:tc>
          <w:tcPr>
            <w:tcW w:w="1380"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440"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380"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r>
      <w:tr w:rsidR="00341D63">
        <w:trPr>
          <w:trHeight w:val="711"/>
        </w:trPr>
        <w:tc>
          <w:tcPr>
            <w:tcW w:w="1299" w:type="dxa"/>
            <w:tcBorders>
              <w:top w:val="nil"/>
              <w:left w:val="nil"/>
              <w:bottom w:val="nil"/>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Extract</w:t>
            </w:r>
          </w:p>
        </w:tc>
        <w:tc>
          <w:tcPr>
            <w:tcW w:w="1020" w:type="dxa"/>
            <w:tcBorders>
              <w:top w:val="nil"/>
              <w:left w:val="nil"/>
              <w:bottom w:val="nil"/>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0.2</w:t>
            </w:r>
          </w:p>
        </w:tc>
        <w:tc>
          <w:tcPr>
            <w:tcW w:w="143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1.697±0.02*</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22.1</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1.628±0.12*</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25.3</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0.775±0.04*</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64.4</w:t>
            </w:r>
          </w:p>
        </w:tc>
      </w:tr>
      <w:tr w:rsidR="00341D63">
        <w:trPr>
          <w:trHeight w:val="711"/>
        </w:trPr>
        <w:tc>
          <w:tcPr>
            <w:tcW w:w="129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20" w:type="dxa"/>
            <w:tcBorders>
              <w:top w:val="nil"/>
              <w:left w:val="nil"/>
              <w:bottom w:val="nil"/>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0.4</w:t>
            </w:r>
          </w:p>
        </w:tc>
        <w:tc>
          <w:tcPr>
            <w:tcW w:w="143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1.536±0.00*</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29.5</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1.303±0.02*</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40.2</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0.663±0.01*</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69.6</w:t>
            </w:r>
          </w:p>
        </w:tc>
      </w:tr>
      <w:tr w:rsidR="00341D63">
        <w:trPr>
          <w:trHeight w:val="711"/>
        </w:trPr>
        <w:tc>
          <w:tcPr>
            <w:tcW w:w="129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20" w:type="dxa"/>
            <w:tcBorders>
              <w:top w:val="nil"/>
              <w:left w:val="nil"/>
              <w:bottom w:val="nil"/>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0.6</w:t>
            </w:r>
          </w:p>
        </w:tc>
        <w:tc>
          <w:tcPr>
            <w:tcW w:w="143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1.209±0.01*</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44.5</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1.079±0.07*</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50.5</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0.613±0.01*</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71.9</w:t>
            </w:r>
          </w:p>
        </w:tc>
      </w:tr>
      <w:tr w:rsidR="00341D63">
        <w:trPr>
          <w:trHeight w:val="711"/>
        </w:trPr>
        <w:tc>
          <w:tcPr>
            <w:tcW w:w="129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20" w:type="dxa"/>
            <w:tcBorders>
              <w:top w:val="nil"/>
              <w:left w:val="nil"/>
              <w:bottom w:val="nil"/>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0.8</w:t>
            </w:r>
          </w:p>
        </w:tc>
        <w:tc>
          <w:tcPr>
            <w:tcW w:w="143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1.114±0.00*</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48.9</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0.893±0.02*</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59</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0.564±0.01*</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74.4</w:t>
            </w:r>
          </w:p>
        </w:tc>
      </w:tr>
      <w:tr w:rsidR="00341D63">
        <w:trPr>
          <w:trHeight w:val="711"/>
        </w:trPr>
        <w:tc>
          <w:tcPr>
            <w:tcW w:w="129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20" w:type="dxa"/>
            <w:tcBorders>
              <w:top w:val="nil"/>
              <w:left w:val="nil"/>
              <w:bottom w:val="nil"/>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1.0</w:t>
            </w:r>
          </w:p>
        </w:tc>
        <w:tc>
          <w:tcPr>
            <w:tcW w:w="143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0.953±0.00*</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56.2</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0.764±0.01*</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64.9</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0.468±0.02*</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77.6</w:t>
            </w:r>
          </w:p>
        </w:tc>
      </w:tr>
      <w:tr w:rsidR="00341D63">
        <w:trPr>
          <w:trHeight w:val="711"/>
        </w:trPr>
        <w:tc>
          <w:tcPr>
            <w:tcW w:w="1299"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Diclofenac</w:t>
            </w:r>
          </w:p>
        </w:tc>
        <w:tc>
          <w:tcPr>
            <w:tcW w:w="1020"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0.4</w:t>
            </w:r>
          </w:p>
        </w:tc>
        <w:tc>
          <w:tcPr>
            <w:tcW w:w="1439"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0.394±0.05*</w:t>
            </w:r>
          </w:p>
        </w:tc>
        <w:tc>
          <w:tcPr>
            <w:tcW w:w="1380"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81.9</w:t>
            </w:r>
          </w:p>
        </w:tc>
        <w:tc>
          <w:tcPr>
            <w:tcW w:w="1440"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0.394±0.05*</w:t>
            </w:r>
          </w:p>
        </w:tc>
        <w:tc>
          <w:tcPr>
            <w:tcW w:w="1380"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81.9</w:t>
            </w:r>
          </w:p>
        </w:tc>
        <w:tc>
          <w:tcPr>
            <w:tcW w:w="1440"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0.394±0.05*</w:t>
            </w:r>
          </w:p>
        </w:tc>
        <w:tc>
          <w:tcPr>
            <w:tcW w:w="1380"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81.9</w:t>
            </w:r>
          </w:p>
        </w:tc>
      </w:tr>
    </w:tbl>
    <w:p w:rsidR="00341D63" w:rsidRDefault="00341D63">
      <w:pPr>
        <w:spacing w:after="0" w:line="240" w:lineRule="auto"/>
        <w:jc w:val="both"/>
        <w:rPr>
          <w:rFonts w:ascii="Arial" w:hAnsi="Arial" w:cs="Arial"/>
          <w:bCs/>
          <w:color w:val="000000" w:themeColor="text1"/>
          <w:sz w:val="20"/>
          <w:szCs w:val="20"/>
        </w:rPr>
      </w:pP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lang w:val="en-US"/>
        </w:rPr>
        <w:t>Absorbance values are presented as mean ±SD n=3.</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lang w:val="en-US"/>
        </w:rPr>
        <w:t xml:space="preserve">*P&lt;0.05 is significantly different compared with control. </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lang w:val="en-US"/>
        </w:rPr>
        <w:t xml:space="preserve">Percentage inhibition of </w:t>
      </w:r>
      <w:proofErr w:type="spellStart"/>
      <w:r>
        <w:rPr>
          <w:rFonts w:ascii="Arial" w:hAnsi="Arial" w:cs="Arial"/>
          <w:bCs/>
          <w:color w:val="000000" w:themeColor="text1"/>
          <w:sz w:val="20"/>
          <w:szCs w:val="20"/>
          <w:lang w:val="en-US"/>
        </w:rPr>
        <w:t>haemolysis</w:t>
      </w:r>
      <w:proofErr w:type="spellEnd"/>
      <w:r>
        <w:rPr>
          <w:rFonts w:ascii="Arial" w:hAnsi="Arial" w:cs="Arial"/>
          <w:bCs/>
          <w:color w:val="000000" w:themeColor="text1"/>
          <w:sz w:val="20"/>
          <w:szCs w:val="20"/>
          <w:lang w:val="en-US"/>
        </w:rPr>
        <w:t xml:space="preserve"> was calculated relative to control</w:t>
      </w:r>
    </w:p>
    <w:p w:rsidR="00341D63" w:rsidRDefault="00341D63">
      <w:pPr>
        <w:spacing w:after="0" w:line="480" w:lineRule="auto"/>
        <w:rPr>
          <w:rFonts w:ascii="Arial" w:hAnsi="Arial" w:cs="Arial"/>
          <w:color w:val="000000" w:themeColor="text1"/>
          <w:sz w:val="20"/>
          <w:szCs w:val="20"/>
        </w:rPr>
      </w:pPr>
    </w:p>
    <w:p w:rsidR="00341D63" w:rsidRDefault="00341D63">
      <w:pPr>
        <w:spacing w:line="480" w:lineRule="auto"/>
        <w:rPr>
          <w:rFonts w:ascii="Arial" w:hAnsi="Arial" w:cs="Arial"/>
          <w:color w:val="000000" w:themeColor="text1"/>
          <w:sz w:val="20"/>
          <w:szCs w:val="20"/>
        </w:rPr>
      </w:pPr>
    </w:p>
    <w:p w:rsidR="00341D63" w:rsidRDefault="00341D63">
      <w:pPr>
        <w:spacing w:line="480" w:lineRule="auto"/>
        <w:rPr>
          <w:rFonts w:ascii="Arial" w:hAnsi="Arial" w:cs="Arial"/>
          <w:color w:val="000000" w:themeColor="text1"/>
          <w:sz w:val="20"/>
          <w:szCs w:val="20"/>
        </w:rPr>
      </w:pPr>
    </w:p>
    <w:p w:rsidR="00341D63" w:rsidRDefault="00341D63">
      <w:pPr>
        <w:spacing w:line="480" w:lineRule="auto"/>
        <w:rPr>
          <w:rFonts w:ascii="Arial" w:hAnsi="Arial" w:cs="Arial"/>
          <w:color w:val="000000" w:themeColor="text1"/>
          <w:sz w:val="20"/>
          <w:szCs w:val="20"/>
        </w:rPr>
      </w:pPr>
    </w:p>
    <w:p w:rsidR="00341D63" w:rsidRDefault="00341D63">
      <w:pPr>
        <w:spacing w:line="480" w:lineRule="auto"/>
        <w:rPr>
          <w:rFonts w:ascii="Arial" w:hAnsi="Arial" w:cs="Arial"/>
          <w:color w:val="000000" w:themeColor="text1"/>
          <w:sz w:val="20"/>
          <w:szCs w:val="20"/>
        </w:rPr>
      </w:pPr>
    </w:p>
    <w:p w:rsidR="00341D63" w:rsidRDefault="00341D63">
      <w:pPr>
        <w:spacing w:line="480" w:lineRule="auto"/>
        <w:rPr>
          <w:rFonts w:ascii="Arial" w:hAnsi="Arial" w:cs="Arial"/>
          <w:color w:val="000000" w:themeColor="text1"/>
          <w:sz w:val="20"/>
          <w:szCs w:val="20"/>
        </w:rPr>
      </w:pPr>
    </w:p>
    <w:p w:rsidR="00341D63" w:rsidRDefault="00341D63">
      <w:pPr>
        <w:spacing w:line="480" w:lineRule="auto"/>
        <w:rPr>
          <w:rFonts w:ascii="Arial" w:hAnsi="Arial" w:cs="Arial"/>
          <w:color w:val="000000" w:themeColor="text1"/>
          <w:sz w:val="20"/>
          <w:szCs w:val="20"/>
        </w:rPr>
      </w:pPr>
    </w:p>
    <w:p w:rsidR="00341D63" w:rsidRDefault="00377729">
      <w:pPr>
        <w:spacing w:after="0" w:line="480" w:lineRule="auto"/>
        <w:rPr>
          <w:rFonts w:ascii="Arial" w:hAnsi="Arial" w:cs="Arial"/>
          <w:b/>
          <w:sz w:val="20"/>
          <w:szCs w:val="20"/>
        </w:rPr>
      </w:pPr>
      <w:r>
        <w:rPr>
          <w:rFonts w:ascii="Arial" w:hAnsi="Arial" w:cs="Arial"/>
          <w:b/>
          <w:sz w:val="20"/>
          <w:szCs w:val="20"/>
        </w:rPr>
        <w:lastRenderedPageBreak/>
        <w:t>4.0   Discussion</w:t>
      </w:r>
    </w:p>
    <w:p w:rsidR="00CB2A1A" w:rsidRDefault="00F30F9F" w:rsidP="00CB2A1A">
      <w:pPr>
        <w:spacing w:line="480" w:lineRule="auto"/>
        <w:jc w:val="both"/>
        <w:rPr>
          <w:rFonts w:ascii="Arial" w:hAnsi="Arial" w:cs="Arial"/>
          <w:sz w:val="20"/>
          <w:szCs w:val="20"/>
        </w:rPr>
      </w:pPr>
      <w:r>
        <w:rPr>
          <w:rFonts w:ascii="Arial" w:hAnsi="Arial" w:cs="Arial"/>
          <w:sz w:val="20"/>
          <w:szCs w:val="20"/>
        </w:rPr>
        <w:t>“</w:t>
      </w:r>
      <w:r w:rsidR="00377729">
        <w:rPr>
          <w:rFonts w:ascii="Arial" w:hAnsi="Arial" w:cs="Arial"/>
          <w:sz w:val="20"/>
          <w:szCs w:val="20"/>
        </w:rPr>
        <w:t xml:space="preserve">A medicinal plant is any plant in which, one or more of its organs, contains substances that can be used for therapeutic purposes or are precursor for the synthesis of useful drugs. </w:t>
      </w:r>
      <w:r w:rsidR="00377729">
        <w:rPr>
          <w:rFonts w:ascii="Arial" w:hAnsi="Arial" w:cs="Arial"/>
          <w:bCs/>
          <w:sz w:val="20"/>
          <w:szCs w:val="20"/>
        </w:rPr>
        <w:t>The medicinal values of these plants lie in bioactive phytochemical constituents that produce definite physiological action on the human body. Bioactive principles are responsible the therapeutic activities of medicinal plants such as antioxidant, anti-inflammatory, anti-diabetic, antimalarial activities and antimicrobial properties</w:t>
      </w:r>
      <w:r>
        <w:rPr>
          <w:rFonts w:ascii="Arial" w:hAnsi="Arial" w:cs="Arial"/>
          <w:bCs/>
          <w:sz w:val="20"/>
          <w:szCs w:val="20"/>
        </w:rPr>
        <w:t>”</w:t>
      </w:r>
      <w:r w:rsidR="00377729">
        <w:rPr>
          <w:rFonts w:ascii="Arial" w:hAnsi="Arial" w:cs="Arial"/>
          <w:bCs/>
          <w:sz w:val="20"/>
          <w:szCs w:val="20"/>
        </w:rPr>
        <w:t xml:space="preserve"> (</w:t>
      </w:r>
      <w:proofErr w:type="spellStart"/>
      <w:r w:rsidR="00377729">
        <w:rPr>
          <w:rFonts w:ascii="Arial" w:hAnsi="Arial" w:cs="Arial"/>
          <w:color w:val="222222"/>
          <w:sz w:val="20"/>
          <w:szCs w:val="20"/>
          <w:shd w:val="clear" w:color="auto" w:fill="FFFFFF"/>
        </w:rPr>
        <w:t>Aldughaylibi</w:t>
      </w:r>
      <w:proofErr w:type="spellEnd"/>
      <w:r w:rsidR="00377729">
        <w:rPr>
          <w:rFonts w:ascii="Arial" w:hAnsi="Arial" w:cs="Arial"/>
          <w:color w:val="222222"/>
          <w:sz w:val="20"/>
          <w:szCs w:val="20"/>
          <w:shd w:val="clear" w:color="auto" w:fill="FFFFFF"/>
        </w:rPr>
        <w:t xml:space="preserve">, </w:t>
      </w:r>
      <w:r w:rsidR="00377729" w:rsidRPr="00CB2A1A">
        <w:rPr>
          <w:rFonts w:ascii="Arial" w:hAnsi="Arial" w:cs="Arial"/>
          <w:i/>
          <w:color w:val="222222"/>
          <w:sz w:val="20"/>
          <w:szCs w:val="20"/>
          <w:shd w:val="clear" w:color="auto" w:fill="FFFFFF"/>
        </w:rPr>
        <w:t>et al</w:t>
      </w:r>
      <w:r w:rsidR="00377729">
        <w:rPr>
          <w:rFonts w:ascii="Arial" w:hAnsi="Arial" w:cs="Arial"/>
          <w:color w:val="222222"/>
          <w:sz w:val="20"/>
          <w:szCs w:val="20"/>
          <w:shd w:val="clear" w:color="auto" w:fill="FFFFFF"/>
        </w:rPr>
        <w:t>., 2022)</w:t>
      </w:r>
      <w:r w:rsidR="00377729">
        <w:rPr>
          <w:rFonts w:ascii="Arial" w:hAnsi="Arial" w:cs="Arial"/>
          <w:bCs/>
          <w:sz w:val="20"/>
          <w:szCs w:val="20"/>
        </w:rPr>
        <w:t xml:space="preserve">. </w:t>
      </w:r>
      <w:r>
        <w:rPr>
          <w:rFonts w:ascii="Arial" w:hAnsi="Arial" w:cs="Arial"/>
          <w:bCs/>
          <w:sz w:val="20"/>
          <w:szCs w:val="20"/>
        </w:rPr>
        <w:t>“</w:t>
      </w:r>
      <w:r w:rsidR="00377729">
        <w:rPr>
          <w:rFonts w:ascii="Arial" w:hAnsi="Arial" w:cs="Arial"/>
          <w:sz w:val="20"/>
          <w:szCs w:val="20"/>
        </w:rPr>
        <w:t>The search for alternative anti-inflammatory therapies devoid of deleterious effects on the integrity of gastric mucosa makes the research of natural products with simultaneous anti-inflammatory and anti-</w:t>
      </w:r>
      <w:proofErr w:type="spellStart"/>
      <w:r w:rsidR="00377729">
        <w:rPr>
          <w:rFonts w:ascii="Arial" w:hAnsi="Arial" w:cs="Arial"/>
          <w:sz w:val="20"/>
          <w:szCs w:val="20"/>
        </w:rPr>
        <w:t>ulcerogenic</w:t>
      </w:r>
      <w:proofErr w:type="spellEnd"/>
      <w:r w:rsidR="00377729">
        <w:rPr>
          <w:rFonts w:ascii="Arial" w:hAnsi="Arial" w:cs="Arial"/>
          <w:sz w:val="20"/>
          <w:szCs w:val="20"/>
        </w:rPr>
        <w:t xml:space="preserve"> activity important. </w:t>
      </w:r>
    </w:p>
    <w:p w:rsidR="00341D63" w:rsidRPr="00377729" w:rsidRDefault="00377729" w:rsidP="00CB2A1A">
      <w:pPr>
        <w:shd w:val="clear" w:color="auto" w:fill="C00000"/>
        <w:spacing w:line="480" w:lineRule="auto"/>
        <w:jc w:val="both"/>
        <w:rPr>
          <w:rFonts w:ascii="Arial" w:hAnsi="Arial" w:cs="Arial"/>
          <w:bCs/>
          <w:sz w:val="20"/>
          <w:szCs w:val="20"/>
        </w:rPr>
      </w:pPr>
      <w:r>
        <w:rPr>
          <w:rFonts w:ascii="Arial" w:hAnsi="Arial" w:cs="Arial"/>
          <w:sz w:val="20"/>
          <w:szCs w:val="20"/>
        </w:rPr>
        <w:t xml:space="preserve">The anti-inflammatory effect of </w:t>
      </w:r>
      <w:proofErr w:type="spellStart"/>
      <w:r w:rsidRPr="00377729">
        <w:rPr>
          <w:rFonts w:ascii="Arial" w:hAnsi="Arial" w:cs="Arial"/>
          <w:i/>
          <w:sz w:val="20"/>
          <w:szCs w:val="20"/>
        </w:rPr>
        <w:t>Harungana</w:t>
      </w:r>
      <w:proofErr w:type="spellEnd"/>
      <w:r w:rsidRPr="00377729">
        <w:rPr>
          <w:rFonts w:ascii="Arial" w:hAnsi="Arial" w:cs="Arial"/>
          <w:i/>
          <w:sz w:val="20"/>
          <w:szCs w:val="20"/>
        </w:rPr>
        <w:t xml:space="preserve"> </w:t>
      </w:r>
      <w:proofErr w:type="spellStart"/>
      <w:r w:rsidRPr="00377729">
        <w:rPr>
          <w:rFonts w:ascii="Arial" w:hAnsi="Arial" w:cs="Arial"/>
          <w:i/>
          <w:sz w:val="20"/>
          <w:szCs w:val="20"/>
        </w:rPr>
        <w:t>Madagascariensis</w:t>
      </w:r>
      <w:proofErr w:type="spellEnd"/>
      <w:r>
        <w:rPr>
          <w:rFonts w:ascii="Arial" w:hAnsi="Arial" w:cs="Arial"/>
          <w:i/>
          <w:sz w:val="20"/>
          <w:szCs w:val="20"/>
        </w:rPr>
        <w:t xml:space="preserve"> </w:t>
      </w:r>
      <w:r>
        <w:rPr>
          <w:rFonts w:ascii="Arial" w:hAnsi="Arial" w:cs="Arial"/>
          <w:sz w:val="20"/>
          <w:szCs w:val="20"/>
        </w:rPr>
        <w:t xml:space="preserve">in albino rats is primarily due to its rich content of flavonoids, tannins, and </w:t>
      </w:r>
      <w:proofErr w:type="spellStart"/>
      <w:r>
        <w:rPr>
          <w:rFonts w:ascii="Arial" w:hAnsi="Arial" w:cs="Arial"/>
          <w:sz w:val="20"/>
          <w:szCs w:val="20"/>
        </w:rPr>
        <w:t>saponins</w:t>
      </w:r>
      <w:proofErr w:type="spellEnd"/>
      <w:r>
        <w:rPr>
          <w:rFonts w:ascii="Arial" w:hAnsi="Arial" w:cs="Arial"/>
          <w:sz w:val="20"/>
          <w:szCs w:val="20"/>
        </w:rPr>
        <w:t>. These compounds work by inhibiting key enzymes and inflammatory mediators thereby reducing swelling, redness, and pain in inflamed tissues</w:t>
      </w:r>
      <w:r w:rsidR="00F30F9F">
        <w:rPr>
          <w:rFonts w:ascii="Arial" w:hAnsi="Arial" w:cs="Arial"/>
          <w:sz w:val="20"/>
          <w:szCs w:val="20"/>
        </w:rPr>
        <w:t>”</w:t>
      </w:r>
      <w:r>
        <w:rPr>
          <w:rFonts w:ascii="Arial" w:hAnsi="Arial" w:cs="Arial"/>
          <w:sz w:val="20"/>
          <w:szCs w:val="20"/>
        </w:rPr>
        <w:t xml:space="preserve"> </w:t>
      </w:r>
      <w:r w:rsidRPr="00377729">
        <w:rPr>
          <w:rFonts w:ascii="Arial" w:hAnsi="Arial" w:cs="Arial"/>
          <w:sz w:val="20"/>
          <w:szCs w:val="20"/>
        </w:rPr>
        <w:t>(</w:t>
      </w:r>
      <w:proofErr w:type="spellStart"/>
      <w:r w:rsidRPr="00377729">
        <w:rPr>
          <w:rFonts w:ascii="Arial" w:hAnsi="Arial" w:cs="Arial"/>
          <w:sz w:val="20"/>
          <w:szCs w:val="20"/>
          <w:lang w:val="en-IN"/>
        </w:rPr>
        <w:t>Asogwa</w:t>
      </w:r>
      <w:proofErr w:type="spellEnd"/>
      <w:r w:rsidRPr="00377729">
        <w:rPr>
          <w:rFonts w:ascii="Arial" w:hAnsi="Arial" w:cs="Arial"/>
          <w:sz w:val="20"/>
          <w:szCs w:val="20"/>
          <w:lang w:val="en-IN"/>
        </w:rPr>
        <w:t xml:space="preserve">, </w:t>
      </w:r>
      <w:r w:rsidRPr="00377729">
        <w:rPr>
          <w:rFonts w:ascii="Arial" w:hAnsi="Arial" w:cs="Arial"/>
          <w:i/>
          <w:sz w:val="20"/>
          <w:szCs w:val="20"/>
          <w:lang w:val="en-IN"/>
        </w:rPr>
        <w:t>et al</w:t>
      </w:r>
      <w:r w:rsidRPr="00377729">
        <w:rPr>
          <w:rFonts w:ascii="Arial" w:hAnsi="Arial" w:cs="Arial"/>
          <w:sz w:val="20"/>
          <w:szCs w:val="20"/>
          <w:lang w:val="en-IN"/>
        </w:rPr>
        <w:t>., 2023)</w:t>
      </w:r>
    </w:p>
    <w:p w:rsidR="00341D63" w:rsidRDefault="00F30F9F">
      <w:pPr>
        <w:autoSpaceDE w:val="0"/>
        <w:autoSpaceDN w:val="0"/>
        <w:adjustRightInd w:val="0"/>
        <w:spacing w:line="480" w:lineRule="auto"/>
        <w:jc w:val="both"/>
        <w:rPr>
          <w:rFonts w:ascii="Arial" w:hAnsi="Arial" w:cs="Arial"/>
          <w:sz w:val="20"/>
          <w:szCs w:val="20"/>
        </w:rPr>
      </w:pPr>
      <w:r>
        <w:rPr>
          <w:rFonts w:ascii="Arial" w:hAnsi="Arial" w:cs="Arial"/>
          <w:sz w:val="20"/>
          <w:szCs w:val="20"/>
        </w:rPr>
        <w:t>“</w:t>
      </w:r>
      <w:r w:rsidR="00377729">
        <w:rPr>
          <w:rFonts w:ascii="Arial" w:hAnsi="Arial" w:cs="Arial"/>
          <w:sz w:val="20"/>
          <w:szCs w:val="20"/>
        </w:rPr>
        <w:t xml:space="preserve">Inflammation is a pathophysiological process of plasma-derived and cellular events in response to infection and tissue injury. The primary mediators of inflammation are </w:t>
      </w:r>
      <w:proofErr w:type="spellStart"/>
      <w:r w:rsidR="00377729">
        <w:rPr>
          <w:rFonts w:ascii="Arial" w:hAnsi="Arial" w:cs="Arial"/>
          <w:sz w:val="20"/>
          <w:szCs w:val="20"/>
        </w:rPr>
        <w:t>vaso</w:t>
      </w:r>
      <w:proofErr w:type="spellEnd"/>
      <w:r w:rsidR="00377729">
        <w:rPr>
          <w:rFonts w:ascii="Arial" w:hAnsi="Arial" w:cs="Arial"/>
          <w:sz w:val="20"/>
          <w:szCs w:val="20"/>
        </w:rPr>
        <w:t xml:space="preserve">-active amines and eicosanoids (prostaglandins), released from mast cells. These can cause vasodilation, fever and pain in many disorders. Oedema induced by </w:t>
      </w:r>
      <w:proofErr w:type="spellStart"/>
      <w:r w:rsidR="00377729">
        <w:rPr>
          <w:rFonts w:ascii="Arial" w:hAnsi="Arial" w:cs="Arial"/>
          <w:sz w:val="20"/>
          <w:szCs w:val="20"/>
        </w:rPr>
        <w:t>phylogistic</w:t>
      </w:r>
      <w:proofErr w:type="spellEnd"/>
      <w:r w:rsidR="00377729">
        <w:rPr>
          <w:rFonts w:ascii="Arial" w:hAnsi="Arial" w:cs="Arial"/>
          <w:sz w:val="20"/>
          <w:szCs w:val="20"/>
        </w:rPr>
        <w:t xml:space="preserve"> agent (egg albumin) is a widely accepted model for the evaluation of anti-oedema and anti-inflammatory effect of drugs. Egg albumin-induced oedema has been commonly used as an acute inflammatory models and it is believed to be biphasic. The early phase (1-2) of the oedema is mainly mediated by histamine, serotonin and increased synthesis of prostaglandins in the damaged tissue surroundings. The later phase is sustained by prostaglandin release and mediated by bradykinin, leukotrienes, </w:t>
      </w:r>
      <w:proofErr w:type="spellStart"/>
      <w:r w:rsidR="00377729">
        <w:rPr>
          <w:rFonts w:ascii="Arial" w:hAnsi="Arial" w:cs="Arial"/>
          <w:sz w:val="20"/>
          <w:szCs w:val="20"/>
        </w:rPr>
        <w:t>polymorphonuclear</w:t>
      </w:r>
      <w:proofErr w:type="spellEnd"/>
      <w:r w:rsidR="00377729">
        <w:rPr>
          <w:rFonts w:ascii="Arial" w:hAnsi="Arial" w:cs="Arial"/>
          <w:sz w:val="20"/>
          <w:szCs w:val="20"/>
        </w:rPr>
        <w:t xml:space="preserve"> cells, and prostaglandins produced by tissue macrophages</w:t>
      </w:r>
      <w:r>
        <w:rPr>
          <w:rFonts w:ascii="Arial" w:hAnsi="Arial" w:cs="Arial"/>
          <w:sz w:val="20"/>
          <w:szCs w:val="20"/>
        </w:rPr>
        <w:t>”</w:t>
      </w:r>
      <w:r w:rsidR="00377729">
        <w:rPr>
          <w:rFonts w:ascii="Arial" w:hAnsi="Arial" w:cs="Arial"/>
          <w:sz w:val="20"/>
          <w:szCs w:val="20"/>
        </w:rPr>
        <w:t xml:space="preserve"> (</w:t>
      </w:r>
      <w:proofErr w:type="spellStart"/>
      <w:r w:rsidR="00377729">
        <w:rPr>
          <w:rFonts w:ascii="Arial" w:hAnsi="Arial" w:cs="Arial"/>
          <w:color w:val="222222"/>
          <w:sz w:val="20"/>
          <w:szCs w:val="20"/>
          <w:shd w:val="clear" w:color="auto" w:fill="FFFFFF"/>
        </w:rPr>
        <w:t>Alharbi</w:t>
      </w:r>
      <w:proofErr w:type="spellEnd"/>
      <w:r w:rsidR="00377729">
        <w:rPr>
          <w:rFonts w:ascii="Arial" w:hAnsi="Arial" w:cs="Arial"/>
          <w:color w:val="222222"/>
          <w:sz w:val="20"/>
          <w:szCs w:val="20"/>
          <w:shd w:val="clear" w:color="auto" w:fill="FFFFFF"/>
        </w:rPr>
        <w:t>, et al., 2023</w:t>
      </w:r>
      <w:r w:rsidR="00377729">
        <w:rPr>
          <w:rFonts w:ascii="Arial" w:hAnsi="Arial" w:cs="Arial"/>
          <w:sz w:val="20"/>
          <w:szCs w:val="20"/>
        </w:rPr>
        <w:t xml:space="preserve">). </w:t>
      </w:r>
      <w:r>
        <w:rPr>
          <w:rFonts w:ascii="Arial" w:hAnsi="Arial" w:cs="Arial"/>
          <w:sz w:val="20"/>
          <w:szCs w:val="20"/>
        </w:rPr>
        <w:t>“</w:t>
      </w:r>
      <w:r w:rsidR="00377729">
        <w:rPr>
          <w:rFonts w:ascii="Arial" w:hAnsi="Arial" w:cs="Arial"/>
          <w:sz w:val="20"/>
          <w:szCs w:val="20"/>
        </w:rPr>
        <w:t>In the present study, the fractions (n-hexane, ethyl acetate and aqueous-methanol) at various concentration and different time intervals afforded protection against egg albumin-induced paw oedema. The fractions could have prevented the release of histamine and serotonin (5-HT), the two mediators that are released by egg albumin. Its anti-inflammatory activity may be attributed to its high concentration of flavonoid, which has been reported to possess potent inhibitory effect on enzymes involved in the production of the chemical mediators of inflammation</w:t>
      </w:r>
      <w:r>
        <w:rPr>
          <w:rFonts w:ascii="Arial" w:hAnsi="Arial" w:cs="Arial"/>
          <w:sz w:val="20"/>
          <w:szCs w:val="20"/>
        </w:rPr>
        <w:t>”</w:t>
      </w:r>
      <w:r w:rsidR="00377729">
        <w:rPr>
          <w:rFonts w:ascii="Arial" w:hAnsi="Arial" w:cs="Arial"/>
          <w:sz w:val="20"/>
          <w:szCs w:val="20"/>
        </w:rPr>
        <w:t xml:space="preserve"> (</w:t>
      </w:r>
      <w:r w:rsidR="00377729">
        <w:rPr>
          <w:rFonts w:ascii="Arial" w:hAnsi="Arial" w:cs="Arial"/>
          <w:color w:val="222222"/>
          <w:sz w:val="20"/>
          <w:szCs w:val="20"/>
          <w:shd w:val="clear" w:color="auto" w:fill="FFFFFF"/>
        </w:rPr>
        <w:t>Al-</w:t>
      </w:r>
      <w:proofErr w:type="spellStart"/>
      <w:r w:rsidR="00377729">
        <w:rPr>
          <w:rFonts w:ascii="Arial" w:hAnsi="Arial" w:cs="Arial"/>
          <w:color w:val="222222"/>
          <w:sz w:val="20"/>
          <w:szCs w:val="20"/>
          <w:shd w:val="clear" w:color="auto" w:fill="FFFFFF"/>
        </w:rPr>
        <w:t>Khayri</w:t>
      </w:r>
      <w:proofErr w:type="spellEnd"/>
      <w:r w:rsidR="00377729">
        <w:rPr>
          <w:rFonts w:ascii="Arial" w:hAnsi="Arial" w:cs="Arial"/>
          <w:color w:val="222222"/>
          <w:sz w:val="20"/>
          <w:szCs w:val="20"/>
          <w:shd w:val="clear" w:color="auto" w:fill="FFFFFF"/>
        </w:rPr>
        <w:t>, et al.</w:t>
      </w:r>
      <w:r w:rsidR="00377729">
        <w:rPr>
          <w:rFonts w:ascii="Arial" w:hAnsi="Arial" w:cs="Arial"/>
          <w:sz w:val="20"/>
          <w:szCs w:val="20"/>
        </w:rPr>
        <w:t xml:space="preserve">,2022; </w:t>
      </w:r>
      <w:proofErr w:type="spellStart"/>
      <w:r w:rsidR="00377729">
        <w:rPr>
          <w:rFonts w:ascii="Arial" w:hAnsi="Arial" w:cs="Arial"/>
          <w:color w:val="222222"/>
          <w:sz w:val="20"/>
          <w:szCs w:val="20"/>
          <w:shd w:val="clear" w:color="auto" w:fill="FFFFFF"/>
        </w:rPr>
        <w:t>Soliman</w:t>
      </w:r>
      <w:proofErr w:type="spellEnd"/>
      <w:r w:rsidR="00377729">
        <w:rPr>
          <w:rFonts w:ascii="Arial" w:hAnsi="Arial" w:cs="Arial"/>
          <w:color w:val="222222"/>
          <w:sz w:val="20"/>
          <w:szCs w:val="20"/>
          <w:shd w:val="clear" w:color="auto" w:fill="FFFFFF"/>
        </w:rPr>
        <w:t>, &amp;</w:t>
      </w:r>
      <w:r w:rsidR="00D05873">
        <w:rPr>
          <w:rFonts w:ascii="Arial" w:hAnsi="Arial" w:cs="Arial"/>
          <w:color w:val="222222"/>
          <w:sz w:val="20"/>
          <w:szCs w:val="20"/>
          <w:shd w:val="clear" w:color="auto" w:fill="FFFFFF"/>
        </w:rPr>
        <w:t xml:space="preserve"> </w:t>
      </w:r>
      <w:proofErr w:type="spellStart"/>
      <w:r w:rsidR="00377729">
        <w:rPr>
          <w:rFonts w:ascii="Arial" w:hAnsi="Arial" w:cs="Arial"/>
          <w:color w:val="222222"/>
          <w:sz w:val="20"/>
          <w:szCs w:val="20"/>
          <w:shd w:val="clear" w:color="auto" w:fill="FFFFFF"/>
        </w:rPr>
        <w:t>Barreda</w:t>
      </w:r>
      <w:proofErr w:type="spellEnd"/>
      <w:r w:rsidR="00377729">
        <w:rPr>
          <w:rFonts w:ascii="Arial" w:hAnsi="Arial" w:cs="Arial"/>
          <w:color w:val="222222"/>
          <w:sz w:val="20"/>
          <w:szCs w:val="20"/>
          <w:shd w:val="clear" w:color="auto" w:fill="FFFFFF"/>
        </w:rPr>
        <w:t xml:space="preserve"> 2022)</w:t>
      </w:r>
      <w:r w:rsidR="00377729">
        <w:rPr>
          <w:rFonts w:ascii="Arial" w:hAnsi="Arial" w:cs="Arial"/>
          <w:sz w:val="20"/>
          <w:szCs w:val="20"/>
        </w:rPr>
        <w:t xml:space="preserve"> .</w:t>
      </w:r>
    </w:p>
    <w:p w:rsidR="00341D63" w:rsidRDefault="00F30F9F">
      <w:pPr>
        <w:spacing w:line="480" w:lineRule="auto"/>
        <w:jc w:val="both"/>
        <w:rPr>
          <w:rFonts w:ascii="Arial" w:hAnsi="Arial" w:cs="Arial"/>
          <w:bCs/>
          <w:sz w:val="20"/>
          <w:szCs w:val="20"/>
        </w:rPr>
      </w:pPr>
      <w:r>
        <w:rPr>
          <w:rFonts w:ascii="Arial" w:hAnsi="Arial" w:cs="Arial"/>
          <w:bCs/>
          <w:sz w:val="20"/>
          <w:szCs w:val="20"/>
        </w:rPr>
        <w:lastRenderedPageBreak/>
        <w:t>“</w:t>
      </w:r>
      <w:r w:rsidR="00377729">
        <w:rPr>
          <w:rFonts w:ascii="Arial" w:hAnsi="Arial" w:cs="Arial"/>
          <w:bCs/>
          <w:sz w:val="20"/>
          <w:szCs w:val="20"/>
        </w:rPr>
        <w:t xml:space="preserve">Acetic acid-induced writhing is a well recommended protocol in evaluating medicinal agents for their analgesic properties. The writhing induced by chemical substances, as acetic acid, is due to sensitization of nociceptors by prostaglandins. The characteristic of pain activity generated by intraperitoneal injection of acetic acid is presented with contraction of abdominal muscle followed by extension of hind limbs and elongation of body part and such constriction is thought to be mediated by local peritoneal receptor. Studies have revealed the increase in prostaglandins especially PGE2, PGF2, PGI2, lipoxygenase products and peritoneal mast cells in peritoneal fluids treated with </w:t>
      </w:r>
      <w:proofErr w:type="spellStart"/>
      <w:r w:rsidR="00377729">
        <w:rPr>
          <w:rFonts w:ascii="Arial" w:hAnsi="Arial" w:cs="Arial"/>
          <w:bCs/>
          <w:sz w:val="20"/>
          <w:szCs w:val="20"/>
        </w:rPr>
        <w:t>algogenic</w:t>
      </w:r>
      <w:proofErr w:type="spellEnd"/>
      <w:r w:rsidR="00377729">
        <w:rPr>
          <w:rFonts w:ascii="Arial" w:hAnsi="Arial" w:cs="Arial"/>
          <w:bCs/>
          <w:sz w:val="20"/>
          <w:szCs w:val="20"/>
        </w:rPr>
        <w:t xml:space="preserve"> acetic acid</w:t>
      </w:r>
      <w:r>
        <w:rPr>
          <w:rFonts w:ascii="Arial" w:hAnsi="Arial" w:cs="Arial"/>
          <w:bCs/>
          <w:sz w:val="20"/>
          <w:szCs w:val="20"/>
        </w:rPr>
        <w:t>”</w:t>
      </w:r>
      <w:r w:rsidR="00377729">
        <w:rPr>
          <w:rFonts w:ascii="Arial" w:hAnsi="Arial" w:cs="Arial"/>
          <w:bCs/>
          <w:sz w:val="20"/>
          <w:szCs w:val="20"/>
        </w:rPr>
        <w:t xml:space="preserve"> (</w:t>
      </w:r>
      <w:proofErr w:type="spellStart"/>
      <w:r w:rsidR="00377729">
        <w:rPr>
          <w:rFonts w:ascii="Arial" w:hAnsi="Arial" w:cs="Arial"/>
          <w:color w:val="222222"/>
          <w:sz w:val="20"/>
          <w:szCs w:val="20"/>
          <w:shd w:val="clear" w:color="auto" w:fill="FFFFFF"/>
        </w:rPr>
        <w:t>Kushwaha</w:t>
      </w:r>
      <w:proofErr w:type="spellEnd"/>
      <w:r w:rsidR="00377729">
        <w:rPr>
          <w:rFonts w:ascii="Arial" w:hAnsi="Arial" w:cs="Arial"/>
          <w:color w:val="222222"/>
          <w:sz w:val="20"/>
          <w:szCs w:val="20"/>
          <w:shd w:val="clear" w:color="auto" w:fill="FFFFFF"/>
        </w:rPr>
        <w:t>, et al., 2024</w:t>
      </w:r>
      <w:r w:rsidR="00377729">
        <w:rPr>
          <w:rFonts w:ascii="Arial" w:hAnsi="Arial" w:cs="Arial"/>
          <w:bCs/>
          <w:sz w:val="20"/>
          <w:szCs w:val="20"/>
        </w:rPr>
        <w:t xml:space="preserve">). </w:t>
      </w:r>
      <w:r>
        <w:rPr>
          <w:rFonts w:ascii="Arial" w:hAnsi="Arial" w:cs="Arial"/>
          <w:bCs/>
          <w:sz w:val="20"/>
          <w:szCs w:val="20"/>
        </w:rPr>
        <w:t>“</w:t>
      </w:r>
      <w:r w:rsidR="00377729">
        <w:rPr>
          <w:rFonts w:ascii="Arial" w:hAnsi="Arial" w:cs="Arial"/>
          <w:bCs/>
          <w:sz w:val="20"/>
          <w:szCs w:val="20"/>
        </w:rPr>
        <w:t>Acetic acid further potentiates the pain through capillary permeability</w:t>
      </w:r>
      <w:r>
        <w:rPr>
          <w:rFonts w:ascii="Arial" w:hAnsi="Arial" w:cs="Arial"/>
          <w:bCs/>
          <w:sz w:val="20"/>
          <w:szCs w:val="20"/>
        </w:rPr>
        <w:t>”</w:t>
      </w:r>
      <w:r w:rsidR="00377729">
        <w:rPr>
          <w:rFonts w:ascii="Arial" w:hAnsi="Arial" w:cs="Arial"/>
          <w:bCs/>
          <w:sz w:val="20"/>
          <w:szCs w:val="20"/>
        </w:rPr>
        <w:t xml:space="preserve"> (</w:t>
      </w:r>
      <w:r w:rsidR="00377729">
        <w:rPr>
          <w:rFonts w:ascii="Arial" w:hAnsi="Arial" w:cs="Arial"/>
          <w:color w:val="222222"/>
          <w:sz w:val="20"/>
          <w:szCs w:val="20"/>
          <w:shd w:val="clear" w:color="auto" w:fill="FFFFFF"/>
        </w:rPr>
        <w:t>Sultana, et al., 2022</w:t>
      </w:r>
      <w:r w:rsidR="00377729">
        <w:rPr>
          <w:rFonts w:ascii="Arial" w:hAnsi="Arial" w:cs="Arial"/>
          <w:bCs/>
          <w:sz w:val="20"/>
          <w:szCs w:val="20"/>
        </w:rPr>
        <w:t xml:space="preserve">). </w:t>
      </w:r>
      <w:r>
        <w:rPr>
          <w:rFonts w:ascii="Arial" w:hAnsi="Arial" w:cs="Arial"/>
          <w:bCs/>
          <w:sz w:val="20"/>
          <w:szCs w:val="20"/>
        </w:rPr>
        <w:t>“</w:t>
      </w:r>
      <w:r w:rsidR="00377729">
        <w:rPr>
          <w:rFonts w:ascii="Arial" w:hAnsi="Arial" w:cs="Arial"/>
          <w:bCs/>
          <w:sz w:val="20"/>
          <w:szCs w:val="20"/>
        </w:rPr>
        <w:t>The major contribution of prostaglandins to eliciting pain response is mainly due to interaction with endogenous mediators like histamine, serotonin, bradykinin and substance which further stimulate the sensitization of pain receptors to these mediators</w:t>
      </w:r>
      <w:r>
        <w:rPr>
          <w:rFonts w:ascii="Arial" w:hAnsi="Arial" w:cs="Arial"/>
          <w:bCs/>
          <w:sz w:val="20"/>
          <w:szCs w:val="20"/>
        </w:rPr>
        <w:t>”</w:t>
      </w:r>
      <w:r w:rsidR="00377729">
        <w:rPr>
          <w:rFonts w:ascii="Arial" w:hAnsi="Arial" w:cs="Arial"/>
          <w:bCs/>
          <w:sz w:val="20"/>
          <w:szCs w:val="20"/>
        </w:rPr>
        <w:t xml:space="preserve"> (</w:t>
      </w:r>
      <w:r w:rsidR="00377729">
        <w:rPr>
          <w:rFonts w:ascii="Arial" w:hAnsi="Arial" w:cs="Arial"/>
          <w:color w:val="222222"/>
          <w:sz w:val="20"/>
          <w:szCs w:val="20"/>
          <w:shd w:val="clear" w:color="auto" w:fill="FFFFFF"/>
        </w:rPr>
        <w:t>Wang &amp;</w:t>
      </w:r>
      <w:proofErr w:type="spellStart"/>
      <w:r w:rsidR="00377729">
        <w:rPr>
          <w:rFonts w:ascii="Arial" w:hAnsi="Arial" w:cs="Arial"/>
          <w:color w:val="222222"/>
          <w:sz w:val="20"/>
          <w:szCs w:val="20"/>
          <w:shd w:val="clear" w:color="auto" w:fill="FFFFFF"/>
        </w:rPr>
        <w:t>Thyagarajan</w:t>
      </w:r>
      <w:proofErr w:type="spellEnd"/>
      <w:r w:rsidR="00377729">
        <w:rPr>
          <w:rFonts w:ascii="Arial" w:hAnsi="Arial" w:cs="Arial"/>
          <w:color w:val="222222"/>
          <w:sz w:val="20"/>
          <w:szCs w:val="20"/>
          <w:shd w:val="clear" w:color="auto" w:fill="FFFFFF"/>
        </w:rPr>
        <w:t xml:space="preserve"> 2022</w:t>
      </w:r>
      <w:r w:rsidR="00377729">
        <w:rPr>
          <w:rFonts w:ascii="Arial" w:hAnsi="Arial" w:cs="Arial"/>
          <w:bCs/>
          <w:sz w:val="20"/>
          <w:szCs w:val="20"/>
        </w:rPr>
        <w:t>). It is well established that NSAIDs relieve the pain response peripherally by inhibiting production of prostaglandins, thromboxane and other inflammatory mediators acting on cyclooxygenase enzymes. Any substance lessening the number of constrictions induced by acetic acid can be considered to have analgesic potential</w:t>
      </w:r>
      <w:r w:rsidR="00377729">
        <w:rPr>
          <w:rFonts w:ascii="Arial" w:hAnsi="Arial" w:cs="Arial"/>
          <w:bCs/>
          <w:i/>
          <w:iCs/>
          <w:sz w:val="20"/>
          <w:szCs w:val="20"/>
        </w:rPr>
        <w:t xml:space="preserve">. H. </w:t>
      </w:r>
      <w:proofErr w:type="spellStart"/>
      <w:r w:rsidR="00377729">
        <w:rPr>
          <w:rFonts w:ascii="Arial" w:hAnsi="Arial" w:cs="Arial"/>
          <w:bCs/>
          <w:i/>
          <w:iCs/>
          <w:sz w:val="20"/>
          <w:szCs w:val="20"/>
        </w:rPr>
        <w:t>madagascariensis</w:t>
      </w:r>
      <w:r w:rsidR="00377729">
        <w:rPr>
          <w:rFonts w:ascii="Arial" w:hAnsi="Arial" w:cs="Arial"/>
          <w:bCs/>
          <w:sz w:val="20"/>
          <w:szCs w:val="20"/>
        </w:rPr>
        <w:t>fractions</w:t>
      </w:r>
      <w:proofErr w:type="spellEnd"/>
      <w:r w:rsidR="00377729">
        <w:rPr>
          <w:rFonts w:ascii="Arial" w:hAnsi="Arial" w:cs="Arial"/>
          <w:bCs/>
          <w:sz w:val="20"/>
          <w:szCs w:val="20"/>
        </w:rPr>
        <w:t xml:space="preserve"> significantly (P&lt;0.05) reduced the number of </w:t>
      </w:r>
      <w:proofErr w:type="spellStart"/>
      <w:r w:rsidR="00377729">
        <w:rPr>
          <w:rFonts w:ascii="Arial" w:hAnsi="Arial" w:cs="Arial"/>
          <w:bCs/>
          <w:sz w:val="20"/>
          <w:szCs w:val="20"/>
        </w:rPr>
        <w:t>writhings</w:t>
      </w:r>
      <w:proofErr w:type="spellEnd"/>
      <w:r w:rsidR="00377729">
        <w:rPr>
          <w:rFonts w:ascii="Arial" w:hAnsi="Arial" w:cs="Arial"/>
          <w:bCs/>
          <w:sz w:val="20"/>
          <w:szCs w:val="20"/>
        </w:rPr>
        <w:t xml:space="preserve"> in dose dependent manner, with highest inhibition (64.8%) recorded for aqueous-methanol fraction at 400 mg/kg as shown in Table 2. The analgesic effect of the fractions as seen in this experiment may therefore be due to either to their action on visceral receptors sensitive to acetic acid, to inhibition of the production of </w:t>
      </w:r>
      <w:proofErr w:type="spellStart"/>
      <w:r w:rsidR="00377729">
        <w:rPr>
          <w:rFonts w:ascii="Arial" w:hAnsi="Arial" w:cs="Arial"/>
          <w:bCs/>
          <w:sz w:val="20"/>
          <w:szCs w:val="20"/>
        </w:rPr>
        <w:t>algogenic</w:t>
      </w:r>
      <w:proofErr w:type="spellEnd"/>
      <w:r w:rsidR="00377729">
        <w:rPr>
          <w:rFonts w:ascii="Arial" w:hAnsi="Arial" w:cs="Arial"/>
          <w:bCs/>
          <w:sz w:val="20"/>
          <w:szCs w:val="20"/>
        </w:rPr>
        <w:t xml:space="preserve"> substances or the inhibition at the central level of the transmission of painful messages. This strongly suggests that the plant under study possess peripheral analgesic property, possibly mediated through the same mechanism of inhibition of prostaglandins generating pathway and local peritoneal inflammation.</w:t>
      </w:r>
    </w:p>
    <w:p w:rsidR="00341D63" w:rsidRDefault="00F30F9F">
      <w:pPr>
        <w:spacing w:line="480" w:lineRule="auto"/>
        <w:jc w:val="both"/>
        <w:rPr>
          <w:rFonts w:ascii="Arial" w:hAnsi="Arial" w:cs="Arial"/>
          <w:bCs/>
          <w:sz w:val="20"/>
          <w:szCs w:val="20"/>
        </w:rPr>
      </w:pPr>
      <w:r>
        <w:rPr>
          <w:rFonts w:ascii="Arial" w:hAnsi="Arial" w:cs="Arial"/>
          <w:bCs/>
          <w:sz w:val="20"/>
          <w:szCs w:val="20"/>
        </w:rPr>
        <w:t>“</w:t>
      </w:r>
      <w:r w:rsidR="00377729">
        <w:rPr>
          <w:rFonts w:ascii="Arial" w:hAnsi="Arial" w:cs="Arial"/>
          <w:bCs/>
          <w:sz w:val="20"/>
          <w:szCs w:val="20"/>
        </w:rPr>
        <w:t xml:space="preserve">The various doses of </w:t>
      </w:r>
      <w:r w:rsidR="00377729">
        <w:rPr>
          <w:rFonts w:ascii="Arial" w:hAnsi="Arial" w:cs="Arial"/>
          <w:bCs/>
          <w:i/>
          <w:iCs/>
          <w:sz w:val="20"/>
          <w:szCs w:val="20"/>
        </w:rPr>
        <w:t xml:space="preserve">H. </w:t>
      </w:r>
      <w:proofErr w:type="spellStart"/>
      <w:r w:rsidR="00377729">
        <w:rPr>
          <w:rFonts w:ascii="Arial" w:hAnsi="Arial" w:cs="Arial"/>
          <w:bCs/>
          <w:i/>
          <w:iCs/>
          <w:sz w:val="20"/>
          <w:szCs w:val="20"/>
        </w:rPr>
        <w:t>madagascariensis</w:t>
      </w:r>
      <w:r w:rsidR="00377729">
        <w:rPr>
          <w:rFonts w:ascii="Arial" w:hAnsi="Arial" w:cs="Arial"/>
          <w:bCs/>
          <w:sz w:val="20"/>
          <w:szCs w:val="20"/>
        </w:rPr>
        <w:t>fractions</w:t>
      </w:r>
      <w:proofErr w:type="spellEnd"/>
      <w:r w:rsidR="00377729">
        <w:rPr>
          <w:rFonts w:ascii="Arial" w:hAnsi="Arial" w:cs="Arial"/>
          <w:bCs/>
          <w:sz w:val="20"/>
          <w:szCs w:val="20"/>
        </w:rPr>
        <w:t xml:space="preserve"> evoked significant (P&lt;0.05) inhibition of agar induced leukocyte migration into the peritoneum. At the onset of an inflammation, a number of different cells become activated and are recruited into an inflammatory area, where they release inflammatory mediators that cause vasodilation and increased permeability of plasma proteins and fluids into the tissues. The vessel become engorged and dilated allowing large numbers of neutrophils to extravagate and appear within the junctional epithelium and underlying connective tissue. These cells are responsible for the inactivation and removal of invading infectious agents and damaged </w:t>
      </w:r>
      <w:r w:rsidR="00377729">
        <w:rPr>
          <w:rFonts w:ascii="Arial" w:hAnsi="Arial" w:cs="Arial"/>
          <w:bCs/>
          <w:sz w:val="20"/>
          <w:szCs w:val="20"/>
        </w:rPr>
        <w:lastRenderedPageBreak/>
        <w:t>tissues. Chemotactic movement of leukocytes towards the foreign body is the first and most important step in phagocytosis</w:t>
      </w:r>
      <w:r>
        <w:rPr>
          <w:rFonts w:ascii="Arial" w:hAnsi="Arial" w:cs="Arial"/>
          <w:bCs/>
          <w:sz w:val="20"/>
          <w:szCs w:val="20"/>
        </w:rPr>
        <w:t>”</w:t>
      </w:r>
      <w:r w:rsidR="00377729">
        <w:rPr>
          <w:rFonts w:ascii="Arial" w:hAnsi="Arial" w:cs="Arial"/>
          <w:bCs/>
          <w:sz w:val="20"/>
          <w:szCs w:val="20"/>
        </w:rPr>
        <w:t xml:space="preserve"> (</w:t>
      </w:r>
      <w:r w:rsidR="00377729">
        <w:rPr>
          <w:rFonts w:ascii="Arial" w:hAnsi="Arial" w:cs="Arial"/>
          <w:color w:val="222222"/>
          <w:sz w:val="20"/>
          <w:szCs w:val="20"/>
          <w:shd w:val="clear" w:color="auto" w:fill="FFFFFF"/>
        </w:rPr>
        <w:t>Zhou &amp; Sun 2022</w:t>
      </w:r>
      <w:r w:rsidR="00377729">
        <w:rPr>
          <w:rFonts w:ascii="Arial" w:hAnsi="Arial" w:cs="Arial"/>
          <w:bCs/>
          <w:sz w:val="20"/>
          <w:szCs w:val="20"/>
        </w:rPr>
        <w:t xml:space="preserve">). Leukocytes are rapidly mobilized from the bone marrow into the blood during infections, acute inflammatory reactions and in the superficial surface of a lesion during sub-acute or chronic inflammation. They function as phagocytes of bacteria, fungi and viruses and detoxifiers of toxic proteins that may result from allergic reactions and cellular injury. Recruitment of leukocytes from circulation to sites of inflammation involves numerous soluble factors that mediate communication and interaction between circulating leukocytes and vascular endothelium. Of these soluble mediators, chemokines play a pivotal role in the process of adhesion and directional migration of leukocytes. Chemokines are produced by a variety of cell types, such as those of hematopoietic and </w:t>
      </w:r>
      <w:proofErr w:type="spellStart"/>
      <w:r w:rsidR="00377729">
        <w:rPr>
          <w:rFonts w:ascii="Arial" w:hAnsi="Arial" w:cs="Arial"/>
          <w:bCs/>
          <w:sz w:val="20"/>
          <w:szCs w:val="20"/>
        </w:rPr>
        <w:t>non hematopoietic</w:t>
      </w:r>
      <w:proofErr w:type="spellEnd"/>
      <w:r w:rsidR="00377729">
        <w:rPr>
          <w:rFonts w:ascii="Arial" w:hAnsi="Arial" w:cs="Arial"/>
          <w:bCs/>
          <w:sz w:val="20"/>
          <w:szCs w:val="20"/>
        </w:rPr>
        <w:t xml:space="preserve"> origins, in response to antigens, polyclonal stimulants, cell irritants and cytokines. The effect of the fractions on in-vivo leukocyte mobilization leads to decrease in total leukocyte count. The anti-inflammatory effects of </w:t>
      </w:r>
      <w:r w:rsidR="00377729">
        <w:rPr>
          <w:rFonts w:ascii="Arial" w:hAnsi="Arial" w:cs="Arial"/>
          <w:bCs/>
          <w:i/>
          <w:iCs/>
          <w:sz w:val="20"/>
          <w:szCs w:val="20"/>
        </w:rPr>
        <w:t xml:space="preserve">H. </w:t>
      </w:r>
      <w:proofErr w:type="spellStart"/>
      <w:r w:rsidR="00377729">
        <w:rPr>
          <w:rFonts w:ascii="Arial" w:hAnsi="Arial" w:cs="Arial"/>
          <w:bCs/>
          <w:i/>
          <w:iCs/>
          <w:sz w:val="20"/>
          <w:szCs w:val="20"/>
        </w:rPr>
        <w:t>madagascariensis</w:t>
      </w:r>
      <w:proofErr w:type="spellEnd"/>
      <w:r w:rsidR="00377729">
        <w:rPr>
          <w:rFonts w:ascii="Arial" w:hAnsi="Arial" w:cs="Arial"/>
          <w:bCs/>
          <w:sz w:val="20"/>
          <w:szCs w:val="20"/>
        </w:rPr>
        <w:t xml:space="preserve"> might have been possible through the alteration of the activation of inflammatory cells or by reducing the process of recruiting soluble inflammatory mediators, adhesion and migrating of leukocyte. In differential leukocyte mobilization, all the tested doses neutrophil, lymphocyte, basophil, macrophages and eosinophil of the fractions showed decrease in number when compared with the control. Eosinophils and basophils are predominant when inflammation is initiated by immediate allergic reactions or parasites. The neutrophils being higher in percentage than the lymphocytes probably might have led to the engulfing, and elimination of the foreign body and to the alteration in the migration of the inflammatory cells. The inhibition of leukocyte migration by fractions therefore showed that the plant could alter the action of the endogenous factors that are involved in the migration of these cells to the site of inflammation, thereby reducing the inflammatory process.</w:t>
      </w:r>
    </w:p>
    <w:p w:rsidR="00341D63" w:rsidRDefault="00D7068C">
      <w:pPr>
        <w:spacing w:before="240" w:line="480" w:lineRule="auto"/>
        <w:jc w:val="both"/>
        <w:rPr>
          <w:rFonts w:ascii="Arial" w:hAnsi="Arial" w:cs="Arial"/>
          <w:bCs/>
          <w:sz w:val="20"/>
          <w:szCs w:val="20"/>
        </w:rPr>
      </w:pPr>
      <w:r>
        <w:rPr>
          <w:rFonts w:ascii="Arial" w:hAnsi="Arial" w:cs="Arial"/>
          <w:bCs/>
          <w:sz w:val="20"/>
          <w:szCs w:val="20"/>
        </w:rPr>
        <w:t>“</w:t>
      </w:r>
      <w:r w:rsidR="00377729">
        <w:rPr>
          <w:rFonts w:ascii="Arial" w:hAnsi="Arial" w:cs="Arial"/>
          <w:bCs/>
          <w:sz w:val="20"/>
          <w:szCs w:val="20"/>
        </w:rPr>
        <w:t xml:space="preserve">The cotton pellet granuloma model has been widely employed to assess the </w:t>
      </w:r>
      <w:proofErr w:type="spellStart"/>
      <w:r w:rsidR="00377729">
        <w:rPr>
          <w:rFonts w:ascii="Arial" w:hAnsi="Arial" w:cs="Arial"/>
          <w:bCs/>
          <w:sz w:val="20"/>
          <w:szCs w:val="20"/>
        </w:rPr>
        <w:t>transudative</w:t>
      </w:r>
      <w:proofErr w:type="spellEnd"/>
      <w:r w:rsidR="00377729">
        <w:rPr>
          <w:rFonts w:ascii="Arial" w:hAnsi="Arial" w:cs="Arial"/>
          <w:bCs/>
          <w:sz w:val="20"/>
          <w:szCs w:val="20"/>
        </w:rPr>
        <w:t xml:space="preserve">, exudative and proliferative components of chronic inflammation. There are three phases in the inflammatory response in the cotton pellet induced granuloma. In the first phase, inhibition of fluid containing low protein takes place at the site of cotton implantation. In the second phase, after 2-3 days of pellet implantation, exudation of fluid containing protein takes place. In the third phase, that is the proliferative phase, appearance of collagen </w:t>
      </w:r>
      <w:proofErr w:type="spellStart"/>
      <w:r w:rsidR="00377729">
        <w:rPr>
          <w:rFonts w:ascii="Arial" w:hAnsi="Arial" w:cs="Arial"/>
          <w:bCs/>
          <w:sz w:val="20"/>
          <w:szCs w:val="20"/>
        </w:rPr>
        <w:t>mucopolysaccharide</w:t>
      </w:r>
      <w:proofErr w:type="spellEnd"/>
      <w:r w:rsidR="00377729">
        <w:rPr>
          <w:rFonts w:ascii="Arial" w:hAnsi="Arial" w:cs="Arial"/>
          <w:bCs/>
          <w:sz w:val="20"/>
          <w:szCs w:val="20"/>
        </w:rPr>
        <w:t xml:space="preserve"> synthesis, and increase in the number of fibroblasts around the cotton pellet occurs. The amount of newly formed connective tissue can be measured after removing and weighing the dried pellets. </w:t>
      </w:r>
      <w:r w:rsidR="00377729">
        <w:rPr>
          <w:rFonts w:ascii="Arial" w:hAnsi="Arial" w:cs="Arial"/>
          <w:bCs/>
          <w:i/>
          <w:sz w:val="20"/>
          <w:szCs w:val="20"/>
        </w:rPr>
        <w:t xml:space="preserve">H. </w:t>
      </w:r>
      <w:proofErr w:type="spellStart"/>
      <w:r w:rsidR="00377729">
        <w:rPr>
          <w:rFonts w:ascii="Arial" w:hAnsi="Arial" w:cs="Arial"/>
          <w:bCs/>
          <w:i/>
          <w:sz w:val="20"/>
          <w:szCs w:val="20"/>
        </w:rPr>
        <w:t>madagascariensis</w:t>
      </w:r>
      <w:proofErr w:type="spellEnd"/>
      <w:r w:rsidR="00377729">
        <w:rPr>
          <w:rFonts w:ascii="Arial" w:hAnsi="Arial" w:cs="Arial"/>
          <w:bCs/>
          <w:sz w:val="20"/>
          <w:szCs w:val="20"/>
        </w:rPr>
        <w:t xml:space="preserve"> leaves </w:t>
      </w:r>
      <w:r w:rsidR="00377729">
        <w:rPr>
          <w:rFonts w:ascii="Arial" w:hAnsi="Arial" w:cs="Arial"/>
          <w:bCs/>
          <w:sz w:val="20"/>
          <w:szCs w:val="20"/>
        </w:rPr>
        <w:lastRenderedPageBreak/>
        <w:t xml:space="preserve">significantly (P&lt;0.05) decreased the final dry weight of the cotton pellets that is, it decreased the amount of granulomatous tissue, suggesting that it has the capability of reducing the synthesis of </w:t>
      </w:r>
      <w:proofErr w:type="spellStart"/>
      <w:r w:rsidR="00377729">
        <w:rPr>
          <w:rFonts w:ascii="Arial" w:hAnsi="Arial" w:cs="Arial"/>
          <w:bCs/>
          <w:sz w:val="20"/>
          <w:szCs w:val="20"/>
        </w:rPr>
        <w:t>mucoopolysaccharides</w:t>
      </w:r>
      <w:proofErr w:type="spellEnd"/>
      <w:r w:rsidR="00377729">
        <w:rPr>
          <w:rFonts w:ascii="Arial" w:hAnsi="Arial" w:cs="Arial"/>
          <w:bCs/>
          <w:sz w:val="20"/>
          <w:szCs w:val="20"/>
        </w:rPr>
        <w:t xml:space="preserve"> and collagen and the number of fibroblasts, which are natural proliferative events of granulation in tissue formation</w:t>
      </w:r>
      <w:r>
        <w:rPr>
          <w:rFonts w:ascii="Arial" w:hAnsi="Arial" w:cs="Arial"/>
          <w:bCs/>
          <w:sz w:val="20"/>
          <w:szCs w:val="20"/>
        </w:rPr>
        <w:t>”</w:t>
      </w:r>
      <w:bookmarkStart w:id="13" w:name="_GoBack"/>
      <w:bookmarkEnd w:id="13"/>
      <w:r w:rsidR="00377729">
        <w:rPr>
          <w:rFonts w:ascii="Arial" w:hAnsi="Arial" w:cs="Arial"/>
          <w:bCs/>
          <w:sz w:val="20"/>
          <w:szCs w:val="20"/>
        </w:rPr>
        <w:t xml:space="preserve"> (</w:t>
      </w:r>
      <w:proofErr w:type="spellStart"/>
      <w:r w:rsidR="00377729">
        <w:rPr>
          <w:rFonts w:ascii="Arial" w:hAnsi="Arial" w:cs="Arial"/>
          <w:sz w:val="20"/>
          <w:szCs w:val="20"/>
        </w:rPr>
        <w:t>Anosike</w:t>
      </w:r>
      <w:proofErr w:type="spellEnd"/>
      <w:r w:rsidR="00377729">
        <w:rPr>
          <w:rFonts w:ascii="Arial" w:hAnsi="Arial" w:cs="Arial"/>
          <w:sz w:val="20"/>
          <w:szCs w:val="20"/>
        </w:rPr>
        <w:t xml:space="preserve"> et al., 2012a</w:t>
      </w:r>
      <w:r w:rsidR="00377729">
        <w:rPr>
          <w:rFonts w:ascii="Arial" w:hAnsi="Arial" w:cs="Arial"/>
          <w:bCs/>
          <w:sz w:val="20"/>
          <w:szCs w:val="20"/>
        </w:rPr>
        <w:t xml:space="preserve">). </w:t>
      </w:r>
      <w:r w:rsidR="00377729">
        <w:rPr>
          <w:rFonts w:ascii="Arial" w:hAnsi="Arial" w:cs="Arial"/>
          <w:bCs/>
          <w:i/>
          <w:sz w:val="20"/>
          <w:szCs w:val="20"/>
        </w:rPr>
        <w:t xml:space="preserve">H. </w:t>
      </w:r>
      <w:proofErr w:type="spellStart"/>
      <w:r w:rsidR="00377729">
        <w:rPr>
          <w:rFonts w:ascii="Arial" w:hAnsi="Arial" w:cs="Arial"/>
          <w:bCs/>
          <w:i/>
          <w:sz w:val="20"/>
          <w:szCs w:val="20"/>
        </w:rPr>
        <w:t>madagascariensis</w:t>
      </w:r>
      <w:proofErr w:type="spellEnd"/>
      <w:r w:rsidR="00377729">
        <w:rPr>
          <w:rFonts w:ascii="Arial" w:hAnsi="Arial" w:cs="Arial"/>
          <w:bCs/>
          <w:sz w:val="20"/>
          <w:szCs w:val="20"/>
        </w:rPr>
        <w:t xml:space="preserve"> leaves decreased the weight of granuloma tissue in a dose dependently, confirming its activity in the chronic phase of inflammation.</w:t>
      </w:r>
    </w:p>
    <w:p w:rsidR="00341D63" w:rsidRDefault="00F30F9F">
      <w:pPr>
        <w:spacing w:before="240" w:line="480" w:lineRule="auto"/>
        <w:jc w:val="both"/>
        <w:rPr>
          <w:rFonts w:ascii="Arial" w:hAnsi="Arial" w:cs="Arial"/>
          <w:bCs/>
          <w:sz w:val="20"/>
          <w:szCs w:val="20"/>
        </w:rPr>
      </w:pPr>
      <w:r>
        <w:rPr>
          <w:rFonts w:ascii="Arial" w:hAnsi="Arial" w:cs="Arial"/>
          <w:bCs/>
          <w:sz w:val="20"/>
          <w:szCs w:val="20"/>
        </w:rPr>
        <w:t>“</w:t>
      </w:r>
      <w:r w:rsidR="00377729">
        <w:rPr>
          <w:rFonts w:ascii="Arial" w:hAnsi="Arial" w:cs="Arial"/>
          <w:bCs/>
          <w:sz w:val="20"/>
          <w:szCs w:val="20"/>
        </w:rPr>
        <w:t>This study revealed the mechanisms of anti-inflammatory action of the anti-inflammatory action of the fractions have been established using inhibition of phospholipase A</w:t>
      </w:r>
      <w:r w:rsidR="00377729">
        <w:rPr>
          <w:rFonts w:ascii="Arial" w:hAnsi="Arial" w:cs="Arial"/>
          <w:bCs/>
          <w:sz w:val="20"/>
          <w:szCs w:val="20"/>
          <w:vertAlign w:val="subscript"/>
        </w:rPr>
        <w:t>2</w:t>
      </w:r>
      <w:r w:rsidR="00377729">
        <w:rPr>
          <w:rFonts w:ascii="Arial" w:hAnsi="Arial" w:cs="Arial"/>
          <w:bCs/>
          <w:sz w:val="20"/>
          <w:szCs w:val="20"/>
        </w:rPr>
        <w:t xml:space="preserve"> and membrane stabilization. It revealed that the fractions inhibited PLA</w:t>
      </w:r>
      <w:r w:rsidR="00377729">
        <w:rPr>
          <w:rFonts w:ascii="Arial" w:hAnsi="Arial" w:cs="Arial"/>
          <w:bCs/>
          <w:sz w:val="20"/>
          <w:szCs w:val="20"/>
          <w:vertAlign w:val="subscript"/>
        </w:rPr>
        <w:t xml:space="preserve">2 </w:t>
      </w:r>
      <w:r w:rsidR="00377729">
        <w:rPr>
          <w:rFonts w:ascii="Arial" w:hAnsi="Arial" w:cs="Arial"/>
          <w:bCs/>
          <w:sz w:val="20"/>
          <w:szCs w:val="20"/>
        </w:rPr>
        <w:t>activity in a concentration dependent manner. Phospholipase A</w:t>
      </w:r>
      <w:r w:rsidR="00377729">
        <w:rPr>
          <w:rFonts w:ascii="Arial" w:hAnsi="Arial" w:cs="Arial"/>
          <w:bCs/>
          <w:sz w:val="20"/>
          <w:szCs w:val="20"/>
          <w:vertAlign w:val="subscript"/>
        </w:rPr>
        <w:t xml:space="preserve">2 </w:t>
      </w:r>
      <w:r w:rsidR="00377729">
        <w:rPr>
          <w:rFonts w:ascii="Arial" w:hAnsi="Arial" w:cs="Arial"/>
          <w:bCs/>
          <w:sz w:val="20"/>
          <w:szCs w:val="20"/>
        </w:rPr>
        <w:t>is an enzyme that cleaves free fatty acids from membrane phospholipids. Arachidonic acid released from these phospholipids is acted upon by cyclooxygenase (COX) and lipoxygenase (LOX) both of which lead to the de novo synthesis of lipid mediators. The action of COX and on arachidonic acid produces mediators such as TXA</w:t>
      </w:r>
      <w:r w:rsidR="00377729">
        <w:rPr>
          <w:rFonts w:ascii="Arial" w:hAnsi="Arial" w:cs="Arial"/>
          <w:bCs/>
          <w:sz w:val="20"/>
          <w:szCs w:val="20"/>
          <w:vertAlign w:val="subscript"/>
        </w:rPr>
        <w:t>2</w:t>
      </w:r>
      <w:r w:rsidR="00377729">
        <w:rPr>
          <w:rFonts w:ascii="Arial" w:hAnsi="Arial" w:cs="Arial"/>
          <w:bCs/>
          <w:sz w:val="20"/>
          <w:szCs w:val="20"/>
        </w:rPr>
        <w:t>, prostaglandin E</w:t>
      </w:r>
      <w:r w:rsidR="00377729">
        <w:rPr>
          <w:rFonts w:ascii="Arial" w:hAnsi="Arial" w:cs="Arial"/>
          <w:bCs/>
          <w:sz w:val="20"/>
          <w:szCs w:val="20"/>
          <w:vertAlign w:val="subscript"/>
        </w:rPr>
        <w:t>2</w:t>
      </w:r>
      <w:r w:rsidR="00377729">
        <w:rPr>
          <w:rFonts w:ascii="Arial" w:hAnsi="Arial" w:cs="Arial"/>
          <w:bCs/>
          <w:sz w:val="20"/>
          <w:szCs w:val="20"/>
        </w:rPr>
        <w:t>, D</w:t>
      </w:r>
      <w:r w:rsidR="00377729">
        <w:rPr>
          <w:rFonts w:ascii="Arial" w:hAnsi="Arial" w:cs="Arial"/>
          <w:bCs/>
          <w:sz w:val="20"/>
          <w:szCs w:val="20"/>
          <w:vertAlign w:val="subscript"/>
        </w:rPr>
        <w:t>2</w:t>
      </w:r>
      <w:r w:rsidR="00377729">
        <w:rPr>
          <w:rFonts w:ascii="Arial" w:hAnsi="Arial" w:cs="Arial"/>
          <w:bCs/>
          <w:sz w:val="20"/>
          <w:szCs w:val="20"/>
        </w:rPr>
        <w:t>, and I</w:t>
      </w:r>
      <w:r w:rsidR="00377729">
        <w:rPr>
          <w:rFonts w:ascii="Arial" w:hAnsi="Arial" w:cs="Arial"/>
          <w:bCs/>
          <w:sz w:val="20"/>
          <w:szCs w:val="20"/>
          <w:vertAlign w:val="subscript"/>
        </w:rPr>
        <w:t>2</w:t>
      </w:r>
      <w:r w:rsidR="00377729">
        <w:rPr>
          <w:rFonts w:ascii="Arial" w:hAnsi="Arial" w:cs="Arial"/>
          <w:bCs/>
          <w:sz w:val="20"/>
          <w:szCs w:val="20"/>
        </w:rPr>
        <w:t xml:space="preserve">, while the action of 5-LOX on arachidonic acid releases leukotrienes such as leukotrienes B4 (LTB4). The fractions of </w:t>
      </w:r>
      <w:r w:rsidR="00377729">
        <w:rPr>
          <w:rFonts w:ascii="Arial" w:hAnsi="Arial" w:cs="Arial"/>
          <w:bCs/>
          <w:i/>
          <w:sz w:val="20"/>
          <w:szCs w:val="20"/>
        </w:rPr>
        <w:t xml:space="preserve">H. </w:t>
      </w:r>
      <w:proofErr w:type="spellStart"/>
      <w:r w:rsidR="00377729">
        <w:rPr>
          <w:rFonts w:ascii="Arial" w:hAnsi="Arial" w:cs="Arial"/>
          <w:bCs/>
          <w:i/>
          <w:sz w:val="20"/>
          <w:szCs w:val="20"/>
        </w:rPr>
        <w:t>madagascariensis</w:t>
      </w:r>
      <w:proofErr w:type="spellEnd"/>
      <w:r w:rsidR="00377729">
        <w:rPr>
          <w:rFonts w:ascii="Arial" w:hAnsi="Arial" w:cs="Arial"/>
          <w:bCs/>
          <w:sz w:val="20"/>
          <w:szCs w:val="20"/>
        </w:rPr>
        <w:t xml:space="preserve"> leaves (n-hexane, ethyl acetate and aqueous-methanol) from 0.2-1.0 mg/ml exhibited significant (p&lt;0.05) and concentration dependent inhibition of PLA</w:t>
      </w:r>
      <w:r w:rsidR="00377729">
        <w:rPr>
          <w:rFonts w:ascii="Arial" w:hAnsi="Arial" w:cs="Arial"/>
          <w:bCs/>
          <w:sz w:val="20"/>
          <w:szCs w:val="20"/>
          <w:vertAlign w:val="subscript"/>
        </w:rPr>
        <w:t>2</w:t>
      </w:r>
      <w:r w:rsidR="00377729">
        <w:rPr>
          <w:rFonts w:ascii="Arial" w:hAnsi="Arial" w:cs="Arial"/>
          <w:bCs/>
          <w:sz w:val="20"/>
          <w:szCs w:val="20"/>
        </w:rPr>
        <w:t xml:space="preserve"> activity. This inhibition by the fractions PLA</w:t>
      </w:r>
      <w:r w:rsidR="00377729">
        <w:rPr>
          <w:rFonts w:ascii="Arial" w:hAnsi="Arial" w:cs="Arial"/>
          <w:bCs/>
          <w:sz w:val="20"/>
          <w:szCs w:val="20"/>
          <w:vertAlign w:val="subscript"/>
        </w:rPr>
        <w:t>2</w:t>
      </w:r>
      <w:r w:rsidR="00377729">
        <w:rPr>
          <w:rFonts w:ascii="Arial" w:hAnsi="Arial" w:cs="Arial"/>
          <w:bCs/>
          <w:sz w:val="20"/>
          <w:szCs w:val="20"/>
        </w:rPr>
        <w:t xml:space="preserve"> activity by the fractions implies that it was able to suppress the release of free fatty acids from the red blood cell (RBC) membrane phospholipids and consequent deprivation of COX and LOX precursors for the synthesis of inflammatory mediators, hence limiting their effects such as vasodilation, vascular permeability, chemotaxis and pain, thereby preventing inflammation. The mechanism of PLA</w:t>
      </w:r>
      <w:r w:rsidR="00377729">
        <w:rPr>
          <w:rFonts w:ascii="Arial" w:hAnsi="Arial" w:cs="Arial"/>
          <w:bCs/>
          <w:sz w:val="20"/>
          <w:szCs w:val="20"/>
          <w:vertAlign w:val="subscript"/>
        </w:rPr>
        <w:t xml:space="preserve">2 </w:t>
      </w:r>
      <w:r w:rsidR="00377729">
        <w:rPr>
          <w:rFonts w:ascii="Arial" w:hAnsi="Arial" w:cs="Arial"/>
          <w:bCs/>
          <w:sz w:val="20"/>
          <w:szCs w:val="20"/>
        </w:rPr>
        <w:t>inhibition by the fractions could be direct inhibitory action of Glucocorticoids, which might be attributed to the presence of flavonoids in the fractions. Glucocorticoids exert their multiple metabolic functions by binding to cytoplasmic receptors and subsequent induction of catalytic or regulatory proteins</w:t>
      </w:r>
      <w:r>
        <w:rPr>
          <w:rFonts w:ascii="Arial" w:hAnsi="Arial" w:cs="Arial"/>
          <w:bCs/>
          <w:sz w:val="20"/>
          <w:szCs w:val="20"/>
        </w:rPr>
        <w:t>”</w:t>
      </w:r>
      <w:r w:rsidR="00377729">
        <w:rPr>
          <w:rFonts w:ascii="Arial" w:hAnsi="Arial" w:cs="Arial"/>
          <w:bCs/>
          <w:sz w:val="20"/>
          <w:szCs w:val="20"/>
        </w:rPr>
        <w:t xml:space="preserve"> (</w:t>
      </w:r>
      <w:r w:rsidR="00377729">
        <w:rPr>
          <w:rFonts w:ascii="Arial" w:hAnsi="Arial" w:cs="Arial"/>
          <w:sz w:val="20"/>
          <w:szCs w:val="20"/>
          <w:shd w:val="clear" w:color="auto" w:fill="FFFFFF"/>
        </w:rPr>
        <w:t>Yamamoto, et al., 2015</w:t>
      </w:r>
      <w:r w:rsidR="002C7BED">
        <w:rPr>
          <w:rFonts w:ascii="Arial" w:hAnsi="Arial" w:cs="Arial"/>
          <w:sz w:val="20"/>
          <w:szCs w:val="20"/>
          <w:shd w:val="clear" w:color="auto" w:fill="FFFFFF"/>
        </w:rPr>
        <w:t xml:space="preserve">; </w:t>
      </w:r>
      <w:r w:rsidR="002C7BED">
        <w:rPr>
          <w:rFonts w:ascii="Arial" w:hAnsi="Arial" w:cs="Arial"/>
          <w:color w:val="222222"/>
          <w:sz w:val="20"/>
          <w:szCs w:val="20"/>
          <w:shd w:val="clear" w:color="auto" w:fill="FFFFFF"/>
        </w:rPr>
        <w:t>Joffre &amp; Hellman 2021</w:t>
      </w:r>
      <w:r w:rsidR="00377729">
        <w:rPr>
          <w:rFonts w:ascii="Arial" w:hAnsi="Arial" w:cs="Arial"/>
          <w:bCs/>
          <w:sz w:val="20"/>
          <w:szCs w:val="20"/>
        </w:rPr>
        <w:t xml:space="preserve">). </w:t>
      </w:r>
      <w:r>
        <w:rPr>
          <w:rFonts w:ascii="Arial" w:hAnsi="Arial" w:cs="Arial"/>
          <w:bCs/>
          <w:sz w:val="20"/>
          <w:szCs w:val="20"/>
        </w:rPr>
        <w:t>“</w:t>
      </w:r>
      <w:r w:rsidR="00377729">
        <w:rPr>
          <w:rFonts w:ascii="Arial" w:hAnsi="Arial" w:cs="Arial"/>
          <w:bCs/>
          <w:sz w:val="20"/>
          <w:szCs w:val="20"/>
        </w:rPr>
        <w:t xml:space="preserve">Their anti-inflammatory properties have been attributed in part to the liberation and enhanced synthesis of proteins, collectively </w:t>
      </w:r>
      <w:proofErr w:type="spellStart"/>
      <w:r w:rsidR="00377729">
        <w:rPr>
          <w:rFonts w:ascii="Arial" w:hAnsi="Arial" w:cs="Arial"/>
          <w:bCs/>
          <w:sz w:val="20"/>
          <w:szCs w:val="20"/>
        </w:rPr>
        <w:t>lipocortins</w:t>
      </w:r>
      <w:proofErr w:type="spellEnd"/>
      <w:r w:rsidR="00377729">
        <w:rPr>
          <w:rFonts w:ascii="Arial" w:hAnsi="Arial" w:cs="Arial"/>
          <w:bCs/>
          <w:sz w:val="20"/>
          <w:szCs w:val="20"/>
        </w:rPr>
        <w:t>, which inhibits phospholipase A</w:t>
      </w:r>
      <w:r w:rsidR="00377729">
        <w:rPr>
          <w:rFonts w:ascii="Arial" w:hAnsi="Arial" w:cs="Arial"/>
          <w:bCs/>
          <w:sz w:val="20"/>
          <w:szCs w:val="20"/>
          <w:vertAlign w:val="subscript"/>
        </w:rPr>
        <w:t>2</w:t>
      </w:r>
      <w:r>
        <w:rPr>
          <w:rFonts w:ascii="Arial" w:hAnsi="Arial" w:cs="Arial"/>
          <w:bCs/>
          <w:sz w:val="20"/>
          <w:szCs w:val="20"/>
          <w:vertAlign w:val="subscript"/>
        </w:rPr>
        <w:t>”</w:t>
      </w:r>
      <w:r w:rsidR="00377729">
        <w:rPr>
          <w:rFonts w:ascii="Arial" w:hAnsi="Arial" w:cs="Arial"/>
          <w:bCs/>
          <w:sz w:val="20"/>
          <w:szCs w:val="20"/>
          <w:vertAlign w:val="subscript"/>
        </w:rPr>
        <w:t xml:space="preserve"> </w:t>
      </w:r>
      <w:r w:rsidR="00377729">
        <w:rPr>
          <w:rFonts w:ascii="Arial" w:hAnsi="Arial" w:cs="Arial"/>
          <w:bCs/>
          <w:sz w:val="20"/>
          <w:szCs w:val="20"/>
        </w:rPr>
        <w:t>(Dar, et al., 2012).</w:t>
      </w:r>
    </w:p>
    <w:p w:rsidR="00341D63" w:rsidRDefault="00F30F9F">
      <w:pPr>
        <w:spacing w:line="480" w:lineRule="auto"/>
        <w:jc w:val="both"/>
        <w:rPr>
          <w:rFonts w:ascii="Arial" w:hAnsi="Arial" w:cs="Arial"/>
          <w:bCs/>
          <w:sz w:val="20"/>
          <w:szCs w:val="20"/>
        </w:rPr>
      </w:pPr>
      <w:r>
        <w:rPr>
          <w:rFonts w:ascii="Arial" w:hAnsi="Arial" w:cs="Arial"/>
          <w:bCs/>
          <w:sz w:val="20"/>
          <w:szCs w:val="20"/>
        </w:rPr>
        <w:t>“</w:t>
      </w:r>
      <w:r w:rsidR="00377729">
        <w:rPr>
          <w:rFonts w:ascii="Arial" w:hAnsi="Arial" w:cs="Arial"/>
          <w:bCs/>
          <w:sz w:val="20"/>
          <w:szCs w:val="20"/>
        </w:rPr>
        <w:t xml:space="preserve">To further investigate the mechanisms underlying the anti-inflammatory activities of the plant, the inhibition of membrane lyses in rats was examined. From the data shown in Table 6, the fractions of </w:t>
      </w:r>
      <w:r w:rsidR="00377729">
        <w:rPr>
          <w:rFonts w:ascii="Arial" w:hAnsi="Arial" w:cs="Arial"/>
          <w:bCs/>
          <w:i/>
          <w:sz w:val="20"/>
          <w:szCs w:val="20"/>
        </w:rPr>
        <w:t xml:space="preserve">H. </w:t>
      </w:r>
      <w:proofErr w:type="spellStart"/>
      <w:r w:rsidR="00377729">
        <w:rPr>
          <w:rFonts w:ascii="Arial" w:hAnsi="Arial" w:cs="Arial"/>
          <w:bCs/>
          <w:i/>
          <w:sz w:val="20"/>
          <w:szCs w:val="20"/>
        </w:rPr>
        <w:t>madagascariensis</w:t>
      </w:r>
      <w:proofErr w:type="spellEnd"/>
      <w:r w:rsidR="00377729">
        <w:rPr>
          <w:rFonts w:ascii="Arial" w:hAnsi="Arial" w:cs="Arial"/>
          <w:bCs/>
          <w:sz w:val="20"/>
          <w:szCs w:val="20"/>
        </w:rPr>
        <w:t xml:space="preserve"> leaves significantly (p&lt;0.05) protected the human erythrocyte membrane </w:t>
      </w:r>
      <w:r w:rsidR="00377729">
        <w:rPr>
          <w:rFonts w:ascii="Arial" w:hAnsi="Arial" w:cs="Arial"/>
          <w:bCs/>
          <w:sz w:val="20"/>
          <w:szCs w:val="20"/>
        </w:rPr>
        <w:lastRenderedPageBreak/>
        <w:t>against lyses induced by hypotonic solution compared to the control. This leads to decrease in haemoglobin released, indicated by the reduction in absorbance values of the extract relative to control (hypotonic solution). The highest percentage inhibitions (56.2, 64.9 and 77.6%) of haemolysis were obtained at 1.0 mg/ml of the fractions respectively. This study demonstrated the capability of the plant fractions to inhibit lyses of human red blood cells (HRBCs) membrane induced by hypotonic solution. The erythrocyte membrane is analogous to the lysosomal membrane and its stabilization implies that the fractions may as well stabilize lysosomal membranes. Stabilization of lysosomal membrane is important in limiting the inflammatory response by preventing the release of lysosomal constituents of activated leucocytes such as, bactericidal enzymes and proteases, which upon release cause further tissue inflammation and damage</w:t>
      </w:r>
      <w:r>
        <w:rPr>
          <w:rFonts w:ascii="Arial" w:hAnsi="Arial" w:cs="Arial"/>
          <w:bCs/>
          <w:sz w:val="20"/>
          <w:szCs w:val="20"/>
        </w:rPr>
        <w:t>”</w:t>
      </w:r>
      <w:r w:rsidR="00377729">
        <w:rPr>
          <w:rFonts w:ascii="Arial" w:hAnsi="Arial" w:cs="Arial"/>
          <w:bCs/>
          <w:sz w:val="20"/>
          <w:szCs w:val="20"/>
        </w:rPr>
        <w:t xml:space="preserve"> (</w:t>
      </w:r>
      <w:r w:rsidR="00377729">
        <w:rPr>
          <w:rFonts w:ascii="Arial" w:hAnsi="Arial" w:cs="Arial"/>
          <w:color w:val="222222"/>
          <w:sz w:val="20"/>
          <w:szCs w:val="20"/>
          <w:shd w:val="clear" w:color="auto" w:fill="FFFFFF"/>
        </w:rPr>
        <w:t>Wang &amp;</w:t>
      </w:r>
      <w:proofErr w:type="spellStart"/>
      <w:r w:rsidR="00377729">
        <w:rPr>
          <w:rFonts w:ascii="Arial" w:hAnsi="Arial" w:cs="Arial"/>
          <w:color w:val="222222"/>
          <w:sz w:val="20"/>
          <w:szCs w:val="20"/>
          <w:shd w:val="clear" w:color="auto" w:fill="FFFFFF"/>
        </w:rPr>
        <w:t>Thyagarajan</w:t>
      </w:r>
      <w:proofErr w:type="spellEnd"/>
      <w:r w:rsidR="00377729">
        <w:rPr>
          <w:rFonts w:ascii="Arial" w:hAnsi="Arial" w:cs="Arial"/>
          <w:color w:val="222222"/>
          <w:sz w:val="20"/>
          <w:szCs w:val="20"/>
          <w:shd w:val="clear" w:color="auto" w:fill="FFFFFF"/>
        </w:rPr>
        <w:t>, 2022</w:t>
      </w:r>
      <w:r w:rsidR="00377729">
        <w:rPr>
          <w:rFonts w:ascii="Arial" w:hAnsi="Arial" w:cs="Arial"/>
          <w:bCs/>
          <w:sz w:val="20"/>
          <w:szCs w:val="20"/>
        </w:rPr>
        <w:t xml:space="preserve">). </w:t>
      </w:r>
      <w:r>
        <w:rPr>
          <w:rFonts w:ascii="Arial" w:hAnsi="Arial" w:cs="Arial"/>
          <w:bCs/>
          <w:sz w:val="20"/>
          <w:szCs w:val="20"/>
        </w:rPr>
        <w:t>“</w:t>
      </w:r>
      <w:r w:rsidR="00377729">
        <w:rPr>
          <w:rFonts w:ascii="Arial" w:hAnsi="Arial" w:cs="Arial"/>
          <w:bCs/>
          <w:sz w:val="20"/>
          <w:szCs w:val="20"/>
        </w:rPr>
        <w:t>It has also reported that the cell volume of erythrocytes is closely related to the intracellular content of calcium</w:t>
      </w:r>
      <w:r>
        <w:rPr>
          <w:rFonts w:ascii="Arial" w:hAnsi="Arial" w:cs="Arial"/>
          <w:bCs/>
          <w:sz w:val="20"/>
          <w:szCs w:val="20"/>
        </w:rPr>
        <w:t>”</w:t>
      </w:r>
      <w:r w:rsidR="00377729">
        <w:rPr>
          <w:rFonts w:ascii="Arial" w:hAnsi="Arial" w:cs="Arial"/>
          <w:bCs/>
          <w:sz w:val="20"/>
          <w:szCs w:val="20"/>
        </w:rPr>
        <w:t xml:space="preserve"> (Dar, et al., 2012</w:t>
      </w:r>
      <w:r w:rsidR="004D6ABB">
        <w:rPr>
          <w:rFonts w:ascii="Arial" w:hAnsi="Arial" w:cs="Arial"/>
          <w:bCs/>
          <w:sz w:val="20"/>
          <w:szCs w:val="20"/>
        </w:rPr>
        <w:t xml:space="preserve">; </w:t>
      </w:r>
      <w:proofErr w:type="spellStart"/>
      <w:r w:rsidR="002C7BED">
        <w:rPr>
          <w:rFonts w:ascii="Arial" w:hAnsi="Arial" w:cs="Arial"/>
          <w:bCs/>
          <w:sz w:val="20"/>
          <w:szCs w:val="20"/>
        </w:rPr>
        <w:t>Alkahayri</w:t>
      </w:r>
      <w:proofErr w:type="spellEnd"/>
      <w:r w:rsidR="002C7BED">
        <w:rPr>
          <w:rFonts w:ascii="Arial" w:hAnsi="Arial" w:cs="Arial"/>
          <w:bCs/>
          <w:sz w:val="20"/>
          <w:szCs w:val="20"/>
        </w:rPr>
        <w:t xml:space="preserve"> et al., 2022</w:t>
      </w:r>
      <w:r w:rsidR="00377729">
        <w:rPr>
          <w:rFonts w:ascii="Arial" w:hAnsi="Arial" w:cs="Arial"/>
          <w:bCs/>
          <w:sz w:val="20"/>
          <w:szCs w:val="20"/>
        </w:rPr>
        <w:t>). Both membrane stabilization and phospholipase A</w:t>
      </w:r>
      <w:r w:rsidR="00377729">
        <w:rPr>
          <w:rFonts w:ascii="Arial" w:hAnsi="Arial" w:cs="Arial"/>
          <w:bCs/>
          <w:sz w:val="20"/>
          <w:szCs w:val="20"/>
          <w:vertAlign w:val="subscript"/>
        </w:rPr>
        <w:t>2</w:t>
      </w:r>
      <w:r w:rsidR="00377729">
        <w:rPr>
          <w:rFonts w:ascii="Arial" w:hAnsi="Arial" w:cs="Arial"/>
          <w:bCs/>
          <w:sz w:val="20"/>
          <w:szCs w:val="20"/>
        </w:rPr>
        <w:t xml:space="preserve"> activity are related to low calcium availability. Hence, it could be speculated that the </w:t>
      </w:r>
      <w:proofErr w:type="spellStart"/>
      <w:r w:rsidR="00377729">
        <w:rPr>
          <w:rFonts w:ascii="Arial" w:hAnsi="Arial" w:cs="Arial"/>
          <w:bCs/>
          <w:sz w:val="20"/>
          <w:szCs w:val="20"/>
        </w:rPr>
        <w:t>cytoprotective</w:t>
      </w:r>
      <w:proofErr w:type="spellEnd"/>
      <w:r w:rsidR="00377729">
        <w:rPr>
          <w:rFonts w:ascii="Arial" w:hAnsi="Arial" w:cs="Arial"/>
          <w:bCs/>
          <w:sz w:val="20"/>
          <w:szCs w:val="20"/>
        </w:rPr>
        <w:t xml:space="preserve"> effect of the fractions on the erythrocyte membrane might be due the ability of the fractions to alter the influx of calcium into the erythrocyte.</w:t>
      </w:r>
    </w:p>
    <w:p w:rsidR="00341D63" w:rsidRDefault="00377729">
      <w:pPr>
        <w:spacing w:line="480" w:lineRule="auto"/>
        <w:jc w:val="both"/>
        <w:rPr>
          <w:rFonts w:ascii="Arial" w:hAnsi="Arial" w:cs="Arial"/>
          <w:b/>
          <w:bCs/>
          <w:sz w:val="20"/>
          <w:szCs w:val="20"/>
        </w:rPr>
      </w:pPr>
      <w:r>
        <w:rPr>
          <w:rFonts w:ascii="Arial" w:hAnsi="Arial" w:cs="Arial"/>
          <w:b/>
          <w:bCs/>
          <w:sz w:val="20"/>
          <w:szCs w:val="20"/>
        </w:rPr>
        <w:t>Conclusion</w:t>
      </w:r>
    </w:p>
    <w:p w:rsidR="00341D63" w:rsidRDefault="00377729">
      <w:pPr>
        <w:spacing w:line="480" w:lineRule="auto"/>
        <w:jc w:val="both"/>
        <w:rPr>
          <w:rFonts w:ascii="Arial" w:hAnsi="Arial" w:cs="Arial"/>
          <w:bCs/>
          <w:sz w:val="20"/>
          <w:szCs w:val="20"/>
        </w:rPr>
      </w:pPr>
      <w:r>
        <w:rPr>
          <w:rFonts w:ascii="Arial" w:hAnsi="Arial" w:cs="Arial"/>
          <w:bCs/>
          <w:sz w:val="20"/>
          <w:szCs w:val="20"/>
        </w:rPr>
        <w:t xml:space="preserve">This study revealed that </w:t>
      </w:r>
      <w:r>
        <w:rPr>
          <w:rFonts w:ascii="Arial" w:hAnsi="Arial" w:cs="Arial"/>
          <w:bCs/>
          <w:i/>
          <w:iCs/>
          <w:sz w:val="20"/>
          <w:szCs w:val="20"/>
        </w:rPr>
        <w:t xml:space="preserve">H. </w:t>
      </w:r>
      <w:proofErr w:type="spellStart"/>
      <w:r>
        <w:rPr>
          <w:rFonts w:ascii="Arial" w:hAnsi="Arial" w:cs="Arial"/>
          <w:bCs/>
          <w:i/>
          <w:iCs/>
          <w:sz w:val="20"/>
          <w:szCs w:val="20"/>
        </w:rPr>
        <w:t>madagascariensis</w:t>
      </w:r>
      <w:r>
        <w:rPr>
          <w:rFonts w:ascii="Arial" w:hAnsi="Arial" w:cs="Arial"/>
          <w:bCs/>
          <w:sz w:val="20"/>
          <w:szCs w:val="20"/>
        </w:rPr>
        <w:t>leavespossess</w:t>
      </w:r>
      <w:proofErr w:type="spellEnd"/>
      <w:r>
        <w:rPr>
          <w:rFonts w:ascii="Arial" w:hAnsi="Arial" w:cs="Arial"/>
          <w:bCs/>
          <w:sz w:val="20"/>
          <w:szCs w:val="20"/>
        </w:rPr>
        <w:t xml:space="preserve"> anti-inflammatory properties. The possible underlining mechanism by which the extract inhibited inflammation include: inhibition of PLA</w:t>
      </w:r>
      <w:r>
        <w:rPr>
          <w:rFonts w:ascii="Arial" w:hAnsi="Arial" w:cs="Arial"/>
          <w:bCs/>
          <w:sz w:val="20"/>
          <w:szCs w:val="20"/>
          <w:vertAlign w:val="subscript"/>
        </w:rPr>
        <w:t>2</w:t>
      </w:r>
      <w:r>
        <w:rPr>
          <w:rFonts w:ascii="Arial" w:hAnsi="Arial" w:cs="Arial"/>
          <w:bCs/>
          <w:sz w:val="20"/>
          <w:szCs w:val="20"/>
        </w:rPr>
        <w:t xml:space="preserve"> activity, and stabilization of lysosomal membrane. This result could be attributed to the abundant </w:t>
      </w:r>
      <w:proofErr w:type="spellStart"/>
      <w:r>
        <w:rPr>
          <w:rFonts w:ascii="Arial" w:hAnsi="Arial" w:cs="Arial"/>
          <w:bCs/>
          <w:sz w:val="20"/>
          <w:szCs w:val="20"/>
        </w:rPr>
        <w:t>phyto</w:t>
      </w:r>
      <w:proofErr w:type="spellEnd"/>
      <w:r>
        <w:rPr>
          <w:rFonts w:ascii="Arial" w:hAnsi="Arial" w:cs="Arial"/>
          <w:bCs/>
          <w:sz w:val="20"/>
          <w:szCs w:val="20"/>
        </w:rPr>
        <w:t xml:space="preserve">-constituents present in the plant suggesting the use of </w:t>
      </w:r>
      <w:r>
        <w:rPr>
          <w:rFonts w:ascii="Arial" w:hAnsi="Arial" w:cs="Arial"/>
          <w:bCs/>
          <w:i/>
          <w:iCs/>
          <w:sz w:val="20"/>
          <w:szCs w:val="20"/>
        </w:rPr>
        <w:t xml:space="preserve">H. </w:t>
      </w:r>
      <w:proofErr w:type="spellStart"/>
      <w:r>
        <w:rPr>
          <w:rFonts w:ascii="Arial" w:hAnsi="Arial" w:cs="Arial"/>
          <w:bCs/>
          <w:i/>
          <w:iCs/>
          <w:sz w:val="20"/>
          <w:szCs w:val="20"/>
        </w:rPr>
        <w:t>madagascariensis</w:t>
      </w:r>
      <w:proofErr w:type="spellEnd"/>
      <w:r>
        <w:rPr>
          <w:rFonts w:ascii="Arial" w:hAnsi="Arial" w:cs="Arial"/>
          <w:bCs/>
          <w:sz w:val="20"/>
          <w:szCs w:val="20"/>
        </w:rPr>
        <w:t xml:space="preserve"> in treatment of pain and inflammatory- related diseases. However, Aqueous-methanol fraction had a better activity than the other fractions.</w:t>
      </w:r>
    </w:p>
    <w:p w:rsidR="00341D63" w:rsidRDefault="00377729">
      <w:pPr>
        <w:pStyle w:val="Default"/>
        <w:rPr>
          <w:sz w:val="20"/>
          <w:szCs w:val="20"/>
        </w:rPr>
      </w:pPr>
      <w:r>
        <w:rPr>
          <w:b/>
          <w:bCs/>
          <w:sz w:val="20"/>
          <w:szCs w:val="20"/>
        </w:rPr>
        <w:t xml:space="preserve">ETHICAL APPROVAL </w:t>
      </w:r>
    </w:p>
    <w:p w:rsidR="00341D63" w:rsidRDefault="00377729">
      <w:pPr>
        <w:spacing w:line="480" w:lineRule="auto"/>
        <w:jc w:val="both"/>
        <w:rPr>
          <w:rFonts w:ascii="Arial" w:hAnsi="Arial" w:cs="Arial"/>
          <w:bCs/>
          <w:sz w:val="20"/>
          <w:szCs w:val="20"/>
        </w:rPr>
      </w:pPr>
      <w:r>
        <w:rPr>
          <w:rFonts w:ascii="Arial" w:hAnsi="Arial" w:cs="Arial"/>
          <w:sz w:val="20"/>
          <w:szCs w:val="20"/>
        </w:rPr>
        <w:t>Animal Ethic committee approval has been collected and preserved by the author(s)</w:t>
      </w:r>
    </w:p>
    <w:p w:rsidR="00341D63" w:rsidRDefault="00377729">
      <w:pPr>
        <w:pStyle w:val="Default"/>
        <w:rPr>
          <w:sz w:val="20"/>
          <w:szCs w:val="20"/>
        </w:rPr>
      </w:pPr>
      <w:r>
        <w:rPr>
          <w:b/>
          <w:bCs/>
          <w:sz w:val="20"/>
          <w:szCs w:val="20"/>
        </w:rPr>
        <w:t>DISCLAIMER (ARTIFICIAL INTELLIGENCE)</w:t>
      </w:r>
    </w:p>
    <w:p w:rsidR="00341D63" w:rsidRDefault="00377729">
      <w:pPr>
        <w:pStyle w:val="Default"/>
        <w:spacing w:line="360" w:lineRule="auto"/>
        <w:rPr>
          <w:sz w:val="20"/>
          <w:szCs w:val="20"/>
        </w:rPr>
      </w:pPr>
      <w:r>
        <w:rPr>
          <w:sz w:val="20"/>
          <w:szCs w:val="20"/>
        </w:rPr>
        <w:t>Author(s) hereby declare that NO generative AI technologies such as Large Language Models (</w:t>
      </w:r>
      <w:proofErr w:type="spellStart"/>
      <w:r>
        <w:rPr>
          <w:sz w:val="20"/>
          <w:szCs w:val="20"/>
        </w:rPr>
        <w:t>ChatGPT</w:t>
      </w:r>
      <w:proofErr w:type="spellEnd"/>
      <w:r>
        <w:rPr>
          <w:sz w:val="20"/>
          <w:szCs w:val="20"/>
        </w:rPr>
        <w:t xml:space="preserve">, COPILOT, </w:t>
      </w:r>
      <w:proofErr w:type="spellStart"/>
      <w:r>
        <w:rPr>
          <w:sz w:val="20"/>
          <w:szCs w:val="20"/>
        </w:rPr>
        <w:t>etc</w:t>
      </w:r>
      <w:proofErr w:type="spellEnd"/>
      <w:r>
        <w:rPr>
          <w:sz w:val="20"/>
          <w:szCs w:val="20"/>
        </w:rPr>
        <w:t>) and text-to-image generators have been used during writing or editing of this manuscript.</w:t>
      </w:r>
    </w:p>
    <w:p w:rsidR="00341D63" w:rsidRDefault="00341D63">
      <w:pPr>
        <w:pStyle w:val="Default"/>
        <w:rPr>
          <w:sz w:val="20"/>
          <w:szCs w:val="20"/>
        </w:rPr>
      </w:pPr>
    </w:p>
    <w:p w:rsidR="00341D63" w:rsidRDefault="00377729">
      <w:pPr>
        <w:pStyle w:val="Default"/>
        <w:rPr>
          <w:sz w:val="20"/>
          <w:szCs w:val="20"/>
        </w:rPr>
      </w:pPr>
      <w:r>
        <w:rPr>
          <w:b/>
          <w:bCs/>
          <w:sz w:val="20"/>
          <w:szCs w:val="20"/>
        </w:rPr>
        <w:t xml:space="preserve">COMPETING INTERESTS </w:t>
      </w:r>
    </w:p>
    <w:p w:rsidR="00341D63" w:rsidRPr="00D05873" w:rsidRDefault="00377729" w:rsidP="00D05873">
      <w:pPr>
        <w:spacing w:line="360" w:lineRule="auto"/>
        <w:jc w:val="both"/>
        <w:rPr>
          <w:rFonts w:ascii="Arial" w:hAnsi="Arial" w:cs="Arial"/>
          <w:sz w:val="20"/>
          <w:szCs w:val="20"/>
        </w:rPr>
      </w:pPr>
      <w:r>
        <w:rPr>
          <w:rFonts w:ascii="Arial" w:hAnsi="Arial" w:cs="Arial"/>
          <w:sz w:val="20"/>
          <w:szCs w:val="20"/>
        </w:rPr>
        <w:lastRenderedPageBreak/>
        <w:t>Authors have declared that they have no known competing financial interests OR non-financial interests OR personal relationships that could have appeared to influence the work reported in this paper.</w:t>
      </w:r>
    </w:p>
    <w:p w:rsidR="00341D63" w:rsidRDefault="00377729">
      <w:pPr>
        <w:spacing w:line="480" w:lineRule="auto"/>
        <w:jc w:val="both"/>
        <w:rPr>
          <w:rFonts w:ascii="Arial" w:hAnsi="Arial" w:cs="Arial"/>
          <w:b/>
          <w:bCs/>
          <w:sz w:val="20"/>
          <w:szCs w:val="20"/>
        </w:rPr>
      </w:pPr>
      <w:r>
        <w:rPr>
          <w:rFonts w:ascii="Arial" w:hAnsi="Arial" w:cs="Arial"/>
          <w:b/>
          <w:bCs/>
          <w:sz w:val="20"/>
          <w:szCs w:val="20"/>
        </w:rPr>
        <w:t>REFERENCES</w:t>
      </w:r>
    </w:p>
    <w:p w:rsidR="00EE262F" w:rsidRPr="009C5DE1" w:rsidRDefault="00EE262F" w:rsidP="00EE262F">
      <w:pPr>
        <w:ind w:left="720" w:hanging="720"/>
        <w:jc w:val="both"/>
        <w:rPr>
          <w:rFonts w:ascii="Arial" w:hAnsi="Arial" w:cs="Arial"/>
          <w:color w:val="222222"/>
          <w:sz w:val="20"/>
          <w:szCs w:val="20"/>
          <w:shd w:val="clear" w:color="auto" w:fill="FFFFFF"/>
        </w:rPr>
      </w:pPr>
      <w:proofErr w:type="spellStart"/>
      <w:r w:rsidRPr="009C5DE1">
        <w:rPr>
          <w:rFonts w:ascii="Arial" w:hAnsi="Arial" w:cs="Arial"/>
          <w:color w:val="222222"/>
          <w:sz w:val="20"/>
          <w:szCs w:val="20"/>
          <w:shd w:val="clear" w:color="auto" w:fill="FFFFFF"/>
        </w:rPr>
        <w:t>Gusev</w:t>
      </w:r>
      <w:proofErr w:type="spellEnd"/>
      <w:r w:rsidRPr="009C5DE1">
        <w:rPr>
          <w:rFonts w:ascii="Arial" w:hAnsi="Arial" w:cs="Arial"/>
          <w:color w:val="222222"/>
          <w:sz w:val="20"/>
          <w:szCs w:val="20"/>
          <w:shd w:val="clear" w:color="auto" w:fill="FFFFFF"/>
        </w:rPr>
        <w:t xml:space="preserve">, E., &amp; </w:t>
      </w:r>
      <w:proofErr w:type="spellStart"/>
      <w:r w:rsidRPr="009C5DE1">
        <w:rPr>
          <w:rFonts w:ascii="Arial" w:hAnsi="Arial" w:cs="Arial"/>
          <w:color w:val="222222"/>
          <w:sz w:val="20"/>
          <w:szCs w:val="20"/>
          <w:shd w:val="clear" w:color="auto" w:fill="FFFFFF"/>
        </w:rPr>
        <w:t>Zhuravleva</w:t>
      </w:r>
      <w:proofErr w:type="spellEnd"/>
      <w:r w:rsidRPr="009C5DE1">
        <w:rPr>
          <w:rFonts w:ascii="Arial" w:hAnsi="Arial" w:cs="Arial"/>
          <w:color w:val="222222"/>
          <w:sz w:val="20"/>
          <w:szCs w:val="20"/>
          <w:shd w:val="clear" w:color="auto" w:fill="FFFFFF"/>
        </w:rPr>
        <w:t>, Y. (2022). Inflammation: A new look at an old problem. </w:t>
      </w:r>
      <w:r w:rsidRPr="009C5DE1">
        <w:rPr>
          <w:rFonts w:ascii="Arial" w:hAnsi="Arial" w:cs="Arial"/>
          <w:i/>
          <w:iCs/>
          <w:color w:val="222222"/>
          <w:sz w:val="20"/>
          <w:szCs w:val="20"/>
          <w:shd w:val="clear" w:color="auto" w:fill="FFFFFF"/>
        </w:rPr>
        <w:t>International Journal of Molecular Sciences</w:t>
      </w:r>
      <w:r w:rsidRPr="009C5DE1">
        <w:rPr>
          <w:rFonts w:ascii="Arial" w:hAnsi="Arial" w:cs="Arial"/>
          <w:color w:val="222222"/>
          <w:sz w:val="20"/>
          <w:szCs w:val="20"/>
          <w:shd w:val="clear" w:color="auto" w:fill="FFFFFF"/>
        </w:rPr>
        <w:t>, </w:t>
      </w:r>
      <w:r w:rsidRPr="009C5DE1">
        <w:rPr>
          <w:rFonts w:ascii="Arial" w:hAnsi="Arial" w:cs="Arial"/>
          <w:i/>
          <w:iCs/>
          <w:color w:val="222222"/>
          <w:sz w:val="20"/>
          <w:szCs w:val="20"/>
          <w:shd w:val="clear" w:color="auto" w:fill="FFFFFF"/>
        </w:rPr>
        <w:t>23</w:t>
      </w:r>
      <w:r w:rsidRPr="009C5DE1">
        <w:rPr>
          <w:rFonts w:ascii="Arial" w:hAnsi="Arial" w:cs="Arial"/>
          <w:color w:val="222222"/>
          <w:sz w:val="20"/>
          <w:szCs w:val="20"/>
          <w:shd w:val="clear" w:color="auto" w:fill="FFFFFF"/>
        </w:rPr>
        <w:t>(9), 4596.</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Burgess, M., </w:t>
      </w:r>
      <w:proofErr w:type="spellStart"/>
      <w:r>
        <w:rPr>
          <w:rFonts w:ascii="Arial" w:hAnsi="Arial" w:cs="Arial"/>
          <w:color w:val="222222"/>
          <w:sz w:val="20"/>
          <w:szCs w:val="20"/>
          <w:shd w:val="clear" w:color="auto" w:fill="FFFFFF"/>
        </w:rPr>
        <w:t>Valdera</w:t>
      </w:r>
      <w:proofErr w:type="spellEnd"/>
      <w:r>
        <w:rPr>
          <w:rFonts w:ascii="Arial" w:hAnsi="Arial" w:cs="Arial"/>
          <w:color w:val="222222"/>
          <w:sz w:val="20"/>
          <w:szCs w:val="20"/>
          <w:shd w:val="clear" w:color="auto" w:fill="FFFFFF"/>
        </w:rPr>
        <w:t xml:space="preserve">, F., </w:t>
      </w:r>
      <w:proofErr w:type="spellStart"/>
      <w:r>
        <w:rPr>
          <w:rFonts w:ascii="Arial" w:hAnsi="Arial" w:cs="Arial"/>
          <w:color w:val="222222"/>
          <w:sz w:val="20"/>
          <w:szCs w:val="20"/>
          <w:shd w:val="clear" w:color="auto" w:fill="FFFFFF"/>
        </w:rPr>
        <w:t>Varon</w:t>
      </w:r>
      <w:proofErr w:type="spellEnd"/>
      <w:r>
        <w:rPr>
          <w:rFonts w:ascii="Arial" w:hAnsi="Arial" w:cs="Arial"/>
          <w:color w:val="222222"/>
          <w:sz w:val="20"/>
          <w:szCs w:val="20"/>
          <w:shd w:val="clear" w:color="auto" w:fill="FFFFFF"/>
        </w:rPr>
        <w:t xml:space="preserve">, D., </w:t>
      </w:r>
      <w:proofErr w:type="spellStart"/>
      <w:r>
        <w:rPr>
          <w:rFonts w:ascii="Arial" w:hAnsi="Arial" w:cs="Arial"/>
          <w:color w:val="222222"/>
          <w:sz w:val="20"/>
          <w:szCs w:val="20"/>
          <w:shd w:val="clear" w:color="auto" w:fill="FFFFFF"/>
        </w:rPr>
        <w:t>Kankuri</w:t>
      </w:r>
      <w:proofErr w:type="spellEnd"/>
      <w:r>
        <w:rPr>
          <w:rFonts w:ascii="Arial" w:hAnsi="Arial" w:cs="Arial"/>
          <w:color w:val="222222"/>
          <w:sz w:val="20"/>
          <w:szCs w:val="20"/>
          <w:shd w:val="clear" w:color="auto" w:fill="FFFFFF"/>
        </w:rPr>
        <w:t>, E., &amp;</w:t>
      </w:r>
      <w:proofErr w:type="spellStart"/>
      <w:r>
        <w:rPr>
          <w:rFonts w:ascii="Arial" w:hAnsi="Arial" w:cs="Arial"/>
          <w:color w:val="222222"/>
          <w:sz w:val="20"/>
          <w:szCs w:val="20"/>
          <w:shd w:val="clear" w:color="auto" w:fill="FFFFFF"/>
        </w:rPr>
        <w:t>Nuutila</w:t>
      </w:r>
      <w:proofErr w:type="spellEnd"/>
      <w:r>
        <w:rPr>
          <w:rFonts w:ascii="Arial" w:hAnsi="Arial" w:cs="Arial"/>
          <w:color w:val="222222"/>
          <w:sz w:val="20"/>
          <w:szCs w:val="20"/>
          <w:shd w:val="clear" w:color="auto" w:fill="FFFFFF"/>
        </w:rPr>
        <w:t>, K. (2022). The immune and regenerative response to burn injury. </w:t>
      </w:r>
      <w:r>
        <w:rPr>
          <w:rFonts w:ascii="Arial" w:hAnsi="Arial" w:cs="Arial"/>
          <w:i/>
          <w:iCs/>
          <w:color w:val="222222"/>
          <w:sz w:val="20"/>
          <w:szCs w:val="20"/>
          <w:shd w:val="clear" w:color="auto" w:fill="FFFFFF"/>
        </w:rPr>
        <w:t>Cells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(19), 3073.</w:t>
      </w:r>
    </w:p>
    <w:p w:rsidR="00EE262F" w:rsidRDefault="00EE262F" w:rsidP="00EE262F">
      <w:pPr>
        <w:ind w:left="720" w:hanging="72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Oronsky</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Caroen</w:t>
      </w:r>
      <w:proofErr w:type="spellEnd"/>
      <w:r>
        <w:rPr>
          <w:rFonts w:ascii="Arial" w:hAnsi="Arial" w:cs="Arial"/>
          <w:color w:val="222222"/>
          <w:sz w:val="20"/>
          <w:szCs w:val="20"/>
          <w:shd w:val="clear" w:color="auto" w:fill="FFFFFF"/>
        </w:rPr>
        <w:t>, S., &amp; Reid, T. (2022). What exactly is inflammation (and what is it not?).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(23), 14905.</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Ji, J., Yuan, M., &amp; Ji, R. R. (2023). Inflammation and pain. In </w:t>
      </w:r>
      <w:proofErr w:type="spellStart"/>
      <w:r>
        <w:rPr>
          <w:rFonts w:ascii="Arial" w:hAnsi="Arial" w:cs="Arial"/>
          <w:i/>
          <w:iCs/>
          <w:color w:val="222222"/>
          <w:sz w:val="20"/>
          <w:szCs w:val="20"/>
          <w:shd w:val="clear" w:color="auto" w:fill="FFFFFF"/>
        </w:rPr>
        <w:t>Neuroimmune</w:t>
      </w:r>
      <w:proofErr w:type="spellEnd"/>
      <w:r>
        <w:rPr>
          <w:rFonts w:ascii="Arial" w:hAnsi="Arial" w:cs="Arial"/>
          <w:i/>
          <w:iCs/>
          <w:color w:val="222222"/>
          <w:sz w:val="20"/>
          <w:szCs w:val="20"/>
          <w:shd w:val="clear" w:color="auto" w:fill="FFFFFF"/>
        </w:rPr>
        <w:t xml:space="preserve"> interactions in pain: mechanisms and therapeutics</w:t>
      </w:r>
      <w:r>
        <w:rPr>
          <w:rFonts w:ascii="Arial" w:hAnsi="Arial" w:cs="Arial"/>
          <w:color w:val="222222"/>
          <w:sz w:val="20"/>
          <w:szCs w:val="20"/>
          <w:shd w:val="clear" w:color="auto" w:fill="FFFFFF"/>
        </w:rPr>
        <w:t> (pp. 17-41). Cham: Springer International Publishing.</w:t>
      </w:r>
    </w:p>
    <w:p w:rsidR="00EE262F" w:rsidRPr="00D05873" w:rsidRDefault="00EE262F" w:rsidP="00EE262F">
      <w:pPr>
        <w:spacing w:after="0"/>
        <w:ind w:left="720" w:hanging="720"/>
        <w:jc w:val="both"/>
        <w:rPr>
          <w:rFonts w:ascii="Arial" w:hAnsi="Arial" w:cs="Arial"/>
          <w:sz w:val="20"/>
          <w:szCs w:val="20"/>
          <w:lang w:val="en-IN"/>
        </w:rPr>
      </w:pPr>
      <w:proofErr w:type="spellStart"/>
      <w:r w:rsidRPr="00D05873">
        <w:rPr>
          <w:rFonts w:ascii="Arial" w:hAnsi="Arial" w:cs="Arial"/>
          <w:sz w:val="20"/>
          <w:szCs w:val="20"/>
          <w:lang w:val="en-IN"/>
        </w:rPr>
        <w:t>Shorinwa</w:t>
      </w:r>
      <w:proofErr w:type="spellEnd"/>
      <w:r w:rsidRPr="00D05873">
        <w:rPr>
          <w:rFonts w:ascii="Arial" w:hAnsi="Arial" w:cs="Arial"/>
          <w:sz w:val="20"/>
          <w:szCs w:val="20"/>
          <w:lang w:val="en-IN"/>
        </w:rPr>
        <w:t xml:space="preserve">, O. A., &amp; </w:t>
      </w:r>
      <w:proofErr w:type="spellStart"/>
      <w:r w:rsidRPr="00D05873">
        <w:rPr>
          <w:rFonts w:ascii="Arial" w:hAnsi="Arial" w:cs="Arial"/>
          <w:sz w:val="20"/>
          <w:szCs w:val="20"/>
          <w:lang w:val="en-IN"/>
        </w:rPr>
        <w:t>Monsi</w:t>
      </w:r>
      <w:proofErr w:type="spellEnd"/>
      <w:r w:rsidRPr="00D05873">
        <w:rPr>
          <w:rFonts w:ascii="Arial" w:hAnsi="Arial" w:cs="Arial"/>
          <w:sz w:val="20"/>
          <w:szCs w:val="20"/>
          <w:lang w:val="en-IN"/>
        </w:rPr>
        <w:t xml:space="preserve">, B. (2019). Toxicological implications of the fruit of </w:t>
      </w:r>
      <w:proofErr w:type="spellStart"/>
      <w:r w:rsidRPr="00D05873">
        <w:rPr>
          <w:rFonts w:ascii="Arial" w:hAnsi="Arial" w:cs="Arial"/>
          <w:sz w:val="20"/>
          <w:szCs w:val="20"/>
          <w:lang w:val="en-IN"/>
        </w:rPr>
        <w:t>Harungana</w:t>
      </w:r>
      <w:proofErr w:type="spellEnd"/>
      <w:r w:rsidRPr="00D05873">
        <w:rPr>
          <w:rFonts w:ascii="Arial" w:hAnsi="Arial" w:cs="Arial"/>
          <w:sz w:val="20"/>
          <w:szCs w:val="20"/>
          <w:lang w:val="en-IN"/>
        </w:rPr>
        <w:t xml:space="preserve"> </w:t>
      </w:r>
      <w:proofErr w:type="spellStart"/>
      <w:r w:rsidRPr="00D05873">
        <w:rPr>
          <w:rFonts w:ascii="Arial" w:hAnsi="Arial" w:cs="Arial"/>
          <w:sz w:val="20"/>
          <w:szCs w:val="20"/>
          <w:lang w:val="en-IN"/>
        </w:rPr>
        <w:t>madagascariensis</w:t>
      </w:r>
      <w:proofErr w:type="spellEnd"/>
      <w:r w:rsidRPr="00D05873">
        <w:rPr>
          <w:rFonts w:ascii="Arial" w:hAnsi="Arial" w:cs="Arial"/>
          <w:sz w:val="20"/>
          <w:szCs w:val="20"/>
          <w:lang w:val="en-IN"/>
        </w:rPr>
        <w:t xml:space="preserve"> on </w:t>
      </w:r>
      <w:proofErr w:type="spellStart"/>
      <w:r w:rsidRPr="00D05873">
        <w:rPr>
          <w:rFonts w:ascii="Arial" w:hAnsi="Arial" w:cs="Arial"/>
          <w:sz w:val="20"/>
          <w:szCs w:val="20"/>
          <w:lang w:val="en-IN"/>
        </w:rPr>
        <w:t>wistar</w:t>
      </w:r>
      <w:proofErr w:type="spellEnd"/>
      <w:r w:rsidRPr="00D05873">
        <w:rPr>
          <w:rFonts w:ascii="Arial" w:hAnsi="Arial" w:cs="Arial"/>
          <w:sz w:val="20"/>
          <w:szCs w:val="20"/>
          <w:lang w:val="en-IN"/>
        </w:rPr>
        <w:t xml:space="preserve"> rats. </w:t>
      </w:r>
      <w:r w:rsidRPr="00D05873">
        <w:rPr>
          <w:rFonts w:ascii="Arial" w:hAnsi="Arial" w:cs="Arial"/>
          <w:i/>
          <w:iCs/>
          <w:sz w:val="20"/>
          <w:szCs w:val="20"/>
          <w:lang w:val="en-IN"/>
        </w:rPr>
        <w:t xml:space="preserve">Clinical </w:t>
      </w:r>
      <w:proofErr w:type="spellStart"/>
      <w:r w:rsidRPr="00D05873">
        <w:rPr>
          <w:rFonts w:ascii="Arial" w:hAnsi="Arial" w:cs="Arial"/>
          <w:i/>
          <w:iCs/>
          <w:sz w:val="20"/>
          <w:szCs w:val="20"/>
          <w:lang w:val="en-IN"/>
        </w:rPr>
        <w:t>Phytoscience</w:t>
      </w:r>
      <w:proofErr w:type="spellEnd"/>
      <w:r w:rsidRPr="00D05873">
        <w:rPr>
          <w:rFonts w:ascii="Arial" w:hAnsi="Arial" w:cs="Arial"/>
          <w:sz w:val="20"/>
          <w:szCs w:val="20"/>
          <w:lang w:val="en-IN"/>
        </w:rPr>
        <w:t>, </w:t>
      </w:r>
      <w:r w:rsidRPr="00D05873">
        <w:rPr>
          <w:rFonts w:ascii="Arial" w:hAnsi="Arial" w:cs="Arial"/>
          <w:i/>
          <w:iCs/>
          <w:sz w:val="20"/>
          <w:szCs w:val="20"/>
          <w:lang w:val="en-IN"/>
        </w:rPr>
        <w:t>6</w:t>
      </w:r>
      <w:r w:rsidRPr="00D05873">
        <w:rPr>
          <w:rFonts w:ascii="Arial" w:hAnsi="Arial" w:cs="Arial"/>
          <w:sz w:val="20"/>
          <w:szCs w:val="20"/>
          <w:lang w:val="en-IN"/>
        </w:rPr>
        <w:t>(1), 2.</w:t>
      </w:r>
    </w:p>
    <w:p w:rsidR="00EE262F" w:rsidRDefault="00AC0DCA" w:rsidP="00EE262F">
      <w:pPr>
        <w:spacing w:after="0"/>
        <w:jc w:val="both"/>
        <w:rPr>
          <w:rFonts w:ascii="Arial" w:hAnsi="Arial" w:cs="Arial"/>
        </w:rPr>
      </w:pPr>
      <w:hyperlink r:id="rId13" w:history="1">
        <w:r w:rsidR="00EE262F" w:rsidRPr="00D05873">
          <w:rPr>
            <w:rFonts w:ascii="Arial" w:hAnsi="Arial" w:cs="Arial"/>
            <w:color w:val="0563C1"/>
            <w:sz w:val="20"/>
            <w:szCs w:val="20"/>
            <w:u w:val="single"/>
          </w:rPr>
          <w:t>https://link.springer.com/article/10.1186/s40816-019-0145-8</w:t>
        </w:r>
      </w:hyperlink>
    </w:p>
    <w:p w:rsidR="00EE262F" w:rsidRPr="00D05873" w:rsidRDefault="00EE262F" w:rsidP="00EE262F">
      <w:pPr>
        <w:spacing w:after="0"/>
        <w:jc w:val="both"/>
        <w:rPr>
          <w:rFonts w:ascii="Arial" w:eastAsia="Calibri" w:hAnsi="Arial" w:cs="Arial"/>
          <w:kern w:val="2"/>
          <w:lang w:val="en-IN"/>
        </w:rPr>
      </w:pP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Ahmad, R., &amp; Ahsan, H. (2022). Dual autoimmune diseases: rheumatoid arthritis with systemic lupus erythematosus and type 1 diabetes mellitus with multiple sclerosis. </w:t>
      </w:r>
      <w:r>
        <w:rPr>
          <w:rFonts w:ascii="Arial" w:hAnsi="Arial" w:cs="Arial"/>
          <w:i/>
          <w:iCs/>
          <w:color w:val="222222"/>
          <w:sz w:val="20"/>
          <w:szCs w:val="20"/>
          <w:shd w:val="clear" w:color="auto" w:fill="FFFFFF"/>
        </w:rPr>
        <w:t>Rheumatology &amp; Autoimmunity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(03), 120-128.</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Yasmeen, F., </w:t>
      </w:r>
      <w:proofErr w:type="spellStart"/>
      <w:r>
        <w:rPr>
          <w:rFonts w:ascii="Arial" w:hAnsi="Arial" w:cs="Arial"/>
          <w:color w:val="222222"/>
          <w:sz w:val="20"/>
          <w:szCs w:val="20"/>
          <w:shd w:val="clear" w:color="auto" w:fill="FFFFFF"/>
        </w:rPr>
        <w:t>Pirzada</w:t>
      </w:r>
      <w:proofErr w:type="spellEnd"/>
      <w:r>
        <w:rPr>
          <w:rFonts w:ascii="Arial" w:hAnsi="Arial" w:cs="Arial"/>
          <w:color w:val="222222"/>
          <w:sz w:val="20"/>
          <w:szCs w:val="20"/>
          <w:shd w:val="clear" w:color="auto" w:fill="FFFFFF"/>
        </w:rPr>
        <w:t>, R. H., Ahmad, B., Choi, B., &amp; Choi, S. (2024). Understanding autoimmunity: mechanisms, predisposing factors, and cytokine therapies.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(14), 7666.</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Nair, A., </w:t>
      </w:r>
      <w:proofErr w:type="spellStart"/>
      <w:r>
        <w:rPr>
          <w:rFonts w:ascii="Arial" w:hAnsi="Arial" w:cs="Arial"/>
          <w:color w:val="222222"/>
          <w:sz w:val="20"/>
          <w:szCs w:val="20"/>
          <w:shd w:val="clear" w:color="auto" w:fill="FFFFFF"/>
        </w:rPr>
        <w:t>Thankachen</w:t>
      </w:r>
      <w:proofErr w:type="spellEnd"/>
      <w:r>
        <w:rPr>
          <w:rFonts w:ascii="Arial" w:hAnsi="Arial" w:cs="Arial"/>
          <w:color w:val="222222"/>
          <w:sz w:val="20"/>
          <w:szCs w:val="20"/>
          <w:shd w:val="clear" w:color="auto" w:fill="FFFFFF"/>
        </w:rPr>
        <w:t xml:space="preserve">, R. U., Raj, J., &amp; </w:t>
      </w:r>
      <w:proofErr w:type="spellStart"/>
      <w:r>
        <w:rPr>
          <w:rFonts w:ascii="Arial" w:hAnsi="Arial" w:cs="Arial"/>
          <w:color w:val="222222"/>
          <w:sz w:val="20"/>
          <w:szCs w:val="20"/>
          <w:shd w:val="clear" w:color="auto" w:fill="FFFFFF"/>
        </w:rPr>
        <w:t>Gopi</w:t>
      </w:r>
      <w:proofErr w:type="spellEnd"/>
      <w:r>
        <w:rPr>
          <w:rFonts w:ascii="Arial" w:hAnsi="Arial" w:cs="Arial"/>
          <w:color w:val="222222"/>
          <w:sz w:val="20"/>
          <w:szCs w:val="20"/>
          <w:shd w:val="clear" w:color="auto" w:fill="FFFFFF"/>
        </w:rPr>
        <w:t>, S. (2021). Inflammation, symptoms, benefits, reaction, and biochemistry. In </w:t>
      </w:r>
      <w:r>
        <w:rPr>
          <w:rFonts w:ascii="Arial" w:hAnsi="Arial" w:cs="Arial"/>
          <w:i/>
          <w:iCs/>
          <w:color w:val="222222"/>
          <w:sz w:val="20"/>
          <w:szCs w:val="20"/>
          <w:shd w:val="clear" w:color="auto" w:fill="FFFFFF"/>
        </w:rPr>
        <w:t>Inflammation and Natural Products</w:t>
      </w:r>
      <w:r>
        <w:rPr>
          <w:rFonts w:ascii="Arial" w:hAnsi="Arial" w:cs="Arial"/>
          <w:color w:val="222222"/>
          <w:sz w:val="20"/>
          <w:szCs w:val="20"/>
          <w:shd w:val="clear" w:color="auto" w:fill="FFFFFF"/>
        </w:rPr>
        <w:t> (pp. 1-19). Academic Press.</w:t>
      </w:r>
    </w:p>
    <w:p w:rsidR="00EE262F" w:rsidRDefault="00EE262F" w:rsidP="00EE262F">
      <w:pPr>
        <w:ind w:left="720" w:hanging="72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Raziyeva</w:t>
      </w:r>
      <w:proofErr w:type="spellEnd"/>
      <w:r>
        <w:rPr>
          <w:rFonts w:ascii="Arial" w:hAnsi="Arial" w:cs="Arial"/>
          <w:color w:val="222222"/>
          <w:sz w:val="20"/>
          <w:szCs w:val="20"/>
          <w:shd w:val="clear" w:color="auto" w:fill="FFFFFF"/>
        </w:rPr>
        <w:t xml:space="preserve">, K., Kim, Y., </w:t>
      </w:r>
      <w:proofErr w:type="spellStart"/>
      <w:r>
        <w:rPr>
          <w:rFonts w:ascii="Arial" w:hAnsi="Arial" w:cs="Arial"/>
          <w:color w:val="222222"/>
          <w:sz w:val="20"/>
          <w:szCs w:val="20"/>
          <w:shd w:val="clear" w:color="auto" w:fill="FFFFFF"/>
        </w:rPr>
        <w:t>Zharkinbekov</w:t>
      </w:r>
      <w:proofErr w:type="spellEnd"/>
      <w:r>
        <w:rPr>
          <w:rFonts w:ascii="Arial" w:hAnsi="Arial" w:cs="Arial"/>
          <w:color w:val="222222"/>
          <w:sz w:val="20"/>
          <w:szCs w:val="20"/>
          <w:shd w:val="clear" w:color="auto" w:fill="FFFFFF"/>
        </w:rPr>
        <w:t xml:space="preserve">, Z., </w:t>
      </w:r>
      <w:proofErr w:type="spellStart"/>
      <w:r>
        <w:rPr>
          <w:rFonts w:ascii="Arial" w:hAnsi="Arial" w:cs="Arial"/>
          <w:color w:val="222222"/>
          <w:sz w:val="20"/>
          <w:szCs w:val="20"/>
          <w:shd w:val="clear" w:color="auto" w:fill="FFFFFF"/>
        </w:rPr>
        <w:t>Kassymbek</w:t>
      </w:r>
      <w:proofErr w:type="spellEnd"/>
      <w:r>
        <w:rPr>
          <w:rFonts w:ascii="Arial" w:hAnsi="Arial" w:cs="Arial"/>
          <w:color w:val="222222"/>
          <w:sz w:val="20"/>
          <w:szCs w:val="20"/>
          <w:shd w:val="clear" w:color="auto" w:fill="FFFFFF"/>
        </w:rPr>
        <w:t xml:space="preserve">, K., Jimi, S., &amp; </w:t>
      </w:r>
      <w:proofErr w:type="spellStart"/>
      <w:r>
        <w:rPr>
          <w:rFonts w:ascii="Arial" w:hAnsi="Arial" w:cs="Arial"/>
          <w:color w:val="222222"/>
          <w:sz w:val="20"/>
          <w:szCs w:val="20"/>
          <w:shd w:val="clear" w:color="auto" w:fill="FFFFFF"/>
        </w:rPr>
        <w:t>Saparov</w:t>
      </w:r>
      <w:proofErr w:type="spellEnd"/>
      <w:r>
        <w:rPr>
          <w:rFonts w:ascii="Arial" w:hAnsi="Arial" w:cs="Arial"/>
          <w:color w:val="222222"/>
          <w:sz w:val="20"/>
          <w:szCs w:val="20"/>
          <w:shd w:val="clear" w:color="auto" w:fill="FFFFFF"/>
        </w:rPr>
        <w:t>, A. (2021). Immunology of acute and chronic wound healing. </w:t>
      </w:r>
      <w:r>
        <w:rPr>
          <w:rFonts w:ascii="Arial" w:hAnsi="Arial" w:cs="Arial"/>
          <w:i/>
          <w:iCs/>
          <w:color w:val="222222"/>
          <w:sz w:val="20"/>
          <w:szCs w:val="20"/>
          <w:shd w:val="clear" w:color="auto" w:fill="FFFFFF"/>
        </w:rPr>
        <w:t>Biomolecules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(5), 700.</w:t>
      </w:r>
    </w:p>
    <w:p w:rsidR="00EE262F" w:rsidRDefault="00EE262F" w:rsidP="00EE262F">
      <w:pPr>
        <w:ind w:left="720" w:hanging="72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Soliman</w:t>
      </w:r>
      <w:proofErr w:type="spellEnd"/>
      <w:r>
        <w:rPr>
          <w:rFonts w:ascii="Arial" w:hAnsi="Arial" w:cs="Arial"/>
          <w:color w:val="222222"/>
          <w:sz w:val="20"/>
          <w:szCs w:val="20"/>
          <w:shd w:val="clear" w:color="auto" w:fill="FFFFFF"/>
        </w:rPr>
        <w:t>, A. M., &amp;</w:t>
      </w:r>
      <w:proofErr w:type="spellStart"/>
      <w:r>
        <w:rPr>
          <w:rFonts w:ascii="Arial" w:hAnsi="Arial" w:cs="Arial"/>
          <w:color w:val="222222"/>
          <w:sz w:val="20"/>
          <w:szCs w:val="20"/>
          <w:shd w:val="clear" w:color="auto" w:fill="FFFFFF"/>
        </w:rPr>
        <w:t>Barreda</w:t>
      </w:r>
      <w:proofErr w:type="spellEnd"/>
      <w:r>
        <w:rPr>
          <w:rFonts w:ascii="Arial" w:hAnsi="Arial" w:cs="Arial"/>
          <w:color w:val="222222"/>
          <w:sz w:val="20"/>
          <w:szCs w:val="20"/>
          <w:shd w:val="clear" w:color="auto" w:fill="FFFFFF"/>
        </w:rPr>
        <w:t>, D. R. (2022). Acute inflammation in tissue healing.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(1), 641.</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Kumar, P., </w:t>
      </w:r>
      <w:proofErr w:type="spellStart"/>
      <w:r>
        <w:rPr>
          <w:rFonts w:ascii="Arial" w:hAnsi="Arial" w:cs="Arial"/>
          <w:color w:val="222222"/>
          <w:sz w:val="20"/>
          <w:szCs w:val="20"/>
          <w:shd w:val="clear" w:color="auto" w:fill="FFFFFF"/>
        </w:rPr>
        <w:t>Dhingra</w:t>
      </w:r>
      <w:proofErr w:type="spellEnd"/>
      <w:r>
        <w:rPr>
          <w:rFonts w:ascii="Arial" w:hAnsi="Arial" w:cs="Arial"/>
          <w:color w:val="222222"/>
          <w:sz w:val="20"/>
          <w:szCs w:val="20"/>
          <w:shd w:val="clear" w:color="auto" w:fill="FFFFFF"/>
        </w:rPr>
        <w:t>, G. K., &amp;</w:t>
      </w:r>
      <w:proofErr w:type="spellStart"/>
      <w:r>
        <w:rPr>
          <w:rFonts w:ascii="Arial" w:hAnsi="Arial" w:cs="Arial"/>
          <w:color w:val="222222"/>
          <w:sz w:val="20"/>
          <w:szCs w:val="20"/>
          <w:shd w:val="clear" w:color="auto" w:fill="FFFFFF"/>
        </w:rPr>
        <w:t>Dangwal</w:t>
      </w:r>
      <w:proofErr w:type="spellEnd"/>
      <w:r>
        <w:rPr>
          <w:rFonts w:ascii="Arial" w:hAnsi="Arial" w:cs="Arial"/>
          <w:color w:val="222222"/>
          <w:sz w:val="20"/>
          <w:szCs w:val="20"/>
          <w:shd w:val="clear" w:color="auto" w:fill="FFFFFF"/>
        </w:rPr>
        <w:t xml:space="preserve">, L. R. (2024). Diversity Assessment, Utility, Ethno Medicinal Uses and Conservation Status of Medicinal Plants in </w:t>
      </w:r>
      <w:proofErr w:type="spellStart"/>
      <w:r>
        <w:rPr>
          <w:rFonts w:ascii="Arial" w:hAnsi="Arial" w:cs="Arial"/>
          <w:color w:val="222222"/>
          <w:sz w:val="20"/>
          <w:szCs w:val="20"/>
          <w:shd w:val="clear" w:color="auto" w:fill="FFFFFF"/>
        </w:rPr>
        <w:t>Tehri</w:t>
      </w:r>
      <w:proofErr w:type="spellEnd"/>
      <w:r>
        <w:rPr>
          <w:rFonts w:ascii="Arial" w:hAnsi="Arial" w:cs="Arial"/>
          <w:color w:val="222222"/>
          <w:sz w:val="20"/>
          <w:szCs w:val="20"/>
          <w:shd w:val="clear" w:color="auto" w:fill="FFFFFF"/>
        </w:rPr>
        <w:t xml:space="preserve"> District, </w:t>
      </w:r>
      <w:proofErr w:type="spellStart"/>
      <w:r>
        <w:rPr>
          <w:rFonts w:ascii="Arial" w:hAnsi="Arial" w:cs="Arial"/>
          <w:color w:val="222222"/>
          <w:sz w:val="20"/>
          <w:szCs w:val="20"/>
          <w:shd w:val="clear" w:color="auto" w:fill="FFFFFF"/>
        </w:rPr>
        <w:t>Uttarakhand</w:t>
      </w:r>
      <w:proofErr w:type="spellEnd"/>
      <w:r>
        <w:rPr>
          <w:rFonts w:ascii="Arial" w:hAnsi="Arial" w:cs="Arial"/>
          <w:color w:val="222222"/>
          <w:sz w:val="20"/>
          <w:szCs w:val="20"/>
          <w:shd w:val="clear" w:color="auto" w:fill="FFFFFF"/>
        </w:rPr>
        <w:t>, India. </w:t>
      </w:r>
      <w:r>
        <w:rPr>
          <w:rFonts w:ascii="Arial" w:hAnsi="Arial" w:cs="Arial"/>
          <w:i/>
          <w:iCs/>
          <w:color w:val="222222"/>
          <w:sz w:val="20"/>
          <w:szCs w:val="20"/>
          <w:shd w:val="clear" w:color="auto" w:fill="FFFFFF"/>
        </w:rPr>
        <w:t>The Journal of Plant Science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(3), 523-536.</w:t>
      </w:r>
    </w:p>
    <w:p w:rsidR="00EE262F" w:rsidRDefault="00EE262F" w:rsidP="00EE262F">
      <w:pPr>
        <w:ind w:left="720" w:hanging="72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Khatun</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Khatun</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Ame</w:t>
      </w:r>
      <w:proofErr w:type="spellEnd"/>
      <w:r>
        <w:rPr>
          <w:rFonts w:ascii="Arial" w:hAnsi="Arial" w:cs="Arial"/>
          <w:color w:val="222222"/>
          <w:sz w:val="20"/>
          <w:szCs w:val="20"/>
          <w:shd w:val="clear" w:color="auto" w:fill="FFFFFF"/>
        </w:rPr>
        <w:t xml:space="preserve">, M. A., </w:t>
      </w:r>
      <w:proofErr w:type="spellStart"/>
      <w:r>
        <w:rPr>
          <w:rFonts w:ascii="Arial" w:hAnsi="Arial" w:cs="Arial"/>
          <w:color w:val="222222"/>
          <w:sz w:val="20"/>
          <w:szCs w:val="20"/>
          <w:shd w:val="clear" w:color="auto" w:fill="FFFFFF"/>
        </w:rPr>
        <w:t>Sumona</w:t>
      </w:r>
      <w:proofErr w:type="spellEnd"/>
      <w:r>
        <w:rPr>
          <w:rFonts w:ascii="Arial" w:hAnsi="Arial" w:cs="Arial"/>
          <w:color w:val="222222"/>
          <w:sz w:val="20"/>
          <w:szCs w:val="20"/>
          <w:shd w:val="clear" w:color="auto" w:fill="FFFFFF"/>
        </w:rPr>
        <w:t xml:space="preserve">, S. A., </w:t>
      </w:r>
      <w:proofErr w:type="spellStart"/>
      <w:r>
        <w:rPr>
          <w:rFonts w:ascii="Arial" w:hAnsi="Arial" w:cs="Arial"/>
          <w:color w:val="222222"/>
          <w:sz w:val="20"/>
          <w:szCs w:val="20"/>
          <w:shd w:val="clear" w:color="auto" w:fill="FFFFFF"/>
        </w:rPr>
        <w:t>Easmin</w:t>
      </w:r>
      <w:proofErr w:type="spellEnd"/>
      <w:r>
        <w:rPr>
          <w:rFonts w:ascii="Arial" w:hAnsi="Arial" w:cs="Arial"/>
          <w:color w:val="222222"/>
          <w:sz w:val="20"/>
          <w:szCs w:val="20"/>
          <w:shd w:val="clear" w:color="auto" w:fill="FFFFFF"/>
        </w:rPr>
        <w:t xml:space="preserve">, F., &amp; Rahman, A. M. (2022). Medicinal plants used by the local peoples at </w:t>
      </w:r>
      <w:proofErr w:type="spellStart"/>
      <w:r>
        <w:rPr>
          <w:rFonts w:ascii="Arial" w:hAnsi="Arial" w:cs="Arial"/>
          <w:color w:val="222222"/>
          <w:sz w:val="20"/>
          <w:szCs w:val="20"/>
          <w:shd w:val="clear" w:color="auto" w:fill="FFFFFF"/>
        </w:rPr>
        <w:t>sadarupazila</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Sirajganj</w:t>
      </w:r>
      <w:proofErr w:type="spellEnd"/>
      <w:r>
        <w:rPr>
          <w:rFonts w:ascii="Arial" w:hAnsi="Arial" w:cs="Arial"/>
          <w:color w:val="222222"/>
          <w:sz w:val="20"/>
          <w:szCs w:val="20"/>
          <w:shd w:val="clear" w:color="auto" w:fill="FFFFFF"/>
        </w:rPr>
        <w:t xml:space="preserve"> District, Bangladesh. </w:t>
      </w:r>
      <w:r>
        <w:rPr>
          <w:rFonts w:ascii="Arial" w:hAnsi="Arial" w:cs="Arial"/>
          <w:i/>
          <w:iCs/>
          <w:color w:val="222222"/>
          <w:sz w:val="20"/>
          <w:szCs w:val="20"/>
          <w:shd w:val="clear" w:color="auto" w:fill="FFFFFF"/>
        </w:rPr>
        <w:t>GSC Biological and Pharmaceutical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(3), 309-328.</w:t>
      </w:r>
    </w:p>
    <w:p w:rsidR="00EE262F" w:rsidRDefault="00EE262F" w:rsidP="00EE262F">
      <w:pPr>
        <w:ind w:left="567" w:hanging="567"/>
        <w:jc w:val="both"/>
        <w:rPr>
          <w:rFonts w:ascii="Arial" w:hAnsi="Arial" w:cs="Arial"/>
          <w:sz w:val="20"/>
          <w:szCs w:val="20"/>
          <w:shd w:val="clear" w:color="auto" w:fill="FFFFFF"/>
        </w:rPr>
      </w:pPr>
      <w:proofErr w:type="spellStart"/>
      <w:r>
        <w:rPr>
          <w:rFonts w:ascii="Arial" w:hAnsi="Arial" w:cs="Arial"/>
          <w:sz w:val="20"/>
          <w:szCs w:val="20"/>
          <w:shd w:val="clear" w:color="auto" w:fill="FFFFFF"/>
        </w:rPr>
        <w:t>Asadu</w:t>
      </w:r>
      <w:proofErr w:type="spellEnd"/>
      <w:r>
        <w:rPr>
          <w:rFonts w:ascii="Arial" w:hAnsi="Arial" w:cs="Arial"/>
          <w:sz w:val="20"/>
          <w:szCs w:val="20"/>
          <w:shd w:val="clear" w:color="auto" w:fill="FFFFFF"/>
        </w:rPr>
        <w:t xml:space="preserve">, C. L.,  </w:t>
      </w:r>
      <w:proofErr w:type="spellStart"/>
      <w:r>
        <w:rPr>
          <w:rFonts w:ascii="Arial" w:hAnsi="Arial" w:cs="Arial"/>
          <w:sz w:val="20"/>
          <w:szCs w:val="20"/>
          <w:shd w:val="clear" w:color="auto" w:fill="FFFFFF"/>
        </w:rPr>
        <w:t>Ugwu</w:t>
      </w:r>
      <w:proofErr w:type="spellEnd"/>
      <w:r>
        <w:rPr>
          <w:rFonts w:ascii="Arial" w:hAnsi="Arial" w:cs="Arial"/>
          <w:sz w:val="20"/>
          <w:szCs w:val="20"/>
          <w:shd w:val="clear" w:color="auto" w:fill="FFFFFF"/>
        </w:rPr>
        <w:t xml:space="preserve">, O. C., </w:t>
      </w:r>
      <w:proofErr w:type="spellStart"/>
      <w:r>
        <w:rPr>
          <w:rFonts w:ascii="Arial" w:hAnsi="Arial" w:cs="Arial"/>
          <w:sz w:val="20"/>
          <w:szCs w:val="20"/>
          <w:shd w:val="clear" w:color="auto" w:fill="FFFFFF"/>
        </w:rPr>
        <w:t>Uroko</w:t>
      </w:r>
      <w:proofErr w:type="spellEnd"/>
      <w:r>
        <w:rPr>
          <w:rFonts w:ascii="Arial" w:hAnsi="Arial" w:cs="Arial"/>
          <w:sz w:val="20"/>
          <w:szCs w:val="20"/>
          <w:shd w:val="clear" w:color="auto" w:fill="FFFFFF"/>
        </w:rPr>
        <w:t xml:space="preserve">, R. I., </w:t>
      </w:r>
      <w:proofErr w:type="spellStart"/>
      <w:r>
        <w:rPr>
          <w:rFonts w:ascii="Arial" w:hAnsi="Arial" w:cs="Arial"/>
          <w:sz w:val="20"/>
          <w:szCs w:val="20"/>
          <w:shd w:val="clear" w:color="auto" w:fill="FFFFFF"/>
        </w:rPr>
        <w:t>Eze</w:t>
      </w:r>
      <w:proofErr w:type="spellEnd"/>
      <w:r>
        <w:rPr>
          <w:rFonts w:ascii="Arial" w:hAnsi="Arial" w:cs="Arial"/>
          <w:sz w:val="20"/>
          <w:szCs w:val="20"/>
          <w:shd w:val="clear" w:color="auto" w:fill="FFFFFF"/>
        </w:rPr>
        <w:t xml:space="preserve">, C. P., </w:t>
      </w:r>
      <w:proofErr w:type="spellStart"/>
      <w:r>
        <w:rPr>
          <w:rFonts w:ascii="Arial" w:hAnsi="Arial" w:cs="Arial"/>
          <w:sz w:val="20"/>
          <w:szCs w:val="20"/>
          <w:shd w:val="clear" w:color="auto" w:fill="FFFFFF"/>
        </w:rPr>
        <w:t>Umeakuana</w:t>
      </w:r>
      <w:proofErr w:type="spellEnd"/>
      <w:r>
        <w:rPr>
          <w:rFonts w:ascii="Arial" w:hAnsi="Arial" w:cs="Arial"/>
          <w:sz w:val="20"/>
          <w:szCs w:val="20"/>
          <w:shd w:val="clear" w:color="auto" w:fill="FFFFFF"/>
        </w:rPr>
        <w:t xml:space="preserve">, C.D., </w:t>
      </w:r>
      <w:proofErr w:type="spellStart"/>
      <w:r>
        <w:rPr>
          <w:rFonts w:ascii="Arial" w:hAnsi="Arial" w:cs="Arial"/>
          <w:sz w:val="20"/>
          <w:szCs w:val="20"/>
          <w:shd w:val="clear" w:color="auto" w:fill="FFFFFF"/>
        </w:rPr>
        <w:t>Uzoefuna</w:t>
      </w:r>
      <w:proofErr w:type="spellEnd"/>
      <w:r>
        <w:rPr>
          <w:rFonts w:ascii="Arial" w:hAnsi="Arial" w:cs="Arial"/>
          <w:sz w:val="20"/>
          <w:szCs w:val="20"/>
          <w:shd w:val="clear" w:color="auto" w:fill="FFFFFF"/>
        </w:rPr>
        <w:t xml:space="preserve">, C.C., </w:t>
      </w:r>
      <w:proofErr w:type="spellStart"/>
      <w:r>
        <w:rPr>
          <w:rFonts w:ascii="Arial" w:hAnsi="Arial" w:cs="Arial"/>
          <w:sz w:val="20"/>
          <w:szCs w:val="20"/>
          <w:shd w:val="clear" w:color="auto" w:fill="FFFFFF"/>
        </w:rPr>
        <w:t>Ogbonna</w:t>
      </w:r>
      <w:proofErr w:type="spellEnd"/>
      <w:r>
        <w:rPr>
          <w:rFonts w:ascii="Arial" w:hAnsi="Arial" w:cs="Arial"/>
          <w:sz w:val="20"/>
          <w:szCs w:val="20"/>
          <w:shd w:val="clear" w:color="auto" w:fill="FFFFFF"/>
        </w:rPr>
        <w:t xml:space="preserve">, C.G., </w:t>
      </w:r>
      <w:proofErr w:type="spellStart"/>
      <w:r>
        <w:rPr>
          <w:rFonts w:ascii="Arial" w:hAnsi="Arial" w:cs="Arial"/>
          <w:sz w:val="20"/>
          <w:szCs w:val="20"/>
          <w:shd w:val="clear" w:color="auto" w:fill="FFFFFF"/>
        </w:rPr>
        <w:t>Offia</w:t>
      </w:r>
      <w:proofErr w:type="spellEnd"/>
      <w:r>
        <w:rPr>
          <w:rFonts w:ascii="Arial" w:hAnsi="Arial" w:cs="Arial"/>
          <w:sz w:val="20"/>
          <w:szCs w:val="20"/>
          <w:shd w:val="clear" w:color="auto" w:fill="FFFFFF"/>
        </w:rPr>
        <w:t xml:space="preserve">, O. R., </w:t>
      </w:r>
      <w:proofErr w:type="spellStart"/>
      <w:r>
        <w:rPr>
          <w:rFonts w:ascii="Arial" w:hAnsi="Arial" w:cs="Arial"/>
          <w:sz w:val="20"/>
          <w:szCs w:val="20"/>
          <w:shd w:val="clear" w:color="auto" w:fill="FFFFFF"/>
        </w:rPr>
        <w:t>Idokoja</w:t>
      </w:r>
      <w:proofErr w:type="spellEnd"/>
      <w:r>
        <w:rPr>
          <w:rFonts w:ascii="Arial" w:hAnsi="Arial" w:cs="Arial"/>
          <w:sz w:val="20"/>
          <w:szCs w:val="20"/>
          <w:shd w:val="clear" w:color="auto" w:fill="FFFFFF"/>
        </w:rPr>
        <w:t xml:space="preserve">, L. O. Peter, P, O., and </w:t>
      </w:r>
      <w:proofErr w:type="spellStart"/>
      <w:r>
        <w:rPr>
          <w:rFonts w:ascii="Arial" w:hAnsi="Arial" w:cs="Arial"/>
          <w:sz w:val="20"/>
          <w:szCs w:val="20"/>
          <w:shd w:val="clear" w:color="auto" w:fill="FFFFFF"/>
        </w:rPr>
        <w:t>Anosike</w:t>
      </w:r>
      <w:proofErr w:type="spellEnd"/>
      <w:r>
        <w:rPr>
          <w:rFonts w:ascii="Arial" w:hAnsi="Arial" w:cs="Arial"/>
          <w:sz w:val="20"/>
          <w:szCs w:val="20"/>
          <w:shd w:val="clear" w:color="auto" w:fill="FFFFFF"/>
        </w:rPr>
        <w:t>, C.A (2025).  “Antioxidant and Anti-</w:t>
      </w:r>
      <w:proofErr w:type="spellStart"/>
      <w:r>
        <w:rPr>
          <w:rFonts w:ascii="Arial" w:hAnsi="Arial" w:cs="Arial"/>
          <w:sz w:val="20"/>
          <w:szCs w:val="20"/>
          <w:shd w:val="clear" w:color="auto" w:fill="FFFFFF"/>
        </w:rPr>
        <w:t>Ulcerogenic</w:t>
      </w:r>
      <w:proofErr w:type="spellEnd"/>
      <w:r>
        <w:rPr>
          <w:rFonts w:ascii="Arial" w:hAnsi="Arial" w:cs="Arial"/>
          <w:sz w:val="20"/>
          <w:szCs w:val="20"/>
          <w:shd w:val="clear" w:color="auto" w:fill="FFFFFF"/>
        </w:rPr>
        <w:t xml:space="preserve"> effect of Chloroform and Methanol Partitioned Leave Extract of </w:t>
      </w:r>
      <w:proofErr w:type="spellStart"/>
      <w:r>
        <w:rPr>
          <w:rFonts w:ascii="Arial" w:hAnsi="Arial" w:cs="Arial"/>
          <w:sz w:val="20"/>
          <w:szCs w:val="20"/>
          <w:shd w:val="clear" w:color="auto" w:fill="FFFFFF"/>
        </w:rPr>
        <w:t>HarunganaMadagascariensis</w:t>
      </w:r>
      <w:proofErr w:type="spellEnd"/>
      <w:r>
        <w:rPr>
          <w:rFonts w:ascii="Arial" w:hAnsi="Arial" w:cs="Arial"/>
          <w:sz w:val="20"/>
          <w:szCs w:val="20"/>
          <w:shd w:val="clear" w:color="auto" w:fill="FFFFFF"/>
        </w:rPr>
        <w:t xml:space="preserve"> on </w:t>
      </w:r>
      <w:proofErr w:type="spellStart"/>
      <w:r>
        <w:rPr>
          <w:rFonts w:ascii="Arial" w:hAnsi="Arial" w:cs="Arial"/>
          <w:sz w:val="20"/>
          <w:szCs w:val="20"/>
          <w:shd w:val="clear" w:color="auto" w:fill="FFFFFF"/>
        </w:rPr>
        <w:t>Wistar</w:t>
      </w:r>
      <w:proofErr w:type="spellEnd"/>
      <w:r>
        <w:rPr>
          <w:rFonts w:ascii="Arial" w:hAnsi="Arial" w:cs="Arial"/>
          <w:sz w:val="20"/>
          <w:szCs w:val="20"/>
          <w:shd w:val="clear" w:color="auto" w:fill="FFFFFF"/>
        </w:rPr>
        <w:t xml:space="preserve"> Albino Rats: A Comparative Analysis”. South </w:t>
      </w:r>
      <w:r>
        <w:rPr>
          <w:rFonts w:ascii="Arial" w:hAnsi="Arial" w:cs="Arial"/>
          <w:i/>
          <w:sz w:val="20"/>
          <w:szCs w:val="20"/>
          <w:shd w:val="clear" w:color="auto" w:fill="FFFFFF"/>
        </w:rPr>
        <w:t>Asian Research Journal of Natural Products</w:t>
      </w:r>
      <w:r>
        <w:rPr>
          <w:rFonts w:ascii="Arial" w:hAnsi="Arial" w:cs="Arial"/>
          <w:sz w:val="20"/>
          <w:szCs w:val="20"/>
          <w:shd w:val="clear" w:color="auto" w:fill="FFFFFF"/>
        </w:rPr>
        <w:t xml:space="preserve"> 8(1): 136-144</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Roy, B. C., Chauhan, J., Hossain, E., Mishra, S., </w:t>
      </w:r>
      <w:proofErr w:type="spellStart"/>
      <w:r>
        <w:rPr>
          <w:rFonts w:ascii="Arial" w:hAnsi="Arial" w:cs="Arial"/>
          <w:color w:val="222222"/>
          <w:sz w:val="20"/>
          <w:szCs w:val="20"/>
          <w:shd w:val="clear" w:color="auto" w:fill="FFFFFF"/>
        </w:rPr>
        <w:t>Jaiswal</w:t>
      </w:r>
      <w:proofErr w:type="spellEnd"/>
      <w:r>
        <w:rPr>
          <w:rFonts w:ascii="Arial" w:hAnsi="Arial" w:cs="Arial"/>
          <w:color w:val="222222"/>
          <w:sz w:val="20"/>
          <w:szCs w:val="20"/>
          <w:shd w:val="clear" w:color="auto" w:fill="FFFFFF"/>
        </w:rPr>
        <w:t>, A., &amp; Thakur, A. K. (2025). Medicinal Trees of India, Volume 1. </w:t>
      </w:r>
      <w:proofErr w:type="spellStart"/>
      <w:r>
        <w:rPr>
          <w:rFonts w:ascii="Arial" w:hAnsi="Arial" w:cs="Arial"/>
          <w:i/>
          <w:iCs/>
          <w:color w:val="222222"/>
          <w:sz w:val="20"/>
          <w:szCs w:val="20"/>
          <w:shd w:val="clear" w:color="auto" w:fill="FFFFFF"/>
        </w:rPr>
        <w:t>Ambika</w:t>
      </w:r>
      <w:proofErr w:type="spellEnd"/>
      <w:r>
        <w:rPr>
          <w:rFonts w:ascii="Arial" w:hAnsi="Arial" w:cs="Arial"/>
          <w:i/>
          <w:iCs/>
          <w:color w:val="222222"/>
          <w:sz w:val="20"/>
          <w:szCs w:val="20"/>
          <w:shd w:val="clear" w:color="auto" w:fill="FFFFFF"/>
        </w:rPr>
        <w:t xml:space="preserve"> Prasad Research Foundation, Odisha, India. Editors</w:t>
      </w:r>
      <w:r>
        <w:rPr>
          <w:rFonts w:ascii="Arial" w:hAnsi="Arial" w:cs="Arial"/>
          <w:color w:val="222222"/>
          <w:sz w:val="20"/>
          <w:szCs w:val="20"/>
          <w:shd w:val="clear" w:color="auto" w:fill="FFFFFF"/>
        </w:rPr>
        <w:t>, 4.</w:t>
      </w:r>
    </w:p>
    <w:p w:rsidR="00EE262F" w:rsidRDefault="00EE262F" w:rsidP="00EE262F">
      <w:pPr>
        <w:spacing w:after="0" w:line="240" w:lineRule="auto"/>
        <w:ind w:left="1440" w:hanging="1440"/>
        <w:jc w:val="both"/>
        <w:rPr>
          <w:rFonts w:ascii="Arial" w:eastAsia="Times New Roman" w:hAnsi="Arial" w:cs="Arial"/>
          <w:sz w:val="20"/>
          <w:szCs w:val="20"/>
        </w:rPr>
      </w:pPr>
      <w:r>
        <w:rPr>
          <w:rFonts w:ascii="Arial" w:eastAsia="Times New Roman" w:hAnsi="Arial" w:cs="Arial"/>
          <w:sz w:val="20"/>
          <w:szCs w:val="20"/>
        </w:rPr>
        <w:t xml:space="preserve">Winter, C. A., </w:t>
      </w:r>
      <w:proofErr w:type="spellStart"/>
      <w:r>
        <w:rPr>
          <w:rFonts w:ascii="Arial" w:eastAsia="Times New Roman" w:hAnsi="Arial" w:cs="Arial"/>
          <w:sz w:val="20"/>
          <w:szCs w:val="20"/>
        </w:rPr>
        <w:t>Risley</w:t>
      </w:r>
      <w:proofErr w:type="spellEnd"/>
      <w:r>
        <w:rPr>
          <w:rFonts w:ascii="Arial" w:eastAsia="Times New Roman" w:hAnsi="Arial" w:cs="Arial"/>
          <w:sz w:val="20"/>
          <w:szCs w:val="20"/>
        </w:rPr>
        <w:t xml:space="preserve">, E. A. and </w:t>
      </w:r>
      <w:proofErr w:type="spellStart"/>
      <w:r>
        <w:rPr>
          <w:rFonts w:ascii="Arial" w:eastAsia="Times New Roman" w:hAnsi="Arial" w:cs="Arial"/>
          <w:sz w:val="20"/>
          <w:szCs w:val="20"/>
        </w:rPr>
        <w:t>Nuss</w:t>
      </w:r>
      <w:proofErr w:type="spellEnd"/>
      <w:r>
        <w:rPr>
          <w:rFonts w:ascii="Arial" w:eastAsia="Times New Roman" w:hAnsi="Arial" w:cs="Arial"/>
          <w:sz w:val="20"/>
          <w:szCs w:val="20"/>
        </w:rPr>
        <w:t xml:space="preserve">, G. W. (1962). Carrageenan induced oedema in hind paw of the rats as an assay of anti-inflammatory drugs. </w:t>
      </w:r>
      <w:r>
        <w:rPr>
          <w:rFonts w:ascii="Arial" w:eastAsia="Times New Roman" w:hAnsi="Arial" w:cs="Arial"/>
          <w:i/>
          <w:sz w:val="20"/>
          <w:szCs w:val="20"/>
        </w:rPr>
        <w:t>Proceedings of the Society for Experimental Biology and Medicine</w:t>
      </w:r>
      <w:r>
        <w:rPr>
          <w:rFonts w:ascii="Arial" w:eastAsia="Times New Roman" w:hAnsi="Arial" w:cs="Arial"/>
          <w:sz w:val="20"/>
          <w:szCs w:val="20"/>
        </w:rPr>
        <w:t xml:space="preserve">, </w:t>
      </w:r>
      <w:r>
        <w:rPr>
          <w:rFonts w:ascii="Arial" w:eastAsia="Times New Roman" w:hAnsi="Arial" w:cs="Arial"/>
          <w:b/>
          <w:sz w:val="20"/>
          <w:szCs w:val="20"/>
        </w:rPr>
        <w:t>111</w:t>
      </w:r>
      <w:r>
        <w:rPr>
          <w:rFonts w:ascii="Arial" w:eastAsia="Times New Roman" w:hAnsi="Arial" w:cs="Arial"/>
          <w:sz w:val="20"/>
          <w:szCs w:val="20"/>
        </w:rPr>
        <w:t>: 544-547.</w:t>
      </w:r>
    </w:p>
    <w:p w:rsidR="00EE262F" w:rsidRDefault="00EE262F" w:rsidP="00EE262F">
      <w:pPr>
        <w:spacing w:after="0" w:line="240" w:lineRule="auto"/>
        <w:ind w:left="1440" w:hanging="1440"/>
        <w:jc w:val="both"/>
        <w:rPr>
          <w:rFonts w:ascii="Arial" w:eastAsia="Times New Roman" w:hAnsi="Arial" w:cs="Arial"/>
          <w:sz w:val="20"/>
          <w:szCs w:val="20"/>
        </w:rPr>
      </w:pPr>
    </w:p>
    <w:p w:rsidR="00EE262F" w:rsidRDefault="00EE262F" w:rsidP="00EE262F">
      <w:pPr>
        <w:ind w:left="567" w:hanging="567"/>
        <w:jc w:val="both"/>
        <w:rPr>
          <w:rFonts w:ascii="Arial" w:hAnsi="Arial" w:cs="Arial"/>
          <w:sz w:val="20"/>
          <w:szCs w:val="20"/>
        </w:rPr>
      </w:pPr>
      <w:proofErr w:type="spellStart"/>
      <w:r>
        <w:rPr>
          <w:rFonts w:ascii="Arial" w:hAnsi="Arial" w:cs="Arial"/>
          <w:sz w:val="20"/>
          <w:szCs w:val="20"/>
        </w:rPr>
        <w:t>Koster</w:t>
      </w:r>
      <w:proofErr w:type="spellEnd"/>
      <w:r>
        <w:rPr>
          <w:rFonts w:ascii="Arial" w:hAnsi="Arial" w:cs="Arial"/>
          <w:sz w:val="20"/>
          <w:szCs w:val="20"/>
        </w:rPr>
        <w:t xml:space="preserve">, R., Anderson, M. and </w:t>
      </w:r>
      <w:proofErr w:type="spellStart"/>
      <w:r>
        <w:rPr>
          <w:rFonts w:ascii="Arial" w:hAnsi="Arial" w:cs="Arial"/>
          <w:sz w:val="20"/>
          <w:szCs w:val="20"/>
        </w:rPr>
        <w:t>Debeer</w:t>
      </w:r>
      <w:proofErr w:type="spellEnd"/>
      <w:r>
        <w:rPr>
          <w:rFonts w:ascii="Arial" w:hAnsi="Arial" w:cs="Arial"/>
          <w:sz w:val="20"/>
          <w:szCs w:val="20"/>
        </w:rPr>
        <w:t xml:space="preserve">, E. J. (1959). Acetic acid </w:t>
      </w:r>
      <w:proofErr w:type="spellStart"/>
      <w:r>
        <w:rPr>
          <w:rFonts w:ascii="Arial" w:hAnsi="Arial" w:cs="Arial"/>
          <w:sz w:val="20"/>
          <w:szCs w:val="20"/>
        </w:rPr>
        <w:t>screening.</w:t>
      </w:r>
      <w:r>
        <w:rPr>
          <w:rFonts w:ascii="Arial" w:hAnsi="Arial" w:cs="Arial"/>
          <w:i/>
          <w:iCs/>
          <w:sz w:val="20"/>
          <w:szCs w:val="20"/>
        </w:rPr>
        <w:t>Federation</w:t>
      </w:r>
      <w:proofErr w:type="spellEnd"/>
      <w:r>
        <w:rPr>
          <w:rFonts w:ascii="Arial" w:hAnsi="Arial" w:cs="Arial"/>
          <w:i/>
          <w:iCs/>
          <w:sz w:val="20"/>
          <w:szCs w:val="20"/>
        </w:rPr>
        <w:t xml:space="preserve"> Proceedings</w:t>
      </w:r>
      <w:r>
        <w:rPr>
          <w:rFonts w:ascii="Arial" w:hAnsi="Arial" w:cs="Arial"/>
          <w:sz w:val="20"/>
          <w:szCs w:val="20"/>
        </w:rPr>
        <w:t xml:space="preserve">, </w:t>
      </w:r>
      <w:r>
        <w:rPr>
          <w:rFonts w:ascii="Arial" w:hAnsi="Arial" w:cs="Arial"/>
          <w:b/>
          <w:bCs/>
          <w:sz w:val="20"/>
          <w:szCs w:val="20"/>
        </w:rPr>
        <w:t>18</w:t>
      </w:r>
      <w:r>
        <w:rPr>
          <w:rFonts w:ascii="Arial" w:hAnsi="Arial" w:cs="Arial"/>
          <w:sz w:val="20"/>
          <w:szCs w:val="20"/>
        </w:rPr>
        <w:t>: 418-420</w:t>
      </w:r>
    </w:p>
    <w:p w:rsidR="00EE262F" w:rsidRDefault="00EE262F" w:rsidP="00EE262F">
      <w:pPr>
        <w:ind w:left="720" w:hanging="720"/>
        <w:jc w:val="both"/>
        <w:rPr>
          <w:rFonts w:ascii="Arial" w:hAnsi="Arial" w:cs="Arial"/>
          <w:sz w:val="20"/>
          <w:szCs w:val="20"/>
        </w:rPr>
      </w:pPr>
      <w:r>
        <w:rPr>
          <w:rFonts w:ascii="Arial" w:hAnsi="Arial" w:cs="Arial"/>
          <w:sz w:val="20"/>
          <w:szCs w:val="20"/>
        </w:rPr>
        <w:t xml:space="preserve">Taber, R. I., Greenhouse, D. D., </w:t>
      </w:r>
      <w:proofErr w:type="spellStart"/>
      <w:r>
        <w:rPr>
          <w:rFonts w:ascii="Arial" w:hAnsi="Arial" w:cs="Arial"/>
          <w:sz w:val="20"/>
          <w:szCs w:val="20"/>
        </w:rPr>
        <w:t>Rendel</w:t>
      </w:r>
      <w:proofErr w:type="spellEnd"/>
      <w:r>
        <w:rPr>
          <w:rFonts w:ascii="Arial" w:hAnsi="Arial" w:cs="Arial"/>
          <w:sz w:val="20"/>
          <w:szCs w:val="20"/>
        </w:rPr>
        <w:t xml:space="preserve">, J. K. and Irwin, S. (1969). Agonist and antagonist interactions of </w:t>
      </w:r>
      <w:proofErr w:type="spellStart"/>
      <w:r>
        <w:rPr>
          <w:rFonts w:ascii="Arial" w:hAnsi="Arial" w:cs="Arial"/>
          <w:sz w:val="20"/>
          <w:szCs w:val="20"/>
        </w:rPr>
        <w:t>opiods</w:t>
      </w:r>
      <w:proofErr w:type="spellEnd"/>
      <w:r>
        <w:rPr>
          <w:rFonts w:ascii="Arial" w:hAnsi="Arial" w:cs="Arial"/>
          <w:sz w:val="20"/>
          <w:szCs w:val="20"/>
        </w:rPr>
        <w:t xml:space="preserve"> on acetic acid induced abdominal stretching in mice. </w:t>
      </w:r>
      <w:r>
        <w:rPr>
          <w:rFonts w:ascii="Arial" w:hAnsi="Arial" w:cs="Arial"/>
          <w:i/>
          <w:iCs/>
          <w:sz w:val="20"/>
          <w:szCs w:val="20"/>
        </w:rPr>
        <w:t>Journal of Pharmacology and Exponential Therapy</w:t>
      </w:r>
      <w:r>
        <w:rPr>
          <w:rFonts w:ascii="Arial" w:hAnsi="Arial" w:cs="Arial"/>
          <w:sz w:val="20"/>
          <w:szCs w:val="20"/>
        </w:rPr>
        <w:t xml:space="preserve">, </w:t>
      </w:r>
      <w:r>
        <w:rPr>
          <w:rFonts w:ascii="Arial" w:hAnsi="Arial" w:cs="Arial"/>
          <w:b/>
          <w:bCs/>
          <w:sz w:val="20"/>
          <w:szCs w:val="20"/>
        </w:rPr>
        <w:t>169</w:t>
      </w:r>
      <w:r>
        <w:rPr>
          <w:rFonts w:ascii="Arial" w:hAnsi="Arial" w:cs="Arial"/>
          <w:sz w:val="20"/>
          <w:szCs w:val="20"/>
        </w:rPr>
        <w:t>: 29-37.</w:t>
      </w:r>
    </w:p>
    <w:p w:rsidR="00EE262F" w:rsidRDefault="00EE262F" w:rsidP="00EE262F">
      <w:pPr>
        <w:ind w:left="567" w:hanging="567"/>
        <w:jc w:val="both"/>
        <w:rPr>
          <w:rFonts w:ascii="Arial" w:eastAsia="Times New Roman" w:hAnsi="Arial" w:cs="Arial"/>
          <w:sz w:val="20"/>
          <w:szCs w:val="20"/>
        </w:rPr>
      </w:pPr>
      <w:proofErr w:type="spellStart"/>
      <w:r>
        <w:rPr>
          <w:rFonts w:ascii="Arial" w:eastAsia="Times New Roman" w:hAnsi="Arial" w:cs="Arial"/>
          <w:sz w:val="20"/>
          <w:szCs w:val="20"/>
        </w:rPr>
        <w:t>Rebeiro</w:t>
      </w:r>
      <w:proofErr w:type="spellEnd"/>
      <w:r>
        <w:rPr>
          <w:rFonts w:ascii="Arial" w:eastAsia="Times New Roman" w:hAnsi="Arial" w:cs="Arial"/>
          <w:sz w:val="20"/>
          <w:szCs w:val="20"/>
        </w:rPr>
        <w:t xml:space="preserve">, R.A., Flores, C. A., Cunha, F. Q. and Ferreira, S.H. (1991). IL-8 causes </w:t>
      </w:r>
      <w:r>
        <w:rPr>
          <w:rFonts w:ascii="Arial" w:eastAsia="Times New Roman" w:hAnsi="Arial" w:cs="Arial"/>
          <w:i/>
          <w:sz w:val="20"/>
          <w:szCs w:val="20"/>
        </w:rPr>
        <w:t>in vivo</w:t>
      </w:r>
      <w:r>
        <w:rPr>
          <w:rFonts w:ascii="Arial" w:eastAsia="Times New Roman" w:hAnsi="Arial" w:cs="Arial"/>
          <w:sz w:val="20"/>
          <w:szCs w:val="20"/>
        </w:rPr>
        <w:t xml:space="preserve"> neutrophil migration by a cell dependent mechanism. </w:t>
      </w:r>
      <w:r>
        <w:rPr>
          <w:rFonts w:ascii="Arial" w:eastAsia="Times New Roman" w:hAnsi="Arial" w:cs="Arial"/>
          <w:i/>
          <w:sz w:val="20"/>
          <w:szCs w:val="20"/>
        </w:rPr>
        <w:t>Immunology</w:t>
      </w:r>
      <w:r>
        <w:rPr>
          <w:rFonts w:ascii="Arial" w:eastAsia="Times New Roman" w:hAnsi="Arial" w:cs="Arial"/>
          <w:sz w:val="20"/>
          <w:szCs w:val="20"/>
        </w:rPr>
        <w:t xml:space="preserve">, </w:t>
      </w:r>
      <w:r>
        <w:rPr>
          <w:rFonts w:ascii="Arial" w:eastAsia="Times New Roman" w:hAnsi="Arial" w:cs="Arial"/>
          <w:b/>
          <w:sz w:val="20"/>
          <w:szCs w:val="20"/>
        </w:rPr>
        <w:t>73</w:t>
      </w:r>
      <w:r>
        <w:rPr>
          <w:rFonts w:ascii="Arial" w:eastAsia="Times New Roman" w:hAnsi="Arial" w:cs="Arial"/>
          <w:sz w:val="20"/>
          <w:szCs w:val="20"/>
        </w:rPr>
        <w:t>:472-477</w:t>
      </w:r>
    </w:p>
    <w:p w:rsidR="00EE262F" w:rsidRDefault="00EE262F" w:rsidP="00EE262F">
      <w:pPr>
        <w:spacing w:after="0" w:line="240" w:lineRule="auto"/>
        <w:ind w:left="567" w:hanging="567"/>
        <w:jc w:val="both"/>
        <w:rPr>
          <w:rFonts w:ascii="Arial" w:eastAsia="Times New Roman" w:hAnsi="Arial" w:cs="Arial"/>
          <w:sz w:val="20"/>
          <w:szCs w:val="20"/>
        </w:rPr>
      </w:pPr>
      <w:proofErr w:type="spellStart"/>
      <w:r>
        <w:rPr>
          <w:rFonts w:ascii="Arial" w:eastAsia="Times New Roman" w:hAnsi="Arial" w:cs="Arial"/>
          <w:sz w:val="20"/>
          <w:szCs w:val="20"/>
        </w:rPr>
        <w:t>Mosquera</w:t>
      </w:r>
      <w:proofErr w:type="spellEnd"/>
      <w:r>
        <w:rPr>
          <w:rFonts w:ascii="Arial" w:eastAsia="Times New Roman" w:hAnsi="Arial" w:cs="Arial"/>
          <w:sz w:val="20"/>
          <w:szCs w:val="20"/>
        </w:rPr>
        <w:t xml:space="preserve">, D.M.G., Ortega, Y.H., </w:t>
      </w:r>
      <w:proofErr w:type="spellStart"/>
      <w:r>
        <w:rPr>
          <w:rFonts w:ascii="Arial" w:eastAsia="Times New Roman" w:hAnsi="Arial" w:cs="Arial"/>
          <w:sz w:val="20"/>
          <w:szCs w:val="20"/>
        </w:rPr>
        <w:t>Kilonda</w:t>
      </w:r>
      <w:proofErr w:type="spellEnd"/>
      <w:r>
        <w:rPr>
          <w:rFonts w:ascii="Arial" w:eastAsia="Times New Roman" w:hAnsi="Arial" w:cs="Arial"/>
          <w:sz w:val="20"/>
          <w:szCs w:val="20"/>
        </w:rPr>
        <w:t xml:space="preserve">, A., </w:t>
      </w:r>
      <w:proofErr w:type="spellStart"/>
      <w:r>
        <w:rPr>
          <w:rFonts w:ascii="Arial" w:eastAsia="Times New Roman" w:hAnsi="Arial" w:cs="Arial"/>
          <w:sz w:val="20"/>
          <w:szCs w:val="20"/>
        </w:rPr>
        <w:t>Dehaen</w:t>
      </w:r>
      <w:proofErr w:type="spellEnd"/>
      <w:r>
        <w:rPr>
          <w:rFonts w:ascii="Arial" w:eastAsia="Times New Roman" w:hAnsi="Arial" w:cs="Arial"/>
          <w:sz w:val="20"/>
          <w:szCs w:val="20"/>
        </w:rPr>
        <w:t xml:space="preserve">, V., </w:t>
      </w:r>
      <w:proofErr w:type="spellStart"/>
      <w:r>
        <w:rPr>
          <w:rFonts w:ascii="Arial" w:eastAsia="Times New Roman" w:hAnsi="Arial" w:cs="Arial"/>
          <w:sz w:val="20"/>
          <w:szCs w:val="20"/>
        </w:rPr>
        <w:t>Pieters</w:t>
      </w:r>
      <w:proofErr w:type="spellEnd"/>
      <w:r>
        <w:rPr>
          <w:rFonts w:ascii="Arial" w:eastAsia="Times New Roman" w:hAnsi="Arial" w:cs="Arial"/>
          <w:sz w:val="20"/>
          <w:szCs w:val="20"/>
        </w:rPr>
        <w:t xml:space="preserve">, L. and </w:t>
      </w:r>
      <w:proofErr w:type="spellStart"/>
      <w:r>
        <w:rPr>
          <w:rFonts w:ascii="Arial" w:eastAsia="Times New Roman" w:hAnsi="Arial" w:cs="Arial"/>
          <w:sz w:val="20"/>
          <w:szCs w:val="20"/>
        </w:rPr>
        <w:t>Apers</w:t>
      </w:r>
      <w:proofErr w:type="spellEnd"/>
      <w:r>
        <w:rPr>
          <w:rFonts w:ascii="Arial" w:eastAsia="Times New Roman" w:hAnsi="Arial" w:cs="Arial"/>
          <w:sz w:val="20"/>
          <w:szCs w:val="20"/>
        </w:rPr>
        <w:t xml:space="preserve">, S. (2011). Evaluation of the </w:t>
      </w:r>
      <w:r>
        <w:rPr>
          <w:rFonts w:ascii="Arial" w:eastAsia="Times New Roman" w:hAnsi="Arial" w:cs="Arial"/>
          <w:i/>
          <w:sz w:val="20"/>
          <w:szCs w:val="20"/>
        </w:rPr>
        <w:t>in vivo</w:t>
      </w:r>
      <w:r>
        <w:rPr>
          <w:rFonts w:ascii="Arial" w:eastAsia="Times New Roman" w:hAnsi="Arial" w:cs="Arial"/>
          <w:sz w:val="20"/>
          <w:szCs w:val="20"/>
        </w:rPr>
        <w:t xml:space="preserve"> anti-inflammatory activity of a flavonoid glycoside from </w:t>
      </w:r>
      <w:proofErr w:type="spellStart"/>
      <w:r>
        <w:rPr>
          <w:rFonts w:ascii="Arial" w:eastAsia="Times New Roman" w:hAnsi="Arial" w:cs="Arial"/>
          <w:sz w:val="20"/>
          <w:szCs w:val="20"/>
        </w:rPr>
        <w:t>Boldoapurpu-rascens</w:t>
      </w:r>
      <w:proofErr w:type="spellEnd"/>
      <w:r>
        <w:rPr>
          <w:rFonts w:ascii="Arial" w:eastAsia="Times New Roman" w:hAnsi="Arial" w:cs="Arial"/>
          <w:sz w:val="20"/>
          <w:szCs w:val="20"/>
        </w:rPr>
        <w:t xml:space="preserve">. Phytochemical Letters </w:t>
      </w:r>
      <w:proofErr w:type="spellStart"/>
      <w:r>
        <w:rPr>
          <w:rFonts w:ascii="Arial" w:eastAsia="Times New Roman" w:hAnsi="Arial" w:cs="Arial"/>
          <w:sz w:val="20"/>
          <w:szCs w:val="20"/>
        </w:rPr>
        <w:t>doi</w:t>
      </w:r>
      <w:proofErr w:type="spellEnd"/>
      <w:r>
        <w:rPr>
          <w:rFonts w:ascii="Arial" w:eastAsia="Times New Roman" w:hAnsi="Arial" w:cs="Arial"/>
          <w:sz w:val="20"/>
          <w:szCs w:val="20"/>
        </w:rPr>
        <w:t>: 10.1016/j.phytol.2011.04.004.</w:t>
      </w:r>
    </w:p>
    <w:p w:rsidR="00EE262F" w:rsidRDefault="00EE262F" w:rsidP="00EE262F">
      <w:pPr>
        <w:spacing w:after="0" w:line="240" w:lineRule="auto"/>
        <w:ind w:left="567" w:hanging="567"/>
        <w:jc w:val="both"/>
        <w:rPr>
          <w:rFonts w:ascii="Arial" w:eastAsia="Times New Roman" w:hAnsi="Arial" w:cs="Arial"/>
          <w:sz w:val="20"/>
          <w:szCs w:val="20"/>
        </w:rPr>
      </w:pPr>
    </w:p>
    <w:p w:rsidR="00EE262F" w:rsidRDefault="00EE262F" w:rsidP="00EE262F">
      <w:pPr>
        <w:spacing w:after="0" w:line="240" w:lineRule="auto"/>
        <w:ind w:left="720" w:hanging="720"/>
        <w:jc w:val="both"/>
        <w:rPr>
          <w:rFonts w:ascii="Arial" w:eastAsia="Times New Roman" w:hAnsi="Arial" w:cs="Arial"/>
          <w:sz w:val="20"/>
          <w:szCs w:val="20"/>
        </w:rPr>
      </w:pPr>
      <w:r>
        <w:rPr>
          <w:rFonts w:ascii="Arial" w:eastAsia="Times New Roman" w:hAnsi="Arial" w:cs="Arial"/>
          <w:sz w:val="20"/>
          <w:szCs w:val="20"/>
        </w:rPr>
        <w:t xml:space="preserve">Vane, J.R. (1971). Inhibition of prostaglandin synthesis as a mechanism of action for aspirin like </w:t>
      </w:r>
      <w:proofErr w:type="spellStart"/>
      <w:r>
        <w:rPr>
          <w:rFonts w:ascii="Arial" w:eastAsia="Times New Roman" w:hAnsi="Arial" w:cs="Arial"/>
          <w:sz w:val="20"/>
          <w:szCs w:val="20"/>
        </w:rPr>
        <w:t>drugs.</w:t>
      </w:r>
      <w:r>
        <w:rPr>
          <w:rFonts w:ascii="Arial" w:eastAsia="Times New Roman" w:hAnsi="Arial" w:cs="Arial"/>
          <w:i/>
          <w:sz w:val="20"/>
          <w:szCs w:val="20"/>
        </w:rPr>
        <w:t>Nature</w:t>
      </w:r>
      <w:proofErr w:type="spellEnd"/>
      <w:r>
        <w:rPr>
          <w:rFonts w:ascii="Arial" w:eastAsia="Times New Roman" w:hAnsi="Arial" w:cs="Arial"/>
          <w:i/>
          <w:sz w:val="20"/>
          <w:szCs w:val="20"/>
        </w:rPr>
        <w:t xml:space="preserve"> New Biology</w:t>
      </w:r>
      <w:r>
        <w:rPr>
          <w:rFonts w:ascii="Arial" w:eastAsia="Times New Roman" w:hAnsi="Arial" w:cs="Arial"/>
          <w:sz w:val="20"/>
          <w:szCs w:val="20"/>
        </w:rPr>
        <w:t>.</w:t>
      </w:r>
      <w:r>
        <w:rPr>
          <w:rFonts w:ascii="Arial" w:eastAsia="Times New Roman" w:hAnsi="Arial" w:cs="Arial"/>
          <w:b/>
          <w:sz w:val="20"/>
          <w:szCs w:val="20"/>
        </w:rPr>
        <w:t>231</w:t>
      </w:r>
      <w:r>
        <w:rPr>
          <w:rFonts w:ascii="Arial" w:eastAsia="Times New Roman" w:hAnsi="Arial" w:cs="Arial"/>
          <w:sz w:val="20"/>
          <w:szCs w:val="20"/>
        </w:rPr>
        <w:t>: 232-235.</w:t>
      </w:r>
    </w:p>
    <w:p w:rsidR="00EE262F" w:rsidRDefault="00EE262F" w:rsidP="00EE262F">
      <w:pPr>
        <w:spacing w:after="0" w:line="240" w:lineRule="auto"/>
        <w:ind w:left="720" w:hanging="720"/>
        <w:jc w:val="both"/>
        <w:rPr>
          <w:rFonts w:ascii="Arial" w:eastAsia="Times New Roman" w:hAnsi="Arial" w:cs="Arial"/>
          <w:sz w:val="20"/>
          <w:szCs w:val="20"/>
        </w:rPr>
      </w:pPr>
    </w:p>
    <w:p w:rsidR="00EE262F" w:rsidRDefault="00EE262F" w:rsidP="00EE262F">
      <w:pPr>
        <w:spacing w:after="0" w:line="240" w:lineRule="auto"/>
        <w:ind w:left="720" w:hanging="720"/>
        <w:jc w:val="both"/>
        <w:rPr>
          <w:rFonts w:ascii="Arial" w:eastAsia="Times New Roman" w:hAnsi="Arial" w:cs="Arial"/>
          <w:sz w:val="20"/>
          <w:szCs w:val="20"/>
        </w:rPr>
      </w:pPr>
      <w:proofErr w:type="spellStart"/>
      <w:r>
        <w:rPr>
          <w:rFonts w:ascii="Arial" w:eastAsia="Times New Roman" w:hAnsi="Arial" w:cs="Arial"/>
          <w:sz w:val="20"/>
          <w:szCs w:val="20"/>
        </w:rPr>
        <w:t>Shinde</w:t>
      </w:r>
      <w:proofErr w:type="spellEnd"/>
      <w:r>
        <w:rPr>
          <w:rFonts w:ascii="Arial" w:eastAsia="Times New Roman" w:hAnsi="Arial" w:cs="Arial"/>
          <w:sz w:val="20"/>
          <w:szCs w:val="20"/>
        </w:rPr>
        <w:t xml:space="preserve">, U. A., </w:t>
      </w:r>
      <w:proofErr w:type="spellStart"/>
      <w:r>
        <w:rPr>
          <w:rFonts w:ascii="Arial" w:eastAsia="Times New Roman" w:hAnsi="Arial" w:cs="Arial"/>
          <w:sz w:val="20"/>
          <w:szCs w:val="20"/>
        </w:rPr>
        <w:t>Phadke</w:t>
      </w:r>
      <w:proofErr w:type="spellEnd"/>
      <w:r>
        <w:rPr>
          <w:rFonts w:ascii="Arial" w:eastAsia="Times New Roman" w:hAnsi="Arial" w:cs="Arial"/>
          <w:sz w:val="20"/>
          <w:szCs w:val="20"/>
        </w:rPr>
        <w:t xml:space="preserve">, A. S., Nair, A.M., </w:t>
      </w:r>
      <w:proofErr w:type="spellStart"/>
      <w:r>
        <w:rPr>
          <w:rFonts w:ascii="Arial" w:eastAsia="Times New Roman" w:hAnsi="Arial" w:cs="Arial"/>
          <w:sz w:val="20"/>
          <w:szCs w:val="20"/>
        </w:rPr>
        <w:t>Mungantiwar</w:t>
      </w:r>
      <w:proofErr w:type="spellEnd"/>
      <w:r>
        <w:rPr>
          <w:rFonts w:ascii="Arial" w:eastAsia="Times New Roman" w:hAnsi="Arial" w:cs="Arial"/>
          <w:sz w:val="20"/>
          <w:szCs w:val="20"/>
        </w:rPr>
        <w:t xml:space="preserve">, A. A., </w:t>
      </w:r>
      <w:proofErr w:type="spellStart"/>
      <w:r>
        <w:rPr>
          <w:rFonts w:ascii="Arial" w:eastAsia="Times New Roman" w:hAnsi="Arial" w:cs="Arial"/>
          <w:sz w:val="20"/>
          <w:szCs w:val="20"/>
        </w:rPr>
        <w:t>Dikshit</w:t>
      </w:r>
      <w:proofErr w:type="spellEnd"/>
      <w:r>
        <w:rPr>
          <w:rFonts w:ascii="Arial" w:eastAsia="Times New Roman" w:hAnsi="Arial" w:cs="Arial"/>
          <w:sz w:val="20"/>
          <w:szCs w:val="20"/>
        </w:rPr>
        <w:t xml:space="preserve">, V. J. and </w:t>
      </w:r>
      <w:proofErr w:type="spellStart"/>
      <w:r>
        <w:rPr>
          <w:rFonts w:ascii="Arial" w:eastAsia="Times New Roman" w:hAnsi="Arial" w:cs="Arial"/>
          <w:sz w:val="20"/>
          <w:szCs w:val="20"/>
        </w:rPr>
        <w:t>Sarsf</w:t>
      </w:r>
      <w:proofErr w:type="spellEnd"/>
      <w:r>
        <w:rPr>
          <w:rFonts w:ascii="Arial" w:eastAsia="Times New Roman" w:hAnsi="Arial" w:cs="Arial"/>
          <w:sz w:val="20"/>
          <w:szCs w:val="20"/>
        </w:rPr>
        <w:t xml:space="preserve">, M. N. (1999).Membrane stabilization activity- a possible mechanism of action for the anti-inflammatory activity of </w:t>
      </w:r>
      <w:proofErr w:type="spellStart"/>
      <w:r>
        <w:rPr>
          <w:rFonts w:ascii="Arial" w:eastAsia="Times New Roman" w:hAnsi="Arial" w:cs="Arial"/>
          <w:i/>
          <w:sz w:val="20"/>
          <w:szCs w:val="20"/>
        </w:rPr>
        <w:t>Cedrusdeodara</w:t>
      </w:r>
      <w:r>
        <w:rPr>
          <w:rFonts w:ascii="Arial" w:eastAsia="Times New Roman" w:hAnsi="Arial" w:cs="Arial"/>
          <w:sz w:val="20"/>
          <w:szCs w:val="20"/>
        </w:rPr>
        <w:t>woodoil.</w:t>
      </w:r>
      <w:r>
        <w:rPr>
          <w:rFonts w:ascii="Arial" w:eastAsia="Times New Roman" w:hAnsi="Arial" w:cs="Arial"/>
          <w:i/>
          <w:sz w:val="20"/>
          <w:szCs w:val="20"/>
        </w:rPr>
        <w:t>Fitoterapia</w:t>
      </w:r>
      <w:proofErr w:type="spellEnd"/>
      <w:r>
        <w:rPr>
          <w:rFonts w:ascii="Arial" w:eastAsia="Times New Roman" w:hAnsi="Arial" w:cs="Arial"/>
          <w:sz w:val="20"/>
          <w:szCs w:val="20"/>
        </w:rPr>
        <w:t xml:space="preserve">, </w:t>
      </w:r>
      <w:r>
        <w:rPr>
          <w:rFonts w:ascii="Arial" w:eastAsia="Times New Roman" w:hAnsi="Arial" w:cs="Arial"/>
          <w:b/>
          <w:sz w:val="20"/>
          <w:szCs w:val="20"/>
        </w:rPr>
        <w:t>70</w:t>
      </w:r>
      <w:r>
        <w:rPr>
          <w:rFonts w:ascii="Arial" w:eastAsia="Times New Roman" w:hAnsi="Arial" w:cs="Arial"/>
          <w:sz w:val="20"/>
          <w:szCs w:val="20"/>
        </w:rPr>
        <w:t>:251-257.</w:t>
      </w:r>
    </w:p>
    <w:p w:rsidR="00EE262F" w:rsidRDefault="00EE262F" w:rsidP="00EE262F">
      <w:pPr>
        <w:spacing w:after="0" w:line="240" w:lineRule="auto"/>
        <w:ind w:left="720" w:hanging="720"/>
        <w:jc w:val="both"/>
        <w:rPr>
          <w:rFonts w:ascii="Arial" w:eastAsia="Times New Roman" w:hAnsi="Arial" w:cs="Arial"/>
          <w:sz w:val="20"/>
          <w:szCs w:val="20"/>
        </w:rPr>
      </w:pPr>
    </w:p>
    <w:p w:rsidR="00EE262F" w:rsidRPr="00D22769" w:rsidRDefault="00EE262F" w:rsidP="00EE262F">
      <w:pPr>
        <w:ind w:left="720" w:hanging="72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Aldughaylibi</w:t>
      </w:r>
      <w:proofErr w:type="spellEnd"/>
      <w:r>
        <w:rPr>
          <w:rFonts w:ascii="Arial" w:hAnsi="Arial" w:cs="Arial"/>
          <w:color w:val="222222"/>
          <w:sz w:val="20"/>
          <w:szCs w:val="20"/>
          <w:shd w:val="clear" w:color="auto" w:fill="FFFFFF"/>
        </w:rPr>
        <w:t xml:space="preserve">, F. S., Raza, M. A., </w:t>
      </w:r>
      <w:proofErr w:type="spellStart"/>
      <w:r>
        <w:rPr>
          <w:rFonts w:ascii="Arial" w:hAnsi="Arial" w:cs="Arial"/>
          <w:color w:val="222222"/>
          <w:sz w:val="20"/>
          <w:szCs w:val="20"/>
          <w:shd w:val="clear" w:color="auto" w:fill="FFFFFF"/>
        </w:rPr>
        <w:t>Naeem</w:t>
      </w:r>
      <w:proofErr w:type="spellEnd"/>
      <w:r>
        <w:rPr>
          <w:rFonts w:ascii="Arial" w:hAnsi="Arial" w:cs="Arial"/>
          <w:color w:val="222222"/>
          <w:sz w:val="20"/>
          <w:szCs w:val="20"/>
          <w:shd w:val="clear" w:color="auto" w:fill="FFFFFF"/>
        </w:rPr>
        <w:t xml:space="preserve">, S., Rafi, H., </w:t>
      </w:r>
      <w:proofErr w:type="spellStart"/>
      <w:r>
        <w:rPr>
          <w:rFonts w:ascii="Arial" w:hAnsi="Arial" w:cs="Arial"/>
          <w:color w:val="222222"/>
          <w:sz w:val="20"/>
          <w:szCs w:val="20"/>
          <w:shd w:val="clear" w:color="auto" w:fill="FFFFFF"/>
        </w:rPr>
        <w:t>Alam</w:t>
      </w:r>
      <w:proofErr w:type="spellEnd"/>
      <w:r>
        <w:rPr>
          <w:rFonts w:ascii="Arial" w:hAnsi="Arial" w:cs="Arial"/>
          <w:color w:val="222222"/>
          <w:sz w:val="20"/>
          <w:szCs w:val="20"/>
          <w:shd w:val="clear" w:color="auto" w:fill="FFFFFF"/>
        </w:rPr>
        <w:t xml:space="preserve">, M. W., </w:t>
      </w:r>
      <w:proofErr w:type="spellStart"/>
      <w:r>
        <w:rPr>
          <w:rFonts w:ascii="Arial" w:hAnsi="Arial" w:cs="Arial"/>
          <w:color w:val="222222"/>
          <w:sz w:val="20"/>
          <w:szCs w:val="20"/>
          <w:shd w:val="clear" w:color="auto" w:fill="FFFFFF"/>
        </w:rPr>
        <w:t>Souayeh</w:t>
      </w:r>
      <w:proofErr w:type="spellEnd"/>
      <w:r>
        <w:rPr>
          <w:rFonts w:ascii="Arial" w:hAnsi="Arial" w:cs="Arial"/>
          <w:color w:val="222222"/>
          <w:sz w:val="20"/>
          <w:szCs w:val="20"/>
          <w:shd w:val="clear" w:color="auto" w:fill="FFFFFF"/>
        </w:rPr>
        <w:t>, B</w:t>
      </w:r>
      <w:proofErr w:type="gramStart"/>
      <w:r>
        <w:rPr>
          <w:rFonts w:ascii="Arial" w:hAnsi="Arial" w:cs="Arial"/>
          <w:color w:val="222222"/>
          <w:sz w:val="20"/>
          <w:szCs w:val="20"/>
          <w:shd w:val="clear" w:color="auto" w:fill="FFFFFF"/>
        </w:rPr>
        <w:t>., ...</w:t>
      </w:r>
      <w:proofErr w:type="gramEnd"/>
      <w:r>
        <w:rPr>
          <w:rFonts w:ascii="Arial" w:hAnsi="Arial" w:cs="Arial"/>
          <w:color w:val="222222"/>
          <w:sz w:val="20"/>
          <w:szCs w:val="20"/>
          <w:shd w:val="clear" w:color="auto" w:fill="FFFFFF"/>
        </w:rPr>
        <w:t xml:space="preserve"> &amp; Mir, T. A. (2022). Extraction of bioactive compounds for antioxidant, antimicrobial, and antidiabetic applications. </w:t>
      </w:r>
      <w:r>
        <w:rPr>
          <w:rFonts w:ascii="Arial" w:hAnsi="Arial" w:cs="Arial"/>
          <w:i/>
          <w:iCs/>
          <w:color w:val="222222"/>
          <w:sz w:val="20"/>
          <w:szCs w:val="20"/>
          <w:shd w:val="clear" w:color="auto" w:fill="FFFFFF"/>
        </w:rPr>
        <w:t>Molecules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(18), 5935.</w:t>
      </w:r>
    </w:p>
    <w:p w:rsidR="00EE262F" w:rsidRDefault="00EE262F" w:rsidP="00EE262F">
      <w:pPr>
        <w:spacing w:after="0"/>
        <w:ind w:left="720" w:hanging="720"/>
        <w:jc w:val="both"/>
      </w:pPr>
      <w:proofErr w:type="spellStart"/>
      <w:r w:rsidRPr="00D05873">
        <w:rPr>
          <w:rFonts w:ascii="Arial" w:hAnsi="Arial" w:cs="Arial"/>
          <w:sz w:val="20"/>
          <w:szCs w:val="20"/>
          <w:lang w:val="en-IN"/>
        </w:rPr>
        <w:t>Asogwa</w:t>
      </w:r>
      <w:proofErr w:type="spellEnd"/>
      <w:r w:rsidRPr="00D05873">
        <w:rPr>
          <w:rFonts w:ascii="Arial" w:hAnsi="Arial" w:cs="Arial"/>
          <w:sz w:val="20"/>
          <w:szCs w:val="20"/>
          <w:lang w:val="en-IN"/>
        </w:rPr>
        <w:t xml:space="preserve">, F. C., </w:t>
      </w:r>
      <w:proofErr w:type="spellStart"/>
      <w:r w:rsidRPr="00D05873">
        <w:rPr>
          <w:rFonts w:ascii="Arial" w:hAnsi="Arial" w:cs="Arial"/>
          <w:sz w:val="20"/>
          <w:szCs w:val="20"/>
          <w:lang w:val="en-IN"/>
        </w:rPr>
        <w:t>Apebende</w:t>
      </w:r>
      <w:proofErr w:type="spellEnd"/>
      <w:r w:rsidRPr="00D05873">
        <w:rPr>
          <w:rFonts w:ascii="Arial" w:hAnsi="Arial" w:cs="Arial"/>
          <w:sz w:val="20"/>
          <w:szCs w:val="20"/>
          <w:lang w:val="en-IN"/>
        </w:rPr>
        <w:t xml:space="preserve">, C. G., </w:t>
      </w:r>
      <w:proofErr w:type="spellStart"/>
      <w:r w:rsidRPr="00D05873">
        <w:rPr>
          <w:rFonts w:ascii="Arial" w:hAnsi="Arial" w:cs="Arial"/>
          <w:sz w:val="20"/>
          <w:szCs w:val="20"/>
          <w:lang w:val="en-IN"/>
        </w:rPr>
        <w:t>Ugodi</w:t>
      </w:r>
      <w:proofErr w:type="spellEnd"/>
      <w:r w:rsidRPr="00D05873">
        <w:rPr>
          <w:rFonts w:ascii="Arial" w:hAnsi="Arial" w:cs="Arial"/>
          <w:sz w:val="20"/>
          <w:szCs w:val="20"/>
          <w:lang w:val="en-IN"/>
        </w:rPr>
        <w:t xml:space="preserve">, G. W., </w:t>
      </w:r>
      <w:proofErr w:type="spellStart"/>
      <w:r w:rsidRPr="00D05873">
        <w:rPr>
          <w:rFonts w:ascii="Arial" w:hAnsi="Arial" w:cs="Arial"/>
          <w:sz w:val="20"/>
          <w:szCs w:val="20"/>
          <w:lang w:val="en-IN"/>
        </w:rPr>
        <w:t>Ebo</w:t>
      </w:r>
      <w:proofErr w:type="spellEnd"/>
      <w:r w:rsidRPr="00D05873">
        <w:rPr>
          <w:rFonts w:ascii="Arial" w:hAnsi="Arial" w:cs="Arial"/>
          <w:sz w:val="20"/>
          <w:szCs w:val="20"/>
          <w:lang w:val="en-IN"/>
        </w:rPr>
        <w:t xml:space="preserve">, P., Louis, H., </w:t>
      </w:r>
      <w:proofErr w:type="spellStart"/>
      <w:r w:rsidRPr="00D05873">
        <w:rPr>
          <w:rFonts w:ascii="Arial" w:hAnsi="Arial" w:cs="Arial"/>
          <w:sz w:val="20"/>
          <w:szCs w:val="20"/>
          <w:lang w:val="en-IN"/>
        </w:rPr>
        <w:t>Ikeuba</w:t>
      </w:r>
      <w:proofErr w:type="spellEnd"/>
      <w:r w:rsidRPr="00D05873">
        <w:rPr>
          <w:rFonts w:ascii="Arial" w:hAnsi="Arial" w:cs="Arial"/>
          <w:sz w:val="20"/>
          <w:szCs w:val="20"/>
          <w:lang w:val="en-IN"/>
        </w:rPr>
        <w:t xml:space="preserve">, A. I., ... &amp; Owen, A. E. (2023). Anti-inflammatory, immunomodulatory and DFT evaluation of the reactivity indexes of phytochemicals isolated from </w:t>
      </w:r>
      <w:proofErr w:type="spellStart"/>
      <w:r w:rsidRPr="00D05873">
        <w:rPr>
          <w:rFonts w:ascii="Arial" w:hAnsi="Arial" w:cs="Arial"/>
          <w:sz w:val="20"/>
          <w:szCs w:val="20"/>
          <w:lang w:val="en-IN"/>
        </w:rPr>
        <w:t>Harungana</w:t>
      </w:r>
      <w:proofErr w:type="spellEnd"/>
      <w:r w:rsidRPr="00D05873">
        <w:rPr>
          <w:rFonts w:ascii="Arial" w:hAnsi="Arial" w:cs="Arial"/>
          <w:sz w:val="20"/>
          <w:szCs w:val="20"/>
          <w:lang w:val="en-IN"/>
        </w:rPr>
        <w:t xml:space="preserve"> </w:t>
      </w:r>
      <w:proofErr w:type="spellStart"/>
      <w:r w:rsidRPr="00D05873">
        <w:rPr>
          <w:rFonts w:ascii="Arial" w:hAnsi="Arial" w:cs="Arial"/>
          <w:sz w:val="20"/>
          <w:szCs w:val="20"/>
          <w:lang w:val="en-IN"/>
        </w:rPr>
        <w:t>madagascariensis</w:t>
      </w:r>
      <w:proofErr w:type="spellEnd"/>
      <w:r w:rsidRPr="00D05873">
        <w:rPr>
          <w:rFonts w:ascii="Arial" w:hAnsi="Arial" w:cs="Arial"/>
          <w:sz w:val="20"/>
          <w:szCs w:val="20"/>
          <w:lang w:val="en-IN"/>
        </w:rPr>
        <w:t>. </w:t>
      </w:r>
      <w:r w:rsidRPr="00D05873">
        <w:rPr>
          <w:rFonts w:ascii="Arial" w:hAnsi="Arial" w:cs="Arial"/>
          <w:i/>
          <w:iCs/>
          <w:sz w:val="20"/>
          <w:szCs w:val="20"/>
          <w:lang w:val="en-IN"/>
        </w:rPr>
        <w:t>Chemistry Africa</w:t>
      </w:r>
      <w:r w:rsidRPr="00D05873">
        <w:rPr>
          <w:rFonts w:ascii="Arial" w:hAnsi="Arial" w:cs="Arial"/>
          <w:sz w:val="20"/>
          <w:szCs w:val="20"/>
          <w:lang w:val="en-IN"/>
        </w:rPr>
        <w:t>, </w:t>
      </w:r>
      <w:r w:rsidRPr="00D05873">
        <w:rPr>
          <w:rFonts w:ascii="Arial" w:hAnsi="Arial" w:cs="Arial"/>
          <w:i/>
          <w:iCs/>
          <w:sz w:val="20"/>
          <w:szCs w:val="20"/>
          <w:lang w:val="en-IN"/>
        </w:rPr>
        <w:t>6</w:t>
      </w:r>
      <w:r w:rsidRPr="00D05873">
        <w:rPr>
          <w:rFonts w:ascii="Arial" w:hAnsi="Arial" w:cs="Arial"/>
          <w:sz w:val="20"/>
          <w:szCs w:val="20"/>
          <w:lang w:val="en-IN"/>
        </w:rPr>
        <w:t>(3), 1349-1361.</w:t>
      </w:r>
      <w:r>
        <w:rPr>
          <w:rFonts w:ascii="Arial" w:hAnsi="Arial" w:cs="Arial"/>
          <w:sz w:val="20"/>
          <w:szCs w:val="20"/>
          <w:lang w:val="en-IN"/>
        </w:rPr>
        <w:t xml:space="preserve"> </w:t>
      </w:r>
      <w:hyperlink r:id="rId14" w:history="1">
        <w:r w:rsidRPr="00573DC1">
          <w:rPr>
            <w:color w:val="0563C1"/>
            <w:sz w:val="20"/>
            <w:szCs w:val="20"/>
            <w:u w:val="single"/>
          </w:rPr>
          <w:t>https://link.springer.com/article/10.1007/s42250-022-00569-0</w:t>
        </w:r>
      </w:hyperlink>
    </w:p>
    <w:p w:rsidR="00EE262F" w:rsidRDefault="00EE262F" w:rsidP="00EE262F">
      <w:pPr>
        <w:spacing w:after="0"/>
        <w:ind w:left="720" w:hanging="720"/>
        <w:jc w:val="both"/>
      </w:pPr>
    </w:p>
    <w:p w:rsidR="00EE262F" w:rsidRDefault="00EE262F" w:rsidP="00EE262F">
      <w:pPr>
        <w:ind w:left="720" w:hanging="72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Alharbi</w:t>
      </w:r>
      <w:proofErr w:type="spellEnd"/>
      <w:r>
        <w:rPr>
          <w:rFonts w:ascii="Arial" w:hAnsi="Arial" w:cs="Arial"/>
          <w:color w:val="222222"/>
          <w:sz w:val="20"/>
          <w:szCs w:val="20"/>
          <w:shd w:val="clear" w:color="auto" w:fill="FFFFFF"/>
        </w:rPr>
        <w:t xml:space="preserve">, K. S., </w:t>
      </w:r>
      <w:proofErr w:type="spellStart"/>
      <w:r>
        <w:rPr>
          <w:rFonts w:ascii="Arial" w:hAnsi="Arial" w:cs="Arial"/>
          <w:color w:val="222222"/>
          <w:sz w:val="20"/>
          <w:szCs w:val="20"/>
          <w:shd w:val="clear" w:color="auto" w:fill="FFFFFF"/>
        </w:rPr>
        <w:t>Alenezi</w:t>
      </w:r>
      <w:proofErr w:type="spellEnd"/>
      <w:r>
        <w:rPr>
          <w:rFonts w:ascii="Arial" w:hAnsi="Arial" w:cs="Arial"/>
          <w:color w:val="222222"/>
          <w:sz w:val="20"/>
          <w:szCs w:val="20"/>
          <w:shd w:val="clear" w:color="auto" w:fill="FFFFFF"/>
        </w:rPr>
        <w:t>, S. K., &amp; Gupta, G. (2023). Pathophysiology and pathogenesis of inflammation. In </w:t>
      </w:r>
      <w:r>
        <w:rPr>
          <w:rFonts w:ascii="Arial" w:hAnsi="Arial" w:cs="Arial"/>
          <w:i/>
          <w:iCs/>
          <w:color w:val="222222"/>
          <w:sz w:val="20"/>
          <w:szCs w:val="20"/>
          <w:shd w:val="clear" w:color="auto" w:fill="FFFFFF"/>
        </w:rPr>
        <w:t>Recent Developments in Anti-Inflammatory Therapy</w:t>
      </w:r>
      <w:r>
        <w:rPr>
          <w:rFonts w:ascii="Arial" w:hAnsi="Arial" w:cs="Arial"/>
          <w:color w:val="222222"/>
          <w:sz w:val="20"/>
          <w:szCs w:val="20"/>
          <w:shd w:val="clear" w:color="auto" w:fill="FFFFFF"/>
        </w:rPr>
        <w:t> (pp. 1-9). Academic Press.</w:t>
      </w:r>
    </w:p>
    <w:p w:rsidR="00EE262F" w:rsidRDefault="00EE262F" w:rsidP="00EE262F">
      <w:pPr>
        <w:ind w:left="720" w:hanging="72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Kushwaha</w:t>
      </w:r>
      <w:proofErr w:type="spellEnd"/>
      <w:r>
        <w:rPr>
          <w:rFonts w:ascii="Arial" w:hAnsi="Arial" w:cs="Arial"/>
          <w:color w:val="222222"/>
          <w:sz w:val="20"/>
          <w:szCs w:val="20"/>
          <w:shd w:val="clear" w:color="auto" w:fill="FFFFFF"/>
        </w:rPr>
        <w:t xml:space="preserve">, V., Agrawal, P., </w:t>
      </w:r>
      <w:proofErr w:type="spellStart"/>
      <w:r>
        <w:rPr>
          <w:rFonts w:ascii="Arial" w:hAnsi="Arial" w:cs="Arial"/>
          <w:color w:val="222222"/>
          <w:sz w:val="20"/>
          <w:szCs w:val="20"/>
          <w:shd w:val="clear" w:color="auto" w:fill="FFFFFF"/>
        </w:rPr>
        <w:t>Vekaria</w:t>
      </w:r>
      <w:proofErr w:type="spellEnd"/>
      <w:r>
        <w:rPr>
          <w:rFonts w:ascii="Arial" w:hAnsi="Arial" w:cs="Arial"/>
          <w:color w:val="222222"/>
          <w:sz w:val="20"/>
          <w:szCs w:val="20"/>
          <w:shd w:val="clear" w:color="auto" w:fill="FFFFFF"/>
        </w:rPr>
        <w:t xml:space="preserve">, H., Das, A., </w:t>
      </w:r>
      <w:proofErr w:type="spellStart"/>
      <w:r>
        <w:rPr>
          <w:rFonts w:ascii="Arial" w:hAnsi="Arial" w:cs="Arial"/>
          <w:color w:val="222222"/>
          <w:sz w:val="20"/>
          <w:szCs w:val="20"/>
          <w:shd w:val="clear" w:color="auto" w:fill="FFFFFF"/>
        </w:rPr>
        <w:t>Shoraisham</w:t>
      </w:r>
      <w:proofErr w:type="spellEnd"/>
      <w:r>
        <w:rPr>
          <w:rFonts w:ascii="Arial" w:hAnsi="Arial" w:cs="Arial"/>
          <w:color w:val="222222"/>
          <w:sz w:val="20"/>
          <w:szCs w:val="20"/>
          <w:shd w:val="clear" w:color="auto" w:fill="FFFFFF"/>
        </w:rPr>
        <w:t>, B. K., &amp; Pathak, B. (2024). Prostaglandins: an overview. </w:t>
      </w:r>
      <w:r>
        <w:rPr>
          <w:rFonts w:ascii="Arial" w:hAnsi="Arial" w:cs="Arial"/>
          <w:i/>
          <w:iCs/>
          <w:color w:val="222222"/>
          <w:sz w:val="20"/>
          <w:szCs w:val="20"/>
          <w:shd w:val="clear" w:color="auto" w:fill="FFFFFF"/>
        </w:rPr>
        <w:t>European Journal of Pharmaceutical and Medical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(1), 130-139.</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Sultana, N., Chung, H. J., </w:t>
      </w:r>
      <w:proofErr w:type="spellStart"/>
      <w:r>
        <w:rPr>
          <w:rFonts w:ascii="Arial" w:hAnsi="Arial" w:cs="Arial"/>
          <w:color w:val="222222"/>
          <w:sz w:val="20"/>
          <w:szCs w:val="20"/>
          <w:shd w:val="clear" w:color="auto" w:fill="FFFFFF"/>
        </w:rPr>
        <w:t>Emon</w:t>
      </w:r>
      <w:proofErr w:type="spellEnd"/>
      <w:r>
        <w:rPr>
          <w:rFonts w:ascii="Arial" w:hAnsi="Arial" w:cs="Arial"/>
          <w:color w:val="222222"/>
          <w:sz w:val="20"/>
          <w:szCs w:val="20"/>
          <w:shd w:val="clear" w:color="auto" w:fill="FFFFFF"/>
        </w:rPr>
        <w:t xml:space="preserve">, N. U., </w:t>
      </w:r>
      <w:proofErr w:type="spellStart"/>
      <w:r>
        <w:rPr>
          <w:rFonts w:ascii="Arial" w:hAnsi="Arial" w:cs="Arial"/>
          <w:color w:val="222222"/>
          <w:sz w:val="20"/>
          <w:szCs w:val="20"/>
          <w:shd w:val="clear" w:color="auto" w:fill="FFFFFF"/>
        </w:rPr>
        <w:t>Alam</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Taki</w:t>
      </w:r>
      <w:proofErr w:type="spellEnd"/>
      <w:r>
        <w:rPr>
          <w:rFonts w:ascii="Arial" w:hAnsi="Arial" w:cs="Arial"/>
          <w:color w:val="222222"/>
          <w:sz w:val="20"/>
          <w:szCs w:val="20"/>
          <w:shd w:val="clear" w:color="auto" w:fill="FFFFFF"/>
        </w:rPr>
        <w:t xml:space="preserve">, M. T. I., </w:t>
      </w:r>
      <w:proofErr w:type="spellStart"/>
      <w:r>
        <w:rPr>
          <w:rFonts w:ascii="Arial" w:hAnsi="Arial" w:cs="Arial"/>
          <w:color w:val="222222"/>
          <w:sz w:val="20"/>
          <w:szCs w:val="20"/>
          <w:shd w:val="clear" w:color="auto" w:fill="FFFFFF"/>
        </w:rPr>
        <w:t>Rudra</w:t>
      </w:r>
      <w:proofErr w:type="spellEnd"/>
      <w:r>
        <w:rPr>
          <w:rFonts w:ascii="Arial" w:hAnsi="Arial" w:cs="Arial"/>
          <w:color w:val="222222"/>
          <w:sz w:val="20"/>
          <w:szCs w:val="20"/>
          <w:shd w:val="clear" w:color="auto" w:fill="FFFFFF"/>
        </w:rPr>
        <w:t>, S</w:t>
      </w:r>
      <w:proofErr w:type="gramStart"/>
      <w:r>
        <w:rPr>
          <w:rFonts w:ascii="Arial" w:hAnsi="Arial" w:cs="Arial"/>
          <w:color w:val="222222"/>
          <w:sz w:val="20"/>
          <w:szCs w:val="20"/>
          <w:shd w:val="clear" w:color="auto" w:fill="FFFFFF"/>
        </w:rPr>
        <w:t>., ...</w:t>
      </w:r>
      <w:proofErr w:type="gramEnd"/>
      <w:r>
        <w:rPr>
          <w:rFonts w:ascii="Arial" w:hAnsi="Arial" w:cs="Arial"/>
          <w:color w:val="222222"/>
          <w:sz w:val="20"/>
          <w:szCs w:val="20"/>
          <w:shd w:val="clear" w:color="auto" w:fill="FFFFFF"/>
        </w:rPr>
        <w:t xml:space="preserve"> &amp; </w:t>
      </w:r>
      <w:proofErr w:type="spellStart"/>
      <w:r>
        <w:rPr>
          <w:rFonts w:ascii="Arial" w:hAnsi="Arial" w:cs="Arial"/>
          <w:color w:val="222222"/>
          <w:sz w:val="20"/>
          <w:szCs w:val="20"/>
          <w:shd w:val="clear" w:color="auto" w:fill="FFFFFF"/>
        </w:rPr>
        <w:t>Mamun</w:t>
      </w:r>
      <w:proofErr w:type="spellEnd"/>
      <w:r>
        <w:rPr>
          <w:rFonts w:ascii="Arial" w:hAnsi="Arial" w:cs="Arial"/>
          <w:color w:val="222222"/>
          <w:sz w:val="20"/>
          <w:szCs w:val="20"/>
          <w:shd w:val="clear" w:color="auto" w:fill="FFFFFF"/>
        </w:rPr>
        <w:t xml:space="preserve">, A. A. (2022). Biological functions of </w:t>
      </w:r>
      <w:proofErr w:type="spellStart"/>
      <w:r>
        <w:rPr>
          <w:rFonts w:ascii="Arial" w:hAnsi="Arial" w:cs="Arial"/>
          <w:color w:val="222222"/>
          <w:sz w:val="20"/>
          <w:szCs w:val="20"/>
          <w:shd w:val="clear" w:color="auto" w:fill="FFFFFF"/>
        </w:rPr>
        <w:t>DilleniapentagynaRoxb</w:t>
      </w:r>
      <w:proofErr w:type="spellEnd"/>
      <w:r>
        <w:rPr>
          <w:rFonts w:ascii="Arial" w:hAnsi="Arial" w:cs="Arial"/>
          <w:color w:val="222222"/>
          <w:sz w:val="20"/>
          <w:szCs w:val="20"/>
          <w:shd w:val="clear" w:color="auto" w:fill="FFFFFF"/>
        </w:rPr>
        <w:t xml:space="preserve">. Against pain, inflammation, fever, </w:t>
      </w:r>
      <w:proofErr w:type="spellStart"/>
      <w:r>
        <w:rPr>
          <w:rFonts w:ascii="Arial" w:hAnsi="Arial" w:cs="Arial"/>
          <w:color w:val="222222"/>
          <w:sz w:val="20"/>
          <w:szCs w:val="20"/>
          <w:shd w:val="clear" w:color="auto" w:fill="FFFFFF"/>
        </w:rPr>
        <w:t>diarrhea</w:t>
      </w:r>
      <w:proofErr w:type="spellEnd"/>
      <w:r>
        <w:rPr>
          <w:rFonts w:ascii="Arial" w:hAnsi="Arial" w:cs="Arial"/>
          <w:color w:val="222222"/>
          <w:sz w:val="20"/>
          <w:szCs w:val="20"/>
          <w:shd w:val="clear" w:color="auto" w:fill="FFFFFF"/>
        </w:rPr>
        <w:t>, and thrombosis: Evidenced from in vitro, in vivo, and molecular docking study. </w:t>
      </w:r>
      <w:r>
        <w:rPr>
          <w:rFonts w:ascii="Arial" w:hAnsi="Arial" w:cs="Arial"/>
          <w:i/>
          <w:iCs/>
          <w:color w:val="222222"/>
          <w:sz w:val="20"/>
          <w:szCs w:val="20"/>
          <w:shd w:val="clear" w:color="auto" w:fill="FFFFFF"/>
        </w:rPr>
        <w:t>Frontiers in Nutrition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911274.</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Wang, M., &amp;</w:t>
      </w:r>
      <w:proofErr w:type="spellStart"/>
      <w:r>
        <w:rPr>
          <w:rFonts w:ascii="Arial" w:hAnsi="Arial" w:cs="Arial"/>
          <w:color w:val="222222"/>
          <w:sz w:val="20"/>
          <w:szCs w:val="20"/>
          <w:shd w:val="clear" w:color="auto" w:fill="FFFFFF"/>
        </w:rPr>
        <w:t>Thyagarajan</w:t>
      </w:r>
      <w:proofErr w:type="spellEnd"/>
      <w:r>
        <w:rPr>
          <w:rFonts w:ascii="Arial" w:hAnsi="Arial" w:cs="Arial"/>
          <w:color w:val="222222"/>
          <w:sz w:val="20"/>
          <w:szCs w:val="20"/>
          <w:shd w:val="clear" w:color="auto" w:fill="FFFFFF"/>
        </w:rPr>
        <w:t>, B. (2022). Pain pathways and potential new targets for pain relief. </w:t>
      </w:r>
      <w:r>
        <w:rPr>
          <w:rFonts w:ascii="Arial" w:hAnsi="Arial" w:cs="Arial"/>
          <w:i/>
          <w:iCs/>
          <w:color w:val="222222"/>
          <w:sz w:val="20"/>
          <w:szCs w:val="20"/>
          <w:shd w:val="clear" w:color="auto" w:fill="FFFFFF"/>
        </w:rPr>
        <w:t>Biotechnology and applied biochemistry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69</w:t>
      </w:r>
      <w:r>
        <w:rPr>
          <w:rFonts w:ascii="Arial" w:hAnsi="Arial" w:cs="Arial"/>
          <w:color w:val="222222"/>
          <w:sz w:val="20"/>
          <w:szCs w:val="20"/>
          <w:shd w:val="clear" w:color="auto" w:fill="FFFFFF"/>
        </w:rPr>
        <w:t>(1), 110-123.</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Zhou, Y. Y., &amp; Sun, B. W. (2022). Recent advances in neutrophil chemotaxis abnormalities during sepsis. </w:t>
      </w:r>
      <w:r>
        <w:rPr>
          <w:rFonts w:ascii="Arial" w:hAnsi="Arial" w:cs="Arial"/>
          <w:i/>
          <w:iCs/>
          <w:color w:val="222222"/>
          <w:sz w:val="20"/>
          <w:szCs w:val="20"/>
          <w:shd w:val="clear" w:color="auto" w:fill="FFFFFF"/>
        </w:rPr>
        <w:t>Chinese Journal of Traumatology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(06), 317-324.</w:t>
      </w:r>
    </w:p>
    <w:p w:rsidR="00EE262F" w:rsidRDefault="00EE262F" w:rsidP="00EE262F">
      <w:pPr>
        <w:ind w:left="567" w:hanging="567"/>
        <w:jc w:val="both"/>
        <w:rPr>
          <w:rFonts w:ascii="Arial" w:hAnsi="Arial" w:cs="Arial"/>
          <w:sz w:val="20"/>
          <w:szCs w:val="20"/>
        </w:rPr>
      </w:pPr>
      <w:proofErr w:type="spellStart"/>
      <w:r>
        <w:rPr>
          <w:rFonts w:ascii="Arial" w:hAnsi="Arial" w:cs="Arial"/>
          <w:sz w:val="20"/>
          <w:szCs w:val="20"/>
        </w:rPr>
        <w:lastRenderedPageBreak/>
        <w:t>Anosike</w:t>
      </w:r>
      <w:proofErr w:type="spellEnd"/>
      <w:r>
        <w:rPr>
          <w:rFonts w:ascii="Arial" w:hAnsi="Arial" w:cs="Arial"/>
          <w:sz w:val="20"/>
          <w:szCs w:val="20"/>
        </w:rPr>
        <w:t xml:space="preserve">, C. A., </w:t>
      </w:r>
      <w:proofErr w:type="spellStart"/>
      <w:r>
        <w:rPr>
          <w:rFonts w:ascii="Arial" w:hAnsi="Arial" w:cs="Arial"/>
          <w:sz w:val="20"/>
          <w:szCs w:val="20"/>
        </w:rPr>
        <w:t>Obidoa</w:t>
      </w:r>
      <w:proofErr w:type="spellEnd"/>
      <w:r>
        <w:rPr>
          <w:rFonts w:ascii="Arial" w:hAnsi="Arial" w:cs="Arial"/>
          <w:sz w:val="20"/>
          <w:szCs w:val="20"/>
        </w:rPr>
        <w:t xml:space="preserve">, O., and </w:t>
      </w:r>
      <w:proofErr w:type="spellStart"/>
      <w:r>
        <w:rPr>
          <w:rFonts w:ascii="Arial" w:hAnsi="Arial" w:cs="Arial"/>
          <w:sz w:val="20"/>
          <w:szCs w:val="20"/>
        </w:rPr>
        <w:t>Ezeanyika</w:t>
      </w:r>
      <w:proofErr w:type="spellEnd"/>
      <w:r>
        <w:rPr>
          <w:rFonts w:ascii="Arial" w:hAnsi="Arial" w:cs="Arial"/>
          <w:sz w:val="20"/>
          <w:szCs w:val="20"/>
        </w:rPr>
        <w:t>, L. U. S. (2012a). The anti-inflammatory activity of garden egg (</w:t>
      </w:r>
      <w:proofErr w:type="spellStart"/>
      <w:r>
        <w:rPr>
          <w:rFonts w:ascii="Arial" w:hAnsi="Arial" w:cs="Arial"/>
          <w:sz w:val="20"/>
          <w:szCs w:val="20"/>
        </w:rPr>
        <w:t>Solanum</w:t>
      </w:r>
      <w:proofErr w:type="spellEnd"/>
      <w:r>
        <w:rPr>
          <w:rFonts w:ascii="Arial" w:hAnsi="Arial" w:cs="Arial"/>
          <w:sz w:val="20"/>
          <w:szCs w:val="20"/>
        </w:rPr>
        <w:t xml:space="preserve"> </w:t>
      </w:r>
      <w:proofErr w:type="spellStart"/>
      <w:r>
        <w:rPr>
          <w:rFonts w:ascii="Arial" w:hAnsi="Arial" w:cs="Arial"/>
          <w:sz w:val="20"/>
          <w:szCs w:val="20"/>
        </w:rPr>
        <w:t>aethiopicum</w:t>
      </w:r>
      <w:proofErr w:type="spellEnd"/>
      <w:r>
        <w:rPr>
          <w:rFonts w:ascii="Arial" w:hAnsi="Arial" w:cs="Arial"/>
          <w:sz w:val="20"/>
          <w:szCs w:val="20"/>
        </w:rPr>
        <w:t xml:space="preserve">) on egg albumin- induced oedema and granuloma tissue formation in rats. </w:t>
      </w:r>
      <w:r>
        <w:rPr>
          <w:rFonts w:ascii="Arial" w:hAnsi="Arial" w:cs="Arial"/>
          <w:i/>
          <w:sz w:val="20"/>
          <w:szCs w:val="20"/>
        </w:rPr>
        <w:t>Asian Pacific Journal of Tropical Medicine</w:t>
      </w:r>
      <w:r>
        <w:rPr>
          <w:rFonts w:ascii="Arial" w:hAnsi="Arial" w:cs="Arial"/>
          <w:sz w:val="20"/>
          <w:szCs w:val="20"/>
        </w:rPr>
        <w:t xml:space="preserve">, </w:t>
      </w:r>
      <w:r>
        <w:rPr>
          <w:rFonts w:ascii="Arial" w:hAnsi="Arial" w:cs="Arial"/>
          <w:b/>
          <w:sz w:val="20"/>
          <w:szCs w:val="20"/>
        </w:rPr>
        <w:t>20</w:t>
      </w:r>
      <w:r>
        <w:rPr>
          <w:rFonts w:ascii="Arial" w:hAnsi="Arial" w:cs="Arial"/>
          <w:sz w:val="20"/>
          <w:szCs w:val="20"/>
        </w:rPr>
        <w:t>: 62-66.</w:t>
      </w:r>
    </w:p>
    <w:p w:rsidR="00EE262F" w:rsidRDefault="00EE262F" w:rsidP="00EE262F">
      <w:pPr>
        <w:ind w:left="567" w:hanging="567"/>
        <w:jc w:val="both"/>
        <w:rPr>
          <w:rFonts w:ascii="Arial" w:hAnsi="Arial" w:cs="Arial"/>
          <w:sz w:val="20"/>
          <w:szCs w:val="20"/>
          <w:shd w:val="clear" w:color="auto" w:fill="FFFFFF"/>
        </w:rPr>
      </w:pPr>
      <w:r>
        <w:rPr>
          <w:rFonts w:ascii="Arial" w:hAnsi="Arial" w:cs="Arial"/>
          <w:sz w:val="20"/>
          <w:szCs w:val="20"/>
          <w:shd w:val="clear" w:color="auto" w:fill="FFFFFF"/>
        </w:rPr>
        <w:t xml:space="preserve">Yamamoto, K., Miki, Y., Sato, M., </w:t>
      </w:r>
      <w:proofErr w:type="spellStart"/>
      <w:r>
        <w:rPr>
          <w:rFonts w:ascii="Arial" w:hAnsi="Arial" w:cs="Arial"/>
          <w:sz w:val="20"/>
          <w:szCs w:val="20"/>
          <w:shd w:val="clear" w:color="auto" w:fill="FFFFFF"/>
        </w:rPr>
        <w:t>Taketomi</w:t>
      </w:r>
      <w:proofErr w:type="spellEnd"/>
      <w:r>
        <w:rPr>
          <w:rFonts w:ascii="Arial" w:hAnsi="Arial" w:cs="Arial"/>
          <w:sz w:val="20"/>
          <w:szCs w:val="20"/>
          <w:shd w:val="clear" w:color="auto" w:fill="FFFFFF"/>
        </w:rPr>
        <w:t xml:space="preserve">, Y., </w:t>
      </w:r>
      <w:proofErr w:type="spellStart"/>
      <w:r>
        <w:rPr>
          <w:rFonts w:ascii="Arial" w:hAnsi="Arial" w:cs="Arial"/>
          <w:sz w:val="20"/>
          <w:szCs w:val="20"/>
          <w:shd w:val="clear" w:color="auto" w:fill="FFFFFF"/>
        </w:rPr>
        <w:t>Nishito</w:t>
      </w:r>
      <w:proofErr w:type="spellEnd"/>
      <w:r>
        <w:rPr>
          <w:rFonts w:ascii="Arial" w:hAnsi="Arial" w:cs="Arial"/>
          <w:sz w:val="20"/>
          <w:szCs w:val="20"/>
          <w:shd w:val="clear" w:color="auto" w:fill="FFFFFF"/>
        </w:rPr>
        <w:t xml:space="preserve">, Y. and Taya, C. (2015).The role of group IIF-secreted phospholipase A2 in epidermal homeostasis and hyperplasia. Journal of Experimental Medicine, </w:t>
      </w:r>
      <w:r>
        <w:rPr>
          <w:rFonts w:ascii="Arial" w:hAnsi="Arial" w:cs="Arial"/>
          <w:b/>
          <w:sz w:val="20"/>
          <w:szCs w:val="20"/>
          <w:shd w:val="clear" w:color="auto" w:fill="FFFFFF"/>
        </w:rPr>
        <w:t>212</w:t>
      </w:r>
      <w:r>
        <w:rPr>
          <w:rFonts w:ascii="Arial" w:hAnsi="Arial" w:cs="Arial"/>
          <w:sz w:val="20"/>
          <w:szCs w:val="20"/>
          <w:shd w:val="clear" w:color="auto" w:fill="FFFFFF"/>
        </w:rPr>
        <w:t>:1901–1919.</w:t>
      </w:r>
    </w:p>
    <w:p w:rsidR="00EE262F" w:rsidRP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Joffre, J., &amp; Hellman, J. (2021). Oxidative stress and endothelial dysfunction in sepsis and acute inflammation. </w:t>
      </w:r>
      <w:r>
        <w:rPr>
          <w:rFonts w:ascii="Arial" w:hAnsi="Arial" w:cs="Arial"/>
          <w:i/>
          <w:iCs/>
          <w:color w:val="222222"/>
          <w:sz w:val="20"/>
          <w:szCs w:val="20"/>
          <w:shd w:val="clear" w:color="auto" w:fill="FFFFFF"/>
        </w:rPr>
        <w:t xml:space="preserve">Antioxidants &amp; redox </w:t>
      </w:r>
      <w:proofErr w:type="spellStart"/>
      <w:r>
        <w:rPr>
          <w:rFonts w:ascii="Arial" w:hAnsi="Arial" w:cs="Arial"/>
          <w:i/>
          <w:iCs/>
          <w:color w:val="222222"/>
          <w:sz w:val="20"/>
          <w:szCs w:val="20"/>
          <w:shd w:val="clear" w:color="auto" w:fill="FFFFFF"/>
        </w:rPr>
        <w:t>signaling</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35</w:t>
      </w:r>
      <w:r>
        <w:rPr>
          <w:rFonts w:ascii="Arial" w:hAnsi="Arial" w:cs="Arial"/>
          <w:color w:val="222222"/>
          <w:sz w:val="20"/>
          <w:szCs w:val="20"/>
          <w:shd w:val="clear" w:color="auto" w:fill="FFFFFF"/>
        </w:rPr>
        <w:t>(15), 1291-1307.</w:t>
      </w:r>
    </w:p>
    <w:p w:rsidR="00EE262F" w:rsidRDefault="00EE262F" w:rsidP="00EE262F">
      <w:pPr>
        <w:ind w:left="567" w:hanging="567"/>
        <w:jc w:val="both"/>
        <w:rPr>
          <w:rFonts w:ascii="Arial" w:hAnsi="Arial" w:cs="Arial"/>
          <w:bCs/>
          <w:sz w:val="20"/>
          <w:szCs w:val="20"/>
        </w:rPr>
      </w:pPr>
      <w:r>
        <w:rPr>
          <w:rFonts w:ascii="Arial" w:hAnsi="Arial" w:cs="Arial"/>
          <w:bCs/>
          <w:sz w:val="20"/>
          <w:szCs w:val="20"/>
        </w:rPr>
        <w:t xml:space="preserve">Dar, S. A., </w:t>
      </w:r>
      <w:proofErr w:type="spellStart"/>
      <w:r>
        <w:rPr>
          <w:rFonts w:ascii="Arial" w:hAnsi="Arial" w:cs="Arial"/>
          <w:bCs/>
          <w:sz w:val="20"/>
          <w:szCs w:val="20"/>
        </w:rPr>
        <w:t>Yousuf</w:t>
      </w:r>
      <w:proofErr w:type="spellEnd"/>
      <w:r>
        <w:rPr>
          <w:rFonts w:ascii="Arial" w:hAnsi="Arial" w:cs="Arial"/>
          <w:bCs/>
          <w:sz w:val="20"/>
          <w:szCs w:val="20"/>
        </w:rPr>
        <w:t xml:space="preserve">, A. R., </w:t>
      </w:r>
      <w:proofErr w:type="spellStart"/>
      <w:r>
        <w:rPr>
          <w:rFonts w:ascii="Arial" w:hAnsi="Arial" w:cs="Arial"/>
          <w:bCs/>
          <w:sz w:val="20"/>
          <w:szCs w:val="20"/>
        </w:rPr>
        <w:t>Ganai</w:t>
      </w:r>
      <w:proofErr w:type="spellEnd"/>
      <w:r>
        <w:rPr>
          <w:rFonts w:ascii="Arial" w:hAnsi="Arial" w:cs="Arial"/>
          <w:bCs/>
          <w:sz w:val="20"/>
          <w:szCs w:val="20"/>
        </w:rPr>
        <w:t xml:space="preserve">, F. A., Sharma, P., Kumar, N. and Singh, R. (2012). Bioassay guided isolation and identification of anti-inflammatory and anti-microbial compounds from </w:t>
      </w:r>
      <w:proofErr w:type="spellStart"/>
      <w:r>
        <w:rPr>
          <w:rFonts w:ascii="Arial" w:hAnsi="Arial" w:cs="Arial"/>
          <w:bCs/>
          <w:i/>
          <w:iCs/>
          <w:sz w:val="20"/>
          <w:szCs w:val="20"/>
        </w:rPr>
        <w:t>Urticadioca</w:t>
      </w:r>
      <w:proofErr w:type="spellEnd"/>
      <w:r>
        <w:rPr>
          <w:rFonts w:ascii="Arial" w:hAnsi="Arial" w:cs="Arial"/>
          <w:bCs/>
          <w:i/>
          <w:iCs/>
          <w:sz w:val="20"/>
          <w:szCs w:val="20"/>
        </w:rPr>
        <w:t xml:space="preserve"> L</w:t>
      </w:r>
      <w:r>
        <w:rPr>
          <w:rFonts w:ascii="Arial" w:hAnsi="Arial" w:cs="Arial"/>
          <w:bCs/>
          <w:sz w:val="20"/>
          <w:szCs w:val="20"/>
        </w:rPr>
        <w:t>. (</w:t>
      </w:r>
      <w:proofErr w:type="spellStart"/>
      <w:r>
        <w:rPr>
          <w:rFonts w:ascii="Arial" w:hAnsi="Arial" w:cs="Arial"/>
          <w:bCs/>
          <w:sz w:val="20"/>
          <w:szCs w:val="20"/>
        </w:rPr>
        <w:t>Urticaceae</w:t>
      </w:r>
      <w:proofErr w:type="spellEnd"/>
      <w:r>
        <w:rPr>
          <w:rFonts w:ascii="Arial" w:hAnsi="Arial" w:cs="Arial"/>
          <w:bCs/>
          <w:sz w:val="20"/>
          <w:szCs w:val="20"/>
        </w:rPr>
        <w:t xml:space="preserve">) leaves. </w:t>
      </w:r>
      <w:r>
        <w:rPr>
          <w:rFonts w:ascii="Arial" w:hAnsi="Arial" w:cs="Arial"/>
          <w:bCs/>
          <w:i/>
          <w:iCs/>
          <w:sz w:val="20"/>
          <w:szCs w:val="20"/>
        </w:rPr>
        <w:t>African Journal of Biotechnology</w:t>
      </w:r>
      <w:r>
        <w:rPr>
          <w:rFonts w:ascii="Arial" w:hAnsi="Arial" w:cs="Arial"/>
          <w:bCs/>
          <w:sz w:val="20"/>
          <w:szCs w:val="20"/>
        </w:rPr>
        <w:t xml:space="preserve">, </w:t>
      </w:r>
      <w:r>
        <w:rPr>
          <w:rFonts w:ascii="Arial" w:hAnsi="Arial" w:cs="Arial"/>
          <w:b/>
          <w:bCs/>
          <w:sz w:val="20"/>
          <w:szCs w:val="20"/>
        </w:rPr>
        <w:t>11</w:t>
      </w:r>
      <w:r>
        <w:rPr>
          <w:rFonts w:ascii="Arial" w:hAnsi="Arial" w:cs="Arial"/>
          <w:bCs/>
          <w:sz w:val="20"/>
          <w:szCs w:val="20"/>
        </w:rPr>
        <w:t>: 12910-12920.</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Al-</w:t>
      </w:r>
      <w:proofErr w:type="spellStart"/>
      <w:r>
        <w:rPr>
          <w:rFonts w:ascii="Arial" w:hAnsi="Arial" w:cs="Arial"/>
          <w:color w:val="222222"/>
          <w:sz w:val="20"/>
          <w:szCs w:val="20"/>
          <w:shd w:val="clear" w:color="auto" w:fill="FFFFFF"/>
        </w:rPr>
        <w:t>Khayri</w:t>
      </w:r>
      <w:proofErr w:type="spellEnd"/>
      <w:r>
        <w:rPr>
          <w:rFonts w:ascii="Arial" w:hAnsi="Arial" w:cs="Arial"/>
          <w:color w:val="222222"/>
          <w:sz w:val="20"/>
          <w:szCs w:val="20"/>
          <w:shd w:val="clear" w:color="auto" w:fill="FFFFFF"/>
        </w:rPr>
        <w:t xml:space="preserve">, J. M., </w:t>
      </w:r>
      <w:proofErr w:type="spellStart"/>
      <w:r>
        <w:rPr>
          <w:rFonts w:ascii="Arial" w:hAnsi="Arial" w:cs="Arial"/>
          <w:color w:val="222222"/>
          <w:sz w:val="20"/>
          <w:szCs w:val="20"/>
          <w:shd w:val="clear" w:color="auto" w:fill="FFFFFF"/>
        </w:rPr>
        <w:t>Sahana</w:t>
      </w:r>
      <w:proofErr w:type="spellEnd"/>
      <w:r>
        <w:rPr>
          <w:rFonts w:ascii="Arial" w:hAnsi="Arial" w:cs="Arial"/>
          <w:color w:val="222222"/>
          <w:sz w:val="20"/>
          <w:szCs w:val="20"/>
          <w:shd w:val="clear" w:color="auto" w:fill="FFFFFF"/>
        </w:rPr>
        <w:t xml:space="preserve">, G. R., </w:t>
      </w:r>
      <w:proofErr w:type="spellStart"/>
      <w:r>
        <w:rPr>
          <w:rFonts w:ascii="Arial" w:hAnsi="Arial" w:cs="Arial"/>
          <w:color w:val="222222"/>
          <w:sz w:val="20"/>
          <w:szCs w:val="20"/>
          <w:shd w:val="clear" w:color="auto" w:fill="FFFFFF"/>
        </w:rPr>
        <w:t>Nagella</w:t>
      </w:r>
      <w:proofErr w:type="spellEnd"/>
      <w:r>
        <w:rPr>
          <w:rFonts w:ascii="Arial" w:hAnsi="Arial" w:cs="Arial"/>
          <w:color w:val="222222"/>
          <w:sz w:val="20"/>
          <w:szCs w:val="20"/>
          <w:shd w:val="clear" w:color="auto" w:fill="FFFFFF"/>
        </w:rPr>
        <w:t xml:space="preserve">, P., Joseph, B. V., </w:t>
      </w:r>
      <w:proofErr w:type="spellStart"/>
      <w:r>
        <w:rPr>
          <w:rFonts w:ascii="Arial" w:hAnsi="Arial" w:cs="Arial"/>
          <w:color w:val="222222"/>
          <w:sz w:val="20"/>
          <w:szCs w:val="20"/>
          <w:shd w:val="clear" w:color="auto" w:fill="FFFFFF"/>
        </w:rPr>
        <w:t>Alessa</w:t>
      </w:r>
      <w:proofErr w:type="spellEnd"/>
      <w:r>
        <w:rPr>
          <w:rFonts w:ascii="Arial" w:hAnsi="Arial" w:cs="Arial"/>
          <w:color w:val="222222"/>
          <w:sz w:val="20"/>
          <w:szCs w:val="20"/>
          <w:shd w:val="clear" w:color="auto" w:fill="FFFFFF"/>
        </w:rPr>
        <w:t>, F. M., &amp; Al-</w:t>
      </w:r>
      <w:proofErr w:type="spellStart"/>
      <w:r>
        <w:rPr>
          <w:rFonts w:ascii="Arial" w:hAnsi="Arial" w:cs="Arial"/>
          <w:color w:val="222222"/>
          <w:sz w:val="20"/>
          <w:szCs w:val="20"/>
          <w:shd w:val="clear" w:color="auto" w:fill="FFFFFF"/>
        </w:rPr>
        <w:t>Mssallem</w:t>
      </w:r>
      <w:proofErr w:type="spellEnd"/>
      <w:r>
        <w:rPr>
          <w:rFonts w:ascii="Arial" w:hAnsi="Arial" w:cs="Arial"/>
          <w:color w:val="222222"/>
          <w:sz w:val="20"/>
          <w:szCs w:val="20"/>
          <w:shd w:val="clear" w:color="auto" w:fill="FFFFFF"/>
        </w:rPr>
        <w:t>, M. Q. (2022). Flavonoids as potential anti-inflammatory molecules: A review. </w:t>
      </w:r>
      <w:r>
        <w:rPr>
          <w:rFonts w:ascii="Arial" w:hAnsi="Arial" w:cs="Arial"/>
          <w:i/>
          <w:iCs/>
          <w:color w:val="222222"/>
          <w:sz w:val="20"/>
          <w:szCs w:val="20"/>
          <w:shd w:val="clear" w:color="auto" w:fill="FFFFFF"/>
        </w:rPr>
        <w:t>Molecules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(9), 2901.</w:t>
      </w:r>
    </w:p>
    <w:p w:rsidR="00EE262F" w:rsidRPr="00065191" w:rsidRDefault="00EE262F" w:rsidP="00EE262F">
      <w:pPr>
        <w:spacing w:after="0"/>
        <w:ind w:left="720" w:hanging="720"/>
        <w:jc w:val="both"/>
        <w:rPr>
          <w:rFonts w:ascii="Arial" w:hAnsi="Arial" w:cs="Arial"/>
          <w:sz w:val="20"/>
          <w:szCs w:val="20"/>
          <w:lang w:val="en-IN"/>
        </w:rPr>
      </w:pPr>
    </w:p>
    <w:p w:rsidR="00EE262F" w:rsidRDefault="00EE262F" w:rsidP="00EE262F">
      <w:pPr>
        <w:ind w:left="567" w:hanging="567"/>
        <w:jc w:val="both"/>
        <w:rPr>
          <w:rFonts w:ascii="Arial" w:hAnsi="Arial" w:cs="Arial"/>
          <w:sz w:val="20"/>
          <w:szCs w:val="20"/>
        </w:rPr>
      </w:pPr>
    </w:p>
    <w:p w:rsidR="00EE262F" w:rsidRDefault="00EE262F" w:rsidP="00EE262F">
      <w:pPr>
        <w:ind w:left="720" w:hanging="720"/>
        <w:jc w:val="both"/>
        <w:rPr>
          <w:rFonts w:ascii="Arial" w:hAnsi="Arial" w:cs="Arial"/>
          <w:color w:val="222222"/>
          <w:sz w:val="20"/>
          <w:szCs w:val="20"/>
          <w:shd w:val="clear" w:color="auto" w:fill="FFFFFF"/>
        </w:rPr>
      </w:pPr>
    </w:p>
    <w:p w:rsidR="00EE262F" w:rsidRPr="009C5DE1" w:rsidRDefault="00EE262F" w:rsidP="00EE262F">
      <w:pPr>
        <w:rPr>
          <w:rFonts w:ascii="Arial" w:hAnsi="Arial" w:cs="Arial"/>
          <w:sz w:val="20"/>
          <w:szCs w:val="20"/>
        </w:rPr>
      </w:pPr>
    </w:p>
    <w:p w:rsidR="00377729" w:rsidRPr="00573DC1" w:rsidRDefault="00377729" w:rsidP="00377729">
      <w:pPr>
        <w:rPr>
          <w:sz w:val="20"/>
          <w:szCs w:val="20"/>
        </w:rPr>
      </w:pPr>
    </w:p>
    <w:p w:rsidR="00341D63" w:rsidRDefault="00341D63">
      <w:pPr>
        <w:spacing w:line="240" w:lineRule="auto"/>
        <w:ind w:left="720" w:hanging="720"/>
        <w:jc w:val="both"/>
        <w:rPr>
          <w:rFonts w:ascii="Arial" w:hAnsi="Arial" w:cs="Arial"/>
          <w:sz w:val="20"/>
          <w:szCs w:val="20"/>
        </w:rPr>
      </w:pPr>
    </w:p>
    <w:sectPr w:rsidR="00341D63" w:rsidSect="00341D6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DCA" w:rsidRDefault="00AC0DCA">
      <w:pPr>
        <w:spacing w:after="0" w:line="240" w:lineRule="auto"/>
      </w:pPr>
      <w:r>
        <w:separator/>
      </w:r>
    </w:p>
  </w:endnote>
  <w:endnote w:type="continuationSeparator" w:id="0">
    <w:p w:rsidR="00AC0DCA" w:rsidRDefault="00AC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68" w:rsidRDefault="00E85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68" w:rsidRDefault="00E85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68" w:rsidRDefault="00E85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DCA" w:rsidRDefault="00AC0DCA">
      <w:pPr>
        <w:spacing w:after="0" w:line="240" w:lineRule="auto"/>
      </w:pPr>
      <w:r>
        <w:separator/>
      </w:r>
    </w:p>
  </w:footnote>
  <w:footnote w:type="continuationSeparator" w:id="0">
    <w:p w:rsidR="00AC0DCA" w:rsidRDefault="00AC0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68" w:rsidRDefault="00AC0D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91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68" w:rsidRDefault="00AC0D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91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68" w:rsidRDefault="00AC0D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91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94A21"/>
    <w:multiLevelType w:val="hybridMultilevel"/>
    <w:tmpl w:val="389AB6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851F3"/>
    <w:multiLevelType w:val="multilevel"/>
    <w:tmpl w:val="5EBE3AE0"/>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45603B83"/>
    <w:multiLevelType w:val="multilevel"/>
    <w:tmpl w:val="B9CC5DF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64816FCA"/>
    <w:multiLevelType w:val="hybridMultilevel"/>
    <w:tmpl w:val="D744D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DA5534"/>
    <w:multiLevelType w:val="hybridMultilevel"/>
    <w:tmpl w:val="C46CED7C"/>
    <w:lvl w:ilvl="0" w:tplc="5ACA707C">
      <w:start w:val="1"/>
      <w:numFmt w:val="bullet"/>
      <w:lvlText w:val=""/>
      <w:lvlJc w:val="left"/>
      <w:pPr>
        <w:tabs>
          <w:tab w:val="num" w:pos="720"/>
        </w:tabs>
        <w:ind w:left="720" w:hanging="360"/>
      </w:pPr>
      <w:rPr>
        <w:rFonts w:ascii="Wingdings" w:hAnsi="Wingdings" w:hint="default"/>
      </w:rPr>
    </w:lvl>
    <w:lvl w:ilvl="1" w:tplc="BF8022D8" w:tentative="1">
      <w:start w:val="1"/>
      <w:numFmt w:val="bullet"/>
      <w:lvlText w:val=""/>
      <w:lvlJc w:val="left"/>
      <w:pPr>
        <w:tabs>
          <w:tab w:val="num" w:pos="1440"/>
        </w:tabs>
        <w:ind w:left="1440" w:hanging="360"/>
      </w:pPr>
      <w:rPr>
        <w:rFonts w:ascii="Wingdings" w:hAnsi="Wingdings" w:hint="default"/>
      </w:rPr>
    </w:lvl>
    <w:lvl w:ilvl="2" w:tplc="247285FE" w:tentative="1">
      <w:start w:val="1"/>
      <w:numFmt w:val="bullet"/>
      <w:lvlText w:val=""/>
      <w:lvlJc w:val="left"/>
      <w:pPr>
        <w:tabs>
          <w:tab w:val="num" w:pos="2160"/>
        </w:tabs>
        <w:ind w:left="2160" w:hanging="360"/>
      </w:pPr>
      <w:rPr>
        <w:rFonts w:ascii="Wingdings" w:hAnsi="Wingdings" w:hint="default"/>
      </w:rPr>
    </w:lvl>
    <w:lvl w:ilvl="3" w:tplc="DD1292EA" w:tentative="1">
      <w:start w:val="1"/>
      <w:numFmt w:val="bullet"/>
      <w:lvlText w:val=""/>
      <w:lvlJc w:val="left"/>
      <w:pPr>
        <w:tabs>
          <w:tab w:val="num" w:pos="2880"/>
        </w:tabs>
        <w:ind w:left="2880" w:hanging="360"/>
      </w:pPr>
      <w:rPr>
        <w:rFonts w:ascii="Wingdings" w:hAnsi="Wingdings" w:hint="default"/>
      </w:rPr>
    </w:lvl>
    <w:lvl w:ilvl="4" w:tplc="ACD01206" w:tentative="1">
      <w:start w:val="1"/>
      <w:numFmt w:val="bullet"/>
      <w:lvlText w:val=""/>
      <w:lvlJc w:val="left"/>
      <w:pPr>
        <w:tabs>
          <w:tab w:val="num" w:pos="3600"/>
        </w:tabs>
        <w:ind w:left="3600" w:hanging="360"/>
      </w:pPr>
      <w:rPr>
        <w:rFonts w:ascii="Wingdings" w:hAnsi="Wingdings" w:hint="default"/>
      </w:rPr>
    </w:lvl>
    <w:lvl w:ilvl="5" w:tplc="DC205996" w:tentative="1">
      <w:start w:val="1"/>
      <w:numFmt w:val="bullet"/>
      <w:lvlText w:val=""/>
      <w:lvlJc w:val="left"/>
      <w:pPr>
        <w:tabs>
          <w:tab w:val="num" w:pos="4320"/>
        </w:tabs>
        <w:ind w:left="4320" w:hanging="360"/>
      </w:pPr>
      <w:rPr>
        <w:rFonts w:ascii="Wingdings" w:hAnsi="Wingdings" w:hint="default"/>
      </w:rPr>
    </w:lvl>
    <w:lvl w:ilvl="6" w:tplc="2280D17C" w:tentative="1">
      <w:start w:val="1"/>
      <w:numFmt w:val="bullet"/>
      <w:lvlText w:val=""/>
      <w:lvlJc w:val="left"/>
      <w:pPr>
        <w:tabs>
          <w:tab w:val="num" w:pos="5040"/>
        </w:tabs>
        <w:ind w:left="5040" w:hanging="360"/>
      </w:pPr>
      <w:rPr>
        <w:rFonts w:ascii="Wingdings" w:hAnsi="Wingdings" w:hint="default"/>
      </w:rPr>
    </w:lvl>
    <w:lvl w:ilvl="7" w:tplc="2BA23B5A" w:tentative="1">
      <w:start w:val="1"/>
      <w:numFmt w:val="bullet"/>
      <w:lvlText w:val=""/>
      <w:lvlJc w:val="left"/>
      <w:pPr>
        <w:tabs>
          <w:tab w:val="num" w:pos="5760"/>
        </w:tabs>
        <w:ind w:left="5760" w:hanging="360"/>
      </w:pPr>
      <w:rPr>
        <w:rFonts w:ascii="Wingdings" w:hAnsi="Wingdings" w:hint="default"/>
      </w:rPr>
    </w:lvl>
    <w:lvl w:ilvl="8" w:tplc="47AC099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41D63"/>
    <w:rsid w:val="00065191"/>
    <w:rsid w:val="002C7BED"/>
    <w:rsid w:val="00341D63"/>
    <w:rsid w:val="00377729"/>
    <w:rsid w:val="004343CF"/>
    <w:rsid w:val="004D6ABB"/>
    <w:rsid w:val="00574629"/>
    <w:rsid w:val="0065775C"/>
    <w:rsid w:val="00804F65"/>
    <w:rsid w:val="008E01C3"/>
    <w:rsid w:val="00A87683"/>
    <w:rsid w:val="00AC0DCA"/>
    <w:rsid w:val="00C11A99"/>
    <w:rsid w:val="00CB2A1A"/>
    <w:rsid w:val="00D05873"/>
    <w:rsid w:val="00D7068C"/>
    <w:rsid w:val="00DA1C85"/>
    <w:rsid w:val="00E85168"/>
    <w:rsid w:val="00EE262F"/>
    <w:rsid w:val="00F30F9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92E024"/>
  <w15:docId w15:val="{664F2B9A-1513-4D93-A04C-D301CED5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D63"/>
  </w:style>
  <w:style w:type="paragraph" w:styleId="Heading4">
    <w:name w:val="heading 4"/>
    <w:basedOn w:val="Normal"/>
    <w:link w:val="Heading4Char"/>
    <w:uiPriority w:val="9"/>
    <w:qFormat/>
    <w:rsid w:val="00341D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1D6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41D63"/>
    <w:rPr>
      <w:color w:val="0000FF" w:themeColor="hyperlink"/>
      <w:u w:val="single"/>
    </w:rPr>
  </w:style>
  <w:style w:type="character" w:styleId="Emphasis">
    <w:name w:val="Emphasis"/>
    <w:basedOn w:val="DefaultParagraphFont"/>
    <w:uiPriority w:val="20"/>
    <w:qFormat/>
    <w:rsid w:val="00341D63"/>
    <w:rPr>
      <w:i/>
      <w:iCs/>
    </w:rPr>
  </w:style>
  <w:style w:type="paragraph" w:styleId="ListParagraph">
    <w:name w:val="List Paragraph"/>
    <w:basedOn w:val="Normal"/>
    <w:uiPriority w:val="34"/>
    <w:qFormat/>
    <w:rsid w:val="00341D63"/>
    <w:pPr>
      <w:spacing w:after="160" w:line="259" w:lineRule="auto"/>
      <w:ind w:left="720"/>
      <w:contextualSpacing/>
    </w:pPr>
    <w:rPr>
      <w:rFonts w:eastAsiaTheme="minorHAnsi"/>
      <w:lang w:eastAsia="en-US"/>
    </w:rPr>
  </w:style>
  <w:style w:type="character" w:customStyle="1" w:styleId="BalloonTextChar">
    <w:name w:val="Balloon Text Char"/>
    <w:basedOn w:val="DefaultParagraphFont"/>
    <w:link w:val="BalloonText"/>
    <w:uiPriority w:val="99"/>
    <w:semiHidden/>
    <w:rsid w:val="00341D63"/>
    <w:rPr>
      <w:rFonts w:ascii="Tahoma" w:hAnsi="Tahoma" w:cs="Tahoma"/>
      <w:sz w:val="16"/>
      <w:szCs w:val="16"/>
    </w:rPr>
  </w:style>
  <w:style w:type="paragraph" w:styleId="BalloonText">
    <w:name w:val="Balloon Text"/>
    <w:basedOn w:val="Normal"/>
    <w:link w:val="BalloonTextChar"/>
    <w:uiPriority w:val="99"/>
    <w:semiHidden/>
    <w:unhideWhenUsed/>
    <w:rsid w:val="00341D63"/>
    <w:pPr>
      <w:spacing w:after="0" w:line="240" w:lineRule="auto"/>
    </w:pPr>
    <w:rPr>
      <w:rFonts w:ascii="Tahoma" w:hAnsi="Tahoma" w:cs="Tahoma"/>
      <w:sz w:val="16"/>
      <w:szCs w:val="16"/>
    </w:rPr>
  </w:style>
  <w:style w:type="table" w:customStyle="1" w:styleId="PlainTable31">
    <w:name w:val="Plain Table 31"/>
    <w:basedOn w:val="TableNormal"/>
    <w:uiPriority w:val="43"/>
    <w:rsid w:val="00341D63"/>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341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D63"/>
  </w:style>
  <w:style w:type="paragraph" w:styleId="Footer">
    <w:name w:val="footer"/>
    <w:basedOn w:val="Normal"/>
    <w:link w:val="FooterChar"/>
    <w:uiPriority w:val="99"/>
    <w:unhideWhenUsed/>
    <w:rsid w:val="00341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D63"/>
  </w:style>
  <w:style w:type="paragraph" w:customStyle="1" w:styleId="Default">
    <w:name w:val="Default"/>
    <w:rsid w:val="00341D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peripheral" TargetMode="External"/><Relationship Id="rId13" Type="http://schemas.openxmlformats.org/officeDocument/2006/relationships/hyperlink" Target="https://link.springer.com/article/10.1186/s40816-019-0145-8"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ritannica.com/science/heat" TargetMode="External"/><Relationship Id="rId12" Type="http://schemas.openxmlformats.org/officeDocument/2006/relationships/hyperlink" Target="https://www.merriam-webster.com/dictionary/inhibi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science/prostaglandi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ritannica.com/science/serotoni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ritannica.com/science/edema" TargetMode="External"/><Relationship Id="rId14" Type="http://schemas.openxmlformats.org/officeDocument/2006/relationships/hyperlink" Target="https://link.springer.com/article/10.1007/s42250-022-00569-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27</Pages>
  <Words>7779</Words>
  <Characters>44345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1117</cp:lastModifiedBy>
  <cp:revision>19</cp:revision>
  <dcterms:created xsi:type="dcterms:W3CDTF">2025-07-22T19:38:00Z</dcterms:created>
  <dcterms:modified xsi:type="dcterms:W3CDTF">2025-08-08T11:15:00Z</dcterms:modified>
</cp:coreProperties>
</file>