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6D6" w:rsidRDefault="008426D6" w:rsidP="000112D1">
      <w:pPr>
        <w:spacing w:after="0" w:line="240" w:lineRule="auto"/>
        <w:jc w:val="center"/>
        <w:rPr>
          <w:rFonts w:ascii="Times New Roman" w:hAnsi="Times New Roman" w:cs="Times New Roman"/>
          <w:b/>
          <w:bCs/>
          <w:sz w:val="24"/>
          <w:szCs w:val="24"/>
        </w:rPr>
      </w:pPr>
      <w:r w:rsidRPr="008426D6">
        <w:rPr>
          <w:rFonts w:ascii="Times New Roman" w:hAnsi="Times New Roman" w:cs="Times New Roman"/>
          <w:b/>
          <w:bCs/>
          <w:sz w:val="24"/>
          <w:szCs w:val="24"/>
          <w:highlight w:val="yellow"/>
        </w:rPr>
        <w:t>Original Research Article</w:t>
      </w:r>
    </w:p>
    <w:p w:rsidR="008426D6" w:rsidRDefault="008426D6" w:rsidP="000112D1">
      <w:pPr>
        <w:spacing w:after="0" w:line="240" w:lineRule="auto"/>
        <w:jc w:val="center"/>
        <w:rPr>
          <w:rFonts w:ascii="Times New Roman" w:hAnsi="Times New Roman" w:cs="Times New Roman"/>
          <w:b/>
          <w:bCs/>
          <w:sz w:val="24"/>
          <w:szCs w:val="24"/>
        </w:rPr>
      </w:pPr>
    </w:p>
    <w:p w:rsidR="000112D1" w:rsidRDefault="000112D1" w:rsidP="000112D1">
      <w:pPr>
        <w:spacing w:after="0" w:line="240" w:lineRule="auto"/>
        <w:jc w:val="center"/>
        <w:rPr>
          <w:rFonts w:ascii="Times New Roman" w:hAnsi="Times New Roman" w:cs="Times New Roman"/>
          <w:b/>
          <w:bCs/>
          <w:sz w:val="24"/>
          <w:szCs w:val="24"/>
        </w:rPr>
      </w:pPr>
      <w:r w:rsidRPr="00DF28D2">
        <w:rPr>
          <w:rFonts w:ascii="Times New Roman" w:hAnsi="Times New Roman" w:cs="Times New Roman"/>
          <w:b/>
          <w:bCs/>
          <w:sz w:val="24"/>
          <w:szCs w:val="24"/>
        </w:rPr>
        <w:t>The Transition from Look East</w:t>
      </w:r>
      <w:r w:rsidR="00C06974" w:rsidRPr="00DF28D2">
        <w:rPr>
          <w:rFonts w:ascii="Times New Roman" w:hAnsi="Times New Roman" w:cs="Times New Roman"/>
          <w:b/>
          <w:bCs/>
          <w:sz w:val="24"/>
          <w:szCs w:val="24"/>
        </w:rPr>
        <w:t xml:space="preserve"> </w:t>
      </w:r>
      <w:r w:rsidR="00C77F10" w:rsidRPr="00CC2771">
        <w:rPr>
          <w:rFonts w:ascii="Times New Roman" w:hAnsi="Times New Roman" w:cs="Times New Roman"/>
          <w:b/>
          <w:bCs/>
          <w:sz w:val="24"/>
          <w:szCs w:val="24"/>
          <w:highlight w:val="yellow"/>
        </w:rPr>
        <w:t>Policy</w:t>
      </w:r>
      <w:r w:rsidRPr="00DF28D2">
        <w:rPr>
          <w:rFonts w:ascii="Times New Roman" w:hAnsi="Times New Roman" w:cs="Times New Roman"/>
          <w:b/>
          <w:bCs/>
          <w:sz w:val="24"/>
          <w:szCs w:val="24"/>
        </w:rPr>
        <w:t xml:space="preserve"> to Act East Policy</w:t>
      </w:r>
      <w:r w:rsidR="00F676E9" w:rsidRPr="00DF28D2">
        <w:rPr>
          <w:rFonts w:ascii="Times New Roman" w:hAnsi="Times New Roman" w:cs="Times New Roman"/>
          <w:b/>
          <w:bCs/>
          <w:sz w:val="24"/>
          <w:szCs w:val="24"/>
        </w:rPr>
        <w:t xml:space="preserve">: </w:t>
      </w:r>
      <w:r>
        <w:rPr>
          <w:rFonts w:ascii="Times New Roman" w:hAnsi="Times New Roman" w:cs="Times New Roman"/>
          <w:b/>
          <w:bCs/>
          <w:sz w:val="24"/>
          <w:szCs w:val="24"/>
        </w:rPr>
        <w:t>T</w:t>
      </w:r>
      <w:r w:rsidRPr="004322C8">
        <w:rPr>
          <w:rFonts w:ascii="Times New Roman" w:hAnsi="Times New Roman" w:cs="Times New Roman"/>
          <w:b/>
          <w:bCs/>
          <w:sz w:val="24"/>
          <w:szCs w:val="24"/>
        </w:rPr>
        <w:t>he Performance of Northeast India States</w:t>
      </w:r>
    </w:p>
    <w:p w:rsidR="00801812" w:rsidRDefault="00801812" w:rsidP="000112D1">
      <w:pPr>
        <w:spacing w:after="0" w:line="240" w:lineRule="auto"/>
        <w:jc w:val="center"/>
        <w:rPr>
          <w:rFonts w:ascii="Times New Roman" w:hAnsi="Times New Roman" w:cs="Times New Roman"/>
          <w:b/>
          <w:bCs/>
          <w:sz w:val="24"/>
          <w:szCs w:val="24"/>
        </w:rPr>
      </w:pPr>
    </w:p>
    <w:p w:rsidR="00801812" w:rsidRDefault="00801812" w:rsidP="000112D1">
      <w:pPr>
        <w:spacing w:after="0" w:line="240" w:lineRule="auto"/>
        <w:jc w:val="center"/>
        <w:rPr>
          <w:rFonts w:ascii="Times New Roman" w:hAnsi="Times New Roman" w:cs="Times New Roman"/>
          <w:b/>
          <w:bCs/>
          <w:sz w:val="24"/>
          <w:szCs w:val="24"/>
        </w:rPr>
      </w:pPr>
      <w:bookmarkStart w:id="0" w:name="_GoBack"/>
      <w:bookmarkEnd w:id="0"/>
    </w:p>
    <w:p w:rsidR="000112D1" w:rsidRDefault="000112D1" w:rsidP="000112D1"/>
    <w:p w:rsidR="000112D1" w:rsidRDefault="000112D1" w:rsidP="000112D1">
      <w:pPr>
        <w:jc w:val="center"/>
        <w:rPr>
          <w:rFonts w:ascii="Times New Roman" w:hAnsi="Times New Roman" w:cs="Times New Roman"/>
          <w:b/>
          <w:bCs/>
          <w:sz w:val="24"/>
          <w:szCs w:val="24"/>
        </w:rPr>
      </w:pPr>
      <w:r w:rsidRPr="002A6CE4">
        <w:rPr>
          <w:rFonts w:ascii="Times New Roman" w:hAnsi="Times New Roman" w:cs="Times New Roman"/>
          <w:b/>
          <w:bCs/>
          <w:sz w:val="24"/>
          <w:szCs w:val="24"/>
        </w:rPr>
        <w:t>Abstract</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paper made a comparative study of the performance</w:t>
      </w:r>
      <w:r w:rsidRPr="00D93ED6">
        <w:rPr>
          <w:rFonts w:ascii="Times New Roman" w:hAnsi="Times New Roman" w:cs="Times New Roman"/>
          <w:sz w:val="24"/>
          <w:szCs w:val="24"/>
        </w:rPr>
        <w:t xml:space="preserve"> of NEI states in economic growth</w:t>
      </w:r>
      <w:r>
        <w:rPr>
          <w:rFonts w:ascii="Times New Roman" w:hAnsi="Times New Roman" w:cs="Times New Roman"/>
          <w:sz w:val="24"/>
          <w:szCs w:val="24"/>
        </w:rPr>
        <w:t xml:space="preserve">, trade and investment inflows </w:t>
      </w:r>
      <w:r w:rsidRPr="00D93ED6">
        <w:rPr>
          <w:rFonts w:ascii="Times New Roman" w:hAnsi="Times New Roman" w:cs="Times New Roman"/>
          <w:sz w:val="24"/>
          <w:szCs w:val="24"/>
        </w:rPr>
        <w:t>under Look East Policy (LEP)</w:t>
      </w:r>
      <w:r>
        <w:rPr>
          <w:rFonts w:ascii="Times New Roman" w:hAnsi="Times New Roman" w:cs="Times New Roman"/>
          <w:sz w:val="24"/>
          <w:szCs w:val="24"/>
        </w:rPr>
        <w:t xml:space="preserve"> and Act East Policy (AEP)</w:t>
      </w:r>
      <w:r w:rsidR="00CC2771">
        <w:rPr>
          <w:rFonts w:ascii="Times New Roman" w:hAnsi="Times New Roman" w:cs="Times New Roman"/>
          <w:sz w:val="24"/>
          <w:szCs w:val="24"/>
        </w:rPr>
        <w:t xml:space="preserve"> </w:t>
      </w:r>
      <w:r w:rsidR="00CC2771" w:rsidRPr="00F653EB">
        <w:rPr>
          <w:rFonts w:ascii="Times New Roman" w:hAnsi="Times New Roman" w:cs="Times New Roman"/>
          <w:sz w:val="24"/>
          <w:szCs w:val="24"/>
          <w:highlight w:val="yellow"/>
        </w:rPr>
        <w:t>based on secondary data</w:t>
      </w:r>
      <w:r>
        <w:rPr>
          <w:rFonts w:ascii="Times New Roman" w:hAnsi="Times New Roman" w:cs="Times New Roman"/>
          <w:sz w:val="24"/>
          <w:szCs w:val="24"/>
        </w:rPr>
        <w:t xml:space="preserve">. AEP is viewed as a paradigm shift in respect of NEI compared to LEP due to the renewed thrust on infrastructure and connectivity constructions since last decade. NEI states received much attention in connectivity development and investment allocations in infrastructure build up under AEP compared to LEP. But NEI states did not witness significant improvement in economic growth, trade and investment under AEP since last decade. In fact, average annual growth rate of NSDP (except Assam) and per-capita NSDP (except Assam and Mizoram) of NEI states decelerated under AEP compared to LEP.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question the ‘trade based’ development model in NEI despite much emphasis on connectivity development under AEP. </w:t>
      </w:r>
    </w:p>
    <w:p w:rsidR="000112D1" w:rsidRDefault="000112D1" w:rsidP="000112D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Key Words: LEP, AEP, NEI, Economic Growth, Trade, Investment</w:t>
      </w:r>
    </w:p>
    <w:p w:rsidR="000112D1" w:rsidRDefault="000112D1" w:rsidP="00F30DDF">
      <w:pPr>
        <w:spacing w:after="0" w:line="240" w:lineRule="auto"/>
        <w:jc w:val="center"/>
        <w:rPr>
          <w:rFonts w:ascii="Times New Roman" w:hAnsi="Times New Roman" w:cs="Times New Roman"/>
          <w:b/>
          <w:bCs/>
          <w:sz w:val="28"/>
          <w:szCs w:val="28"/>
        </w:rPr>
      </w:pPr>
    </w:p>
    <w:p w:rsidR="000112D1" w:rsidRDefault="000112D1" w:rsidP="00F30DDF">
      <w:pPr>
        <w:spacing w:after="0" w:line="240" w:lineRule="auto"/>
        <w:jc w:val="center"/>
        <w:rPr>
          <w:rFonts w:ascii="Times New Roman" w:hAnsi="Times New Roman" w:cs="Times New Roman"/>
          <w:b/>
          <w:bCs/>
          <w:sz w:val="28"/>
          <w:szCs w:val="28"/>
        </w:rPr>
      </w:pPr>
    </w:p>
    <w:p w:rsidR="00974F09" w:rsidRDefault="00974F09" w:rsidP="001A4DCA">
      <w:pPr>
        <w:spacing w:after="0" w:line="240" w:lineRule="auto"/>
        <w:jc w:val="center"/>
        <w:rPr>
          <w:rFonts w:ascii="Times New Roman" w:hAnsi="Times New Roman" w:cs="Times New Roman"/>
          <w:b/>
          <w:bCs/>
          <w:sz w:val="24"/>
          <w:szCs w:val="24"/>
        </w:rPr>
      </w:pPr>
    </w:p>
    <w:p w:rsidR="0081023A" w:rsidRDefault="00843284"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81023A">
        <w:rPr>
          <w:rFonts w:ascii="Times New Roman" w:hAnsi="Times New Roman" w:cs="Times New Roman"/>
          <w:b/>
          <w:bCs/>
          <w:sz w:val="24"/>
          <w:szCs w:val="24"/>
        </w:rPr>
        <w:t>Introduction</w:t>
      </w:r>
    </w:p>
    <w:p w:rsidR="00107523" w:rsidRPr="00262584" w:rsidRDefault="0013798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Northeast India (NEI) is still an economically ‘underdeveloped’ region of India even after three decades of economic reforms and liberalization. The economy of Northeast India can best be described with three numbers like 8, 4 and 3. This implies the region accounts for around 8 percent of total geographic area of India, around 4 percent of total population of the country but contributes only around 3 percent to India’s GDP. </w:t>
      </w:r>
    </w:p>
    <w:p w:rsidR="00DD4920" w:rsidRPr="00262584" w:rsidRDefault="00DD4920" w:rsidP="00DD4920">
      <w:pPr>
        <w:spacing w:after="0" w:line="240" w:lineRule="auto"/>
        <w:ind w:firstLine="720"/>
        <w:jc w:val="both"/>
        <w:rPr>
          <w:rFonts w:ascii="Times New Roman" w:hAnsi="Times New Roman" w:cs="Times New Roman"/>
          <w:sz w:val="24"/>
          <w:szCs w:val="24"/>
        </w:rPr>
      </w:pPr>
    </w:p>
    <w:p w:rsidR="00885EE4" w:rsidRPr="00262584" w:rsidRDefault="00885EE4"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A sizeable number of research papers, policy documents, reports have been published since independence to suggest policy measures for the development of NEI. Several development models have been suggested and institutions created for NEI to accelerate economic prosperity. Look East Policy (LEP) was one of such policies launched in 1990s to deepen economic ties of India with Southeast Asian countries. NEI became significant in the framework of LEP due to its strategic location so that the ‘landlocked’ region can integrate with growing Southeast Asian countries and expand trade and investments. But LEP as a ‘development strategy’ for NEI also failed (</w:t>
      </w:r>
      <w:r w:rsidRPr="005878EF">
        <w:rPr>
          <w:rFonts w:ascii="Times New Roman" w:hAnsi="Times New Roman" w:cs="Times New Roman"/>
          <w:sz w:val="24"/>
          <w:szCs w:val="24"/>
        </w:rPr>
        <w:t>Ghosh, 2024</w:t>
      </w:r>
      <w:r w:rsidRPr="00262584">
        <w:rPr>
          <w:rFonts w:ascii="Times New Roman" w:hAnsi="Times New Roman" w:cs="Times New Roman"/>
          <w:sz w:val="24"/>
          <w:szCs w:val="24"/>
        </w:rPr>
        <w:t>). The LEP failed to impact trade and investments and thereby economic growth in NEI because of lack of willingness and intention of the central government (</w:t>
      </w:r>
      <w:r w:rsidRPr="005878EF">
        <w:rPr>
          <w:rFonts w:ascii="Times New Roman" w:hAnsi="Times New Roman" w:cs="Times New Roman"/>
          <w:sz w:val="24"/>
          <w:szCs w:val="24"/>
        </w:rPr>
        <w:t>Srikanth, 2016; Fernandes, 2018</w:t>
      </w:r>
      <w:proofErr w:type="gramStart"/>
      <w:r w:rsidRPr="00262584">
        <w:rPr>
          <w:rFonts w:ascii="Times New Roman" w:hAnsi="Times New Roman" w:cs="Times New Roman"/>
          <w:sz w:val="24"/>
          <w:szCs w:val="24"/>
        </w:rPr>
        <w:t>).</w:t>
      </w:r>
      <w:proofErr w:type="spellStart"/>
      <w:r w:rsidRPr="00262584">
        <w:rPr>
          <w:rFonts w:ascii="Times New Roman" w:hAnsi="Times New Roman" w:cs="Times New Roman"/>
          <w:sz w:val="24"/>
          <w:szCs w:val="24"/>
        </w:rPr>
        <w:t>Thelack</w:t>
      </w:r>
      <w:proofErr w:type="spellEnd"/>
      <w:proofErr w:type="gramEnd"/>
      <w:r w:rsidRPr="00262584">
        <w:rPr>
          <w:rFonts w:ascii="Times New Roman" w:hAnsi="Times New Roman" w:cs="Times New Roman"/>
          <w:sz w:val="24"/>
          <w:szCs w:val="24"/>
        </w:rPr>
        <w:t xml:space="preserve"> of trade infrastructure and poor connectivity in the region and overall negligence of the government for a prolonged period made LEP not to work for the region. </w:t>
      </w:r>
    </w:p>
    <w:p w:rsidR="00885EE4" w:rsidRPr="00262584" w:rsidRDefault="00885EE4" w:rsidP="00DD4920">
      <w:pPr>
        <w:autoSpaceDE w:val="0"/>
        <w:autoSpaceDN w:val="0"/>
        <w:adjustRightInd w:val="0"/>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But the year 2014 marked a difference in this whole story with the reframing of the LEP to Act East Policy (AEP) by the new NDA government. AEP is the extended version of LEP with added features and coverage. The subtle distinctions between LEP and AEP include </w:t>
      </w:r>
      <w:r w:rsidRPr="00262584">
        <w:rPr>
          <w:rFonts w:ascii="Times New Roman" w:hAnsi="Times New Roman" w:cs="Times New Roman"/>
          <w:sz w:val="24"/>
          <w:szCs w:val="24"/>
        </w:rPr>
        <w:lastRenderedPageBreak/>
        <w:t xml:space="preserve">the extended coverage of the later to East Asia and Asia Pacific region and especially to CLMV countries, inclusion of other dimensions other than economic like strategic, political, cultural and security aspects and highlighting NEI as an integral part of India’s foreign policy and according this region as the main beneficiary and primary actor in the foreign policy concerning Southeast and East Asian countries. The massive infrastructure development and connectivity improvement projects in the region since last decade make AEP a new development policy for NEI. The main difference between LEP and AEP in NEI perspective is the willingness and intention of the government for speedy completion and implementation of the infrastructure and connectivity development creating possibilities for trade, tourism and investments in the region and thereby economic acceleration. In fact, the government has stressed upon ‘Act NEI’ under AEP since recent past to convert the region into a ‘growth engine’ in the country from a prolonged neglected and dependent territory. </w:t>
      </w:r>
      <w:r w:rsidRPr="00D920EA">
        <w:rPr>
          <w:rFonts w:ascii="Times New Roman" w:hAnsi="Times New Roman" w:cs="Times New Roman"/>
          <w:sz w:val="24"/>
          <w:szCs w:val="24"/>
        </w:rPr>
        <w:t xml:space="preserve">The present paper reviews AEP in the context of recent emphasis on connectivity constructions in NEI. The paper also investigates the achievements of NEI under AEP since last decade in major economic parameters. The primary objective of the paper is to compare the </w:t>
      </w:r>
      <w:r w:rsidR="00A15E50" w:rsidRPr="00D920EA">
        <w:rPr>
          <w:rFonts w:ascii="Times New Roman" w:hAnsi="Times New Roman" w:cs="Times New Roman"/>
          <w:sz w:val="24"/>
          <w:szCs w:val="24"/>
        </w:rPr>
        <w:t>achievements of NEI under LEP and A</w:t>
      </w:r>
      <w:r w:rsidR="0086533E" w:rsidRPr="00D920EA">
        <w:rPr>
          <w:rFonts w:ascii="Times New Roman" w:hAnsi="Times New Roman" w:cs="Times New Roman"/>
          <w:sz w:val="24"/>
          <w:szCs w:val="24"/>
        </w:rPr>
        <w:t>EP in major economic parameters</w:t>
      </w:r>
      <w:r w:rsidR="0086533E">
        <w:rPr>
          <w:rFonts w:ascii="Times New Roman" w:hAnsi="Times New Roman" w:cs="Times New Roman"/>
          <w:sz w:val="24"/>
          <w:szCs w:val="24"/>
        </w:rPr>
        <w:t xml:space="preserve"> given marked improvement in connectivity development. </w:t>
      </w:r>
    </w:p>
    <w:p w:rsidR="00C41303" w:rsidRPr="00262584" w:rsidRDefault="00C41303" w:rsidP="00DD4920">
      <w:pPr>
        <w:autoSpaceDE w:val="0"/>
        <w:autoSpaceDN w:val="0"/>
        <w:adjustRightInd w:val="0"/>
        <w:spacing w:after="0" w:line="240" w:lineRule="auto"/>
        <w:ind w:firstLine="720"/>
        <w:jc w:val="both"/>
        <w:rPr>
          <w:rFonts w:ascii="Times New Roman" w:hAnsi="Times New Roman" w:cs="Times New Roman"/>
          <w:sz w:val="24"/>
          <w:szCs w:val="24"/>
        </w:rPr>
      </w:pPr>
    </w:p>
    <w:p w:rsidR="00C41303" w:rsidRPr="00262584" w:rsidRDefault="00560DD0" w:rsidP="00DD4920">
      <w:pPr>
        <w:spacing w:line="240" w:lineRule="auto"/>
        <w:jc w:val="both"/>
        <w:rPr>
          <w:rFonts w:ascii="Times New Roman" w:hAnsi="Times New Roman" w:cs="Times New Roman"/>
          <w:sz w:val="24"/>
          <w:szCs w:val="24"/>
        </w:rPr>
      </w:pPr>
      <w:r w:rsidRPr="0086399F">
        <w:rPr>
          <w:rFonts w:ascii="Times New Roman" w:hAnsi="Times New Roman" w:cs="Times New Roman"/>
          <w:b/>
          <w:bCs/>
          <w:sz w:val="24"/>
          <w:szCs w:val="24"/>
        </w:rPr>
        <w:t>2.</w:t>
      </w:r>
      <w:r w:rsidR="0081023A" w:rsidRPr="00262584">
        <w:rPr>
          <w:rFonts w:ascii="Times New Roman" w:hAnsi="Times New Roman" w:cs="Times New Roman"/>
          <w:b/>
          <w:bCs/>
          <w:sz w:val="24"/>
          <w:szCs w:val="24"/>
        </w:rPr>
        <w:t>Review of Literature</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partition of India in 1947 converted the region as a ‘landlocked’ terrain making its accessibility really difficult. This is cited as one of the major reasons for economic backwardness of NEI. </w:t>
      </w:r>
      <w:r w:rsidRPr="00262584">
        <w:rPr>
          <w:rFonts w:ascii="Times New Roman" w:hAnsi="Times New Roman" w:cs="Times New Roman"/>
          <w:color w:val="000000"/>
          <w:sz w:val="24"/>
          <w:szCs w:val="24"/>
        </w:rPr>
        <w:t>The states of NEI remained economically underdeveloped due to poor connectivity, poor infrastructure, inadequate governance, low productivity of the factors of production, inadequate market access, high dependence on central grants, poor investments, severe inaccessibility and so on (</w:t>
      </w:r>
      <w:r w:rsidRPr="005878EF">
        <w:rPr>
          <w:rFonts w:ascii="Times New Roman" w:hAnsi="Times New Roman" w:cs="Times New Roman"/>
          <w:color w:val="000000"/>
          <w:sz w:val="24"/>
          <w:szCs w:val="24"/>
        </w:rPr>
        <w:t>Dikshit and Dikshit, 2014; MDONER and NEC, 2007; Bhattacharjee, 2011; Rao, 2009</w:t>
      </w:r>
      <w:r w:rsidRPr="00262584">
        <w:rPr>
          <w:rFonts w:ascii="Times New Roman" w:hAnsi="Times New Roman" w:cs="Times New Roman"/>
          <w:color w:val="000000"/>
          <w:sz w:val="24"/>
          <w:szCs w:val="24"/>
        </w:rPr>
        <w:t xml:space="preserve">). </w:t>
      </w:r>
      <w:proofErr w:type="spellStart"/>
      <w:r w:rsidRPr="005878EF">
        <w:rPr>
          <w:rFonts w:ascii="Times New Roman" w:hAnsi="Times New Roman" w:cs="Times New Roman"/>
          <w:color w:val="000000"/>
          <w:sz w:val="24"/>
          <w:szCs w:val="24"/>
        </w:rPr>
        <w:t>Sarma</w:t>
      </w:r>
      <w:proofErr w:type="spellEnd"/>
      <w:r w:rsidRPr="005878EF">
        <w:rPr>
          <w:rFonts w:ascii="Times New Roman" w:hAnsi="Times New Roman" w:cs="Times New Roman"/>
          <w:color w:val="000000"/>
          <w:sz w:val="24"/>
          <w:szCs w:val="24"/>
        </w:rPr>
        <w:t xml:space="preserve"> (2005)</w:t>
      </w:r>
      <w:r w:rsidRPr="00262584">
        <w:rPr>
          <w:rFonts w:ascii="Times New Roman" w:hAnsi="Times New Roman" w:cs="Times New Roman"/>
          <w:color w:val="000000"/>
          <w:sz w:val="24"/>
          <w:szCs w:val="24"/>
        </w:rPr>
        <w:t xml:space="preserve"> puts forward five I’s which still act as barriers in the development process of NEI: initial conditions, infrastructure deficiency, insurgency, imperfection in factor and product market and indifferent governance. </w:t>
      </w:r>
      <w:r w:rsidRPr="00262584">
        <w:rPr>
          <w:rFonts w:ascii="Times New Roman" w:hAnsi="Times New Roman" w:cs="Times New Roman"/>
          <w:sz w:val="24"/>
          <w:szCs w:val="24"/>
        </w:rPr>
        <w:t xml:space="preserve">According to </w:t>
      </w:r>
      <w:r w:rsidRPr="005878EF">
        <w:rPr>
          <w:rFonts w:ascii="Times New Roman" w:hAnsi="Times New Roman" w:cs="Times New Roman"/>
          <w:sz w:val="24"/>
          <w:szCs w:val="24"/>
        </w:rPr>
        <w:t>Shukla Commission (1997)</w:t>
      </w:r>
      <w:r w:rsidRPr="00262584">
        <w:rPr>
          <w:rFonts w:ascii="Times New Roman" w:hAnsi="Times New Roman" w:cs="Times New Roman"/>
          <w:sz w:val="24"/>
          <w:szCs w:val="24"/>
        </w:rPr>
        <w:t xml:space="preserve">, NEI suffers from four deficits: a basic needs deficit; an infrastructural deficit; a resource deficit and the most important, a two-way deficit of understanding with the rest of the country which compounds the others. </w:t>
      </w:r>
    </w:p>
    <w:p w:rsidR="00FC30F2" w:rsidRPr="00262584" w:rsidRDefault="00FC30F2" w:rsidP="00DD4920">
      <w:pPr>
        <w:spacing w:line="240" w:lineRule="auto"/>
        <w:ind w:firstLine="720"/>
        <w:jc w:val="both"/>
        <w:rPr>
          <w:rFonts w:ascii="Times New Roman" w:hAnsi="Times New Roman" w:cs="Times New Roman"/>
          <w:sz w:val="24"/>
          <w:szCs w:val="24"/>
        </w:rPr>
      </w:pPr>
      <w:r w:rsidRPr="00262584">
        <w:rPr>
          <w:rFonts w:ascii="Times New Roman" w:eastAsia="Times New Roman" w:hAnsi="Times New Roman" w:cs="Times New Roman"/>
          <w:sz w:val="24"/>
          <w:szCs w:val="24"/>
        </w:rPr>
        <w:t>LEP can transform economic scenario of NEI through integration with growing East Asian and Southeast Asian countries by expanding trade, business and investment (</w:t>
      </w:r>
      <w:r w:rsidRPr="005878EF">
        <w:rPr>
          <w:rFonts w:ascii="Times New Roman" w:eastAsia="Times New Roman" w:hAnsi="Times New Roman" w:cs="Times New Roman"/>
          <w:sz w:val="24"/>
          <w:szCs w:val="24"/>
        </w:rPr>
        <w:t xml:space="preserve">Baruah, 2004; Baruah, 2007; </w:t>
      </w:r>
      <w:proofErr w:type="spellStart"/>
      <w:r w:rsidRPr="005878EF">
        <w:rPr>
          <w:rFonts w:ascii="Times New Roman" w:eastAsia="Times New Roman" w:hAnsi="Times New Roman" w:cs="Times New Roman"/>
          <w:sz w:val="24"/>
          <w:szCs w:val="24"/>
        </w:rPr>
        <w:t>Haokip</w:t>
      </w:r>
      <w:proofErr w:type="spellEnd"/>
      <w:r w:rsidRPr="005878EF">
        <w:rPr>
          <w:rFonts w:ascii="Times New Roman" w:eastAsia="Times New Roman" w:hAnsi="Times New Roman" w:cs="Times New Roman"/>
          <w:sz w:val="24"/>
          <w:szCs w:val="24"/>
        </w:rPr>
        <w:t xml:space="preserve">, 2015; Sikri, 2009; NEC, 2007; </w:t>
      </w:r>
      <w:proofErr w:type="spellStart"/>
      <w:r w:rsidRPr="005878EF">
        <w:rPr>
          <w:rFonts w:ascii="Times New Roman" w:eastAsia="Times New Roman" w:hAnsi="Times New Roman" w:cs="Times New Roman"/>
          <w:sz w:val="24"/>
          <w:szCs w:val="24"/>
        </w:rPr>
        <w:t>Barua</w:t>
      </w:r>
      <w:proofErr w:type="spellEnd"/>
      <w:r w:rsidRPr="005878EF">
        <w:rPr>
          <w:rFonts w:ascii="Times New Roman" w:eastAsia="Times New Roman" w:hAnsi="Times New Roman" w:cs="Times New Roman"/>
          <w:sz w:val="24"/>
          <w:szCs w:val="24"/>
        </w:rPr>
        <w:t xml:space="preserve"> and Das, 2008; Chakraborty, 2017; Baruah, 2020</w:t>
      </w:r>
      <w:r w:rsidRPr="00262584">
        <w:rPr>
          <w:rFonts w:ascii="Times New Roman" w:eastAsia="Times New Roman" w:hAnsi="Times New Roman" w:cs="Times New Roman"/>
          <w:sz w:val="24"/>
          <w:szCs w:val="24"/>
        </w:rPr>
        <w:t>). It is claimed that improvement of physical infrastructure and connectivity and thereby integration with East Asian and Southeast Asian countries under LEP (now AEP) would help the region to solve the problem of poverty, unemployment and underdevelopment by expanding trade and business with neighboring countries by reducing time, distance and travel costs (</w:t>
      </w:r>
      <w:r w:rsidRPr="005878EF">
        <w:rPr>
          <w:rFonts w:ascii="Times New Roman" w:eastAsia="Times New Roman" w:hAnsi="Times New Roman" w:cs="Times New Roman"/>
          <w:sz w:val="24"/>
          <w:szCs w:val="24"/>
        </w:rPr>
        <w:t>Srikanth, 2016</w:t>
      </w:r>
      <w:r w:rsidRPr="00262584">
        <w:rPr>
          <w:rFonts w:ascii="Times New Roman" w:eastAsia="Times New Roman" w:hAnsi="Times New Roman" w:cs="Times New Roman"/>
          <w:sz w:val="24"/>
          <w:szCs w:val="24"/>
        </w:rPr>
        <w:t xml:space="preserve">). </w:t>
      </w:r>
      <w:r w:rsidRPr="00262584">
        <w:rPr>
          <w:rFonts w:ascii="Times New Roman" w:hAnsi="Times New Roman" w:cs="Times New Roman"/>
          <w:sz w:val="24"/>
          <w:szCs w:val="24"/>
        </w:rPr>
        <w:t xml:space="preserve">The claim is due to the fact that the region shares borders with China, Myanmar, Bangladesh, Nepal and Bhutan. The importance of NEI also grew due to its resource endowments. Thus, a ‘trade based’ development model under LEP and AEP is suggested for this ‘landlocked’ region in several studies. </w:t>
      </w:r>
    </w:p>
    <w:p w:rsidR="00FC30F2" w:rsidRPr="00262584" w:rsidRDefault="00FC30F2" w:rsidP="00DD4920">
      <w:pPr>
        <w:spacing w:after="0" w:line="240" w:lineRule="auto"/>
        <w:ind w:firstLine="720"/>
        <w:jc w:val="both"/>
        <w:rPr>
          <w:rFonts w:ascii="Times New Roman" w:eastAsia="Times New Roman" w:hAnsi="Times New Roman" w:cs="Times New Roman"/>
          <w:color w:val="000000"/>
          <w:spacing w:val="2"/>
          <w:sz w:val="24"/>
          <w:szCs w:val="24"/>
        </w:rPr>
      </w:pPr>
      <w:r w:rsidRPr="00262584">
        <w:rPr>
          <w:rFonts w:ascii="Times New Roman" w:hAnsi="Times New Roman" w:cs="Times New Roman"/>
          <w:sz w:val="24"/>
          <w:szCs w:val="24"/>
        </w:rPr>
        <w:t xml:space="preserve">The integration of NEI with Southeast Asian countries should be preceded with an effective integration of NEI with mainstream Indian polity and economy </w:t>
      </w:r>
      <w:r w:rsidRPr="005878EF">
        <w:rPr>
          <w:rFonts w:ascii="Times New Roman" w:hAnsi="Times New Roman" w:cs="Times New Roman"/>
          <w:sz w:val="24"/>
          <w:szCs w:val="24"/>
        </w:rPr>
        <w:t>Singh (2010</w:t>
      </w:r>
      <w:r w:rsidRPr="007146F6">
        <w:rPr>
          <w:rFonts w:ascii="Times New Roman" w:hAnsi="Times New Roman" w:cs="Times New Roman"/>
          <w:sz w:val="24"/>
          <w:szCs w:val="24"/>
        </w:rPr>
        <w:t>)</w:t>
      </w:r>
      <w:r w:rsidRPr="00262584">
        <w:rPr>
          <w:rFonts w:ascii="Times New Roman" w:hAnsi="Times New Roman" w:cs="Times New Roman"/>
          <w:sz w:val="24"/>
          <w:szCs w:val="24"/>
        </w:rPr>
        <w:t xml:space="preserve">. This requires the removal of sense alienation of NEI people from the rest of India, the creation of adequate infrastructure and favorable environment for free movement of economic and non-economic resources. </w:t>
      </w:r>
      <w:r w:rsidRPr="005878EF">
        <w:rPr>
          <w:rFonts w:ascii="Times New Roman" w:hAnsi="Times New Roman" w:cs="Times New Roman"/>
          <w:sz w:val="24"/>
          <w:szCs w:val="24"/>
        </w:rPr>
        <w:t>Rao (</w:t>
      </w:r>
      <w:proofErr w:type="gramStart"/>
      <w:r w:rsidRPr="005878EF">
        <w:rPr>
          <w:rFonts w:ascii="Times New Roman" w:hAnsi="Times New Roman" w:cs="Times New Roman"/>
          <w:sz w:val="24"/>
          <w:szCs w:val="24"/>
        </w:rPr>
        <w:t>2009)</w:t>
      </w:r>
      <w:r w:rsidRPr="00262584">
        <w:rPr>
          <w:rFonts w:ascii="Times New Roman" w:hAnsi="Times New Roman" w:cs="Times New Roman"/>
          <w:sz w:val="24"/>
          <w:szCs w:val="24"/>
        </w:rPr>
        <w:t>remarked</w:t>
      </w:r>
      <w:proofErr w:type="gramEnd"/>
      <w:r w:rsidRPr="00262584">
        <w:rPr>
          <w:rFonts w:ascii="Times New Roman" w:hAnsi="Times New Roman" w:cs="Times New Roman"/>
          <w:sz w:val="24"/>
          <w:szCs w:val="24"/>
        </w:rPr>
        <w:t xml:space="preserve"> that the LEP should start from NEI through land route of Myanmar, Thailand and beyond. The economic fortunes of NEI are linked with </w:t>
      </w:r>
      <w:r w:rsidRPr="00262584">
        <w:rPr>
          <w:rFonts w:ascii="Times New Roman" w:hAnsi="Times New Roman" w:cs="Times New Roman"/>
          <w:sz w:val="24"/>
          <w:szCs w:val="24"/>
        </w:rPr>
        <w:lastRenderedPageBreak/>
        <w:t xml:space="preserve">expansion of trade and investment of the region with neighboring countries. The improvement of relations with these countries is not a choice but an imperative. Thus, heavy investment must be made in infrastructure not only on the Indian side but also from other neighboring countries. NEI </w:t>
      </w:r>
      <w:r w:rsidRPr="00262584">
        <w:rPr>
          <w:rFonts w:ascii="Times New Roman" w:eastAsia="Times New Roman" w:hAnsi="Times New Roman" w:cs="Times New Roman"/>
          <w:color w:val="000000"/>
          <w:spacing w:val="2"/>
          <w:sz w:val="24"/>
          <w:szCs w:val="24"/>
        </w:rPr>
        <w:t>is not only a crucial driver of India’s AEP but can also serve as an impetus for enhancing India’s partnerships to both the West and the East (</w:t>
      </w:r>
      <w:proofErr w:type="spellStart"/>
      <w:r w:rsidRPr="005878EF">
        <w:rPr>
          <w:rFonts w:ascii="Times New Roman" w:eastAsia="Times New Roman" w:hAnsi="Times New Roman" w:cs="Times New Roman"/>
          <w:color w:val="000000"/>
          <w:spacing w:val="2"/>
          <w:sz w:val="24"/>
          <w:szCs w:val="24"/>
        </w:rPr>
        <w:t>Basu</w:t>
      </w:r>
      <w:proofErr w:type="spellEnd"/>
      <w:r w:rsidRPr="005878EF">
        <w:rPr>
          <w:rFonts w:ascii="Times New Roman" w:eastAsia="Times New Roman" w:hAnsi="Times New Roman" w:cs="Times New Roman"/>
          <w:color w:val="000000"/>
          <w:spacing w:val="2"/>
          <w:sz w:val="24"/>
          <w:szCs w:val="24"/>
        </w:rPr>
        <w:t xml:space="preserve"> and </w:t>
      </w:r>
      <w:proofErr w:type="spellStart"/>
      <w:r w:rsidRPr="005878EF">
        <w:rPr>
          <w:rFonts w:ascii="Times New Roman" w:eastAsia="Times New Roman" w:hAnsi="Times New Roman" w:cs="Times New Roman"/>
          <w:color w:val="000000"/>
          <w:spacing w:val="2"/>
          <w:sz w:val="24"/>
          <w:szCs w:val="24"/>
        </w:rPr>
        <w:t>Bhowmick</w:t>
      </w:r>
      <w:proofErr w:type="spellEnd"/>
      <w:r w:rsidRPr="005878EF">
        <w:rPr>
          <w:rFonts w:ascii="Times New Roman" w:eastAsia="Times New Roman" w:hAnsi="Times New Roman" w:cs="Times New Roman"/>
          <w:color w:val="000000"/>
          <w:spacing w:val="2"/>
          <w:sz w:val="24"/>
          <w:szCs w:val="24"/>
        </w:rPr>
        <w:t>, 2021</w:t>
      </w:r>
      <w:r w:rsidRPr="00262584">
        <w:rPr>
          <w:rFonts w:ascii="Times New Roman" w:eastAsia="Times New Roman" w:hAnsi="Times New Roman" w:cs="Times New Roman"/>
          <w:color w:val="000000"/>
          <w:spacing w:val="2"/>
          <w:sz w:val="24"/>
          <w:szCs w:val="24"/>
        </w:rPr>
        <w:t xml:space="preserve">). Besides policy initiatives, the region has remained economically impaired due to many factors that hinder development. But due to resource base and </w:t>
      </w:r>
      <w:proofErr w:type="spellStart"/>
      <w:r w:rsidRPr="00262584">
        <w:rPr>
          <w:rFonts w:ascii="Times New Roman" w:eastAsia="Times New Roman" w:hAnsi="Times New Roman" w:cs="Times New Roman"/>
          <w:color w:val="000000"/>
          <w:spacing w:val="2"/>
          <w:sz w:val="24"/>
          <w:szCs w:val="24"/>
        </w:rPr>
        <w:t>labour</w:t>
      </w:r>
      <w:proofErr w:type="spellEnd"/>
      <w:r w:rsidRPr="00262584">
        <w:rPr>
          <w:rFonts w:ascii="Times New Roman" w:eastAsia="Times New Roman" w:hAnsi="Times New Roman" w:cs="Times New Roman"/>
          <w:color w:val="000000"/>
          <w:spacing w:val="2"/>
          <w:sz w:val="24"/>
          <w:szCs w:val="24"/>
        </w:rPr>
        <w:t xml:space="preserve"> potential together with its strategic geographical location, trade connections can be expedited under AEP. </w:t>
      </w:r>
      <w:r w:rsidRPr="005878EF">
        <w:rPr>
          <w:rFonts w:ascii="Times New Roman" w:eastAsia="Times New Roman" w:hAnsi="Times New Roman" w:cs="Times New Roman"/>
          <w:color w:val="000000"/>
          <w:spacing w:val="2"/>
          <w:sz w:val="24"/>
          <w:szCs w:val="24"/>
        </w:rPr>
        <w:t>Goswami (2009)</w:t>
      </w:r>
      <w:r w:rsidRPr="00262584">
        <w:rPr>
          <w:rFonts w:ascii="Times New Roman" w:eastAsia="Times New Roman" w:hAnsi="Times New Roman" w:cs="Times New Roman"/>
          <w:color w:val="000000"/>
          <w:spacing w:val="2"/>
          <w:sz w:val="24"/>
          <w:szCs w:val="24"/>
        </w:rPr>
        <w:t xml:space="preserve"> remarked since the people of NEI share cultural ties with the Southeast Asian countries, the relations between NEI and Southeast Asia should be strengthened. But the challenges that need to be addressed include lack of infrastructure, crisis of insurgency, elite consensus and social disjuncture, incapacities of the state and so on. </w:t>
      </w:r>
    </w:p>
    <w:p w:rsidR="004C3056" w:rsidRPr="00262584" w:rsidRDefault="00FC30F2"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But LEP as a ‘development strategy’ for NEI also failed. India’s economic engagements with Southeast Asian countries in terms of trade and investments grew manifold since last three decades, but it totally bye passed NEI (</w:t>
      </w:r>
      <w:r w:rsidRPr="005878EF">
        <w:rPr>
          <w:rFonts w:ascii="Times New Roman" w:hAnsi="Times New Roman" w:cs="Times New Roman"/>
          <w:sz w:val="24"/>
          <w:szCs w:val="24"/>
        </w:rPr>
        <w:t>Das, Paul and Mathur, 2017</w:t>
      </w:r>
      <w:r w:rsidRPr="00262584">
        <w:rPr>
          <w:rFonts w:ascii="Times New Roman" w:hAnsi="Times New Roman" w:cs="Times New Roman"/>
          <w:sz w:val="24"/>
          <w:szCs w:val="24"/>
        </w:rPr>
        <w:t>). The Delhi centered LEP totally neglected NEI since its launch. The LEP failed to impact trade and investments and thereby economic growth in NEI since last three decades because of lack of willingness and intention of the central government (</w:t>
      </w:r>
      <w:r w:rsidRPr="005878EF">
        <w:rPr>
          <w:rFonts w:ascii="Times New Roman" w:hAnsi="Times New Roman" w:cs="Times New Roman"/>
          <w:sz w:val="24"/>
          <w:szCs w:val="24"/>
        </w:rPr>
        <w:t>Srikanth, 2016; Fernandes, 2018</w:t>
      </w:r>
      <w:proofErr w:type="gramStart"/>
      <w:r w:rsidRPr="00262584">
        <w:rPr>
          <w:rFonts w:ascii="Times New Roman" w:hAnsi="Times New Roman" w:cs="Times New Roman"/>
          <w:sz w:val="24"/>
          <w:szCs w:val="24"/>
        </w:rPr>
        <w:t>).</w:t>
      </w:r>
      <w:proofErr w:type="spellStart"/>
      <w:r w:rsidRPr="00262584">
        <w:rPr>
          <w:rFonts w:ascii="Times New Roman" w:hAnsi="Times New Roman" w:cs="Times New Roman"/>
          <w:sz w:val="24"/>
          <w:szCs w:val="24"/>
        </w:rPr>
        <w:t>Thelack</w:t>
      </w:r>
      <w:proofErr w:type="spellEnd"/>
      <w:proofErr w:type="gramEnd"/>
      <w:r w:rsidRPr="00262584">
        <w:rPr>
          <w:rFonts w:ascii="Times New Roman" w:hAnsi="Times New Roman" w:cs="Times New Roman"/>
          <w:sz w:val="24"/>
          <w:szCs w:val="24"/>
        </w:rPr>
        <w:t xml:space="preserve"> of trade infrastructure and poor connectivity in the region and overall negligence of the government for a prolonged period made LEP not to work for the region. In fact, NEI was not a part of LEP and the government did not stress upon the capability expansion of the region.  </w:t>
      </w:r>
    </w:p>
    <w:p w:rsidR="008C2359" w:rsidRPr="00262584" w:rsidRDefault="008C2359" w:rsidP="004C3056">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paper tries to answer the following questions: How AEP emphasized on connectivity constructions, infrastructure development and investment allocations in NEI compared to LEP? Is AEP a new ‘Development Paradigm’ for NEI given renewed thrust on connectivity constructions which remained neglected since decades? What are the achievements of NEI in income, trade and investment </w:t>
      </w:r>
      <w:r w:rsidR="004A5920" w:rsidRPr="00262584">
        <w:rPr>
          <w:rFonts w:ascii="Times New Roman" w:hAnsi="Times New Roman" w:cs="Times New Roman"/>
          <w:sz w:val="24"/>
          <w:szCs w:val="24"/>
        </w:rPr>
        <w:t>under AEP given connectivity development</w:t>
      </w:r>
      <w:r w:rsidRPr="00262584">
        <w:rPr>
          <w:rFonts w:ascii="Times New Roman" w:hAnsi="Times New Roman" w:cs="Times New Roman"/>
          <w:sz w:val="24"/>
          <w:szCs w:val="24"/>
        </w:rPr>
        <w:t xml:space="preserve">? Has NEI witnessed any significant improvement in income, trade and investment under AEP compared to LEP?  </w:t>
      </w:r>
    </w:p>
    <w:p w:rsidR="0081023A" w:rsidRPr="00262584" w:rsidRDefault="001F1D87" w:rsidP="00DD49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81023A" w:rsidRPr="00262584">
        <w:rPr>
          <w:rFonts w:ascii="Times New Roman" w:hAnsi="Times New Roman" w:cs="Times New Roman"/>
          <w:b/>
          <w:bCs/>
          <w:sz w:val="24"/>
          <w:szCs w:val="24"/>
        </w:rPr>
        <w:t>Methodology</w:t>
      </w:r>
    </w:p>
    <w:p w:rsidR="008B2AA2" w:rsidRPr="00262584" w:rsidRDefault="008B2AA2" w:rsidP="00DD4920">
      <w:pPr>
        <w:spacing w:after="0"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article is descriptive, analytical and interpretative in nature. The analytical approach has been applied to study the achievements of NEI states in macroeconomic variables like income, trade and investment under AEP. The arguments made in the paper are based on facts, figures, trends, reason, intellect and evidence. The knowledge gathered from literature review has been applied to make comments, evaluate steps and policies and prescribe suggestions. The paper used simple statistical tools to analyze, compare and interpret the quantitative data to fulfill the objective of the paper. </w:t>
      </w:r>
      <w:r w:rsidRPr="00ED04CA">
        <w:rPr>
          <w:rFonts w:ascii="Times New Roman" w:hAnsi="Times New Roman" w:cs="Times New Roman"/>
          <w:sz w:val="24"/>
          <w:szCs w:val="24"/>
          <w:highlight w:val="yellow"/>
        </w:rPr>
        <w:t>The paper is based on secondary data collected from different sources</w:t>
      </w:r>
      <w:r w:rsidRPr="00262584">
        <w:rPr>
          <w:rFonts w:ascii="Times New Roman" w:hAnsi="Times New Roman" w:cs="Times New Roman"/>
          <w:sz w:val="24"/>
          <w:szCs w:val="24"/>
        </w:rPr>
        <w:t xml:space="preserve"> like Handbook of Statistics on Indian Economy (RBI), Handbook of Statistics on State Government Finances (RBI), Department of Commerce (Government of India), Secretariat of Industrial Assistance (SIA), DIPP (Government of India) and Ministry of Development of North East Region (MDONER), National Crime Records Bureau (NCRB) etc.  </w:t>
      </w:r>
    </w:p>
    <w:p w:rsidR="008B2AA2" w:rsidRPr="00262584" w:rsidRDefault="008B2AA2" w:rsidP="008B2AA2">
      <w:pPr>
        <w:spacing w:after="0" w:line="360" w:lineRule="auto"/>
        <w:jc w:val="both"/>
        <w:rPr>
          <w:rFonts w:ascii="Times New Roman" w:hAnsi="Times New Roman" w:cs="Times New Roman"/>
          <w:sz w:val="24"/>
          <w:szCs w:val="24"/>
        </w:rPr>
      </w:pPr>
    </w:p>
    <w:p w:rsidR="0081023A" w:rsidRPr="00262584" w:rsidRDefault="001471EE" w:rsidP="008B2A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81023A" w:rsidRPr="00262584">
        <w:rPr>
          <w:rFonts w:ascii="Times New Roman" w:hAnsi="Times New Roman" w:cs="Times New Roman"/>
          <w:b/>
          <w:bCs/>
          <w:sz w:val="24"/>
          <w:szCs w:val="24"/>
        </w:rPr>
        <w:t>Results and Discussion</w:t>
      </w:r>
    </w:p>
    <w:p w:rsidR="004905E3" w:rsidRPr="00262584" w:rsidRDefault="00666203" w:rsidP="005F4E5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4905E3" w:rsidRPr="00262584">
        <w:rPr>
          <w:rFonts w:ascii="Times New Roman" w:hAnsi="Times New Roman" w:cs="Times New Roman"/>
          <w:b/>
          <w:bCs/>
          <w:sz w:val="24"/>
          <w:szCs w:val="24"/>
        </w:rPr>
        <w:t>Connectivi</w:t>
      </w:r>
      <w:r w:rsidR="00E700BB" w:rsidRPr="00262584">
        <w:rPr>
          <w:rFonts w:ascii="Times New Roman" w:hAnsi="Times New Roman" w:cs="Times New Roman"/>
          <w:b/>
          <w:bCs/>
          <w:sz w:val="24"/>
          <w:szCs w:val="24"/>
        </w:rPr>
        <w:t>ty and Infrastructure Development in NEI</w:t>
      </w:r>
    </w:p>
    <w:p w:rsidR="00E700BB" w:rsidRPr="00262584" w:rsidRDefault="00E700BB" w:rsidP="004905E3">
      <w:pPr>
        <w:spacing w:after="0" w:line="360" w:lineRule="auto"/>
        <w:jc w:val="center"/>
        <w:rPr>
          <w:rFonts w:ascii="Times New Roman" w:hAnsi="Times New Roman" w:cs="Times New Roman"/>
          <w:b/>
          <w:bCs/>
          <w:sz w:val="24"/>
          <w:szCs w:val="24"/>
        </w:rPr>
      </w:pPr>
      <w:r w:rsidRPr="00262584">
        <w:rPr>
          <w:rFonts w:ascii="Times New Roman" w:hAnsi="Times New Roman" w:cs="Times New Roman"/>
          <w:b/>
          <w:bCs/>
          <w:sz w:val="24"/>
          <w:szCs w:val="24"/>
        </w:rPr>
        <w:t>Under LEP</w:t>
      </w:r>
    </w:p>
    <w:p w:rsidR="009F5D4C" w:rsidRPr="00262584" w:rsidRDefault="009F5D4C" w:rsidP="00EC4994">
      <w:pPr>
        <w:shd w:val="clear" w:color="auto" w:fill="FFFFFF"/>
        <w:spacing w:before="100" w:beforeAutospacing="1" w:after="100" w:afterAutospacing="1"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lastRenderedPageBreak/>
        <w:t>NEI was incorporated in the framework of LEP in 2008 (after one and half decade since its inception) with the preparation of ‘North East Vision Document, 2020’ by MDON</w:t>
      </w:r>
      <w:r w:rsidR="00932435" w:rsidRPr="00262584">
        <w:rPr>
          <w:rFonts w:ascii="Times New Roman" w:hAnsi="Times New Roman" w:cs="Times New Roman"/>
          <w:sz w:val="24"/>
          <w:szCs w:val="24"/>
        </w:rPr>
        <w:t xml:space="preserve">ER and NEC in 2008. The LEP </w:t>
      </w:r>
      <w:r w:rsidRPr="00262584">
        <w:rPr>
          <w:rFonts w:ascii="Times New Roman" w:hAnsi="Times New Roman" w:cs="Times New Roman"/>
          <w:sz w:val="24"/>
          <w:szCs w:val="24"/>
        </w:rPr>
        <w:t xml:space="preserve">stressed on </w:t>
      </w:r>
      <w:proofErr w:type="spellStart"/>
      <w:r w:rsidRPr="00262584">
        <w:rPr>
          <w:rFonts w:ascii="Times New Roman" w:hAnsi="Times New Roman" w:cs="Times New Roman"/>
          <w:sz w:val="24"/>
          <w:szCs w:val="24"/>
        </w:rPr>
        <w:t>Kaladan</w:t>
      </w:r>
      <w:proofErr w:type="spellEnd"/>
      <w:r w:rsidRPr="00262584">
        <w:rPr>
          <w:rFonts w:ascii="Times New Roman" w:hAnsi="Times New Roman" w:cs="Times New Roman"/>
          <w:sz w:val="24"/>
          <w:szCs w:val="24"/>
        </w:rPr>
        <w:t xml:space="preserve"> Multi Modal Transit Route through Mizoram to </w:t>
      </w:r>
      <w:proofErr w:type="spellStart"/>
      <w:r w:rsidRPr="00262584">
        <w:rPr>
          <w:rFonts w:ascii="Times New Roman" w:hAnsi="Times New Roman" w:cs="Times New Roman"/>
          <w:sz w:val="24"/>
          <w:szCs w:val="24"/>
        </w:rPr>
        <w:t>Sittwe</w:t>
      </w:r>
      <w:proofErr w:type="spellEnd"/>
      <w:r w:rsidRPr="00262584">
        <w:rPr>
          <w:rFonts w:ascii="Times New Roman" w:hAnsi="Times New Roman" w:cs="Times New Roman"/>
          <w:sz w:val="24"/>
          <w:szCs w:val="24"/>
        </w:rPr>
        <w:t xml:space="preserve"> port for integration of </w:t>
      </w:r>
      <w:proofErr w:type="spellStart"/>
      <w:r w:rsidRPr="00262584">
        <w:rPr>
          <w:rFonts w:ascii="Times New Roman" w:hAnsi="Times New Roman" w:cs="Times New Roman"/>
          <w:sz w:val="24"/>
          <w:szCs w:val="24"/>
        </w:rPr>
        <w:t>NEI.The</w:t>
      </w:r>
      <w:proofErr w:type="spellEnd"/>
      <w:r w:rsidRPr="00262584">
        <w:rPr>
          <w:rFonts w:ascii="Times New Roman" w:hAnsi="Times New Roman" w:cs="Times New Roman"/>
          <w:sz w:val="24"/>
          <w:szCs w:val="24"/>
        </w:rPr>
        <w:t xml:space="preserve"> government of India undertook several projects for improvement in roadways, railways, air, connectivity, communication and telecom network in the region under LEP. A number of </w:t>
      </w:r>
      <w:proofErr w:type="spellStart"/>
      <w:r w:rsidRPr="00262584">
        <w:rPr>
          <w:rFonts w:ascii="Times New Roman" w:hAnsi="Times New Roman" w:cs="Times New Roman"/>
          <w:sz w:val="24"/>
          <w:szCs w:val="24"/>
        </w:rPr>
        <w:t>programmes</w:t>
      </w:r>
      <w:proofErr w:type="spellEnd"/>
      <w:r w:rsidRPr="00262584">
        <w:rPr>
          <w:rFonts w:ascii="Times New Roman" w:hAnsi="Times New Roman" w:cs="Times New Roman"/>
          <w:sz w:val="24"/>
          <w:szCs w:val="24"/>
        </w:rPr>
        <w:t xml:space="preserve"> have been initiated in NEI under LEP which include East-West Corridor Roads (2005-06), Special Accelerated R</w:t>
      </w:r>
      <w:r w:rsidR="00285FEC" w:rsidRPr="00262584">
        <w:rPr>
          <w:rFonts w:ascii="Times New Roman" w:hAnsi="Times New Roman" w:cs="Times New Roman"/>
          <w:sz w:val="24"/>
          <w:szCs w:val="24"/>
        </w:rPr>
        <w:t xml:space="preserve">oad Development </w:t>
      </w:r>
      <w:proofErr w:type="spellStart"/>
      <w:r w:rsidR="00285FEC" w:rsidRPr="00262584">
        <w:rPr>
          <w:rFonts w:ascii="Times New Roman" w:hAnsi="Times New Roman" w:cs="Times New Roman"/>
          <w:sz w:val="24"/>
          <w:szCs w:val="24"/>
        </w:rPr>
        <w:t>Programme</w:t>
      </w:r>
      <w:proofErr w:type="spellEnd"/>
      <w:r w:rsidR="00285FEC" w:rsidRPr="00262584">
        <w:rPr>
          <w:rFonts w:ascii="Times New Roman" w:hAnsi="Times New Roman" w:cs="Times New Roman"/>
          <w:sz w:val="24"/>
          <w:szCs w:val="24"/>
        </w:rPr>
        <w:t xml:space="preserve"> for NEI</w:t>
      </w:r>
      <w:r w:rsidRPr="00262584">
        <w:rPr>
          <w:rFonts w:ascii="Times New Roman" w:hAnsi="Times New Roman" w:cs="Times New Roman"/>
          <w:sz w:val="24"/>
          <w:szCs w:val="24"/>
        </w:rPr>
        <w:t xml:space="preserve"> and massive hydro power project construction. </w:t>
      </w:r>
      <w:r w:rsidR="00A15FF8" w:rsidRPr="00262584">
        <w:rPr>
          <w:rFonts w:ascii="Times New Roman" w:hAnsi="Times New Roman" w:cs="Times New Roman"/>
          <w:sz w:val="24"/>
          <w:szCs w:val="24"/>
        </w:rPr>
        <w:t xml:space="preserve"> The ‘</w:t>
      </w:r>
      <w:r w:rsidRPr="00262584">
        <w:rPr>
          <w:rFonts w:ascii="Times New Roman" w:hAnsi="Times New Roman" w:cs="Times New Roman"/>
          <w:sz w:val="24"/>
          <w:szCs w:val="24"/>
        </w:rPr>
        <w:t xml:space="preserve">Northeast Vision 2020’ document focused on augmenting connectivity and transport infrastructure with adequate resources in the form of public and private investment. </w:t>
      </w:r>
    </w:p>
    <w:p w:rsidR="009F5D4C" w:rsidRPr="00262584" w:rsidRDefault="009F5D4C" w:rsidP="00692D8A">
      <w:pPr>
        <w:spacing w:line="240" w:lineRule="auto"/>
        <w:ind w:firstLine="720"/>
        <w:jc w:val="both"/>
        <w:rPr>
          <w:rFonts w:ascii="Times New Roman" w:hAnsi="Times New Roman" w:cs="Times New Roman"/>
          <w:sz w:val="24"/>
          <w:szCs w:val="24"/>
        </w:rPr>
      </w:pPr>
      <w:r w:rsidRPr="00262584">
        <w:rPr>
          <w:rFonts w:ascii="Times New Roman" w:hAnsi="Times New Roman" w:cs="Times New Roman"/>
          <w:sz w:val="24"/>
          <w:szCs w:val="24"/>
        </w:rPr>
        <w:t xml:space="preserve">The Non-Lapsable Central Pool of Resources (NLCPR) has been one of the significant sources of </w:t>
      </w:r>
      <w:r w:rsidR="004026D5" w:rsidRPr="00262584">
        <w:rPr>
          <w:rFonts w:ascii="Times New Roman" w:hAnsi="Times New Roman" w:cs="Times New Roman"/>
          <w:sz w:val="24"/>
          <w:szCs w:val="24"/>
        </w:rPr>
        <w:t xml:space="preserve">finance for </w:t>
      </w:r>
      <w:r w:rsidRPr="00262584">
        <w:rPr>
          <w:rFonts w:ascii="Times New Roman" w:hAnsi="Times New Roman" w:cs="Times New Roman"/>
          <w:sz w:val="24"/>
          <w:szCs w:val="24"/>
        </w:rPr>
        <w:t xml:space="preserve">road development in the region. It is evident </w:t>
      </w:r>
      <w:r w:rsidR="00706AE6" w:rsidRPr="00262584">
        <w:rPr>
          <w:rFonts w:ascii="Times New Roman" w:hAnsi="Times New Roman" w:cs="Times New Roman"/>
          <w:sz w:val="24"/>
          <w:szCs w:val="24"/>
        </w:rPr>
        <w:t>from table 1</w:t>
      </w:r>
      <w:r w:rsidRPr="00262584">
        <w:rPr>
          <w:rFonts w:ascii="Times New Roman" w:hAnsi="Times New Roman" w:cs="Times New Roman"/>
          <w:sz w:val="24"/>
          <w:szCs w:val="24"/>
        </w:rPr>
        <w:t xml:space="preserve"> that during the period of 2004 to 2012, an amount of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43.75 billion has been approved for development of critical roads in the region. However, only 50 percent of the sanctioned amount has been utilized. Similarly, North Eastern Council (NEC) has sanctioned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25.24 billion and released </w:t>
      </w:r>
      <w:r w:rsidR="00A45755" w:rsidRPr="00262584">
        <w:rPr>
          <w:rFonts w:ascii="Times New Roman" w:hAnsi="Times New Roman" w:cs="Times New Roman"/>
          <w:sz w:val="24"/>
          <w:szCs w:val="24"/>
        </w:rPr>
        <w:t xml:space="preserve">Rs. </w:t>
      </w:r>
      <w:r w:rsidRPr="00262584">
        <w:rPr>
          <w:rFonts w:ascii="Times New Roman" w:hAnsi="Times New Roman" w:cs="Times New Roman"/>
          <w:sz w:val="24"/>
          <w:szCs w:val="24"/>
        </w:rPr>
        <w:t xml:space="preserve">11.12 billion in a period from 2004 to 2012 to each of the state in NEI. Moreover, the provision of earmarking at least 10 percent of Gross Budgetary Support (GBS) by the central ministries or departments has been made for development of NEI states and the provision of NLCPR, a fund accumulated by the unspent amount of 10 percent of GBS of different ministries and departments. </w:t>
      </w:r>
      <w:r w:rsidR="00C27536" w:rsidRPr="00262584">
        <w:rPr>
          <w:rFonts w:ascii="Times New Roman" w:hAnsi="Times New Roman" w:cs="Times New Roman"/>
          <w:sz w:val="24"/>
          <w:szCs w:val="24"/>
        </w:rPr>
        <w:t>The emphasis</w:t>
      </w:r>
      <w:r w:rsidRPr="00262584">
        <w:rPr>
          <w:rFonts w:ascii="Times New Roman" w:hAnsi="Times New Roman" w:cs="Times New Roman"/>
          <w:sz w:val="24"/>
          <w:szCs w:val="24"/>
        </w:rPr>
        <w:t xml:space="preserve"> on connectivity and infrastructure development in NEI under LEP was not remarkable. This is clearly visible from the allocation of funds, implementation and completion of connectivity projects</w:t>
      </w:r>
      <w:r w:rsidR="006E504A" w:rsidRPr="00262584">
        <w:rPr>
          <w:rFonts w:ascii="Times New Roman" w:hAnsi="Times New Roman" w:cs="Times New Roman"/>
          <w:sz w:val="24"/>
          <w:szCs w:val="24"/>
        </w:rPr>
        <w:t xml:space="preserve">. </w:t>
      </w:r>
    </w:p>
    <w:p w:rsidR="00692D8A" w:rsidRPr="00695EED" w:rsidRDefault="00692D8A" w:rsidP="009448C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Table 1</w:t>
      </w:r>
      <w:r w:rsidRPr="00381781">
        <w:rPr>
          <w:rFonts w:ascii="Times New Roman" w:hAnsi="Times New Roman" w:cs="Times New Roman"/>
          <w:b/>
          <w:sz w:val="24"/>
          <w:szCs w:val="24"/>
        </w:rPr>
        <w:t>: Road Development under NLCPR in NEI (During 2004-2012)</w:t>
      </w:r>
    </w:p>
    <w:tbl>
      <w:tblPr>
        <w:tblStyle w:val="TableGrid"/>
        <w:tblW w:w="0" w:type="auto"/>
        <w:tblInd w:w="288" w:type="dxa"/>
        <w:tblLook w:val="04A0" w:firstRow="1" w:lastRow="0" w:firstColumn="1" w:lastColumn="0" w:noHBand="0" w:noVBand="1"/>
      </w:tblPr>
      <w:tblGrid>
        <w:gridCol w:w="2340"/>
        <w:gridCol w:w="1185"/>
        <w:gridCol w:w="1875"/>
        <w:gridCol w:w="1800"/>
        <w:gridCol w:w="1710"/>
      </w:tblGrid>
      <w:tr w:rsidR="00692D8A" w:rsidTr="00214989">
        <w:trPr>
          <w:trHeight w:val="593"/>
        </w:trPr>
        <w:tc>
          <w:tcPr>
            <w:tcW w:w="2340" w:type="dxa"/>
          </w:tcPr>
          <w:p w:rsidR="00692D8A" w:rsidRPr="00EA7E4D" w:rsidRDefault="00692D8A" w:rsidP="009448CE">
            <w:pPr>
              <w:spacing w:before="100" w:beforeAutospacing="1" w:after="100" w:afterAutospacing="1"/>
              <w:jc w:val="center"/>
              <w:rPr>
                <w:rFonts w:ascii="Times New Roman" w:hAnsi="Times New Roman" w:cs="Times New Roman"/>
                <w:b/>
                <w:sz w:val="23"/>
                <w:szCs w:val="23"/>
              </w:rPr>
            </w:pPr>
            <w:r w:rsidRPr="00EA7E4D">
              <w:rPr>
                <w:rFonts w:ascii="Times New Roman" w:hAnsi="Times New Roman" w:cs="Times New Roman"/>
                <w:b/>
                <w:sz w:val="23"/>
                <w:szCs w:val="23"/>
              </w:rPr>
              <w:t>State</w:t>
            </w:r>
            <w:r>
              <w:rPr>
                <w:rFonts w:ascii="Times New Roman" w:hAnsi="Times New Roman" w:cs="Times New Roman"/>
                <w:b/>
                <w:sz w:val="23"/>
                <w:szCs w:val="23"/>
              </w:rPr>
              <w:t>s</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No. of Projects</w:t>
            </w:r>
          </w:p>
        </w:tc>
        <w:tc>
          <w:tcPr>
            <w:tcW w:w="1875"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 xml:space="preserve">Approved Cost </w:t>
            </w:r>
            <w:r w:rsidR="009448CE">
              <w:rPr>
                <w:rFonts w:ascii="Times New Roman" w:hAnsi="Times New Roman" w:cs="Times New Roman"/>
                <w:sz w:val="23"/>
                <w:szCs w:val="23"/>
              </w:rPr>
              <w:t>(</w:t>
            </w:r>
            <w:r w:rsidRPr="00010993">
              <w:rPr>
                <w:rFonts w:ascii="Times New Roman" w:hAnsi="Times New Roman" w:cs="Times New Roman"/>
                <w:sz w:val="24"/>
                <w:szCs w:val="24"/>
              </w:rPr>
              <w:t>Rs.</w:t>
            </w:r>
            <w:r>
              <w:rPr>
                <w:rFonts w:ascii="Times New Roman" w:hAnsi="Times New Roman" w:cs="Times New Roman"/>
                <w:sz w:val="23"/>
                <w:szCs w:val="23"/>
              </w:rPr>
              <w:t xml:space="preserve"> Billion)</w:t>
            </w:r>
          </w:p>
        </w:tc>
        <w:tc>
          <w:tcPr>
            <w:tcW w:w="1800" w:type="dxa"/>
          </w:tcPr>
          <w:p w:rsidR="00692D8A" w:rsidRPr="009448CE"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Utilized Amount (</w:t>
            </w:r>
            <w:proofErr w:type="spellStart"/>
            <w:proofErr w:type="gramStart"/>
            <w:r w:rsidRPr="00010993">
              <w:rPr>
                <w:rFonts w:ascii="Times New Roman" w:hAnsi="Times New Roman" w:cs="Times New Roman"/>
                <w:sz w:val="24"/>
                <w:szCs w:val="24"/>
              </w:rPr>
              <w:t>Rs.</w:t>
            </w:r>
            <w:r>
              <w:rPr>
                <w:rFonts w:ascii="Times New Roman" w:hAnsi="Times New Roman" w:cs="Times New Roman"/>
                <w:sz w:val="23"/>
                <w:szCs w:val="23"/>
              </w:rPr>
              <w:t>Billion</w:t>
            </w:r>
            <w:proofErr w:type="spellEnd"/>
            <w:proofErr w:type="gramEnd"/>
            <w:r>
              <w:rPr>
                <w:rFonts w:ascii="Times New Roman" w:hAnsi="Times New Roman" w:cs="Times New Roman"/>
                <w:sz w:val="23"/>
                <w:szCs w:val="23"/>
              </w:rPr>
              <w:t>)</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Percentage of Utilization</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Arunachal Pradesh</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71</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9.80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3.58</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Assam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215</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13.60</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6.20</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45.6</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Manipur</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24</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2.18</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1.29</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59.2</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Meghalaya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36</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2.86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1.34</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46.7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Mizoram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23</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1.73</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0.93</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53.9</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Nagaland</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57</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8.32</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5.32</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63.7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Sikkim</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2.29</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1.37</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59.7</w:t>
            </w:r>
          </w:p>
        </w:tc>
      </w:tr>
      <w:tr w:rsidR="00692D8A" w:rsidTr="00060E27">
        <w:tc>
          <w:tcPr>
            <w:tcW w:w="234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Tripura</w:t>
            </w:r>
          </w:p>
        </w:tc>
        <w:tc>
          <w:tcPr>
            <w:tcW w:w="1185"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28</w:t>
            </w:r>
          </w:p>
        </w:tc>
        <w:tc>
          <w:tcPr>
            <w:tcW w:w="1875"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2.96</w:t>
            </w:r>
          </w:p>
        </w:tc>
        <w:tc>
          <w:tcPr>
            <w:tcW w:w="1800" w:type="dxa"/>
          </w:tcPr>
          <w:p w:rsidR="00692D8A" w:rsidRPr="005903D2" w:rsidRDefault="00692D8A" w:rsidP="009448CE">
            <w:pPr>
              <w:spacing w:before="100" w:beforeAutospacing="1" w:after="100" w:afterAutospacing="1"/>
              <w:jc w:val="center"/>
              <w:rPr>
                <w:rFonts w:ascii="Times New Roman" w:hAnsi="Times New Roman" w:cs="Times New Roman"/>
                <w:sz w:val="23"/>
                <w:szCs w:val="23"/>
              </w:rPr>
            </w:pPr>
            <w:r w:rsidRPr="005903D2">
              <w:rPr>
                <w:rFonts w:ascii="Times New Roman" w:hAnsi="Times New Roman" w:cs="Times New Roman"/>
                <w:sz w:val="23"/>
                <w:szCs w:val="23"/>
              </w:rPr>
              <w:t>2.06</w:t>
            </w:r>
          </w:p>
        </w:tc>
        <w:tc>
          <w:tcPr>
            <w:tcW w:w="1710" w:type="dxa"/>
          </w:tcPr>
          <w:p w:rsidR="00692D8A" w:rsidRDefault="00692D8A" w:rsidP="009448CE">
            <w:pPr>
              <w:spacing w:before="100" w:beforeAutospacing="1" w:after="100" w:afterAutospacing="1"/>
              <w:jc w:val="center"/>
              <w:rPr>
                <w:rFonts w:ascii="Times New Roman" w:hAnsi="Times New Roman" w:cs="Times New Roman"/>
                <w:sz w:val="23"/>
                <w:szCs w:val="23"/>
              </w:rPr>
            </w:pPr>
            <w:r>
              <w:rPr>
                <w:rFonts w:ascii="Times New Roman" w:hAnsi="Times New Roman" w:cs="Times New Roman"/>
                <w:sz w:val="23"/>
                <w:szCs w:val="23"/>
              </w:rPr>
              <w:t>69.4</w:t>
            </w:r>
          </w:p>
        </w:tc>
      </w:tr>
      <w:tr w:rsidR="00692D8A" w:rsidRPr="009C4210" w:rsidTr="00060E27">
        <w:tc>
          <w:tcPr>
            <w:tcW w:w="234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Total</w:t>
            </w:r>
          </w:p>
        </w:tc>
        <w:tc>
          <w:tcPr>
            <w:tcW w:w="118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522</w:t>
            </w:r>
          </w:p>
        </w:tc>
        <w:tc>
          <w:tcPr>
            <w:tcW w:w="1875"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43.75</w:t>
            </w:r>
          </w:p>
        </w:tc>
        <w:tc>
          <w:tcPr>
            <w:tcW w:w="180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22.10</w:t>
            </w:r>
          </w:p>
        </w:tc>
        <w:tc>
          <w:tcPr>
            <w:tcW w:w="1710" w:type="dxa"/>
          </w:tcPr>
          <w:p w:rsidR="00692D8A" w:rsidRPr="000023A5" w:rsidRDefault="00692D8A" w:rsidP="009448CE">
            <w:pPr>
              <w:spacing w:before="100" w:beforeAutospacing="1" w:after="100" w:afterAutospacing="1"/>
              <w:jc w:val="center"/>
              <w:rPr>
                <w:rFonts w:ascii="Times New Roman" w:hAnsi="Times New Roman" w:cs="Times New Roman"/>
                <w:bCs/>
                <w:sz w:val="23"/>
                <w:szCs w:val="23"/>
              </w:rPr>
            </w:pPr>
            <w:r w:rsidRPr="000023A5">
              <w:rPr>
                <w:rFonts w:ascii="Times New Roman" w:hAnsi="Times New Roman" w:cs="Times New Roman"/>
                <w:bCs/>
                <w:sz w:val="23"/>
                <w:szCs w:val="23"/>
              </w:rPr>
              <w:t>50.5</w:t>
            </w:r>
          </w:p>
        </w:tc>
      </w:tr>
    </w:tbl>
    <w:p w:rsidR="00692D8A" w:rsidRDefault="00692D8A" w:rsidP="00692D8A">
      <w:pPr>
        <w:shd w:val="clear" w:color="auto" w:fill="FFFFFF"/>
        <w:spacing w:after="0" w:line="240" w:lineRule="auto"/>
        <w:ind w:firstLine="720"/>
        <w:jc w:val="center"/>
        <w:rPr>
          <w:rFonts w:ascii="Times New Roman" w:hAnsi="Times New Roman" w:cs="Times New Roman"/>
          <w:sz w:val="24"/>
          <w:szCs w:val="23"/>
        </w:rPr>
      </w:pPr>
      <w:r w:rsidRPr="00A84685">
        <w:rPr>
          <w:rFonts w:ascii="Times New Roman" w:hAnsi="Times New Roman" w:cs="Times New Roman"/>
          <w:sz w:val="24"/>
          <w:szCs w:val="23"/>
        </w:rPr>
        <w:t xml:space="preserve">Source: </w:t>
      </w:r>
      <w:r>
        <w:rPr>
          <w:rFonts w:ascii="Times New Roman" w:hAnsi="Times New Roman" w:cs="Times New Roman"/>
          <w:sz w:val="24"/>
          <w:szCs w:val="23"/>
        </w:rPr>
        <w:t>Ghosh (2024)</w:t>
      </w:r>
    </w:p>
    <w:p w:rsidR="00692D8A" w:rsidRPr="00A45755" w:rsidRDefault="00692D8A" w:rsidP="00692D8A">
      <w:pPr>
        <w:spacing w:line="240" w:lineRule="auto"/>
        <w:ind w:firstLine="720"/>
        <w:jc w:val="both"/>
        <w:rPr>
          <w:rFonts w:ascii="Times New Roman" w:hAnsi="Times New Roman" w:cs="Times New Roman"/>
          <w:sz w:val="24"/>
          <w:szCs w:val="24"/>
        </w:rPr>
      </w:pPr>
    </w:p>
    <w:p w:rsidR="00E700BB" w:rsidRPr="00E700BB" w:rsidRDefault="00E700BB" w:rsidP="00E700BB">
      <w:pPr>
        <w:spacing w:line="360" w:lineRule="auto"/>
        <w:ind w:firstLine="720"/>
        <w:jc w:val="center"/>
        <w:rPr>
          <w:rFonts w:ascii="Times New Roman" w:hAnsi="Times New Roman" w:cs="Times New Roman"/>
          <w:b/>
          <w:bCs/>
          <w:sz w:val="24"/>
          <w:szCs w:val="24"/>
        </w:rPr>
      </w:pPr>
      <w:r w:rsidRPr="00E700BB">
        <w:rPr>
          <w:rFonts w:ascii="Times New Roman" w:hAnsi="Times New Roman" w:cs="Times New Roman"/>
          <w:b/>
          <w:bCs/>
          <w:sz w:val="24"/>
          <w:szCs w:val="24"/>
        </w:rPr>
        <w:t>Under AEP</w:t>
      </w:r>
    </w:p>
    <w:p w:rsidR="00E700BB" w:rsidRDefault="00E700BB" w:rsidP="008C359F">
      <w:pPr>
        <w:spacing w:after="0" w:line="240" w:lineRule="auto"/>
        <w:ind w:firstLine="720"/>
        <w:jc w:val="both"/>
        <w:rPr>
          <w:rFonts w:ascii="Times New Roman" w:eastAsia="Times New Roman" w:hAnsi="Times New Roman" w:cs="Times New Roman"/>
          <w:sz w:val="24"/>
          <w:szCs w:val="24"/>
        </w:rPr>
      </w:pPr>
      <w:r w:rsidRPr="008C359F">
        <w:rPr>
          <w:rFonts w:ascii="Times New Roman" w:eastAsia="Times New Roman" w:hAnsi="Times New Roman" w:cs="Times New Roman"/>
          <w:sz w:val="24"/>
          <w:szCs w:val="24"/>
        </w:rPr>
        <w:t>The states of NEI witnessed fast track implementation of ‘connectivity’ development proj</w:t>
      </w:r>
      <w:r w:rsidR="009E0A09" w:rsidRPr="008C359F">
        <w:rPr>
          <w:rFonts w:ascii="Times New Roman" w:eastAsia="Times New Roman" w:hAnsi="Times New Roman" w:cs="Times New Roman"/>
          <w:sz w:val="24"/>
          <w:szCs w:val="24"/>
        </w:rPr>
        <w:t>ects under AEP as compared to LEP</w:t>
      </w:r>
      <w:r w:rsidRPr="008C359F">
        <w:rPr>
          <w:rFonts w:ascii="Times New Roman" w:eastAsia="Times New Roman" w:hAnsi="Times New Roman" w:cs="Times New Roman"/>
          <w:sz w:val="24"/>
          <w:szCs w:val="24"/>
        </w:rPr>
        <w:t xml:space="preserve">. The notable projects include </w:t>
      </w:r>
      <w:proofErr w:type="spellStart"/>
      <w:r w:rsidRPr="008C359F">
        <w:rPr>
          <w:rFonts w:ascii="Times New Roman" w:hAnsi="Times New Roman" w:cs="Times New Roman"/>
          <w:sz w:val="24"/>
          <w:szCs w:val="24"/>
        </w:rPr>
        <w:t>Kaladan</w:t>
      </w:r>
      <w:proofErr w:type="spellEnd"/>
      <w:r w:rsidRPr="008C359F">
        <w:rPr>
          <w:rFonts w:ascii="Times New Roman" w:hAnsi="Times New Roman" w:cs="Times New Roman"/>
          <w:sz w:val="24"/>
          <w:szCs w:val="24"/>
        </w:rPr>
        <w:t xml:space="preserve"> Multimodal Transit Transport Project (KMTTP), India Myanmar Thailand (IMT) Trilateral Highway, Bangladesh China India Myanmar (BCIM) corridor, Mekong India Economic Corridor (MIEC) to physically connect the states of NEI with growing South and Southeast Asian countries Moreover, the bridge over river </w:t>
      </w:r>
      <w:proofErr w:type="spellStart"/>
      <w:r w:rsidRPr="008C359F">
        <w:rPr>
          <w:rFonts w:ascii="Times New Roman" w:hAnsi="Times New Roman" w:cs="Times New Roman"/>
          <w:sz w:val="24"/>
          <w:szCs w:val="24"/>
        </w:rPr>
        <w:t>Feni</w:t>
      </w:r>
      <w:proofErr w:type="spellEnd"/>
      <w:r w:rsidRPr="008C359F">
        <w:rPr>
          <w:rFonts w:ascii="Times New Roman" w:hAnsi="Times New Roman" w:cs="Times New Roman"/>
          <w:sz w:val="24"/>
          <w:szCs w:val="24"/>
        </w:rPr>
        <w:t xml:space="preserve"> in South Tripura called ‘</w:t>
      </w:r>
      <w:proofErr w:type="spellStart"/>
      <w:r w:rsidRPr="008C359F">
        <w:rPr>
          <w:rFonts w:ascii="Times New Roman" w:hAnsi="Times New Roman" w:cs="Times New Roman"/>
          <w:sz w:val="24"/>
          <w:szCs w:val="24"/>
        </w:rPr>
        <w:t>MaitriSetu</w:t>
      </w:r>
      <w:proofErr w:type="spellEnd"/>
      <w:r w:rsidRPr="008C359F">
        <w:rPr>
          <w:rFonts w:ascii="Times New Roman" w:hAnsi="Times New Roman" w:cs="Times New Roman"/>
          <w:sz w:val="24"/>
          <w:szCs w:val="24"/>
        </w:rPr>
        <w:t xml:space="preserve">’ has been built to link Tripura with Bangladesh so that goods can be transported to NEI through </w:t>
      </w:r>
      <w:proofErr w:type="spellStart"/>
      <w:r w:rsidRPr="008C359F">
        <w:rPr>
          <w:rFonts w:ascii="Times New Roman" w:hAnsi="Times New Roman" w:cs="Times New Roman"/>
          <w:sz w:val="24"/>
          <w:szCs w:val="24"/>
        </w:rPr>
        <w:t>Chittogang</w:t>
      </w:r>
      <w:proofErr w:type="spellEnd"/>
      <w:r w:rsidRPr="008C359F">
        <w:rPr>
          <w:rFonts w:ascii="Times New Roman" w:hAnsi="Times New Roman" w:cs="Times New Roman"/>
          <w:sz w:val="24"/>
          <w:szCs w:val="24"/>
        </w:rPr>
        <w:t xml:space="preserve"> port. Recently, Agartala -</w:t>
      </w:r>
      <w:proofErr w:type="spellStart"/>
      <w:r w:rsidRPr="008C359F">
        <w:rPr>
          <w:rFonts w:ascii="Times New Roman" w:hAnsi="Times New Roman" w:cs="Times New Roman"/>
          <w:sz w:val="24"/>
          <w:szCs w:val="24"/>
        </w:rPr>
        <w:t>Akhaura</w:t>
      </w:r>
      <w:proofErr w:type="spellEnd"/>
      <w:r w:rsidRPr="008C359F">
        <w:rPr>
          <w:rFonts w:ascii="Times New Roman" w:hAnsi="Times New Roman" w:cs="Times New Roman"/>
          <w:sz w:val="24"/>
          <w:szCs w:val="24"/>
        </w:rPr>
        <w:t xml:space="preserve"> rail link between Tripura and Bangladesh has been inaugurated. </w:t>
      </w:r>
      <w:r w:rsidRPr="008C359F">
        <w:rPr>
          <w:rFonts w:ascii="Times New Roman" w:eastAsia="Times New Roman" w:hAnsi="Times New Roman" w:cs="Times New Roman"/>
          <w:sz w:val="24"/>
          <w:szCs w:val="24"/>
        </w:rPr>
        <w:t xml:space="preserve">The expansion of railway lines to connect all the state capitals of NEI is </w:t>
      </w:r>
      <w:r w:rsidRPr="008C359F">
        <w:rPr>
          <w:rFonts w:ascii="Times New Roman" w:eastAsia="Times New Roman" w:hAnsi="Times New Roman" w:cs="Times New Roman"/>
          <w:sz w:val="24"/>
          <w:szCs w:val="24"/>
        </w:rPr>
        <w:lastRenderedPageBreak/>
        <w:t xml:space="preserve">underway and conversion of meter gauge railway track to broad gauge under NF Railway has been completed at a very fast pace to develop the inter-state connectivity in NEI and also to connect with mainland India. </w:t>
      </w:r>
    </w:p>
    <w:p w:rsidR="008C359F" w:rsidRPr="008C359F" w:rsidRDefault="008C359F" w:rsidP="008C359F">
      <w:pPr>
        <w:spacing w:after="0" w:line="240" w:lineRule="auto"/>
        <w:ind w:firstLine="720"/>
        <w:jc w:val="both"/>
        <w:rPr>
          <w:rFonts w:ascii="Times New Roman" w:hAnsi="Times New Roman" w:cs="Times New Roman"/>
          <w:sz w:val="24"/>
          <w:szCs w:val="24"/>
        </w:rPr>
      </w:pPr>
    </w:p>
    <w:p w:rsidR="00E700BB" w:rsidRPr="00681579" w:rsidRDefault="00E700BB" w:rsidP="0061172C">
      <w:pPr>
        <w:spacing w:after="0" w:line="240" w:lineRule="auto"/>
        <w:jc w:val="center"/>
        <w:rPr>
          <w:rFonts w:ascii="Times New Roman" w:hAnsi="Times New Roman" w:cs="Times New Roman"/>
          <w:sz w:val="24"/>
          <w:szCs w:val="23"/>
        </w:rPr>
      </w:pPr>
      <w:r>
        <w:rPr>
          <w:rFonts w:ascii="Times New Roman" w:hAnsi="Times New Roman" w:cs="Times New Roman"/>
          <w:b/>
          <w:sz w:val="24"/>
          <w:szCs w:val="24"/>
        </w:rPr>
        <w:t>Figure 1</w:t>
      </w:r>
      <w:r w:rsidRPr="006441AC">
        <w:rPr>
          <w:rFonts w:ascii="Times New Roman" w:hAnsi="Times New Roman" w:cs="Times New Roman"/>
          <w:b/>
          <w:sz w:val="24"/>
          <w:szCs w:val="24"/>
        </w:rPr>
        <w:t>: Allocation of Budget for Development of NEI (Rs. in Crores)</w:t>
      </w:r>
    </w:p>
    <w:p w:rsidR="00E700BB" w:rsidRDefault="00E700BB" w:rsidP="00E700BB">
      <w:pPr>
        <w:spacing w:line="240" w:lineRule="auto"/>
        <w:jc w:val="center"/>
        <w:rPr>
          <w:sz w:val="23"/>
          <w:szCs w:val="23"/>
        </w:rPr>
      </w:pPr>
      <w:r w:rsidRPr="006441AC">
        <w:rPr>
          <w:noProof/>
          <w:sz w:val="23"/>
          <w:szCs w:val="23"/>
        </w:rPr>
        <w:drawing>
          <wp:inline distT="0" distB="0" distL="0" distR="0">
            <wp:extent cx="5714114" cy="2158409"/>
            <wp:effectExtent l="19050" t="0" r="19936"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7229" w:rsidRPr="00B27C6E" w:rsidRDefault="00E700BB" w:rsidP="00B27C6E">
      <w:pPr>
        <w:spacing w:line="240" w:lineRule="auto"/>
        <w:jc w:val="center"/>
        <w:rPr>
          <w:rFonts w:ascii="Times New Roman" w:hAnsi="Times New Roman" w:cs="Times New Roman"/>
          <w:sz w:val="24"/>
          <w:szCs w:val="24"/>
        </w:rPr>
      </w:pPr>
      <w:r w:rsidRPr="00077C6D">
        <w:rPr>
          <w:rFonts w:ascii="Times New Roman" w:hAnsi="Times New Roman" w:cs="Times New Roman"/>
          <w:sz w:val="24"/>
          <w:szCs w:val="24"/>
        </w:rPr>
        <w:t>Source: Ministr</w:t>
      </w:r>
      <w:r>
        <w:rPr>
          <w:rFonts w:ascii="Times New Roman" w:hAnsi="Times New Roman" w:cs="Times New Roman"/>
          <w:sz w:val="24"/>
          <w:szCs w:val="24"/>
        </w:rPr>
        <w:t>y of Development of North East R</w:t>
      </w:r>
      <w:r w:rsidRPr="00077C6D">
        <w:rPr>
          <w:rFonts w:ascii="Times New Roman" w:hAnsi="Times New Roman" w:cs="Times New Roman"/>
          <w:sz w:val="24"/>
          <w:szCs w:val="24"/>
        </w:rPr>
        <w:t>egion</w:t>
      </w:r>
    </w:p>
    <w:p w:rsidR="00584BF2" w:rsidRDefault="00584BF2" w:rsidP="00584BF2">
      <w:pPr>
        <w:pStyle w:val="Default"/>
        <w:rPr>
          <w:rFonts w:ascii="Times New Roman" w:hAnsi="Times New Roman" w:cs="Times New Roman"/>
          <w:b/>
        </w:rPr>
      </w:pPr>
    </w:p>
    <w:p w:rsidR="00E700BB" w:rsidRPr="00A062D6" w:rsidRDefault="00E700BB" w:rsidP="00584BF2">
      <w:pPr>
        <w:pStyle w:val="Default"/>
        <w:jc w:val="center"/>
        <w:rPr>
          <w:rFonts w:ascii="Times New Roman" w:hAnsi="Times New Roman" w:cs="Times New Roman"/>
          <w:b/>
        </w:rPr>
      </w:pPr>
      <w:r w:rsidRPr="00A062D6">
        <w:rPr>
          <w:rFonts w:ascii="Times New Roman" w:hAnsi="Times New Roman" w:cs="Times New Roman"/>
          <w:b/>
        </w:rPr>
        <w:t>Table</w:t>
      </w:r>
      <w:r w:rsidR="00DB6A12">
        <w:rPr>
          <w:rFonts w:ascii="Times New Roman" w:hAnsi="Times New Roman" w:cs="Times New Roman"/>
          <w:b/>
        </w:rPr>
        <w:t xml:space="preserve"> 2</w:t>
      </w:r>
      <w:r w:rsidRPr="00A062D6">
        <w:rPr>
          <w:rFonts w:ascii="Times New Roman" w:hAnsi="Times New Roman" w:cs="Times New Roman"/>
          <w:b/>
        </w:rPr>
        <w:t>: Completed Railway Projects in NEI</w:t>
      </w:r>
    </w:p>
    <w:tbl>
      <w:tblPr>
        <w:tblStyle w:val="TableGrid"/>
        <w:tblW w:w="0" w:type="auto"/>
        <w:tblLook w:val="04A0" w:firstRow="1" w:lastRow="0" w:firstColumn="1" w:lastColumn="0" w:noHBand="0" w:noVBand="1"/>
      </w:tblPr>
      <w:tblGrid>
        <w:gridCol w:w="2988"/>
        <w:gridCol w:w="2070"/>
        <w:gridCol w:w="1800"/>
        <w:gridCol w:w="2250"/>
      </w:tblGrid>
      <w:tr w:rsidR="00E700BB" w:rsidTr="00573A49">
        <w:tc>
          <w:tcPr>
            <w:tcW w:w="2988"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Projects</w:t>
            </w:r>
          </w:p>
        </w:tc>
        <w:tc>
          <w:tcPr>
            <w:tcW w:w="207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Type</w:t>
            </w:r>
          </w:p>
        </w:tc>
        <w:tc>
          <w:tcPr>
            <w:tcW w:w="1800" w:type="dxa"/>
          </w:tcPr>
          <w:p w:rsidR="00E700BB" w:rsidRPr="00085BBB" w:rsidRDefault="00573A49" w:rsidP="00573A49">
            <w:pPr>
              <w:pStyle w:val="Default"/>
              <w:rPr>
                <w:rFonts w:ascii="Times New Roman" w:hAnsi="Times New Roman" w:cs="Times New Roman"/>
                <w:b/>
              </w:rPr>
            </w:pPr>
            <w:r>
              <w:rPr>
                <w:rFonts w:ascii="Times New Roman" w:hAnsi="Times New Roman" w:cs="Times New Roman"/>
                <w:b/>
              </w:rPr>
              <w:t>Length (</w:t>
            </w:r>
            <w:proofErr w:type="spellStart"/>
            <w:r>
              <w:rPr>
                <w:rFonts w:ascii="Times New Roman" w:hAnsi="Times New Roman" w:cs="Times New Roman"/>
                <w:b/>
              </w:rPr>
              <w:t>in</w:t>
            </w:r>
            <w:r w:rsidR="00E700BB" w:rsidRPr="00085BBB">
              <w:rPr>
                <w:rFonts w:ascii="Times New Roman" w:hAnsi="Times New Roman" w:cs="Times New Roman"/>
                <w:b/>
              </w:rPr>
              <w:t>Km</w:t>
            </w:r>
            <w:proofErr w:type="spellEnd"/>
            <w:r w:rsidR="00E700BB" w:rsidRPr="00085BBB">
              <w:rPr>
                <w:rFonts w:ascii="Times New Roman" w:hAnsi="Times New Roman" w:cs="Times New Roman"/>
                <w:b/>
              </w:rPr>
              <w:t>)</w:t>
            </w:r>
          </w:p>
        </w:tc>
        <w:tc>
          <w:tcPr>
            <w:tcW w:w="2250" w:type="dxa"/>
          </w:tcPr>
          <w:p w:rsidR="00E700BB" w:rsidRPr="00085BBB" w:rsidRDefault="00E700BB" w:rsidP="008C359F">
            <w:pPr>
              <w:pStyle w:val="Default"/>
              <w:jc w:val="center"/>
              <w:rPr>
                <w:rFonts w:ascii="Times New Roman" w:hAnsi="Times New Roman" w:cs="Times New Roman"/>
                <w:b/>
              </w:rPr>
            </w:pPr>
            <w:r w:rsidRPr="00085BBB">
              <w:rPr>
                <w:rFonts w:ascii="Times New Roman" w:hAnsi="Times New Roman" w:cs="Times New Roman"/>
                <w:b/>
              </w:rPr>
              <w:t>Cost (Rs. in Crore)</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Bogibeel</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73</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5920</w:t>
            </w:r>
          </w:p>
        </w:tc>
      </w:tr>
      <w:tr w:rsidR="00E700BB" w:rsidTr="00573A49">
        <w:tc>
          <w:tcPr>
            <w:tcW w:w="2988" w:type="dxa"/>
          </w:tcPr>
          <w:p w:rsidR="00E700BB" w:rsidRPr="00776E73" w:rsidRDefault="00E700BB" w:rsidP="00642D39">
            <w:pPr>
              <w:pStyle w:val="Default"/>
              <w:rPr>
                <w:rFonts w:ascii="Times New Roman" w:hAnsi="Times New Roman" w:cs="Times New Roman"/>
              </w:rPr>
            </w:pPr>
            <w:r w:rsidRPr="00776E73">
              <w:rPr>
                <w:rFonts w:ascii="Times New Roman" w:hAnsi="Times New Roman" w:cs="Times New Roman"/>
              </w:rPr>
              <w:t xml:space="preserve">Agartala - </w:t>
            </w:r>
            <w:proofErr w:type="spellStart"/>
            <w:r w:rsidRPr="00776E73">
              <w:rPr>
                <w:rFonts w:ascii="Times New Roman" w:hAnsi="Times New Roman" w:cs="Times New Roman"/>
              </w:rPr>
              <w:t>Sabroom</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112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3904.61</w:t>
            </w:r>
          </w:p>
        </w:tc>
      </w:tr>
      <w:tr w:rsidR="00E700BB" w:rsidTr="00573A49">
        <w:tc>
          <w:tcPr>
            <w:tcW w:w="2988" w:type="dxa"/>
          </w:tcPr>
          <w:p w:rsidR="00E700BB" w:rsidRPr="00776E73" w:rsidRDefault="00642D39" w:rsidP="00642D39">
            <w:pPr>
              <w:pStyle w:val="Default"/>
              <w:rPr>
                <w:rFonts w:ascii="Times New Roman" w:hAnsi="Times New Roman" w:cs="Times New Roman"/>
              </w:rPr>
            </w:pPr>
            <w:r>
              <w:rPr>
                <w:rFonts w:ascii="Times New Roman" w:hAnsi="Times New Roman" w:cs="Times New Roman"/>
              </w:rPr>
              <w:t xml:space="preserve">New </w:t>
            </w:r>
            <w:proofErr w:type="spellStart"/>
            <w:r>
              <w:rPr>
                <w:rFonts w:ascii="Times New Roman" w:hAnsi="Times New Roman" w:cs="Times New Roman"/>
              </w:rPr>
              <w:t>Maynaguri</w:t>
            </w:r>
            <w:proofErr w:type="spellEnd"/>
            <w:r>
              <w:rPr>
                <w:rFonts w:ascii="Times New Roman" w:hAnsi="Times New Roman" w:cs="Times New Roman"/>
              </w:rPr>
              <w:t xml:space="preserve"> - </w:t>
            </w:r>
            <w:proofErr w:type="spellStart"/>
            <w:r w:rsidR="00E700BB" w:rsidRPr="00776E73">
              <w:rPr>
                <w:rFonts w:ascii="Times New Roman" w:hAnsi="Times New Roman" w:cs="Times New Roman"/>
              </w:rPr>
              <w:t>Jogighopa</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New Line</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284.75</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4541.38</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sidRPr="00776E73">
              <w:rPr>
                <w:rFonts w:ascii="Times New Roman" w:hAnsi="Times New Roman" w:cs="Times New Roman"/>
              </w:rPr>
              <w:t>Lumding</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Silchar</w:t>
            </w:r>
            <w:proofErr w:type="spellEnd"/>
            <w:r w:rsidRPr="00776E73">
              <w:rPr>
                <w:rFonts w:ascii="Times New Roman" w:hAnsi="Times New Roman" w:cs="Times New Roman"/>
              </w:rPr>
              <w:t>**</w:t>
            </w:r>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Gauge Conversion</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420.90</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8359.20</w:t>
            </w:r>
          </w:p>
        </w:tc>
      </w:tr>
      <w:tr w:rsidR="00E700BB" w:rsidTr="00573A49">
        <w:tc>
          <w:tcPr>
            <w:tcW w:w="2988" w:type="dxa"/>
          </w:tcPr>
          <w:p w:rsidR="00E700BB" w:rsidRPr="00776E73" w:rsidRDefault="00E700BB" w:rsidP="00642D39">
            <w:pPr>
              <w:pStyle w:val="Default"/>
              <w:rPr>
                <w:rFonts w:ascii="Times New Roman" w:hAnsi="Times New Roman" w:cs="Times New Roman"/>
              </w:rPr>
            </w:pPr>
            <w:proofErr w:type="spellStart"/>
            <w:r>
              <w:rPr>
                <w:rFonts w:ascii="Times New Roman" w:hAnsi="Times New Roman" w:cs="Times New Roman"/>
              </w:rPr>
              <w:t>Hoj</w:t>
            </w:r>
            <w:r w:rsidRPr="00776E73">
              <w:rPr>
                <w:rFonts w:ascii="Times New Roman" w:hAnsi="Times New Roman" w:cs="Times New Roman"/>
              </w:rPr>
              <w:t>ai</w:t>
            </w:r>
            <w:proofErr w:type="spellEnd"/>
            <w:r w:rsidRPr="00776E73">
              <w:rPr>
                <w:rFonts w:ascii="Times New Roman" w:hAnsi="Times New Roman" w:cs="Times New Roman"/>
              </w:rPr>
              <w:t xml:space="preserve"> - </w:t>
            </w:r>
            <w:proofErr w:type="spellStart"/>
            <w:r w:rsidRPr="00776E73">
              <w:rPr>
                <w:rFonts w:ascii="Times New Roman" w:hAnsi="Times New Roman" w:cs="Times New Roman"/>
              </w:rPr>
              <w:t>Lumding</w:t>
            </w:r>
            <w:proofErr w:type="spellEnd"/>
          </w:p>
        </w:tc>
        <w:tc>
          <w:tcPr>
            <w:tcW w:w="207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Doubling</w:t>
            </w:r>
          </w:p>
        </w:tc>
        <w:tc>
          <w:tcPr>
            <w:tcW w:w="180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44.92</w:t>
            </w:r>
          </w:p>
        </w:tc>
        <w:tc>
          <w:tcPr>
            <w:tcW w:w="2250" w:type="dxa"/>
          </w:tcPr>
          <w:p w:rsidR="00E700BB" w:rsidRDefault="00E700BB" w:rsidP="008C359F">
            <w:pPr>
              <w:pStyle w:val="Default"/>
              <w:jc w:val="center"/>
              <w:rPr>
                <w:rFonts w:ascii="Times New Roman" w:hAnsi="Times New Roman" w:cs="Times New Roman"/>
              </w:rPr>
            </w:pPr>
            <w:r>
              <w:rPr>
                <w:rFonts w:ascii="Times New Roman" w:hAnsi="Times New Roman" w:cs="Times New Roman"/>
              </w:rPr>
              <w:t>398.93</w:t>
            </w:r>
          </w:p>
        </w:tc>
      </w:tr>
    </w:tbl>
    <w:p w:rsidR="00E700BB" w:rsidRDefault="00E700BB" w:rsidP="008C359F">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921364" w:rsidRDefault="00E700BB" w:rsidP="00E700BB">
      <w:pPr>
        <w:pStyle w:val="Default"/>
        <w:jc w:val="center"/>
        <w:rPr>
          <w:rFonts w:ascii="Times New Roman" w:hAnsi="Times New Roman" w:cs="Times New Roman"/>
          <w:sz w:val="22"/>
        </w:rPr>
      </w:pPr>
      <w:r w:rsidRPr="00921364">
        <w:rPr>
          <w:rFonts w:ascii="Times New Roman" w:hAnsi="Times New Roman" w:cs="Times New Roman"/>
          <w:sz w:val="22"/>
        </w:rPr>
        <w:t xml:space="preserve">*The project links lines between Dibrugarh, North and South Bank line ** The project also includes </w:t>
      </w:r>
      <w:proofErr w:type="spellStart"/>
      <w:r w:rsidRPr="00921364">
        <w:rPr>
          <w:rFonts w:ascii="Times New Roman" w:hAnsi="Times New Roman" w:cs="Times New Roman"/>
          <w:sz w:val="22"/>
        </w:rPr>
        <w:t>Migrendisa</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Dittockchera</w:t>
      </w:r>
      <w:proofErr w:type="spellEnd"/>
      <w:r w:rsidRPr="00921364">
        <w:rPr>
          <w:rFonts w:ascii="Times New Roman" w:hAnsi="Times New Roman" w:cs="Times New Roman"/>
          <w:sz w:val="22"/>
        </w:rPr>
        <w:t xml:space="preserve"> (198km), Extension from </w:t>
      </w:r>
      <w:proofErr w:type="spellStart"/>
      <w:r w:rsidRPr="00921364">
        <w:rPr>
          <w:rFonts w:ascii="Times New Roman" w:hAnsi="Times New Roman" w:cs="Times New Roman"/>
          <w:sz w:val="22"/>
        </w:rPr>
        <w:t>Badarpur</w:t>
      </w:r>
      <w:proofErr w:type="spellEnd"/>
      <w:r w:rsidRPr="00921364">
        <w:rPr>
          <w:rFonts w:ascii="Times New Roman" w:hAnsi="Times New Roman" w:cs="Times New Roman"/>
          <w:sz w:val="22"/>
        </w:rPr>
        <w:t xml:space="preserve"> -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(44 km) and </w:t>
      </w:r>
      <w:proofErr w:type="spellStart"/>
      <w:r w:rsidRPr="00921364">
        <w:rPr>
          <w:rFonts w:ascii="Times New Roman" w:hAnsi="Times New Roman" w:cs="Times New Roman"/>
          <w:sz w:val="22"/>
        </w:rPr>
        <w:t>newMaterial</w:t>
      </w:r>
      <w:proofErr w:type="spellEnd"/>
      <w:r w:rsidRPr="00921364">
        <w:rPr>
          <w:rFonts w:ascii="Times New Roman" w:hAnsi="Times New Roman" w:cs="Times New Roman"/>
          <w:sz w:val="22"/>
        </w:rPr>
        <w:t xml:space="preserve"> Modification for Gauge Conversion of </w:t>
      </w:r>
      <w:proofErr w:type="spellStart"/>
      <w:r w:rsidRPr="00921364">
        <w:rPr>
          <w:rFonts w:ascii="Times New Roman" w:hAnsi="Times New Roman" w:cs="Times New Roman"/>
          <w:sz w:val="22"/>
        </w:rPr>
        <w:t>Bairagram</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Dulavchera</w:t>
      </w:r>
      <w:proofErr w:type="spellEnd"/>
      <w:r w:rsidRPr="00921364">
        <w:rPr>
          <w:rFonts w:ascii="Times New Roman" w:hAnsi="Times New Roman" w:cs="Times New Roman"/>
          <w:sz w:val="22"/>
        </w:rPr>
        <w:t xml:space="preserve"> with bypass at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(29.4 km) and </w:t>
      </w:r>
      <w:proofErr w:type="spellStart"/>
      <w:r w:rsidRPr="00921364">
        <w:rPr>
          <w:rFonts w:ascii="Times New Roman" w:hAnsi="Times New Roman" w:cs="Times New Roman"/>
          <w:sz w:val="22"/>
        </w:rPr>
        <w:t>Karimganj</w:t>
      </w:r>
      <w:proofErr w:type="spellEnd"/>
      <w:r w:rsidRPr="00921364">
        <w:rPr>
          <w:rFonts w:ascii="Times New Roman" w:hAnsi="Times New Roman" w:cs="Times New Roman"/>
          <w:sz w:val="22"/>
        </w:rPr>
        <w:t xml:space="preserve">- </w:t>
      </w:r>
      <w:proofErr w:type="spellStart"/>
      <w:r w:rsidRPr="00921364">
        <w:rPr>
          <w:rFonts w:ascii="Times New Roman" w:hAnsi="Times New Roman" w:cs="Times New Roman"/>
          <w:sz w:val="22"/>
        </w:rPr>
        <w:t>Maishasan</w:t>
      </w:r>
      <w:proofErr w:type="spellEnd"/>
      <w:r w:rsidRPr="00921364">
        <w:rPr>
          <w:rFonts w:ascii="Times New Roman" w:hAnsi="Times New Roman" w:cs="Times New Roman"/>
          <w:sz w:val="22"/>
        </w:rPr>
        <w:t xml:space="preserve"> (10.30 km)</w:t>
      </w:r>
    </w:p>
    <w:p w:rsidR="00921364" w:rsidRPr="00921364" w:rsidRDefault="00921364" w:rsidP="00E700BB">
      <w:pPr>
        <w:pStyle w:val="Default"/>
        <w:jc w:val="center"/>
        <w:rPr>
          <w:rFonts w:ascii="Times New Roman" w:hAnsi="Times New Roman" w:cs="Times New Roman"/>
          <w:sz w:val="22"/>
        </w:rPr>
      </w:pPr>
    </w:p>
    <w:p w:rsidR="00E700BB" w:rsidRPr="00940F8B" w:rsidRDefault="00E700BB" w:rsidP="00852047">
      <w:pPr>
        <w:pStyle w:val="Default"/>
        <w:rPr>
          <w:rFonts w:ascii="Times New Roman" w:hAnsi="Times New Roman" w:cs="Times New Roman"/>
          <w:sz w:val="22"/>
          <w:szCs w:val="22"/>
        </w:rPr>
      </w:pPr>
    </w:p>
    <w:p w:rsidR="00E700BB" w:rsidRPr="000E6EC0" w:rsidRDefault="00E700BB" w:rsidP="006875C1">
      <w:pPr>
        <w:pStyle w:val="Default"/>
        <w:jc w:val="center"/>
        <w:rPr>
          <w:rFonts w:ascii="Times New Roman" w:hAnsi="Times New Roman" w:cs="Times New Roman"/>
          <w:b/>
        </w:rPr>
      </w:pPr>
      <w:r w:rsidRPr="006B6359">
        <w:rPr>
          <w:rFonts w:ascii="Times New Roman" w:hAnsi="Times New Roman" w:cs="Times New Roman"/>
          <w:b/>
        </w:rPr>
        <w:t>Table</w:t>
      </w:r>
      <w:r w:rsidR="00DB6A12">
        <w:rPr>
          <w:rFonts w:ascii="Times New Roman" w:hAnsi="Times New Roman" w:cs="Times New Roman"/>
          <w:b/>
        </w:rPr>
        <w:t xml:space="preserve"> 3</w:t>
      </w:r>
      <w:r w:rsidRPr="006B6359">
        <w:rPr>
          <w:rFonts w:ascii="Times New Roman" w:hAnsi="Times New Roman" w:cs="Times New Roman"/>
          <w:b/>
        </w:rPr>
        <w:t>: Road Development Projects in NEI</w:t>
      </w:r>
    </w:p>
    <w:tbl>
      <w:tblPr>
        <w:tblStyle w:val="TableGrid"/>
        <w:tblW w:w="0" w:type="auto"/>
        <w:tblInd w:w="176" w:type="dxa"/>
        <w:tblLook w:val="04A0" w:firstRow="1" w:lastRow="0" w:firstColumn="1" w:lastColumn="0" w:noHBand="0" w:noVBand="1"/>
      </w:tblPr>
      <w:tblGrid>
        <w:gridCol w:w="1283"/>
        <w:gridCol w:w="1670"/>
        <w:gridCol w:w="2043"/>
        <w:gridCol w:w="1670"/>
        <w:gridCol w:w="2043"/>
      </w:tblGrid>
      <w:tr w:rsidR="00E700BB" w:rsidTr="003161C3">
        <w:trPr>
          <w:trHeight w:val="413"/>
        </w:trPr>
        <w:tc>
          <w:tcPr>
            <w:tcW w:w="0" w:type="auto"/>
            <w:vMerge w:val="restart"/>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States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Ongoing Projects</w:t>
            </w:r>
          </w:p>
        </w:tc>
        <w:tc>
          <w:tcPr>
            <w:tcW w:w="0" w:type="auto"/>
            <w:gridSpan w:val="2"/>
          </w:tcPr>
          <w:p w:rsidR="00E700BB" w:rsidRPr="00F2345F" w:rsidRDefault="00E700BB" w:rsidP="006875C1">
            <w:pPr>
              <w:pStyle w:val="Default"/>
              <w:jc w:val="center"/>
              <w:rPr>
                <w:rFonts w:ascii="Times New Roman" w:hAnsi="Times New Roman" w:cs="Times New Roman"/>
                <w:b/>
              </w:rPr>
            </w:pPr>
            <w:r w:rsidRPr="00F2345F">
              <w:rPr>
                <w:rFonts w:ascii="Times New Roman" w:hAnsi="Times New Roman" w:cs="Times New Roman"/>
                <w:b/>
              </w:rPr>
              <w:t>Completed Projects</w:t>
            </w:r>
          </w:p>
        </w:tc>
      </w:tr>
      <w:tr w:rsidR="00E700BB" w:rsidTr="003161C3">
        <w:trPr>
          <w:trHeight w:val="142"/>
        </w:trPr>
        <w:tc>
          <w:tcPr>
            <w:tcW w:w="0" w:type="auto"/>
            <w:vMerge/>
          </w:tcPr>
          <w:p w:rsidR="00E700BB" w:rsidRDefault="00E700BB" w:rsidP="006875C1">
            <w:pPr>
              <w:pStyle w:val="Default"/>
              <w:jc w:val="both"/>
              <w:rPr>
                <w:rFonts w:ascii="Times New Roman" w:hAnsi="Times New Roman" w:cs="Times New Roman"/>
              </w:rPr>
            </w:pP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Length (in km)</w:t>
            </w:r>
          </w:p>
        </w:tc>
        <w:tc>
          <w:tcPr>
            <w:tcW w:w="0" w:type="auto"/>
          </w:tcPr>
          <w:p w:rsidR="00E700BB" w:rsidRPr="00484CCA" w:rsidRDefault="00E700BB" w:rsidP="006875C1">
            <w:pPr>
              <w:pStyle w:val="Default"/>
              <w:jc w:val="center"/>
              <w:rPr>
                <w:rFonts w:ascii="Times New Roman" w:hAnsi="Times New Roman" w:cs="Times New Roman"/>
              </w:rPr>
            </w:pPr>
            <w:r w:rsidRPr="00484CCA">
              <w:rPr>
                <w:rFonts w:ascii="Times New Roman" w:hAnsi="Times New Roman" w:cs="Times New Roman"/>
              </w:rPr>
              <w:t>Cost (in Rs. Crore)</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Arunachal</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749.42 (34)</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8973.11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534.086 (23)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Assam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418.53 (29)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10527.12</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1237.61 (83)</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3274.72</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Manipur</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628.20 (33)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7833.59</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283.525 (18)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1362.56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Meghalaya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237.46 (18)</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3193.41</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c>
          <w:tcPr>
            <w:tcW w:w="0" w:type="auto"/>
          </w:tcPr>
          <w:p w:rsidR="00E700BB" w:rsidRPr="00156C76" w:rsidRDefault="00E700BB" w:rsidP="006875C1">
            <w:pPr>
              <w:pStyle w:val="Default"/>
              <w:jc w:val="center"/>
              <w:rPr>
                <w:rFonts w:ascii="Times New Roman" w:hAnsi="Times New Roman" w:cs="Times New Roman"/>
              </w:rPr>
            </w:pPr>
            <w:r>
              <w:rPr>
                <w:rFonts w:ascii="Times New Roman" w:hAnsi="Times New Roman" w:cs="Times New Roman"/>
              </w:rPr>
              <w:t>------</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Mizoram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599.87 (23)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10616.58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253.86 (36)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651.19</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Nagaland</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803.55 (39)</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9205.96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625.197 (64)</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3661.6</w:t>
            </w:r>
          </w:p>
        </w:tc>
      </w:tr>
      <w:tr w:rsidR="00E700BB" w:rsidTr="003161C3">
        <w:trPr>
          <w:trHeight w:val="39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Sikkim</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197.44 (17)</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3963.918</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107.36 (6)</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1276.75</w:t>
            </w:r>
          </w:p>
        </w:tc>
      </w:tr>
      <w:tr w:rsidR="00E700BB" w:rsidTr="003161C3">
        <w:trPr>
          <w:trHeight w:val="413"/>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t>Tripura</w:t>
            </w:r>
          </w:p>
        </w:tc>
        <w:tc>
          <w:tcPr>
            <w:tcW w:w="0" w:type="auto"/>
          </w:tcPr>
          <w:p w:rsidR="00E700BB" w:rsidRPr="00D84CED" w:rsidRDefault="00E700BB" w:rsidP="006875C1">
            <w:pPr>
              <w:pStyle w:val="Default"/>
              <w:jc w:val="center"/>
              <w:rPr>
                <w:rFonts w:ascii="Times New Roman" w:hAnsi="Times New Roman" w:cs="Times New Roman"/>
              </w:rPr>
            </w:pPr>
            <w:r w:rsidRPr="00D84CED">
              <w:rPr>
                <w:rFonts w:ascii="Times New Roman" w:hAnsi="Times New Roman" w:cs="Times New Roman"/>
              </w:rPr>
              <w:t>382.02 (20)</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rPr>
              <w:t>4071.31</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57.86 (7)</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rPr>
              <w:t>332.5</w:t>
            </w:r>
          </w:p>
        </w:tc>
      </w:tr>
      <w:tr w:rsidR="00E700BB" w:rsidTr="003161C3">
        <w:trPr>
          <w:trHeight w:val="386"/>
        </w:trPr>
        <w:tc>
          <w:tcPr>
            <w:tcW w:w="0" w:type="auto"/>
          </w:tcPr>
          <w:p w:rsidR="00E700BB" w:rsidRDefault="00E700BB" w:rsidP="006875C1">
            <w:pPr>
              <w:pStyle w:val="Default"/>
              <w:jc w:val="center"/>
              <w:rPr>
                <w:rFonts w:ascii="Times New Roman" w:hAnsi="Times New Roman" w:cs="Times New Roman"/>
              </w:rPr>
            </w:pPr>
            <w:r>
              <w:rPr>
                <w:rFonts w:ascii="Times New Roman" w:hAnsi="Times New Roman" w:cs="Times New Roman"/>
              </w:rPr>
              <w:lastRenderedPageBreak/>
              <w:t>Total</w:t>
            </w:r>
          </w:p>
        </w:tc>
        <w:tc>
          <w:tcPr>
            <w:tcW w:w="0" w:type="auto"/>
          </w:tcPr>
          <w:p w:rsidR="00E700BB" w:rsidRPr="00DD16BB" w:rsidRDefault="00E700BB" w:rsidP="006875C1">
            <w:pPr>
              <w:pStyle w:val="Default"/>
              <w:jc w:val="center"/>
              <w:rPr>
                <w:rFonts w:ascii="Times New Roman" w:hAnsi="Times New Roman" w:cs="Times New Roman"/>
                <w:sz w:val="23"/>
                <w:szCs w:val="23"/>
              </w:rPr>
            </w:pPr>
            <w:r w:rsidRPr="006C0A76">
              <w:rPr>
                <w:rFonts w:ascii="Times New Roman" w:hAnsi="Times New Roman" w:cs="Times New Roman"/>
                <w:bCs/>
                <w:sz w:val="23"/>
                <w:szCs w:val="23"/>
              </w:rPr>
              <w:t>4016.48 (213)</w:t>
            </w:r>
          </w:p>
        </w:tc>
        <w:tc>
          <w:tcPr>
            <w:tcW w:w="0" w:type="auto"/>
          </w:tcPr>
          <w:p w:rsidR="00E700BB" w:rsidRPr="006C0A76" w:rsidRDefault="00E700BB" w:rsidP="006875C1">
            <w:pPr>
              <w:pStyle w:val="Default"/>
              <w:jc w:val="center"/>
              <w:rPr>
                <w:rFonts w:ascii="Times New Roman" w:hAnsi="Times New Roman" w:cs="Times New Roman"/>
              </w:rPr>
            </w:pPr>
            <w:r w:rsidRPr="006C0A76">
              <w:rPr>
                <w:rFonts w:ascii="Times New Roman" w:hAnsi="Times New Roman" w:cs="Times New Roman"/>
                <w:bCs/>
              </w:rPr>
              <w:t>58,385</w:t>
            </w:r>
          </w:p>
        </w:tc>
        <w:tc>
          <w:tcPr>
            <w:tcW w:w="0" w:type="auto"/>
          </w:tcPr>
          <w:p w:rsidR="00E700BB" w:rsidRPr="00156C76" w:rsidRDefault="00E700BB" w:rsidP="006875C1">
            <w:pPr>
              <w:pStyle w:val="Default"/>
              <w:jc w:val="center"/>
              <w:rPr>
                <w:rFonts w:ascii="Times New Roman" w:hAnsi="Times New Roman" w:cs="Times New Roman"/>
              </w:rPr>
            </w:pPr>
            <w:r w:rsidRPr="00156C76">
              <w:rPr>
                <w:rFonts w:ascii="Times New Roman" w:hAnsi="Times New Roman" w:cs="Times New Roman"/>
                <w:bCs/>
              </w:rPr>
              <w:t>3099.50 (237)</w:t>
            </w:r>
          </w:p>
        </w:tc>
        <w:tc>
          <w:tcPr>
            <w:tcW w:w="0" w:type="auto"/>
          </w:tcPr>
          <w:p w:rsidR="00E700BB" w:rsidRPr="00156C76" w:rsidRDefault="00E700BB" w:rsidP="006875C1">
            <w:pPr>
              <w:pStyle w:val="Default"/>
              <w:jc w:val="center"/>
              <w:rPr>
                <w:rFonts w:ascii="Times New Roman" w:hAnsi="Times New Roman" w:cs="Times New Roman"/>
                <w:bCs/>
              </w:rPr>
            </w:pPr>
            <w:r w:rsidRPr="00156C76">
              <w:rPr>
                <w:rFonts w:ascii="Times New Roman" w:hAnsi="Times New Roman" w:cs="Times New Roman"/>
                <w:bCs/>
              </w:rPr>
              <w:t>15570.44</w:t>
            </w:r>
          </w:p>
        </w:tc>
      </w:tr>
    </w:tbl>
    <w:p w:rsidR="00E700BB" w:rsidRDefault="00E700BB" w:rsidP="00E700BB">
      <w:pPr>
        <w:pStyle w:val="Default"/>
        <w:jc w:val="center"/>
        <w:rPr>
          <w:rFonts w:ascii="Times New Roman" w:hAnsi="Times New Roman" w:cs="Times New Roman"/>
        </w:rPr>
      </w:pPr>
      <w:r>
        <w:rPr>
          <w:rFonts w:ascii="Times New Roman" w:hAnsi="Times New Roman" w:cs="Times New Roman"/>
        </w:rPr>
        <w:t>Source: Ministry of Development of North East Region</w:t>
      </w:r>
    </w:p>
    <w:p w:rsidR="00E700BB" w:rsidRPr="006875C1" w:rsidRDefault="00E700BB" w:rsidP="00E700BB">
      <w:pPr>
        <w:pStyle w:val="Default"/>
        <w:jc w:val="center"/>
        <w:rPr>
          <w:rFonts w:ascii="Times New Roman" w:hAnsi="Times New Roman" w:cs="Times New Roman"/>
          <w:sz w:val="22"/>
        </w:rPr>
      </w:pPr>
      <w:r w:rsidRPr="006875C1">
        <w:rPr>
          <w:rFonts w:ascii="Times New Roman" w:hAnsi="Times New Roman" w:cs="Times New Roman"/>
          <w:sz w:val="22"/>
        </w:rPr>
        <w:t>* The figures in parentheses indicate number of projects</w:t>
      </w:r>
    </w:p>
    <w:p w:rsidR="00681579" w:rsidRPr="006875C1" w:rsidRDefault="00681579" w:rsidP="00E700BB">
      <w:pPr>
        <w:pStyle w:val="Default"/>
        <w:jc w:val="center"/>
        <w:rPr>
          <w:rFonts w:ascii="Times New Roman" w:hAnsi="Times New Roman" w:cs="Times New Roman"/>
          <w:sz w:val="20"/>
          <w:szCs w:val="22"/>
        </w:rPr>
      </w:pPr>
    </w:p>
    <w:p w:rsidR="00580CE7" w:rsidRDefault="00580CE7" w:rsidP="00580CE7">
      <w:pPr>
        <w:spacing w:after="0" w:line="240" w:lineRule="auto"/>
        <w:ind w:firstLine="720"/>
        <w:jc w:val="both"/>
        <w:rPr>
          <w:rFonts w:ascii="Times New Roman" w:hAnsi="Times New Roman" w:cs="Times New Roman"/>
          <w:sz w:val="24"/>
          <w:szCs w:val="24"/>
        </w:rPr>
      </w:pPr>
      <w:r w:rsidRPr="006875C1">
        <w:rPr>
          <w:rFonts w:ascii="Times New Roman" w:hAnsi="Times New Roman" w:cs="Times New Roman"/>
          <w:sz w:val="24"/>
          <w:szCs w:val="24"/>
        </w:rPr>
        <w:t xml:space="preserve">The Ministry of Ports, Shipping &amp; Waterways has conceptualized a plan to develop the Eastern Waterways Connectivity Transport Grid (comprising 4 key waterways and certain international routes) of about 5,000 kms navigable waterways to boost regional integration and trade with South Asia [Bangladesh, Bhutan, India &amp; Nepal (BBIN)] and Eastern South Asia (including Myanmar and to countries like Singapore, Malaysia &amp; Thailand). It is to be noted that seamless connection of NW-1 (Ganges), NW-2 (Brahmaputra) and NW-16 (Barak) would also create opportunity for developing an economic corridor of 3,500 kms connecting NEI with rest of India through Bangladesh and also linking Bhutan and Nepal to Bangladesh and India through multimodal connection. </w:t>
      </w:r>
    </w:p>
    <w:p w:rsidR="00580CE7" w:rsidRPr="006875C1" w:rsidRDefault="00580CE7" w:rsidP="00580CE7">
      <w:pPr>
        <w:spacing w:after="0" w:line="240" w:lineRule="auto"/>
        <w:ind w:firstLine="720"/>
        <w:jc w:val="both"/>
        <w:rPr>
          <w:rFonts w:ascii="Times New Roman" w:eastAsia="Times New Roman" w:hAnsi="Times New Roman" w:cs="Times New Roman"/>
          <w:sz w:val="24"/>
          <w:szCs w:val="24"/>
        </w:rPr>
      </w:pPr>
    </w:p>
    <w:p w:rsidR="00E700BB" w:rsidRDefault="00681579" w:rsidP="00580CE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estimate the actual expenditure in NEI during </w:t>
      </w:r>
      <w:r w:rsidRPr="003D5169">
        <w:rPr>
          <w:rFonts w:ascii="Times New Roman" w:hAnsi="Times New Roman" w:cs="Times New Roman"/>
          <w:sz w:val="24"/>
          <w:szCs w:val="24"/>
        </w:rPr>
        <w:t>2014-15 to 2020-21</w:t>
      </w:r>
      <w:r>
        <w:rPr>
          <w:rFonts w:ascii="Times New Roman" w:hAnsi="Times New Roman" w:cs="Times New Roman"/>
          <w:sz w:val="24"/>
          <w:szCs w:val="24"/>
        </w:rPr>
        <w:t xml:space="preserve"> has been </w:t>
      </w:r>
      <w:r w:rsidRPr="003D5169">
        <w:rPr>
          <w:rFonts w:ascii="Times New Roman" w:hAnsi="Times New Roman" w:cs="Times New Roman"/>
          <w:sz w:val="23"/>
          <w:szCs w:val="23"/>
        </w:rPr>
        <w:t>Rs. 2, 65,766.67 crores</w:t>
      </w:r>
      <w:r>
        <w:rPr>
          <w:sz w:val="23"/>
          <w:szCs w:val="23"/>
        </w:rPr>
        <w:t xml:space="preserve">. </w:t>
      </w:r>
      <w:r w:rsidRPr="006F0E27">
        <w:rPr>
          <w:rFonts w:ascii="Times New Roman" w:hAnsi="Times New Roman" w:cs="Times New Roman"/>
          <w:sz w:val="24"/>
          <w:szCs w:val="23"/>
        </w:rPr>
        <w:t xml:space="preserve">The budget allocation for NEI from 2014-15 to 2020-21 is shown </w:t>
      </w:r>
      <w:r>
        <w:rPr>
          <w:rFonts w:ascii="Times New Roman" w:hAnsi="Times New Roman" w:cs="Times New Roman"/>
          <w:sz w:val="24"/>
          <w:szCs w:val="23"/>
        </w:rPr>
        <w:t>in figure 1</w:t>
      </w:r>
      <w:r w:rsidRPr="006F0E27">
        <w:rPr>
          <w:rFonts w:ascii="Times New Roman" w:hAnsi="Times New Roman" w:cs="Times New Roman"/>
          <w:sz w:val="24"/>
          <w:szCs w:val="23"/>
        </w:rPr>
        <w:t xml:space="preserve"> depi</w:t>
      </w:r>
      <w:r>
        <w:rPr>
          <w:rFonts w:ascii="Times New Roman" w:hAnsi="Times New Roman" w:cs="Times New Roman"/>
          <w:sz w:val="24"/>
          <w:szCs w:val="23"/>
        </w:rPr>
        <w:t xml:space="preserve">cting an increasing trend in </w:t>
      </w:r>
      <w:r w:rsidRPr="006F0E27">
        <w:rPr>
          <w:rFonts w:ascii="Times New Roman" w:hAnsi="Times New Roman" w:cs="Times New Roman"/>
          <w:sz w:val="24"/>
          <w:szCs w:val="23"/>
        </w:rPr>
        <w:t xml:space="preserve">actual </w:t>
      </w:r>
      <w:proofErr w:type="spellStart"/>
      <w:proofErr w:type="gramStart"/>
      <w:r w:rsidRPr="006F0E27">
        <w:rPr>
          <w:rFonts w:ascii="Times New Roman" w:hAnsi="Times New Roman" w:cs="Times New Roman"/>
          <w:sz w:val="24"/>
          <w:szCs w:val="23"/>
        </w:rPr>
        <w:t>expenditure.</w:t>
      </w:r>
      <w:r w:rsidR="00E700BB" w:rsidRPr="004305AD">
        <w:rPr>
          <w:rFonts w:ascii="Times New Roman" w:hAnsi="Times New Roman" w:cs="Times New Roman"/>
          <w:sz w:val="24"/>
          <w:szCs w:val="24"/>
        </w:rPr>
        <w:t>The</w:t>
      </w:r>
      <w:proofErr w:type="spellEnd"/>
      <w:proofErr w:type="gramEnd"/>
      <w:r w:rsidR="00E700BB" w:rsidRPr="004305AD">
        <w:rPr>
          <w:rFonts w:ascii="Times New Roman" w:hAnsi="Times New Roman" w:cs="Times New Roman"/>
          <w:sz w:val="24"/>
          <w:szCs w:val="24"/>
        </w:rPr>
        <w:t xml:space="preserve"> completed railway </w:t>
      </w:r>
      <w:r w:rsidR="005273B0">
        <w:rPr>
          <w:rFonts w:ascii="Times New Roman" w:hAnsi="Times New Roman" w:cs="Times New Roman"/>
          <w:sz w:val="24"/>
          <w:szCs w:val="24"/>
        </w:rPr>
        <w:t>projects in NEI given in table 2</w:t>
      </w:r>
      <w:r w:rsidR="00E700BB" w:rsidRPr="004305AD">
        <w:rPr>
          <w:rFonts w:ascii="Times New Roman" w:hAnsi="Times New Roman" w:cs="Times New Roman"/>
          <w:sz w:val="24"/>
          <w:szCs w:val="24"/>
        </w:rPr>
        <w:t xml:space="preserve"> serve as a proof that the government is keen in developing the connectivity infrastructure in the region. The ongoing and completed road development projects in differen</w:t>
      </w:r>
      <w:r w:rsidR="005273B0">
        <w:rPr>
          <w:rFonts w:ascii="Times New Roman" w:hAnsi="Times New Roman" w:cs="Times New Roman"/>
          <w:sz w:val="24"/>
          <w:szCs w:val="24"/>
        </w:rPr>
        <w:t>t states in NEI given in table 3</w:t>
      </w:r>
      <w:r w:rsidR="00E700BB" w:rsidRPr="004305AD">
        <w:rPr>
          <w:rFonts w:ascii="Times New Roman" w:hAnsi="Times New Roman" w:cs="Times New Roman"/>
          <w:sz w:val="24"/>
          <w:szCs w:val="24"/>
        </w:rPr>
        <w:t xml:space="preserve"> are steps taken towards developing inter-state connectivity in the region. Moreover, India’s first Multi-Modal Logistics Park (MMLP) being constructed at </w:t>
      </w:r>
      <w:proofErr w:type="spellStart"/>
      <w:r w:rsidR="00E700BB" w:rsidRPr="004305AD">
        <w:rPr>
          <w:rFonts w:ascii="Times New Roman" w:hAnsi="Times New Roman" w:cs="Times New Roman"/>
          <w:sz w:val="24"/>
          <w:szCs w:val="24"/>
        </w:rPr>
        <w:t>Jogighopa</w:t>
      </w:r>
      <w:proofErr w:type="spellEnd"/>
      <w:r w:rsidR="00E700BB" w:rsidRPr="004305AD">
        <w:rPr>
          <w:rFonts w:ascii="Times New Roman" w:hAnsi="Times New Roman" w:cs="Times New Roman"/>
          <w:sz w:val="24"/>
          <w:szCs w:val="24"/>
        </w:rPr>
        <w:t xml:space="preserve"> in Assam is considered as a game changer in NEI. The estimated cost of this mega project is </w:t>
      </w:r>
      <w:r w:rsidR="00E700BB" w:rsidRPr="004305AD">
        <w:rPr>
          <w:rFonts w:ascii="Times New Roman" w:eastAsia="Times New Roman" w:hAnsi="Times New Roman" w:cs="Times New Roman"/>
          <w:color w:val="000000"/>
          <w:spacing w:val="3"/>
          <w:sz w:val="24"/>
          <w:szCs w:val="24"/>
        </w:rPr>
        <w:t>US$ 407 million</w:t>
      </w:r>
      <w:r w:rsidR="00E700BB">
        <w:rPr>
          <w:rFonts w:ascii="Times New Roman" w:eastAsia="Times New Roman" w:hAnsi="Times New Roman" w:cs="Times New Roman"/>
          <w:color w:val="000000"/>
          <w:spacing w:val="3"/>
          <w:sz w:val="24"/>
          <w:szCs w:val="24"/>
        </w:rPr>
        <w:t xml:space="preserve"> with an area of 317 acres</w:t>
      </w:r>
      <w:r w:rsidR="00E700BB">
        <w:rPr>
          <w:rFonts w:ascii="Times New Roman" w:eastAsia="Times New Roman" w:hAnsi="Times New Roman" w:cs="Times New Roman"/>
          <w:spacing w:val="3"/>
          <w:sz w:val="24"/>
          <w:szCs w:val="24"/>
        </w:rPr>
        <w:t xml:space="preserve"> having </w:t>
      </w:r>
      <w:r w:rsidR="00E700BB" w:rsidRPr="004305AD">
        <w:rPr>
          <w:rFonts w:ascii="Times New Roman" w:eastAsia="Times New Roman" w:hAnsi="Times New Roman" w:cs="Times New Roman"/>
          <w:spacing w:val="3"/>
          <w:sz w:val="24"/>
          <w:szCs w:val="24"/>
        </w:rPr>
        <w:t>pote</w:t>
      </w:r>
      <w:r w:rsidR="00E700BB">
        <w:rPr>
          <w:rFonts w:ascii="Times New Roman" w:eastAsia="Times New Roman" w:hAnsi="Times New Roman" w:cs="Times New Roman"/>
          <w:spacing w:val="3"/>
          <w:sz w:val="24"/>
          <w:szCs w:val="24"/>
        </w:rPr>
        <w:t>ntial to provide 2</w:t>
      </w:r>
      <w:r w:rsidR="00E700BB" w:rsidRPr="004305AD">
        <w:rPr>
          <w:rFonts w:ascii="Times New Roman" w:eastAsia="Times New Roman" w:hAnsi="Times New Roman" w:cs="Times New Roman"/>
          <w:spacing w:val="3"/>
          <w:sz w:val="24"/>
          <w:szCs w:val="24"/>
        </w:rPr>
        <w:t xml:space="preserve"> million direct and indirect </w:t>
      </w:r>
      <w:r w:rsidR="00E700BB">
        <w:rPr>
          <w:rFonts w:ascii="Times New Roman" w:eastAsia="Times New Roman" w:hAnsi="Times New Roman" w:cs="Times New Roman"/>
          <w:spacing w:val="3"/>
          <w:sz w:val="24"/>
          <w:szCs w:val="24"/>
        </w:rPr>
        <w:t>employments</w:t>
      </w:r>
      <w:r w:rsidR="00E700BB" w:rsidRPr="004305AD">
        <w:rPr>
          <w:rFonts w:ascii="Times New Roman" w:eastAsia="Times New Roman" w:hAnsi="Times New Roman" w:cs="Times New Roman"/>
          <w:spacing w:val="3"/>
          <w:sz w:val="24"/>
          <w:szCs w:val="24"/>
        </w:rPr>
        <w:t xml:space="preserve"> in the region. </w:t>
      </w:r>
      <w:r w:rsidR="00E700BB">
        <w:rPr>
          <w:rFonts w:ascii="Times New Roman" w:eastAsia="Times New Roman" w:hAnsi="Times New Roman" w:cs="Times New Roman"/>
          <w:color w:val="000000"/>
          <w:spacing w:val="3"/>
          <w:sz w:val="24"/>
          <w:szCs w:val="24"/>
        </w:rPr>
        <w:t xml:space="preserve">This </w:t>
      </w:r>
      <w:r w:rsidR="00E700BB" w:rsidRPr="004305AD">
        <w:rPr>
          <w:rFonts w:ascii="Times New Roman" w:eastAsia="Times New Roman" w:hAnsi="Times New Roman" w:cs="Times New Roman"/>
          <w:color w:val="000000"/>
          <w:spacing w:val="3"/>
          <w:sz w:val="24"/>
          <w:szCs w:val="24"/>
        </w:rPr>
        <w:t xml:space="preserve">MMLP </w:t>
      </w:r>
      <w:r w:rsidR="00E700BB">
        <w:rPr>
          <w:rFonts w:ascii="Times New Roman" w:eastAsia="Times New Roman" w:hAnsi="Times New Roman" w:cs="Times New Roman"/>
          <w:color w:val="000000"/>
          <w:spacing w:val="3"/>
          <w:sz w:val="24"/>
          <w:szCs w:val="24"/>
        </w:rPr>
        <w:t>aims to reduce trade cost by 10 percent</w:t>
      </w:r>
      <w:r w:rsidR="00E700BB" w:rsidRPr="004305AD">
        <w:rPr>
          <w:rFonts w:ascii="Times New Roman" w:eastAsia="Times New Roman" w:hAnsi="Times New Roman" w:cs="Times New Roman"/>
          <w:color w:val="000000"/>
          <w:spacing w:val="3"/>
          <w:sz w:val="24"/>
          <w:szCs w:val="24"/>
        </w:rPr>
        <w:t xml:space="preserve"> and have cargo capac</w:t>
      </w:r>
      <w:r w:rsidR="00E700BB">
        <w:rPr>
          <w:rFonts w:ascii="Times New Roman" w:eastAsia="Times New Roman" w:hAnsi="Times New Roman" w:cs="Times New Roman"/>
          <w:color w:val="000000"/>
          <w:spacing w:val="3"/>
          <w:sz w:val="24"/>
          <w:szCs w:val="24"/>
        </w:rPr>
        <w:t xml:space="preserve">ity of 13 million metric tons per year and </w:t>
      </w:r>
      <w:r w:rsidR="00E700BB" w:rsidRPr="004305AD">
        <w:rPr>
          <w:rFonts w:ascii="Times New Roman" w:hAnsi="Times New Roman" w:cs="Times New Roman"/>
          <w:color w:val="000000"/>
          <w:spacing w:val="3"/>
          <w:sz w:val="24"/>
          <w:szCs w:val="24"/>
        </w:rPr>
        <w:t>act as a single platform for cargo, warehousing, custom clearance, pa</w:t>
      </w:r>
      <w:r w:rsidR="00E700BB">
        <w:rPr>
          <w:rFonts w:ascii="Times New Roman" w:hAnsi="Times New Roman" w:cs="Times New Roman"/>
          <w:color w:val="000000"/>
          <w:spacing w:val="3"/>
          <w:sz w:val="24"/>
          <w:szCs w:val="24"/>
        </w:rPr>
        <w:t xml:space="preserve">rking, </w:t>
      </w:r>
      <w:r w:rsidR="00E700BB" w:rsidRPr="00625AA1">
        <w:rPr>
          <w:rFonts w:ascii="Times New Roman" w:hAnsi="Times New Roman" w:cs="Times New Roman"/>
          <w:color w:val="000000"/>
          <w:spacing w:val="3"/>
          <w:sz w:val="24"/>
          <w:szCs w:val="24"/>
        </w:rPr>
        <w:t xml:space="preserve">yard facility, workshops, petrol pumps, truck parking, administrative building, boarding lodging, eating joints, water treatment plant, </w:t>
      </w:r>
      <w:proofErr w:type="spellStart"/>
      <w:r w:rsidR="00E700BB" w:rsidRPr="00625AA1">
        <w:rPr>
          <w:rFonts w:ascii="Times New Roman" w:hAnsi="Times New Roman" w:cs="Times New Roman"/>
          <w:color w:val="000000"/>
          <w:spacing w:val="3"/>
          <w:sz w:val="24"/>
          <w:szCs w:val="24"/>
        </w:rPr>
        <w:t>etc.</w:t>
      </w:r>
      <w:r w:rsidR="00E700BB" w:rsidRPr="00671C0B">
        <w:rPr>
          <w:rFonts w:ascii="Times New Roman" w:hAnsi="Times New Roman" w:cs="Times New Roman"/>
          <w:spacing w:val="3"/>
          <w:sz w:val="24"/>
          <w:szCs w:val="24"/>
        </w:rPr>
        <w:t>Moreover</w:t>
      </w:r>
      <w:proofErr w:type="spellEnd"/>
      <w:r w:rsidR="00E700BB" w:rsidRPr="00671C0B">
        <w:rPr>
          <w:rFonts w:ascii="Times New Roman" w:hAnsi="Times New Roman" w:cs="Times New Roman"/>
          <w:spacing w:val="3"/>
          <w:sz w:val="24"/>
          <w:szCs w:val="24"/>
        </w:rPr>
        <w:t xml:space="preserve">, the </w:t>
      </w:r>
      <w:proofErr w:type="spellStart"/>
      <w:r w:rsidR="00E700BB" w:rsidRPr="00671C0B">
        <w:rPr>
          <w:rFonts w:ascii="Times New Roman" w:hAnsi="Times New Roman" w:cs="Times New Roman"/>
          <w:spacing w:val="3"/>
          <w:sz w:val="24"/>
          <w:szCs w:val="24"/>
        </w:rPr>
        <w:t>Sittwe</w:t>
      </w:r>
      <w:proofErr w:type="spellEnd"/>
      <w:r w:rsidR="00E700BB" w:rsidRPr="00671C0B">
        <w:rPr>
          <w:rFonts w:ascii="Times New Roman" w:hAnsi="Times New Roman" w:cs="Times New Roman"/>
          <w:spacing w:val="3"/>
          <w:sz w:val="24"/>
          <w:szCs w:val="24"/>
        </w:rPr>
        <w:t xml:space="preserve"> Port in Myanmar was opened in May, 2023 under </w:t>
      </w:r>
      <w:r w:rsidR="00E700BB" w:rsidRPr="00671C0B">
        <w:rPr>
          <w:rFonts w:ascii="Times New Roman" w:hAnsi="Times New Roman" w:cs="Times New Roman"/>
          <w:sz w:val="24"/>
          <w:szCs w:val="24"/>
        </w:rPr>
        <w:t xml:space="preserve">KMTTP project and this will reduce 50 percent cost and time of transportation of goods between Kolkata and Agartala (Tripura, NEI) and </w:t>
      </w:r>
      <w:proofErr w:type="spellStart"/>
      <w:r w:rsidR="00E700BB" w:rsidRPr="00671C0B">
        <w:rPr>
          <w:rFonts w:ascii="Times New Roman" w:hAnsi="Times New Roman" w:cs="Times New Roman"/>
          <w:sz w:val="24"/>
          <w:szCs w:val="24"/>
        </w:rPr>
        <w:t>Aizwal</w:t>
      </w:r>
      <w:proofErr w:type="spellEnd"/>
      <w:r w:rsidR="00244B93">
        <w:rPr>
          <w:rFonts w:ascii="Times New Roman" w:hAnsi="Times New Roman" w:cs="Times New Roman"/>
          <w:sz w:val="24"/>
          <w:szCs w:val="24"/>
        </w:rPr>
        <w:t xml:space="preserve"> (Mizoram, NEI). This is expected to </w:t>
      </w:r>
      <w:r w:rsidR="00E700BB" w:rsidRPr="00671C0B">
        <w:rPr>
          <w:rFonts w:ascii="Times New Roman" w:hAnsi="Times New Roman" w:cs="Times New Roman"/>
          <w:sz w:val="24"/>
          <w:szCs w:val="24"/>
        </w:rPr>
        <w:t xml:space="preserve">promote trade connectivity and people to people </w:t>
      </w:r>
      <w:proofErr w:type="gramStart"/>
      <w:r w:rsidR="00E700BB" w:rsidRPr="00671C0B">
        <w:rPr>
          <w:rFonts w:ascii="Times New Roman" w:hAnsi="Times New Roman" w:cs="Times New Roman"/>
          <w:sz w:val="24"/>
          <w:szCs w:val="24"/>
        </w:rPr>
        <w:t>ties</w:t>
      </w:r>
      <w:proofErr w:type="gramEnd"/>
      <w:r w:rsidR="00E700BB" w:rsidRPr="00671C0B">
        <w:rPr>
          <w:rFonts w:ascii="Times New Roman" w:hAnsi="Times New Roman" w:cs="Times New Roman"/>
          <w:sz w:val="24"/>
          <w:szCs w:val="24"/>
        </w:rPr>
        <w:t xml:space="preserve"> between India and Myanmar and beyond</w:t>
      </w:r>
      <w:r w:rsidR="00E700BB">
        <w:rPr>
          <w:rFonts w:ascii="Times New Roman" w:hAnsi="Times New Roman" w:cs="Times New Roman"/>
          <w:sz w:val="24"/>
          <w:szCs w:val="24"/>
        </w:rPr>
        <w:t xml:space="preserve">.  </w:t>
      </w:r>
    </w:p>
    <w:p w:rsidR="004711EF" w:rsidRDefault="006E17F8" w:rsidP="00580C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emphasis</w:t>
      </w:r>
      <w:r w:rsidR="004711EF">
        <w:rPr>
          <w:rFonts w:ascii="Times New Roman" w:hAnsi="Times New Roman" w:cs="Times New Roman"/>
          <w:sz w:val="24"/>
          <w:szCs w:val="24"/>
        </w:rPr>
        <w:t xml:space="preserve"> on the infrastructure and connectivity projects since last one decade makes AEP a new policy instrument for NEI in comparison to LEP. It is claimed that AEP would convert NEI as an ‘engine of growth’ in Indian economy. It is also claimed that a policy of ‘Act NEI’ is being pursued under AEP for ushering trade, tourism and investments in the region.  </w:t>
      </w:r>
    </w:p>
    <w:p w:rsidR="00594718" w:rsidRDefault="00594718" w:rsidP="004711EF">
      <w:pPr>
        <w:spacing w:after="0" w:line="360" w:lineRule="auto"/>
        <w:ind w:firstLine="720"/>
        <w:jc w:val="both"/>
        <w:rPr>
          <w:rFonts w:ascii="Times New Roman" w:hAnsi="Times New Roman" w:cs="Times New Roman"/>
          <w:sz w:val="24"/>
          <w:szCs w:val="24"/>
        </w:rPr>
      </w:pPr>
    </w:p>
    <w:p w:rsidR="004905E3" w:rsidRDefault="00C226B3" w:rsidP="00254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4905E3">
        <w:rPr>
          <w:rFonts w:ascii="Times New Roman" w:hAnsi="Times New Roman" w:cs="Times New Roman"/>
          <w:b/>
          <w:bCs/>
          <w:sz w:val="24"/>
          <w:szCs w:val="24"/>
        </w:rPr>
        <w:t>Economic Growth under LEP and AEP</w:t>
      </w:r>
    </w:p>
    <w:p w:rsidR="002761EB" w:rsidRDefault="002761EB" w:rsidP="00DB0A97">
      <w:pPr>
        <w:spacing w:line="240" w:lineRule="auto"/>
        <w:ind w:firstLine="720"/>
        <w:jc w:val="both"/>
        <w:rPr>
          <w:rFonts w:ascii="Times New Roman" w:hAnsi="Times New Roman" w:cs="Times New Roman"/>
          <w:sz w:val="24"/>
          <w:szCs w:val="24"/>
        </w:rPr>
      </w:pPr>
      <w:r w:rsidRPr="00C67A72">
        <w:rPr>
          <w:rFonts w:ascii="Times New Roman" w:hAnsi="Times New Roman" w:cs="Times New Roman"/>
          <w:sz w:val="24"/>
          <w:szCs w:val="24"/>
        </w:rPr>
        <w:t>LEP failed to make any visible impact on the economy of NEI</w:t>
      </w:r>
      <w:r>
        <w:rPr>
          <w:rFonts w:ascii="Times New Roman" w:hAnsi="Times New Roman" w:cs="Times New Roman"/>
          <w:sz w:val="24"/>
          <w:szCs w:val="24"/>
        </w:rPr>
        <w:t xml:space="preserve"> both under LEP and AEP</w:t>
      </w:r>
      <w:r w:rsidRPr="00C67A72">
        <w:rPr>
          <w:rFonts w:ascii="Times New Roman" w:hAnsi="Times New Roman" w:cs="Times New Roman"/>
          <w:sz w:val="24"/>
          <w:szCs w:val="24"/>
        </w:rPr>
        <w:t xml:space="preserve">. </w:t>
      </w:r>
      <w:r>
        <w:rPr>
          <w:rFonts w:ascii="Times New Roman" w:hAnsi="Times New Roman" w:cs="Times New Roman"/>
          <w:sz w:val="24"/>
          <w:szCs w:val="24"/>
        </w:rPr>
        <w:t>NEI is still an economically ‘underdeveloped’ region of India even after three decades of economic reforms and liberalization. This is clearly visible from the declining trend of share of NEI in India’s Net Domestic Product (NDP) (figure 2 and figure 3). The share of NEI has declined from 3.97 percent in 1991-92 to 2.65 percent in 2013-14 and the downward trend continued under AEP also (figure 2 and figure 3). Moreover, annual average growth rate of NSDP of almost all states in NEI has deceler</w:t>
      </w:r>
      <w:r w:rsidR="001E0714">
        <w:rPr>
          <w:rFonts w:ascii="Times New Roman" w:hAnsi="Times New Roman" w:cs="Times New Roman"/>
          <w:sz w:val="24"/>
          <w:szCs w:val="24"/>
        </w:rPr>
        <w:t>ated under AEP except in Assam (Figure 4</w:t>
      </w:r>
      <w:r>
        <w:rPr>
          <w:rFonts w:ascii="Times New Roman" w:hAnsi="Times New Roman" w:cs="Times New Roman"/>
          <w:sz w:val="24"/>
          <w:szCs w:val="24"/>
        </w:rPr>
        <w:t xml:space="preserve">). The same picture is visible in case of </w:t>
      </w:r>
      <w:r w:rsidR="000619A5">
        <w:rPr>
          <w:rFonts w:ascii="Times New Roman" w:hAnsi="Times New Roman" w:cs="Times New Roman"/>
          <w:sz w:val="24"/>
          <w:szCs w:val="24"/>
        </w:rPr>
        <w:t>growth rate of per capita NSDP of NEI states</w:t>
      </w:r>
      <w:r>
        <w:rPr>
          <w:rFonts w:ascii="Times New Roman" w:hAnsi="Times New Roman" w:cs="Times New Roman"/>
          <w:sz w:val="24"/>
          <w:szCs w:val="24"/>
        </w:rPr>
        <w:t xml:space="preserve">. All states in NEI experienced deceleration in growth rate of per-capita NSDP except in Assam </w:t>
      </w:r>
      <w:r>
        <w:rPr>
          <w:rFonts w:ascii="Times New Roman" w:hAnsi="Times New Roman" w:cs="Times New Roman"/>
          <w:sz w:val="24"/>
          <w:szCs w:val="24"/>
        </w:rPr>
        <w:lastRenderedPageBreak/>
        <w:t>and Mizoram under AEP</w:t>
      </w:r>
      <w:r w:rsidR="00AE76A2">
        <w:rPr>
          <w:rFonts w:ascii="Times New Roman" w:hAnsi="Times New Roman" w:cs="Times New Roman"/>
          <w:sz w:val="24"/>
          <w:szCs w:val="24"/>
        </w:rPr>
        <w:t xml:space="preserve"> (Figure 5)</w:t>
      </w:r>
      <w:r>
        <w:rPr>
          <w:rFonts w:ascii="Times New Roman" w:hAnsi="Times New Roman" w:cs="Times New Roman"/>
          <w:sz w:val="24"/>
          <w:szCs w:val="24"/>
        </w:rPr>
        <w:t xml:space="preserve">. This clearly indicates the economic stagnation of NEI since the adoption of liberal economic policy, LEP and AEP. </w:t>
      </w:r>
    </w:p>
    <w:p w:rsidR="002761EB" w:rsidRPr="00F630EA" w:rsidRDefault="002761EB" w:rsidP="002761EB">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rPr>
        <w:t xml:space="preserve">Figure 2: </w:t>
      </w:r>
      <w:r w:rsidRPr="00996219">
        <w:rPr>
          <w:rFonts w:ascii="Times New Roman" w:hAnsi="Times New Roman" w:cs="Times New Roman"/>
          <w:b/>
          <w:bCs/>
          <w:sz w:val="24"/>
          <w:szCs w:val="24"/>
        </w:rPr>
        <w:t>Percentage Share of NEI in India’s NDP</w:t>
      </w:r>
      <w:r>
        <w:rPr>
          <w:rFonts w:ascii="Times New Roman" w:hAnsi="Times New Roman" w:cs="Times New Roman"/>
          <w:b/>
          <w:bCs/>
          <w:sz w:val="24"/>
          <w:szCs w:val="24"/>
        </w:rPr>
        <w:t xml:space="preserve"> (under LEP)</w:t>
      </w:r>
    </w:p>
    <w:p w:rsidR="002761EB" w:rsidRDefault="002761EB" w:rsidP="002761EB">
      <w:pPr>
        <w:spacing w:line="240" w:lineRule="auto"/>
        <w:jc w:val="center"/>
        <w:rPr>
          <w:szCs w:val="24"/>
        </w:rPr>
      </w:pPr>
      <w:r w:rsidRPr="003A21A0">
        <w:rPr>
          <w:noProof/>
          <w:szCs w:val="24"/>
        </w:rPr>
        <w:drawing>
          <wp:inline distT="0" distB="0" distL="0" distR="0">
            <wp:extent cx="5956920" cy="1796903"/>
            <wp:effectExtent l="19050" t="0" r="2478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61EB" w:rsidRPr="006A3B66" w:rsidRDefault="002761EB" w:rsidP="002761EB">
      <w:pPr>
        <w:spacing w:line="240" w:lineRule="auto"/>
        <w:jc w:val="center"/>
        <w:rPr>
          <w:sz w:val="24"/>
          <w:szCs w:val="28"/>
        </w:rPr>
      </w:pPr>
      <w:r w:rsidRPr="006A3B66">
        <w:rPr>
          <w:rFonts w:ascii="Times New Roman" w:hAnsi="Times New Roman" w:cs="Times New Roman"/>
          <w:sz w:val="24"/>
          <w:szCs w:val="24"/>
        </w:rPr>
        <w:t>Source: Calculated from Handbook of Statistics on Indian Economy, RBI</w:t>
      </w:r>
    </w:p>
    <w:p w:rsidR="00DB0A97" w:rsidRDefault="00DB0A97" w:rsidP="00DB0A97">
      <w:pPr>
        <w:spacing w:after="0" w:line="240" w:lineRule="auto"/>
        <w:rPr>
          <w:rFonts w:ascii="Times New Roman" w:hAnsi="Times New Roman" w:cs="Times New Roman"/>
          <w:b/>
          <w:bCs/>
          <w:sz w:val="24"/>
          <w:szCs w:val="24"/>
        </w:rPr>
      </w:pPr>
    </w:p>
    <w:p w:rsidR="000667FD" w:rsidRDefault="000667FD" w:rsidP="00DB0A97">
      <w:pPr>
        <w:spacing w:after="0" w:line="240" w:lineRule="auto"/>
        <w:rPr>
          <w:rFonts w:ascii="Times New Roman" w:hAnsi="Times New Roman" w:cs="Times New Roman"/>
          <w:b/>
          <w:bCs/>
          <w:sz w:val="24"/>
          <w:szCs w:val="24"/>
        </w:rPr>
      </w:pPr>
    </w:p>
    <w:p w:rsidR="00DB0A97" w:rsidRDefault="00DB0A97" w:rsidP="00DB0A97">
      <w:pPr>
        <w:spacing w:after="0" w:line="240" w:lineRule="auto"/>
        <w:rPr>
          <w:rFonts w:ascii="Times New Roman" w:hAnsi="Times New Roman" w:cs="Times New Roman"/>
          <w:b/>
          <w:bCs/>
          <w:sz w:val="24"/>
          <w:szCs w:val="24"/>
        </w:rPr>
      </w:pPr>
    </w:p>
    <w:p w:rsidR="00A06905" w:rsidRDefault="00A06905" w:rsidP="00DB0A97">
      <w:pPr>
        <w:spacing w:after="0" w:line="240" w:lineRule="auto"/>
        <w:jc w:val="center"/>
        <w:rPr>
          <w:rFonts w:ascii="Times New Roman" w:hAnsi="Times New Roman" w:cs="Times New Roman"/>
          <w:b/>
          <w:bCs/>
          <w:sz w:val="24"/>
          <w:szCs w:val="24"/>
        </w:rPr>
      </w:pPr>
    </w:p>
    <w:p w:rsidR="005878EF" w:rsidRDefault="005878EF" w:rsidP="005878EF">
      <w:pPr>
        <w:spacing w:after="0" w:line="240" w:lineRule="auto"/>
        <w:rPr>
          <w:rFonts w:ascii="Times New Roman" w:hAnsi="Times New Roman" w:cs="Times New Roman"/>
          <w:b/>
          <w:bCs/>
          <w:sz w:val="24"/>
          <w:szCs w:val="24"/>
        </w:rPr>
      </w:pPr>
    </w:p>
    <w:p w:rsidR="002761EB" w:rsidRPr="000168FF" w:rsidRDefault="002761EB" w:rsidP="005878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proofErr w:type="gramStart"/>
      <w:r>
        <w:rPr>
          <w:rFonts w:ascii="Times New Roman" w:hAnsi="Times New Roman" w:cs="Times New Roman"/>
          <w:b/>
          <w:bCs/>
          <w:sz w:val="24"/>
          <w:szCs w:val="24"/>
        </w:rPr>
        <w:t>3</w:t>
      </w:r>
      <w:r w:rsidRPr="00500237">
        <w:rPr>
          <w:rFonts w:ascii="Times New Roman" w:hAnsi="Times New Roman" w:cs="Times New Roman"/>
          <w:b/>
          <w:bCs/>
          <w:sz w:val="24"/>
          <w:szCs w:val="24"/>
        </w:rPr>
        <w:t>:</w:t>
      </w:r>
      <w:r w:rsidRPr="00996219">
        <w:rPr>
          <w:rFonts w:ascii="Times New Roman" w:hAnsi="Times New Roman" w:cs="Times New Roman"/>
          <w:b/>
          <w:bCs/>
          <w:sz w:val="24"/>
          <w:szCs w:val="24"/>
        </w:rPr>
        <w:t>Percentage</w:t>
      </w:r>
      <w:proofErr w:type="gramEnd"/>
      <w:r w:rsidRPr="00996219">
        <w:rPr>
          <w:rFonts w:ascii="Times New Roman" w:hAnsi="Times New Roman" w:cs="Times New Roman"/>
          <w:b/>
          <w:bCs/>
          <w:sz w:val="24"/>
          <w:szCs w:val="24"/>
        </w:rPr>
        <w:t xml:space="preserve"> Share of NEI in India’s NDP </w:t>
      </w:r>
      <w:r w:rsidR="00177557">
        <w:rPr>
          <w:rFonts w:ascii="Times New Roman" w:hAnsi="Times New Roman" w:cs="Times New Roman"/>
          <w:b/>
          <w:bCs/>
          <w:sz w:val="24"/>
          <w:szCs w:val="24"/>
        </w:rPr>
        <w:t>(U</w:t>
      </w:r>
      <w:r>
        <w:rPr>
          <w:rFonts w:ascii="Times New Roman" w:hAnsi="Times New Roman" w:cs="Times New Roman"/>
          <w:b/>
          <w:bCs/>
          <w:sz w:val="24"/>
          <w:szCs w:val="24"/>
        </w:rPr>
        <w:t>nder AEP)</w:t>
      </w:r>
    </w:p>
    <w:p w:rsidR="002761EB" w:rsidRDefault="002761EB" w:rsidP="002761EB">
      <w:pPr>
        <w:spacing w:line="240" w:lineRule="auto"/>
        <w:jc w:val="center"/>
      </w:pPr>
      <w:r w:rsidRPr="00646CD7">
        <w:rPr>
          <w:noProof/>
        </w:rPr>
        <w:drawing>
          <wp:inline distT="0" distB="0" distL="0" distR="0">
            <wp:extent cx="5952475" cy="1839433"/>
            <wp:effectExtent l="19050" t="0" r="10175" b="84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61EB" w:rsidRDefault="002761EB" w:rsidP="002761EB">
      <w:pPr>
        <w:spacing w:after="0" w:line="240" w:lineRule="auto"/>
        <w:rPr>
          <w:rFonts w:ascii="Times New Roman" w:hAnsi="Times New Roman" w:cs="Times New Roman"/>
          <w:sz w:val="24"/>
          <w:szCs w:val="24"/>
        </w:rPr>
      </w:pPr>
      <w:r>
        <w:rPr>
          <w:rFonts w:ascii="Times New Roman" w:hAnsi="Times New Roman" w:cs="Times New Roman"/>
          <w:sz w:val="24"/>
          <w:szCs w:val="24"/>
        </w:rPr>
        <w:t>Source: Calculated from Handbook of Statistics on Indian Economy, RBI</w:t>
      </w:r>
    </w:p>
    <w:p w:rsidR="00B5194E" w:rsidRDefault="00B5194E" w:rsidP="002761EB">
      <w:pPr>
        <w:spacing w:after="0" w:line="240" w:lineRule="auto"/>
        <w:rPr>
          <w:rFonts w:ascii="Times New Roman" w:hAnsi="Times New Roman" w:cs="Times New Roman"/>
          <w:sz w:val="24"/>
          <w:szCs w:val="24"/>
        </w:rPr>
      </w:pPr>
    </w:p>
    <w:p w:rsidR="004905E3" w:rsidRDefault="00B22DEA" w:rsidP="00B5194E">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Figure 4: Average Annual </w:t>
      </w:r>
      <w:r w:rsidRPr="00FA47CB">
        <w:rPr>
          <w:rFonts w:ascii="Times New Roman" w:hAnsi="Times New Roman" w:cs="Times New Roman"/>
          <w:b/>
          <w:sz w:val="24"/>
          <w:szCs w:val="24"/>
        </w:rPr>
        <w:t>Growth Rat</w:t>
      </w:r>
      <w:r>
        <w:rPr>
          <w:rFonts w:ascii="Times New Roman" w:hAnsi="Times New Roman" w:cs="Times New Roman"/>
          <w:b/>
          <w:sz w:val="24"/>
          <w:szCs w:val="24"/>
        </w:rPr>
        <w:t>e of NSDP</w:t>
      </w:r>
    </w:p>
    <w:p w:rsidR="00BD3FB1" w:rsidRDefault="00BD3FB1" w:rsidP="004905E3">
      <w:pPr>
        <w:spacing w:after="0" w:line="360" w:lineRule="auto"/>
        <w:jc w:val="center"/>
        <w:rPr>
          <w:rFonts w:ascii="Times New Roman" w:hAnsi="Times New Roman" w:cs="Times New Roman"/>
          <w:b/>
          <w:bCs/>
          <w:sz w:val="24"/>
          <w:szCs w:val="24"/>
        </w:rPr>
      </w:pPr>
      <w:r w:rsidRPr="00BD3FB1">
        <w:rPr>
          <w:rFonts w:ascii="Times New Roman" w:hAnsi="Times New Roman" w:cs="Times New Roman"/>
          <w:b/>
          <w:bCs/>
          <w:noProof/>
          <w:sz w:val="24"/>
          <w:szCs w:val="24"/>
        </w:rPr>
        <w:drawing>
          <wp:inline distT="0" distB="0" distL="0" distR="0">
            <wp:extent cx="5732145" cy="2197935"/>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827BA" w:rsidRDefault="002827BA" w:rsidP="002827BA">
      <w:pPr>
        <w:spacing w:after="0" w:line="240" w:lineRule="auto"/>
        <w:jc w:val="center"/>
        <w:rPr>
          <w:rFonts w:ascii="Times New Roman" w:hAnsi="Times New Roman" w:cs="Times New Roman"/>
          <w:sz w:val="24"/>
        </w:rPr>
      </w:pPr>
      <w:r w:rsidRPr="00D4682D">
        <w:rPr>
          <w:rFonts w:ascii="Times New Roman" w:hAnsi="Times New Roman" w:cs="Times New Roman"/>
          <w:sz w:val="24"/>
        </w:rPr>
        <w:lastRenderedPageBreak/>
        <w:t>Source: Calculated from Handbook of Statistics on Indian Economy, RBI</w:t>
      </w:r>
    </w:p>
    <w:p w:rsidR="002827BA" w:rsidRPr="00BD614A" w:rsidRDefault="002827BA" w:rsidP="002827BA">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2827BA" w:rsidRPr="00BD614A" w:rsidRDefault="002827BA" w:rsidP="002827BA">
      <w:pPr>
        <w:spacing w:after="0" w:line="240" w:lineRule="auto"/>
        <w:jc w:val="center"/>
        <w:rPr>
          <w:rFonts w:ascii="Times New Roman" w:eastAsia="Times New Roman" w:hAnsi="Times New Roman" w:cs="Times New Roman"/>
          <w:sz w:val="24"/>
          <w:szCs w:val="24"/>
        </w:rPr>
      </w:pPr>
      <w:proofErr w:type="spellStart"/>
      <w:proofErr w:type="gramStart"/>
      <w:r w:rsidRPr="00635367">
        <w:rPr>
          <w:rFonts w:ascii="Times New Roman" w:eastAsia="Times New Roman" w:hAnsi="Times New Roman" w:cs="Times New Roman"/>
          <w:bCs/>
          <w:sz w:val="24"/>
          <w:szCs w:val="24"/>
        </w:rPr>
        <w:t>LEP:</w:t>
      </w:r>
      <w:r w:rsidRPr="00BD614A">
        <w:rPr>
          <w:rFonts w:ascii="Times New Roman" w:eastAsia="Times New Roman" w:hAnsi="Times New Roman" w:cs="Times New Roman"/>
          <w:sz w:val="24"/>
          <w:szCs w:val="24"/>
        </w:rPr>
        <w:t>From</w:t>
      </w:r>
      <w:proofErr w:type="spellEnd"/>
      <w:proofErr w:type="gramEnd"/>
      <w:r w:rsidRPr="00BD614A">
        <w:rPr>
          <w:rFonts w:ascii="Times New Roman" w:eastAsia="Times New Roman" w:hAnsi="Times New Roman" w:cs="Times New Roman"/>
          <w:sz w:val="24"/>
          <w:szCs w:val="24"/>
        </w:rPr>
        <w:t xml:space="preserve"> </w:t>
      </w:r>
      <w:r w:rsidRPr="00BD614A">
        <w:rPr>
          <w:rFonts w:ascii="Times New Roman" w:hAnsi="Times New Roman" w:cs="Times New Roman"/>
          <w:color w:val="000000"/>
          <w:sz w:val="24"/>
          <w:szCs w:val="24"/>
        </w:rPr>
        <w:t>1999-00 to 2010-11</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p>
    <w:p w:rsidR="00BD3FB1" w:rsidRDefault="00BD3FB1" w:rsidP="004905E3">
      <w:pPr>
        <w:spacing w:after="0" w:line="360" w:lineRule="auto"/>
        <w:jc w:val="center"/>
        <w:rPr>
          <w:rFonts w:ascii="Times New Roman" w:hAnsi="Times New Roman" w:cs="Times New Roman"/>
          <w:b/>
          <w:bCs/>
          <w:sz w:val="24"/>
          <w:szCs w:val="24"/>
        </w:rPr>
      </w:pPr>
    </w:p>
    <w:p w:rsidR="00BD3FB1" w:rsidRDefault="00F23D9B" w:rsidP="00507258">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Figure 5</w:t>
      </w:r>
      <w:r w:rsidR="00507258">
        <w:rPr>
          <w:rFonts w:ascii="Times New Roman" w:hAnsi="Times New Roman" w:cs="Times New Roman"/>
          <w:b/>
          <w:sz w:val="24"/>
          <w:szCs w:val="24"/>
        </w:rPr>
        <w:t xml:space="preserve">: Average Annual </w:t>
      </w:r>
      <w:r w:rsidR="00507258" w:rsidRPr="00FA47CB">
        <w:rPr>
          <w:rFonts w:ascii="Times New Roman" w:hAnsi="Times New Roman" w:cs="Times New Roman"/>
          <w:b/>
          <w:sz w:val="24"/>
          <w:szCs w:val="24"/>
        </w:rPr>
        <w:t>Growth Rat</w:t>
      </w:r>
      <w:r w:rsidR="00507258">
        <w:rPr>
          <w:rFonts w:ascii="Times New Roman" w:hAnsi="Times New Roman" w:cs="Times New Roman"/>
          <w:b/>
          <w:sz w:val="24"/>
          <w:szCs w:val="24"/>
        </w:rPr>
        <w:t xml:space="preserve">e of </w:t>
      </w:r>
      <w:r w:rsidR="00E9088A">
        <w:rPr>
          <w:rFonts w:ascii="Times New Roman" w:hAnsi="Times New Roman" w:cs="Times New Roman"/>
          <w:b/>
          <w:sz w:val="24"/>
          <w:szCs w:val="24"/>
        </w:rPr>
        <w:t xml:space="preserve">Per-Capita </w:t>
      </w:r>
      <w:r w:rsidR="00507258">
        <w:rPr>
          <w:rFonts w:ascii="Times New Roman" w:hAnsi="Times New Roman" w:cs="Times New Roman"/>
          <w:b/>
          <w:sz w:val="24"/>
          <w:szCs w:val="24"/>
        </w:rPr>
        <w:t>NSDP</w:t>
      </w:r>
    </w:p>
    <w:p w:rsidR="00BD3FB1" w:rsidRDefault="00125911" w:rsidP="004905E3">
      <w:pPr>
        <w:spacing w:after="0" w:line="360" w:lineRule="auto"/>
        <w:jc w:val="center"/>
        <w:rPr>
          <w:rFonts w:ascii="Times New Roman" w:hAnsi="Times New Roman" w:cs="Times New Roman"/>
          <w:b/>
          <w:bCs/>
          <w:sz w:val="24"/>
          <w:szCs w:val="24"/>
        </w:rPr>
      </w:pPr>
      <w:r w:rsidRPr="00125911">
        <w:rPr>
          <w:rFonts w:ascii="Times New Roman" w:hAnsi="Times New Roman" w:cs="Times New Roman"/>
          <w:b/>
          <w:bCs/>
          <w:noProof/>
          <w:sz w:val="24"/>
          <w:szCs w:val="24"/>
        </w:rPr>
        <w:drawing>
          <wp:inline distT="0" distB="0" distL="0" distR="0">
            <wp:extent cx="5733474" cy="2190307"/>
            <wp:effectExtent l="19050" t="0" r="19626" b="443"/>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0A97" w:rsidRDefault="00DB0A97" w:rsidP="00DB0A97">
      <w:pPr>
        <w:spacing w:after="0" w:line="240" w:lineRule="auto"/>
        <w:jc w:val="center"/>
        <w:rPr>
          <w:rFonts w:ascii="Times New Roman" w:hAnsi="Times New Roman" w:cs="Times New Roman"/>
          <w:sz w:val="24"/>
        </w:rPr>
      </w:pPr>
      <w:r w:rsidRPr="00D4682D">
        <w:rPr>
          <w:rFonts w:ascii="Times New Roman" w:hAnsi="Times New Roman" w:cs="Times New Roman"/>
          <w:sz w:val="24"/>
        </w:rPr>
        <w:t>Source: Calculated from Handbook of Statistics on Indian Economy, RBI</w:t>
      </w:r>
    </w:p>
    <w:p w:rsidR="00DB0A97" w:rsidRPr="00BD614A" w:rsidRDefault="00DB0A97" w:rsidP="00DB0A97">
      <w:pPr>
        <w:spacing w:after="0" w:line="240" w:lineRule="auto"/>
        <w:jc w:val="center"/>
        <w:rPr>
          <w:rFonts w:ascii="Times New Roman" w:hAnsi="Times New Roman" w:cs="Times New Roman"/>
          <w:sz w:val="24"/>
          <w:szCs w:val="24"/>
        </w:rPr>
      </w:pPr>
      <w:r w:rsidRPr="00BD614A">
        <w:rPr>
          <w:rFonts w:ascii="Times New Roman" w:hAnsi="Times New Roman" w:cs="Times New Roman"/>
          <w:sz w:val="24"/>
          <w:szCs w:val="24"/>
        </w:rPr>
        <w:t>Note: The estimates are at constant 2011-12 prices</w:t>
      </w:r>
    </w:p>
    <w:p w:rsidR="008468FD" w:rsidRPr="008468FD" w:rsidRDefault="00DB0A97" w:rsidP="008468FD">
      <w:pPr>
        <w:spacing w:after="0" w:line="240" w:lineRule="auto"/>
        <w:jc w:val="center"/>
        <w:rPr>
          <w:rFonts w:ascii="Times New Roman" w:eastAsia="Times New Roman" w:hAnsi="Times New Roman" w:cs="Times New Roman"/>
          <w:sz w:val="24"/>
          <w:szCs w:val="24"/>
        </w:rPr>
      </w:pPr>
      <w:proofErr w:type="spellStart"/>
      <w:proofErr w:type="gramStart"/>
      <w:r w:rsidRPr="00635367">
        <w:rPr>
          <w:rFonts w:ascii="Times New Roman" w:eastAsia="Times New Roman" w:hAnsi="Times New Roman" w:cs="Times New Roman"/>
          <w:bCs/>
          <w:sz w:val="24"/>
          <w:szCs w:val="24"/>
        </w:rPr>
        <w:t>LEP:</w:t>
      </w:r>
      <w:r w:rsidRPr="00BD614A">
        <w:rPr>
          <w:rFonts w:ascii="Times New Roman" w:eastAsia="Times New Roman" w:hAnsi="Times New Roman" w:cs="Times New Roman"/>
          <w:sz w:val="24"/>
          <w:szCs w:val="24"/>
        </w:rPr>
        <w:t>From</w:t>
      </w:r>
      <w:proofErr w:type="spellEnd"/>
      <w:proofErr w:type="gramEnd"/>
      <w:r w:rsidRPr="00BD614A">
        <w:rPr>
          <w:rFonts w:ascii="Times New Roman" w:eastAsia="Times New Roman" w:hAnsi="Times New Roman" w:cs="Times New Roman"/>
          <w:sz w:val="24"/>
          <w:szCs w:val="24"/>
        </w:rPr>
        <w:t xml:space="preserve"> </w:t>
      </w:r>
      <w:r w:rsidRPr="00BD614A">
        <w:rPr>
          <w:rFonts w:ascii="Times New Roman" w:hAnsi="Times New Roman" w:cs="Times New Roman"/>
          <w:color w:val="000000"/>
          <w:sz w:val="24"/>
          <w:szCs w:val="24"/>
        </w:rPr>
        <w:t>1999-00 to 2010-11</w:t>
      </w:r>
      <w:r w:rsidRPr="00635367">
        <w:rPr>
          <w:rFonts w:ascii="Times New Roman" w:eastAsia="Times New Roman" w:hAnsi="Times New Roman" w:cs="Times New Roman"/>
          <w:bCs/>
          <w:sz w:val="24"/>
          <w:szCs w:val="24"/>
        </w:rPr>
        <w:t>AEP:</w:t>
      </w:r>
      <w:r w:rsidRPr="00BD614A">
        <w:rPr>
          <w:rFonts w:ascii="Times New Roman" w:eastAsia="Times New Roman" w:hAnsi="Times New Roman" w:cs="Times New Roman"/>
          <w:sz w:val="24"/>
          <w:szCs w:val="24"/>
        </w:rPr>
        <w:t xml:space="preserve"> From 2014-15 to 2021-22</w:t>
      </w:r>
    </w:p>
    <w:p w:rsidR="004905E3" w:rsidRDefault="00464B2F" w:rsidP="008468F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4.3: </w:t>
      </w:r>
      <w:r w:rsidR="004905E3">
        <w:rPr>
          <w:rFonts w:ascii="Times New Roman" w:hAnsi="Times New Roman" w:cs="Times New Roman"/>
          <w:b/>
          <w:bCs/>
          <w:sz w:val="24"/>
          <w:szCs w:val="24"/>
        </w:rPr>
        <w:t>Trade under LEP and AEP</w:t>
      </w:r>
    </w:p>
    <w:p w:rsidR="00365E1D" w:rsidRDefault="00365E1D" w:rsidP="00FC6FB6">
      <w:pPr>
        <w:spacing w:after="0" w:line="240" w:lineRule="auto"/>
        <w:ind w:firstLine="720"/>
        <w:jc w:val="both"/>
        <w:rPr>
          <w:rFonts w:ascii="Times New Roman" w:eastAsia="Times New Roman" w:hAnsi="Times New Roman" w:cs="Times New Roman"/>
          <w:color w:val="000000"/>
          <w:sz w:val="24"/>
          <w:szCs w:val="24"/>
        </w:rPr>
      </w:pPr>
      <w:r w:rsidRPr="007006A8">
        <w:rPr>
          <w:rFonts w:ascii="Times New Roman" w:hAnsi="Times New Roman" w:cs="Times New Roman"/>
          <w:sz w:val="24"/>
          <w:szCs w:val="24"/>
        </w:rPr>
        <w:t xml:space="preserve">LEP failed to </w:t>
      </w:r>
      <w:r>
        <w:rPr>
          <w:rFonts w:ascii="Times New Roman" w:hAnsi="Times New Roman" w:cs="Times New Roman"/>
          <w:sz w:val="24"/>
          <w:szCs w:val="24"/>
        </w:rPr>
        <w:t xml:space="preserve">augment exports in NEI region.  LEP totally bypassed NEI in terms of exports although India’s exports to ASEAN countries increased significantly. </w:t>
      </w:r>
      <w:r>
        <w:rPr>
          <w:rFonts w:ascii="Times New Roman" w:eastAsia="Times New Roman" w:hAnsi="Times New Roman" w:cs="Times New Roman"/>
          <w:color w:val="000000"/>
          <w:sz w:val="24"/>
          <w:szCs w:val="24"/>
        </w:rPr>
        <w:t xml:space="preserve">India’s exports to ASEAN economies increased significantly under LEP, but the contribution of NEI states was negligible. NEI was neglected in the policy framework of LEP in its initial phase despite geographical, historical and ethno-cultural proximity with Southeast Asian countries. The maximum benefits of LEP in trade, investment and technology transfer accrued to states in Southern part of India through maritime route </w:t>
      </w:r>
      <w:r w:rsidRPr="00A114A6">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Ghosh, 2024</w:t>
      </w:r>
      <w:r w:rsidRPr="00A114A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picture becomes clear if we examine trade figures of NEI to Myanmar, Bangladesh and other neighboring countries as shown in </w:t>
      </w:r>
      <w:r w:rsidR="00FD56EC">
        <w:rPr>
          <w:rFonts w:ascii="Times New Roman" w:eastAsia="Times New Roman" w:hAnsi="Times New Roman" w:cs="Times New Roman"/>
          <w:color w:val="000000"/>
          <w:sz w:val="24"/>
          <w:szCs w:val="24"/>
        </w:rPr>
        <w:t>figure 7 and figure 7</w:t>
      </w:r>
      <w:r>
        <w:rPr>
          <w:rFonts w:ascii="Times New Roman" w:eastAsia="Times New Roman" w:hAnsi="Times New Roman" w:cs="Times New Roman"/>
          <w:color w:val="000000"/>
          <w:sz w:val="24"/>
          <w:szCs w:val="24"/>
        </w:rPr>
        <w:t xml:space="preserve">. </w:t>
      </w:r>
    </w:p>
    <w:p w:rsidR="00FC6FB6" w:rsidRDefault="00FC6FB6" w:rsidP="00FC6FB6">
      <w:pPr>
        <w:spacing w:after="0" w:line="240" w:lineRule="auto"/>
        <w:ind w:firstLine="720"/>
        <w:jc w:val="both"/>
        <w:rPr>
          <w:rFonts w:ascii="Times New Roman" w:eastAsia="Times New Roman" w:hAnsi="Times New Roman" w:cs="Times New Roman"/>
          <w:color w:val="000000"/>
          <w:sz w:val="24"/>
          <w:szCs w:val="24"/>
        </w:rPr>
      </w:pPr>
    </w:p>
    <w:p w:rsidR="00365E1D" w:rsidRDefault="00FD56EC"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Figure 6</w:t>
      </w:r>
      <w:r w:rsidR="00365E1D">
        <w:rPr>
          <w:rFonts w:ascii="Times New Roman" w:hAnsi="Times New Roman" w:cs="Times New Roman"/>
          <w:b/>
          <w:bCs/>
          <w:sz w:val="24"/>
          <w:szCs w:val="28"/>
        </w:rPr>
        <w:t>: NEI’s Exports to Bangladesh (Share in Percentage) (under LEP)</w:t>
      </w:r>
    </w:p>
    <w:p w:rsidR="00365E1D" w:rsidRDefault="00365E1D" w:rsidP="00365E1D">
      <w:pPr>
        <w:spacing w:after="0" w:line="240" w:lineRule="auto"/>
        <w:jc w:val="center"/>
        <w:rPr>
          <w:rFonts w:ascii="Times New Roman" w:hAnsi="Times New Roman" w:cs="Times New Roman"/>
          <w:b/>
          <w:bCs/>
          <w:sz w:val="24"/>
          <w:szCs w:val="28"/>
        </w:rPr>
      </w:pPr>
      <w:r w:rsidRPr="008F2F32">
        <w:rPr>
          <w:rFonts w:ascii="Times New Roman" w:hAnsi="Times New Roman" w:cs="Times New Roman"/>
          <w:b/>
          <w:bCs/>
          <w:noProof/>
          <w:sz w:val="24"/>
          <w:szCs w:val="28"/>
        </w:rPr>
        <w:drawing>
          <wp:inline distT="0" distB="0" distL="0" distR="0">
            <wp:extent cx="5943600" cy="2014855"/>
            <wp:effectExtent l="19050" t="0" r="19050" b="4445"/>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Author’s calculation based on data from Ministry of Commerce and RIS (2011)</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Percentage Share in India’s total exports to Bangladesh</w:t>
      </w:r>
    </w:p>
    <w:p w:rsidR="00365E1D" w:rsidRPr="006A1215" w:rsidRDefault="00365E1D" w:rsidP="00365E1D">
      <w:pPr>
        <w:spacing w:after="0" w:line="240" w:lineRule="auto"/>
        <w:jc w:val="center"/>
        <w:rPr>
          <w:rFonts w:ascii="Times New Roman" w:eastAsia="Times New Roman" w:hAnsi="Times New Roman" w:cs="Times New Roman"/>
          <w:color w:val="000000"/>
          <w:sz w:val="24"/>
          <w:szCs w:val="24"/>
        </w:rPr>
      </w:pPr>
    </w:p>
    <w:p w:rsidR="00365E1D" w:rsidRDefault="00FD56EC" w:rsidP="00365E1D">
      <w:pPr>
        <w:spacing w:after="0" w:line="240" w:lineRule="auto"/>
        <w:jc w:val="center"/>
        <w:rPr>
          <w:rFonts w:ascii="Times New Roman" w:hAnsi="Times New Roman" w:cs="Times New Roman"/>
          <w:b/>
          <w:bCs/>
          <w:sz w:val="24"/>
          <w:szCs w:val="28"/>
        </w:rPr>
      </w:pPr>
      <w:r>
        <w:rPr>
          <w:rFonts w:ascii="Times New Roman" w:hAnsi="Times New Roman" w:cs="Times New Roman"/>
          <w:b/>
          <w:bCs/>
          <w:sz w:val="24"/>
          <w:szCs w:val="28"/>
        </w:rPr>
        <w:t xml:space="preserve">  Figure 7</w:t>
      </w:r>
      <w:r w:rsidR="00365E1D">
        <w:rPr>
          <w:rFonts w:ascii="Times New Roman" w:hAnsi="Times New Roman" w:cs="Times New Roman"/>
          <w:b/>
          <w:bCs/>
          <w:sz w:val="24"/>
          <w:szCs w:val="28"/>
        </w:rPr>
        <w:t>: NEI’s Trade with Myanmar (Share in Percentage) (under LEP)</w:t>
      </w:r>
    </w:p>
    <w:p w:rsidR="00365E1D" w:rsidRDefault="00365E1D" w:rsidP="00365E1D">
      <w:pPr>
        <w:spacing w:line="240" w:lineRule="auto"/>
        <w:jc w:val="center"/>
        <w:rPr>
          <w:rFonts w:ascii="Times New Roman" w:hAnsi="Times New Roman" w:cs="Times New Roman"/>
          <w:b/>
          <w:bCs/>
          <w:sz w:val="24"/>
          <w:szCs w:val="28"/>
        </w:rPr>
      </w:pPr>
      <w:r w:rsidRPr="002D73C3">
        <w:rPr>
          <w:rFonts w:ascii="Times New Roman" w:hAnsi="Times New Roman" w:cs="Times New Roman"/>
          <w:b/>
          <w:bCs/>
          <w:noProof/>
          <w:sz w:val="24"/>
          <w:szCs w:val="28"/>
        </w:rPr>
        <w:lastRenderedPageBreak/>
        <w:drawing>
          <wp:inline distT="0" distB="0" distL="0" distR="0">
            <wp:extent cx="5948030" cy="1903228"/>
            <wp:effectExtent l="19050" t="0" r="14620" b="1772"/>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5E1D" w:rsidRPr="00516CF2" w:rsidRDefault="00365E1D" w:rsidP="00365E1D">
      <w:pPr>
        <w:spacing w:after="0" w:line="240" w:lineRule="auto"/>
        <w:jc w:val="center"/>
        <w:rPr>
          <w:rFonts w:ascii="Times New Roman" w:hAnsi="Times New Roman" w:cs="Times New Roman"/>
          <w:sz w:val="24"/>
          <w:szCs w:val="28"/>
        </w:rPr>
      </w:pPr>
      <w:r w:rsidRPr="00516CF2">
        <w:rPr>
          <w:rFonts w:ascii="Times New Roman" w:hAnsi="Times New Roman" w:cs="Times New Roman"/>
          <w:sz w:val="24"/>
          <w:szCs w:val="28"/>
        </w:rPr>
        <w:t xml:space="preserve">Source: </w:t>
      </w:r>
      <w:r w:rsidRPr="00516CF2">
        <w:rPr>
          <w:rFonts w:ascii="Times New Roman" w:eastAsia="Times New Roman" w:hAnsi="Times New Roman" w:cs="Times New Roman"/>
          <w:color w:val="000000"/>
          <w:sz w:val="24"/>
          <w:szCs w:val="24"/>
        </w:rPr>
        <w:t xml:space="preserve">Panda (2018) </w:t>
      </w:r>
    </w:p>
    <w:p w:rsidR="00365E1D" w:rsidRDefault="00365E1D" w:rsidP="00365E1D">
      <w:pPr>
        <w:spacing w:after="0" w:line="240" w:lineRule="auto"/>
        <w:jc w:val="center"/>
        <w:rPr>
          <w:rFonts w:ascii="Times New Roman" w:eastAsia="Times New Roman" w:hAnsi="Times New Roman" w:cs="Times New Roman"/>
          <w:color w:val="000000"/>
          <w:sz w:val="24"/>
          <w:szCs w:val="24"/>
        </w:rPr>
      </w:pPr>
      <w:r w:rsidRPr="00516CF2">
        <w:rPr>
          <w:rFonts w:ascii="Times New Roman" w:eastAsia="Times New Roman" w:hAnsi="Times New Roman" w:cs="Times New Roman"/>
          <w:color w:val="000000"/>
          <w:sz w:val="24"/>
          <w:szCs w:val="24"/>
        </w:rPr>
        <w:t xml:space="preserve">Note: NEI share as percentage of India’s total </w:t>
      </w:r>
      <w:r>
        <w:rPr>
          <w:rFonts w:ascii="Times New Roman" w:eastAsia="Times New Roman" w:hAnsi="Times New Roman" w:cs="Times New Roman"/>
          <w:color w:val="000000"/>
          <w:sz w:val="24"/>
          <w:szCs w:val="24"/>
        </w:rPr>
        <w:t>exports and imports</w:t>
      </w:r>
    </w:p>
    <w:p w:rsidR="00365E1D" w:rsidRDefault="00365E1D" w:rsidP="00365E1D">
      <w:pPr>
        <w:spacing w:after="0" w:line="360" w:lineRule="auto"/>
        <w:ind w:firstLine="720"/>
        <w:jc w:val="both"/>
        <w:rPr>
          <w:rFonts w:ascii="Times New Roman" w:eastAsia="Times New Roman" w:hAnsi="Times New Roman" w:cs="Times New Roman"/>
          <w:color w:val="000000"/>
          <w:sz w:val="24"/>
          <w:szCs w:val="24"/>
        </w:rPr>
      </w:pPr>
    </w:p>
    <w:p w:rsidR="00365E1D" w:rsidRDefault="00365E1D"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India’s trade with Myanmar increased manifold but the export share of NEI declined from 3.11 percent in 2005-06 to 2.25 percent in 2013-14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 xml:space="preserve">). Similar is the case with Bangladesh as shown in </w:t>
      </w:r>
      <w:r w:rsidRPr="00374D27">
        <w:rPr>
          <w:rFonts w:ascii="Times New Roman" w:eastAsia="Times New Roman" w:hAnsi="Times New Roman" w:cs="Times New Roman"/>
          <w:color w:val="000000"/>
          <w:sz w:val="24"/>
          <w:szCs w:val="24"/>
        </w:rPr>
        <w:t>figure</w:t>
      </w:r>
      <w:r w:rsidR="00436758">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 xml:space="preserve">. The export share of NEI to Bangladesh remained very low during 2000-01 to 2008-09. In fact, the export share declined from 3.09 percent in 2000-01 to 2.56 percent in 2008-09. </w:t>
      </w:r>
      <w:proofErr w:type="gramStart"/>
      <w:r>
        <w:rPr>
          <w:rFonts w:ascii="Times New Roman" w:eastAsia="Times New Roman" w:hAnsi="Times New Roman" w:cs="Times New Roman"/>
          <w:color w:val="000000"/>
          <w:sz w:val="24"/>
          <w:szCs w:val="24"/>
        </w:rPr>
        <w:t>Thus</w:t>
      </w:r>
      <w:proofErr w:type="gramEnd"/>
      <w:r>
        <w:rPr>
          <w:rFonts w:ascii="Times New Roman" w:eastAsia="Times New Roman" w:hAnsi="Times New Roman" w:cs="Times New Roman"/>
          <w:color w:val="000000"/>
          <w:sz w:val="24"/>
          <w:szCs w:val="24"/>
        </w:rPr>
        <w:t xml:space="preserve"> LEP failed to augment exports from NEI even to its neighboring countries like Myanmar and Bangladesh. It is to be noted </w:t>
      </w:r>
      <w:r w:rsidRPr="000931CB">
        <w:rPr>
          <w:rFonts w:ascii="Times New Roman" w:eastAsia="Times New Roman" w:hAnsi="Times New Roman" w:cs="Times New Roman"/>
          <w:color w:val="000000"/>
          <w:sz w:val="24"/>
          <w:szCs w:val="24"/>
        </w:rPr>
        <w:t>that Ind</w:t>
      </w:r>
      <w:r>
        <w:rPr>
          <w:rFonts w:ascii="Times New Roman" w:eastAsia="Times New Roman" w:hAnsi="Times New Roman" w:cs="Times New Roman"/>
          <w:color w:val="000000"/>
          <w:sz w:val="24"/>
          <w:szCs w:val="24"/>
        </w:rPr>
        <w:t>ia’s trade with eastern neighbo</w:t>
      </w:r>
      <w:r w:rsidRPr="000931CB">
        <w:rPr>
          <w:rFonts w:ascii="Times New Roman" w:eastAsia="Times New Roman" w:hAnsi="Times New Roman" w:cs="Times New Roman"/>
          <w:color w:val="000000"/>
          <w:sz w:val="24"/>
          <w:szCs w:val="24"/>
        </w:rPr>
        <w:t>rs like Nepal, Bhutan, Bangladesh, Cambodia, Lao PDR, Myanmar, Th</w:t>
      </w:r>
      <w:r>
        <w:rPr>
          <w:rFonts w:ascii="Times New Roman" w:eastAsia="Times New Roman" w:hAnsi="Times New Roman" w:cs="Times New Roman"/>
          <w:color w:val="000000"/>
          <w:sz w:val="24"/>
          <w:szCs w:val="24"/>
        </w:rPr>
        <w:t xml:space="preserve">ailand and Vietnam </w:t>
      </w:r>
      <w:r w:rsidRPr="000931CB">
        <w:rPr>
          <w:rFonts w:ascii="Times New Roman" w:eastAsia="Times New Roman" w:hAnsi="Times New Roman" w:cs="Times New Roman"/>
          <w:color w:val="000000"/>
          <w:sz w:val="24"/>
          <w:szCs w:val="24"/>
        </w:rPr>
        <w:t>increased from Rs. 81,385 crores in 2010 to Rs. 184,687 crores</w:t>
      </w:r>
      <w:r>
        <w:rPr>
          <w:rFonts w:ascii="Times New Roman" w:eastAsia="Times New Roman" w:hAnsi="Times New Roman" w:cs="Times New Roman"/>
          <w:color w:val="000000"/>
          <w:sz w:val="24"/>
          <w:szCs w:val="24"/>
        </w:rPr>
        <w:t xml:space="preserve"> in 2014</w:t>
      </w:r>
      <w:r w:rsidRPr="000931CB">
        <w:rPr>
          <w:rFonts w:ascii="Times New Roman" w:eastAsia="Times New Roman" w:hAnsi="Times New Roman" w:cs="Times New Roman"/>
          <w:color w:val="000000"/>
          <w:sz w:val="24"/>
          <w:szCs w:val="24"/>
        </w:rPr>
        <w:t xml:space="preserve"> with CAGR of 23 percent</w:t>
      </w:r>
      <w:r>
        <w:rPr>
          <w:rFonts w:ascii="Times New Roman" w:eastAsia="Times New Roman" w:hAnsi="Times New Roman" w:cs="Times New Roman"/>
          <w:color w:val="000000"/>
          <w:sz w:val="24"/>
          <w:szCs w:val="24"/>
        </w:rPr>
        <w:t>. But trade from NEI</w:t>
      </w:r>
      <w:r w:rsidRPr="000931CB">
        <w:rPr>
          <w:rFonts w:ascii="Times New Roman" w:eastAsia="Times New Roman" w:hAnsi="Times New Roman" w:cs="Times New Roman"/>
          <w:color w:val="000000"/>
          <w:sz w:val="24"/>
          <w:szCs w:val="24"/>
        </w:rPr>
        <w:t xml:space="preserve"> marginally increased from Rs. 1628 crores to Rs. 2615 crores with CAGR 13 perce</w:t>
      </w:r>
      <w:r>
        <w:rPr>
          <w:rFonts w:ascii="Times New Roman" w:eastAsia="Times New Roman" w:hAnsi="Times New Roman" w:cs="Times New Roman"/>
          <w:color w:val="000000"/>
          <w:sz w:val="24"/>
          <w:szCs w:val="24"/>
        </w:rPr>
        <w:t>nt during the same period. The share of NEI</w:t>
      </w:r>
      <w:r w:rsidRPr="000931CB">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color w:val="000000"/>
          <w:sz w:val="24"/>
          <w:szCs w:val="24"/>
        </w:rPr>
        <w:t>total trade</w:t>
      </w:r>
      <w:r w:rsidRPr="000931CB">
        <w:rPr>
          <w:rFonts w:ascii="Times New Roman" w:eastAsia="Times New Roman" w:hAnsi="Times New Roman" w:cs="Times New Roman"/>
          <w:color w:val="000000"/>
          <w:sz w:val="24"/>
          <w:szCs w:val="24"/>
        </w:rPr>
        <w:t xml:space="preserve"> has been hovering in the range 1 percent to 2 percent</w:t>
      </w:r>
      <w:r>
        <w:rPr>
          <w:rFonts w:ascii="Times New Roman" w:eastAsia="Times New Roman" w:hAnsi="Times New Roman" w:cs="Times New Roman"/>
          <w:color w:val="000000"/>
          <w:sz w:val="24"/>
          <w:szCs w:val="24"/>
        </w:rPr>
        <w:t xml:space="preserve"> during 2010 to 2014 </w:t>
      </w:r>
      <w:r w:rsidRPr="008A0457">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FICCI, 2014</w:t>
      </w:r>
      <w:r>
        <w:rPr>
          <w:rFonts w:ascii="Times New Roman" w:eastAsia="Times New Roman" w:hAnsi="Times New Roman" w:cs="Times New Roman"/>
          <w:color w:val="000000"/>
          <w:sz w:val="24"/>
          <w:szCs w:val="24"/>
        </w:rPr>
        <w:t>)</w:t>
      </w:r>
      <w:r w:rsidRPr="000931CB">
        <w:rPr>
          <w:rFonts w:ascii="Times New Roman" w:eastAsia="Times New Roman" w:hAnsi="Times New Roman" w:cs="Times New Roman"/>
          <w:color w:val="000000"/>
          <w:sz w:val="24"/>
          <w:szCs w:val="24"/>
        </w:rPr>
        <w:t xml:space="preserve">. </w:t>
      </w:r>
      <w:r>
        <w:rPr>
          <w:rFonts w:ascii="Times New Roman" w:hAnsi="Times New Roman" w:cs="Times New Roman"/>
          <w:color w:val="000000" w:themeColor="text1"/>
          <w:sz w:val="24"/>
          <w:szCs w:val="24"/>
        </w:rPr>
        <w:t>So, it is seen that NEI</w:t>
      </w:r>
      <w:r w:rsidRPr="000931CB">
        <w:rPr>
          <w:rFonts w:ascii="Times New Roman" w:hAnsi="Times New Roman" w:cs="Times New Roman"/>
          <w:color w:val="000000" w:themeColor="text1"/>
          <w:sz w:val="24"/>
          <w:szCs w:val="24"/>
        </w:rPr>
        <w:t xml:space="preserve"> has failed to accelerate its exports to the desire</w:t>
      </w:r>
      <w:r>
        <w:rPr>
          <w:rFonts w:ascii="Times New Roman" w:hAnsi="Times New Roman" w:cs="Times New Roman"/>
          <w:color w:val="000000" w:themeColor="text1"/>
          <w:sz w:val="24"/>
          <w:szCs w:val="24"/>
        </w:rPr>
        <w:t xml:space="preserve">d level under LEP and liberal economic policy. </w:t>
      </w:r>
    </w:p>
    <w:p w:rsidR="00B52ED1" w:rsidRDefault="00B52ED1" w:rsidP="00C26FDC">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365E1D" w:rsidRDefault="00365E1D" w:rsidP="00C26FDC">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Gujarat, Maharashtra, Tamil Nadu, Karnataka, Uttar Pradesh, Andhra Pradesh, Odisha, Haryana, West Bengal and Telangana were top ten exporting states in absolute terms in 2021-22, accounting </w:t>
      </w:r>
      <w:r w:rsidRPr="000A2AF1">
        <w:rPr>
          <w:rFonts w:ascii="Times New Roman" w:eastAsia="Times New Roman" w:hAnsi="Times New Roman" w:cs="Times New Roman"/>
          <w:color w:val="000000"/>
          <w:sz w:val="24"/>
          <w:szCs w:val="24"/>
        </w:rPr>
        <w:t>for</w:t>
      </w:r>
      <w:r>
        <w:rPr>
          <w:rFonts w:ascii="Times New Roman" w:eastAsia="Times New Roman" w:hAnsi="Times New Roman" w:cs="Times New Roman"/>
          <w:color w:val="000000"/>
          <w:sz w:val="24"/>
          <w:szCs w:val="24"/>
        </w:rPr>
        <w:t xml:space="preserve"> more than 85 percent of the country’s total exports </w:t>
      </w:r>
      <w:r w:rsidRPr="00C550D1">
        <w:rPr>
          <w:rFonts w:ascii="Times New Roman" w:eastAsia="Times New Roman" w:hAnsi="Times New Roman" w:cs="Times New Roman"/>
          <w:color w:val="000000"/>
          <w:sz w:val="24"/>
          <w:szCs w:val="24"/>
        </w:rPr>
        <w:t>(</w:t>
      </w:r>
      <w:r w:rsidRPr="00B40206">
        <w:rPr>
          <w:rFonts w:ascii="Times New Roman" w:eastAsia="Times New Roman" w:hAnsi="Times New Roman" w:cs="Times New Roman"/>
          <w:color w:val="000000"/>
          <w:sz w:val="24"/>
          <w:szCs w:val="24"/>
        </w:rPr>
        <w:t>Parveen, 2023</w:t>
      </w:r>
      <w:r w:rsidRPr="00C550D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NEI accounted for only 0.13 percent of India’s total exports in the fiscal year 2019 due to insufficient infrastructure which hampers its economic activities and trade </w:t>
      </w:r>
      <w:r w:rsidRPr="008A0457">
        <w:rPr>
          <w:rFonts w:ascii="Times New Roman" w:eastAsia="Times New Roman" w:hAnsi="Times New Roman" w:cs="Times New Roman"/>
          <w:sz w:val="24"/>
          <w:szCs w:val="24"/>
        </w:rPr>
        <w:t>(</w:t>
      </w:r>
      <w:proofErr w:type="spellStart"/>
      <w:r w:rsidRPr="00B40206">
        <w:rPr>
          <w:rFonts w:ascii="Times New Roman" w:eastAsia="Times New Roman" w:hAnsi="Times New Roman" w:cs="Times New Roman"/>
          <w:sz w:val="24"/>
          <w:szCs w:val="24"/>
        </w:rPr>
        <w:t>Basu</w:t>
      </w:r>
      <w:proofErr w:type="spellEnd"/>
      <w:r w:rsidRPr="00B40206">
        <w:rPr>
          <w:rFonts w:ascii="Times New Roman" w:eastAsia="Times New Roman" w:hAnsi="Times New Roman" w:cs="Times New Roman"/>
          <w:sz w:val="24"/>
          <w:szCs w:val="24"/>
        </w:rPr>
        <w:t xml:space="preserve"> Das and </w:t>
      </w:r>
      <w:proofErr w:type="spellStart"/>
      <w:r w:rsidRPr="00B40206">
        <w:rPr>
          <w:rFonts w:ascii="Times New Roman" w:hAnsi="Times New Roman" w:cs="Times New Roman"/>
          <w:sz w:val="24"/>
          <w:szCs w:val="24"/>
        </w:rPr>
        <w:t>Chattapadhyay</w:t>
      </w:r>
      <w:proofErr w:type="spellEnd"/>
      <w:r w:rsidRPr="00B40206">
        <w:rPr>
          <w:rFonts w:ascii="Times New Roman" w:eastAsia="Times New Roman" w:hAnsi="Times New Roman" w:cs="Times New Roman"/>
          <w:sz w:val="24"/>
          <w:szCs w:val="24"/>
        </w:rPr>
        <w:t>, 2022</w:t>
      </w:r>
      <w:r w:rsidRPr="008A04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fiscal year 2020-21 the region’s export share has seen a minimal increase to 0.156 percent which is quite low compared to the rest of the country. </w:t>
      </w:r>
      <w:r w:rsidRPr="00455226">
        <w:rPr>
          <w:rFonts w:ascii="Times New Roman" w:eastAsia="Times New Roman" w:hAnsi="Times New Roman" w:cs="Times New Roman"/>
          <w:sz w:val="24"/>
          <w:szCs w:val="24"/>
        </w:rPr>
        <w:t>T</w:t>
      </w:r>
      <w:r w:rsidRPr="00455226">
        <w:rPr>
          <w:rFonts w:ascii="Times New Roman" w:hAnsi="Times New Roman" w:cs="Times New Roman"/>
          <w:color w:val="000000" w:themeColor="text1"/>
          <w:sz w:val="24"/>
          <w:szCs w:val="24"/>
        </w:rPr>
        <w:t>able 4</w:t>
      </w:r>
      <w:r w:rsidRPr="000931CB">
        <w:rPr>
          <w:rFonts w:ascii="Times New Roman" w:hAnsi="Times New Roman" w:cs="Times New Roman"/>
          <w:color w:val="000000" w:themeColor="text1"/>
          <w:sz w:val="24"/>
          <w:szCs w:val="24"/>
        </w:rPr>
        <w:t xml:space="preserve"> shows a dismal picture</w:t>
      </w:r>
      <w:r>
        <w:rPr>
          <w:rFonts w:ascii="Times New Roman" w:hAnsi="Times New Roman" w:cs="Times New Roman"/>
          <w:color w:val="000000" w:themeColor="text1"/>
          <w:sz w:val="24"/>
          <w:szCs w:val="24"/>
        </w:rPr>
        <w:t xml:space="preserve"> of exports from NEI states</w:t>
      </w:r>
      <w:r w:rsidRPr="000931CB">
        <w:rPr>
          <w:rFonts w:ascii="Times New Roman" w:hAnsi="Times New Roman" w:cs="Times New Roman"/>
          <w:color w:val="000000" w:themeColor="text1"/>
          <w:sz w:val="24"/>
          <w:szCs w:val="24"/>
        </w:rPr>
        <w:t>. The exports f</w:t>
      </w:r>
      <w:r>
        <w:rPr>
          <w:rFonts w:ascii="Times New Roman" w:hAnsi="Times New Roman" w:cs="Times New Roman"/>
          <w:color w:val="000000" w:themeColor="text1"/>
          <w:sz w:val="24"/>
          <w:szCs w:val="24"/>
        </w:rPr>
        <w:t>rom NEI</w:t>
      </w:r>
      <w:r w:rsidRPr="000931CB">
        <w:rPr>
          <w:rFonts w:ascii="Times New Roman" w:hAnsi="Times New Roman" w:cs="Times New Roman"/>
          <w:color w:val="000000" w:themeColor="text1"/>
          <w:sz w:val="24"/>
          <w:szCs w:val="24"/>
        </w:rPr>
        <w:t xml:space="preserve"> are negligible in amount. </w:t>
      </w:r>
      <w:r>
        <w:rPr>
          <w:rFonts w:ascii="Times New Roman" w:hAnsi="Times New Roman" w:cs="Times New Roman"/>
          <w:color w:val="000000" w:themeColor="text1"/>
          <w:sz w:val="24"/>
          <w:szCs w:val="24"/>
        </w:rPr>
        <w:t>The export share of NEI</w:t>
      </w:r>
      <w:r w:rsidRPr="000931CB">
        <w:rPr>
          <w:rFonts w:ascii="Times New Roman" w:hAnsi="Times New Roman" w:cs="Times New Roman"/>
          <w:color w:val="000000" w:themeColor="text1"/>
          <w:sz w:val="24"/>
          <w:szCs w:val="24"/>
        </w:rPr>
        <w:t xml:space="preserve"> states in India shows poor figures as </w:t>
      </w:r>
      <w:r>
        <w:rPr>
          <w:rFonts w:ascii="Times New Roman" w:hAnsi="Times New Roman" w:cs="Times New Roman"/>
          <w:color w:val="000000" w:themeColor="text1"/>
          <w:sz w:val="24"/>
          <w:szCs w:val="24"/>
        </w:rPr>
        <w:t xml:space="preserve">shown in </w:t>
      </w:r>
      <w:r w:rsidRPr="00455226">
        <w:rPr>
          <w:rFonts w:ascii="Times New Roman" w:hAnsi="Times New Roman" w:cs="Times New Roman"/>
          <w:color w:val="000000" w:themeColor="text1"/>
          <w:sz w:val="24"/>
          <w:szCs w:val="24"/>
        </w:rPr>
        <w:t>table 4</w:t>
      </w:r>
      <w:r>
        <w:rPr>
          <w:rFonts w:ascii="Times New Roman" w:hAnsi="Times New Roman" w:cs="Times New Roman"/>
          <w:color w:val="000000" w:themeColor="text1"/>
          <w:sz w:val="24"/>
          <w:szCs w:val="24"/>
        </w:rPr>
        <w:t xml:space="preserve">. It has not improved at all in recent time. </w:t>
      </w:r>
      <w:r>
        <w:rPr>
          <w:rFonts w:ascii="Times New Roman" w:hAnsi="Times New Roman" w:cs="Times New Roman"/>
          <w:sz w:val="24"/>
          <w:szCs w:val="24"/>
        </w:rPr>
        <w:t>The export shares of NEI states in percentage terms in 2020-21 and 2021-22 are almost zero except Assam which account for 0.14 percent and 0.11 percent respectively (</w:t>
      </w:r>
      <w:r w:rsidRPr="00B40206">
        <w:rPr>
          <w:rFonts w:ascii="Times New Roman" w:hAnsi="Times New Roman" w:cs="Times New Roman"/>
          <w:sz w:val="24"/>
          <w:szCs w:val="24"/>
        </w:rPr>
        <w:t>Ghosh, 2024</w:t>
      </w:r>
      <w:r>
        <w:rPr>
          <w:rFonts w:ascii="Times New Roman" w:hAnsi="Times New Roman" w:cs="Times New Roman"/>
          <w:sz w:val="24"/>
          <w:szCs w:val="24"/>
        </w:rPr>
        <w:t xml:space="preserve">).  </w:t>
      </w:r>
    </w:p>
    <w:p w:rsidR="00365E1D" w:rsidRPr="005A7118" w:rsidRDefault="00365E1D" w:rsidP="00365E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 Exports from NEI States (in US $ Million</w:t>
      </w:r>
      <w:r w:rsidRPr="007864C1">
        <w:rPr>
          <w:rFonts w:ascii="Times New Roman" w:hAnsi="Times New Roman" w:cs="Times New Roman"/>
          <w:b/>
          <w:sz w:val="24"/>
          <w:szCs w:val="24"/>
        </w:rPr>
        <w:t>)</w:t>
      </w:r>
      <w:r>
        <w:rPr>
          <w:rFonts w:ascii="Times New Roman" w:hAnsi="Times New Roman" w:cs="Times New Roman"/>
          <w:b/>
          <w:sz w:val="24"/>
          <w:szCs w:val="24"/>
        </w:rPr>
        <w:t xml:space="preserve"> (under AEP)</w:t>
      </w:r>
    </w:p>
    <w:tbl>
      <w:tblPr>
        <w:tblStyle w:val="TableGrid"/>
        <w:tblW w:w="0" w:type="auto"/>
        <w:tblInd w:w="486" w:type="dxa"/>
        <w:tblLook w:val="04A0" w:firstRow="1" w:lastRow="0" w:firstColumn="1" w:lastColumn="0" w:noHBand="0" w:noVBand="1"/>
      </w:tblPr>
      <w:tblGrid>
        <w:gridCol w:w="2142"/>
        <w:gridCol w:w="1530"/>
        <w:gridCol w:w="1530"/>
        <w:gridCol w:w="1530"/>
        <w:gridCol w:w="1620"/>
      </w:tblGrid>
      <w:tr w:rsidR="00365E1D" w:rsidTr="00FA66B6">
        <w:tc>
          <w:tcPr>
            <w:tcW w:w="2142" w:type="dxa"/>
          </w:tcPr>
          <w:p w:rsidR="00365E1D" w:rsidRPr="00F11A22" w:rsidRDefault="00365E1D" w:rsidP="00060E27">
            <w:pPr>
              <w:jc w:val="center"/>
              <w:rPr>
                <w:rFonts w:ascii="Times New Roman" w:hAnsi="Times New Roman" w:cs="Times New Roman"/>
                <w:b/>
                <w:sz w:val="24"/>
                <w:szCs w:val="24"/>
              </w:rPr>
            </w:pPr>
            <w:r w:rsidRPr="00F11A22">
              <w:rPr>
                <w:rFonts w:ascii="Times New Roman" w:hAnsi="Times New Roman" w:cs="Times New Roman"/>
                <w:b/>
                <w:sz w:val="24"/>
                <w:szCs w:val="24"/>
              </w:rPr>
              <w:t>States</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2014-15</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2015-16</w:t>
            </w:r>
          </w:p>
        </w:tc>
        <w:tc>
          <w:tcPr>
            <w:tcW w:w="153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2016-17</w:t>
            </w:r>
          </w:p>
        </w:tc>
        <w:tc>
          <w:tcPr>
            <w:tcW w:w="1620" w:type="dxa"/>
          </w:tcPr>
          <w:p w:rsidR="00365E1D" w:rsidRPr="00F721B0" w:rsidRDefault="00365E1D" w:rsidP="00060E27">
            <w:pPr>
              <w:jc w:val="center"/>
              <w:rPr>
                <w:rFonts w:ascii="Times New Roman" w:hAnsi="Times New Roman" w:cs="Times New Roman"/>
                <w:b/>
                <w:bCs/>
                <w:sz w:val="24"/>
              </w:rPr>
            </w:pPr>
            <w:r w:rsidRPr="00F721B0">
              <w:rPr>
                <w:rFonts w:ascii="Times New Roman" w:hAnsi="Times New Roman" w:cs="Times New Roman"/>
                <w:b/>
                <w:bCs/>
                <w:sz w:val="24"/>
              </w:rPr>
              <w:t>2017-18</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Arunachal Pradesh</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6.28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6.65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5.32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Assam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340.79 (0.11)</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395.55 (0.15)</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430.03 (0.16)</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382.35 (0.13)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Manipur</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0.19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0.16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1.06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1.33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Mizoram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0.27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1.44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0.03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1.07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Meghalaya</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86.39 (0.03)</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102.34 (0.04)</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102.14 (0.04)</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85.13 (0.03)</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Nagaland</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1.64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4.37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0.74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3.92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lastRenderedPageBreak/>
              <w:t>Sikkim</w:t>
            </w:r>
          </w:p>
        </w:tc>
        <w:tc>
          <w:tcPr>
            <w:tcW w:w="1530" w:type="dxa"/>
          </w:tcPr>
          <w:p w:rsidR="00365E1D" w:rsidRPr="00F11A22"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3.91 (0.00)</w:t>
            </w:r>
          </w:p>
        </w:tc>
        <w:tc>
          <w:tcPr>
            <w:tcW w:w="1530" w:type="dxa"/>
          </w:tcPr>
          <w:p w:rsidR="00365E1D" w:rsidRPr="00A04A36"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2.93 (0.00)</w:t>
            </w:r>
          </w:p>
        </w:tc>
        <w:tc>
          <w:tcPr>
            <w:tcW w:w="153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4.91 (0.00)</w:t>
            </w:r>
          </w:p>
        </w:tc>
        <w:tc>
          <w:tcPr>
            <w:tcW w:w="1620" w:type="dxa"/>
          </w:tcPr>
          <w:p w:rsidR="00365E1D" w:rsidRPr="008C799D" w:rsidRDefault="00365E1D" w:rsidP="00060E27">
            <w:pPr>
              <w:jc w:val="center"/>
              <w:rPr>
                <w:rFonts w:ascii="Times New Roman" w:hAnsi="Times New Roman" w:cs="Times New Roman"/>
                <w:color w:val="000000"/>
                <w:sz w:val="24"/>
                <w:szCs w:val="24"/>
              </w:rPr>
            </w:pPr>
            <w:r w:rsidRPr="00E61B51">
              <w:rPr>
                <w:rFonts w:ascii="Times New Roman" w:hAnsi="Times New Roman" w:cs="Times New Roman"/>
                <w:color w:val="000000"/>
                <w:sz w:val="24"/>
                <w:szCs w:val="24"/>
              </w:rPr>
              <w:t>13.96 (0.00)</w:t>
            </w:r>
          </w:p>
        </w:tc>
      </w:tr>
      <w:tr w:rsidR="00365E1D" w:rsidTr="00FA66B6">
        <w:tc>
          <w:tcPr>
            <w:tcW w:w="2142" w:type="dxa"/>
          </w:tcPr>
          <w:p w:rsidR="00365E1D" w:rsidRDefault="00365E1D" w:rsidP="00060E27">
            <w:pPr>
              <w:jc w:val="center"/>
              <w:rPr>
                <w:rFonts w:ascii="Times New Roman" w:hAnsi="Times New Roman" w:cs="Times New Roman"/>
                <w:sz w:val="24"/>
                <w:szCs w:val="24"/>
              </w:rPr>
            </w:pPr>
            <w:r>
              <w:rPr>
                <w:rFonts w:ascii="Times New Roman" w:hAnsi="Times New Roman" w:cs="Times New Roman"/>
                <w:sz w:val="24"/>
                <w:szCs w:val="24"/>
              </w:rPr>
              <w:t>Tripura</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5.92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1.26 (0.00)</w:t>
            </w:r>
          </w:p>
        </w:tc>
        <w:tc>
          <w:tcPr>
            <w:tcW w:w="153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1.42 (0.00)</w:t>
            </w:r>
          </w:p>
        </w:tc>
        <w:tc>
          <w:tcPr>
            <w:tcW w:w="1620" w:type="dxa"/>
          </w:tcPr>
          <w:p w:rsidR="00365E1D" w:rsidRDefault="00365E1D" w:rsidP="00060E27">
            <w:pPr>
              <w:jc w:val="center"/>
              <w:rPr>
                <w:rFonts w:ascii="Times New Roman" w:hAnsi="Times New Roman" w:cs="Times New Roman"/>
                <w:sz w:val="24"/>
                <w:szCs w:val="24"/>
              </w:rPr>
            </w:pPr>
            <w:r w:rsidRPr="00E61B51">
              <w:rPr>
                <w:rFonts w:ascii="Times New Roman" w:hAnsi="Times New Roman" w:cs="Times New Roman"/>
                <w:color w:val="000000"/>
                <w:sz w:val="24"/>
                <w:szCs w:val="24"/>
              </w:rPr>
              <w:t>2.36 (0.00)</w:t>
            </w:r>
          </w:p>
        </w:tc>
      </w:tr>
    </w:tbl>
    <w:p w:rsidR="00365E1D" w:rsidRPr="004F4255" w:rsidRDefault="00365E1D" w:rsidP="00365E1D">
      <w:pPr>
        <w:spacing w:after="0" w:line="240" w:lineRule="auto"/>
        <w:jc w:val="center"/>
        <w:rPr>
          <w:rFonts w:ascii="Times New Roman" w:hAnsi="Times New Roman" w:cs="Times New Roman"/>
          <w:bCs/>
          <w:sz w:val="24"/>
          <w:szCs w:val="24"/>
        </w:rPr>
      </w:pPr>
      <w:r w:rsidRPr="00310954">
        <w:rPr>
          <w:rFonts w:ascii="Times New Roman" w:hAnsi="Times New Roman" w:cs="Times New Roman"/>
          <w:sz w:val="24"/>
          <w:szCs w:val="24"/>
        </w:rPr>
        <w:t xml:space="preserve">Source: </w:t>
      </w:r>
      <w:r>
        <w:rPr>
          <w:rFonts w:ascii="Times New Roman" w:hAnsi="Times New Roman" w:cs="Times New Roman"/>
          <w:bCs/>
          <w:sz w:val="24"/>
          <w:szCs w:val="24"/>
        </w:rPr>
        <w:t>Ghosh (2024</w:t>
      </w:r>
      <w:r w:rsidRPr="00310954">
        <w:rPr>
          <w:rFonts w:ascii="Times New Roman" w:hAnsi="Times New Roman" w:cs="Times New Roman"/>
          <w:bCs/>
          <w:sz w:val="24"/>
          <w:szCs w:val="24"/>
        </w:rPr>
        <w:t>)</w:t>
      </w:r>
    </w:p>
    <w:p w:rsidR="00365E1D" w:rsidRPr="00A66BBA" w:rsidRDefault="00365E1D" w:rsidP="00365E1D">
      <w:pPr>
        <w:spacing w:line="360" w:lineRule="auto"/>
        <w:jc w:val="center"/>
        <w:rPr>
          <w:rFonts w:ascii="Times New Roman" w:hAnsi="Times New Roman" w:cs="Times New Roman"/>
          <w:sz w:val="24"/>
          <w:szCs w:val="24"/>
        </w:rPr>
      </w:pPr>
      <w:r w:rsidRPr="00A66BBA">
        <w:rPr>
          <w:rFonts w:ascii="Times New Roman" w:hAnsi="Times New Roman" w:cs="Times New Roman"/>
          <w:sz w:val="24"/>
          <w:szCs w:val="24"/>
        </w:rPr>
        <w:t>Note: Figures in the parenthesis indicate percentage share of NE states in India’s total exports</w:t>
      </w:r>
    </w:p>
    <w:p w:rsidR="004905E3" w:rsidRDefault="00D21014" w:rsidP="00CB3F4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4.4: </w:t>
      </w:r>
      <w:r w:rsidR="004905E3">
        <w:rPr>
          <w:rFonts w:ascii="Times New Roman" w:hAnsi="Times New Roman" w:cs="Times New Roman"/>
          <w:b/>
          <w:bCs/>
          <w:sz w:val="24"/>
          <w:szCs w:val="24"/>
        </w:rPr>
        <w:t>Investment under LEP and AEP</w:t>
      </w:r>
    </w:p>
    <w:p w:rsidR="009830D3" w:rsidRDefault="009830D3"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Foreign Direct Investment (FDI) is an important source of investment for developing economies which fulfils not only capital deficiency but also brings knowledge, managerial skill and technology with it which accelerates economic growth. Although India received huge amount of FDI from ASEAN economies since the adoption of LEP but NEI failed in this regard (</w:t>
      </w:r>
      <w:r w:rsidRPr="001D7AF8">
        <w:rPr>
          <w:rFonts w:ascii="Times New Roman" w:hAnsi="Times New Roman" w:cs="Times New Roman"/>
          <w:sz w:val="24"/>
          <w:szCs w:val="24"/>
        </w:rPr>
        <w:t xml:space="preserve">Table </w:t>
      </w:r>
      <w:r>
        <w:rPr>
          <w:rFonts w:ascii="Times New Roman" w:hAnsi="Times New Roman" w:cs="Times New Roman"/>
          <w:sz w:val="24"/>
          <w:szCs w:val="24"/>
        </w:rPr>
        <w:t>5). The regional distribution of FDI in India is highly skewed and uneven and the percentage share of FDI received by NEI states has remained abysmally low during LEP. The lion’s share of FDI has been received by West India (37 percent) followed by North India (20 percent) and South India (17 percent). The East India and NEI received very negligible amount of FDI during 2000 to 2013 (</w:t>
      </w:r>
      <w:r w:rsidRPr="001D7AF8">
        <w:rPr>
          <w:rFonts w:ascii="Times New Roman" w:hAnsi="Times New Roman" w:cs="Times New Roman"/>
          <w:sz w:val="24"/>
          <w:szCs w:val="24"/>
        </w:rPr>
        <w:t xml:space="preserve">Table </w:t>
      </w:r>
      <w:r>
        <w:rPr>
          <w:rFonts w:ascii="Times New Roman" w:hAnsi="Times New Roman" w:cs="Times New Roman"/>
          <w:sz w:val="24"/>
          <w:szCs w:val="24"/>
        </w:rPr>
        <w:t xml:space="preserve">5). </w:t>
      </w:r>
    </w:p>
    <w:p w:rsidR="004417A3" w:rsidRDefault="004417A3" w:rsidP="00A40AEB">
      <w:pPr>
        <w:spacing w:line="240" w:lineRule="auto"/>
        <w:ind w:firstLine="720"/>
        <w:jc w:val="both"/>
        <w:rPr>
          <w:rFonts w:ascii="Times New Roman" w:hAnsi="Times New Roman" w:cs="Times New Roman"/>
          <w:sz w:val="24"/>
          <w:szCs w:val="24"/>
        </w:rPr>
      </w:pPr>
    </w:p>
    <w:p w:rsidR="004417A3" w:rsidRDefault="004417A3" w:rsidP="00A40AEB">
      <w:pPr>
        <w:spacing w:line="240" w:lineRule="auto"/>
        <w:ind w:firstLine="720"/>
        <w:jc w:val="both"/>
        <w:rPr>
          <w:rFonts w:ascii="Times New Roman" w:hAnsi="Times New Roman" w:cs="Times New Roman"/>
          <w:sz w:val="24"/>
          <w:szCs w:val="24"/>
        </w:rPr>
      </w:pPr>
    </w:p>
    <w:p w:rsidR="002C48DB" w:rsidRDefault="002C48DB" w:rsidP="00A40AEB">
      <w:pPr>
        <w:spacing w:line="240" w:lineRule="auto"/>
        <w:ind w:firstLine="720"/>
        <w:jc w:val="both"/>
        <w:rPr>
          <w:rFonts w:ascii="Times New Roman" w:hAnsi="Times New Roman" w:cs="Times New Roman"/>
          <w:sz w:val="24"/>
          <w:szCs w:val="24"/>
        </w:rPr>
      </w:pPr>
    </w:p>
    <w:p w:rsidR="009830D3" w:rsidRDefault="009830D3" w:rsidP="009830D3">
      <w:pPr>
        <w:spacing w:after="0" w:line="240" w:lineRule="auto"/>
        <w:jc w:val="center"/>
        <w:rPr>
          <w:rFonts w:ascii="Times New Roman" w:hAnsi="Times New Roman" w:cs="Times New Roman"/>
          <w:b/>
          <w:sz w:val="24"/>
          <w:szCs w:val="24"/>
        </w:rPr>
      </w:pPr>
      <w:r w:rsidRPr="00DD49F5">
        <w:rPr>
          <w:rFonts w:ascii="Times New Roman" w:hAnsi="Times New Roman" w:cs="Times New Roman"/>
          <w:b/>
          <w:sz w:val="24"/>
          <w:szCs w:val="24"/>
        </w:rPr>
        <w:t xml:space="preserve">Table </w:t>
      </w:r>
      <w:proofErr w:type="gramStart"/>
      <w:r>
        <w:rPr>
          <w:rFonts w:ascii="Times New Roman" w:hAnsi="Times New Roman" w:cs="Times New Roman"/>
          <w:b/>
          <w:sz w:val="24"/>
          <w:szCs w:val="24"/>
        </w:rPr>
        <w:t>5</w:t>
      </w:r>
      <w:r w:rsidRPr="00DD49F5">
        <w:rPr>
          <w:rFonts w:ascii="Times New Roman" w:hAnsi="Times New Roman" w:cs="Times New Roman"/>
          <w:b/>
          <w:sz w:val="24"/>
          <w:szCs w:val="24"/>
        </w:rPr>
        <w:t>:</w:t>
      </w:r>
      <w:r>
        <w:rPr>
          <w:rFonts w:ascii="Times New Roman" w:hAnsi="Times New Roman" w:cs="Times New Roman"/>
          <w:b/>
          <w:sz w:val="24"/>
          <w:szCs w:val="24"/>
        </w:rPr>
        <w:t>FDI</w:t>
      </w:r>
      <w:proofErr w:type="gramEnd"/>
      <w:r>
        <w:rPr>
          <w:rFonts w:ascii="Times New Roman" w:hAnsi="Times New Roman" w:cs="Times New Roman"/>
          <w:b/>
          <w:sz w:val="24"/>
          <w:szCs w:val="24"/>
        </w:rPr>
        <w:t xml:space="preserve"> received by various R</w:t>
      </w:r>
      <w:r w:rsidRPr="00DD49F5">
        <w:rPr>
          <w:rFonts w:ascii="Times New Roman" w:hAnsi="Times New Roman" w:cs="Times New Roman"/>
          <w:b/>
          <w:sz w:val="24"/>
          <w:szCs w:val="24"/>
        </w:rPr>
        <w:t xml:space="preserve">egions of India </w:t>
      </w:r>
      <w:r>
        <w:rPr>
          <w:rFonts w:ascii="Times New Roman" w:hAnsi="Times New Roman" w:cs="Times New Roman"/>
          <w:b/>
          <w:sz w:val="24"/>
          <w:szCs w:val="24"/>
        </w:rPr>
        <w:t>(under LEP)</w:t>
      </w:r>
    </w:p>
    <w:tbl>
      <w:tblPr>
        <w:tblStyle w:val="TableGrid"/>
        <w:tblW w:w="0" w:type="auto"/>
        <w:jc w:val="center"/>
        <w:tblLook w:val="04A0" w:firstRow="1" w:lastRow="0" w:firstColumn="1" w:lastColumn="0" w:noHBand="0" w:noVBand="1"/>
      </w:tblPr>
      <w:tblGrid>
        <w:gridCol w:w="2448"/>
        <w:gridCol w:w="2491"/>
        <w:gridCol w:w="2266"/>
      </w:tblGrid>
      <w:tr w:rsidR="009830D3" w:rsidTr="00060E27">
        <w:trPr>
          <w:jc w:val="center"/>
        </w:trPr>
        <w:tc>
          <w:tcPr>
            <w:tcW w:w="2448"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Regions</w:t>
            </w:r>
          </w:p>
        </w:tc>
        <w:tc>
          <w:tcPr>
            <w:tcW w:w="2491" w:type="dxa"/>
          </w:tcPr>
          <w:p w:rsidR="009830D3" w:rsidRDefault="009830D3" w:rsidP="00060E27">
            <w:pPr>
              <w:rPr>
                <w:rFonts w:ascii="Times New Roman" w:hAnsi="Times New Roman" w:cs="Times New Roman"/>
                <w:b/>
                <w:sz w:val="24"/>
                <w:szCs w:val="24"/>
              </w:rPr>
            </w:pPr>
            <w:r>
              <w:rPr>
                <w:rFonts w:ascii="Times New Roman" w:hAnsi="Times New Roman" w:cs="Times New Roman"/>
                <w:b/>
                <w:sz w:val="24"/>
                <w:szCs w:val="24"/>
              </w:rPr>
              <w:t>Amount (</w:t>
            </w:r>
            <w:r>
              <w:rPr>
                <w:rFonts w:ascii="Times New Roman" w:hAnsi="Times New Roman" w:cs="Times New Roman"/>
                <w:b/>
                <w:bCs/>
                <w:sz w:val="24"/>
                <w:szCs w:val="24"/>
              </w:rPr>
              <w:t>Rs. M</w:t>
            </w:r>
            <w:r w:rsidRPr="00DF2D32">
              <w:rPr>
                <w:rFonts w:ascii="Times New Roman" w:hAnsi="Times New Roman" w:cs="Times New Roman"/>
                <w:b/>
                <w:bCs/>
                <w:sz w:val="24"/>
                <w:szCs w:val="24"/>
              </w:rPr>
              <w:t>illion</w:t>
            </w:r>
            <w:r>
              <w:rPr>
                <w:rFonts w:ascii="Times New Roman" w:hAnsi="Times New Roman" w:cs="Times New Roman"/>
                <w:b/>
                <w:sz w:val="24"/>
                <w:szCs w:val="24"/>
              </w:rPr>
              <w:t>)</w:t>
            </w:r>
          </w:p>
        </w:tc>
        <w:tc>
          <w:tcPr>
            <w:tcW w:w="2266" w:type="dxa"/>
            <w:vMerge w:val="restart"/>
          </w:tcPr>
          <w:p w:rsidR="009830D3"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Percentage Share*</w:t>
            </w:r>
          </w:p>
        </w:tc>
      </w:tr>
      <w:tr w:rsidR="009830D3" w:rsidTr="00060E27">
        <w:trPr>
          <w:jc w:val="center"/>
        </w:trPr>
        <w:tc>
          <w:tcPr>
            <w:tcW w:w="2448" w:type="dxa"/>
            <w:vMerge/>
          </w:tcPr>
          <w:p w:rsidR="009830D3" w:rsidRDefault="009830D3" w:rsidP="00060E27">
            <w:pPr>
              <w:jc w:val="center"/>
              <w:rPr>
                <w:rFonts w:ascii="Times New Roman" w:hAnsi="Times New Roman" w:cs="Times New Roman"/>
                <w:b/>
                <w:sz w:val="24"/>
                <w:szCs w:val="24"/>
              </w:rPr>
            </w:pPr>
          </w:p>
        </w:tc>
        <w:tc>
          <w:tcPr>
            <w:tcW w:w="2491" w:type="dxa"/>
          </w:tcPr>
          <w:p w:rsidR="009830D3" w:rsidRPr="001C4E65" w:rsidRDefault="009830D3" w:rsidP="00060E27">
            <w:pPr>
              <w:jc w:val="center"/>
              <w:rPr>
                <w:rFonts w:ascii="Times New Roman" w:hAnsi="Times New Roman" w:cs="Times New Roman"/>
                <w:sz w:val="24"/>
                <w:szCs w:val="24"/>
              </w:rPr>
            </w:pPr>
            <w:r>
              <w:rPr>
                <w:rFonts w:ascii="Times New Roman" w:hAnsi="Times New Roman" w:cs="Times New Roman"/>
                <w:b/>
                <w:sz w:val="24"/>
                <w:szCs w:val="24"/>
              </w:rPr>
              <w:t xml:space="preserve">From </w:t>
            </w:r>
            <w:r w:rsidRPr="00DD49F5">
              <w:rPr>
                <w:rFonts w:ascii="Times New Roman" w:hAnsi="Times New Roman" w:cs="Times New Roman"/>
                <w:b/>
                <w:sz w:val="24"/>
                <w:szCs w:val="24"/>
              </w:rPr>
              <w:t>2000 to 2013</w:t>
            </w:r>
          </w:p>
        </w:tc>
        <w:tc>
          <w:tcPr>
            <w:tcW w:w="2266" w:type="dxa"/>
            <w:vMerge/>
          </w:tcPr>
          <w:p w:rsidR="009830D3" w:rsidRDefault="009830D3" w:rsidP="00060E27">
            <w:pPr>
              <w:jc w:val="center"/>
              <w:rPr>
                <w:rFonts w:ascii="Times New Roman" w:hAnsi="Times New Roman" w:cs="Times New Roman"/>
                <w:b/>
                <w:sz w:val="24"/>
                <w:szCs w:val="24"/>
              </w:rPr>
            </w:pP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North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1827660</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20</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South</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1522156</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r>
              <w:rPr>
                <w:rFonts w:ascii="Times New Roman" w:hAnsi="Times New Roman" w:cs="Times New Roman"/>
                <w:sz w:val="24"/>
                <w:szCs w:val="24"/>
              </w:rPr>
              <w:t>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East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128172</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1</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West</w:t>
            </w:r>
          </w:p>
        </w:tc>
        <w:tc>
          <w:tcPr>
            <w:tcW w:w="2491"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3486287</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37</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sidRPr="00A1732B">
              <w:rPr>
                <w:rFonts w:ascii="Times New Roman" w:hAnsi="Times New Roman" w:cs="Times New Roman"/>
                <w:sz w:val="24"/>
                <w:szCs w:val="24"/>
              </w:rPr>
              <w:t>NE</w:t>
            </w:r>
            <w:r>
              <w:rPr>
                <w:rFonts w:ascii="Times New Roman" w:hAnsi="Times New Roman" w:cs="Times New Roman"/>
                <w:sz w:val="24"/>
                <w:szCs w:val="24"/>
              </w:rPr>
              <w:t>I</w:t>
            </w:r>
          </w:p>
        </w:tc>
        <w:tc>
          <w:tcPr>
            <w:tcW w:w="2491"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3484.21</w:t>
            </w:r>
          </w:p>
        </w:tc>
        <w:tc>
          <w:tcPr>
            <w:tcW w:w="2266" w:type="dxa"/>
          </w:tcPr>
          <w:p w:rsidR="009830D3" w:rsidRPr="00DA72FE" w:rsidRDefault="009830D3" w:rsidP="00060E27">
            <w:pPr>
              <w:jc w:val="center"/>
              <w:rPr>
                <w:rFonts w:ascii="Times New Roman" w:hAnsi="Times New Roman" w:cs="Times New Roman"/>
                <w:sz w:val="24"/>
                <w:szCs w:val="24"/>
              </w:rPr>
            </w:pPr>
            <w:r w:rsidRPr="00DA72FE">
              <w:rPr>
                <w:rFonts w:ascii="Times New Roman" w:hAnsi="Times New Roman" w:cs="Times New Roman"/>
                <w:sz w:val="24"/>
                <w:szCs w:val="24"/>
              </w:rPr>
              <w:t>0.04</w:t>
            </w:r>
          </w:p>
        </w:tc>
      </w:tr>
      <w:tr w:rsidR="009830D3" w:rsidTr="00060E27">
        <w:trPr>
          <w:jc w:val="center"/>
        </w:trPr>
        <w:tc>
          <w:tcPr>
            <w:tcW w:w="2448" w:type="dxa"/>
          </w:tcPr>
          <w:p w:rsidR="009830D3" w:rsidRPr="00A1732B" w:rsidRDefault="009830D3" w:rsidP="00060E27">
            <w:pPr>
              <w:jc w:val="center"/>
              <w:rPr>
                <w:rFonts w:ascii="Times New Roman" w:hAnsi="Times New Roman" w:cs="Times New Roman"/>
                <w:sz w:val="24"/>
                <w:szCs w:val="24"/>
              </w:rPr>
            </w:pPr>
            <w:r>
              <w:rPr>
                <w:rFonts w:ascii="Times New Roman" w:hAnsi="Times New Roman" w:cs="Times New Roman"/>
                <w:sz w:val="24"/>
                <w:szCs w:val="24"/>
              </w:rPr>
              <w:t>Region not Indicated</w:t>
            </w:r>
          </w:p>
        </w:tc>
        <w:tc>
          <w:tcPr>
            <w:tcW w:w="2491"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2324994</w:t>
            </w:r>
          </w:p>
        </w:tc>
        <w:tc>
          <w:tcPr>
            <w:tcW w:w="2266" w:type="dxa"/>
          </w:tcPr>
          <w:p w:rsidR="009830D3" w:rsidRPr="00DA72FE" w:rsidRDefault="009830D3" w:rsidP="00060E27">
            <w:pPr>
              <w:jc w:val="center"/>
              <w:rPr>
                <w:rFonts w:ascii="Times New Roman" w:hAnsi="Times New Roman" w:cs="Times New Roman"/>
                <w:sz w:val="24"/>
                <w:szCs w:val="24"/>
              </w:rPr>
            </w:pPr>
            <w:r>
              <w:rPr>
                <w:rFonts w:ascii="Times New Roman" w:hAnsi="Times New Roman" w:cs="Times New Roman"/>
                <w:sz w:val="24"/>
                <w:szCs w:val="24"/>
              </w:rPr>
              <w:t>25</w:t>
            </w:r>
          </w:p>
        </w:tc>
      </w:tr>
    </w:tbl>
    <w:p w:rsidR="009830D3" w:rsidRDefault="009830D3" w:rsidP="009830D3">
      <w:pPr>
        <w:spacing w:after="0" w:line="240" w:lineRule="auto"/>
        <w:jc w:val="center"/>
        <w:rPr>
          <w:rFonts w:ascii="Times New Roman" w:hAnsi="Times New Roman" w:cs="Times New Roman"/>
          <w:sz w:val="24"/>
          <w:szCs w:val="24"/>
        </w:rPr>
      </w:pPr>
      <w:r w:rsidRPr="00DD49F5">
        <w:rPr>
          <w:rFonts w:ascii="Times New Roman" w:hAnsi="Times New Roman" w:cs="Times New Roman"/>
          <w:sz w:val="24"/>
          <w:szCs w:val="24"/>
        </w:rPr>
        <w:t>Source: SIA Newsletter, Various Issues</w:t>
      </w:r>
    </w:p>
    <w:p w:rsidR="00954E05" w:rsidRPr="00145D0E" w:rsidRDefault="009830D3" w:rsidP="00A40AEB">
      <w:pPr>
        <w:spacing w:after="0" w:line="240" w:lineRule="auto"/>
        <w:jc w:val="center"/>
        <w:rPr>
          <w:rFonts w:ascii="Times New Roman" w:hAnsi="Times New Roman" w:cs="Times New Roman"/>
          <w:sz w:val="24"/>
          <w:szCs w:val="24"/>
        </w:rPr>
      </w:pPr>
      <w:r w:rsidRPr="00145D0E">
        <w:rPr>
          <w:rFonts w:ascii="Times New Roman" w:hAnsi="Times New Roman" w:cs="Times New Roman"/>
          <w:b/>
          <w:sz w:val="24"/>
          <w:szCs w:val="24"/>
        </w:rPr>
        <w:t xml:space="preserve">* </w:t>
      </w:r>
      <w:r w:rsidRPr="00145D0E">
        <w:rPr>
          <w:rFonts w:ascii="Times New Roman" w:hAnsi="Times New Roman" w:cs="Times New Roman"/>
          <w:sz w:val="24"/>
          <w:szCs w:val="24"/>
        </w:rPr>
        <w:t>Figures might not add up to hundred because of rounding off errors.</w:t>
      </w:r>
    </w:p>
    <w:p w:rsidR="00A40AEB" w:rsidRPr="00145D0E" w:rsidRDefault="00A40AEB" w:rsidP="00A40AEB">
      <w:pPr>
        <w:spacing w:after="0" w:line="240" w:lineRule="auto"/>
        <w:jc w:val="center"/>
        <w:rPr>
          <w:rFonts w:ascii="Times New Roman" w:hAnsi="Times New Roman" w:cs="Times New Roman"/>
          <w:sz w:val="24"/>
          <w:szCs w:val="24"/>
        </w:rPr>
      </w:pPr>
    </w:p>
    <w:p w:rsidR="009830D3" w:rsidRPr="00C209C9" w:rsidRDefault="009830D3" w:rsidP="009830D3">
      <w:pPr>
        <w:autoSpaceDE w:val="0"/>
        <w:autoSpaceDN w:val="0"/>
        <w:adjustRightInd w:val="0"/>
        <w:spacing w:after="0" w:line="240" w:lineRule="auto"/>
        <w:jc w:val="center"/>
        <w:rPr>
          <w:rFonts w:ascii="Times New Roman" w:hAnsi="Times New Roman" w:cs="Times New Roman"/>
          <w:b/>
          <w:sz w:val="24"/>
        </w:rPr>
      </w:pPr>
      <w:r w:rsidRPr="00C209C9">
        <w:rPr>
          <w:rFonts w:ascii="Times New Roman" w:hAnsi="Times New Roman" w:cs="Times New Roman"/>
          <w:b/>
          <w:sz w:val="24"/>
        </w:rPr>
        <w:t xml:space="preserve">Table </w:t>
      </w:r>
      <w:r>
        <w:rPr>
          <w:rFonts w:ascii="Times New Roman" w:hAnsi="Times New Roman" w:cs="Times New Roman"/>
          <w:b/>
          <w:sz w:val="24"/>
        </w:rPr>
        <w:t>6</w:t>
      </w:r>
      <w:r w:rsidRPr="00C209C9">
        <w:rPr>
          <w:rFonts w:ascii="Times New Roman" w:hAnsi="Times New Roman" w:cs="Times New Roman"/>
          <w:b/>
          <w:sz w:val="24"/>
        </w:rPr>
        <w:t>: State-wise FDI Inflows in India and NEI (under AEP)</w:t>
      </w:r>
    </w:p>
    <w:tbl>
      <w:tblPr>
        <w:tblStyle w:val="TableGrid"/>
        <w:tblW w:w="10502" w:type="dxa"/>
        <w:tblInd w:w="-720" w:type="dxa"/>
        <w:tblLayout w:type="fixed"/>
        <w:tblLook w:val="04A0" w:firstRow="1" w:lastRow="0" w:firstColumn="1" w:lastColumn="0" w:noHBand="0" w:noVBand="1"/>
      </w:tblPr>
      <w:tblGrid>
        <w:gridCol w:w="1766"/>
        <w:gridCol w:w="1446"/>
        <w:gridCol w:w="1440"/>
        <w:gridCol w:w="1530"/>
        <w:gridCol w:w="1440"/>
        <w:gridCol w:w="1440"/>
        <w:gridCol w:w="1440"/>
      </w:tblGrid>
      <w:tr w:rsidR="009830D3" w:rsidTr="009830D3">
        <w:tc>
          <w:tcPr>
            <w:tcW w:w="1766" w:type="dxa"/>
          </w:tcPr>
          <w:p w:rsidR="009830D3" w:rsidRPr="00B43A4B" w:rsidRDefault="009830D3" w:rsidP="00060E27">
            <w:pPr>
              <w:spacing w:line="276" w:lineRule="auto"/>
              <w:jc w:val="center"/>
              <w:rPr>
                <w:rFonts w:ascii="Times New Roman" w:hAnsi="Times New Roman" w:cs="Times New Roman"/>
                <w:b/>
                <w:sz w:val="24"/>
                <w:szCs w:val="24"/>
              </w:rPr>
            </w:pPr>
            <w:r w:rsidRPr="00B43A4B">
              <w:rPr>
                <w:rFonts w:ascii="Times New Roman" w:hAnsi="Times New Roman" w:cs="Times New Roman"/>
                <w:b/>
                <w:sz w:val="24"/>
                <w:szCs w:val="24"/>
              </w:rPr>
              <w:t>States</w:t>
            </w:r>
          </w:p>
        </w:tc>
        <w:tc>
          <w:tcPr>
            <w:tcW w:w="1446"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2014-15</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2015-16</w:t>
            </w:r>
          </w:p>
        </w:tc>
        <w:tc>
          <w:tcPr>
            <w:tcW w:w="153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2016-17</w:t>
            </w:r>
          </w:p>
        </w:tc>
        <w:tc>
          <w:tcPr>
            <w:tcW w:w="1440" w:type="dxa"/>
          </w:tcPr>
          <w:p w:rsidR="009830D3" w:rsidRPr="00B43A4B" w:rsidRDefault="009830D3" w:rsidP="00060E27">
            <w:pPr>
              <w:jc w:val="center"/>
              <w:rPr>
                <w:rFonts w:ascii="Times New Roman" w:hAnsi="Times New Roman" w:cs="Times New Roman"/>
                <w:b/>
                <w:sz w:val="24"/>
                <w:szCs w:val="24"/>
              </w:rPr>
            </w:pPr>
            <w:r w:rsidRPr="00B43A4B">
              <w:rPr>
                <w:rFonts w:ascii="Times New Roman" w:hAnsi="Times New Roman" w:cs="Times New Roman"/>
                <w:b/>
                <w:sz w:val="24"/>
                <w:szCs w:val="24"/>
              </w:rPr>
              <w:t>2017-18</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2018-19</w:t>
            </w:r>
          </w:p>
        </w:tc>
        <w:tc>
          <w:tcPr>
            <w:tcW w:w="1440" w:type="dxa"/>
          </w:tcPr>
          <w:p w:rsidR="009830D3" w:rsidRPr="00B43A4B" w:rsidRDefault="009830D3" w:rsidP="00060E27">
            <w:pPr>
              <w:jc w:val="center"/>
              <w:rPr>
                <w:rFonts w:ascii="Times New Roman" w:hAnsi="Times New Roman" w:cs="Times New Roman"/>
                <w:b/>
                <w:sz w:val="24"/>
                <w:szCs w:val="24"/>
              </w:rPr>
            </w:pPr>
            <w:r>
              <w:rPr>
                <w:rFonts w:ascii="Times New Roman" w:hAnsi="Times New Roman" w:cs="Times New Roman"/>
                <w:b/>
                <w:sz w:val="24"/>
                <w:szCs w:val="24"/>
              </w:rPr>
              <w:t>2019-20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Maharashtra</w:t>
            </w:r>
            <w:r w:rsidRPr="00D43C05">
              <w:rPr>
                <w:rFonts w:ascii="Times New Roman" w:hAnsi="Times New Roman" w:cs="Times New Roman"/>
                <w:sz w:val="28"/>
                <w:szCs w:val="24"/>
                <w:vertAlign w:val="superscript"/>
              </w:rPr>
              <w:t>1</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389,333.82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(20.57)</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627,314.65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(23.78)</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1,319,795.56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(45.20)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862,441.80</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(29.92)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800,126.84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(25.66)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520,730.14</w:t>
            </w:r>
          </w:p>
          <w:p w:rsidR="009830D3" w:rsidRPr="00D0674B" w:rsidRDefault="009830D3" w:rsidP="00060E27">
            <w:pPr>
              <w:jc w:val="center"/>
              <w:rPr>
                <w:rFonts w:ascii="Times New Roman" w:hAnsi="Times New Roman" w:cs="Times New Roman"/>
              </w:rPr>
            </w:pPr>
            <w:r>
              <w:rPr>
                <w:rFonts w:ascii="Times New Roman" w:hAnsi="Times New Roman" w:cs="Times New Roman"/>
              </w:rPr>
              <w:t>(30.35)</w:t>
            </w:r>
          </w:p>
        </w:tc>
      </w:tr>
      <w:tr w:rsidR="009830D3" w:rsidTr="009830D3">
        <w:tc>
          <w:tcPr>
            <w:tcW w:w="1766" w:type="dxa"/>
          </w:tcPr>
          <w:p w:rsidR="009830D3" w:rsidRPr="0037490D" w:rsidRDefault="009830D3" w:rsidP="00060E27">
            <w:pPr>
              <w:jc w:val="center"/>
              <w:rPr>
                <w:rFonts w:ascii="Times New Roman" w:hAnsi="Times New Roman" w:cs="Times New Roman"/>
                <w:sz w:val="24"/>
                <w:szCs w:val="24"/>
                <w:vertAlign w:val="superscript"/>
              </w:rPr>
            </w:pPr>
            <w:r>
              <w:rPr>
                <w:rFonts w:ascii="Times New Roman" w:hAnsi="Times New Roman" w:cs="Times New Roman"/>
                <w:sz w:val="24"/>
                <w:szCs w:val="24"/>
              </w:rPr>
              <w:t>Delhi</w:t>
            </w:r>
            <w:r w:rsidRPr="00D43C05">
              <w:rPr>
                <w:rFonts w:ascii="Times New Roman" w:hAnsi="Times New Roman" w:cs="Times New Roman"/>
                <w:sz w:val="28"/>
                <w:szCs w:val="24"/>
                <w:vertAlign w:val="superscript"/>
              </w:rPr>
              <w:t>2</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422,524.42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(22.23)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832,884.23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(31.86)</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394,819.58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(13.53)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493,655.19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(17.07)</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(22.86)</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284,870.77</w:t>
            </w:r>
          </w:p>
          <w:p w:rsidR="009830D3" w:rsidRPr="00D0674B" w:rsidRDefault="009830D3" w:rsidP="00060E27">
            <w:pPr>
              <w:jc w:val="center"/>
              <w:rPr>
                <w:rFonts w:ascii="Times New Roman" w:hAnsi="Times New Roman" w:cs="Times New Roman"/>
              </w:rPr>
            </w:pPr>
            <w:r>
              <w:rPr>
                <w:rFonts w:ascii="Times New Roman" w:hAnsi="Times New Roman" w:cs="Times New Roman"/>
              </w:rPr>
              <w:t>(16.60)</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K</w:t>
            </w:r>
            <w:r>
              <w:rPr>
                <w:rFonts w:ascii="Times New Roman" w:hAnsi="Times New Roman" w:cs="Times New Roman"/>
                <w:sz w:val="24"/>
                <w:szCs w:val="24"/>
              </w:rPr>
              <w:t>arnataka</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212,548.46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(11.13)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267,907.46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(10.30)</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142,999.67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553,343.63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(19.12)</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704,850.34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(15.15)</w:t>
            </w:r>
          </w:p>
        </w:tc>
        <w:tc>
          <w:tcPr>
            <w:tcW w:w="1440" w:type="dxa"/>
          </w:tcPr>
          <w:p w:rsidR="009830D3" w:rsidRDefault="009830D3" w:rsidP="00060E27">
            <w:pPr>
              <w:jc w:val="center"/>
              <w:rPr>
                <w:rFonts w:ascii="Times New Roman" w:hAnsi="Times New Roman" w:cs="Times New Roman"/>
              </w:rPr>
            </w:pPr>
            <w:r w:rsidRPr="00BC0434">
              <w:rPr>
                <w:rFonts w:ascii="Times New Roman" w:hAnsi="Times New Roman" w:cs="Times New Roman"/>
              </w:rPr>
              <w:t>307,461.68</w:t>
            </w:r>
          </w:p>
          <w:p w:rsidR="009830D3" w:rsidRPr="00D0674B" w:rsidRDefault="009830D3" w:rsidP="00060E27">
            <w:pPr>
              <w:jc w:val="center"/>
              <w:rPr>
                <w:rFonts w:ascii="Times New Roman" w:hAnsi="Times New Roman" w:cs="Times New Roman"/>
              </w:rPr>
            </w:pPr>
            <w:r>
              <w:rPr>
                <w:rFonts w:ascii="Times New Roman" w:hAnsi="Times New Roman" w:cs="Times New Roman"/>
              </w:rPr>
              <w:t>(17.92)</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Tamil Nadu</w:t>
            </w:r>
            <w:r w:rsidRPr="00D43C05">
              <w:rPr>
                <w:rFonts w:ascii="Times New Roman" w:hAnsi="Times New Roman" w:cs="Times New Roman"/>
                <w:sz w:val="28"/>
                <w:szCs w:val="24"/>
                <w:vertAlign w:val="superscript"/>
              </w:rPr>
              <w:t>3</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233,605.58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(12.34)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297,809.87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(11.32)</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148,304.34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(5.10)</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223,541.19</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(7.75)</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181,640.14</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(5.89)</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72,304.45</w:t>
            </w:r>
          </w:p>
          <w:p w:rsidR="009830D3" w:rsidRPr="00D0674B" w:rsidRDefault="009830D3" w:rsidP="00060E27">
            <w:pPr>
              <w:jc w:val="center"/>
              <w:rPr>
                <w:rFonts w:ascii="Times New Roman" w:hAnsi="Times New Roman" w:cs="Times New Roman"/>
              </w:rPr>
            </w:pPr>
            <w:r>
              <w:rPr>
                <w:rFonts w:ascii="Times New Roman" w:hAnsi="Times New Roman" w:cs="Times New Roman"/>
              </w:rPr>
              <w:t>(4.21)</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sidRPr="00F857AC">
              <w:rPr>
                <w:rFonts w:ascii="Times New Roman" w:hAnsi="Times New Roman" w:cs="Times New Roman"/>
                <w:sz w:val="24"/>
                <w:szCs w:val="24"/>
              </w:rPr>
              <w:t>G</w:t>
            </w:r>
            <w:r>
              <w:rPr>
                <w:rFonts w:ascii="Times New Roman" w:hAnsi="Times New Roman" w:cs="Times New Roman"/>
                <w:sz w:val="24"/>
                <w:szCs w:val="24"/>
              </w:rPr>
              <w:t>ujarat</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94,157.44</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(4.95)</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146,669.72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(5.61)</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134,566.18</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(4.66)</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126,183.41</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(4.06)</w:t>
            </w:r>
          </w:p>
        </w:tc>
        <w:tc>
          <w:tcPr>
            <w:tcW w:w="1440" w:type="dxa"/>
          </w:tcPr>
          <w:p w:rsidR="009830D3" w:rsidRDefault="009830D3" w:rsidP="00060E27">
            <w:pPr>
              <w:jc w:val="center"/>
              <w:rPr>
                <w:rFonts w:ascii="Times New Roman" w:hAnsi="Times New Roman" w:cs="Times New Roman"/>
              </w:rPr>
            </w:pPr>
            <w:r w:rsidRPr="00232CCA">
              <w:rPr>
                <w:rFonts w:ascii="Times New Roman" w:hAnsi="Times New Roman" w:cs="Times New Roman"/>
              </w:rPr>
              <w:t>189,640.40</w:t>
            </w:r>
          </w:p>
          <w:p w:rsidR="009830D3" w:rsidRPr="00D0674B" w:rsidRDefault="009830D3" w:rsidP="00060E27">
            <w:pPr>
              <w:jc w:val="center"/>
              <w:rPr>
                <w:rFonts w:ascii="Times New Roman" w:hAnsi="Times New Roman" w:cs="Times New Roman"/>
              </w:rPr>
            </w:pPr>
            <w:r>
              <w:rPr>
                <w:rFonts w:ascii="Times New Roman" w:hAnsi="Times New Roman" w:cs="Times New Roman"/>
              </w:rPr>
              <w:t>(11.05)</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Andhra</w:t>
            </w:r>
            <w:r w:rsidRPr="00F857AC">
              <w:rPr>
                <w:rFonts w:ascii="Times New Roman" w:hAnsi="Times New Roman" w:cs="Times New Roman"/>
                <w:sz w:val="24"/>
                <w:szCs w:val="24"/>
              </w:rPr>
              <w:t xml:space="preserve"> P</w:t>
            </w:r>
            <w:r>
              <w:rPr>
                <w:rFonts w:ascii="Times New Roman" w:hAnsi="Times New Roman" w:cs="Times New Roman"/>
                <w:sz w:val="24"/>
                <w:szCs w:val="24"/>
              </w:rPr>
              <w:t>radesh</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83,255.13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(4.43)</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103,154.92</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(3.89)</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226,098.31</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(7.74)</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80,372.56</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(2.78)</w:t>
            </w:r>
          </w:p>
        </w:tc>
        <w:tc>
          <w:tcPr>
            <w:tcW w:w="1440" w:type="dxa"/>
          </w:tcPr>
          <w:p w:rsidR="009830D3" w:rsidRPr="00B34BF6" w:rsidRDefault="009830D3" w:rsidP="00060E27">
            <w:pPr>
              <w:pStyle w:val="Default"/>
              <w:rPr>
                <w:rFonts w:ascii="Times New Roman" w:hAnsi="Times New Roman" w:cs="Times New Roman"/>
              </w:rPr>
            </w:pPr>
            <w:r w:rsidRPr="00B34BF6">
              <w:rPr>
                <w:rFonts w:ascii="Times New Roman" w:hAnsi="Times New Roman" w:cs="Times New Roman"/>
              </w:rPr>
              <w:t>238,820.53</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(7.79)</w:t>
            </w:r>
          </w:p>
        </w:tc>
        <w:tc>
          <w:tcPr>
            <w:tcW w:w="1440" w:type="dxa"/>
          </w:tcPr>
          <w:p w:rsidR="009830D3" w:rsidRDefault="009830D3" w:rsidP="00060E27">
            <w:pPr>
              <w:jc w:val="center"/>
              <w:rPr>
                <w:rFonts w:ascii="Times New Roman" w:hAnsi="Times New Roman" w:cs="Times New Roman"/>
              </w:rPr>
            </w:pPr>
            <w:r w:rsidRPr="00676D17">
              <w:rPr>
                <w:rFonts w:ascii="Times New Roman" w:hAnsi="Times New Roman" w:cs="Times New Roman"/>
              </w:rPr>
              <w:t>14,759.89</w:t>
            </w:r>
          </w:p>
          <w:p w:rsidR="009830D3" w:rsidRPr="00D0674B" w:rsidRDefault="009830D3" w:rsidP="00060E27">
            <w:pPr>
              <w:jc w:val="center"/>
              <w:rPr>
                <w:rFonts w:ascii="Times New Roman" w:hAnsi="Times New Roman" w:cs="Times New Roman"/>
              </w:rPr>
            </w:pPr>
            <w:r>
              <w:rPr>
                <w:rFonts w:ascii="Times New Roman" w:hAnsi="Times New Roman" w:cs="Times New Roman"/>
              </w:rPr>
              <w:t>(0.86)</w:t>
            </w:r>
          </w:p>
        </w:tc>
      </w:tr>
      <w:tr w:rsidR="009830D3" w:rsidTr="009830D3">
        <w:tc>
          <w:tcPr>
            <w:tcW w:w="1766" w:type="dxa"/>
          </w:tcPr>
          <w:p w:rsidR="009830D3" w:rsidRPr="00F857AC" w:rsidRDefault="009830D3" w:rsidP="00060E27">
            <w:pPr>
              <w:jc w:val="center"/>
              <w:rPr>
                <w:rFonts w:ascii="Times New Roman" w:hAnsi="Times New Roman" w:cs="Times New Roman"/>
                <w:sz w:val="24"/>
                <w:szCs w:val="24"/>
              </w:rPr>
            </w:pPr>
            <w:r>
              <w:rPr>
                <w:rFonts w:ascii="Times New Roman" w:hAnsi="Times New Roman" w:cs="Times New Roman"/>
                <w:sz w:val="24"/>
                <w:szCs w:val="24"/>
              </w:rPr>
              <w:t>NEI*</w:t>
            </w:r>
          </w:p>
        </w:tc>
        <w:tc>
          <w:tcPr>
            <w:tcW w:w="1446"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288.63</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(0.02)</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661.85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53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150.15</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(0.01)</w:t>
            </w:r>
          </w:p>
        </w:tc>
        <w:tc>
          <w:tcPr>
            <w:tcW w:w="1440" w:type="dxa"/>
          </w:tcPr>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816.67</w:t>
            </w:r>
          </w:p>
          <w:p w:rsidR="009830D3" w:rsidRPr="00D0674B" w:rsidRDefault="009830D3" w:rsidP="00060E27">
            <w:pPr>
              <w:jc w:val="center"/>
              <w:rPr>
                <w:rFonts w:ascii="Times New Roman" w:hAnsi="Times New Roman" w:cs="Times New Roman"/>
              </w:rPr>
            </w:pPr>
            <w:r w:rsidRPr="00D0674B">
              <w:rPr>
                <w:rFonts w:ascii="Times New Roman" w:hAnsi="Times New Roman" w:cs="Times New Roman"/>
              </w:rPr>
              <w:t>(0.03)</w:t>
            </w:r>
          </w:p>
        </w:tc>
        <w:tc>
          <w:tcPr>
            <w:tcW w:w="1440" w:type="dxa"/>
          </w:tcPr>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476.85</w:t>
            </w:r>
          </w:p>
          <w:p w:rsidR="009830D3" w:rsidRPr="00B34BF6" w:rsidRDefault="009830D3" w:rsidP="00060E27">
            <w:pPr>
              <w:jc w:val="center"/>
              <w:rPr>
                <w:rFonts w:ascii="Times New Roman" w:hAnsi="Times New Roman" w:cs="Times New Roman"/>
              </w:rPr>
            </w:pPr>
            <w:r w:rsidRPr="00B34BF6">
              <w:rPr>
                <w:rFonts w:ascii="Times New Roman" w:hAnsi="Times New Roman" w:cs="Times New Roman"/>
              </w:rPr>
              <w:t>(0.02)</w:t>
            </w:r>
          </w:p>
        </w:tc>
        <w:tc>
          <w:tcPr>
            <w:tcW w:w="1440" w:type="dxa"/>
          </w:tcPr>
          <w:p w:rsidR="009830D3" w:rsidRDefault="009830D3" w:rsidP="00060E27">
            <w:pPr>
              <w:jc w:val="center"/>
              <w:rPr>
                <w:rFonts w:ascii="Times New Roman" w:hAnsi="Times New Roman" w:cs="Times New Roman"/>
              </w:rPr>
            </w:pPr>
            <w:r w:rsidRPr="00723AB1">
              <w:rPr>
                <w:rFonts w:ascii="Times New Roman" w:hAnsi="Times New Roman" w:cs="Times New Roman"/>
              </w:rPr>
              <w:t>210.57</w:t>
            </w:r>
          </w:p>
          <w:p w:rsidR="009830D3" w:rsidRPr="00D0674B" w:rsidRDefault="009830D3" w:rsidP="00060E27">
            <w:pPr>
              <w:jc w:val="center"/>
              <w:rPr>
                <w:rFonts w:ascii="Times New Roman" w:hAnsi="Times New Roman" w:cs="Times New Roman"/>
              </w:rPr>
            </w:pPr>
            <w:r>
              <w:rPr>
                <w:rFonts w:ascii="Times New Roman" w:hAnsi="Times New Roman" w:cs="Times New Roman"/>
              </w:rPr>
              <w:t>(0.01)</w:t>
            </w:r>
          </w:p>
        </w:tc>
      </w:tr>
      <w:tr w:rsidR="009830D3" w:rsidRPr="00403889" w:rsidTr="009830D3">
        <w:trPr>
          <w:trHeight w:val="179"/>
        </w:trPr>
        <w:tc>
          <w:tcPr>
            <w:tcW w:w="1766" w:type="dxa"/>
          </w:tcPr>
          <w:p w:rsidR="009830D3" w:rsidRPr="00403889" w:rsidRDefault="009830D3" w:rsidP="00060E27">
            <w:pPr>
              <w:spacing w:line="276" w:lineRule="auto"/>
              <w:jc w:val="center"/>
              <w:rPr>
                <w:rFonts w:ascii="Times New Roman" w:hAnsi="Times New Roman" w:cs="Times New Roman"/>
                <w:sz w:val="24"/>
                <w:szCs w:val="24"/>
              </w:rPr>
            </w:pPr>
            <w:r w:rsidRPr="00403889">
              <w:rPr>
                <w:rFonts w:ascii="Times New Roman" w:hAnsi="Times New Roman" w:cs="Times New Roman"/>
                <w:sz w:val="24"/>
                <w:szCs w:val="24"/>
              </w:rPr>
              <w:lastRenderedPageBreak/>
              <w:t>Total</w:t>
            </w:r>
          </w:p>
        </w:tc>
        <w:tc>
          <w:tcPr>
            <w:tcW w:w="1446"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1,891,071.26</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2,623,215.61</w:t>
            </w:r>
          </w:p>
        </w:tc>
        <w:tc>
          <w:tcPr>
            <w:tcW w:w="153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2,916,963.33</w:t>
            </w:r>
          </w:p>
        </w:tc>
        <w:tc>
          <w:tcPr>
            <w:tcW w:w="1440" w:type="dxa"/>
          </w:tcPr>
          <w:p w:rsidR="009830D3" w:rsidRPr="00D0674B" w:rsidRDefault="009830D3" w:rsidP="00060E27">
            <w:pPr>
              <w:spacing w:line="276" w:lineRule="auto"/>
              <w:rPr>
                <w:rFonts w:ascii="Times New Roman" w:hAnsi="Times New Roman" w:cs="Times New Roman"/>
                <w:szCs w:val="24"/>
              </w:rPr>
            </w:pPr>
            <w:r w:rsidRPr="00D0674B">
              <w:rPr>
                <w:rFonts w:ascii="Times New Roman" w:hAnsi="Times New Roman" w:cs="Times New Roman"/>
                <w:szCs w:val="24"/>
              </w:rPr>
              <w:t>2,888,885.01</w:t>
            </w:r>
          </w:p>
        </w:tc>
        <w:tc>
          <w:tcPr>
            <w:tcW w:w="1440" w:type="dxa"/>
          </w:tcPr>
          <w:p w:rsidR="009830D3" w:rsidRPr="00B34BF6" w:rsidRDefault="009830D3" w:rsidP="00060E27">
            <w:pPr>
              <w:rPr>
                <w:rFonts w:ascii="Times New Roman" w:hAnsi="Times New Roman" w:cs="Times New Roman"/>
                <w:szCs w:val="24"/>
              </w:rPr>
            </w:pPr>
            <w:r w:rsidRPr="00B34BF6">
              <w:rPr>
                <w:rFonts w:ascii="Times New Roman" w:hAnsi="Times New Roman" w:cs="Times New Roman"/>
                <w:szCs w:val="24"/>
              </w:rPr>
              <w:t>3,098,666.69</w:t>
            </w:r>
          </w:p>
        </w:tc>
        <w:tc>
          <w:tcPr>
            <w:tcW w:w="1440" w:type="dxa"/>
          </w:tcPr>
          <w:p w:rsidR="009830D3" w:rsidRPr="00D0674B" w:rsidRDefault="009830D3" w:rsidP="00060E27">
            <w:pPr>
              <w:rPr>
                <w:rFonts w:ascii="Times New Roman" w:hAnsi="Times New Roman" w:cs="Times New Roman"/>
                <w:szCs w:val="24"/>
              </w:rPr>
            </w:pPr>
            <w:r w:rsidRPr="00A22BFB">
              <w:rPr>
                <w:rFonts w:ascii="Times New Roman" w:hAnsi="Times New Roman" w:cs="Times New Roman"/>
                <w:szCs w:val="24"/>
              </w:rPr>
              <w:t>17,15,587.68</w:t>
            </w:r>
          </w:p>
        </w:tc>
      </w:tr>
    </w:tbl>
    <w:p w:rsidR="009830D3" w:rsidRPr="00C75B5A" w:rsidRDefault="009830D3" w:rsidP="009830D3">
      <w:pPr>
        <w:spacing w:after="0" w:line="240" w:lineRule="auto"/>
        <w:jc w:val="center"/>
        <w:rPr>
          <w:rFonts w:ascii="Times New Roman" w:hAnsi="Times New Roman" w:cs="Times New Roman"/>
          <w:sz w:val="24"/>
          <w:szCs w:val="24"/>
        </w:rPr>
      </w:pPr>
      <w:r w:rsidRPr="00F414F9">
        <w:rPr>
          <w:rFonts w:ascii="Times New Roman" w:hAnsi="Times New Roman" w:cs="Times New Roman"/>
          <w:sz w:val="24"/>
          <w:szCs w:val="24"/>
        </w:rPr>
        <w:t xml:space="preserve">Source: </w:t>
      </w:r>
      <w:r>
        <w:rPr>
          <w:rFonts w:ascii="Times New Roman" w:hAnsi="Times New Roman" w:cs="Times New Roman"/>
          <w:sz w:val="24"/>
        </w:rPr>
        <w:t>FDI</w:t>
      </w:r>
      <w:r w:rsidRPr="00414CE3">
        <w:rPr>
          <w:rFonts w:ascii="Times New Roman" w:hAnsi="Times New Roman" w:cs="Times New Roman"/>
          <w:sz w:val="24"/>
        </w:rPr>
        <w:t xml:space="preserve"> Newsletter (2020</w:t>
      </w:r>
      <w:r>
        <w:rPr>
          <w:rFonts w:ascii="Times New Roman" w:hAnsi="Times New Roman" w:cs="Times New Roman"/>
          <w:sz w:val="24"/>
        </w:rPr>
        <w:t xml:space="preserve">), DIPP, GOI; Amount </w:t>
      </w:r>
      <w:r w:rsidRPr="00C75B5A">
        <w:rPr>
          <w:rFonts w:ascii="Times New Roman" w:hAnsi="Times New Roman" w:cs="Times New Roman"/>
          <w:bCs/>
        </w:rPr>
        <w:t>in Rs. Million</w:t>
      </w:r>
    </w:p>
    <w:p w:rsidR="009830D3" w:rsidRPr="00B63BD1" w:rsidRDefault="009830D3" w:rsidP="00836775">
      <w:pPr>
        <w:spacing w:after="0" w:line="240" w:lineRule="auto"/>
        <w:jc w:val="both"/>
        <w:rPr>
          <w:rFonts w:ascii="Times New Roman" w:hAnsi="Times New Roman" w:cs="Times New Roman"/>
          <w:szCs w:val="22"/>
        </w:rPr>
      </w:pPr>
      <w:r w:rsidRPr="00B63BD1">
        <w:rPr>
          <w:rFonts w:ascii="Times New Roman" w:hAnsi="Times New Roman" w:cs="Times New Roman"/>
          <w:szCs w:val="22"/>
        </w:rPr>
        <w:t xml:space="preserve">NOTE: </w:t>
      </w:r>
      <w:r w:rsidRPr="00B34D3C">
        <w:rPr>
          <w:rFonts w:ascii="Times New Roman" w:hAnsi="Times New Roman" w:cs="Times New Roman"/>
          <w:sz w:val="24"/>
          <w:szCs w:val="24"/>
          <w:vertAlign w:val="superscript"/>
        </w:rPr>
        <w:t>1</w:t>
      </w:r>
      <w:r w:rsidRPr="00B63BD1">
        <w:rPr>
          <w:rFonts w:ascii="Times New Roman" w:hAnsi="Times New Roman" w:cs="Times New Roman"/>
          <w:szCs w:val="22"/>
        </w:rPr>
        <w:t xml:space="preserve">also includes Dadra &amp; Nagar Haveli, Daman &amp; Diu; </w:t>
      </w:r>
      <w:r w:rsidRPr="00B34D3C">
        <w:rPr>
          <w:rFonts w:ascii="Times New Roman" w:hAnsi="Times New Roman" w:cs="Times New Roman"/>
          <w:sz w:val="24"/>
          <w:szCs w:val="24"/>
          <w:vertAlign w:val="superscript"/>
        </w:rPr>
        <w:t>2</w:t>
      </w:r>
      <w:r w:rsidRPr="00B63BD1">
        <w:rPr>
          <w:rFonts w:ascii="Times New Roman" w:hAnsi="Times New Roman" w:cs="Times New Roman"/>
          <w:szCs w:val="22"/>
        </w:rPr>
        <w:t xml:space="preserve">and part of UP and Haryana; </w:t>
      </w:r>
      <w:r w:rsidRPr="00B34D3C">
        <w:rPr>
          <w:rFonts w:ascii="Times New Roman" w:hAnsi="Times New Roman" w:cs="Times New Roman"/>
          <w:sz w:val="24"/>
          <w:szCs w:val="24"/>
          <w:vertAlign w:val="superscript"/>
        </w:rPr>
        <w:t>3</w:t>
      </w:r>
      <w:r w:rsidRPr="00B63BD1">
        <w:rPr>
          <w:rFonts w:ascii="Times New Roman" w:hAnsi="Times New Roman" w:cs="Times New Roman"/>
          <w:szCs w:val="22"/>
        </w:rPr>
        <w:t>and Pondicherry; * Excluding Sikkim; Figures in the parentheses indicate percentage share of FDI inflows</w:t>
      </w:r>
    </w:p>
    <w:p w:rsidR="00A40AEB" w:rsidRDefault="00A40AEB" w:rsidP="00A40AEB">
      <w:pPr>
        <w:spacing w:line="240" w:lineRule="auto"/>
        <w:jc w:val="both"/>
        <w:rPr>
          <w:rFonts w:ascii="Times New Roman" w:hAnsi="Times New Roman" w:cs="Times New Roman"/>
          <w:b/>
          <w:bCs/>
          <w:sz w:val="28"/>
          <w:szCs w:val="28"/>
        </w:rPr>
      </w:pPr>
    </w:p>
    <w:p w:rsidR="00A40AEB" w:rsidRDefault="00A40AEB" w:rsidP="00A40AE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Moreover, NEI failed to attract significant amount of FDI also under AEP (</w:t>
      </w:r>
      <w:r w:rsidRPr="00332D58">
        <w:rPr>
          <w:rFonts w:ascii="Times New Roman" w:hAnsi="Times New Roman" w:cs="Times New Roman"/>
          <w:sz w:val="24"/>
          <w:szCs w:val="24"/>
        </w:rPr>
        <w:t xml:space="preserve">table </w:t>
      </w:r>
      <w:r>
        <w:rPr>
          <w:rFonts w:ascii="Times New Roman" w:hAnsi="Times New Roman" w:cs="Times New Roman"/>
          <w:sz w:val="24"/>
          <w:szCs w:val="24"/>
        </w:rPr>
        <w:t xml:space="preserve">6). The percentage share of FDI in NEI remained stagnant during AEP similar to LEP. But FDI inflow in NEI increased under AEP in absolute terms. While the cumulative amount of FDI inflow in NEI was Rs. </w:t>
      </w:r>
      <w:r w:rsidRPr="00DA72FE">
        <w:rPr>
          <w:rFonts w:ascii="Times New Roman" w:hAnsi="Times New Roman" w:cs="Times New Roman"/>
          <w:sz w:val="24"/>
          <w:szCs w:val="24"/>
        </w:rPr>
        <w:t>3484.21</w:t>
      </w:r>
      <w:r>
        <w:rPr>
          <w:rFonts w:ascii="Times New Roman" w:hAnsi="Times New Roman" w:cs="Times New Roman"/>
          <w:sz w:val="24"/>
          <w:szCs w:val="24"/>
        </w:rPr>
        <w:t xml:space="preserve"> million during 2000 to 2013 (13 years), but during 2014-15 to 2022-23 (9 years) the amount was Rs.3527.77 million. </w:t>
      </w:r>
      <w:r w:rsidRPr="00E306CC">
        <w:rPr>
          <w:rFonts w:ascii="Times New Roman" w:hAnsi="Times New Roman" w:cs="Times New Roman"/>
          <w:sz w:val="24"/>
          <w:szCs w:val="24"/>
        </w:rPr>
        <w:t xml:space="preserve">Moreover, from October, 2019 to December, 2022 the total FDI inflow in NEI was to the tune of Rs. 205.31 crores which again a negligible amount in comparison to other regions in India </w:t>
      </w:r>
      <w:r w:rsidRPr="005E5DC5">
        <w:rPr>
          <w:rFonts w:ascii="Times New Roman" w:hAnsi="Times New Roman" w:cs="Times New Roman"/>
          <w:sz w:val="24"/>
          <w:szCs w:val="24"/>
        </w:rPr>
        <w:t>(</w:t>
      </w:r>
      <w:r w:rsidRPr="00ED2B35">
        <w:rPr>
          <w:rFonts w:ascii="Times New Roman" w:hAnsi="Times New Roman" w:cs="Times New Roman"/>
          <w:sz w:val="24"/>
          <w:szCs w:val="24"/>
        </w:rPr>
        <w:t>FDI, Newsletter, 2022</w:t>
      </w:r>
      <w:r w:rsidRPr="00E306CC">
        <w:rPr>
          <w:rFonts w:ascii="Times New Roman" w:hAnsi="Times New Roman" w:cs="Times New Roman"/>
          <w:sz w:val="24"/>
          <w:szCs w:val="24"/>
        </w:rPr>
        <w:t>).</w:t>
      </w:r>
      <w:r>
        <w:rPr>
          <w:rFonts w:ascii="Times New Roman" w:hAnsi="Times New Roman" w:cs="Times New Roman"/>
          <w:sz w:val="24"/>
          <w:szCs w:val="24"/>
        </w:rPr>
        <w:t xml:space="preserve"> NEI did not witness significant improvement in economic growth, trade and investment inflows under AEP since 2014 despite marked improvement in infrastructure and connectivity constructions</w:t>
      </w:r>
      <w:r w:rsidR="00427191">
        <w:rPr>
          <w:rFonts w:ascii="Times New Roman" w:hAnsi="Times New Roman" w:cs="Times New Roman"/>
          <w:sz w:val="24"/>
          <w:szCs w:val="24"/>
        </w:rPr>
        <w:t xml:space="preserve"> in the region compared to LEP. </w:t>
      </w:r>
    </w:p>
    <w:p w:rsidR="00C4567B" w:rsidRDefault="00C4567B" w:rsidP="00A40AEB">
      <w:pPr>
        <w:spacing w:line="240" w:lineRule="auto"/>
        <w:ind w:firstLine="720"/>
        <w:jc w:val="both"/>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3F4BA0" w:rsidRDefault="003F4BA0" w:rsidP="008C2359">
      <w:pPr>
        <w:spacing w:after="0" w:line="360" w:lineRule="auto"/>
        <w:rPr>
          <w:rFonts w:ascii="Times New Roman" w:hAnsi="Times New Roman" w:cs="Times New Roman"/>
          <w:sz w:val="24"/>
          <w:szCs w:val="24"/>
        </w:rPr>
      </w:pPr>
    </w:p>
    <w:p w:rsidR="0081023A" w:rsidRDefault="002A42AD" w:rsidP="008C23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5. </w:t>
      </w:r>
      <w:r w:rsidR="0081023A">
        <w:rPr>
          <w:rFonts w:ascii="Times New Roman" w:hAnsi="Times New Roman" w:cs="Times New Roman"/>
          <w:b/>
          <w:bCs/>
          <w:sz w:val="24"/>
          <w:szCs w:val="24"/>
        </w:rPr>
        <w:t>Conclusion</w:t>
      </w:r>
    </w:p>
    <w:p w:rsidR="005C76B9" w:rsidRDefault="003F4BA0" w:rsidP="006B6A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EF735F">
        <w:rPr>
          <w:rFonts w:ascii="Times New Roman" w:hAnsi="Times New Roman" w:cs="Times New Roman"/>
          <w:sz w:val="24"/>
          <w:szCs w:val="24"/>
        </w:rPr>
        <w:t xml:space="preserve">The paper discussed the transition from LEP to AEP in 2014 with emphasis on connectivity and infrastructure development in NEI which remained </w:t>
      </w:r>
      <w:proofErr w:type="spellStart"/>
      <w:r w:rsidR="00EF735F">
        <w:rPr>
          <w:rFonts w:ascii="Times New Roman" w:hAnsi="Times New Roman" w:cs="Times New Roman"/>
          <w:sz w:val="24"/>
          <w:szCs w:val="24"/>
        </w:rPr>
        <w:t>neglected</w:t>
      </w:r>
      <w:r w:rsidR="00465B13">
        <w:rPr>
          <w:rFonts w:ascii="Times New Roman" w:hAnsi="Times New Roman" w:cs="Times New Roman"/>
          <w:sz w:val="24"/>
          <w:szCs w:val="24"/>
        </w:rPr>
        <w:t>since</w:t>
      </w:r>
      <w:proofErr w:type="spellEnd"/>
      <w:r w:rsidR="00465B13">
        <w:rPr>
          <w:rFonts w:ascii="Times New Roman" w:hAnsi="Times New Roman" w:cs="Times New Roman"/>
          <w:sz w:val="24"/>
          <w:szCs w:val="24"/>
        </w:rPr>
        <w:t xml:space="preserve"> decades. The economic backwardness of NEI since liberalization and under LEP is primarily due to poor connectivity and infrastructure bottlenecks which inhibit investment inflow and trade expansion. </w:t>
      </w:r>
      <w:r w:rsidR="005A751E">
        <w:rPr>
          <w:rFonts w:ascii="Times New Roman" w:hAnsi="Times New Roman" w:cs="Times New Roman"/>
          <w:sz w:val="24"/>
          <w:szCs w:val="24"/>
        </w:rPr>
        <w:t xml:space="preserve">The paper investigated the performance of NEI states in respect of economic growth, trade and investment inflows and found that NEI performed poorly in basic economic parameters. </w:t>
      </w:r>
      <w:r w:rsidR="005C76B9">
        <w:rPr>
          <w:rFonts w:ascii="Times New Roman" w:hAnsi="Times New Roman" w:cs="Times New Roman"/>
          <w:sz w:val="24"/>
          <w:szCs w:val="24"/>
        </w:rPr>
        <w:t>The neglect of NEI in the framework of LEP was held responsible for the poor performance.</w:t>
      </w:r>
    </w:p>
    <w:p w:rsidR="00DE3C4A" w:rsidRDefault="005C76B9" w:rsidP="00DE3C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shift from LEP to AEP is remarkable for NEI as the region</w:t>
      </w:r>
      <w:r w:rsidR="003C57B7">
        <w:rPr>
          <w:rFonts w:ascii="Times New Roman" w:hAnsi="Times New Roman" w:cs="Times New Roman"/>
          <w:sz w:val="24"/>
          <w:szCs w:val="24"/>
        </w:rPr>
        <w:t xml:space="preserve"> has</w:t>
      </w:r>
      <w:r>
        <w:rPr>
          <w:rFonts w:ascii="Times New Roman" w:hAnsi="Times New Roman" w:cs="Times New Roman"/>
          <w:sz w:val="24"/>
          <w:szCs w:val="24"/>
        </w:rPr>
        <w:t xml:space="preserve"> received much attention in connectivity and infrastructure </w:t>
      </w:r>
      <w:r w:rsidR="00C877B2">
        <w:rPr>
          <w:rFonts w:ascii="Times New Roman" w:hAnsi="Times New Roman" w:cs="Times New Roman"/>
          <w:sz w:val="24"/>
          <w:szCs w:val="24"/>
        </w:rPr>
        <w:t xml:space="preserve">development since last decade. The allocations for connectivity constructions NEI also increased manifold under AEP. </w:t>
      </w:r>
      <w:r w:rsidR="00E0443D">
        <w:rPr>
          <w:rFonts w:ascii="Times New Roman" w:hAnsi="Times New Roman" w:cs="Times New Roman"/>
          <w:sz w:val="24"/>
          <w:szCs w:val="24"/>
        </w:rPr>
        <w:t xml:space="preserve">The paper found NEI states did not witness significant improvement in economic growth, trade and investment under AEP since last decade. In fact, average annual growth rate of NSDP (except Assam) and per-capita NSDP (except Assam and Mizoram) of NEI states decelerated under AEP compared to LEP. </w:t>
      </w:r>
      <w:r w:rsidR="006B4BEE">
        <w:rPr>
          <w:rFonts w:ascii="Times New Roman" w:hAnsi="Times New Roman" w:cs="Times New Roman"/>
          <w:sz w:val="24"/>
          <w:szCs w:val="24"/>
        </w:rPr>
        <w:t>The c</w:t>
      </w:r>
      <w:r w:rsidR="004C0C9E">
        <w:rPr>
          <w:rFonts w:ascii="Times New Roman" w:hAnsi="Times New Roman" w:cs="Times New Roman"/>
          <w:sz w:val="24"/>
          <w:szCs w:val="24"/>
        </w:rPr>
        <w:t xml:space="preserve">omparison of LEP and AEP </w:t>
      </w:r>
      <w:r w:rsidR="006B4BEE">
        <w:rPr>
          <w:rFonts w:ascii="Times New Roman" w:hAnsi="Times New Roman" w:cs="Times New Roman"/>
          <w:sz w:val="24"/>
          <w:szCs w:val="24"/>
        </w:rPr>
        <w:t>shows that AEP failed to make significant contribution in accelerating economic growth, trade expansion and investment inflows (FDI)</w:t>
      </w:r>
      <w:r w:rsidR="004C0C9E">
        <w:rPr>
          <w:rFonts w:ascii="Times New Roman" w:hAnsi="Times New Roman" w:cs="Times New Roman"/>
          <w:sz w:val="24"/>
          <w:szCs w:val="24"/>
        </w:rPr>
        <w:t xml:space="preserve"> in NEI despite renewed thrust on connectivity development. </w:t>
      </w:r>
      <w:proofErr w:type="gramStart"/>
      <w:r w:rsidR="00E0443D">
        <w:rPr>
          <w:rFonts w:ascii="Times New Roman" w:hAnsi="Times New Roman" w:cs="Times New Roman"/>
          <w:sz w:val="24"/>
          <w:szCs w:val="24"/>
        </w:rPr>
        <w:t>This findings</w:t>
      </w:r>
      <w:proofErr w:type="gramEnd"/>
      <w:r w:rsidR="00E0443D">
        <w:rPr>
          <w:rFonts w:ascii="Times New Roman" w:hAnsi="Times New Roman" w:cs="Times New Roman"/>
          <w:sz w:val="24"/>
          <w:szCs w:val="24"/>
        </w:rPr>
        <w:t xml:space="preserve"> question the ‘trade based’ development model in NEI despite much emphasis on connectivity development under AEP. </w:t>
      </w:r>
      <w:r w:rsidR="00642973" w:rsidRPr="00C32FD6">
        <w:rPr>
          <w:rFonts w:ascii="Times New Roman" w:hAnsi="Times New Roman" w:cs="Times New Roman"/>
          <w:sz w:val="24"/>
          <w:szCs w:val="24"/>
          <w:highlight w:val="yellow"/>
        </w:rPr>
        <w:t>A host of measures like peace, good governance, absence of transaction cost, community participation and so on should be undertaken in NEI states apart from connectivity only to improve the performance in trade, tourism, investment and economic growth.</w:t>
      </w:r>
      <w:r w:rsidR="00642973">
        <w:rPr>
          <w:rFonts w:ascii="Times New Roman" w:hAnsi="Times New Roman" w:cs="Times New Roman"/>
          <w:sz w:val="24"/>
          <w:szCs w:val="24"/>
        </w:rPr>
        <w:t xml:space="preserve"> </w:t>
      </w:r>
      <w:r w:rsidR="00974D21">
        <w:rPr>
          <w:rFonts w:ascii="Times New Roman" w:hAnsi="Times New Roman" w:cs="Times New Roman"/>
          <w:sz w:val="24"/>
          <w:szCs w:val="24"/>
        </w:rPr>
        <w:t xml:space="preserve">The future work in this area may be directed to finding the causes of failures of AEP in NEI states given marked improvement in </w:t>
      </w:r>
      <w:r w:rsidR="000A1226">
        <w:rPr>
          <w:rFonts w:ascii="Times New Roman" w:hAnsi="Times New Roman" w:cs="Times New Roman"/>
          <w:sz w:val="24"/>
          <w:szCs w:val="24"/>
        </w:rPr>
        <w:t xml:space="preserve">connectivity and infrastructure. </w:t>
      </w:r>
    </w:p>
    <w:p w:rsidR="00082EC4" w:rsidRDefault="00082EC4" w:rsidP="00DE3C4A">
      <w:pPr>
        <w:spacing w:line="240" w:lineRule="auto"/>
        <w:ind w:firstLine="720"/>
        <w:jc w:val="both"/>
        <w:rPr>
          <w:rFonts w:ascii="Times New Roman" w:hAnsi="Times New Roman" w:cs="Times New Roman"/>
          <w:sz w:val="24"/>
          <w:szCs w:val="24"/>
        </w:rPr>
      </w:pPr>
    </w:p>
    <w:p w:rsidR="00E1563D"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lastRenderedPageBreak/>
        <w:t>Disclaimer</w:t>
      </w:r>
    </w:p>
    <w:p w:rsidR="00757204" w:rsidRPr="00E1563D" w:rsidRDefault="00E1563D" w:rsidP="00E1563D">
      <w:pPr>
        <w:spacing w:line="240" w:lineRule="auto"/>
        <w:jc w:val="both"/>
        <w:rPr>
          <w:rFonts w:ascii="Times New Roman" w:hAnsi="Times New Roman" w:cs="Times New Roman"/>
          <w:b/>
          <w:bCs/>
          <w:sz w:val="24"/>
          <w:szCs w:val="24"/>
        </w:rPr>
      </w:pPr>
      <w:r w:rsidRPr="00E1563D">
        <w:rPr>
          <w:rFonts w:ascii="Times New Roman" w:hAnsi="Times New Roman" w:cs="Times New Roman"/>
          <w:b/>
          <w:bCs/>
          <w:sz w:val="24"/>
          <w:szCs w:val="24"/>
        </w:rPr>
        <w:t>Artificial Intelligence</w:t>
      </w:r>
    </w:p>
    <w:p w:rsidR="00757204" w:rsidRPr="00757204" w:rsidRDefault="00757204" w:rsidP="0075720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hereby </w:t>
      </w:r>
      <w:r w:rsidRPr="00757204">
        <w:rPr>
          <w:rFonts w:ascii="Times New Roman" w:hAnsi="Times New Roman" w:cs="Times New Roman"/>
          <w:sz w:val="24"/>
          <w:szCs w:val="24"/>
        </w:rPr>
        <w:t>declare</w:t>
      </w:r>
      <w:r>
        <w:rPr>
          <w:rFonts w:ascii="Times New Roman" w:hAnsi="Times New Roman" w:cs="Times New Roman"/>
          <w:sz w:val="24"/>
          <w:szCs w:val="24"/>
        </w:rPr>
        <w:t>d that no</w:t>
      </w:r>
      <w:r w:rsidRPr="00757204">
        <w:rPr>
          <w:rFonts w:ascii="Times New Roman" w:hAnsi="Times New Roman" w:cs="Times New Roman"/>
          <w:sz w:val="24"/>
          <w:szCs w:val="24"/>
        </w:rPr>
        <w:t xml:space="preserve"> generative AI technologies such as Large Language Models (</w:t>
      </w:r>
      <w:proofErr w:type="spellStart"/>
      <w:r w:rsidRPr="00757204">
        <w:rPr>
          <w:rFonts w:ascii="Times New Roman" w:hAnsi="Times New Roman" w:cs="Times New Roman"/>
          <w:sz w:val="24"/>
          <w:szCs w:val="24"/>
        </w:rPr>
        <w:t>ChatGPT</w:t>
      </w:r>
      <w:proofErr w:type="spellEnd"/>
      <w:r w:rsidRPr="00757204">
        <w:rPr>
          <w:rFonts w:ascii="Times New Roman" w:hAnsi="Times New Roman" w:cs="Times New Roman"/>
          <w:sz w:val="24"/>
          <w:szCs w:val="24"/>
        </w:rPr>
        <w:t xml:space="preserve">, COPILOT, </w:t>
      </w:r>
      <w:proofErr w:type="spellStart"/>
      <w:r w:rsidRPr="00757204">
        <w:rPr>
          <w:rFonts w:ascii="Times New Roman" w:hAnsi="Times New Roman" w:cs="Times New Roman"/>
          <w:sz w:val="24"/>
          <w:szCs w:val="24"/>
        </w:rPr>
        <w:t>etc</w:t>
      </w:r>
      <w:proofErr w:type="spellEnd"/>
      <w:r w:rsidRPr="00757204">
        <w:rPr>
          <w:rFonts w:ascii="Times New Roman" w:hAnsi="Times New Roman" w:cs="Times New Roman"/>
          <w:sz w:val="24"/>
          <w:szCs w:val="24"/>
        </w:rPr>
        <w:t>) and text-to-image generators have been used during writin</w:t>
      </w:r>
      <w:r w:rsidR="00E1563D">
        <w:rPr>
          <w:rFonts w:ascii="Times New Roman" w:hAnsi="Times New Roman" w:cs="Times New Roman"/>
          <w:sz w:val="24"/>
          <w:szCs w:val="24"/>
        </w:rPr>
        <w:t>g or editing of this manuscript</w:t>
      </w: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Open Sans" w:hAnsi="Open Sans"/>
          <w:iCs/>
          <w:color w:val="333333"/>
          <w:sz w:val="23"/>
          <w:szCs w:val="23"/>
          <w:shd w:val="clear" w:color="auto" w:fill="FFFFFF"/>
        </w:rPr>
      </w:pPr>
    </w:p>
    <w:p w:rsidR="00082EC4" w:rsidRDefault="00082EC4" w:rsidP="00DE3C4A">
      <w:pPr>
        <w:spacing w:after="0"/>
        <w:jc w:val="both"/>
        <w:rPr>
          <w:rFonts w:ascii="Times New Roman" w:hAnsi="Times New Roman" w:cs="Times New Roman"/>
          <w:sz w:val="24"/>
        </w:rPr>
      </w:pPr>
    </w:p>
    <w:p w:rsidR="00DE3C4A" w:rsidRDefault="00DE3C4A" w:rsidP="00974D21">
      <w:pPr>
        <w:spacing w:line="240" w:lineRule="auto"/>
        <w:ind w:firstLine="720"/>
        <w:jc w:val="both"/>
        <w:rPr>
          <w:rFonts w:ascii="Times New Roman" w:hAnsi="Times New Roman" w:cs="Times New Roman"/>
          <w:sz w:val="24"/>
          <w:szCs w:val="24"/>
        </w:rPr>
      </w:pPr>
    </w:p>
    <w:p w:rsidR="001C50F0" w:rsidRDefault="001C50F0" w:rsidP="00DE3C4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rsidR="00171F52" w:rsidRPr="00DE3C4A" w:rsidRDefault="00171F52" w:rsidP="00DE3C4A">
      <w:pPr>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Alokesh</w:t>
      </w:r>
      <w:proofErr w:type="spellEnd"/>
      <w:r>
        <w:rPr>
          <w:rFonts w:ascii="Times New Roman" w:hAnsi="Times New Roman" w:cs="Times New Roman"/>
          <w:sz w:val="24"/>
          <w:szCs w:val="24"/>
        </w:rPr>
        <w:t xml:space="preserve">., &amp; Das, Santosh. (2008). Perspectives on Growth and Development in the Northeast: The Look East Policy and Beyond, </w:t>
      </w:r>
      <w:r w:rsidRPr="00416102">
        <w:rPr>
          <w:rFonts w:ascii="Times New Roman" w:hAnsi="Times New Roman" w:cs="Times New Roman"/>
          <w:bCs/>
          <w:i/>
          <w:sz w:val="24"/>
          <w:szCs w:val="24"/>
        </w:rPr>
        <w:t xml:space="preserve">Margin - The Journal of Applied Economic Research </w:t>
      </w:r>
      <w:r>
        <w:rPr>
          <w:rFonts w:ascii="Times New Roman" w:hAnsi="Times New Roman" w:cs="Times New Roman"/>
          <w:bCs/>
          <w:sz w:val="24"/>
          <w:szCs w:val="24"/>
        </w:rPr>
        <w:t>2: 4: 327–350.</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Taz</w:t>
      </w:r>
      <w:proofErr w:type="spellEnd"/>
      <w:r>
        <w:rPr>
          <w:rFonts w:ascii="Times New Roman" w:hAnsi="Times New Roman" w:cs="Times New Roman"/>
          <w:sz w:val="24"/>
          <w:szCs w:val="24"/>
        </w:rPr>
        <w:t xml:space="preserve">. (2020). The Look East Policy/Act East Policy-driven Development Model in Northeast India, </w:t>
      </w:r>
      <w:r w:rsidRPr="00917020">
        <w:rPr>
          <w:rFonts w:ascii="Times New Roman" w:hAnsi="Times New Roman" w:cs="Times New Roman"/>
          <w:i/>
          <w:sz w:val="24"/>
          <w:szCs w:val="24"/>
        </w:rPr>
        <w:t>Jadavpur Journal of International Relations</w:t>
      </w:r>
      <w:r w:rsidRPr="006A1463">
        <w:rPr>
          <w:rFonts w:ascii="Times New Roman" w:hAnsi="Times New Roman" w:cs="Times New Roman"/>
          <w:iCs/>
          <w:sz w:val="24"/>
          <w:szCs w:val="24"/>
        </w:rPr>
        <w:t>,</w:t>
      </w:r>
      <w:r>
        <w:rPr>
          <w:rFonts w:ascii="Times New Roman" w:hAnsi="Times New Roman" w:cs="Times New Roman"/>
          <w:sz w:val="24"/>
          <w:szCs w:val="24"/>
        </w:rPr>
        <w:t xml:space="preserve"> 1-20 </w:t>
      </w:r>
    </w:p>
    <w:p w:rsidR="00082EC4" w:rsidRDefault="00082EC4"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(2004). </w:t>
      </w:r>
      <w:r w:rsidRPr="0095362E">
        <w:rPr>
          <w:rFonts w:ascii="Times New Roman" w:eastAsia="Times New Roman" w:hAnsi="Times New Roman" w:cs="Times New Roman"/>
          <w:iCs/>
          <w:sz w:val="24"/>
          <w:szCs w:val="24"/>
        </w:rPr>
        <w:t>Between South and Southeast Asia: Northeast India and the Look East Policy</w:t>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CENISEAS Papers 4, OKDISCD, Guwahati</w:t>
      </w:r>
    </w:p>
    <w:p w:rsidR="00765EF7"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
    <w:p w:rsid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Baruah, Sanjib. (2007). </w:t>
      </w:r>
      <w:r>
        <w:rPr>
          <w:rFonts w:ascii="Times New Roman" w:eastAsia="Times New Roman" w:hAnsi="Times New Roman" w:cs="Times New Roman"/>
          <w:sz w:val="24"/>
          <w:szCs w:val="24"/>
        </w:rPr>
        <w:t xml:space="preserve">Beyond Durable Disorder: Northeast India and the Look East Policy. In Sanjib Baruah’s </w:t>
      </w:r>
      <w:r w:rsidRPr="007D346F">
        <w:rPr>
          <w:rFonts w:ascii="Times New Roman" w:eastAsia="Times New Roman" w:hAnsi="Times New Roman" w:cs="Times New Roman"/>
          <w:iCs/>
          <w:sz w:val="24"/>
          <w:szCs w:val="24"/>
        </w:rPr>
        <w:t>Durable Disorder: Understanding the Politics of Northeast India</w:t>
      </w:r>
      <w:r>
        <w:rPr>
          <w:rFonts w:ascii="Times New Roman" w:eastAsia="Times New Roman" w:hAnsi="Times New Roman" w:cs="Times New Roman"/>
          <w:sz w:val="24"/>
          <w:szCs w:val="24"/>
        </w:rPr>
        <w:t>, Oxford University Press, New Delhi</w:t>
      </w:r>
    </w:p>
    <w:p w:rsidR="00765EF7" w:rsidRPr="00287E41" w:rsidRDefault="00765EF7" w:rsidP="00765EF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71B8C">
        <w:rPr>
          <w:rFonts w:ascii="Times New Roman" w:hAnsi="Times New Roman" w:cs="Times New Roman"/>
          <w:sz w:val="24"/>
          <w:szCs w:val="24"/>
        </w:rPr>
        <w:t>Ba</w:t>
      </w:r>
      <w:r>
        <w:rPr>
          <w:rFonts w:ascii="Times New Roman" w:hAnsi="Times New Roman" w:cs="Times New Roman"/>
          <w:sz w:val="24"/>
          <w:szCs w:val="24"/>
        </w:rPr>
        <w:t>su</w:t>
      </w:r>
      <w:proofErr w:type="spellEnd"/>
      <w:r>
        <w:rPr>
          <w:rFonts w:ascii="Times New Roman" w:hAnsi="Times New Roman" w:cs="Times New Roman"/>
          <w:sz w:val="24"/>
          <w:szCs w:val="24"/>
        </w:rPr>
        <w:t xml:space="preserve"> Das, S., &amp;</w:t>
      </w:r>
      <w:proofErr w:type="spellStart"/>
      <w:r>
        <w:rPr>
          <w:rFonts w:ascii="Times New Roman" w:hAnsi="Times New Roman" w:cs="Times New Roman"/>
          <w:sz w:val="24"/>
          <w:szCs w:val="24"/>
        </w:rPr>
        <w:t>Chattapadhyay</w:t>
      </w:r>
      <w:proofErr w:type="spellEnd"/>
      <w:r>
        <w:rPr>
          <w:rFonts w:ascii="Times New Roman" w:hAnsi="Times New Roman" w:cs="Times New Roman"/>
          <w:sz w:val="24"/>
          <w:szCs w:val="24"/>
        </w:rPr>
        <w:t>, S. (2022). Identifying C</w:t>
      </w:r>
      <w:r w:rsidRPr="00F71B8C">
        <w:rPr>
          <w:rFonts w:ascii="Times New Roman" w:hAnsi="Times New Roman" w:cs="Times New Roman"/>
          <w:sz w:val="24"/>
          <w:szCs w:val="24"/>
        </w:rPr>
        <w:t>hallenges</w:t>
      </w:r>
      <w:r>
        <w:rPr>
          <w:rFonts w:ascii="Times New Roman" w:hAnsi="Times New Roman" w:cs="Times New Roman"/>
          <w:sz w:val="24"/>
          <w:szCs w:val="24"/>
        </w:rPr>
        <w:t xml:space="preserve"> and Improving T</w:t>
      </w:r>
      <w:r w:rsidRPr="00F71B8C">
        <w:rPr>
          <w:rFonts w:ascii="Times New Roman" w:hAnsi="Times New Roman" w:cs="Times New Roman"/>
          <w:sz w:val="24"/>
          <w:szCs w:val="24"/>
        </w:rPr>
        <w:t>rade</w:t>
      </w:r>
      <w:r>
        <w:rPr>
          <w:rFonts w:ascii="Times New Roman" w:hAnsi="Times New Roman" w:cs="Times New Roman"/>
          <w:sz w:val="24"/>
          <w:szCs w:val="24"/>
        </w:rPr>
        <w:t xml:space="preserve"> Facilitation in the S</w:t>
      </w:r>
      <w:r w:rsidRPr="00F71B8C">
        <w:rPr>
          <w:rFonts w:ascii="Times New Roman" w:hAnsi="Times New Roman" w:cs="Times New Roman"/>
          <w:sz w:val="24"/>
          <w:szCs w:val="24"/>
        </w:rPr>
        <w:t>tates of Northeast India. South Asia Working Paper Series No. 95,</w:t>
      </w:r>
      <w:r>
        <w:rPr>
          <w:rFonts w:ascii="Times New Roman" w:hAnsi="Times New Roman" w:cs="Times New Roman"/>
          <w:sz w:val="24"/>
          <w:szCs w:val="24"/>
        </w:rPr>
        <w:t xml:space="preserve"> Asian Development Bank</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hd w:val="clear" w:color="auto" w:fill="FFFFFF"/>
        <w:spacing w:after="268" w:line="240" w:lineRule="auto"/>
        <w:jc w:val="both"/>
        <w:textAlignment w:val="baseline"/>
        <w:outlineLvl w:val="0"/>
        <w:rPr>
          <w:rFonts w:ascii="Times New Roman" w:eastAsia="Times New Roman" w:hAnsi="Times New Roman" w:cs="Times New Roman"/>
          <w:spacing w:val="17"/>
          <w:kern w:val="36"/>
          <w:sz w:val="24"/>
          <w:szCs w:val="24"/>
        </w:rPr>
      </w:pPr>
      <w:proofErr w:type="spellStart"/>
      <w:r>
        <w:rPr>
          <w:rFonts w:ascii="Times New Roman" w:hAnsi="Times New Roman" w:cs="Times New Roman"/>
          <w:sz w:val="24"/>
          <w:szCs w:val="24"/>
        </w:rPr>
        <w:t>Basu</w:t>
      </w:r>
      <w:proofErr w:type="spellEnd"/>
      <w:r>
        <w:rPr>
          <w:rFonts w:ascii="Times New Roman" w:hAnsi="Times New Roman" w:cs="Times New Roman"/>
          <w:sz w:val="24"/>
          <w:szCs w:val="24"/>
        </w:rPr>
        <w:t>, P &amp; Bhowmik, S. (</w:t>
      </w:r>
      <w:r w:rsidRPr="00DC1A26">
        <w:rPr>
          <w:rFonts w:ascii="Times New Roman" w:hAnsi="Times New Roman" w:cs="Times New Roman"/>
          <w:sz w:val="24"/>
          <w:szCs w:val="24"/>
        </w:rPr>
        <w:t>2021</w:t>
      </w:r>
      <w:r>
        <w:rPr>
          <w:rFonts w:ascii="Times New Roman" w:hAnsi="Times New Roman" w:cs="Times New Roman"/>
          <w:sz w:val="24"/>
          <w:szCs w:val="24"/>
        </w:rPr>
        <w:t xml:space="preserve">). </w:t>
      </w:r>
      <w:r w:rsidRPr="00DC1A26">
        <w:rPr>
          <w:rFonts w:ascii="Times New Roman" w:eastAsia="Times New Roman" w:hAnsi="Times New Roman" w:cs="Times New Roman"/>
          <w:spacing w:val="17"/>
          <w:kern w:val="36"/>
          <w:sz w:val="24"/>
          <w:szCs w:val="24"/>
        </w:rPr>
        <w:t>Re-envisioning N</w:t>
      </w:r>
      <w:r>
        <w:rPr>
          <w:rFonts w:ascii="Times New Roman" w:eastAsia="Times New Roman" w:hAnsi="Times New Roman" w:cs="Times New Roman"/>
          <w:spacing w:val="17"/>
          <w:kern w:val="36"/>
          <w:sz w:val="24"/>
          <w:szCs w:val="24"/>
        </w:rPr>
        <w:t>ortheast for India’s ‘Act East’</w:t>
      </w:r>
      <w:r w:rsidRPr="00DC1A26">
        <w:rPr>
          <w:rFonts w:ascii="Times New Roman" w:eastAsia="Times New Roman" w:hAnsi="Times New Roman" w:cs="Times New Roman"/>
          <w:spacing w:val="17"/>
          <w:kern w:val="36"/>
          <w:sz w:val="24"/>
          <w:szCs w:val="24"/>
        </w:rPr>
        <w:t xml:space="preserve">, ORF: </w:t>
      </w:r>
      <w:hyperlink r:id="rId13" w:history="1">
        <w:r w:rsidRPr="00DC1A26">
          <w:rPr>
            <w:rStyle w:val="Hyperlink"/>
            <w:rFonts w:ascii="Times New Roman" w:eastAsia="Times New Roman" w:hAnsi="Times New Roman" w:cs="Times New Roman"/>
            <w:spacing w:val="17"/>
            <w:kern w:val="36"/>
            <w:sz w:val="24"/>
            <w:szCs w:val="24"/>
          </w:rPr>
          <w:t>https://www.orfonline.org/</w:t>
        </w:r>
      </w:hyperlink>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Bhattacharjee, Rakhee. (2011). </w:t>
      </w:r>
      <w:r w:rsidRPr="00FC167C">
        <w:rPr>
          <w:rFonts w:ascii="Times New Roman" w:hAnsi="Times New Roman" w:cs="Times New Roman"/>
          <w:iCs/>
          <w:sz w:val="24"/>
          <w:szCs w:val="24"/>
        </w:rPr>
        <w:t>Development Disparities in Northeast India</w:t>
      </w:r>
      <w:r>
        <w:rPr>
          <w:rFonts w:ascii="Times New Roman" w:hAnsi="Times New Roman" w:cs="Times New Roman"/>
          <w:iCs/>
          <w:sz w:val="24"/>
          <w:szCs w:val="24"/>
        </w:rPr>
        <w:t xml:space="preserve">. </w:t>
      </w:r>
      <w:r>
        <w:rPr>
          <w:rFonts w:ascii="Times New Roman" w:hAnsi="Times New Roman" w:cs="Times New Roman"/>
          <w:sz w:val="24"/>
          <w:szCs w:val="24"/>
        </w:rPr>
        <w:t>Cambridge University Press, New Delhi</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Chakraborty, Gorky. (2017). Look East Policy and Northeast India: Space, Region and Existing reality.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CF46F8">
        <w:rPr>
          <w:rFonts w:ascii="Times New Roman" w:hAnsi="Times New Roman" w:cs="Times New Roman"/>
          <w:iCs/>
          <w:sz w:val="24"/>
          <w:szCs w:val="24"/>
        </w:rPr>
        <w:t>Look East to Act East Policy: Implications for India’s Northeast</w:t>
      </w:r>
      <w:r>
        <w:rPr>
          <w:rFonts w:ascii="Times New Roman" w:hAnsi="Times New Roman" w:cs="Times New Roman"/>
          <w:iCs/>
          <w:sz w:val="24"/>
          <w:szCs w:val="24"/>
        </w:rPr>
        <w:t xml:space="preserve">, </w:t>
      </w:r>
      <w:r>
        <w:rPr>
          <w:rFonts w:ascii="Times New Roman" w:hAnsi="Times New Roman" w:cs="Times New Roman"/>
          <w:sz w:val="24"/>
          <w:szCs w:val="24"/>
        </w:rPr>
        <w:t>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Das,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Paul, Ujjwal &amp; Mathur, </w:t>
      </w:r>
      <w:proofErr w:type="spellStart"/>
      <w:r>
        <w:rPr>
          <w:rFonts w:ascii="Times New Roman" w:hAnsi="Times New Roman" w:cs="Times New Roman"/>
          <w:sz w:val="24"/>
          <w:szCs w:val="24"/>
        </w:rPr>
        <w:t>Tanuj</w:t>
      </w:r>
      <w:proofErr w:type="spellEnd"/>
      <w:r>
        <w:rPr>
          <w:rFonts w:ascii="Times New Roman" w:hAnsi="Times New Roman" w:cs="Times New Roman"/>
          <w:sz w:val="24"/>
          <w:szCs w:val="24"/>
        </w:rPr>
        <w:t xml:space="preserve">. (2017). Making ‘Act East Policy’ to work for the Development of Northeastern Region of India. In </w:t>
      </w:r>
      <w:proofErr w:type="spellStart"/>
      <w:r>
        <w:rPr>
          <w:rFonts w:ascii="Times New Roman" w:hAnsi="Times New Roman" w:cs="Times New Roman"/>
          <w:sz w:val="24"/>
          <w:szCs w:val="24"/>
        </w:rPr>
        <w:t>Gurudas</w:t>
      </w:r>
      <w:proofErr w:type="spellEnd"/>
      <w:r>
        <w:rPr>
          <w:rFonts w:ascii="Times New Roman" w:hAnsi="Times New Roman" w:cs="Times New Roman"/>
          <w:sz w:val="24"/>
          <w:szCs w:val="24"/>
        </w:rPr>
        <w:t xml:space="preserve"> Das and C. Joshua Thomas (Ed) </w:t>
      </w:r>
      <w:r w:rsidRPr="00856035">
        <w:rPr>
          <w:rFonts w:ascii="Times New Roman" w:hAnsi="Times New Roman" w:cs="Times New Roman"/>
          <w:iCs/>
          <w:sz w:val="24"/>
          <w:szCs w:val="24"/>
        </w:rPr>
        <w:t>Look East to Act East Policy: Implications for India’s Northeast</w:t>
      </w:r>
      <w:r>
        <w:rPr>
          <w:rFonts w:ascii="Times New Roman" w:hAnsi="Times New Roman" w:cs="Times New Roman"/>
          <w:sz w:val="24"/>
          <w:szCs w:val="24"/>
        </w:rPr>
        <w:t>, Routledge</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Department of Industrial Policy and Promotion (DIPP). (2022), </w:t>
      </w:r>
      <w:r w:rsidRPr="004B1C64">
        <w:rPr>
          <w:rFonts w:ascii="Times New Roman" w:hAnsi="Times New Roman" w:cs="Times New Roman"/>
          <w:sz w:val="24"/>
          <w:szCs w:val="24"/>
        </w:rPr>
        <w:t>SIA-FDI News Letter,</w:t>
      </w:r>
      <w:r>
        <w:rPr>
          <w:rFonts w:ascii="Times New Roman" w:hAnsi="Times New Roman" w:cs="Times New Roman"/>
          <w:sz w:val="24"/>
          <w:szCs w:val="24"/>
        </w:rPr>
        <w:t xml:space="preserve"> 2022, Government of India</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2C7511">
        <w:rPr>
          <w:rFonts w:ascii="Times New Roman" w:hAnsi="Times New Roman" w:cs="Times New Roman"/>
          <w:sz w:val="24"/>
          <w:szCs w:val="24"/>
        </w:rPr>
        <w:t>FICCI-PWC (2014)</w:t>
      </w:r>
      <w:r>
        <w:rPr>
          <w:rFonts w:ascii="Times New Roman" w:hAnsi="Times New Roman" w:cs="Times New Roman"/>
          <w:sz w:val="24"/>
          <w:szCs w:val="24"/>
        </w:rPr>
        <w:t xml:space="preserve">. </w:t>
      </w:r>
      <w:r w:rsidRPr="002C7511">
        <w:rPr>
          <w:rFonts w:ascii="Times New Roman" w:hAnsi="Times New Roman" w:cs="Times New Roman"/>
          <w:iCs/>
          <w:sz w:val="24"/>
          <w:szCs w:val="24"/>
        </w:rPr>
        <w:t xml:space="preserve">Gateway to the ASEAN </w:t>
      </w:r>
      <w:r>
        <w:rPr>
          <w:rFonts w:ascii="Times New Roman" w:hAnsi="Times New Roman" w:cs="Times New Roman"/>
          <w:sz w:val="24"/>
          <w:szCs w:val="24"/>
        </w:rPr>
        <w:t xml:space="preserve">India’s Northeast Frontier, </w:t>
      </w:r>
      <w:r w:rsidRPr="002C7511">
        <w:rPr>
          <w:rFonts w:ascii="Times New Roman" w:hAnsi="Times New Roman" w:cs="Times New Roman"/>
          <w:sz w:val="24"/>
          <w:szCs w:val="24"/>
        </w:rPr>
        <w:t>(Report)</w:t>
      </w:r>
      <w:r>
        <w:rPr>
          <w:rFonts w:ascii="Times New Roman" w:hAnsi="Times New Roman" w:cs="Times New Roman"/>
          <w:sz w:val="24"/>
          <w:szCs w:val="24"/>
        </w:rPr>
        <w:t xml:space="preserve">, </w:t>
      </w:r>
      <w:r w:rsidRPr="002C7511">
        <w:rPr>
          <w:rFonts w:ascii="Times New Roman" w:hAnsi="Times New Roman" w:cs="Times New Roman"/>
          <w:sz w:val="24"/>
          <w:szCs w:val="24"/>
        </w:rPr>
        <w:t xml:space="preserve">www. </w:t>
      </w:r>
      <w:proofErr w:type="spellStart"/>
      <w:r w:rsidRPr="002C7511">
        <w:rPr>
          <w:rFonts w:ascii="Times New Roman" w:hAnsi="Times New Roman" w:cs="Times New Roman"/>
          <w:sz w:val="24"/>
          <w:szCs w:val="24"/>
        </w:rPr>
        <w:t>p</w:t>
      </w:r>
      <w:r>
        <w:rPr>
          <w:rFonts w:ascii="Times New Roman" w:hAnsi="Times New Roman" w:cs="Times New Roman"/>
          <w:sz w:val="24"/>
          <w:szCs w:val="24"/>
        </w:rPr>
        <w:t>wc</w:t>
      </w:r>
      <w:proofErr w:type="spellEnd"/>
      <w:r>
        <w:rPr>
          <w:rFonts w:ascii="Times New Roman" w:hAnsi="Times New Roman" w:cs="Times New Roman"/>
          <w:sz w:val="24"/>
          <w:szCs w:val="24"/>
        </w:rPr>
        <w:t xml:space="preserve">. in </w:t>
      </w:r>
    </w:p>
    <w:p w:rsidR="00765EF7" w:rsidRPr="002C7511"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sidRPr="00EB2D09">
        <w:rPr>
          <w:rFonts w:ascii="Times New Roman" w:hAnsi="Times New Roman" w:cs="Times New Roman"/>
          <w:iCs/>
          <w:sz w:val="24"/>
          <w:szCs w:val="24"/>
        </w:rPr>
        <w:t xml:space="preserve">Ghosh, D. </w:t>
      </w:r>
      <w:r>
        <w:rPr>
          <w:rFonts w:ascii="Times New Roman" w:hAnsi="Times New Roman" w:cs="Times New Roman"/>
          <w:iCs/>
          <w:sz w:val="24"/>
          <w:szCs w:val="24"/>
        </w:rPr>
        <w:t>(</w:t>
      </w:r>
      <w:r w:rsidRPr="00EB2D09">
        <w:rPr>
          <w:rFonts w:ascii="Times New Roman" w:hAnsi="Times New Roman" w:cs="Times New Roman"/>
          <w:iCs/>
          <w:sz w:val="24"/>
          <w:szCs w:val="24"/>
        </w:rPr>
        <w:t>2024</w:t>
      </w:r>
      <w:r>
        <w:rPr>
          <w:rFonts w:ascii="Times New Roman" w:hAnsi="Times New Roman" w:cs="Times New Roman"/>
          <w:iCs/>
          <w:sz w:val="24"/>
          <w:szCs w:val="24"/>
        </w:rPr>
        <w:t xml:space="preserve">). </w:t>
      </w:r>
      <w:r w:rsidRPr="00EB2D09">
        <w:rPr>
          <w:rFonts w:ascii="Times New Roman" w:hAnsi="Times New Roman" w:cs="Times New Roman"/>
          <w:sz w:val="24"/>
          <w:szCs w:val="24"/>
        </w:rPr>
        <w:t>India–ASEAN Economic Relations and North-east India: Act</w:t>
      </w:r>
      <w:r>
        <w:rPr>
          <w:rFonts w:ascii="Times New Roman" w:hAnsi="Times New Roman" w:cs="Times New Roman"/>
          <w:sz w:val="24"/>
          <w:szCs w:val="24"/>
        </w:rPr>
        <w:t xml:space="preserve"> East Policy as a New </w:t>
      </w:r>
      <w:proofErr w:type="spellStart"/>
      <w:proofErr w:type="gramStart"/>
      <w:r>
        <w:rPr>
          <w:rFonts w:ascii="Times New Roman" w:hAnsi="Times New Roman" w:cs="Times New Roman"/>
          <w:sz w:val="24"/>
          <w:szCs w:val="24"/>
        </w:rPr>
        <w:t>Paradigm,</w:t>
      </w:r>
      <w:r w:rsidRPr="0095017F">
        <w:rPr>
          <w:rFonts w:ascii="Times New Roman" w:hAnsi="Times New Roman" w:cs="Times New Roman"/>
          <w:i/>
          <w:iCs/>
          <w:sz w:val="24"/>
          <w:szCs w:val="24"/>
        </w:rPr>
        <w:t>India</w:t>
      </w:r>
      <w:proofErr w:type="spellEnd"/>
      <w:proofErr w:type="gramEnd"/>
      <w:r w:rsidRPr="0095017F">
        <w:rPr>
          <w:rFonts w:ascii="Times New Roman" w:hAnsi="Times New Roman" w:cs="Times New Roman"/>
          <w:i/>
          <w:iCs/>
          <w:sz w:val="24"/>
          <w:szCs w:val="24"/>
        </w:rPr>
        <w:t xml:space="preserve"> Quarterly</w:t>
      </w:r>
      <w:r w:rsidRPr="0041735C">
        <w:rPr>
          <w:rFonts w:ascii="Times New Roman" w:hAnsi="Times New Roman" w:cs="Times New Roman"/>
          <w:sz w:val="24"/>
          <w:szCs w:val="24"/>
        </w:rPr>
        <w:t>,</w:t>
      </w:r>
      <w:r w:rsidRPr="00E07D39">
        <w:rPr>
          <w:rFonts w:ascii="Times New Roman" w:hAnsi="Times New Roman" w:cs="Times New Roman"/>
          <w:sz w:val="24"/>
          <w:szCs w:val="24"/>
        </w:rPr>
        <w:t>80(2), 196–218</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pacing w:val="17"/>
          <w:kern w:val="36"/>
          <w:sz w:val="24"/>
          <w:szCs w:val="24"/>
        </w:rPr>
        <w:t xml:space="preserve">Goswami, N. (2009). </w:t>
      </w:r>
      <w:r w:rsidRPr="001828D7">
        <w:rPr>
          <w:rFonts w:ascii="Times New Roman" w:eastAsia="Times New Roman" w:hAnsi="Times New Roman" w:cs="Times New Roman"/>
          <w:iCs/>
          <w:spacing w:val="17"/>
          <w:kern w:val="36"/>
          <w:sz w:val="24"/>
          <w:szCs w:val="24"/>
        </w:rPr>
        <w:t>Look East through India’s Nor</w:t>
      </w:r>
      <w:r>
        <w:rPr>
          <w:rFonts w:ascii="Times New Roman" w:eastAsia="Times New Roman" w:hAnsi="Times New Roman" w:cs="Times New Roman"/>
          <w:iCs/>
          <w:spacing w:val="17"/>
          <w:kern w:val="36"/>
          <w:sz w:val="24"/>
          <w:szCs w:val="24"/>
        </w:rPr>
        <w:t>theast: Identifying the policy Challenges and Outlining the R</w:t>
      </w:r>
      <w:r w:rsidRPr="001828D7">
        <w:rPr>
          <w:rFonts w:ascii="Times New Roman" w:eastAsia="Times New Roman" w:hAnsi="Times New Roman" w:cs="Times New Roman"/>
          <w:iCs/>
          <w:spacing w:val="17"/>
          <w:kern w:val="36"/>
          <w:sz w:val="24"/>
          <w:szCs w:val="24"/>
        </w:rPr>
        <w:t>esponses</w:t>
      </w:r>
      <w:r>
        <w:rPr>
          <w:rFonts w:ascii="Times New Roman" w:eastAsia="Times New Roman" w:hAnsi="Times New Roman" w:cs="Times New Roman"/>
          <w:i/>
          <w:spacing w:val="17"/>
          <w:kern w:val="36"/>
          <w:sz w:val="24"/>
          <w:szCs w:val="24"/>
        </w:rPr>
        <w:t xml:space="preserve">, </w:t>
      </w:r>
      <w:r>
        <w:rPr>
          <w:rFonts w:ascii="Times New Roman" w:hAnsi="Times New Roman" w:cs="Times New Roman"/>
          <w:bCs/>
          <w:sz w:val="24"/>
          <w:szCs w:val="24"/>
        </w:rPr>
        <w:t>IDSA Occasional Paper No. 2</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Haokip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Thongkholal</w:t>
      </w:r>
      <w:proofErr w:type="spellEnd"/>
      <w:r>
        <w:rPr>
          <w:rFonts w:ascii="Times New Roman" w:hAnsi="Times New Roman" w:cs="Times New Roman"/>
          <w:bCs/>
          <w:sz w:val="24"/>
          <w:szCs w:val="24"/>
        </w:rPr>
        <w:t xml:space="preserve">. (2015). India’s Look East Policy: Prospects and Challenges for Northeast India., </w:t>
      </w:r>
      <w:r w:rsidRPr="005D390D">
        <w:rPr>
          <w:rFonts w:ascii="Times New Roman" w:hAnsi="Times New Roman" w:cs="Times New Roman"/>
          <w:i/>
          <w:sz w:val="24"/>
          <w:szCs w:val="24"/>
        </w:rPr>
        <w:t>Studies in Indian Politics</w:t>
      </w:r>
      <w:r w:rsidRPr="00FD7182">
        <w:rPr>
          <w:rFonts w:ascii="Times New Roman" w:hAnsi="Times New Roman" w:cs="Times New Roman"/>
          <w:iCs/>
          <w:sz w:val="24"/>
          <w:szCs w:val="24"/>
        </w:rPr>
        <w:t>,</w:t>
      </w:r>
      <w:r>
        <w:rPr>
          <w:rFonts w:ascii="Times New Roman" w:hAnsi="Times New Roman" w:cs="Times New Roman"/>
          <w:sz w:val="24"/>
          <w:szCs w:val="24"/>
        </w:rPr>
        <w:t xml:space="preserve"> 3(2), 198–211</w:t>
      </w:r>
    </w:p>
    <w:p w:rsidR="00765EF7" w:rsidRDefault="00765EF7" w:rsidP="00765EF7">
      <w:pPr>
        <w:autoSpaceDE w:val="0"/>
        <w:autoSpaceDN w:val="0"/>
        <w:adjustRightInd w:val="0"/>
        <w:spacing w:after="0" w:line="240" w:lineRule="auto"/>
        <w:jc w:val="both"/>
        <w:rPr>
          <w:rFonts w:ascii="Times New Roman" w:hAnsi="Times New Roman" w:cs="Times New Roman"/>
          <w:sz w:val="24"/>
          <w:szCs w:val="24"/>
        </w:rPr>
      </w:pP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K.R. </w:t>
      </w:r>
      <w:proofErr w:type="spellStart"/>
      <w:r>
        <w:rPr>
          <w:rFonts w:ascii="Times New Roman" w:hAnsi="Times New Roman" w:cs="Times New Roman"/>
          <w:sz w:val="24"/>
          <w:szCs w:val="24"/>
        </w:rPr>
        <w:t>Dikhit</w:t>
      </w:r>
      <w:proofErr w:type="spellEnd"/>
      <w:r>
        <w:rPr>
          <w:rFonts w:ascii="Times New Roman" w:hAnsi="Times New Roman" w:cs="Times New Roman"/>
          <w:sz w:val="24"/>
          <w:szCs w:val="24"/>
        </w:rPr>
        <w:t xml:space="preserve">., &amp; Jutta K. Dikshit. (2014). </w:t>
      </w:r>
      <w:r w:rsidRPr="00F973F8">
        <w:rPr>
          <w:rFonts w:ascii="Times New Roman" w:hAnsi="Times New Roman" w:cs="Times New Roman"/>
          <w:iCs/>
          <w:sz w:val="24"/>
          <w:szCs w:val="24"/>
        </w:rPr>
        <w:t>North-East India: Land, People and Economy</w:t>
      </w:r>
      <w:r>
        <w:rPr>
          <w:rFonts w:ascii="Times New Roman" w:hAnsi="Times New Roman" w:cs="Times New Roman"/>
          <w:iCs/>
          <w:sz w:val="24"/>
          <w:szCs w:val="24"/>
        </w:rPr>
        <w:t xml:space="preserve">, </w:t>
      </w:r>
      <w:r>
        <w:rPr>
          <w:rFonts w:ascii="Times New Roman" w:hAnsi="Times New Roman" w:cs="Times New Roman"/>
          <w:sz w:val="24"/>
          <w:szCs w:val="24"/>
        </w:rPr>
        <w:t>Springer, Dordrecht</w:t>
      </w:r>
    </w:p>
    <w:p w:rsidR="00765EF7" w:rsidRDefault="00765EF7" w:rsidP="00765EF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Govinda</w:t>
      </w:r>
      <w:proofErr w:type="spellEnd"/>
      <w:r>
        <w:rPr>
          <w:rFonts w:ascii="Times New Roman" w:hAnsi="Times New Roman" w:cs="Times New Roman"/>
          <w:sz w:val="24"/>
          <w:szCs w:val="24"/>
        </w:rPr>
        <w:t xml:space="preserve"> Rao. (2009). </w:t>
      </w:r>
      <w:r w:rsidRPr="00251F67">
        <w:rPr>
          <w:rFonts w:ascii="Times New Roman" w:hAnsi="Times New Roman" w:cs="Times New Roman"/>
          <w:iCs/>
          <w:sz w:val="24"/>
          <w:szCs w:val="24"/>
        </w:rPr>
        <w:t>Promoting Trade and Investment in India’s Northeastern Region</w:t>
      </w:r>
      <w:r>
        <w:rPr>
          <w:rFonts w:ascii="Times New Roman" w:hAnsi="Times New Roman" w:cs="Times New Roman"/>
          <w:sz w:val="24"/>
          <w:szCs w:val="24"/>
        </w:rPr>
        <w:t xml:space="preserve">. Working paper series on Regional Economic integration, Number 30, Asian Development Bank </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Ministry of Development of North Eastern Region and NEC (2007). </w:t>
      </w:r>
      <w:r w:rsidRPr="00B31D72">
        <w:rPr>
          <w:rFonts w:ascii="Times New Roman" w:eastAsia="Times New Roman" w:hAnsi="Times New Roman" w:cs="Times New Roman"/>
          <w:iCs/>
          <w:sz w:val="24"/>
          <w:szCs w:val="24"/>
        </w:rPr>
        <w:t xml:space="preserve">North Eastern Region Vision 2020 </w:t>
      </w:r>
      <w:r>
        <w:rPr>
          <w:rFonts w:ascii="Times New Roman" w:eastAsia="Times New Roman" w:hAnsi="Times New Roman" w:cs="Times New Roman"/>
          <w:sz w:val="24"/>
          <w:szCs w:val="24"/>
        </w:rPr>
        <w:t xml:space="preserve">- Volume 1. Government of India </w:t>
      </w:r>
    </w:p>
    <w:p w:rsidR="00765EF7" w:rsidRPr="0000760F"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Parveen, N. (2023). </w:t>
      </w:r>
      <w:r w:rsidRPr="00B31D72">
        <w:rPr>
          <w:rFonts w:ascii="Times New Roman" w:hAnsi="Times New Roman" w:cs="Times New Roman"/>
          <w:sz w:val="24"/>
          <w:szCs w:val="24"/>
        </w:rPr>
        <w:t>Transforming India’s Export Landscape, State by State</w:t>
      </w:r>
      <w:r>
        <w:rPr>
          <w:rFonts w:ascii="Times New Roman" w:hAnsi="Times New Roman" w:cs="Times New Roman"/>
          <w:sz w:val="24"/>
          <w:szCs w:val="24"/>
        </w:rPr>
        <w:t>,</w:t>
      </w:r>
      <w:r w:rsidRPr="00CF5ACF">
        <w:rPr>
          <w:rFonts w:ascii="Times New Roman" w:hAnsi="Times New Roman" w:cs="Times New Roman"/>
          <w:sz w:val="24"/>
          <w:szCs w:val="24"/>
        </w:rPr>
        <w:t xml:space="preserve"> </w:t>
      </w:r>
      <w:proofErr w:type="spellStart"/>
      <w:r w:rsidRPr="00CF5ACF">
        <w:rPr>
          <w:rFonts w:ascii="Times New Roman" w:hAnsi="Times New Roman" w:cs="Times New Roman"/>
          <w:sz w:val="24"/>
          <w:szCs w:val="24"/>
        </w:rPr>
        <w:t>TradePromotion</w:t>
      </w:r>
      <w:proofErr w:type="spellEnd"/>
      <w:r w:rsidRPr="00CF5ACF">
        <w:rPr>
          <w:rFonts w:ascii="Times New Roman" w:hAnsi="Times New Roman" w:cs="Times New Roman"/>
          <w:sz w:val="24"/>
          <w:szCs w:val="24"/>
        </w:rPr>
        <w:t xml:space="preserve"> Council of India</w:t>
      </w:r>
    </w:p>
    <w:p w:rsidR="00765EF7" w:rsidRDefault="00765EF7" w:rsidP="00765EF7">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Planning Commission (1997). </w:t>
      </w:r>
      <w:r w:rsidRPr="001415C9">
        <w:rPr>
          <w:rFonts w:ascii="Times New Roman" w:hAnsi="Times New Roman" w:cs="Times New Roman"/>
          <w:bCs/>
          <w:sz w:val="24"/>
          <w:szCs w:val="24"/>
        </w:rPr>
        <w:t>Transforming the North East: Tackling Backlogs in Basic Minimum Services and Infrastructure Needs</w:t>
      </w:r>
      <w:r>
        <w:rPr>
          <w:rFonts w:ascii="Times New Roman" w:hAnsi="Times New Roman" w:cs="Times New Roman"/>
          <w:bCs/>
          <w:i/>
          <w:iCs/>
          <w:sz w:val="24"/>
          <w:szCs w:val="24"/>
        </w:rPr>
        <w:t xml:space="preserve">, </w:t>
      </w:r>
      <w:r>
        <w:rPr>
          <w:rFonts w:ascii="Times New Roman" w:hAnsi="Times New Roman" w:cs="Times New Roman"/>
          <w:bCs/>
          <w:sz w:val="24"/>
          <w:szCs w:val="24"/>
        </w:rPr>
        <w:t>Government of India</w:t>
      </w:r>
      <w:r>
        <w:rPr>
          <w:rFonts w:ascii="Times New Roman" w:hAnsi="Times New Roman" w:cs="Times New Roman"/>
          <w:b/>
          <w:sz w:val="24"/>
          <w:szCs w:val="24"/>
        </w:rPr>
        <w:tab/>
      </w:r>
    </w:p>
    <w:p w:rsidR="00765EF7" w:rsidRDefault="00765EF7" w:rsidP="00765EF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Sarma</w:t>
      </w:r>
      <w:proofErr w:type="spellEnd"/>
      <w:r>
        <w:rPr>
          <w:rFonts w:ascii="Times New Roman" w:hAnsi="Times New Roman" w:cs="Times New Roman"/>
          <w:sz w:val="24"/>
          <w:szCs w:val="24"/>
        </w:rPr>
        <w:t xml:space="preserve">, Atul. (2005). Why the Northeastern States Continue to Decelerate, </w:t>
      </w:r>
      <w:r w:rsidRPr="005D390D">
        <w:rPr>
          <w:rFonts w:ascii="Times New Roman" w:hAnsi="Times New Roman" w:cs="Times New Roman"/>
          <w:i/>
          <w:sz w:val="24"/>
          <w:szCs w:val="24"/>
        </w:rPr>
        <w:t>Man and Society: A Journal of North East Studies</w:t>
      </w:r>
      <w:r w:rsidRPr="00D5700D">
        <w:rPr>
          <w:rFonts w:ascii="Times New Roman" w:hAnsi="Times New Roman" w:cs="Times New Roman"/>
          <w:iCs/>
          <w:sz w:val="24"/>
          <w:szCs w:val="24"/>
        </w:rPr>
        <w:t>,</w:t>
      </w:r>
      <w:r>
        <w:rPr>
          <w:rFonts w:ascii="Times New Roman" w:hAnsi="Times New Roman" w:cs="Times New Roman"/>
          <w:sz w:val="24"/>
          <w:szCs w:val="24"/>
        </w:rPr>
        <w:t xml:space="preserve"> Volume 1, November 1, Spring</w:t>
      </w:r>
    </w:p>
    <w:p w:rsidR="00765EF7" w:rsidRDefault="00765EF7" w:rsidP="00765EF7">
      <w:pPr>
        <w:spacing w:after="0" w:line="240" w:lineRule="auto"/>
        <w:jc w:val="both"/>
        <w:rPr>
          <w:rFonts w:ascii="Times New Roman" w:hAnsi="Times New Roman" w:cs="Times New Roman"/>
          <w:sz w:val="24"/>
          <w:szCs w:val="24"/>
        </w:rPr>
      </w:pPr>
    </w:p>
    <w:p w:rsidR="00765EF7" w:rsidRPr="00E07D39" w:rsidRDefault="00765EF7" w:rsidP="00765E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Sikri, Rajiv. (2009). India’s Look East Policy, </w:t>
      </w:r>
      <w:r w:rsidRPr="005D390D">
        <w:rPr>
          <w:rFonts w:ascii="Times New Roman" w:hAnsi="Times New Roman" w:cs="Times New Roman"/>
          <w:i/>
          <w:sz w:val="24"/>
          <w:szCs w:val="24"/>
        </w:rPr>
        <w:t>Asia-Pacific Review</w:t>
      </w:r>
      <w:r w:rsidRPr="003A1909">
        <w:rPr>
          <w:rFonts w:ascii="Times New Roman" w:hAnsi="Times New Roman" w:cs="Times New Roman"/>
          <w:iCs/>
          <w:sz w:val="24"/>
          <w:szCs w:val="24"/>
        </w:rPr>
        <w:t>,</w:t>
      </w:r>
      <w:r w:rsidRPr="00E07D39">
        <w:rPr>
          <w:rFonts w:ascii="Times New Roman" w:hAnsi="Times New Roman" w:cs="Times New Roman"/>
          <w:sz w:val="24"/>
          <w:szCs w:val="24"/>
        </w:rPr>
        <w:t>16:1, 131-145</w:t>
      </w:r>
    </w:p>
    <w:p w:rsidR="00765EF7" w:rsidRDefault="00765EF7" w:rsidP="00765EF7">
      <w:pPr>
        <w:autoSpaceDE w:val="0"/>
        <w:autoSpaceDN w:val="0"/>
        <w:adjustRightInd w:val="0"/>
        <w:spacing w:after="0" w:line="240" w:lineRule="auto"/>
        <w:jc w:val="both"/>
        <w:rPr>
          <w:rFonts w:ascii="Times New Roman" w:hAnsi="Times New Roman" w:cs="Times New Roman"/>
          <w:bCs/>
          <w:sz w:val="24"/>
          <w:szCs w:val="24"/>
        </w:rPr>
      </w:pPr>
      <w:r w:rsidRPr="002C7511">
        <w:rPr>
          <w:rFonts w:ascii="Times New Roman" w:hAnsi="Times New Roman" w:cs="Times New Roman"/>
          <w:sz w:val="24"/>
          <w:szCs w:val="24"/>
        </w:rPr>
        <w:t>Singh, S (2010)</w:t>
      </w:r>
      <w:r>
        <w:rPr>
          <w:rFonts w:ascii="Times New Roman" w:hAnsi="Times New Roman" w:cs="Times New Roman"/>
          <w:sz w:val="24"/>
          <w:szCs w:val="24"/>
        </w:rPr>
        <w:t xml:space="preserve">. </w:t>
      </w:r>
      <w:r w:rsidRPr="002B4E59">
        <w:rPr>
          <w:rFonts w:ascii="Times New Roman" w:hAnsi="Times New Roman" w:cs="Times New Roman"/>
          <w:bCs/>
          <w:iCs/>
          <w:sz w:val="24"/>
          <w:szCs w:val="24"/>
        </w:rPr>
        <w:t>ASEAN: A Potential Export Destination for Products from Northeast India</w:t>
      </w:r>
      <w:r>
        <w:rPr>
          <w:rFonts w:ascii="Times New Roman" w:hAnsi="Times New Roman" w:cs="Times New Roman"/>
          <w:bCs/>
          <w:iCs/>
          <w:sz w:val="24"/>
          <w:szCs w:val="24"/>
        </w:rPr>
        <w:t xml:space="preserve">, </w:t>
      </w:r>
      <w:r w:rsidRPr="002C7511">
        <w:rPr>
          <w:rFonts w:ascii="Times New Roman" w:hAnsi="Times New Roman" w:cs="Times New Roman"/>
          <w:bCs/>
          <w:sz w:val="24"/>
          <w:szCs w:val="24"/>
        </w:rPr>
        <w:t>CUTS CITEE, Jaipur</w:t>
      </w:r>
    </w:p>
    <w:p w:rsidR="00765EF7" w:rsidRPr="002C7511" w:rsidRDefault="00765EF7" w:rsidP="00765EF7">
      <w:pPr>
        <w:autoSpaceDE w:val="0"/>
        <w:autoSpaceDN w:val="0"/>
        <w:adjustRightInd w:val="0"/>
        <w:spacing w:after="0" w:line="240" w:lineRule="auto"/>
        <w:jc w:val="both"/>
        <w:rPr>
          <w:rFonts w:ascii="Times New Roman" w:hAnsi="Times New Roman" w:cs="Times New Roman"/>
          <w:bCs/>
          <w:i/>
          <w:sz w:val="24"/>
          <w:szCs w:val="24"/>
        </w:rPr>
      </w:pPr>
    </w:p>
    <w:p w:rsidR="00765EF7" w:rsidRDefault="00765EF7" w:rsidP="00765EF7">
      <w:pPr>
        <w:pStyle w:val="Default"/>
        <w:jc w:val="both"/>
        <w:rPr>
          <w:rFonts w:ascii="Times New Roman" w:hAnsi="Times New Roman" w:cs="Times New Roman"/>
          <w:color w:val="auto"/>
        </w:rPr>
      </w:pPr>
      <w:r>
        <w:rPr>
          <w:rFonts w:ascii="Times New Roman" w:hAnsi="Times New Roman" w:cs="Times New Roman"/>
          <w:color w:val="auto"/>
        </w:rPr>
        <w:t xml:space="preserve">Srikanth, H. (2016). Look East Policy, Sub-Regional Connectivity Projects and Northeast India, </w:t>
      </w:r>
      <w:r w:rsidRPr="005D390D">
        <w:rPr>
          <w:rFonts w:ascii="Times New Roman" w:hAnsi="Times New Roman" w:cs="Times New Roman"/>
          <w:i/>
          <w:iCs/>
          <w:color w:val="auto"/>
        </w:rPr>
        <w:t>Economic and Political Weekly</w:t>
      </w:r>
      <w:r w:rsidRPr="00C25494">
        <w:rPr>
          <w:rFonts w:ascii="Times New Roman" w:hAnsi="Times New Roman" w:cs="Times New Roman"/>
          <w:color w:val="auto"/>
        </w:rPr>
        <w:t>,</w:t>
      </w:r>
      <w:r>
        <w:rPr>
          <w:rFonts w:ascii="Times New Roman" w:hAnsi="Times New Roman" w:cs="Times New Roman"/>
          <w:color w:val="auto"/>
        </w:rPr>
        <w:t xml:space="preserve"> Vol. 51, No. 47, 45-51</w:t>
      </w:r>
    </w:p>
    <w:p w:rsidR="00765EF7" w:rsidRDefault="00765EF7" w:rsidP="00765EF7">
      <w:pPr>
        <w:pStyle w:val="Default"/>
        <w:jc w:val="both"/>
        <w:rPr>
          <w:rFonts w:ascii="Times New Roman" w:hAnsi="Times New Roman" w:cs="Times New Roman"/>
          <w:color w:val="auto"/>
        </w:rPr>
      </w:pPr>
    </w:p>
    <w:p w:rsidR="00765EF7" w:rsidRPr="00FB47D5" w:rsidRDefault="00765EF7" w:rsidP="00765EF7">
      <w:pPr>
        <w:pStyle w:val="Default"/>
        <w:jc w:val="both"/>
        <w:rPr>
          <w:rFonts w:ascii="Times New Roman" w:hAnsi="Times New Roman" w:cs="Times New Roman"/>
          <w:color w:val="auto"/>
        </w:rPr>
      </w:pPr>
      <w:r>
        <w:rPr>
          <w:rFonts w:ascii="Times New Roman" w:hAnsi="Times New Roman" w:cs="Times New Roman"/>
        </w:rPr>
        <w:t>Walter, Fernandes. (2018</w:t>
      </w:r>
      <w:proofErr w:type="gramStart"/>
      <w:r>
        <w:rPr>
          <w:rFonts w:ascii="Times New Roman" w:hAnsi="Times New Roman" w:cs="Times New Roman"/>
        </w:rPr>
        <w:t>).Look</w:t>
      </w:r>
      <w:proofErr w:type="gramEnd"/>
      <w:r>
        <w:rPr>
          <w:rFonts w:ascii="Times New Roman" w:hAnsi="Times New Roman" w:cs="Times New Roman"/>
        </w:rPr>
        <w:t xml:space="preserve"> (Act) East Policy: With or Through the Northeast. In Atul </w:t>
      </w:r>
      <w:proofErr w:type="spellStart"/>
      <w:r>
        <w:rPr>
          <w:rFonts w:ascii="Times New Roman" w:hAnsi="Times New Roman" w:cs="Times New Roman"/>
        </w:rPr>
        <w:t>Sarma</w:t>
      </w:r>
      <w:proofErr w:type="spellEnd"/>
      <w:r>
        <w:rPr>
          <w:rFonts w:ascii="Times New Roman" w:hAnsi="Times New Roman" w:cs="Times New Roman"/>
        </w:rPr>
        <w:t xml:space="preserve"> and S. Choudhury (Ed.) </w:t>
      </w:r>
      <w:r w:rsidRPr="00FB47D5">
        <w:rPr>
          <w:rStyle w:val="Emphasis"/>
          <w:rFonts w:ascii="Times New Roman" w:hAnsi="Times New Roman" w:cs="Times New Roman"/>
          <w:bdr w:val="none" w:sz="0" w:space="0" w:color="auto" w:frame="1"/>
        </w:rPr>
        <w:t>Mainstreaming the Northeast in India’s Look and Act East Policy</w:t>
      </w:r>
      <w:r>
        <w:rPr>
          <w:rStyle w:val="Emphasis"/>
          <w:rFonts w:ascii="Times New Roman" w:hAnsi="Times New Roman" w:cs="Times New Roman"/>
          <w:bdr w:val="none" w:sz="0" w:space="0" w:color="auto" w:frame="1"/>
        </w:rPr>
        <w:t xml:space="preserve">, </w:t>
      </w:r>
      <w:r>
        <w:rPr>
          <w:rFonts w:ascii="Times New Roman" w:hAnsi="Times New Roman" w:cs="Times New Roman"/>
        </w:rPr>
        <w:t xml:space="preserve">Palgrave Macmillan </w:t>
      </w:r>
    </w:p>
    <w:p w:rsidR="00765EF7" w:rsidRPr="00D1305F" w:rsidRDefault="00765EF7" w:rsidP="00765EF7">
      <w:pPr>
        <w:rPr>
          <w:rFonts w:ascii="Times New Roman" w:hAnsi="Times New Roman" w:cs="Times New Roman"/>
          <w:b/>
          <w:bCs/>
          <w:sz w:val="24"/>
          <w:szCs w:val="24"/>
        </w:rPr>
      </w:pPr>
    </w:p>
    <w:p w:rsidR="00765EF7" w:rsidRPr="00BA1E7B" w:rsidRDefault="00765EF7" w:rsidP="00765EF7">
      <w:pPr>
        <w:rPr>
          <w:rFonts w:ascii="Times New Roman" w:hAnsi="Times New Roman" w:cs="Times New Roman"/>
          <w:b/>
          <w:bCs/>
          <w:sz w:val="24"/>
          <w:szCs w:val="24"/>
        </w:rPr>
      </w:pPr>
    </w:p>
    <w:p w:rsidR="005878EF" w:rsidRPr="00D1305F" w:rsidRDefault="005878EF" w:rsidP="005878EF">
      <w:pPr>
        <w:rPr>
          <w:rFonts w:ascii="Times New Roman" w:hAnsi="Times New Roman" w:cs="Times New Roman"/>
          <w:b/>
          <w:bCs/>
          <w:sz w:val="24"/>
          <w:szCs w:val="24"/>
        </w:rPr>
      </w:pPr>
    </w:p>
    <w:p w:rsidR="00974F09" w:rsidRPr="004322C8" w:rsidRDefault="00974F09" w:rsidP="005878EF">
      <w:pPr>
        <w:spacing w:after="0" w:line="360" w:lineRule="auto"/>
        <w:rPr>
          <w:rFonts w:ascii="Times New Roman" w:hAnsi="Times New Roman" w:cs="Times New Roman"/>
          <w:b/>
          <w:bCs/>
          <w:sz w:val="24"/>
          <w:szCs w:val="24"/>
        </w:rPr>
      </w:pPr>
    </w:p>
    <w:sectPr w:rsidR="00974F09" w:rsidRPr="004322C8" w:rsidSect="0013539C">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623" w:rsidRDefault="00C25623" w:rsidP="005070D4">
      <w:pPr>
        <w:spacing w:after="0" w:line="240" w:lineRule="auto"/>
      </w:pPr>
      <w:r>
        <w:separator/>
      </w:r>
    </w:p>
  </w:endnote>
  <w:endnote w:type="continuationSeparator" w:id="0">
    <w:p w:rsidR="00C25623" w:rsidRDefault="00C25623" w:rsidP="0050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50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623" w:rsidRDefault="00C25623" w:rsidP="005070D4">
      <w:pPr>
        <w:spacing w:after="0" w:line="240" w:lineRule="auto"/>
      </w:pPr>
      <w:r>
        <w:separator/>
      </w:r>
    </w:p>
  </w:footnote>
  <w:footnote w:type="continuationSeparator" w:id="0">
    <w:p w:rsidR="00C25623" w:rsidRDefault="00C25623" w:rsidP="00507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BF1D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BF1D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0D4" w:rsidRDefault="00BF1D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21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32C5"/>
    <w:rsid w:val="000023A5"/>
    <w:rsid w:val="000077E5"/>
    <w:rsid w:val="00010993"/>
    <w:rsid w:val="00010BD3"/>
    <w:rsid w:val="000112D1"/>
    <w:rsid w:val="00016C9D"/>
    <w:rsid w:val="00051060"/>
    <w:rsid w:val="000613D6"/>
    <w:rsid w:val="000619A5"/>
    <w:rsid w:val="00065B50"/>
    <w:rsid w:val="000667FD"/>
    <w:rsid w:val="0008281B"/>
    <w:rsid w:val="00082EC4"/>
    <w:rsid w:val="000A1226"/>
    <w:rsid w:val="000A25D2"/>
    <w:rsid w:val="00107523"/>
    <w:rsid w:val="00125911"/>
    <w:rsid w:val="0013539C"/>
    <w:rsid w:val="00137982"/>
    <w:rsid w:val="001415C9"/>
    <w:rsid w:val="00145D0E"/>
    <w:rsid w:val="001471EE"/>
    <w:rsid w:val="00154B37"/>
    <w:rsid w:val="0016084E"/>
    <w:rsid w:val="00171F52"/>
    <w:rsid w:val="00177557"/>
    <w:rsid w:val="001828D7"/>
    <w:rsid w:val="001A4DCA"/>
    <w:rsid w:val="001A59F6"/>
    <w:rsid w:val="001B0842"/>
    <w:rsid w:val="001B55FB"/>
    <w:rsid w:val="001C50F0"/>
    <w:rsid w:val="001E0714"/>
    <w:rsid w:val="001F1D87"/>
    <w:rsid w:val="0020262E"/>
    <w:rsid w:val="00214989"/>
    <w:rsid w:val="002205BA"/>
    <w:rsid w:val="00244B93"/>
    <w:rsid w:val="00250E68"/>
    <w:rsid w:val="00251F67"/>
    <w:rsid w:val="00254FF5"/>
    <w:rsid w:val="00262584"/>
    <w:rsid w:val="0026348C"/>
    <w:rsid w:val="002761EB"/>
    <w:rsid w:val="00277524"/>
    <w:rsid w:val="002827BA"/>
    <w:rsid w:val="00285FEC"/>
    <w:rsid w:val="00287E41"/>
    <w:rsid w:val="002A42AD"/>
    <w:rsid w:val="002B4E59"/>
    <w:rsid w:val="002C48DB"/>
    <w:rsid w:val="002F35D0"/>
    <w:rsid w:val="003161C3"/>
    <w:rsid w:val="00365E1D"/>
    <w:rsid w:val="00382F20"/>
    <w:rsid w:val="003A1909"/>
    <w:rsid w:val="003C57B7"/>
    <w:rsid w:val="003E74BE"/>
    <w:rsid w:val="003F4BA0"/>
    <w:rsid w:val="004026D5"/>
    <w:rsid w:val="0041735C"/>
    <w:rsid w:val="00427191"/>
    <w:rsid w:val="00427DC9"/>
    <w:rsid w:val="004322C8"/>
    <w:rsid w:val="00436758"/>
    <w:rsid w:val="00437E4D"/>
    <w:rsid w:val="004417A3"/>
    <w:rsid w:val="00445BDB"/>
    <w:rsid w:val="00464B2F"/>
    <w:rsid w:val="00465B13"/>
    <w:rsid w:val="004711EF"/>
    <w:rsid w:val="00474CBC"/>
    <w:rsid w:val="00483B62"/>
    <w:rsid w:val="0048607C"/>
    <w:rsid w:val="004877EB"/>
    <w:rsid w:val="004905E3"/>
    <w:rsid w:val="004A5920"/>
    <w:rsid w:val="004C03B2"/>
    <w:rsid w:val="004C0C9E"/>
    <w:rsid w:val="004C3056"/>
    <w:rsid w:val="005070D4"/>
    <w:rsid w:val="00507258"/>
    <w:rsid w:val="005273B0"/>
    <w:rsid w:val="00560DD0"/>
    <w:rsid w:val="0057354A"/>
    <w:rsid w:val="00573A49"/>
    <w:rsid w:val="00580CE7"/>
    <w:rsid w:val="00584BF2"/>
    <w:rsid w:val="005878EF"/>
    <w:rsid w:val="005903D2"/>
    <w:rsid w:val="00594718"/>
    <w:rsid w:val="005A4131"/>
    <w:rsid w:val="005A751E"/>
    <w:rsid w:val="005C76B9"/>
    <w:rsid w:val="005E3D28"/>
    <w:rsid w:val="005F4E53"/>
    <w:rsid w:val="00601166"/>
    <w:rsid w:val="0060556B"/>
    <w:rsid w:val="0061172C"/>
    <w:rsid w:val="00635367"/>
    <w:rsid w:val="00642973"/>
    <w:rsid w:val="00642D39"/>
    <w:rsid w:val="006542DD"/>
    <w:rsid w:val="00664363"/>
    <w:rsid w:val="00666203"/>
    <w:rsid w:val="00681579"/>
    <w:rsid w:val="006875C1"/>
    <w:rsid w:val="00692D8A"/>
    <w:rsid w:val="006A1463"/>
    <w:rsid w:val="006B2182"/>
    <w:rsid w:val="006B4BEE"/>
    <w:rsid w:val="006B6A1E"/>
    <w:rsid w:val="006E17F8"/>
    <w:rsid w:val="006E504A"/>
    <w:rsid w:val="006F420F"/>
    <w:rsid w:val="007048DB"/>
    <w:rsid w:val="00706AE6"/>
    <w:rsid w:val="007146F6"/>
    <w:rsid w:val="007150A0"/>
    <w:rsid w:val="00757204"/>
    <w:rsid w:val="00765EF7"/>
    <w:rsid w:val="00776940"/>
    <w:rsid w:val="007C3438"/>
    <w:rsid w:val="007C3E61"/>
    <w:rsid w:val="007D0248"/>
    <w:rsid w:val="007D1AA3"/>
    <w:rsid w:val="007D346F"/>
    <w:rsid w:val="00801812"/>
    <w:rsid w:val="0081023A"/>
    <w:rsid w:val="00817229"/>
    <w:rsid w:val="008318AC"/>
    <w:rsid w:val="00836775"/>
    <w:rsid w:val="008426D6"/>
    <w:rsid w:val="00843284"/>
    <w:rsid w:val="008468FD"/>
    <w:rsid w:val="00852047"/>
    <w:rsid w:val="00856035"/>
    <w:rsid w:val="00856D29"/>
    <w:rsid w:val="0086399F"/>
    <w:rsid w:val="0086533E"/>
    <w:rsid w:val="00885EE4"/>
    <w:rsid w:val="0089397B"/>
    <w:rsid w:val="008A0457"/>
    <w:rsid w:val="008A24BD"/>
    <w:rsid w:val="008A3F92"/>
    <w:rsid w:val="008B2AA2"/>
    <w:rsid w:val="008C211E"/>
    <w:rsid w:val="008C2359"/>
    <w:rsid w:val="008C359F"/>
    <w:rsid w:val="008C3F35"/>
    <w:rsid w:val="008C73AD"/>
    <w:rsid w:val="008F7207"/>
    <w:rsid w:val="009101D1"/>
    <w:rsid w:val="00921364"/>
    <w:rsid w:val="00932435"/>
    <w:rsid w:val="009448CE"/>
    <w:rsid w:val="00952D32"/>
    <w:rsid w:val="0095362E"/>
    <w:rsid w:val="00954E05"/>
    <w:rsid w:val="00961417"/>
    <w:rsid w:val="009660F0"/>
    <w:rsid w:val="00974D21"/>
    <w:rsid w:val="00974F09"/>
    <w:rsid w:val="009830D3"/>
    <w:rsid w:val="00984F9B"/>
    <w:rsid w:val="009A4AB6"/>
    <w:rsid w:val="009E0A09"/>
    <w:rsid w:val="009F5D4C"/>
    <w:rsid w:val="00A06905"/>
    <w:rsid w:val="00A15E50"/>
    <w:rsid w:val="00A15FF8"/>
    <w:rsid w:val="00A30CF3"/>
    <w:rsid w:val="00A35059"/>
    <w:rsid w:val="00A40AEB"/>
    <w:rsid w:val="00A45755"/>
    <w:rsid w:val="00A636DA"/>
    <w:rsid w:val="00A66932"/>
    <w:rsid w:val="00A66BBA"/>
    <w:rsid w:val="00A8296D"/>
    <w:rsid w:val="00A87A23"/>
    <w:rsid w:val="00AA54A3"/>
    <w:rsid w:val="00AE067C"/>
    <w:rsid w:val="00AE76A2"/>
    <w:rsid w:val="00B06C0A"/>
    <w:rsid w:val="00B22DEA"/>
    <w:rsid w:val="00B27C6E"/>
    <w:rsid w:val="00B31D72"/>
    <w:rsid w:val="00B40206"/>
    <w:rsid w:val="00B44631"/>
    <w:rsid w:val="00B5194E"/>
    <w:rsid w:val="00B52ED1"/>
    <w:rsid w:val="00B76BC7"/>
    <w:rsid w:val="00BB32C5"/>
    <w:rsid w:val="00BD3FB1"/>
    <w:rsid w:val="00BF1696"/>
    <w:rsid w:val="00BF1DE9"/>
    <w:rsid w:val="00C04A30"/>
    <w:rsid w:val="00C06974"/>
    <w:rsid w:val="00C226B3"/>
    <w:rsid w:val="00C25494"/>
    <w:rsid w:val="00C25623"/>
    <w:rsid w:val="00C26FDC"/>
    <w:rsid w:val="00C27536"/>
    <w:rsid w:val="00C32FD6"/>
    <w:rsid w:val="00C401FF"/>
    <w:rsid w:val="00C41303"/>
    <w:rsid w:val="00C4567B"/>
    <w:rsid w:val="00C45A66"/>
    <w:rsid w:val="00C725E8"/>
    <w:rsid w:val="00C75658"/>
    <w:rsid w:val="00C77F10"/>
    <w:rsid w:val="00C877B2"/>
    <w:rsid w:val="00C92139"/>
    <w:rsid w:val="00CB3F47"/>
    <w:rsid w:val="00CC2771"/>
    <w:rsid w:val="00CD4249"/>
    <w:rsid w:val="00CE4E2D"/>
    <w:rsid w:val="00CF46F8"/>
    <w:rsid w:val="00D03E0D"/>
    <w:rsid w:val="00D21014"/>
    <w:rsid w:val="00D5700D"/>
    <w:rsid w:val="00D67BFD"/>
    <w:rsid w:val="00D920EA"/>
    <w:rsid w:val="00D95F94"/>
    <w:rsid w:val="00D97377"/>
    <w:rsid w:val="00DA473D"/>
    <w:rsid w:val="00DB0A97"/>
    <w:rsid w:val="00DB6A12"/>
    <w:rsid w:val="00DC3116"/>
    <w:rsid w:val="00DD4920"/>
    <w:rsid w:val="00DE3C4A"/>
    <w:rsid w:val="00DF28D2"/>
    <w:rsid w:val="00E011A1"/>
    <w:rsid w:val="00E0443D"/>
    <w:rsid w:val="00E1563D"/>
    <w:rsid w:val="00E51A2B"/>
    <w:rsid w:val="00E700BB"/>
    <w:rsid w:val="00E9088A"/>
    <w:rsid w:val="00EA3BA0"/>
    <w:rsid w:val="00EB0BCC"/>
    <w:rsid w:val="00EC4994"/>
    <w:rsid w:val="00ED04CA"/>
    <w:rsid w:val="00ED2B35"/>
    <w:rsid w:val="00EF735F"/>
    <w:rsid w:val="00F03150"/>
    <w:rsid w:val="00F17E83"/>
    <w:rsid w:val="00F23D9B"/>
    <w:rsid w:val="00F30858"/>
    <w:rsid w:val="00F30DDF"/>
    <w:rsid w:val="00F45873"/>
    <w:rsid w:val="00F5008C"/>
    <w:rsid w:val="00F55664"/>
    <w:rsid w:val="00F61C85"/>
    <w:rsid w:val="00F653EB"/>
    <w:rsid w:val="00F676E9"/>
    <w:rsid w:val="00F7332D"/>
    <w:rsid w:val="00F86CBC"/>
    <w:rsid w:val="00F973F8"/>
    <w:rsid w:val="00FA032A"/>
    <w:rsid w:val="00FA66B6"/>
    <w:rsid w:val="00FA7C6D"/>
    <w:rsid w:val="00FB47D5"/>
    <w:rsid w:val="00FC167C"/>
    <w:rsid w:val="00FC30F2"/>
    <w:rsid w:val="00FC6FB6"/>
    <w:rsid w:val="00FD56EC"/>
    <w:rsid w:val="00FD6CE0"/>
    <w:rsid w:val="00FD71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0639B9"/>
  <w15:docId w15:val="{BCAC6436-D6B3-4660-923D-2B8B8780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D4C"/>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700BB"/>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E700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700BB"/>
    <w:rPr>
      <w:rFonts w:ascii="Tahoma" w:hAnsi="Tahoma" w:cs="Mangal"/>
      <w:sz w:val="16"/>
      <w:szCs w:val="14"/>
    </w:rPr>
  </w:style>
  <w:style w:type="character" w:styleId="Emphasis">
    <w:name w:val="Emphasis"/>
    <w:basedOn w:val="DefaultParagraphFont"/>
    <w:uiPriority w:val="20"/>
    <w:qFormat/>
    <w:rsid w:val="005878EF"/>
    <w:rPr>
      <w:i/>
      <w:iCs/>
    </w:rPr>
  </w:style>
  <w:style w:type="character" w:styleId="Hyperlink">
    <w:name w:val="Hyperlink"/>
    <w:basedOn w:val="DefaultParagraphFont"/>
    <w:uiPriority w:val="99"/>
    <w:semiHidden/>
    <w:unhideWhenUsed/>
    <w:rsid w:val="005878EF"/>
    <w:rPr>
      <w:color w:val="0000FF" w:themeColor="hyperlink"/>
      <w:u w:val="single"/>
    </w:rPr>
  </w:style>
  <w:style w:type="paragraph" w:styleId="Header">
    <w:name w:val="header"/>
    <w:basedOn w:val="Normal"/>
    <w:link w:val="HeaderChar"/>
    <w:uiPriority w:val="99"/>
    <w:unhideWhenUsed/>
    <w:rsid w:val="00507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D4"/>
  </w:style>
  <w:style w:type="paragraph" w:styleId="Footer">
    <w:name w:val="footer"/>
    <w:basedOn w:val="Normal"/>
    <w:link w:val="FooterChar"/>
    <w:uiPriority w:val="99"/>
    <w:unhideWhenUsed/>
    <w:rsid w:val="00507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5066">
      <w:bodyDiv w:val="1"/>
      <w:marLeft w:val="0"/>
      <w:marRight w:val="0"/>
      <w:marTop w:val="0"/>
      <w:marBottom w:val="0"/>
      <w:divBdr>
        <w:top w:val="none" w:sz="0" w:space="0" w:color="auto"/>
        <w:left w:val="none" w:sz="0" w:space="0" w:color="auto"/>
        <w:bottom w:val="none" w:sz="0" w:space="0" w:color="auto"/>
        <w:right w:val="none" w:sz="0" w:space="0" w:color="auto"/>
      </w:divBdr>
    </w:div>
    <w:div w:id="1182940796">
      <w:bodyDiv w:val="1"/>
      <w:marLeft w:val="0"/>
      <w:marRight w:val="0"/>
      <w:marTop w:val="0"/>
      <w:marBottom w:val="0"/>
      <w:divBdr>
        <w:top w:val="none" w:sz="0" w:space="0" w:color="auto"/>
        <w:left w:val="none" w:sz="0" w:space="0" w:color="auto"/>
        <w:bottom w:val="none" w:sz="0" w:space="0" w:color="auto"/>
        <w:right w:val="none" w:sz="0" w:space="0" w:color="auto"/>
      </w:divBdr>
    </w:div>
    <w:div w:id="21255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orfonline.org/"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5.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SDP%20Calc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conomics\Desktop\New%20Microsoft%20Office%20Excel%20Worksheet%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conomics\Desktop\Articles%20Communicated\Jadavpur%20Journal\Revised%20Manuscript\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Revised Budget Estimate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Sheet2!$B$2:$B$8</c:f>
              <c:numCache>
                <c:formatCode>#,##0.00</c:formatCode>
                <c:ptCount val="7"/>
                <c:pt idx="0">
                  <c:v>27359.17</c:v>
                </c:pt>
                <c:pt idx="1">
                  <c:v>29669.22</c:v>
                </c:pt>
                <c:pt idx="2">
                  <c:v>32180.080000000005</c:v>
                </c:pt>
                <c:pt idx="3">
                  <c:v>40971.689999999995</c:v>
                </c:pt>
                <c:pt idx="4">
                  <c:v>47087.950000000012</c:v>
                </c:pt>
                <c:pt idx="5">
                  <c:v>53374.189999999995</c:v>
                </c:pt>
                <c:pt idx="6">
                  <c:v>51270.9</c:v>
                </c:pt>
              </c:numCache>
            </c:numRef>
          </c:val>
          <c:extLst>
            <c:ext xmlns:c16="http://schemas.microsoft.com/office/drawing/2014/chart" uri="{C3380CC4-5D6E-409C-BE32-E72D297353CC}">
              <c16:uniqueId val="{00000000-CD1A-4835-ABBE-3B76A533F1EC}"/>
            </c:ext>
          </c:extLst>
        </c:ser>
        <c:ser>
          <c:idx val="1"/>
          <c:order val="1"/>
          <c:tx>
            <c:strRef>
              <c:f>Sheet2!$C$1</c:f>
              <c:strCache>
                <c:ptCount val="1"/>
                <c:pt idx="0">
                  <c:v>Actual Expenditure</c:v>
                </c:pt>
              </c:strCache>
            </c:strRef>
          </c:tx>
          <c:invertIfNegative val="0"/>
          <c:cat>
            <c:strRef>
              <c:f>Sheet2!$A$2:$A$8</c:f>
              <c:strCache>
                <c:ptCount val="7"/>
                <c:pt idx="0">
                  <c:v>2014-15</c:v>
                </c:pt>
                <c:pt idx="1">
                  <c:v>2015-16</c:v>
                </c:pt>
                <c:pt idx="2">
                  <c:v>2016-17</c:v>
                </c:pt>
                <c:pt idx="3">
                  <c:v>2017-18</c:v>
                </c:pt>
                <c:pt idx="4">
                  <c:v>2018-19</c:v>
                </c:pt>
                <c:pt idx="5">
                  <c:v>2019-20</c:v>
                </c:pt>
                <c:pt idx="6">
                  <c:v>2020-21</c:v>
                </c:pt>
              </c:strCache>
            </c:strRef>
          </c:cat>
          <c:val>
            <c:numRef>
              <c:f>Sheet2!$C$2:$C$8</c:f>
              <c:numCache>
                <c:formatCode>#,##0.00</c:formatCode>
                <c:ptCount val="7"/>
                <c:pt idx="0">
                  <c:v>24819.18</c:v>
                </c:pt>
                <c:pt idx="1">
                  <c:v>28673.73</c:v>
                </c:pt>
                <c:pt idx="2">
                  <c:v>29367.9</c:v>
                </c:pt>
                <c:pt idx="3">
                  <c:v>39753.440000000002</c:v>
                </c:pt>
                <c:pt idx="4">
                  <c:v>46054.8</c:v>
                </c:pt>
                <c:pt idx="5">
                  <c:v>48533.8</c:v>
                </c:pt>
                <c:pt idx="6">
                  <c:v>48563.82</c:v>
                </c:pt>
              </c:numCache>
            </c:numRef>
          </c:val>
          <c:extLst>
            <c:ext xmlns:c16="http://schemas.microsoft.com/office/drawing/2014/chart" uri="{C3380CC4-5D6E-409C-BE32-E72D297353CC}">
              <c16:uniqueId val="{00000001-CD1A-4835-ABBE-3B76A533F1EC}"/>
            </c:ext>
          </c:extLst>
        </c:ser>
        <c:dLbls>
          <c:showLegendKey val="0"/>
          <c:showVal val="0"/>
          <c:showCatName val="0"/>
          <c:showSerName val="0"/>
          <c:showPercent val="0"/>
          <c:showBubbleSize val="0"/>
        </c:dLbls>
        <c:gapWidth val="150"/>
        <c:axId val="64339968"/>
        <c:axId val="64341888"/>
      </c:barChart>
      <c:catAx>
        <c:axId val="643399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64341888"/>
        <c:crosses val="autoZero"/>
        <c:auto val="1"/>
        <c:lblAlgn val="ctr"/>
        <c:lblOffset val="100"/>
        <c:noMultiLvlLbl val="0"/>
      </c:catAx>
      <c:valAx>
        <c:axId val="64341888"/>
        <c:scaling>
          <c:orientation val="minMax"/>
        </c:scaling>
        <c:delete val="0"/>
        <c:axPos val="l"/>
        <c:numFmt formatCode="#,##0.00"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6433996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Share of NEI</c:v>
                </c:pt>
              </c:strCache>
            </c:strRef>
          </c:tx>
          <c:marker>
            <c:symbol val="none"/>
          </c:marker>
          <c:cat>
            <c:strRef>
              <c:f>Sheet1!$A$2:$A$24</c:f>
              <c:strCache>
                <c:ptCount val="23"/>
                <c:pt idx="0">
                  <c:v>1991-92</c:v>
                </c:pt>
                <c:pt idx="1">
                  <c:v>1992-93</c:v>
                </c:pt>
                <c:pt idx="2">
                  <c:v>1993-94</c:v>
                </c:pt>
                <c:pt idx="3">
                  <c:v>1994-95</c:v>
                </c:pt>
                <c:pt idx="4">
                  <c:v>1995-96</c:v>
                </c:pt>
                <c:pt idx="5">
                  <c:v>1996-97</c:v>
                </c:pt>
                <c:pt idx="6">
                  <c:v>1997-98</c:v>
                </c:pt>
                <c:pt idx="7">
                  <c:v>1998-99</c:v>
                </c:pt>
                <c:pt idx="8">
                  <c:v>1999-00</c:v>
                </c:pt>
                <c:pt idx="9">
                  <c:v>2000-01</c:v>
                </c:pt>
                <c:pt idx="10">
                  <c:v>2001-02</c:v>
                </c:pt>
                <c:pt idx="11">
                  <c:v>2002-03</c:v>
                </c:pt>
                <c:pt idx="12">
                  <c:v>2003-04</c:v>
                </c:pt>
                <c:pt idx="13">
                  <c:v>2004-05</c:v>
                </c:pt>
                <c:pt idx="14">
                  <c:v>2005-06</c:v>
                </c:pt>
                <c:pt idx="15">
                  <c:v>2006-07</c:v>
                </c:pt>
                <c:pt idx="16">
                  <c:v>2007-08</c:v>
                </c:pt>
                <c:pt idx="17">
                  <c:v>2008-09</c:v>
                </c:pt>
                <c:pt idx="18">
                  <c:v>2009-10</c:v>
                </c:pt>
                <c:pt idx="19">
                  <c:v>2010-11</c:v>
                </c:pt>
                <c:pt idx="20">
                  <c:v>2011-12</c:v>
                </c:pt>
                <c:pt idx="21">
                  <c:v>2012-13</c:v>
                </c:pt>
                <c:pt idx="22">
                  <c:v>2013-14</c:v>
                </c:pt>
              </c:strCache>
            </c:strRef>
          </c:cat>
          <c:val>
            <c:numRef>
              <c:f>Sheet1!$B$2:$B$24</c:f>
              <c:numCache>
                <c:formatCode>General</c:formatCode>
                <c:ptCount val="23"/>
                <c:pt idx="0">
                  <c:v>3.7573873781433886</c:v>
                </c:pt>
                <c:pt idx="1">
                  <c:v>3.6191365533821291</c:v>
                </c:pt>
                <c:pt idx="2">
                  <c:v>3.6463051621567981</c:v>
                </c:pt>
                <c:pt idx="3">
                  <c:v>3.4947920042282927</c:v>
                </c:pt>
                <c:pt idx="4">
                  <c:v>3.3866567011917668</c:v>
                </c:pt>
                <c:pt idx="5">
                  <c:v>3.2310763367281337</c:v>
                </c:pt>
                <c:pt idx="6">
                  <c:v>3.2127191873066732</c:v>
                </c:pt>
                <c:pt idx="7">
                  <c:v>3.0355543217936347</c:v>
                </c:pt>
                <c:pt idx="8">
                  <c:v>2.9817078335087777</c:v>
                </c:pt>
                <c:pt idx="9">
                  <c:v>2.9662319611744872</c:v>
                </c:pt>
                <c:pt idx="10">
                  <c:v>2.9582997413719436</c:v>
                </c:pt>
                <c:pt idx="11">
                  <c:v>3.0005004849815342</c:v>
                </c:pt>
                <c:pt idx="12">
                  <c:v>2.955982876735642</c:v>
                </c:pt>
                <c:pt idx="13">
                  <c:v>2.9083021546280827</c:v>
                </c:pt>
                <c:pt idx="14">
                  <c:v>2.787036633034603</c:v>
                </c:pt>
                <c:pt idx="15">
                  <c:v>2.6748124314445327</c:v>
                </c:pt>
                <c:pt idx="16">
                  <c:v>2.5777147548491492</c:v>
                </c:pt>
                <c:pt idx="17">
                  <c:v>2.6034517500190812</c:v>
                </c:pt>
                <c:pt idx="18">
                  <c:v>2.6572476272041929</c:v>
                </c:pt>
                <c:pt idx="19">
                  <c:v>2.5713942603913478</c:v>
                </c:pt>
                <c:pt idx="20">
                  <c:v>2.5726824155532335</c:v>
                </c:pt>
                <c:pt idx="21">
                  <c:v>2.5614347877610353</c:v>
                </c:pt>
                <c:pt idx="22">
                  <c:v>2.5343878006059599</c:v>
                </c:pt>
              </c:numCache>
            </c:numRef>
          </c:val>
          <c:smooth val="0"/>
          <c:extLst>
            <c:ext xmlns:c16="http://schemas.microsoft.com/office/drawing/2014/chart" uri="{C3380CC4-5D6E-409C-BE32-E72D297353CC}">
              <c16:uniqueId val="{00000000-EBB6-4B6F-874B-D1080638537A}"/>
            </c:ext>
          </c:extLst>
        </c:ser>
        <c:dLbls>
          <c:showLegendKey val="0"/>
          <c:showVal val="0"/>
          <c:showCatName val="0"/>
          <c:showSerName val="0"/>
          <c:showPercent val="0"/>
          <c:showBubbleSize val="0"/>
        </c:dLbls>
        <c:smooth val="0"/>
        <c:axId val="74689920"/>
        <c:axId val="74733824"/>
      </c:lineChart>
      <c:catAx>
        <c:axId val="74689920"/>
        <c:scaling>
          <c:orientation val="minMax"/>
        </c:scaling>
        <c:delete val="0"/>
        <c:axPos val="b"/>
        <c:numFmt formatCode="General" sourceLinked="0"/>
        <c:majorTickMark val="out"/>
        <c:minorTickMark val="none"/>
        <c:tickLblPos val="nextTo"/>
        <c:txPr>
          <a:bodyPr/>
          <a:lstStyle/>
          <a:p>
            <a:pPr>
              <a:defRPr sz="1100">
                <a:latin typeface="Times New Roman" pitchFamily="18" charset="0"/>
                <a:cs typeface="Times New Roman" pitchFamily="18" charset="0"/>
              </a:defRPr>
            </a:pPr>
            <a:endParaRPr lang="en-US"/>
          </a:p>
        </c:txPr>
        <c:crossAx val="74733824"/>
        <c:crosses val="autoZero"/>
        <c:auto val="1"/>
        <c:lblAlgn val="ctr"/>
        <c:lblOffset val="100"/>
        <c:noMultiLvlLbl val="0"/>
      </c:catAx>
      <c:valAx>
        <c:axId val="74733824"/>
        <c:scaling>
          <c:orientation val="minMax"/>
        </c:scaling>
        <c:delete val="0"/>
        <c:axPos val="l"/>
        <c:numFmt formatCode="General" sourceLinked="1"/>
        <c:majorTickMark val="out"/>
        <c:minorTickMark val="none"/>
        <c:tickLblPos val="nextTo"/>
        <c:txPr>
          <a:bodyPr/>
          <a:lstStyle/>
          <a:p>
            <a:pPr>
              <a:defRPr sz="1100">
                <a:latin typeface="Times New Roman" pitchFamily="18" charset="0"/>
                <a:cs typeface="Times New Roman" pitchFamily="18" charset="0"/>
              </a:defRPr>
            </a:pPr>
            <a:endParaRPr lang="en-US"/>
          </a:p>
        </c:txPr>
        <c:crossAx val="746899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c:f>
              <c:strCache>
                <c:ptCount val="1"/>
                <c:pt idx="0">
                  <c:v>Share of NEI</c:v>
                </c:pt>
              </c:strCache>
            </c:strRef>
          </c:tx>
          <c:marker>
            <c:symbol val="none"/>
          </c:marker>
          <c:cat>
            <c:strRef>
              <c:f>Sheet13!$A$2:$A$11</c:f>
              <c:strCache>
                <c:ptCount val="10"/>
                <c:pt idx="0">
                  <c:v>2014-15</c:v>
                </c:pt>
                <c:pt idx="1">
                  <c:v>2015-16</c:v>
                </c:pt>
                <c:pt idx="2">
                  <c:v>2016-17</c:v>
                </c:pt>
                <c:pt idx="3">
                  <c:v>2017-18</c:v>
                </c:pt>
                <c:pt idx="4">
                  <c:v>2018-19</c:v>
                </c:pt>
                <c:pt idx="5">
                  <c:v>2019-20</c:v>
                </c:pt>
                <c:pt idx="6">
                  <c:v>2020-21</c:v>
                </c:pt>
                <c:pt idx="7">
                  <c:v>2021-22</c:v>
                </c:pt>
                <c:pt idx="8">
                  <c:v>2022-23</c:v>
                </c:pt>
                <c:pt idx="9">
                  <c:v>2023-24</c:v>
                </c:pt>
              </c:strCache>
            </c:strRef>
          </c:cat>
          <c:val>
            <c:numRef>
              <c:f>Sheet13!$B$2:$B$11</c:f>
              <c:numCache>
                <c:formatCode>General</c:formatCode>
                <c:ptCount val="10"/>
                <c:pt idx="0">
                  <c:v>2.6628093282145278</c:v>
                </c:pt>
                <c:pt idx="1">
                  <c:v>2.7059188285746059</c:v>
                </c:pt>
                <c:pt idx="2">
                  <c:v>2.6875624561451392</c:v>
                </c:pt>
                <c:pt idx="3">
                  <c:v>2.73439956769234</c:v>
                </c:pt>
                <c:pt idx="4">
                  <c:v>2.701854891630695</c:v>
                </c:pt>
                <c:pt idx="5">
                  <c:v>2.7249926994805813</c:v>
                </c:pt>
                <c:pt idx="6">
                  <c:v>2.8212639766103207</c:v>
                </c:pt>
                <c:pt idx="7">
                  <c:v>1.1740113200171007</c:v>
                </c:pt>
                <c:pt idx="8">
                  <c:v>1.1922957634764062</c:v>
                </c:pt>
                <c:pt idx="9">
                  <c:v>2.9956925615397627</c:v>
                </c:pt>
              </c:numCache>
            </c:numRef>
          </c:val>
          <c:smooth val="0"/>
          <c:extLst>
            <c:ext xmlns:c16="http://schemas.microsoft.com/office/drawing/2014/chart" uri="{C3380CC4-5D6E-409C-BE32-E72D297353CC}">
              <c16:uniqueId val="{00000000-4073-4207-88D8-26BA169C4AC4}"/>
            </c:ext>
          </c:extLst>
        </c:ser>
        <c:dLbls>
          <c:showLegendKey val="0"/>
          <c:showVal val="0"/>
          <c:showCatName val="0"/>
          <c:showSerName val="0"/>
          <c:showPercent val="0"/>
          <c:showBubbleSize val="0"/>
        </c:dLbls>
        <c:smooth val="0"/>
        <c:axId val="81055104"/>
        <c:axId val="81082240"/>
      </c:lineChart>
      <c:catAx>
        <c:axId val="8105510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1082240"/>
        <c:crosses val="autoZero"/>
        <c:auto val="1"/>
        <c:lblAlgn val="ctr"/>
        <c:lblOffset val="100"/>
        <c:noMultiLvlLbl val="0"/>
      </c:catAx>
      <c:valAx>
        <c:axId val="8108224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1055104"/>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LEP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Sheet1!$B$2:$B$11</c:f>
              <c:numCache>
                <c:formatCode>General</c:formatCode>
                <c:ptCount val="10"/>
                <c:pt idx="0">
                  <c:v>7.31</c:v>
                </c:pt>
                <c:pt idx="1">
                  <c:v>4.68</c:v>
                </c:pt>
                <c:pt idx="2">
                  <c:v>4.8099999999999996</c:v>
                </c:pt>
                <c:pt idx="3">
                  <c:v>7.13</c:v>
                </c:pt>
                <c:pt idx="4">
                  <c:v>10.66</c:v>
                </c:pt>
                <c:pt idx="5">
                  <c:v>8.01</c:v>
                </c:pt>
                <c:pt idx="6">
                  <c:v>13.27</c:v>
                </c:pt>
                <c:pt idx="7">
                  <c:v>8.2800000000000011</c:v>
                </c:pt>
                <c:pt idx="8">
                  <c:v>5.83</c:v>
                </c:pt>
                <c:pt idx="9">
                  <c:v>7.31</c:v>
                </c:pt>
              </c:numCache>
            </c:numRef>
          </c:val>
          <c:extLst>
            <c:ext xmlns:c16="http://schemas.microsoft.com/office/drawing/2014/chart" uri="{C3380CC4-5D6E-409C-BE32-E72D297353CC}">
              <c16:uniqueId val="{00000000-0ACB-4086-A836-CF336C69FBA6}"/>
            </c:ext>
          </c:extLst>
        </c:ser>
        <c:ser>
          <c:idx val="1"/>
          <c:order val="1"/>
          <c:tx>
            <c:strRef>
              <c:f>Sheet1!$C$1</c:f>
              <c:strCache>
                <c:ptCount val="1"/>
                <c:pt idx="0">
                  <c:v>AEP</c:v>
                </c:pt>
              </c:strCache>
            </c:strRef>
          </c:tx>
          <c:invertIfNegative val="0"/>
          <c:cat>
            <c:strRef>
              <c:f>Sheet1!$A$2:$A$11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Sheet1!$C$2:$C$11</c:f>
              <c:numCache>
                <c:formatCode>General</c:formatCode>
                <c:ptCount val="10"/>
                <c:pt idx="0">
                  <c:v>4.1599999999999975</c:v>
                </c:pt>
                <c:pt idx="1">
                  <c:v>6.85</c:v>
                </c:pt>
                <c:pt idx="2">
                  <c:v>4.1599999999999975</c:v>
                </c:pt>
                <c:pt idx="3">
                  <c:v>2.5</c:v>
                </c:pt>
                <c:pt idx="4">
                  <c:v>7.17</c:v>
                </c:pt>
                <c:pt idx="5">
                  <c:v>3.3</c:v>
                </c:pt>
                <c:pt idx="6">
                  <c:v>5.72</c:v>
                </c:pt>
                <c:pt idx="7">
                  <c:v>5.4300000000000024</c:v>
                </c:pt>
                <c:pt idx="8">
                  <c:v>4.2300000000000004</c:v>
                </c:pt>
                <c:pt idx="9">
                  <c:v>4.9400000000000004</c:v>
                </c:pt>
              </c:numCache>
            </c:numRef>
          </c:val>
          <c:extLst>
            <c:ext xmlns:c16="http://schemas.microsoft.com/office/drawing/2014/chart" uri="{C3380CC4-5D6E-409C-BE32-E72D297353CC}">
              <c16:uniqueId val="{00000001-0ACB-4086-A836-CF336C69FBA6}"/>
            </c:ext>
          </c:extLst>
        </c:ser>
        <c:dLbls>
          <c:showLegendKey val="0"/>
          <c:showVal val="0"/>
          <c:showCatName val="0"/>
          <c:showSerName val="0"/>
          <c:showPercent val="0"/>
          <c:showBubbleSize val="0"/>
        </c:dLbls>
        <c:gapWidth val="150"/>
        <c:axId val="81185792"/>
        <c:axId val="81262848"/>
      </c:barChart>
      <c:catAx>
        <c:axId val="81185792"/>
        <c:scaling>
          <c:orientation val="minMax"/>
        </c:scaling>
        <c:delete val="0"/>
        <c:axPos val="b"/>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81262848"/>
        <c:crosses val="autoZero"/>
        <c:auto val="1"/>
        <c:lblAlgn val="ctr"/>
        <c:lblOffset val="100"/>
        <c:noMultiLvlLbl val="0"/>
      </c:catAx>
      <c:valAx>
        <c:axId val="81262848"/>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1185792"/>
        <c:crosses val="autoZero"/>
        <c:crossBetween val="between"/>
      </c:valAx>
    </c:plotArea>
    <c:legend>
      <c:legendPos val="r"/>
      <c:layout>
        <c:manualLayout>
          <c:xMode val="edge"/>
          <c:yMode val="edge"/>
          <c:x val="0.90947716779669563"/>
          <c:y val="0.25752444908516398"/>
          <c:w val="7.7229379228892489E-2"/>
          <c:h val="0.2364901600820776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Sheet2!$B$1</c:f>
              <c:strCache>
                <c:ptCount val="1"/>
                <c:pt idx="0">
                  <c:v>LEP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Sheet2!$B$2:$B$11</c:f>
              <c:numCache>
                <c:formatCode>General</c:formatCode>
                <c:ptCount val="10"/>
                <c:pt idx="0">
                  <c:v>5.25</c:v>
                </c:pt>
                <c:pt idx="1">
                  <c:v>3.46</c:v>
                </c:pt>
                <c:pt idx="2">
                  <c:v>3.38</c:v>
                </c:pt>
                <c:pt idx="3">
                  <c:v>5.49</c:v>
                </c:pt>
                <c:pt idx="4">
                  <c:v>5.44</c:v>
                </c:pt>
                <c:pt idx="5">
                  <c:v>4.26</c:v>
                </c:pt>
                <c:pt idx="6">
                  <c:v>11.17</c:v>
                </c:pt>
                <c:pt idx="7">
                  <c:v>7.1499999999999995</c:v>
                </c:pt>
                <c:pt idx="8">
                  <c:v>7.42</c:v>
                </c:pt>
                <c:pt idx="9">
                  <c:v>5.6099999999999985</c:v>
                </c:pt>
              </c:numCache>
            </c:numRef>
          </c:val>
          <c:extLst>
            <c:ext xmlns:c16="http://schemas.microsoft.com/office/drawing/2014/chart" uri="{C3380CC4-5D6E-409C-BE32-E72D297353CC}">
              <c16:uniqueId val="{00000000-37AA-4E82-B793-24523CF67F5B}"/>
            </c:ext>
          </c:extLst>
        </c:ser>
        <c:ser>
          <c:idx val="1"/>
          <c:order val="1"/>
          <c:tx>
            <c:strRef>
              <c:f>Sheet2!$C$1</c:f>
              <c:strCache>
                <c:ptCount val="1"/>
                <c:pt idx="0">
                  <c:v>AEP</c:v>
                </c:pt>
              </c:strCache>
            </c:strRef>
          </c:tx>
          <c:invertIfNegative val="0"/>
          <c:cat>
            <c:strRef>
              <c:f>Sheet2!$A$2:$A$11</c:f>
              <c:strCache>
                <c:ptCount val="10"/>
                <c:pt idx="0">
                  <c:v>Arunachal Pradesh</c:v>
                </c:pt>
                <c:pt idx="1">
                  <c:v>Assam</c:v>
                </c:pt>
                <c:pt idx="2">
                  <c:v>Manipur</c:v>
                </c:pt>
                <c:pt idx="3">
                  <c:v>Meghalaya</c:v>
                </c:pt>
                <c:pt idx="4">
                  <c:v>Mizoram</c:v>
                </c:pt>
                <c:pt idx="5">
                  <c:v>Nagaland</c:v>
                </c:pt>
                <c:pt idx="6">
                  <c:v>Sikkim</c:v>
                </c:pt>
                <c:pt idx="7">
                  <c:v>Tripura</c:v>
                </c:pt>
                <c:pt idx="8">
                  <c:v>NEI</c:v>
                </c:pt>
                <c:pt idx="9">
                  <c:v>India</c:v>
                </c:pt>
              </c:strCache>
            </c:strRef>
          </c:cat>
          <c:val>
            <c:numRef>
              <c:f>Sheet2!$C$2:$C$11</c:f>
              <c:numCache>
                <c:formatCode>General</c:formatCode>
                <c:ptCount val="10"/>
                <c:pt idx="0">
                  <c:v>3.14</c:v>
                </c:pt>
                <c:pt idx="1">
                  <c:v>5.7</c:v>
                </c:pt>
                <c:pt idx="2">
                  <c:v>1.9400000000000028</c:v>
                </c:pt>
                <c:pt idx="3">
                  <c:v>1.81</c:v>
                </c:pt>
                <c:pt idx="4">
                  <c:v>6.59</c:v>
                </c:pt>
                <c:pt idx="5">
                  <c:v>2.2200000000000002</c:v>
                </c:pt>
                <c:pt idx="6">
                  <c:v>4.6499999999999995</c:v>
                </c:pt>
                <c:pt idx="7">
                  <c:v>4.38</c:v>
                </c:pt>
                <c:pt idx="8">
                  <c:v>4.0599999999999996</c:v>
                </c:pt>
                <c:pt idx="9">
                  <c:v>3.64</c:v>
                </c:pt>
              </c:numCache>
            </c:numRef>
          </c:val>
          <c:extLst>
            <c:ext xmlns:c16="http://schemas.microsoft.com/office/drawing/2014/chart" uri="{C3380CC4-5D6E-409C-BE32-E72D297353CC}">
              <c16:uniqueId val="{00000001-37AA-4E82-B793-24523CF67F5B}"/>
            </c:ext>
          </c:extLst>
        </c:ser>
        <c:dLbls>
          <c:showLegendKey val="0"/>
          <c:showVal val="0"/>
          <c:showCatName val="0"/>
          <c:showSerName val="0"/>
          <c:showPercent val="0"/>
          <c:showBubbleSize val="0"/>
        </c:dLbls>
        <c:gapWidth val="150"/>
        <c:axId val="32993280"/>
        <c:axId val="32994816"/>
      </c:barChart>
      <c:catAx>
        <c:axId val="32993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2994816"/>
        <c:crosses val="autoZero"/>
        <c:auto val="1"/>
        <c:lblAlgn val="ctr"/>
        <c:lblOffset val="100"/>
        <c:noMultiLvlLbl val="0"/>
      </c:catAx>
      <c:valAx>
        <c:axId val="32994816"/>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2993280"/>
        <c:crosses val="autoZero"/>
        <c:crossBetween val="between"/>
      </c:valAx>
      <c:spPr>
        <a:noFill/>
        <a:ln w="25400">
          <a:noFill/>
        </a:ln>
      </c:spPr>
    </c:plotArea>
    <c:legend>
      <c:legendPos val="r"/>
      <c:layout>
        <c:manualLayout>
          <c:xMode val="edge"/>
          <c:yMode val="edge"/>
          <c:x val="0.91399240598414733"/>
          <c:y val="0.23884898124130308"/>
          <c:w val="7.2714141041442845E-2"/>
          <c:h val="0.3021798256996952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Percentage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Sheet3!$A$2:$A$10</c:f>
              <c:strCache>
                <c:ptCount val="9"/>
                <c:pt idx="0">
                  <c:v>2000-01</c:v>
                </c:pt>
                <c:pt idx="1">
                  <c:v>2001-02</c:v>
                </c:pt>
                <c:pt idx="2">
                  <c:v>2002-03</c:v>
                </c:pt>
                <c:pt idx="3">
                  <c:v>2003-04</c:v>
                </c:pt>
                <c:pt idx="4">
                  <c:v>2004-05</c:v>
                </c:pt>
                <c:pt idx="5">
                  <c:v>2005-06</c:v>
                </c:pt>
                <c:pt idx="6">
                  <c:v>2006-07</c:v>
                </c:pt>
                <c:pt idx="7">
                  <c:v>2007-08</c:v>
                </c:pt>
                <c:pt idx="8">
                  <c:v>2008-09</c:v>
                </c:pt>
              </c:strCache>
            </c:strRef>
          </c:cat>
          <c:val>
            <c:numRef>
              <c:f>Sheet3!$B$2:$B$10</c:f>
              <c:numCache>
                <c:formatCode>General</c:formatCode>
                <c:ptCount val="9"/>
                <c:pt idx="0">
                  <c:v>3.09</c:v>
                </c:pt>
                <c:pt idx="1">
                  <c:v>3.8099999999999987</c:v>
                </c:pt>
                <c:pt idx="2">
                  <c:v>3.55</c:v>
                </c:pt>
                <c:pt idx="3">
                  <c:v>2.98</c:v>
                </c:pt>
                <c:pt idx="4">
                  <c:v>2.6</c:v>
                </c:pt>
                <c:pt idx="5">
                  <c:v>2.9299999999999997</c:v>
                </c:pt>
                <c:pt idx="6">
                  <c:v>3.92</c:v>
                </c:pt>
                <c:pt idx="7">
                  <c:v>2.38</c:v>
                </c:pt>
                <c:pt idx="8">
                  <c:v>2.56</c:v>
                </c:pt>
              </c:numCache>
            </c:numRef>
          </c:val>
          <c:extLst>
            <c:ext xmlns:c16="http://schemas.microsoft.com/office/drawing/2014/chart" uri="{C3380CC4-5D6E-409C-BE32-E72D297353CC}">
              <c16:uniqueId val="{00000000-C04A-4A5F-AA40-36B8DCC12908}"/>
            </c:ext>
          </c:extLst>
        </c:ser>
        <c:dLbls>
          <c:showLegendKey val="0"/>
          <c:showVal val="0"/>
          <c:showCatName val="0"/>
          <c:showSerName val="0"/>
          <c:showPercent val="0"/>
          <c:showBubbleSize val="0"/>
        </c:dLbls>
        <c:gapWidth val="150"/>
        <c:axId val="33002624"/>
        <c:axId val="33004160"/>
      </c:barChart>
      <c:catAx>
        <c:axId val="330026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3004160"/>
        <c:crosses val="autoZero"/>
        <c:auto val="1"/>
        <c:lblAlgn val="ctr"/>
        <c:lblOffset val="100"/>
        <c:noMultiLvlLbl val="0"/>
      </c:catAx>
      <c:valAx>
        <c:axId val="3300416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30026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Sheet4!$B$1</c:f>
              <c:strCache>
                <c:ptCount val="1"/>
                <c:pt idx="0">
                  <c:v>Export Share</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Sheet4!$B$2:$B$10</c:f>
              <c:numCache>
                <c:formatCode>General</c:formatCode>
                <c:ptCount val="9"/>
                <c:pt idx="0">
                  <c:v>3.11</c:v>
                </c:pt>
                <c:pt idx="1">
                  <c:v>2.72</c:v>
                </c:pt>
                <c:pt idx="2">
                  <c:v>1.84</c:v>
                </c:pt>
                <c:pt idx="3">
                  <c:v>2.11</c:v>
                </c:pt>
                <c:pt idx="4">
                  <c:v>2.86</c:v>
                </c:pt>
                <c:pt idx="5">
                  <c:v>1.4</c:v>
                </c:pt>
                <c:pt idx="6">
                  <c:v>1.2</c:v>
                </c:pt>
                <c:pt idx="7">
                  <c:v>2.14</c:v>
                </c:pt>
                <c:pt idx="8">
                  <c:v>2.25</c:v>
                </c:pt>
              </c:numCache>
            </c:numRef>
          </c:val>
          <c:extLst>
            <c:ext xmlns:c16="http://schemas.microsoft.com/office/drawing/2014/chart" uri="{C3380CC4-5D6E-409C-BE32-E72D297353CC}">
              <c16:uniqueId val="{00000000-139C-4D7D-A29D-F630B6604137}"/>
            </c:ext>
          </c:extLst>
        </c:ser>
        <c:ser>
          <c:idx val="1"/>
          <c:order val="1"/>
          <c:tx>
            <c:strRef>
              <c:f>Sheet4!$C$1</c:f>
              <c:strCache>
                <c:ptCount val="1"/>
                <c:pt idx="0">
                  <c:v>Import Share</c:v>
                </c:pt>
              </c:strCache>
            </c:strRef>
          </c:tx>
          <c:invertIfNegative val="0"/>
          <c:cat>
            <c:strRef>
              <c:f>Sheet4!$A$2:$A$10</c:f>
              <c:strCache>
                <c:ptCount val="9"/>
                <c:pt idx="0">
                  <c:v>2005-06</c:v>
                </c:pt>
                <c:pt idx="1">
                  <c:v>2006-07</c:v>
                </c:pt>
                <c:pt idx="2">
                  <c:v>2007-08</c:v>
                </c:pt>
                <c:pt idx="3">
                  <c:v>2008-09</c:v>
                </c:pt>
                <c:pt idx="4">
                  <c:v>2009-10</c:v>
                </c:pt>
                <c:pt idx="5">
                  <c:v>2010-11</c:v>
                </c:pt>
                <c:pt idx="6">
                  <c:v>2011-12</c:v>
                </c:pt>
                <c:pt idx="7">
                  <c:v>2012-13</c:v>
                </c:pt>
                <c:pt idx="8">
                  <c:v>2013-14</c:v>
                </c:pt>
              </c:strCache>
            </c:strRef>
          </c:cat>
          <c:val>
            <c:numRef>
              <c:f>Sheet4!$C$2:$C$10</c:f>
              <c:numCache>
                <c:formatCode>General</c:formatCode>
                <c:ptCount val="9"/>
                <c:pt idx="0">
                  <c:v>1.57</c:v>
                </c:pt>
                <c:pt idx="1">
                  <c:v>1.37</c:v>
                </c:pt>
                <c:pt idx="2">
                  <c:v>1.22</c:v>
                </c:pt>
                <c:pt idx="3">
                  <c:v>0.45</c:v>
                </c:pt>
                <c:pt idx="4">
                  <c:v>0.60000000000000064</c:v>
                </c:pt>
                <c:pt idx="5">
                  <c:v>0.82000000000000062</c:v>
                </c:pt>
                <c:pt idx="6">
                  <c:v>0.64000000000000912</c:v>
                </c:pt>
                <c:pt idx="7">
                  <c:v>1.9100000000000001</c:v>
                </c:pt>
                <c:pt idx="8">
                  <c:v>2.2200000000000002</c:v>
                </c:pt>
              </c:numCache>
            </c:numRef>
          </c:val>
          <c:extLst>
            <c:ext xmlns:c16="http://schemas.microsoft.com/office/drawing/2014/chart" uri="{C3380CC4-5D6E-409C-BE32-E72D297353CC}">
              <c16:uniqueId val="{00000001-139C-4D7D-A29D-F630B6604137}"/>
            </c:ext>
          </c:extLst>
        </c:ser>
        <c:dLbls>
          <c:showLegendKey val="0"/>
          <c:showVal val="0"/>
          <c:showCatName val="0"/>
          <c:showSerName val="0"/>
          <c:showPercent val="0"/>
          <c:showBubbleSize val="0"/>
        </c:dLbls>
        <c:gapWidth val="150"/>
        <c:axId val="53001216"/>
        <c:axId val="53011200"/>
      </c:barChart>
      <c:catAx>
        <c:axId val="530012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53011200"/>
        <c:crosses val="autoZero"/>
        <c:auto val="1"/>
        <c:lblAlgn val="ctr"/>
        <c:lblOffset val="100"/>
        <c:noMultiLvlLbl val="0"/>
      </c:catAx>
      <c:valAx>
        <c:axId val="53011200"/>
        <c:scaling>
          <c:orientation val="minMax"/>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53001216"/>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13</Pages>
  <Words>4887</Words>
  <Characters>27856</Characters>
  <Application>Microsoft Office Word</Application>
  <DocSecurity>0</DocSecurity>
  <Lines>232</Lines>
  <Paragraphs>65</Paragraphs>
  <ScaleCrop>false</ScaleCrop>
  <Company>Microsoft</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dc:creator>
  <cp:keywords/>
  <dc:description/>
  <cp:lastModifiedBy>SDI PC New 16</cp:lastModifiedBy>
  <cp:revision>260</cp:revision>
  <dcterms:created xsi:type="dcterms:W3CDTF">2025-08-03T16:11:00Z</dcterms:created>
  <dcterms:modified xsi:type="dcterms:W3CDTF">2025-08-22T09:54:00Z</dcterms:modified>
</cp:coreProperties>
</file>