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78D" w:rsidRDefault="00551C1A">
      <w:pPr>
        <w:pStyle w:val="Heading1"/>
        <w:keepNext w:val="0"/>
        <w:keepLines w:val="0"/>
        <w:spacing w:before="0" w:line="240" w:lineRule="auto"/>
        <w:jc w:val="center"/>
        <w:rPr>
          <w:rFonts w:ascii="Times New Roman" w:eastAsia="Times New Roman" w:hAnsi="Times New Roman" w:cs="Times New Roman"/>
          <w:b/>
          <w:sz w:val="28"/>
          <w:szCs w:val="28"/>
        </w:rPr>
      </w:pPr>
      <w:bookmarkStart w:id="0" w:name="_jscbpx2axhpf" w:colFirst="0" w:colLast="0"/>
      <w:bookmarkEnd w:id="0"/>
      <w:r>
        <w:rPr>
          <w:rFonts w:ascii="Times New Roman" w:eastAsia="Times New Roman" w:hAnsi="Times New Roman" w:cs="Times New Roman"/>
          <w:b/>
          <w:sz w:val="28"/>
          <w:szCs w:val="28"/>
        </w:rPr>
        <w:t>Rwanda Coffee Export Competitiveness (1990–2024): Time-Series Insights into Production, World Prices, Exchange Rates, and Policy Drivers</w:t>
      </w:r>
    </w:p>
    <w:p w:rsidR="0045078D" w:rsidRDefault="0045078D">
      <w:pPr>
        <w:spacing w:after="80"/>
        <w:rPr>
          <w:rFonts w:ascii="Times New Roman" w:eastAsia="Times New Roman" w:hAnsi="Times New Roman" w:cs="Times New Roman"/>
          <w:b/>
        </w:rPr>
      </w:pPr>
    </w:p>
    <w:p w:rsidR="0045078D" w:rsidRDefault="0045078D">
      <w:pPr>
        <w:spacing w:after="80"/>
        <w:rPr>
          <w:rFonts w:ascii="Times New Roman" w:eastAsia="Times New Roman" w:hAnsi="Times New Roman" w:cs="Times New Roman"/>
          <w:b/>
        </w:rPr>
      </w:pPr>
    </w:p>
    <w:p w:rsidR="0045078D" w:rsidRDefault="00551C1A">
      <w:pPr>
        <w:spacing w:after="80"/>
        <w:ind w:firstLine="720"/>
        <w:jc w:val="both"/>
        <w:rPr>
          <w:rFonts w:ascii="Times New Roman" w:eastAsia="Times New Roman" w:hAnsi="Times New Roman" w:cs="Times New Roman"/>
        </w:rPr>
      </w:pPr>
      <w:r>
        <w:rPr>
          <w:rFonts w:ascii="Times New Roman" w:eastAsia="Times New Roman" w:hAnsi="Times New Roman" w:cs="Times New Roman"/>
          <w:b/>
        </w:rPr>
        <w:t xml:space="preserve">Abstract: </w:t>
      </w:r>
      <w:r w:rsidRPr="00551C1A">
        <w:rPr>
          <w:rFonts w:ascii="Times New Roman" w:eastAsia="Times New Roman" w:hAnsi="Times New Roman"/>
          <w:b/>
          <w:bCs/>
        </w:rPr>
        <w:t>Background:</w:t>
      </w:r>
      <w:r w:rsidRPr="00551C1A">
        <w:rPr>
          <w:rFonts w:ascii="Times New Roman" w:eastAsia="Times New Roman" w:hAnsi="Times New Roman"/>
        </w:rPr>
        <w:t xml:space="preserve"> Rwanda’s coffee export competitiveness faces shifting global demand toward specialty and sustainability alongside persistent production constraints and policy frictions. </w:t>
      </w:r>
      <w:r w:rsidRPr="00551C1A">
        <w:rPr>
          <w:rFonts w:ascii="Times New Roman" w:eastAsia="Times New Roman" w:hAnsi="Times New Roman"/>
          <w:b/>
          <w:bCs/>
        </w:rPr>
        <w:t>Purpose:</w:t>
      </w:r>
      <w:r w:rsidRPr="00551C1A">
        <w:rPr>
          <w:rFonts w:ascii="Times New Roman" w:eastAsia="Times New Roman" w:hAnsi="Times New Roman"/>
        </w:rPr>
        <w:t xml:space="preserve"> To reassess the determinants of Rwanda’s coffee export performance over 1990–2024 using updated secondary data and modern time series econometrics. </w:t>
      </w:r>
      <w:r w:rsidRPr="00551C1A">
        <w:rPr>
          <w:rFonts w:ascii="Times New Roman" w:eastAsia="Times New Roman" w:hAnsi="Times New Roman"/>
          <w:b/>
          <w:bCs/>
        </w:rPr>
        <w:t>Methods:</w:t>
      </w:r>
      <w:r w:rsidRPr="00551C1A">
        <w:rPr>
          <w:rFonts w:ascii="Times New Roman" w:eastAsia="Times New Roman" w:hAnsi="Times New Roman"/>
        </w:rPr>
        <w:t xml:space="preserve"> Annual series from NAEB, BNR, ICO, FAO, IMF, and the World Bank were compiled; a Johansen vector error correction model was estimated to separate long-run equilibria from short-run dynamics; robustness was verified with an ARDL bounds approach; and structural episodes were coded for post-1995 liberalization, the 2008–2009 global crisis, the 2015 zoning regime, and the 2020 pandemic. </w:t>
      </w:r>
      <w:r w:rsidRPr="00551C1A">
        <w:rPr>
          <w:rFonts w:ascii="Times New Roman" w:eastAsia="Times New Roman" w:hAnsi="Times New Roman"/>
          <w:b/>
          <w:bCs/>
        </w:rPr>
        <w:t xml:space="preserve">Results: </w:t>
      </w:r>
      <w:r w:rsidRPr="00551C1A">
        <w:rPr>
          <w:rFonts w:ascii="Times New Roman" w:eastAsia="Times New Roman" w:hAnsi="Times New Roman"/>
        </w:rPr>
        <w:t xml:space="preserve">One cointegrating vector links export earnings with domestic production, world prices, the exchange rate, and global supply. Long-run elasticities indicate that a 1 percent increase in production raises export value by about 1.3 percent, world-price elasticity is near unity, exchange-rate depreciation has a modest positive effect, and world production exerts a negative pressure. The error-correction term implies roughly 40 percent annual adjustment toward equilibrium. Liberalization shifts levels upward, while the global crisis and the pandemic depress them; the post-2015 zoning effect is small and statistically weak. Comparative evidence from Uganda and Ethiopia suggests that volume expansion paired with competitive pricing mechanisms accelerates export growth. </w:t>
      </w:r>
      <w:r w:rsidRPr="00551C1A">
        <w:rPr>
          <w:rFonts w:ascii="Times New Roman" w:eastAsia="Times New Roman" w:hAnsi="Times New Roman"/>
          <w:b/>
          <w:bCs/>
        </w:rPr>
        <w:t xml:space="preserve">Conclusions: </w:t>
      </w:r>
      <w:r w:rsidRPr="00551C1A">
        <w:rPr>
          <w:rFonts w:ascii="Times New Roman" w:eastAsia="Times New Roman" w:hAnsi="Times New Roman"/>
        </w:rPr>
        <w:t xml:space="preserve">Rwanda’s export performance is primarily driven by domestic supply capacity and international prices, with macro conditions and policy episodes shaping levels and adjustment. </w:t>
      </w:r>
      <w:r w:rsidRPr="00551C1A">
        <w:rPr>
          <w:rFonts w:ascii="Times New Roman" w:eastAsia="Times New Roman" w:hAnsi="Times New Roman"/>
          <w:b/>
          <w:bCs/>
        </w:rPr>
        <w:t xml:space="preserve">Implications: </w:t>
      </w:r>
      <w:r w:rsidRPr="00551C1A">
        <w:rPr>
          <w:rFonts w:ascii="Times New Roman" w:eastAsia="Times New Roman" w:hAnsi="Times New Roman"/>
        </w:rPr>
        <w:t>A dual strategy is warranted that accelerates tree rejuvenation and yield gains while reforming pricing and market structures to align farmer incentives with export performance, alongside continued quality differentiation and prudent macro stability</w:t>
      </w:r>
    </w:p>
    <w:p w:rsidR="0045078D" w:rsidRDefault="00551C1A">
      <w:pPr>
        <w:spacing w:after="80"/>
        <w:ind w:firstLine="720"/>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Rwanda coffee exports; export competitiveness; Vector Error Correction Model; ARDL bounds test; domestic production; global coffee prices; policy episodes</w:t>
      </w:r>
    </w:p>
    <w:p w:rsidR="0045078D" w:rsidRDefault="00551C1A">
      <w:pPr>
        <w:pStyle w:val="Heading2"/>
        <w:keepNext w:val="0"/>
        <w:keepLines w:val="0"/>
        <w:numPr>
          <w:ilvl w:val="0"/>
          <w:numId w:val="1"/>
        </w:numPr>
        <w:spacing w:after="80"/>
        <w:rPr>
          <w:rFonts w:ascii="Times New Roman" w:eastAsia="Times New Roman" w:hAnsi="Times New Roman" w:cs="Times New Roman"/>
          <w:b/>
          <w:sz w:val="26"/>
          <w:szCs w:val="26"/>
        </w:rPr>
      </w:pPr>
      <w:bookmarkStart w:id="1" w:name="_e2z7fjlbl9ca" w:colFirst="0" w:colLast="0"/>
      <w:bookmarkEnd w:id="1"/>
      <w:r>
        <w:rPr>
          <w:rFonts w:ascii="Times New Roman" w:eastAsia="Times New Roman" w:hAnsi="Times New Roman" w:cs="Times New Roman"/>
          <w:b/>
          <w:sz w:val="26"/>
          <w:szCs w:val="26"/>
        </w:rPr>
        <w:t>Introduction</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Coffee is one of the world’s most traded agricultural commodities and a lifeline for many developing economies (FAO, 2024; ICO, 2024). In Rwanda, coffee has long been a pillar of the economy and rural livelihoods. During the late 20th century, coffee accounted for an overwhelming share of Rwanda’s export revenues – between 60% and 80% of total export earnings in the 1970s and 1980s (</w:t>
      </w:r>
      <w:proofErr w:type="spellStart"/>
      <w:r>
        <w:rPr>
          <w:rFonts w:ascii="Times New Roman" w:eastAsia="Times New Roman" w:hAnsi="Times New Roman" w:cs="Times New Roman"/>
        </w:rPr>
        <w:t>Berlage</w:t>
      </w:r>
      <w:proofErr w:type="spellEnd"/>
      <w:r>
        <w:rPr>
          <w:rFonts w:ascii="Times New Roman" w:eastAsia="Times New Roman" w:hAnsi="Times New Roman" w:cs="Times New Roman"/>
        </w:rPr>
        <w:t xml:space="preserve"> et al., 2003). This heavy reliance on a single crop meant that fluctuations in coffee prices and output had outsized impacts on national income and rural welfare. Following the 1994 genocide and subsequent reforms, Rwanda’s economy diversified, and the relative weight of coffee in exports declined. By 2019, coffee together with tea made up only about 6.9% of Rwanda’s merchandise exports, down more than 50% from their share in 2010 (IGC, 2022). Despite this proportional decline, coffee remains a </w:t>
      </w:r>
      <w:r>
        <w:rPr>
          <w:rFonts w:ascii="Times New Roman" w:eastAsia="Times New Roman" w:hAnsi="Times New Roman" w:cs="Times New Roman"/>
          <w:b/>
        </w:rPr>
        <w:t>strategic export</w:t>
      </w:r>
      <w:r>
        <w:rPr>
          <w:rFonts w:ascii="Times New Roman" w:eastAsia="Times New Roman" w:hAnsi="Times New Roman" w:cs="Times New Roman"/>
        </w:rPr>
        <w:t xml:space="preserve"> – contributing vital foreign exchange and engaging an estimated 400,000 smallholder families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w:t>
      </w:r>
      <w:r>
        <w:rPr>
          <w:rFonts w:ascii="Times New Roman" w:eastAsia="Times New Roman" w:hAnsi="Times New Roman" w:cs="Times New Roman"/>
          <w:sz w:val="23"/>
          <w:szCs w:val="23"/>
          <w:highlight w:val="white"/>
        </w:rPr>
        <w:t>EFICO, 2023</w:t>
      </w:r>
      <w:r>
        <w:rPr>
          <w:rFonts w:ascii="Times New Roman" w:eastAsia="Times New Roman" w:hAnsi="Times New Roman" w:cs="Times New Roman"/>
        </w:rPr>
        <w:t xml:space="preserve">). Rwanda’s </w:t>
      </w:r>
      <w:r>
        <w:rPr>
          <w:rFonts w:ascii="Times New Roman" w:eastAsia="Times New Roman" w:hAnsi="Times New Roman" w:cs="Times New Roman"/>
          <w:b/>
        </w:rPr>
        <w:t>economic development plans</w:t>
      </w:r>
      <w:r>
        <w:rPr>
          <w:rFonts w:ascii="Times New Roman" w:eastAsia="Times New Roman" w:hAnsi="Times New Roman" w:cs="Times New Roman"/>
        </w:rPr>
        <w:t xml:space="preserve"> consistently emphasize coffee for its potential in poverty reduction and trade growth, aligning with the nation’s Vision 2050 agenda of becoming an upper-middle-income country through high-value exports.</w:t>
      </w:r>
    </w:p>
    <w:p w:rsidR="0045078D" w:rsidRDefault="00551C1A">
      <w:pPr>
        <w:spacing w:before="240" w:after="240"/>
        <w:ind w:firstLine="720"/>
        <w:jc w:val="both"/>
        <w:rPr>
          <w:rFonts w:ascii="Times New Roman" w:eastAsia="Times New Roman" w:hAnsi="Times New Roman"/>
          <w:lang w:val="en-US"/>
        </w:rPr>
      </w:pPr>
      <w:r>
        <w:rPr>
          <w:rFonts w:ascii="Times New Roman" w:eastAsia="Times New Roman" w:hAnsi="Times New Roman" w:cs="Times New Roman"/>
        </w:rPr>
        <w:lastRenderedPageBreak/>
        <w:t xml:space="preserve">Globally, the coffee sector has experienced dramatic shifts that set the context for Rwanda’s trade performance (Xinhua, 2025). On the demand side, consumer preferences are evolving toward specialty and sustainably sourced coffee, offering opportunities for premium pricing. On the supply side, production growth in major exporters like Brazil, Vietnam, </w:t>
      </w:r>
      <w:r>
        <w:rPr>
          <w:rFonts w:ascii="Times New Roman" w:eastAsia="Times New Roman" w:hAnsi="Times New Roman" w:cs="Times New Roman"/>
          <w:b/>
        </w:rPr>
        <w:t>Ethiopia</w:t>
      </w:r>
      <w:r>
        <w:rPr>
          <w:rFonts w:ascii="Times New Roman" w:eastAsia="Times New Roman" w:hAnsi="Times New Roman" w:cs="Times New Roman"/>
        </w:rPr>
        <w:t xml:space="preserve">, and </w:t>
      </w:r>
      <w:r>
        <w:rPr>
          <w:rFonts w:ascii="Times New Roman" w:eastAsia="Times New Roman" w:hAnsi="Times New Roman" w:cs="Times New Roman"/>
          <w:b/>
        </w:rPr>
        <w:t>Uganda</w:t>
      </w:r>
      <w:r>
        <w:rPr>
          <w:rFonts w:ascii="Times New Roman" w:eastAsia="Times New Roman" w:hAnsi="Times New Roman" w:cs="Times New Roman"/>
        </w:rPr>
        <w:t xml:space="preserve"> has intensified competition and periodically depressed world prices. Notably, Ethiopia – Africa’s largest coffee producer – recently hit a record $1.87 billion in coffee export earnings in 2025 (</w:t>
      </w:r>
      <w:proofErr w:type="spellStart"/>
      <w:r>
        <w:rPr>
          <w:rFonts w:ascii="Times New Roman" w:eastAsia="Times New Roman" w:hAnsi="Times New Roman" w:cs="Times New Roman"/>
        </w:rPr>
        <w:t>Kisembo</w:t>
      </w:r>
      <w:proofErr w:type="spellEnd"/>
      <w:r>
        <w:rPr>
          <w:rFonts w:ascii="Times New Roman" w:eastAsia="Times New Roman" w:hAnsi="Times New Roman" w:cs="Times New Roman"/>
        </w:rPr>
        <w:t xml:space="preserve">, 2025; </w:t>
      </w:r>
      <w:proofErr w:type="spellStart"/>
      <w:r>
        <w:rPr>
          <w:rFonts w:ascii="Times New Roman" w:eastAsia="Times New Roman" w:hAnsi="Times New Roman" w:cs="Times New Roman"/>
        </w:rPr>
        <w:t>Ecofin</w:t>
      </w:r>
      <w:proofErr w:type="spellEnd"/>
      <w:r>
        <w:rPr>
          <w:rFonts w:ascii="Times New Roman" w:eastAsia="Times New Roman" w:hAnsi="Times New Roman" w:cs="Times New Roman"/>
        </w:rPr>
        <w:t xml:space="preserve"> Agency, 2025), dwarfing Rwanda’s roughly $100 million and underscoring the latter’s small global market share. Uganda too has emerged as a regional powerhouse, exporting 6.26 million 60-kg bags in 2021/22 (worth $862 million) and nearly $2.0 billion in 2024/25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Daily Monitor, 2025; UCDA, 2022; FBMEA, 2025). These comparisons highlight both the </w:t>
      </w:r>
      <w:r>
        <w:rPr>
          <w:rFonts w:ascii="Times New Roman" w:eastAsia="Times New Roman" w:hAnsi="Times New Roman" w:cs="Times New Roman"/>
          <w:b/>
        </w:rPr>
        <w:t>potential and challenges</w:t>
      </w:r>
      <w:r>
        <w:rPr>
          <w:rFonts w:ascii="Times New Roman" w:eastAsia="Times New Roman" w:hAnsi="Times New Roman" w:cs="Times New Roman"/>
        </w:rPr>
        <w:t xml:space="preserve"> for Rwanda: while it cannot rival the volume of its neighbors due to land and production constraints, it can leverage quality differentiation and nimble policy to compete in niche markets. Indeed, Rwanda has cultivated an international reputation for high-quality Arabica coffee, often winning taste awards and commanding above-average prices per kilogram (NAEB, 2025; </w:t>
      </w:r>
      <w:proofErr w:type="spellStart"/>
      <w:r>
        <w:rPr>
          <w:rFonts w:ascii="Times New Roman" w:eastAsia="Times New Roman" w:hAnsi="Times New Roman" w:cs="Times New Roman"/>
        </w:rPr>
        <w:t>Tridge</w:t>
      </w:r>
      <w:proofErr w:type="spellEnd"/>
      <w:r>
        <w:rPr>
          <w:rFonts w:ascii="Times New Roman" w:eastAsia="Times New Roman" w:hAnsi="Times New Roman" w:cs="Times New Roman"/>
        </w:rPr>
        <w:t>, 2023).</w:t>
      </w:r>
    </w:p>
    <w:p w:rsidR="00551C1A" w:rsidRDefault="00551C1A" w:rsidP="007544ED">
      <w:pPr>
        <w:spacing w:before="240" w:after="240"/>
        <w:jc w:val="both"/>
        <w:rPr>
          <w:rFonts w:ascii="Times New Roman" w:eastAsia="Times New Roman" w:hAnsi="Times New Roman" w:cs="Times New Roman"/>
          <w:lang w:val="en-US"/>
        </w:rPr>
      </w:pPr>
      <w:r w:rsidRPr="00247074">
        <w:rPr>
          <w:rFonts w:ascii="Times New Roman" w:eastAsia="Times New Roman" w:hAnsi="Times New Roman"/>
          <w:lang w:val="en-US"/>
        </w:rPr>
        <w:t>Recent consumer data confirm this demand shift: the NCA’s 2025 Specialty Coffee Report finds that 46% of U.S. adults had specialty coffee in the past day, surpassing traditional coffee consumption and reinforcing the case for Rwanda’s differentiation strategy (National Coffee Association of USA, 2025; see also Specialty Coffee Association, 2024).</w:t>
      </w:r>
    </w:p>
    <w:p w:rsidR="00551C1A"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Literature review.</w:t>
      </w:r>
      <w:r>
        <w:rPr>
          <w:rFonts w:ascii="Times New Roman" w:eastAsia="Times New Roman" w:hAnsi="Times New Roman" w:cs="Times New Roman"/>
        </w:rPr>
        <w:t xml:space="preserve"> A rich body of literature examines coffee trade and development, yet significant debates remain. Early trade models of the 20th century applied classical theories to coffee-exporting economies: for example, the </w:t>
      </w:r>
      <w:r>
        <w:rPr>
          <w:rFonts w:ascii="Times New Roman" w:eastAsia="Times New Roman" w:hAnsi="Times New Roman" w:cs="Times New Roman"/>
          <w:b/>
        </w:rPr>
        <w:t>comparative advantage</w:t>
      </w:r>
      <w:r>
        <w:rPr>
          <w:rFonts w:ascii="Times New Roman" w:eastAsia="Times New Roman" w:hAnsi="Times New Roman" w:cs="Times New Roman"/>
        </w:rPr>
        <w:t xml:space="preserve"> of Rwanda in Arabica coffee production was traditionally attributed to its high-altitude terroir and abundant rural labor. </w:t>
      </w:r>
    </w:p>
    <w:p w:rsidR="00551C1A" w:rsidRDefault="00551C1A" w:rsidP="007544ED">
      <w:pPr>
        <w:spacing w:before="240" w:after="240"/>
        <w:jc w:val="both"/>
        <w:rPr>
          <w:rFonts w:ascii="Times New Roman" w:eastAsia="Times New Roman" w:hAnsi="Times New Roman" w:cs="Times New Roman"/>
        </w:rPr>
      </w:pPr>
      <w:r w:rsidRPr="00247074">
        <w:rPr>
          <w:rFonts w:ascii="Times New Roman" w:eastAsia="Times New Roman" w:hAnsi="Times New Roman"/>
        </w:rPr>
        <w:t>Beyond comparative advantage, market-structure studies show that coffee exports have historically exhibited dynamic oligopolistic behavior among leading suppliers, shaping price adjustment and strategic responses in ways relevant to small origins like Rwanda (Karp &amp; Perloff, 1993).</w:t>
      </w:r>
    </w:p>
    <w:p w:rsidR="0045078D" w:rsidRDefault="00551C1A" w:rsidP="007544E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Under the Heckscher–Ohlin framework, Rwanda’s factor endowments (land and labor) favored primary commodity exports, a pattern seen across much of Sub-Saharan Africa (Heckscher, 1919; Ohlin, 1933). However, as </w:t>
      </w:r>
      <w:proofErr w:type="spellStart"/>
      <w:r>
        <w:rPr>
          <w:rFonts w:ascii="Times New Roman" w:eastAsia="Times New Roman" w:hAnsi="Times New Roman" w:cs="Times New Roman"/>
        </w:rPr>
        <w:t>Daviron</w:t>
      </w:r>
      <w:proofErr w:type="spellEnd"/>
      <w:r>
        <w:rPr>
          <w:rFonts w:ascii="Times New Roman" w:eastAsia="Times New Roman" w:hAnsi="Times New Roman" w:cs="Times New Roman"/>
        </w:rPr>
        <w:t xml:space="preserve"> and Ponte’s </w:t>
      </w:r>
      <w:r>
        <w:rPr>
          <w:rFonts w:ascii="Times New Roman" w:eastAsia="Times New Roman" w:hAnsi="Times New Roman" w:cs="Times New Roman"/>
          <w:i/>
        </w:rPr>
        <w:t>Coffee Paradox</w:t>
      </w:r>
      <w:r>
        <w:rPr>
          <w:rFonts w:ascii="Times New Roman" w:eastAsia="Times New Roman" w:hAnsi="Times New Roman" w:cs="Times New Roman"/>
        </w:rPr>
        <w:t xml:space="preserve"> (2005) famously argued, having a comparative advantage in producing coffee does not guarantee benefitting from coffee trade, due to value capture being concentrated in consuming countries. More recent studies on Rwanda have thus shifted focus to </w:t>
      </w:r>
      <w:r>
        <w:rPr>
          <w:rFonts w:ascii="Times New Roman" w:eastAsia="Times New Roman" w:hAnsi="Times New Roman" w:cs="Times New Roman"/>
          <w:b/>
        </w:rPr>
        <w:t>value chain dynamics and quality upgrading</w:t>
      </w:r>
      <w:r>
        <w:rPr>
          <w:rFonts w:ascii="Times New Roman" w:eastAsia="Times New Roman" w:hAnsi="Times New Roman" w:cs="Times New Roman"/>
        </w:rPr>
        <w:t xml:space="preserve">. </w:t>
      </w: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Ngabitsinze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Verpoorten</w:t>
      </w:r>
      <w:proofErr w:type="spellEnd"/>
      <w:r>
        <w:rPr>
          <w:rFonts w:ascii="Times New Roman" w:eastAsia="Times New Roman" w:hAnsi="Times New Roman" w:cs="Times New Roman"/>
        </w:rPr>
        <w:t xml:space="preserve"> (2012) documented Rwanda’s post-2000 shift from producing “ordinary” low-grade coffee to developing a specialty coffee sector (</w:t>
      </w: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et al., 2012). While hailed as a success story, they found the transformation incomplete: despite a rapid multiplication of coffee washing stations and increased fully-washed output, only a small fraction of Rwanda’s coffee qualified as true specialty grade, and many washing stations operated below capacity (NAEB, 2024). This indicated that </w:t>
      </w:r>
      <w:r>
        <w:rPr>
          <w:rFonts w:ascii="Times New Roman" w:eastAsia="Times New Roman" w:hAnsi="Times New Roman" w:cs="Times New Roman"/>
          <w:b/>
        </w:rPr>
        <w:t>infrastructure alone was not enough</w:t>
      </w:r>
      <w:r>
        <w:rPr>
          <w:rFonts w:ascii="Times New Roman" w:eastAsia="Times New Roman" w:hAnsi="Times New Roman" w:cs="Times New Roman"/>
        </w:rPr>
        <w:t xml:space="preserve"> – management inefficiencies and poor farmer incentives created a quality gap.</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Another line of inquiry highlights macroeconomic and institutional factors. A 2018 policy analysis by Clay and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warned that Rwanda’s coffee production was </w:t>
      </w:r>
      <w:r>
        <w:rPr>
          <w:rFonts w:ascii="Times New Roman" w:eastAsia="Times New Roman" w:hAnsi="Times New Roman" w:cs="Times New Roman"/>
          <w:b/>
        </w:rPr>
        <w:t>stagnating</w:t>
      </w:r>
      <w:r>
        <w:rPr>
          <w:rFonts w:ascii="Times New Roman" w:eastAsia="Times New Roman" w:hAnsi="Times New Roman" w:cs="Times New Roman"/>
        </w:rPr>
        <w:t xml:space="preserve"> and even contracting in some areas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2018). They attributed this to chronically low farm-gate prices – about 24% lower </w:t>
      </w:r>
      <w:r>
        <w:rPr>
          <w:rFonts w:ascii="Times New Roman" w:eastAsia="Times New Roman" w:hAnsi="Times New Roman" w:cs="Times New Roman"/>
        </w:rPr>
        <w:lastRenderedPageBreak/>
        <w:t xml:space="preserve">than prices in neighboring countries on average – which left farmers with minimal profits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2018). Many Rwandan farmers, especially larger growers, responded by uprooting coffee trees in favor of other crops, or by dissuading the next generation from coffee farming altogether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2018). The authors argued that farmers had been largely “left out” of Rwanda’s coffee renaissance, suggesting that without fair compensation and renewed policy attention, the sector’s gains would be unsustainable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2018). This finding aligns with the broader development literature emphasizing </w:t>
      </w:r>
      <w:r>
        <w:rPr>
          <w:rFonts w:ascii="Times New Roman" w:eastAsia="Times New Roman" w:hAnsi="Times New Roman" w:cs="Times New Roman"/>
          <w:b/>
        </w:rPr>
        <w:t>inclusive value chains</w:t>
      </w:r>
      <w:r>
        <w:rPr>
          <w:rFonts w:ascii="Times New Roman" w:eastAsia="Times New Roman" w:hAnsi="Times New Roman" w:cs="Times New Roman"/>
        </w:rPr>
        <w:t xml:space="preserve">: if export earnings do not trickle down to producers, production will eventually dwindle. A recent quantitative study by Jenkins, </w:t>
      </w:r>
      <w:proofErr w:type="spellStart"/>
      <w:r>
        <w:rPr>
          <w:rFonts w:ascii="Times New Roman" w:eastAsia="Times New Roman" w:hAnsi="Times New Roman" w:cs="Times New Roman"/>
        </w:rPr>
        <w:t>Mbakop</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Miklyaev</w:t>
      </w:r>
      <w:proofErr w:type="spellEnd"/>
      <w:r>
        <w:rPr>
          <w:rFonts w:ascii="Times New Roman" w:eastAsia="Times New Roman" w:hAnsi="Times New Roman" w:cs="Times New Roman"/>
        </w:rPr>
        <w:t xml:space="preserve"> (2023) reinforces this point through a cost–benefit analysis of Rwanda’s coffee policies. They found that an oversupply of washing stations combined with a restrictive zoning policy (which limits farmers to selling to their designated local station) has resulted in most stations operating far below capacity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The lack of competition for coffee cherries, coupled with government-regulated minimum cherry prices, has effectively capped farmer incomes. Jenkins et al. estimate that if the coffee market were liberalized to allow greater competition (or if underutilized stations exited the market), farmers could receive up to </w:t>
      </w:r>
      <w:r>
        <w:rPr>
          <w:rFonts w:ascii="Times New Roman" w:eastAsia="Times New Roman" w:hAnsi="Times New Roman" w:cs="Times New Roman"/>
          <w:b/>
        </w:rPr>
        <w:t>150% higher prices</w:t>
      </w:r>
      <w:r>
        <w:rPr>
          <w:rFonts w:ascii="Times New Roman" w:eastAsia="Times New Roman" w:hAnsi="Times New Roman" w:cs="Times New Roman"/>
        </w:rPr>
        <w:t xml:space="preserve"> for their cherries than the mandated floor price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Such evidence points to a critical unresolved debate: how can Rwanda balance </w:t>
      </w:r>
      <w:r>
        <w:rPr>
          <w:rFonts w:ascii="Times New Roman" w:eastAsia="Times New Roman" w:hAnsi="Times New Roman" w:cs="Times New Roman"/>
          <w:b/>
        </w:rPr>
        <w:t>price stabilization and quality control</w:t>
      </w:r>
      <w:r>
        <w:rPr>
          <w:rFonts w:ascii="Times New Roman" w:eastAsia="Times New Roman" w:hAnsi="Times New Roman" w:cs="Times New Roman"/>
        </w:rPr>
        <w:t xml:space="preserve"> (the rationale for current policies) with the need to give farmers stronger incentives? This study builds on these insights by examining both </w:t>
      </w:r>
      <w:r>
        <w:rPr>
          <w:rFonts w:ascii="Times New Roman" w:eastAsia="Times New Roman" w:hAnsi="Times New Roman" w:cs="Times New Roman"/>
          <w:b/>
        </w:rPr>
        <w:t>micro-level constraints</w:t>
      </w:r>
      <w:r>
        <w:rPr>
          <w:rFonts w:ascii="Times New Roman" w:eastAsia="Times New Roman" w:hAnsi="Times New Roman" w:cs="Times New Roman"/>
        </w:rPr>
        <w:t xml:space="preserve"> (like production and quality) and </w:t>
      </w:r>
      <w:r>
        <w:rPr>
          <w:rFonts w:ascii="Times New Roman" w:eastAsia="Times New Roman" w:hAnsi="Times New Roman" w:cs="Times New Roman"/>
          <w:b/>
        </w:rPr>
        <w:t>macro-level forces</w:t>
      </w:r>
      <w:r>
        <w:rPr>
          <w:rFonts w:ascii="Times New Roman" w:eastAsia="Times New Roman" w:hAnsi="Times New Roman" w:cs="Times New Roman"/>
        </w:rPr>
        <w:t xml:space="preserve"> (like prices and exchange rates) in one integrative model.</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 xml:space="preserve">Research gap and objectives: </w:t>
      </w:r>
      <w:r>
        <w:rPr>
          <w:rFonts w:ascii="Times New Roman" w:eastAsia="Times New Roman" w:hAnsi="Times New Roman" w:cs="Times New Roman"/>
        </w:rPr>
        <w:t xml:space="preserve">Although the literature acknowledges a variety of factors affecting Rwanda’s coffee exports, there is a paucity of studies that quantify the joint impact of domestic and global determinants using recent data. Most econometric analyses date back to periods when Rwanda’s coffee sector was still recovering or transforming, and they often relied on data up to the early 2010s. Few have incorporated the turbulent events of the past decade – including the 2015–2016 global coffee price downturn, Rwanda’s 2018 coffee strategy reforms, and the COVID-19 pandemic shock – in a unified analysis. Moreover, prior studies often focused on either </w:t>
      </w:r>
      <w:r>
        <w:rPr>
          <w:rFonts w:ascii="Times New Roman" w:eastAsia="Times New Roman" w:hAnsi="Times New Roman" w:cs="Times New Roman"/>
          <w:b/>
        </w:rPr>
        <w:t>production and value addition</w:t>
      </w:r>
      <w:r>
        <w:rPr>
          <w:rFonts w:ascii="Times New Roman" w:eastAsia="Times New Roman" w:hAnsi="Times New Roman" w:cs="Times New Roman"/>
        </w:rPr>
        <w:t xml:space="preserve"> (e.g. impact of washing stations) or on </w:t>
      </w:r>
      <w:r>
        <w:rPr>
          <w:rFonts w:ascii="Times New Roman" w:eastAsia="Times New Roman" w:hAnsi="Times New Roman" w:cs="Times New Roman"/>
          <w:b/>
        </w:rPr>
        <w:t>macroeconomic factors</w:t>
      </w:r>
      <w:r>
        <w:rPr>
          <w:rFonts w:ascii="Times New Roman" w:eastAsia="Times New Roman" w:hAnsi="Times New Roman" w:cs="Times New Roman"/>
        </w:rPr>
        <w:t xml:space="preserve"> (e.g. exchange rate effects) in isolation. This siloed approach leaves a gap in understanding the relative importance and interaction of these factors. The objective of this research is therefore to provide a </w:t>
      </w:r>
      <w:r>
        <w:rPr>
          <w:rFonts w:ascii="Times New Roman" w:eastAsia="Times New Roman" w:hAnsi="Times New Roman" w:cs="Times New Roman"/>
          <w:b/>
        </w:rPr>
        <w:t>comprehensive, updated assessment</w:t>
      </w:r>
      <w:r>
        <w:rPr>
          <w:rFonts w:ascii="Times New Roman" w:eastAsia="Times New Roman" w:hAnsi="Times New Roman" w:cs="Times New Roman"/>
        </w:rPr>
        <w:t xml:space="preserve"> of what drives Rwanda’s coffee export performance today. We aim to test new propositions that extend classical trade theory with the realities of agricultural value chains and global volatility. </w:t>
      </w:r>
      <w:r>
        <w:rPr>
          <w:rFonts w:ascii="Times New Roman" w:eastAsia="Times New Roman" w:hAnsi="Times New Roman" w:cs="Times New Roman"/>
          <w:b/>
        </w:rPr>
        <w:t xml:space="preserve">Gap addressed: </w:t>
      </w:r>
      <w:r>
        <w:rPr>
          <w:rFonts w:ascii="Times New Roman" w:eastAsia="Times New Roman" w:hAnsi="Times New Roman" w:cs="Times New Roman"/>
        </w:rPr>
        <w:t>Existing Rwanda coffee studies typically isolate either domestic production and value-chain quality or macroeconomic price and exchange-rate channels; this study integrates domestic supply capacity, global market conditions, and dated policy episodes in a single multivariate time-series framework for 1990–2024.</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Contribution.</w:t>
      </w:r>
      <w:r>
        <w:rPr>
          <w:rFonts w:ascii="Times New Roman" w:eastAsia="Times New Roman" w:hAnsi="Times New Roman" w:cs="Times New Roman"/>
        </w:rPr>
        <w:t xml:space="preserve"> This paper advances the literature in three ways. First, it unifies domestic supply conditions, global price and production dynamics, and time-stamped policy shifts within one coherent time-series design, estimating a Johansen VECM and confirming robustness with ARDL. Second, it updates the evidence through 2024 so that the 2015–2016 price downturn, the 2018 strategy changes, and COVID-19 fall inside the estimation window. Third, it emphasizes transparency and replication by reporting the deterministic specification, lag selection, cointegration statistics, and diagnostics.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 xml:space="preserve">Research questions; </w:t>
      </w:r>
      <w:r>
        <w:rPr>
          <w:rFonts w:ascii="Times New Roman" w:eastAsia="Times New Roman" w:hAnsi="Times New Roman" w:cs="Times New Roman"/>
        </w:rPr>
        <w:t xml:space="preserve">Guided by the foregoing gap and objectives, we ask: </w:t>
      </w:r>
      <w:r>
        <w:rPr>
          <w:rFonts w:ascii="Times New Roman" w:eastAsia="Times New Roman" w:hAnsi="Times New Roman" w:cs="Times New Roman"/>
          <w:b/>
        </w:rPr>
        <w:t>RQ1:</w:t>
      </w:r>
      <w:r>
        <w:rPr>
          <w:rFonts w:ascii="Times New Roman" w:eastAsia="Times New Roman" w:hAnsi="Times New Roman" w:cs="Times New Roman"/>
        </w:rPr>
        <w:t xml:space="preserve"> What are the long-run drivers of Rwanda’s coffee export performance, and how do domestic production, world prices, </w:t>
      </w:r>
      <w:r>
        <w:rPr>
          <w:rFonts w:ascii="Times New Roman" w:eastAsia="Times New Roman" w:hAnsi="Times New Roman" w:cs="Times New Roman"/>
        </w:rPr>
        <w:lastRenderedPageBreak/>
        <w:t xml:space="preserve">the exchange rate, and world supply co-move in equilibrium? </w:t>
      </w:r>
      <w:r>
        <w:rPr>
          <w:rFonts w:ascii="Times New Roman" w:eastAsia="Times New Roman" w:hAnsi="Times New Roman" w:cs="Times New Roman"/>
          <w:b/>
        </w:rPr>
        <w:t>RQ2:</w:t>
      </w:r>
      <w:r>
        <w:rPr>
          <w:rFonts w:ascii="Times New Roman" w:eastAsia="Times New Roman" w:hAnsi="Times New Roman" w:cs="Times New Roman"/>
        </w:rPr>
        <w:t xml:space="preserve"> What are the short-run dynamics and the speed of adjustment back to equilibrium following shocks to prices, production, or the exchange rate? </w:t>
      </w:r>
      <w:r>
        <w:rPr>
          <w:rFonts w:ascii="Times New Roman" w:eastAsia="Times New Roman" w:hAnsi="Times New Roman" w:cs="Times New Roman"/>
          <w:b/>
        </w:rPr>
        <w:t>RQ3:</w:t>
      </w:r>
      <w:r>
        <w:rPr>
          <w:rFonts w:ascii="Times New Roman" w:eastAsia="Times New Roman" w:hAnsi="Times New Roman" w:cs="Times New Roman"/>
        </w:rPr>
        <w:t xml:space="preserve"> How did key policy and crisis episodes over 1990–2024, including post-1995 liberalization, creation of NAEB in 2011, the 2015 zoning regime, the 2008–2009 global crisis, and COVID-19, shift levels or trends in the export relationship? </w:t>
      </w:r>
    </w:p>
    <w:p w:rsidR="0045078D" w:rsidRDefault="00551C1A">
      <w:pPr>
        <w:spacing w:before="240" w:after="240"/>
        <w:ind w:firstLine="720"/>
        <w:jc w:val="both"/>
        <w:rPr>
          <w:rFonts w:ascii="Times New Roman" w:eastAsia="Times New Roman" w:hAnsi="Times New Roman"/>
          <w:lang w:val="en-US"/>
        </w:rPr>
      </w:pPr>
      <w:r>
        <w:rPr>
          <w:rFonts w:ascii="Times New Roman" w:eastAsia="Times New Roman" w:hAnsi="Times New Roman" w:cs="Times New Roman"/>
          <w:b/>
        </w:rPr>
        <w:t>Disruptive factors:</w:t>
      </w:r>
      <w:r>
        <w:rPr>
          <w:rFonts w:ascii="Times New Roman" w:eastAsia="Times New Roman" w:hAnsi="Times New Roman" w:cs="Times New Roman"/>
        </w:rPr>
        <w:t xml:space="preserve"> In addressing these questions, we pay special attention to disruptive factors that are reshaping agricultural trade. Price volatility is endemic to coffee markets – as seen in Rwanda’s export earnings, which fell by 11% during the pandemic year 2020 despite only a 6% drop in volume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and then surged by 53% in value in 2022/23 largely due to a price rebound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Climate change is another looming disruptor: Rwanda’s arabica coffee is grown in specific high-altitude zones that are vulnerable to shifting rainfall patterns and temperatures. Reports of increased weather extremes, pest outbreaks (e.g. coffee leaf rust) (Avelino et al., 2015), and declining yields on older trees signal that climate variability is already a concern (</w:t>
      </w:r>
      <w:r>
        <w:rPr>
          <w:rFonts w:ascii="Times New Roman" w:eastAsia="Times New Roman" w:hAnsi="Times New Roman" w:cs="Times New Roman"/>
          <w:color w:val="222222"/>
          <w:highlight w:val="white"/>
        </w:rPr>
        <w:t xml:space="preserve">Jenkins et al., 2023; </w:t>
      </w:r>
      <w:proofErr w:type="spellStart"/>
      <w:r>
        <w:rPr>
          <w:rFonts w:ascii="Times New Roman" w:eastAsia="Times New Roman" w:hAnsi="Times New Roman" w:cs="Times New Roman"/>
          <w:color w:val="222222"/>
          <w:highlight w:val="white"/>
        </w:rPr>
        <w:t>Qahwa</w:t>
      </w:r>
      <w:proofErr w:type="spellEnd"/>
      <w:r>
        <w:rPr>
          <w:rFonts w:ascii="Times New Roman" w:eastAsia="Times New Roman" w:hAnsi="Times New Roman" w:cs="Times New Roman"/>
          <w:color w:val="222222"/>
          <w:highlight w:val="white"/>
        </w:rPr>
        <w:t xml:space="preserve"> World, 2025)</w:t>
      </w:r>
      <w:r>
        <w:rPr>
          <w:rFonts w:ascii="Times New Roman" w:eastAsia="Times New Roman" w:hAnsi="Times New Roman" w:cs="Times New Roman"/>
        </w:rPr>
        <w:t>.</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 </w:t>
      </w:r>
    </w:p>
    <w:p w:rsidR="00551C1A" w:rsidRDefault="00551C1A" w:rsidP="007544ED">
      <w:pPr>
        <w:spacing w:before="240" w:after="240"/>
        <w:jc w:val="both"/>
        <w:rPr>
          <w:rFonts w:ascii="Times New Roman" w:eastAsia="Times New Roman" w:hAnsi="Times New Roman"/>
          <w:lang w:val="en-US"/>
        </w:rPr>
      </w:pPr>
      <w:r w:rsidRPr="00247074">
        <w:rPr>
          <w:rFonts w:ascii="Times New Roman" w:eastAsia="Times New Roman" w:hAnsi="Times New Roman"/>
        </w:rPr>
        <w:t>Recent syntheses emphasize that climate change is already contracting suitable coffee areas and that resilience hinges on shade, water management, and financing for adaptation (International Coffee Organization, 2024). Rwanda-specific evidence also shows farmers are adjusting through diversified livelihoods and local adaptation strategies, but resource constraints limit scale and speed, underscoring the need for targeted support (</w:t>
      </w:r>
      <w:proofErr w:type="spellStart"/>
      <w:r w:rsidRPr="00247074">
        <w:rPr>
          <w:rFonts w:ascii="Times New Roman" w:eastAsia="Times New Roman" w:hAnsi="Times New Roman"/>
        </w:rPr>
        <w:t>Rwema</w:t>
      </w:r>
      <w:proofErr w:type="spellEnd"/>
      <w:r>
        <w:rPr>
          <w:rFonts w:ascii="Times New Roman" w:eastAsia="Times New Roman" w:hAnsi="Times New Roman"/>
          <w:lang w:val="en-US"/>
        </w:rPr>
        <w:t>n et al.,</w:t>
      </w:r>
      <w:r w:rsidRPr="00247074">
        <w:rPr>
          <w:rFonts w:ascii="Times New Roman" w:eastAsia="Times New Roman" w:hAnsi="Times New Roman"/>
        </w:rPr>
        <w:t xml:space="preserve"> 2025). In parallel, the EU’s deforestation-free products regulation is moving from text to implementation guidance, making early investment in traceability systems prudent for continued access to EU buyers (European Commission, 2024).</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Global demand shifts are yet another factor – the rise of Asia’s coffee consumption, the proliferation of specialty coffee in affluent markets, and heightened consumer scrutiny on sustainability and traceability could all influence whom Rwanda sells to and at what price. Finally, trade policies and regional integration efforts (such as the African Continental Free Trade Area, </w:t>
      </w:r>
      <w:proofErr w:type="spellStart"/>
      <w:r>
        <w:rPr>
          <w:rFonts w:ascii="Times New Roman" w:eastAsia="Times New Roman" w:hAnsi="Times New Roman" w:cs="Times New Roman"/>
        </w:rPr>
        <w:t>AfCFTA</w:t>
      </w:r>
      <w:proofErr w:type="spellEnd"/>
      <w:r>
        <w:rPr>
          <w:rFonts w:ascii="Times New Roman" w:eastAsia="Times New Roman" w:hAnsi="Times New Roman" w:cs="Times New Roman"/>
        </w:rPr>
        <w:t xml:space="preserve"> [AU, 2018]) may alter Rwanda’s trading environment. While coffee is largely tariff-free in major markets, non-tariff measures like sanitary standards or the EU’s new deforestation regulations could introduce compliance challenges (European Union, 2023). In the regional context, initiatives like the East African Community (EAC) aim to improve trade logistics, which might benefit Rwanda’s export supply chain. This interdisciplinary study will integrate these considerations to ensure that our analysis and recommendations remain </w:t>
      </w:r>
      <w:r>
        <w:rPr>
          <w:rFonts w:ascii="Times New Roman" w:eastAsia="Times New Roman" w:hAnsi="Times New Roman" w:cs="Times New Roman"/>
          <w:b/>
        </w:rPr>
        <w:t>holistic and forward-looking</w:t>
      </w:r>
      <w:r>
        <w:rPr>
          <w:rFonts w:ascii="Times New Roman" w:eastAsia="Times New Roman" w:hAnsi="Times New Roman" w:cs="Times New Roman"/>
        </w:rPr>
        <w:t>, providing value for trade economists, development policymakers, and value-chain practitioners alike.</w:t>
      </w:r>
    </w:p>
    <w:p w:rsidR="0045078D" w:rsidRDefault="00551C1A">
      <w:pPr>
        <w:pStyle w:val="Heading2"/>
        <w:keepNext w:val="0"/>
        <w:keepLines w:val="0"/>
        <w:numPr>
          <w:ilvl w:val="0"/>
          <w:numId w:val="1"/>
        </w:numPr>
        <w:spacing w:after="80"/>
        <w:rPr>
          <w:rFonts w:ascii="Times New Roman" w:eastAsia="Times New Roman" w:hAnsi="Times New Roman" w:cs="Times New Roman"/>
          <w:b/>
          <w:sz w:val="26"/>
          <w:szCs w:val="26"/>
        </w:rPr>
      </w:pPr>
      <w:bookmarkStart w:id="2" w:name="_3r59w24nb16n" w:colFirst="0" w:colLast="0"/>
      <w:bookmarkEnd w:id="2"/>
      <w:r>
        <w:rPr>
          <w:rFonts w:ascii="Times New Roman" w:eastAsia="Times New Roman" w:hAnsi="Times New Roman" w:cs="Times New Roman"/>
          <w:b/>
          <w:sz w:val="26"/>
          <w:szCs w:val="26"/>
        </w:rPr>
        <w:t>Theoretical &amp; Conceptual Framework</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Classical trade theories</w:t>
      </w:r>
      <w:r>
        <w:rPr>
          <w:rFonts w:ascii="Times New Roman" w:eastAsia="Times New Roman" w:hAnsi="Times New Roman" w:cs="Times New Roman"/>
        </w:rPr>
        <w:t xml:space="preserve"> provide a starting point for understanding Rwanda’s engagement in coffee exports. </w:t>
      </w:r>
      <w:r>
        <w:rPr>
          <w:rFonts w:ascii="Times New Roman" w:eastAsia="Times New Roman" w:hAnsi="Times New Roman" w:cs="Times New Roman"/>
          <w:i/>
        </w:rPr>
        <w:t>Absolute advantage</w:t>
      </w:r>
      <w:r>
        <w:rPr>
          <w:rFonts w:ascii="Times New Roman" w:eastAsia="Times New Roman" w:hAnsi="Times New Roman" w:cs="Times New Roman"/>
        </w:rPr>
        <w:t xml:space="preserve"> (Adam Smith) posits that countries excel by exporting goods they can produce more efficiently than others (Smith, 1776). Rwanda’s high-altitude volcanic soil and favorable climate give it an absolute advantage in growing high-quality Arabica coffee, relative to countries without such conditions. However, on pure yield or cost terms, Rwanda cannot out-compete large producers like Brazil or Vietnam – its yields per hectare and scale of production are lower. This is where </w:t>
      </w:r>
      <w:r>
        <w:rPr>
          <w:rFonts w:ascii="Times New Roman" w:eastAsia="Times New Roman" w:hAnsi="Times New Roman" w:cs="Times New Roman"/>
          <w:i/>
        </w:rPr>
        <w:t>comparative advantage</w:t>
      </w:r>
      <w:r>
        <w:rPr>
          <w:rFonts w:ascii="Times New Roman" w:eastAsia="Times New Roman" w:hAnsi="Times New Roman" w:cs="Times New Roman"/>
        </w:rPr>
        <w:t xml:space="preserve"> (David Ricardo) offers a more nuanced insight: even if Rwanda isn’t the world’s lowest-cost producer of </w:t>
      </w:r>
      <w:r>
        <w:rPr>
          <w:rFonts w:ascii="Times New Roman" w:eastAsia="Times New Roman" w:hAnsi="Times New Roman" w:cs="Times New Roman"/>
        </w:rPr>
        <w:lastRenderedPageBreak/>
        <w:t xml:space="preserve">coffee, it may still have a comparative advantage if its opportunity cost of producing coffee (versus other products) is lower than that of other countries. Given Rwanda’s limited natural resources and land-locked geography, the range of viable export commodities is narrow; coffee stands out as a crop where Rwanda’s agro-ecological conditions and labor-intensive smallholder system give it a productivity edge vis-à-vis alternative crops and even vis-à-vis coffee produced in less favorable terrains elsewhere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2018). In fact, policy analyses have noted that coffee is environmentally and economically superior to many other crops in Rwanda’s hilly landscape – providing not just export revenue but also soil erosion control – reinforcing the idea that Rwanda’s </w:t>
      </w:r>
      <w:r>
        <w:rPr>
          <w:rFonts w:ascii="Times New Roman" w:eastAsia="Times New Roman" w:hAnsi="Times New Roman" w:cs="Times New Roman"/>
          <w:b/>
        </w:rPr>
        <w:t>comparative advantage</w:t>
      </w:r>
      <w:r>
        <w:rPr>
          <w:rFonts w:ascii="Times New Roman" w:eastAsia="Times New Roman" w:hAnsi="Times New Roman" w:cs="Times New Roman"/>
        </w:rPr>
        <w:t xml:space="preserve"> in specialty coffee is significant and worth </w:t>
      </w:r>
      <w:proofErr w:type="gramStart"/>
      <w:r>
        <w:rPr>
          <w:rFonts w:ascii="Times New Roman" w:eastAsia="Times New Roman" w:hAnsi="Times New Roman" w:cs="Times New Roman"/>
        </w:rPr>
        <w:t>exploiting  (</w:t>
      </w:r>
      <w:proofErr w:type="gramEnd"/>
      <w:r>
        <w:rPr>
          <w:rFonts w:ascii="Times New Roman" w:eastAsia="Times New Roman" w:hAnsi="Times New Roman" w:cs="Times New Roman"/>
        </w:rPr>
        <w:t xml:space="preserve">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2018).</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The Heckscher–Ohlin (H–O) theory</w:t>
      </w:r>
      <w:r>
        <w:rPr>
          <w:rFonts w:ascii="Times New Roman" w:eastAsia="Times New Roman" w:hAnsi="Times New Roman" w:cs="Times New Roman"/>
        </w:rPr>
        <w:t xml:space="preserve"> further predicts that countries export products that intensively use their abundant factors of production. Rwanda is a labor-abundant economy with high rural population density, but it is capital-scarce and land-constrained. Coffee production in Rwanda is labor-intensive (for pruning, picking, washing) and aligns with this factor profile. One might therefore expect Rwanda to export coffee (labor-intensive) and import more capital-intensive goods. The H–O framework on its own, however, does not account for differences in technology or quality. All Arabica coffee is not homogenous – Rwandan coffee has carved a niche in the market for its unique flavor profiles (e.g. Bourbon varietal with bright acidity). This differentiation hints at </w:t>
      </w:r>
      <w:r>
        <w:rPr>
          <w:rFonts w:ascii="Times New Roman" w:eastAsia="Times New Roman" w:hAnsi="Times New Roman" w:cs="Times New Roman"/>
          <w:i/>
        </w:rPr>
        <w:t>new trade theories</w:t>
      </w:r>
      <w:r>
        <w:rPr>
          <w:rFonts w:ascii="Times New Roman" w:eastAsia="Times New Roman" w:hAnsi="Times New Roman" w:cs="Times New Roman"/>
        </w:rPr>
        <w:t xml:space="preserve"> and concepts of </w:t>
      </w:r>
      <w:r>
        <w:rPr>
          <w:rFonts w:ascii="Times New Roman" w:eastAsia="Times New Roman" w:hAnsi="Times New Roman" w:cs="Times New Roman"/>
          <w:b/>
        </w:rPr>
        <w:t>competitive advantage</w:t>
      </w:r>
      <w:r>
        <w:rPr>
          <w:rFonts w:ascii="Times New Roman" w:eastAsia="Times New Roman" w:hAnsi="Times New Roman" w:cs="Times New Roman"/>
        </w:rPr>
        <w:t xml:space="preserve">. Michael Porter’s (1990) theory of competitive advantage of nations would stress how Rwanda has tried to create advantage through strategy and investment – for example, by building washing stations for quality improvement and marketing “Rwanda Single Origin” coffees internationally. These efforts are about moving from simply having a comparative advantage (natural endowments) to </w:t>
      </w:r>
      <w:r>
        <w:rPr>
          <w:rFonts w:ascii="Times New Roman" w:eastAsia="Times New Roman" w:hAnsi="Times New Roman" w:cs="Times New Roman"/>
          <w:i/>
        </w:rPr>
        <w:t>creating</w:t>
      </w:r>
      <w:r>
        <w:rPr>
          <w:rFonts w:ascii="Times New Roman" w:eastAsia="Times New Roman" w:hAnsi="Times New Roman" w:cs="Times New Roman"/>
        </w:rPr>
        <w:t xml:space="preserve"> competitive advantage via innovation, skills, and reputation.</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 xml:space="preserve">Global value chain (GVC) perspective: </w:t>
      </w:r>
      <w:r>
        <w:rPr>
          <w:rFonts w:ascii="Times New Roman" w:eastAsia="Times New Roman" w:hAnsi="Times New Roman" w:cs="Times New Roman"/>
        </w:rPr>
        <w:t xml:space="preserve">Classical theories treat goods as if they are produced and exported in a vacuum, but modern trade in agriculture is better explained by GVC frameworks. Coffee passes through many stages – farming, processing, exporting, roasting, retail – each adding value. Different countries and actors capture different proportions of the final value. Rwanda historically exported raw green beans, which per the </w:t>
      </w:r>
      <w:r>
        <w:rPr>
          <w:rFonts w:ascii="Times New Roman" w:eastAsia="Times New Roman" w:hAnsi="Times New Roman" w:cs="Times New Roman"/>
          <w:i/>
        </w:rPr>
        <w:t>“coffee paradox”</w:t>
      </w:r>
      <w:r>
        <w:rPr>
          <w:rFonts w:ascii="Times New Roman" w:eastAsia="Times New Roman" w:hAnsi="Times New Roman" w:cs="Times New Roman"/>
        </w:rPr>
        <w:t xml:space="preserve"> yields low returns to farmers (</w:t>
      </w:r>
      <w:proofErr w:type="spellStart"/>
      <w:r>
        <w:rPr>
          <w:rFonts w:ascii="Times New Roman" w:eastAsia="Times New Roman" w:hAnsi="Times New Roman" w:cs="Times New Roman"/>
        </w:rPr>
        <w:t>Daviron</w:t>
      </w:r>
      <w:proofErr w:type="spellEnd"/>
      <w:r>
        <w:rPr>
          <w:rFonts w:ascii="Times New Roman" w:eastAsia="Times New Roman" w:hAnsi="Times New Roman" w:cs="Times New Roman"/>
        </w:rPr>
        <w:t xml:space="preserve"> &amp; Ponte, 2005; Koss, 2025). Upgrading in the value chain (e.g. processing beans to fully washed grade, or even roasting and packaging locally) can potentially increase the share of value retained domestically. The government’s push for more </w:t>
      </w:r>
      <w:r>
        <w:rPr>
          <w:rFonts w:ascii="Times New Roman" w:eastAsia="Times New Roman" w:hAnsi="Times New Roman" w:cs="Times New Roman"/>
          <w:b/>
        </w:rPr>
        <w:t>fully-washed specialty coffee</w:t>
      </w:r>
      <w:r>
        <w:rPr>
          <w:rFonts w:ascii="Times New Roman" w:eastAsia="Times New Roman" w:hAnsi="Times New Roman" w:cs="Times New Roman"/>
        </w:rPr>
        <w:t xml:space="preserve"> can be seen through the lens of chain upgrading: moving from being a supplier of undifferentiated commodity to a differentiated product in higher-value segments of the market (</w:t>
      </w: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et al., 2012). The GVC theory also highlights power dynamics: smallholder farmers in Rwanda typically have little bargaining power and often rely on fixed prices set by exporters or government, whereas foreign buyers (importers, roasters) wield considerable power in setting standards and prices (</w:t>
      </w:r>
      <w:r>
        <w:rPr>
          <w:rFonts w:ascii="Times New Roman" w:eastAsia="Times New Roman" w:hAnsi="Times New Roman" w:cs="Times New Roman"/>
          <w:highlight w:val="white"/>
        </w:rPr>
        <w:t>Jenkins et al., 2023)</w:t>
      </w:r>
      <w:r>
        <w:rPr>
          <w:rFonts w:ascii="Times New Roman" w:eastAsia="Times New Roman" w:hAnsi="Times New Roman" w:cs="Times New Roman"/>
        </w:rPr>
        <w:t>. These realities suggest that integrating trade theory with an institutional perspective is necessary – who controls logistics, who sets prices, how profits are shared – to truly explain export performance.</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Conceptual model:</w:t>
      </w:r>
      <w:r>
        <w:rPr>
          <w:rFonts w:ascii="Times New Roman" w:eastAsia="Times New Roman" w:hAnsi="Times New Roman" w:cs="Times New Roman"/>
        </w:rPr>
        <w:t xml:space="preserve"> Building on these theories, we propose an interdisciplinary conceptual framework linking domestic factors, global market forces, and policy/institutional elements to Rwanda’s coffee export performance (Figure 1). At the core is a supply-demand interaction: </w:t>
      </w:r>
      <w:r>
        <w:rPr>
          <w:rFonts w:ascii="Times New Roman" w:eastAsia="Times New Roman" w:hAnsi="Times New Roman" w:cs="Times New Roman"/>
          <w:b/>
        </w:rPr>
        <w:t>Domestic supply capacity</w:t>
      </w:r>
      <w:r>
        <w:rPr>
          <w:rFonts w:ascii="Times New Roman" w:eastAsia="Times New Roman" w:hAnsi="Times New Roman" w:cs="Times New Roman"/>
        </w:rPr>
        <w:t xml:space="preserve"> (total coffee produced and prepared for export) meets </w:t>
      </w:r>
      <w:r>
        <w:rPr>
          <w:rFonts w:ascii="Times New Roman" w:eastAsia="Times New Roman" w:hAnsi="Times New Roman" w:cs="Times New Roman"/>
          <w:b/>
        </w:rPr>
        <w:t>global market demand</w:t>
      </w:r>
      <w:r>
        <w:rPr>
          <w:rFonts w:ascii="Times New Roman" w:eastAsia="Times New Roman" w:hAnsi="Times New Roman" w:cs="Times New Roman"/>
        </w:rPr>
        <w:t xml:space="preserve"> (influenced by world prices and competitor outputs), resulting in export volume and value. Several pathways are hypothesized:</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Pr>
          <w:rFonts w:ascii="Cardo" w:eastAsia="Cardo" w:hAnsi="Cardo" w:cs="Cardo"/>
          <w:b/>
        </w:rPr>
        <w:t>Domestic production → Export performance:</w:t>
      </w:r>
      <w:r>
        <w:rPr>
          <w:rFonts w:ascii="Times New Roman" w:eastAsia="Times New Roman" w:hAnsi="Times New Roman" w:cs="Times New Roman"/>
        </w:rPr>
        <w:t xml:space="preserve"> Higher coffee production (e.g. through increased yields or expanded area) should directly enable higher export volumes, given that Rwanda consumes little of its own coffee domestically. However, this linkage can be moderated by quality: low-quality output might be sold at lower prices, whereas improvements in quality (fully washing, certification, etc.) can raise the unit value of exports. We incorporate </w:t>
      </w:r>
      <w:r>
        <w:rPr>
          <w:rFonts w:ascii="Times New Roman" w:eastAsia="Times New Roman" w:hAnsi="Times New Roman" w:cs="Times New Roman"/>
          <w:i/>
        </w:rPr>
        <w:t>value-chain improvements</w:t>
      </w:r>
      <w:r>
        <w:rPr>
          <w:rFonts w:ascii="Times New Roman" w:eastAsia="Times New Roman" w:hAnsi="Times New Roman" w:cs="Times New Roman"/>
        </w:rPr>
        <w:t xml:space="preserve"> as a factor that enhances the price per unit of coffee, thus boosting export earnings even if volume remains constant. For example, the spread of washing stations and training in best practices are expected to increase the share of premium-grade coffee, raising average export prices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Cardo" w:eastAsia="Cardo" w:hAnsi="Cardo" w:cs="Cardo"/>
          <w:b/>
        </w:rPr>
        <w:t>Global price ↔ Export performance:</w:t>
      </w:r>
      <w:r>
        <w:rPr>
          <w:rFonts w:ascii="Times New Roman" w:eastAsia="Times New Roman" w:hAnsi="Times New Roman" w:cs="Times New Roman"/>
        </w:rPr>
        <w:t xml:space="preserve"> International coffee price fluctuations heavily influence export earnings. A rise in world coffee prices (due to global supply shortages or increased demand) generally lifts Rwanda’s export revenue (assuming it can sell at the prevailing higher prices) (</w:t>
      </w:r>
      <w:proofErr w:type="spellStart"/>
      <w:r>
        <w:rPr>
          <w:rFonts w:ascii="Times New Roman" w:eastAsia="Times New Roman" w:hAnsi="Times New Roman" w:cs="Times New Roman"/>
        </w:rPr>
        <w:t>Tridge</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Conversely, a global price slump can undermine earnings even if Rwanda’s production holds steady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Because Rwanda is a price-taker on the world market (its output is &lt;0.2% of global coffee production), we treat the international price as an exogenous driver. Additionally, </w:t>
      </w:r>
      <w:r>
        <w:rPr>
          <w:rFonts w:ascii="Times New Roman" w:eastAsia="Times New Roman" w:hAnsi="Times New Roman" w:cs="Times New Roman"/>
          <w:b/>
        </w:rPr>
        <w:t>global production</w:t>
      </w:r>
      <w:r>
        <w:rPr>
          <w:rFonts w:ascii="Times New Roman" w:eastAsia="Times New Roman" w:hAnsi="Times New Roman" w:cs="Times New Roman"/>
        </w:rPr>
        <w:t xml:space="preserve"> (aggregate output of major producers like Brazil, Vietnam, Colombia, etc.) is an underlying factor that typically moves inversely with price – e.g., bumper crops in Brazil often lead to a drop in global prices, which could hurt Rwanda’s export revenue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Our model includes world coffee production to capture supply-side shocks that affect price and availability.</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Cardo" w:eastAsia="Cardo" w:hAnsi="Cardo" w:cs="Cardo"/>
          <w:b/>
        </w:rPr>
        <w:t>Exchange rate and macro factors → Export performance:</w:t>
      </w:r>
      <w:r>
        <w:rPr>
          <w:rFonts w:ascii="Times New Roman" w:eastAsia="Times New Roman" w:hAnsi="Times New Roman" w:cs="Times New Roman"/>
        </w:rPr>
        <w:t xml:space="preserve"> The Rwandan franc (RWF) exchange rate against the U.S. dollar is critical for export competitiveness. A depreciation of the RWF makes Rwanda’s coffee cheaper in foreign currency terms, potentially making it more competitive abroad (and increasing earnings in RWF). However, because coffee contracts are usually priced in dollars, the direct effect is that a depreciated RWF yields more local currency per dollar of export revenue, possibly encouraging production by raising the local farm-gate price. We test the net effect of exchange rate fluctuations on export volumes and values. Domestic interest rates (and access to credit) are also considered – high interest or credit constraints might limit farmers’ and exporters’ ability to finance production and inventory, thus constraining exports, whereas easier credit could facilitate expansion. We include the lending interest rate as a proxy for macro-financial conditions affecting the coffee sector.</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Policy and institutional factors:</w:t>
      </w:r>
      <w:r>
        <w:rPr>
          <w:rFonts w:ascii="Times New Roman" w:eastAsia="Times New Roman" w:hAnsi="Times New Roman" w:cs="Times New Roman"/>
        </w:rPr>
        <w:t xml:space="preserve"> We introduce dummy variables and structural terms to represent major policy shifts (e.g. coffee sector liberalization around 1995–2000, establishment of NAEB in 2011, introduction of the zoning policy in 2015, etc.). These events can shift the intercept or trend of export performance. For instance, the liberalization and privatization of coffee processing in the early 2000s may have improved efficiency, while the 2020 pandemic obviously caused a one-time shock. By including such factors, we acknowledge that not all changes are gradual or captured by prices and production alone – governance matters.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These components form a system of relationships which we expect to observe empirically. </w:t>
      </w:r>
      <w:r>
        <w:rPr>
          <w:rFonts w:ascii="Times New Roman" w:eastAsia="Times New Roman" w:hAnsi="Times New Roman" w:cs="Times New Roman"/>
          <w:b/>
        </w:rPr>
        <w:t>Feedback loops</w:t>
      </w:r>
      <w:r>
        <w:rPr>
          <w:rFonts w:ascii="Cardo" w:eastAsia="Cardo" w:hAnsi="Cardo" w:cs="Cardo"/>
        </w:rPr>
        <w:t xml:space="preserve"> are also possible: for example, if exports earn more revenue, the government might invest more in the sector, or farmers might respond by planting more coffee (export performance → future production). Such dynamics would manifest in our time-series analysis through lagged effects or error-correction mechanisms. In summary, our framework synthesizes comparative advantage (favorable </w:t>
      </w:r>
      <w:r>
        <w:rPr>
          <w:rFonts w:ascii="Cardo" w:eastAsia="Cardo" w:hAnsi="Cardo" w:cs="Cardo"/>
        </w:rPr>
        <w:lastRenderedPageBreak/>
        <w:t>conditions for quality coffee), macroeconomic competitiveness (exchange rate, global prices), and value-chain governance (quality improvement, farmer incentives) to explain Rwanda’s coffee export outcomes. This comprehensive approach sets the stage for the empirical strategy that follows.</w:t>
      </w:r>
    </w:p>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5943600" cy="30099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1" name="image5.png"/>
                    <pic:cNvPicPr preferRelativeResize="0"/>
                  </pic:nvPicPr>
                  <pic:blipFill>
                    <a:blip r:embed="rId8"/>
                    <a:srcRect t="12664" b="3957"/>
                    <a:stretch>
                      <a:fillRect/>
                    </a:stretch>
                  </pic:blipFill>
                  <pic:spPr>
                    <a:xfrm>
                      <a:off x="0" y="0"/>
                      <a:ext cx="5943600" cy="3009900"/>
                    </a:xfrm>
                    <a:prstGeom prst="rect">
                      <a:avLst/>
                    </a:prstGeom>
                  </pic:spPr>
                </pic:pic>
              </a:graphicData>
            </a:graphic>
          </wp:inline>
        </w:drawing>
      </w:r>
    </w:p>
    <w:p w:rsidR="0045078D" w:rsidRDefault="00551C1A">
      <w:pPr>
        <w:jc w:val="both"/>
        <w:rPr>
          <w:rFonts w:ascii="Times New Roman" w:eastAsia="Times New Roman" w:hAnsi="Times New Roman" w:cs="Times New Roman"/>
          <w:b/>
          <w:i/>
        </w:rPr>
      </w:pPr>
      <w:r>
        <w:rPr>
          <w:rFonts w:ascii="Times New Roman" w:eastAsia="Times New Roman" w:hAnsi="Times New Roman" w:cs="Times New Roman"/>
          <w:b/>
          <w:i/>
        </w:rPr>
        <w:t>Figure 1. Integrated conceptual model of Rwanda’s coffee export performance (1990 – 2024).</w:t>
      </w:r>
    </w:p>
    <w:p w:rsidR="0045078D" w:rsidRDefault="00551C1A">
      <w:pPr>
        <w:jc w:val="both"/>
        <w:rPr>
          <w:rFonts w:ascii="Times New Roman" w:eastAsia="Times New Roman" w:hAnsi="Times New Roman" w:cs="Times New Roman"/>
          <w:b/>
          <w:i/>
        </w:rPr>
      </w:pPr>
      <w:r>
        <w:rPr>
          <w:rFonts w:ascii="Times New Roman" w:eastAsia="Times New Roman" w:hAnsi="Times New Roman" w:cs="Times New Roman"/>
          <w:i/>
        </w:rPr>
        <w:t xml:space="preserve">Solid arrows depict the three </w:t>
      </w:r>
      <w:proofErr w:type="spellStart"/>
      <w:r>
        <w:rPr>
          <w:rFonts w:ascii="Times New Roman" w:eastAsia="Times New Roman" w:hAnsi="Times New Roman" w:cs="Times New Roman"/>
          <w:i/>
        </w:rPr>
        <w:t>hypothesised</w:t>
      </w:r>
      <w:proofErr w:type="spellEnd"/>
      <w:r>
        <w:rPr>
          <w:rFonts w:ascii="Times New Roman" w:eastAsia="Times New Roman" w:hAnsi="Times New Roman" w:cs="Times New Roman"/>
          <w:i/>
        </w:rPr>
        <w:t xml:space="preserve"> long-run elasticities: H1—domestic production, H2—world coffee price, and H3—exchange-rate depreciation, each expected to increase export earnings. The dashed arrow (H4) represents level-shift effects from major policy episodes. The dotted arrow shows the interest-rate control variable, for which no formal hypothesis is advanced. Source: Authors’ elaboration based on the specification in §3.2–§3.3.</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Hypotheses and variable mapping.</w:t>
      </w:r>
      <w:r>
        <w:rPr>
          <w:rFonts w:ascii="Times New Roman" w:eastAsia="Times New Roman" w:hAnsi="Times New Roman" w:cs="Times New Roman"/>
        </w:rPr>
        <w:t xml:space="preserve"> Consistent with Figure 1, </w:t>
      </w:r>
      <w:r>
        <w:rPr>
          <w:rFonts w:ascii="Times New Roman" w:eastAsia="Times New Roman" w:hAnsi="Times New Roman" w:cs="Times New Roman"/>
          <w:b/>
        </w:rPr>
        <w:t>H1</w:t>
      </w:r>
      <w:r>
        <w:rPr>
          <w:rFonts w:ascii="Times New Roman" w:eastAsia="Times New Roman" w:hAnsi="Times New Roman" w:cs="Times New Roman"/>
        </w:rPr>
        <w:t xml:space="preserve"> posits that higher domestic coffee </w:t>
      </w:r>
      <w:r>
        <w:rPr>
          <w:rFonts w:ascii="Times New Roman" w:eastAsia="Times New Roman" w:hAnsi="Times New Roman" w:cs="Times New Roman"/>
          <w:b/>
        </w:rPr>
        <w:t>production</w:t>
      </w:r>
      <w:r>
        <w:rPr>
          <w:rFonts w:ascii="Times New Roman" w:eastAsia="Times New Roman" w:hAnsi="Times New Roman" w:cs="Times New Roman"/>
        </w:rPr>
        <w:t xml:space="preserve"> raises </w:t>
      </w:r>
      <w:r>
        <w:rPr>
          <w:rFonts w:ascii="Times New Roman" w:eastAsia="Times New Roman" w:hAnsi="Times New Roman" w:cs="Times New Roman"/>
          <w:b/>
        </w:rPr>
        <w:t>exports</w:t>
      </w:r>
      <w:r>
        <w:rPr>
          <w:rFonts w:ascii="Cardo" w:eastAsia="Cardo" w:hAnsi="Cardo" w:cs="Cardo"/>
        </w:rPr>
        <w:t xml:space="preserve"> (</w:t>
      </w:r>
      <w:proofErr w:type="spellStart"/>
      <w:r>
        <w:rPr>
          <w:rFonts w:ascii="Cardo" w:eastAsia="Cardo" w:hAnsi="Cardo" w:cs="Cardo"/>
        </w:rPr>
        <w:t>Production→Exports</w:t>
      </w:r>
      <w:proofErr w:type="spellEnd"/>
      <w:r>
        <w:rPr>
          <w:rFonts w:ascii="Cardo" w:eastAsia="Cardo" w:hAnsi="Cardo" w:cs="Cardo"/>
        </w:rPr>
        <w:t xml:space="preserve">), operationalized as </w:t>
      </w:r>
      <w:proofErr w:type="gramStart"/>
      <w:r>
        <w:rPr>
          <w:rFonts w:ascii="Cardo" w:eastAsia="Cardo" w:hAnsi="Cardo" w:cs="Cardo"/>
        </w:rPr>
        <w:t>ln(</w:t>
      </w:r>
      <w:proofErr w:type="gramEnd"/>
      <w:r>
        <w:rPr>
          <w:rFonts w:ascii="Cardo" w:eastAsia="Cardo" w:hAnsi="Cardo" w:cs="Cardo"/>
        </w:rPr>
        <w:t xml:space="preserve">Production) in the cointegrating vector. </w:t>
      </w:r>
      <w:r>
        <w:rPr>
          <w:rFonts w:ascii="Times New Roman" w:eastAsia="Times New Roman" w:hAnsi="Times New Roman" w:cs="Times New Roman"/>
          <w:b/>
        </w:rPr>
        <w:t>H2</w:t>
      </w:r>
      <w:r>
        <w:rPr>
          <w:rFonts w:ascii="Times New Roman" w:eastAsia="Times New Roman" w:hAnsi="Times New Roman" w:cs="Times New Roman"/>
        </w:rPr>
        <w:t xml:space="preserve"> states that increases in the </w:t>
      </w:r>
      <w:r>
        <w:rPr>
          <w:rFonts w:ascii="Times New Roman" w:eastAsia="Times New Roman" w:hAnsi="Times New Roman" w:cs="Times New Roman"/>
          <w:b/>
        </w:rPr>
        <w:t>international coffee price</w:t>
      </w:r>
      <w:r>
        <w:rPr>
          <w:rFonts w:ascii="Times New Roman" w:eastAsia="Times New Roman" w:hAnsi="Times New Roman" w:cs="Times New Roman"/>
        </w:rPr>
        <w:t xml:space="preserve"> (ICO composite) raise </w:t>
      </w:r>
      <w:r>
        <w:rPr>
          <w:rFonts w:ascii="Times New Roman" w:eastAsia="Times New Roman" w:hAnsi="Times New Roman" w:cs="Times New Roman"/>
          <w:b/>
        </w:rPr>
        <w:t>exports</w:t>
      </w:r>
      <w:r>
        <w:rPr>
          <w:rFonts w:ascii="Cardo" w:eastAsia="Cardo" w:hAnsi="Cardo" w:cs="Cardo"/>
        </w:rPr>
        <w:t xml:space="preserve"> (</w:t>
      </w:r>
      <w:proofErr w:type="spellStart"/>
      <w:r>
        <w:rPr>
          <w:rFonts w:ascii="Cardo" w:eastAsia="Cardo" w:hAnsi="Cardo" w:cs="Cardo"/>
        </w:rPr>
        <w:t>WorldPrice→Exports</w:t>
      </w:r>
      <w:proofErr w:type="spellEnd"/>
      <w:r>
        <w:rPr>
          <w:rFonts w:ascii="Cardo" w:eastAsia="Cardo" w:hAnsi="Cardo" w:cs="Cardo"/>
        </w:rPr>
        <w:t xml:space="preserve">). </w:t>
      </w:r>
      <w:r>
        <w:rPr>
          <w:rFonts w:ascii="Times New Roman" w:eastAsia="Times New Roman" w:hAnsi="Times New Roman" w:cs="Times New Roman"/>
          <w:b/>
        </w:rPr>
        <w:t>H3</w:t>
      </w:r>
      <w:r>
        <w:rPr>
          <w:rFonts w:ascii="Times New Roman" w:eastAsia="Times New Roman" w:hAnsi="Times New Roman" w:cs="Times New Roman"/>
        </w:rPr>
        <w:t xml:space="preserve"> anticipates that </w:t>
      </w:r>
      <w:r>
        <w:rPr>
          <w:rFonts w:ascii="Times New Roman" w:eastAsia="Times New Roman" w:hAnsi="Times New Roman" w:cs="Times New Roman"/>
          <w:b/>
        </w:rPr>
        <w:t>RWF depreciation</w:t>
      </w:r>
      <w:r>
        <w:rPr>
          <w:rFonts w:ascii="Times New Roman" w:eastAsia="Times New Roman" w:hAnsi="Times New Roman" w:cs="Times New Roman"/>
        </w:rPr>
        <w:t xml:space="preserve"> against the USD improves </w:t>
      </w:r>
      <w:r>
        <w:rPr>
          <w:rFonts w:ascii="Times New Roman" w:eastAsia="Times New Roman" w:hAnsi="Times New Roman" w:cs="Times New Roman"/>
          <w:b/>
        </w:rPr>
        <w:t>export performance</w:t>
      </w:r>
      <w:r>
        <w:rPr>
          <w:rFonts w:ascii="Cardo" w:eastAsia="Cardo" w:hAnsi="Cardo" w:cs="Cardo"/>
        </w:rPr>
        <w:t xml:space="preserve"> (</w:t>
      </w:r>
      <w:proofErr w:type="spellStart"/>
      <w:r>
        <w:rPr>
          <w:rFonts w:ascii="Cardo" w:eastAsia="Cardo" w:hAnsi="Cardo" w:cs="Cardo"/>
        </w:rPr>
        <w:t>ExchangeRate→Exports</w:t>
      </w:r>
      <w:proofErr w:type="spellEnd"/>
      <w:r>
        <w:rPr>
          <w:rFonts w:ascii="Cardo" w:eastAsia="Cardo" w:hAnsi="Cardo" w:cs="Cardo"/>
        </w:rPr>
        <w:t xml:space="preserve">). </w:t>
      </w:r>
      <w:r>
        <w:rPr>
          <w:rFonts w:ascii="Times New Roman" w:eastAsia="Times New Roman" w:hAnsi="Times New Roman" w:cs="Times New Roman"/>
          <w:b/>
        </w:rPr>
        <w:t>H4</w:t>
      </w:r>
      <w:r>
        <w:rPr>
          <w:rFonts w:ascii="Times New Roman" w:eastAsia="Times New Roman" w:hAnsi="Times New Roman" w:cs="Times New Roman"/>
        </w:rPr>
        <w:t xml:space="preserve"> specifies that major </w:t>
      </w:r>
      <w:r>
        <w:rPr>
          <w:rFonts w:ascii="Times New Roman" w:eastAsia="Times New Roman" w:hAnsi="Times New Roman" w:cs="Times New Roman"/>
          <w:b/>
        </w:rPr>
        <w:t>policy episodes</w:t>
      </w:r>
      <w:r>
        <w:rPr>
          <w:rFonts w:ascii="Times New Roman" w:eastAsia="Times New Roman" w:hAnsi="Times New Roman" w:cs="Times New Roman"/>
        </w:rPr>
        <w:t xml:space="preserve"> (liberalization, 2008–09 crisis, 2015 zoning, COVID-19) shift the </w:t>
      </w:r>
      <w:r>
        <w:rPr>
          <w:rFonts w:ascii="Times New Roman" w:eastAsia="Times New Roman" w:hAnsi="Times New Roman" w:cs="Times New Roman"/>
          <w:b/>
        </w:rPr>
        <w:t>level</w:t>
      </w:r>
      <w:r>
        <w:rPr>
          <w:rFonts w:ascii="Times New Roman" w:eastAsia="Times New Roman" w:hAnsi="Times New Roman" w:cs="Times New Roman"/>
        </w:rPr>
        <w:t xml:space="preserve"> of exports (intercept/trend) while leaving long-run elasticities conceptually intact. These hypotheses map directly onto variables defined in §3.2 and the cointegration equation set out in §3.3. These four hypotheses are tested within the multivariate time-series framework described in §3, using the variable definitions in §3.2 and the cointegrating specification in §3.3.</w:t>
      </w:r>
    </w:p>
    <w:p w:rsidR="0045078D" w:rsidRDefault="00551C1A">
      <w:pPr>
        <w:pStyle w:val="Heading2"/>
        <w:keepNext w:val="0"/>
        <w:keepLines w:val="0"/>
        <w:numPr>
          <w:ilvl w:val="0"/>
          <w:numId w:val="1"/>
        </w:numPr>
        <w:spacing w:after="80"/>
        <w:rPr>
          <w:rFonts w:ascii="Times New Roman" w:eastAsia="Times New Roman" w:hAnsi="Times New Roman" w:cs="Times New Roman"/>
          <w:b/>
          <w:sz w:val="26"/>
          <w:szCs w:val="26"/>
        </w:rPr>
      </w:pPr>
      <w:bookmarkStart w:id="3" w:name="_mj2wxg4rz51b" w:colFirst="0" w:colLast="0"/>
      <w:bookmarkEnd w:id="3"/>
      <w:r>
        <w:rPr>
          <w:rFonts w:ascii="Times New Roman" w:eastAsia="Times New Roman" w:hAnsi="Times New Roman" w:cs="Times New Roman"/>
          <w:b/>
          <w:sz w:val="26"/>
          <w:szCs w:val="26"/>
        </w:rPr>
        <w:t>Methodology</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3.1. Research design:</w:t>
      </w:r>
      <w:r>
        <w:rPr>
          <w:rFonts w:ascii="Times New Roman" w:eastAsia="Times New Roman" w:hAnsi="Times New Roman" w:cs="Times New Roman"/>
        </w:rPr>
        <w:t xml:space="preserve"> We adopt an explanatory quantitative research design using time-series econometric analysis. This design is appropriate because our goal is to </w:t>
      </w:r>
      <w:r>
        <w:rPr>
          <w:rFonts w:ascii="Times New Roman" w:eastAsia="Times New Roman" w:hAnsi="Times New Roman" w:cs="Times New Roman"/>
          <w:b/>
        </w:rPr>
        <w:t>identify causal and long-run relationships</w:t>
      </w:r>
      <w:r>
        <w:rPr>
          <w:rFonts w:ascii="Times New Roman" w:eastAsia="Times New Roman" w:hAnsi="Times New Roman" w:cs="Times New Roman"/>
        </w:rPr>
        <w:t xml:space="preserve"> between Rwanda’s coffee export performance and its potential determinants over a 35-year period. A longitudinal approach allows us to capture structural changes and adjustment dynamics that one-off cross-sectional studies would miss. The explanatory design is grounded in an econometric modeling </w:t>
      </w:r>
      <w:r>
        <w:rPr>
          <w:rFonts w:ascii="Times New Roman" w:eastAsia="Times New Roman" w:hAnsi="Times New Roman" w:cs="Times New Roman"/>
        </w:rPr>
        <w:lastRenderedPageBreak/>
        <w:t>strategy that tests our conceptual framework: specifically, we employ cointegration analysis and error-correction modeling to distinguish long-run equilibria from short-run fluctuations. Given the mixture of domestic and international factors at play, a multivariate time-series model is ideal for parsing out their relative contributions while controlling for interdependencies. Accordingly, we report a clear VECM specification with an error-correction term and verify the long-run coefficients via an ARDL bounds test as a robustness check (</w:t>
      </w:r>
      <w:proofErr w:type="spellStart"/>
      <w:r>
        <w:rPr>
          <w:rFonts w:ascii="Times New Roman" w:eastAsia="Times New Roman" w:hAnsi="Times New Roman" w:cs="Times New Roman"/>
        </w:rPr>
        <w:t>Pesaran</w:t>
      </w:r>
      <w:proofErr w:type="spellEnd"/>
      <w:r>
        <w:rPr>
          <w:rFonts w:ascii="Times New Roman" w:eastAsia="Times New Roman" w:hAnsi="Times New Roman" w:cs="Times New Roman"/>
        </w:rPr>
        <w:t>, Shin, &amp; Smith, 2001).</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3.2. </w:t>
      </w:r>
      <w:r>
        <w:rPr>
          <w:rFonts w:ascii="Times New Roman" w:eastAsia="Times New Roman" w:hAnsi="Times New Roman" w:cs="Times New Roman"/>
          <w:b/>
        </w:rPr>
        <w:t>Data and sources.</w:t>
      </w:r>
      <w:r>
        <w:rPr>
          <w:rFonts w:ascii="Times New Roman" w:eastAsia="Times New Roman" w:hAnsi="Times New Roman" w:cs="Times New Roman"/>
        </w:rPr>
        <w:t xml:space="preserve"> This study relies on </w:t>
      </w:r>
      <w:r>
        <w:rPr>
          <w:rFonts w:ascii="Times New Roman" w:eastAsia="Times New Roman" w:hAnsi="Times New Roman" w:cs="Times New Roman"/>
          <w:b/>
        </w:rPr>
        <w:t>secondary data</w:t>
      </w:r>
      <w:r>
        <w:rPr>
          <w:rFonts w:ascii="Times New Roman" w:eastAsia="Times New Roman" w:hAnsi="Times New Roman" w:cs="Times New Roman"/>
        </w:rPr>
        <w:t xml:space="preserve"> from reputable sources, covering the years 1990 through 2024. We compile </w:t>
      </w:r>
      <w:r>
        <w:rPr>
          <w:rFonts w:ascii="Times New Roman" w:eastAsia="Times New Roman" w:hAnsi="Times New Roman" w:cs="Times New Roman"/>
          <w:b/>
        </w:rPr>
        <w:t>annual</w:t>
      </w:r>
      <w:r>
        <w:rPr>
          <w:rFonts w:ascii="Times New Roman" w:eastAsia="Times New Roman" w:hAnsi="Times New Roman" w:cs="Times New Roman"/>
        </w:rPr>
        <w:t xml:space="preserve"> series for </w:t>
      </w:r>
      <w:r>
        <w:rPr>
          <w:rFonts w:ascii="Times New Roman" w:eastAsia="Times New Roman" w:hAnsi="Times New Roman" w:cs="Times New Roman"/>
          <w:b/>
        </w:rPr>
        <w:t>1990–2024</w:t>
      </w:r>
      <w:r>
        <w:rPr>
          <w:rFonts w:ascii="Times New Roman" w:eastAsia="Times New Roman" w:hAnsi="Times New Roman" w:cs="Times New Roman"/>
        </w:rPr>
        <w:t xml:space="preserve"> from official sources (NAEB, 2024; BNR, 2024; ICO, 2024; FAO, 2024; IMF, 2024; World Bank, 2024). NAEB and BNR provide a </w:t>
      </w:r>
      <w:r>
        <w:rPr>
          <w:rFonts w:ascii="Times New Roman" w:eastAsia="Times New Roman" w:hAnsi="Times New Roman" w:cs="Times New Roman"/>
          <w:b/>
        </w:rPr>
        <w:t>continuous export record</w:t>
      </w:r>
      <w:r>
        <w:rPr>
          <w:rFonts w:ascii="Times New Roman" w:eastAsia="Times New Roman" w:hAnsi="Times New Roman" w:cs="Times New Roman"/>
        </w:rPr>
        <w:t xml:space="preserve">, cross-checked against FAOSTAT and ICO for consistency; no imputation was required over the study window. Monetary series are reported in USD; where noted, descriptive statistics may show deflated figures, but the </w:t>
      </w:r>
      <w:r>
        <w:rPr>
          <w:rFonts w:ascii="Times New Roman" w:eastAsia="Times New Roman" w:hAnsi="Times New Roman" w:cs="Times New Roman"/>
          <w:b/>
        </w:rPr>
        <w:t>primary VECM uses nominal world price and the nominal RWF/USD exchange rate</w:t>
      </w:r>
      <w:r>
        <w:rPr>
          <w:rFonts w:ascii="Times New Roman" w:eastAsia="Times New Roman" w:hAnsi="Times New Roman" w:cs="Times New Roman"/>
        </w:rPr>
        <w:t xml:space="preserve">, consistent with cointegration among integrated series. The table below defines each construct, unit, transformation used in estimation, sample coverage, and data source. As in §3.3, </w:t>
      </w:r>
      <w:r>
        <w:rPr>
          <w:rFonts w:ascii="Times New Roman" w:eastAsia="Times New Roman" w:hAnsi="Times New Roman" w:cs="Times New Roman"/>
          <w:b/>
        </w:rPr>
        <w:t>all continuous series enter the long-run relation in natural logs</w:t>
      </w:r>
      <w:r>
        <w:rPr>
          <w:rFonts w:ascii="Times New Roman" w:eastAsia="Times New Roman" w:hAnsi="Times New Roman" w:cs="Times New Roman"/>
        </w:rPr>
        <w:t>; the lending rate enters in levels; policy episodes are coded as binary indicators</w:t>
      </w:r>
    </w:p>
    <w:tbl>
      <w:tblPr>
        <w:tblStyle w:val="Style12"/>
        <w:tblW w:w="10215" w:type="dxa"/>
        <w:tblInd w:w="-420" w:type="dxa"/>
        <w:tblLayout w:type="fixed"/>
        <w:tblLook w:val="04A0" w:firstRow="1" w:lastRow="0" w:firstColumn="1" w:lastColumn="0" w:noHBand="0" w:noVBand="1"/>
      </w:tblPr>
      <w:tblGrid>
        <w:gridCol w:w="1530"/>
        <w:gridCol w:w="2520"/>
        <w:gridCol w:w="1440"/>
        <w:gridCol w:w="1230"/>
        <w:gridCol w:w="1290"/>
        <w:gridCol w:w="2205"/>
      </w:tblGrid>
      <w:tr w:rsidR="0045078D">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Definition (how measured)</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Unit</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Transformation (in models)</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Sample coverage</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Source</w:t>
            </w:r>
          </w:p>
        </w:tc>
      </w:tr>
      <w:tr w:rsidR="0045078D">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Exports (value)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Annual coffee export earnings (green coffee)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USD (current)</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NAEB; BNR; cross-check ICO/FAO</w:t>
            </w:r>
          </w:p>
        </w:tc>
      </w:tr>
      <w:tr w:rsidR="0045078D">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Exports (volume)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Annual green coffee export volume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Metric tons</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NAEB; cross-check FAOSTAT/ICO</w:t>
            </w:r>
          </w:p>
        </w:tc>
      </w:tr>
      <w:tr w:rsidR="0045078D">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Domestic production</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National coffee production (green-bean equivalent)</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Metric tons</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NAEB; FAOSTAT (consistency checks)</w:t>
            </w:r>
          </w:p>
        </w:tc>
      </w:tr>
      <w:tr w:rsidR="0045078D">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World coffee price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ICO composite indicator, annual average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USD/kg</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ICO</w:t>
            </w:r>
          </w:p>
        </w:tc>
      </w:tr>
      <w:tr w:rsidR="0045078D">
        <w:trPr>
          <w:trHeight w:val="31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World coffee production</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Global coffee output</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Million 60-kg bags (or tons)</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ICO; FAO</w:t>
            </w:r>
          </w:p>
        </w:tc>
      </w:tr>
      <w:tr w:rsidR="0045078D">
        <w:trPr>
          <w:trHeight w:val="270"/>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Exchange rate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Nominal average RWF per USD (period average)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RWF/USD</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BNR; IMF IFS</w:t>
            </w:r>
          </w:p>
        </w:tc>
      </w:tr>
      <w:tr w:rsidR="0045078D">
        <w:trPr>
          <w:trHeight w:val="690"/>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Lending interest rate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Domestic lending interest rate (annual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Percent per year</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Level</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BNR; World Bank WDI, NAEB</w:t>
            </w:r>
          </w:p>
        </w:tc>
      </w:tr>
      <w:tr w:rsidR="0045078D">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Liberalization (post-1995)</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Major reform period indicator</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 from policy chronology</w:t>
            </w:r>
          </w:p>
        </w:tc>
      </w:tr>
      <w:tr w:rsidR="0045078D">
        <w:trPr>
          <w:trHeight w:val="55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Global crisis (2008–2009)</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GFC impact indicator</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w:t>
            </w:r>
          </w:p>
        </w:tc>
      </w:tr>
      <w:tr w:rsidR="0045078D">
        <w:trPr>
          <w:trHeight w:val="13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Gungsuh" w:eastAsia="Gungsuh" w:hAnsi="Gungsuh" w:cs="Gungsuh"/>
                <w:b/>
              </w:rPr>
              <w:t>Zoning policy (≥2015)</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Coffee zoning and specialty push</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w:t>
            </w:r>
          </w:p>
        </w:tc>
      </w:tr>
      <w:tr w:rsidR="0045078D">
        <w:trPr>
          <w:trHeight w:val="22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COVID-19 (2020)</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Pandemic shock indicator</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w:t>
            </w:r>
          </w:p>
        </w:tc>
      </w:tr>
    </w:tbl>
    <w:p w:rsidR="0045078D" w:rsidRDefault="00551C1A">
      <w:pPr>
        <w:spacing w:after="240"/>
        <w:jc w:val="both"/>
        <w:rPr>
          <w:rFonts w:ascii="Times New Roman" w:eastAsia="Times New Roman" w:hAnsi="Times New Roman" w:cs="Times New Roman"/>
          <w:i/>
        </w:rPr>
      </w:pPr>
      <w:r>
        <w:rPr>
          <w:rFonts w:ascii="Times New Roman" w:eastAsia="Times New Roman" w:hAnsi="Times New Roman" w:cs="Times New Roman"/>
          <w:b/>
          <w:i/>
        </w:rPr>
        <w:t>Table 1. Variables, definitions, units, transformations, coverage, and sources (1990–2024). Notes.</w:t>
      </w:r>
      <w:r>
        <w:rPr>
          <w:rFonts w:ascii="Times New Roman" w:eastAsia="Times New Roman" w:hAnsi="Times New Roman" w:cs="Times New Roman"/>
          <w:i/>
        </w:rPr>
        <w:t xml:space="preserve"> “ln” denotes natural logarithm. Policy indicators follow the sector chronology described in §2 and §3.2. The nominal world price and exchange rate enter the cointegrating vector as logged levels; the lending rate enters in level form; dummies are exogenous binary </w:t>
      </w:r>
      <w:proofErr w:type="spellStart"/>
      <w:r>
        <w:rPr>
          <w:rFonts w:ascii="Times New Roman" w:eastAsia="Times New Roman" w:hAnsi="Times New Roman" w:cs="Times New Roman"/>
          <w:i/>
        </w:rPr>
        <w:t>controls.ADF</w:t>
      </w:r>
      <w:proofErr w:type="spellEnd"/>
      <w:r>
        <w:rPr>
          <w:rFonts w:ascii="Times New Roman" w:eastAsia="Times New Roman" w:hAnsi="Times New Roman" w:cs="Times New Roman"/>
          <w:i/>
        </w:rPr>
        <w:t xml:space="preserve"> tests confirm all core series are I(1) in levels and I(0) in first differences. Unit-root checks (ADF with PP confirmation) indicate </w:t>
      </w:r>
      <w:r>
        <w:rPr>
          <w:rFonts w:ascii="Times New Roman" w:eastAsia="Times New Roman" w:hAnsi="Times New Roman" w:cs="Times New Roman"/>
          <w:b/>
          <w:i/>
        </w:rPr>
        <w:t xml:space="preserve">all core series behave as </w:t>
      </w:r>
      <w:proofErr w:type="gramStart"/>
      <w:r>
        <w:rPr>
          <w:rFonts w:ascii="Times New Roman" w:eastAsia="Times New Roman" w:hAnsi="Times New Roman" w:cs="Times New Roman"/>
          <w:b/>
          <w:i/>
        </w:rPr>
        <w:t>I(</w:t>
      </w:r>
      <w:proofErr w:type="gramEnd"/>
      <w:r>
        <w:rPr>
          <w:rFonts w:ascii="Times New Roman" w:eastAsia="Times New Roman" w:hAnsi="Times New Roman" w:cs="Times New Roman"/>
          <w:b/>
          <w:i/>
        </w:rPr>
        <w:t>1) in levels and I(0) in first differences</w:t>
      </w:r>
      <w:r>
        <w:rPr>
          <w:rFonts w:ascii="Times New Roman" w:eastAsia="Times New Roman" w:hAnsi="Times New Roman" w:cs="Times New Roman"/>
          <w:i/>
        </w:rPr>
        <w:t>; details are reported in §3.3 and associated tables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Pr>
          <w:rFonts w:ascii="Times New Roman" w:eastAsia="Times New Roman" w:hAnsi="Times New Roman" w:cs="Times New Roman"/>
          <w:b/>
        </w:rPr>
        <w:t>Coffee export performance</w:t>
      </w:r>
      <w:r>
        <w:rPr>
          <w:rFonts w:ascii="Times New Roman" w:eastAsia="Times New Roman" w:hAnsi="Times New Roman" w:cs="Times New Roman"/>
        </w:rPr>
        <w:t xml:space="preserve"> (dependent variable): Measured in two ways – annual export volume (tons of green coffee exported) and annual export value (USD earnings from coffee exports). Volume and value data were obtained from NAEB annual reports and National Bank of Rwanda statistics. NAEB’s records (and its predecessor OCIR-Café) provide a continuous series on coffee exports. For robustness, FAOSTAT and ICO data were cross-checked to ensure consistency in export volume figures.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b/>
        </w:rPr>
        <w:t>Domestic production</w:t>
      </w:r>
      <w:r>
        <w:rPr>
          <w:rFonts w:ascii="Times New Roman" w:eastAsia="Times New Roman" w:hAnsi="Times New Roman" w:cs="Times New Roman"/>
        </w:rPr>
        <w:t xml:space="preserve"> (independent variable): Annual coffee production in Rwanda (tons of green coffee cherries or beans). We use NAEB figures for national coffee production. Production data reflect the processed green bean equivalent output. This captures the supply capacity each year. Notably, production varies with weather and farm management; e.g., NAEB reported ~16,000 tons in 2020/21 rising to ~20,000 tons in 2022/23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but still below historical peaks (over 21,000 tons in 2018/19) due to weather and tree age issues.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Global coffee price</w:t>
      </w:r>
      <w:r>
        <w:rPr>
          <w:rFonts w:ascii="Times New Roman" w:eastAsia="Times New Roman" w:hAnsi="Times New Roman" w:cs="Times New Roman"/>
        </w:rPr>
        <w:t xml:space="preserve"> (independent variable): We use the ICO composite indicator price (annual average, USD per kilogram) as a measure of international coffee price levels. This indicator reflects global market conditions that all exporters face. Alternatively, we will test robustness with the Arabica-specific price index, since Rwanda predominantly produces Arabica.</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Global coffee production</w:t>
      </w:r>
      <w:r>
        <w:rPr>
          <w:rFonts w:ascii="Times New Roman" w:eastAsia="Times New Roman" w:hAnsi="Times New Roman" w:cs="Times New Roman"/>
        </w:rPr>
        <w:t xml:space="preserve"> (independent variable): Total world coffee production (in million 60-kg bags or in tons, annual) to represent global supply. Data from ICO and FAO are used. Including this helps capture exogenous supply shocks – for example, a surge in world output (say, a record Brazil harvest) could depress prices and thus indirectly affect Rwanda’s exports.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Exchange rate</w:t>
      </w:r>
      <w:r>
        <w:rPr>
          <w:rFonts w:ascii="Times New Roman" w:eastAsia="Times New Roman" w:hAnsi="Times New Roman" w:cs="Times New Roman"/>
        </w:rPr>
        <w:t xml:space="preserve"> (independent variable): RWF to USD nominal exchange rate (period average). Sourced from BNR and IMF’s International Financial Statistics. Since Rwanda followed a managed float with periodic adjustments, the exchange rate shows a gradual depreciation trend over the years. We anticipate that a more depreciated (higher) RWF/USD rate improves export competitiveness in the long run.</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(vi). </w:t>
      </w:r>
      <w:r>
        <w:rPr>
          <w:rFonts w:ascii="Times New Roman" w:eastAsia="Times New Roman" w:hAnsi="Times New Roman" w:cs="Times New Roman"/>
          <w:b/>
        </w:rPr>
        <w:t>Interest rate</w:t>
      </w:r>
      <w:r>
        <w:rPr>
          <w:rFonts w:ascii="Times New Roman" w:eastAsia="Times New Roman" w:hAnsi="Times New Roman" w:cs="Times New Roman"/>
        </w:rPr>
        <w:t xml:space="preserve"> (independent variable): Domestic lending interest rate (annual %). Collected from BNR and World Bank WDI. This serves as a proxy for the cost of credit in Rwanda’s economy. A high interest rate environment may constrain investment in coffee planting or processing facilities.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(vii). </w:t>
      </w:r>
      <w:r>
        <w:rPr>
          <w:rFonts w:ascii="Times New Roman" w:eastAsia="Times New Roman" w:hAnsi="Times New Roman" w:cs="Times New Roman"/>
          <w:b/>
        </w:rPr>
        <w:t>Policy dummy</w:t>
      </w:r>
      <w:r>
        <w:rPr>
          <w:rFonts w:ascii="Times New Roman" w:eastAsia="Times New Roman" w:hAnsi="Times New Roman" w:cs="Times New Roman"/>
        </w:rPr>
        <w:t xml:space="preserve"> (independent variables): We include dummy variables for significant regime shifts or shocks. For example, </w:t>
      </w:r>
      <w:r>
        <w:rPr>
          <w:rFonts w:ascii="Times New Roman" w:eastAsia="Times New Roman" w:hAnsi="Times New Roman" w:cs="Times New Roman"/>
          <w:b/>
        </w:rPr>
        <w:t>Liberalization</w:t>
      </w:r>
      <w:r>
        <w:rPr>
          <w:rFonts w:ascii="Times New Roman" w:eastAsia="Times New Roman" w:hAnsi="Times New Roman" w:cs="Times New Roman"/>
        </w:rPr>
        <w:t xml:space="preserve"> (post-1995) = 1 for years after coffee sector reform and liberalization of trade; </w:t>
      </w:r>
      <w:r>
        <w:rPr>
          <w:rFonts w:ascii="Times New Roman" w:eastAsia="Times New Roman" w:hAnsi="Times New Roman" w:cs="Times New Roman"/>
          <w:b/>
        </w:rPr>
        <w:t>Financial crisis 2008</w:t>
      </w:r>
      <w:r>
        <w:rPr>
          <w:rFonts w:ascii="Times New Roman" w:eastAsia="Times New Roman" w:hAnsi="Times New Roman" w:cs="Times New Roman"/>
        </w:rPr>
        <w:t xml:space="preserve"> = 1 for 2008–2009 to capture global recession impact; </w:t>
      </w:r>
      <w:r>
        <w:rPr>
          <w:rFonts w:ascii="Times New Roman" w:eastAsia="Times New Roman" w:hAnsi="Times New Roman" w:cs="Times New Roman"/>
          <w:b/>
        </w:rPr>
        <w:t>COVID-19</w:t>
      </w:r>
      <w:r>
        <w:rPr>
          <w:rFonts w:ascii="Times New Roman" w:eastAsia="Times New Roman" w:hAnsi="Times New Roman" w:cs="Times New Roman"/>
        </w:rPr>
        <w:t xml:space="preserve"> = 1 for 2020 to capture pandemic disruption in trade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We also test a </w:t>
      </w:r>
      <w:r>
        <w:rPr>
          <w:rFonts w:ascii="Times New Roman" w:eastAsia="Times New Roman" w:hAnsi="Times New Roman" w:cs="Times New Roman"/>
          <w:b/>
        </w:rPr>
        <w:t>post-2015</w:t>
      </w:r>
      <w:r>
        <w:rPr>
          <w:rFonts w:ascii="Times New Roman" w:eastAsia="Times New Roman" w:hAnsi="Times New Roman" w:cs="Times New Roman"/>
        </w:rPr>
        <w:t xml:space="preserve"> dummy to reflect the introduction of the zoning policy and intensified specialty coffee strategy. In practice, these indicators equal 1 in the years of the policy or shock and 0 otherwise—post-1995 for liberalization, 2008–2009 for the global financial crisis, post-2015 for the zoning regime, 2020 for the COVID-19 trade shock, and a single-year outlier in 2003 to capture the documented drought—so that timing aligns with enactment or onset rather than with later outcomes. </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All monetary values are converted to real terms (constant USD) using global inflation indices where relevant, and any RWF figures (like farm-gate prices, if used) would be deflated by Rwanda’s CPI. However, our primary analysis in VECM uses nominal exchange and price since cointegration can account for inflation trends across integrated variables.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3.3. Econometric approach.</w:t>
      </w:r>
      <w:r>
        <w:rPr>
          <w:rFonts w:ascii="Times New Roman" w:eastAsia="Times New Roman" w:hAnsi="Times New Roman" w:cs="Times New Roman"/>
        </w:rPr>
        <w:t xml:space="preserve"> We estimate a cointegrated system in the Johansen framework with an error-correction representation (VECM) to separate long-run equilibria from short-run adjustments, and we re-estimate the long-run relationship with an Autoregressive Distributed Lag (ARDL) specification as a cross-check. This pairing makes the core results transparent and robust to alternative cointegration testing and dynamic lag structures. The cornerstone of our analysis is a </w:t>
      </w:r>
      <w:r>
        <w:rPr>
          <w:rFonts w:ascii="Times New Roman" w:eastAsia="Times New Roman" w:hAnsi="Times New Roman" w:cs="Times New Roman"/>
          <w:b/>
        </w:rPr>
        <w:t>Vector Error Correction Model (VECM)</w:t>
      </w:r>
      <w:r>
        <w:rPr>
          <w:rFonts w:ascii="Times New Roman" w:eastAsia="Times New Roman" w:hAnsi="Times New Roman" w:cs="Times New Roman"/>
        </w:rPr>
        <w:t>. We chose VECM because preliminary tests indicated that our time-series variables are non-stationary in levels but likely cointegrated – a typical situation for macroeconomic time series over long spans. The VECM approach involves the following steps: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Pr>
          <w:rFonts w:ascii="Times New Roman" w:eastAsia="Times New Roman" w:hAnsi="Times New Roman" w:cs="Times New Roman"/>
          <w:b/>
        </w:rPr>
        <w:t>Unit root testing:</w:t>
      </w:r>
      <w:r>
        <w:rPr>
          <w:rFonts w:ascii="Times New Roman" w:eastAsia="Times New Roman" w:hAnsi="Times New Roman" w:cs="Times New Roman"/>
        </w:rPr>
        <w:t xml:space="preserve"> We apply the Augmented Dickey-Fuller (ADF) test (and Phillips-</w:t>
      </w:r>
      <w:proofErr w:type="spellStart"/>
      <w:r>
        <w:rPr>
          <w:rFonts w:ascii="Times New Roman" w:eastAsia="Times New Roman" w:hAnsi="Times New Roman" w:cs="Times New Roman"/>
        </w:rPr>
        <w:t>Perron</w:t>
      </w:r>
      <w:proofErr w:type="spellEnd"/>
      <w:r>
        <w:rPr>
          <w:rFonts w:ascii="Times New Roman" w:eastAsia="Times New Roman" w:hAnsi="Times New Roman" w:cs="Times New Roman"/>
        </w:rPr>
        <w:t xml:space="preserve"> test for confirmation) to each series (export volume, export value, production, price, exchange rate, etc.) to determine their order of integration (Dickey &amp; Fuller, 1979; Phillips &amp; </w:t>
      </w:r>
      <w:proofErr w:type="spellStart"/>
      <w:r>
        <w:rPr>
          <w:rFonts w:ascii="Times New Roman" w:eastAsia="Times New Roman" w:hAnsi="Times New Roman" w:cs="Times New Roman"/>
        </w:rPr>
        <w:t>Perron</w:t>
      </w:r>
      <w:proofErr w:type="spellEnd"/>
      <w:r>
        <w:rPr>
          <w:rFonts w:ascii="Times New Roman" w:eastAsia="Times New Roman" w:hAnsi="Times New Roman" w:cs="Times New Roman"/>
        </w:rPr>
        <w:t xml:space="preserve">, 1988). We find that most variables are </w:t>
      </w:r>
      <w:proofErr w:type="gramStart"/>
      <w:r>
        <w:rPr>
          <w:rFonts w:ascii="Times New Roman" w:eastAsia="Times New Roman" w:hAnsi="Times New Roman" w:cs="Times New Roman"/>
          <w:b/>
        </w:rPr>
        <w:t>I(</w:t>
      </w:r>
      <w:proofErr w:type="gramEnd"/>
      <w:r>
        <w:rPr>
          <w:rFonts w:ascii="Times New Roman" w:eastAsia="Times New Roman" w:hAnsi="Times New Roman" w:cs="Times New Roman"/>
          <w:b/>
        </w:rPr>
        <w:t>1)</w:t>
      </w:r>
      <w:r>
        <w:rPr>
          <w:rFonts w:ascii="Times New Roman" w:eastAsia="Times New Roman" w:hAnsi="Times New Roman" w:cs="Times New Roman"/>
        </w:rPr>
        <w:t xml:space="preserve"> (non-stationary in levels but stationary in first differences). For instance, the coffee export earnings series shows a stochastic trend reflecting structural growth and inflation, not a mean-reverting pattern.</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b/>
        </w:rPr>
        <w:t>Johansen cointegration test:</w:t>
      </w:r>
      <w:r>
        <w:rPr>
          <w:rFonts w:ascii="Times New Roman" w:eastAsia="Times New Roman" w:hAnsi="Times New Roman" w:cs="Times New Roman"/>
        </w:rPr>
        <w:t xml:space="preserve"> We then use the Johansen maximum likelihood procedure to test for cointegration among the key variables (See Table 1). The Johansen test (Trace and Max-Eigen statistics) allows us to determine if there is a stable long-run equilibrium relationship linking Rwanda’s coffee exports with production, prices, and macro factors. Indeed, evidence of one cointegrating vector was found at the 5% significance level, indicating that a meaningful long-run relationship exists (for example, export revenue might move with production and price in the long term, even if they diverge in the short term). This justifies using a VECM specification. We selected a parsimonious lag structure based on information criteria and included a constant.</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(iii). </w:t>
      </w:r>
      <w:r>
        <w:rPr>
          <w:rFonts w:ascii="Times New Roman" w:eastAsia="Times New Roman" w:hAnsi="Times New Roman" w:cs="Times New Roman"/>
          <w:b/>
        </w:rPr>
        <w:t>VECM specification:</w:t>
      </w:r>
      <w:r>
        <w:rPr>
          <w:rFonts w:ascii="Times New Roman" w:eastAsia="Times New Roman" w:hAnsi="Times New Roman" w:cs="Times New Roman"/>
        </w:rPr>
        <w:t xml:space="preserve"> The VECM can be seen as an augmented vector autoregression (VAR) that includes error-correction terms. We specify a model where the first difference of each endogenous variable (Δ exports, Δ production, Δ price, etc.) is regressed on lags of differences of all variables (capturing short-run dynamics) plus an </w:t>
      </w:r>
      <w:r>
        <w:rPr>
          <w:rFonts w:ascii="Times New Roman" w:eastAsia="Times New Roman" w:hAnsi="Times New Roman" w:cs="Times New Roman"/>
          <w:b/>
        </w:rPr>
        <w:t>error-correction term</w:t>
      </w:r>
      <w:r>
        <w:rPr>
          <w:rFonts w:ascii="Times New Roman" w:eastAsia="Times New Roman" w:hAnsi="Times New Roman" w:cs="Times New Roman"/>
        </w:rPr>
        <w:t xml:space="preserve"> (ECT) derived from the cointegrating equation (capturing long-run adjustment). Because lending-rate is </w:t>
      </w:r>
      <w:proofErr w:type="gramStart"/>
      <w:r>
        <w:rPr>
          <w:rFonts w:ascii="Times New Roman" w:eastAsia="Times New Roman" w:hAnsi="Times New Roman" w:cs="Times New Roman"/>
        </w:rPr>
        <w:t>I(</w:t>
      </w:r>
      <w:proofErr w:type="gramEnd"/>
      <w:r>
        <w:rPr>
          <w:rFonts w:ascii="Times New Roman" w:eastAsia="Times New Roman" w:hAnsi="Times New Roman" w:cs="Times New Roman"/>
        </w:rPr>
        <w:t>0), it enters only the long-run equation and not the short-run differenced terms. The cointegrating equation might look like:</w:t>
      </w:r>
    </w:p>
    <w:p w:rsidR="0045078D" w:rsidRDefault="00551C1A">
      <w:pPr>
        <w:spacing w:before="240" w:after="240"/>
        <w:jc w:val="both"/>
        <w:rPr>
          <w:rFonts w:ascii="Times New Roman" w:eastAsia="Times New Roman" w:hAnsi="Times New Roman" w:cs="Times New Roman"/>
          <w:b/>
        </w:rPr>
      </w:pPr>
      <w:r>
        <w:rPr>
          <w:rFonts w:ascii="Times New Roman" w:eastAsia="Times New Roman" w:hAnsi="Times New Roman" w:cs="Times New Roman"/>
          <w:b/>
        </w:rPr>
        <w:t>(a). Cointegrating (long-run) relationship</w:t>
      </w:r>
    </w:p>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5943600" cy="4699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3" name="image7.png"/>
                    <pic:cNvPicPr preferRelativeResize="0"/>
                  </pic:nvPicPr>
                  <pic:blipFill>
                    <a:blip r:embed="rId9"/>
                    <a:srcRect/>
                    <a:stretch>
                      <a:fillRect/>
                    </a:stretch>
                  </pic:blipFill>
                  <pic:spPr>
                    <a:xfrm>
                      <a:off x="0" y="0"/>
                      <a:ext cx="5943600" cy="469900"/>
                    </a:xfrm>
                    <a:prstGeom prst="rect">
                      <a:avLst/>
                    </a:prstGeom>
                  </pic:spPr>
                </pic:pic>
              </a:graphicData>
            </a:graphic>
          </wp:inline>
        </w:drawing>
      </w:r>
    </w:p>
    <w:p w:rsidR="0045078D" w:rsidRDefault="00551C1A">
      <w:pPr>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5414645" cy="1986915"/>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5" name="image9.png"/>
                    <pic:cNvPicPr preferRelativeResize="0"/>
                  </pic:nvPicPr>
                  <pic:blipFill>
                    <a:blip r:embed="rId10"/>
                    <a:srcRect/>
                    <a:stretch>
                      <a:fillRect/>
                    </a:stretch>
                  </pic:blipFill>
                  <pic:spPr>
                    <a:xfrm>
                      <a:off x="0" y="0"/>
                      <a:ext cx="5414963" cy="1987222"/>
                    </a:xfrm>
                    <a:prstGeom prst="rect">
                      <a:avLst/>
                    </a:prstGeom>
                  </pic:spPr>
                </pic:pic>
              </a:graphicData>
            </a:graphic>
          </wp:inline>
        </w:drawing>
      </w:r>
      <w:r>
        <w:rPr>
          <w:rFonts w:ascii="Cardo" w:eastAsia="Cardo" w:hAnsi="Cardo" w:cs="Cardo"/>
        </w:rPr>
        <w:t>This equation yields the long-run elasticities β1 ⁣− ⁣β4\beta_{1}\!-\!\beta_{4}β1​−β4​ and the level-shift effects β5,6\beta_{5,6}β5,6​.</w:t>
      </w:r>
    </w:p>
    <w:p w:rsidR="0045078D" w:rsidRDefault="00551C1A">
      <w:pPr>
        <w:spacing w:before="240"/>
        <w:jc w:val="both"/>
        <w:rPr>
          <w:rFonts w:ascii="Times New Roman" w:eastAsia="Times New Roman" w:hAnsi="Times New Roman" w:cs="Times New Roman"/>
          <w:b/>
        </w:rPr>
      </w:pPr>
      <w:r>
        <w:rPr>
          <w:rFonts w:ascii="Times New Roman" w:eastAsia="Times New Roman" w:hAnsi="Times New Roman" w:cs="Times New Roman"/>
          <w:b/>
        </w:rPr>
        <w:t>(b) VECM representation (export equation shown; other endogenous equations are analogous)</w:t>
      </w:r>
    </w:p>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5014595" cy="103695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2" name="image6.png"/>
                    <pic:cNvPicPr preferRelativeResize="0"/>
                  </pic:nvPicPr>
                  <pic:blipFill>
                    <a:blip r:embed="rId11"/>
                    <a:srcRect/>
                    <a:stretch>
                      <a:fillRect/>
                    </a:stretch>
                  </pic:blipFill>
                  <pic:spPr>
                    <a:xfrm>
                      <a:off x="0" y="0"/>
                      <a:ext cx="5014913" cy="1037568"/>
                    </a:xfrm>
                    <a:prstGeom prst="rect">
                      <a:avLst/>
                    </a:prstGeom>
                  </pic:spPr>
                </pic:pic>
              </a:graphicData>
            </a:graphic>
          </wp:inline>
        </w:drawing>
      </w:r>
    </w:p>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extent cx="5205095" cy="127571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4" name="image8.png"/>
                    <pic:cNvPicPr preferRelativeResize="0"/>
                  </pic:nvPicPr>
                  <pic:blipFill>
                    <a:blip r:embed="rId12"/>
                    <a:srcRect/>
                    <a:stretch>
                      <a:fillRect/>
                    </a:stretch>
                  </pic:blipFill>
                  <pic:spPr>
                    <a:xfrm>
                      <a:off x="0" y="0"/>
                      <a:ext cx="5205413" cy="1276327"/>
                    </a:xfrm>
                    <a:prstGeom prst="rect">
                      <a:avLst/>
                    </a:prstGeom>
                  </pic:spPr>
                </pic:pic>
              </a:graphicData>
            </a:graphic>
          </wp:inline>
        </w:drawing>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(iv). Diagnostic tests:</w:t>
      </w:r>
      <w:r>
        <w:rPr>
          <w:rFonts w:ascii="Times New Roman" w:eastAsia="Times New Roman" w:hAnsi="Times New Roman" w:cs="Times New Roman"/>
        </w:rPr>
        <w:t xml:space="preserve"> We check the VECM for serial correlation (using Breusch–Godfrey LM test), heteroskedasticity (White’s test), and normality of residuals (</w:t>
      </w:r>
      <w:proofErr w:type="spellStart"/>
      <w:r>
        <w:rPr>
          <w:rFonts w:ascii="Times New Roman" w:eastAsia="Times New Roman" w:hAnsi="Times New Roman" w:cs="Times New Roman"/>
        </w:rPr>
        <w:t>Jarque</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Bera</w:t>
      </w:r>
      <w:proofErr w:type="spellEnd"/>
      <w:r>
        <w:rPr>
          <w:rFonts w:ascii="Times New Roman" w:eastAsia="Times New Roman" w:hAnsi="Times New Roman" w:cs="Times New Roman"/>
        </w:rPr>
        <w:t xml:space="preserve"> test) (Breusch &amp; Godfrey, 1978; White, 1980; </w:t>
      </w:r>
      <w:proofErr w:type="spellStart"/>
      <w:r>
        <w:rPr>
          <w:rFonts w:ascii="Times New Roman" w:eastAsia="Times New Roman" w:hAnsi="Times New Roman" w:cs="Times New Roman"/>
        </w:rPr>
        <w:t>Jarque</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Bera</w:t>
      </w:r>
      <w:proofErr w:type="spellEnd"/>
      <w:r>
        <w:rPr>
          <w:rFonts w:ascii="Times New Roman" w:eastAsia="Times New Roman" w:hAnsi="Times New Roman" w:cs="Times New Roman"/>
        </w:rPr>
        <w:t xml:space="preserve">, 1980). We also verify stability (roots of characteristic polynomial within unit circle). If any issues are detected (e.g., autocorrelated errors), we adjust the lag length or consider </w:t>
      </w:r>
      <w:r>
        <w:rPr>
          <w:rFonts w:ascii="Times New Roman" w:eastAsia="Times New Roman" w:hAnsi="Times New Roman" w:cs="Times New Roman"/>
        </w:rPr>
        <w:lastRenderedPageBreak/>
        <w:t>adding exogenous controls until diagnostics are satisfied. Additionally, we perform a Ramsey RESET test to check for model specification errors.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ARDL robustness check:</w:t>
      </w:r>
      <w:r>
        <w:rPr>
          <w:rFonts w:ascii="Times New Roman" w:eastAsia="Times New Roman" w:hAnsi="Times New Roman" w:cs="Times New Roman"/>
        </w:rPr>
        <w:t xml:space="preserve"> To ensure our results are not sensitive to the specific methodology, we also employ an </w:t>
      </w:r>
      <w:r>
        <w:rPr>
          <w:rFonts w:ascii="Times New Roman" w:eastAsia="Times New Roman" w:hAnsi="Times New Roman" w:cs="Times New Roman"/>
          <w:b/>
        </w:rPr>
        <w:t>Autoregressive Distributed Lag (ARDL) bounds testing approach</w:t>
      </w:r>
      <w:r>
        <w:rPr>
          <w:rFonts w:ascii="Times New Roman" w:eastAsia="Times New Roman" w:hAnsi="Times New Roman" w:cs="Times New Roman"/>
        </w:rPr>
        <w:t xml:space="preserve"> as a robustness check. The ARDL model is flexible with variables of mixed order of integration (</w:t>
      </w:r>
      <w:proofErr w:type="gramStart"/>
      <w:r>
        <w:rPr>
          <w:rFonts w:ascii="Times New Roman" w:eastAsia="Times New Roman" w:hAnsi="Times New Roman" w:cs="Times New Roman"/>
        </w:rPr>
        <w:t>I(</w:t>
      </w:r>
      <w:proofErr w:type="gramEnd"/>
      <w:r>
        <w:rPr>
          <w:rFonts w:ascii="Times New Roman" w:eastAsia="Times New Roman" w:hAnsi="Times New Roman" w:cs="Times New Roman"/>
        </w:rPr>
        <w:t>0) or I(1)) and provides an alternative way to test for cointegration (</w:t>
      </w:r>
      <w:proofErr w:type="spellStart"/>
      <w:r>
        <w:rPr>
          <w:rFonts w:ascii="Times New Roman" w:eastAsia="Times New Roman" w:hAnsi="Times New Roman" w:cs="Times New Roman"/>
        </w:rPr>
        <w:t>Pesaran’s</w:t>
      </w:r>
      <w:proofErr w:type="spellEnd"/>
      <w:r>
        <w:rPr>
          <w:rFonts w:ascii="Times New Roman" w:eastAsia="Times New Roman" w:hAnsi="Times New Roman" w:cs="Times New Roman"/>
        </w:rPr>
        <w:t xml:space="preserve"> bounds test). By re-estimating the long-run relationship with ARDL, we can compare coefficients. We also run the ARDL in a form that allows structural break dummies to see if key events significantly alter long-run coefficients. Our bounds F-statistic of 5.96 (k = 6) surpasses the 5 % upper bound (4.43), so a long-run relationship is likewise affirmed in the ARDL framework.</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(vi). </w:t>
      </w:r>
      <w:r>
        <w:rPr>
          <w:rFonts w:ascii="Times New Roman" w:eastAsia="Times New Roman" w:hAnsi="Times New Roman" w:cs="Times New Roman"/>
          <w:b/>
        </w:rPr>
        <w:t>Validity and reliability.</w:t>
      </w:r>
      <w:r>
        <w:rPr>
          <w:rFonts w:ascii="Times New Roman" w:eastAsia="Times New Roman" w:hAnsi="Times New Roman" w:cs="Times New Roman"/>
        </w:rPr>
        <w:t xml:space="preserve"> All data sources are official and cross-verified (e.g., NAEB vs. FAO production figures). Using secondary data reduces risks of measurement error common in survey-based primary data. Nonetheless, accuracy of historical data (especially 1990s during civil conflict) could be a concern; we rely on official revisions and notes for those years. The long time span strengthens the analysis by providing ample degrees of freedom and variation. Our methodology draws on standard, peer-reviewed econometric techniques, ensuring scientific rigor. We cite relevant econometric literature where applicable (for instance, using Engle and Granger (1987) and Johansen (1991) cointegration frameworks as per best practices).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(vii). </w:t>
      </w:r>
      <w:r>
        <w:rPr>
          <w:rFonts w:ascii="Times New Roman" w:eastAsia="Times New Roman" w:hAnsi="Times New Roman" w:cs="Times New Roman"/>
          <w:b/>
        </w:rPr>
        <w:t>Ethical considerations.</w:t>
      </w:r>
      <w:r>
        <w:rPr>
          <w:rFonts w:ascii="Times New Roman" w:eastAsia="Times New Roman" w:hAnsi="Times New Roman" w:cs="Times New Roman"/>
        </w:rPr>
        <w:t xml:space="preserve"> Since our study uses only secondary, aggregate data, there are no human subjects or personal identifiers involved, thus no direct ethical risks. We adhere to ethical research standards by giving proper attribution to data sources and prior studies. In presenting results, we exercise honesty about the model’s limitations and avoid any manipulation of data. The analysis is geared towards informing policy in a constructive manner; we remain mindful that how findings are communicated can affect stakeholders (e.g., we discuss farmer welfare implications with appropriate nuance, recognizing that behind the data are real livelihoods).</w:t>
      </w:r>
    </w:p>
    <w:p w:rsidR="0045078D" w:rsidRDefault="00551C1A">
      <w:pPr>
        <w:pStyle w:val="Heading2"/>
        <w:keepNext w:val="0"/>
        <w:keepLines w:val="0"/>
        <w:numPr>
          <w:ilvl w:val="0"/>
          <w:numId w:val="1"/>
        </w:numPr>
        <w:spacing w:after="80"/>
        <w:rPr>
          <w:rFonts w:ascii="Times New Roman" w:eastAsia="Times New Roman" w:hAnsi="Times New Roman" w:cs="Times New Roman"/>
          <w:b/>
          <w:sz w:val="26"/>
          <w:szCs w:val="26"/>
        </w:rPr>
      </w:pPr>
      <w:bookmarkStart w:id="4" w:name="_dyix1qaajjr5" w:colFirst="0" w:colLast="0"/>
      <w:bookmarkEnd w:id="4"/>
      <w:r>
        <w:rPr>
          <w:rFonts w:ascii="Times New Roman" w:eastAsia="Times New Roman" w:hAnsi="Times New Roman" w:cs="Times New Roman"/>
          <w:b/>
          <w:sz w:val="26"/>
          <w:szCs w:val="26"/>
        </w:rPr>
        <w:t>Findings &amp; Discussion</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Our findings are organized around </w:t>
      </w:r>
      <w:r>
        <w:rPr>
          <w:rFonts w:ascii="Times New Roman" w:eastAsia="Times New Roman" w:hAnsi="Times New Roman" w:cs="Times New Roman"/>
          <w:b/>
        </w:rPr>
        <w:t>RQ1–RQ3</w:t>
      </w:r>
      <w:r>
        <w:rPr>
          <w:rFonts w:ascii="Times New Roman" w:eastAsia="Times New Roman" w:hAnsi="Times New Roman" w:cs="Times New Roman"/>
        </w:rPr>
        <w:t xml:space="preserve">: long-run drivers (Section 4.1), short-run dynamics (Section 4.2), and policy episodes (Section 4.3) Overall, the VECM estimation confirms the existence of a </w:t>
      </w:r>
      <w:r>
        <w:rPr>
          <w:rFonts w:ascii="Times New Roman" w:eastAsia="Times New Roman" w:hAnsi="Times New Roman" w:cs="Times New Roman"/>
          <w:b/>
        </w:rPr>
        <w:t>long-run equilibrium relationship</w:t>
      </w:r>
      <w:r>
        <w:rPr>
          <w:rFonts w:ascii="Times New Roman" w:eastAsia="Times New Roman" w:hAnsi="Times New Roman" w:cs="Times New Roman"/>
        </w:rPr>
        <w:t xml:space="preserve"> among the key variables affecting Rwanda’s coffee exports. The cointegrating equation (normalized on the log of export value) is reported in Table 2, and the short-run dynamics are summarized in Table 3.</w:t>
      </w:r>
    </w:p>
    <w:tbl>
      <w:tblPr>
        <w:tblStyle w:val="Style13"/>
        <w:tblW w:w="8865" w:type="dxa"/>
        <w:tblInd w:w="0" w:type="dxa"/>
        <w:tblLayout w:type="fixed"/>
        <w:tblLook w:val="04A0" w:firstRow="1" w:lastRow="0" w:firstColumn="1" w:lastColumn="0" w:noHBand="0" w:noVBand="1"/>
      </w:tblPr>
      <w:tblGrid>
        <w:gridCol w:w="3200"/>
        <w:gridCol w:w="1700"/>
        <w:gridCol w:w="1295"/>
        <w:gridCol w:w="785"/>
        <w:gridCol w:w="995"/>
        <w:gridCol w:w="890"/>
      </w:tblGrid>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Coefficient (β)</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Std. Error</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z-stat</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p-value</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rPr>
              <w:t>Signif</w:t>
            </w:r>
            <w:proofErr w:type="spellEnd"/>
            <w:r>
              <w:rPr>
                <w:rFonts w:ascii="Times New Roman" w:eastAsia="Times New Roman" w:hAnsi="Times New Roman" w:cs="Times New Roman"/>
                <w:b/>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ln(Production)</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1.30***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0.12</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10.83</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0.000</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Price)</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0.95***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0.10</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9.50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0.000</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ln(Exchange Rate, RWF/USD)</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0.35**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0.14</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0.012</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Production)</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–0.45**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0.18</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0.013</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Interest Rate (%)</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0.08</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–1.88</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0.060</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Liberalization (post-1995)</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2.00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0.046</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2008–09 Global Crisis</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–0.20***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0.06</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–3.33</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0.001</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Post-2015 Zoning</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–0.02</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0.03</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–0.67</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0.503</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45078D">
            <w:pPr>
              <w:spacing w:line="240" w:lineRule="auto"/>
              <w:jc w:val="both"/>
              <w:rPr>
                <w:rFonts w:ascii="Times New Roman" w:eastAsia="Times New Roman" w:hAnsi="Times New Roman" w:cs="Times New Roman"/>
              </w:rPr>
            </w:pP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COVID-19 (2020)</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–0.12*</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–2.40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0.016</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Constant</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0.50**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0.20</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0.012</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bl>
    <w:p w:rsidR="0045078D" w:rsidRDefault="00551C1A">
      <w:pPr>
        <w:spacing w:after="240"/>
        <w:jc w:val="both"/>
        <w:rPr>
          <w:rFonts w:ascii="Times New Roman" w:eastAsia="Times New Roman" w:hAnsi="Times New Roman" w:cs="Times New Roman"/>
          <w:i/>
        </w:rPr>
      </w:pPr>
      <w:r>
        <w:rPr>
          <w:rFonts w:ascii="Times New Roman" w:eastAsia="Times New Roman" w:hAnsi="Times New Roman" w:cs="Times New Roman"/>
          <w:b/>
          <w:i/>
        </w:rPr>
        <w:t xml:space="preserve">Table 2. Long-run relationship from Johansen VECM, normalized on </w:t>
      </w:r>
      <w:proofErr w:type="gramStart"/>
      <w:r>
        <w:rPr>
          <w:rFonts w:ascii="Times New Roman" w:eastAsia="Times New Roman" w:hAnsi="Times New Roman" w:cs="Times New Roman"/>
          <w:b/>
          <w:i/>
        </w:rPr>
        <w:t>ln(</w:t>
      </w:r>
      <w:proofErr w:type="gramEnd"/>
      <w:r>
        <w:rPr>
          <w:rFonts w:ascii="Times New Roman" w:eastAsia="Times New Roman" w:hAnsi="Times New Roman" w:cs="Times New Roman"/>
          <w:b/>
          <w:i/>
        </w:rPr>
        <w:t>Export Value).</w:t>
      </w:r>
      <w:r>
        <w:rPr>
          <w:rFonts w:ascii="Times New Roman" w:eastAsia="Times New Roman" w:hAnsi="Times New Roman" w:cs="Times New Roman"/>
          <w:i/>
        </w:rPr>
        <w:t xml:space="preserve"> Coefficients are long-run elasticities. For example, an elasticity of 1.30 on </w:t>
      </w:r>
      <w:proofErr w:type="gramStart"/>
      <w:r>
        <w:rPr>
          <w:rFonts w:ascii="Times New Roman" w:eastAsia="Times New Roman" w:hAnsi="Times New Roman" w:cs="Times New Roman"/>
          <w:i/>
        </w:rPr>
        <w:t>ln(</w:t>
      </w:r>
      <w:proofErr w:type="gramEnd"/>
      <w:r>
        <w:rPr>
          <w:rFonts w:ascii="Times New Roman" w:eastAsia="Times New Roman" w:hAnsi="Times New Roman" w:cs="Times New Roman"/>
          <w:i/>
        </w:rPr>
        <w:t xml:space="preserve">Production) implies that a 1% increase in domestic production is associated with a 1.30% increase in export value in the long run. Notes: Johansen VECM with cointegrating rank r = 1; equation normalized on </w:t>
      </w:r>
      <w:proofErr w:type="gramStart"/>
      <w:r>
        <w:rPr>
          <w:rFonts w:ascii="Times New Roman" w:eastAsia="Times New Roman" w:hAnsi="Times New Roman" w:cs="Times New Roman"/>
          <w:i/>
        </w:rPr>
        <w:t>ln(</w:t>
      </w:r>
      <w:proofErr w:type="gramEnd"/>
      <w:r>
        <w:rPr>
          <w:rFonts w:ascii="Times New Roman" w:eastAsia="Times New Roman" w:hAnsi="Times New Roman" w:cs="Times New Roman"/>
          <w:i/>
        </w:rPr>
        <w:t>Export Value). Deterministic specification and lag order as stated in Methods (restricted constant in the cointegrating space; lags selected by information criteria for annual data). Policy variables are treated as level-shift terms where retained by the model. Significance: *** p &lt; 0.01, ** p &lt; 0.05, * p &lt; 0.10. Source: Author’s calculations from NAEB, BNR, ICO, FAO, and World Bank data (1990–2024).</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Consistent with the narrative, </w:t>
      </w:r>
      <w:proofErr w:type="gramStart"/>
      <w:r>
        <w:rPr>
          <w:rFonts w:ascii="Times New Roman" w:eastAsia="Times New Roman" w:hAnsi="Times New Roman" w:cs="Times New Roman"/>
        </w:rPr>
        <w:t>ln(</w:t>
      </w:r>
      <w:proofErr w:type="gramEnd"/>
      <w:r>
        <w:rPr>
          <w:rFonts w:ascii="Times New Roman" w:eastAsia="Times New Roman" w:hAnsi="Times New Roman" w:cs="Times New Roman"/>
        </w:rPr>
        <w:t xml:space="preserve">Production) enters positively and materially; our baseline elasticity is approximately 1.30, indicating that a 10% rise in domestic output is associated with a 13% increase in export earnings in the long run, holding other factors constant. The </w:t>
      </w:r>
      <w:proofErr w:type="gramStart"/>
      <w:r>
        <w:rPr>
          <w:rFonts w:ascii="Times New Roman" w:eastAsia="Times New Roman" w:hAnsi="Times New Roman" w:cs="Times New Roman"/>
        </w:rPr>
        <w:t>ln(</w:t>
      </w:r>
      <w:proofErr w:type="gramEnd"/>
      <w:r>
        <w:rPr>
          <w:rFonts w:ascii="Times New Roman" w:eastAsia="Times New Roman" w:hAnsi="Times New Roman" w:cs="Times New Roman"/>
        </w:rPr>
        <w:t>World Coffee Price) coefficient is likewise positive and close to unit elasticity, while ln(World Coffee Production) is negative as expected, capturing competitive supply pressure; ln(Exchange Rate) is positive but smaller in magnitude, consistent with a modest long-run pass-through.</w:t>
      </w:r>
    </w:p>
    <w:tbl>
      <w:tblPr>
        <w:tblStyle w:val="Style14"/>
        <w:tblW w:w="9330" w:type="dxa"/>
        <w:tblInd w:w="-3" w:type="dxa"/>
        <w:tblLayout w:type="fixed"/>
        <w:tblLook w:val="04A0" w:firstRow="1" w:lastRow="0" w:firstColumn="1" w:lastColumn="0" w:noHBand="0" w:noVBand="1"/>
      </w:tblPr>
      <w:tblGrid>
        <w:gridCol w:w="4560"/>
        <w:gridCol w:w="1575"/>
        <w:gridCol w:w="1590"/>
        <w:gridCol w:w="1605"/>
      </w:tblGrid>
      <w:tr w:rsidR="0045078D">
        <w:trPr>
          <w:trHeight w:val="515"/>
        </w:trPr>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 (Δ equation for ln Exports)</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Coefficient</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t-statistic</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Significance</w:t>
            </w:r>
          </w:p>
        </w:tc>
      </w:tr>
      <w:tr w:rsidR="0045078D">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ECTt-1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-0.40</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Gungsuh" w:eastAsia="Gungsuh" w:hAnsi="Gungsuh" w:cs="Gungsuh"/>
              </w:rPr>
              <w:t>−4.32</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Δ ln Productiont-1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0.21</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2.11</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Δ ln World Pricet-1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0.37</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3.54</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5078D">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Δ ln Exchange Ratet-1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1.42</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n.s</w:t>
            </w:r>
            <w:proofErr w:type="spellEnd"/>
            <w:r>
              <w:rPr>
                <w:rFonts w:ascii="Times New Roman" w:eastAsia="Times New Roman" w:hAnsi="Times New Roman" w:cs="Times New Roman"/>
              </w:rPr>
              <w:t>.</w:t>
            </w:r>
          </w:p>
        </w:tc>
      </w:tr>
      <w:tr w:rsidR="0045078D">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Δ Policy Dummyt-1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Gungsuh" w:eastAsia="Gungsuh" w:hAnsi="Gungsuh" w:cs="Gungsuh"/>
              </w:rPr>
              <w:t>−0.03</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Gungsuh" w:eastAsia="Gungsuh" w:hAnsi="Gungsuh" w:cs="Gungsuh"/>
              </w:rPr>
              <w:t>−1.18</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n.s</w:t>
            </w:r>
            <w:proofErr w:type="spellEnd"/>
            <w:r>
              <w:rPr>
                <w:rFonts w:ascii="Times New Roman" w:eastAsia="Times New Roman" w:hAnsi="Times New Roman" w:cs="Times New Roman"/>
              </w:rPr>
              <w:t>.</w:t>
            </w:r>
          </w:p>
        </w:tc>
      </w:tr>
      <w:tr w:rsidR="0045078D">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b/>
              </w:rPr>
              <w:t>Adj. R²</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0.62</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45078D">
            <w:pPr>
              <w:spacing w:line="240" w:lineRule="auto"/>
              <w:jc w:val="both"/>
              <w:rPr>
                <w:rFonts w:ascii="Times New Roman" w:eastAsia="Times New Roman" w:hAnsi="Times New Roman" w:cs="Times New Roman"/>
              </w:rPr>
            </w:pP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45078D">
            <w:pPr>
              <w:spacing w:line="240" w:lineRule="auto"/>
              <w:jc w:val="both"/>
              <w:rPr>
                <w:rFonts w:ascii="Times New Roman" w:eastAsia="Times New Roman" w:hAnsi="Times New Roman" w:cs="Times New Roman"/>
              </w:rPr>
            </w:pPr>
          </w:p>
        </w:tc>
      </w:tr>
    </w:tbl>
    <w:p w:rsidR="0045078D" w:rsidRDefault="00551C1A">
      <w:pPr>
        <w:spacing w:after="240"/>
        <w:jc w:val="both"/>
        <w:rPr>
          <w:rFonts w:ascii="Times New Roman" w:eastAsia="Times New Roman" w:hAnsi="Times New Roman" w:cs="Times New Roman"/>
          <w:i/>
        </w:rPr>
      </w:pPr>
      <w:r>
        <w:rPr>
          <w:rFonts w:ascii="Times New Roman" w:eastAsia="Times New Roman" w:hAnsi="Times New Roman" w:cs="Times New Roman"/>
          <w:b/>
        </w:rPr>
        <w:t>Table 3. Short-run VECM dynamics for Rwanda’s coffee export model (1990–2024, annual data)</w:t>
      </w:r>
      <w:r>
        <w:rPr>
          <w:rFonts w:ascii="Times New Roman" w:eastAsia="Times New Roman" w:hAnsi="Times New Roman" w:cs="Times New Roman"/>
        </w:rPr>
        <w:t>. t-statistics in parentheses; ***, *</w:t>
      </w:r>
      <w:r>
        <w:rPr>
          <w:rFonts w:ascii="Times New Roman" w:eastAsia="Times New Roman" w:hAnsi="Times New Roman" w:cs="Times New Roman"/>
          <w:i/>
        </w:rPr>
        <w:t>, * denote significance at “*** p &lt; 0.01, ** p &lt; 0.05, * p &lt; 0.10” respectively.</w:t>
      </w:r>
      <w:r>
        <w:rPr>
          <w:rFonts w:ascii="Times New Roman" w:eastAsia="Times New Roman" w:hAnsi="Times New Roman" w:cs="Times New Roman"/>
        </w:rPr>
        <w:t xml:space="preserve"> The statistically significant error-correction term of </w:t>
      </w:r>
      <w:r>
        <w:rPr>
          <w:rFonts w:ascii="Times New Roman" w:eastAsia="Times New Roman" w:hAnsi="Times New Roman" w:cs="Times New Roman"/>
          <w:b/>
        </w:rPr>
        <w:t>-0.40</w:t>
      </w:r>
      <w:r>
        <w:rPr>
          <w:rFonts w:ascii="Times New Roman" w:eastAsia="Times New Roman" w:hAnsi="Times New Roman" w:cs="Times New Roman"/>
        </w:rPr>
        <w:t xml:space="preserve"> indicates that roughly *</w:t>
      </w:r>
      <w:r>
        <w:rPr>
          <w:rFonts w:ascii="Times New Roman" w:eastAsia="Times New Roman" w:hAnsi="Times New Roman" w:cs="Times New Roman"/>
          <w:i/>
        </w:rPr>
        <w:t>40 % of any disequilibrium from the long-run export equilibrium is eliminated each year, implying a moderately rapid adjustment toward steady-state performance.</w:t>
      </w:r>
    </w:p>
    <w:p w:rsidR="0045078D" w:rsidRDefault="00551C1A">
      <w:pPr>
        <w:spacing w:after="240"/>
        <w:ind w:firstLine="720"/>
        <w:jc w:val="both"/>
        <w:rPr>
          <w:rFonts w:ascii="Times New Roman" w:eastAsia="Times New Roman" w:hAnsi="Times New Roman" w:cs="Times New Roman"/>
        </w:rPr>
      </w:pPr>
      <w:r>
        <w:rPr>
          <w:rFonts w:ascii="Times New Roman" w:eastAsia="Times New Roman" w:hAnsi="Times New Roman" w:cs="Times New Roman"/>
        </w:rPr>
        <w:t>Table 4 reports an ARDL re-estimation that yields near-identical elasticities, underscoring the robustness of our long-run drivers:</w:t>
      </w:r>
    </w:p>
    <w:tbl>
      <w:tblPr>
        <w:tblStyle w:val="Style15"/>
        <w:tblW w:w="9435" w:type="dxa"/>
        <w:tblInd w:w="-3" w:type="dxa"/>
        <w:tblLayout w:type="fixed"/>
        <w:tblLook w:val="04A0" w:firstRow="1" w:lastRow="0" w:firstColumn="1" w:lastColumn="0" w:noHBand="0" w:noVBand="1"/>
      </w:tblPr>
      <w:tblGrid>
        <w:gridCol w:w="4425"/>
        <w:gridCol w:w="1860"/>
        <w:gridCol w:w="1785"/>
        <w:gridCol w:w="1365"/>
      </w:tblGrid>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Coefficient</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Std. Error</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center"/>
              <w:rPr>
                <w:rFonts w:ascii="Times New Roman" w:eastAsia="Times New Roman" w:hAnsi="Times New Roman" w:cs="Times New Roman"/>
              </w:rPr>
            </w:pPr>
            <w:r>
              <w:rPr>
                <w:rFonts w:ascii="Times New Roman" w:eastAsia="Times New Roman" w:hAnsi="Times New Roman" w:cs="Times New Roman"/>
                <w:b/>
              </w:rPr>
              <w:t>p-value</w:t>
            </w:r>
          </w:p>
        </w:tc>
      </w:tr>
      <w:tr w:rsidR="0045078D">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ln(Production)</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1.28***</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0.15</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0.002</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Price)</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0.90***</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0.08</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0.001</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ln(Exchange Rate, RWF/USD)</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0.21</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0.120</w:t>
            </w:r>
          </w:p>
        </w:tc>
      </w:tr>
      <w:tr w:rsidR="0045078D">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Production)</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–0.45**</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0.18</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0.013</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Interest Rate (%)</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–0.14*</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0.08</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0.070</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Liberalization (post-1995)</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0.09**</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0.04</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0.039</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2008–09 Global Crisis</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–0.18***</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0.001</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Post-2015 Zoning</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–0.01</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0.03</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0.560</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COVID-19 (2020)</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–0.11*</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0.030</w:t>
            </w:r>
          </w:p>
        </w:tc>
      </w:tr>
      <w:tr w:rsidR="0045078D">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Constant</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0.47**</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0.19</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5078D" w:rsidRDefault="00551C1A">
            <w:pPr>
              <w:spacing w:line="240" w:lineRule="auto"/>
              <w:jc w:val="both"/>
              <w:rPr>
                <w:rFonts w:ascii="Times New Roman" w:eastAsia="Times New Roman" w:hAnsi="Times New Roman" w:cs="Times New Roman"/>
              </w:rPr>
            </w:pPr>
            <w:r>
              <w:rPr>
                <w:rFonts w:ascii="Times New Roman" w:eastAsia="Times New Roman" w:hAnsi="Times New Roman" w:cs="Times New Roman"/>
              </w:rPr>
              <w:t>0.015</w:t>
            </w:r>
          </w:p>
        </w:tc>
      </w:tr>
    </w:tbl>
    <w:p w:rsidR="0045078D" w:rsidRDefault="00551C1A">
      <w:pPr>
        <w:spacing w:after="240"/>
        <w:jc w:val="both"/>
        <w:rPr>
          <w:rFonts w:ascii="Times New Roman" w:eastAsia="Times New Roman" w:hAnsi="Times New Roman" w:cs="Times New Roman"/>
          <w:i/>
        </w:rPr>
      </w:pPr>
      <w:r>
        <w:rPr>
          <w:rFonts w:ascii="Times New Roman" w:eastAsia="Times New Roman" w:hAnsi="Times New Roman" w:cs="Times New Roman"/>
          <w:b/>
        </w:rPr>
        <w:t xml:space="preserve">Table 4. ARDL long-run coefficient estimates (1990 – 2024). </w:t>
      </w:r>
      <w:r>
        <w:rPr>
          <w:rFonts w:ascii="Times New Roman" w:eastAsia="Times New Roman" w:hAnsi="Times New Roman" w:cs="Times New Roman"/>
          <w:i/>
        </w:rPr>
        <w:t xml:space="preserve">ARDL bounds-testing results; coefficients are long-run elasticities (or level-shift terms for policy dummies) and directionally corroborate the VECM estimates reported in Table 2. Significance: *** p &lt; 0.01, ** p &lt; 0.05, * p &lt; 0.10. The </w:t>
      </w:r>
      <w:proofErr w:type="spellStart"/>
      <w:r>
        <w:rPr>
          <w:rFonts w:ascii="Times New Roman" w:eastAsia="Times New Roman" w:hAnsi="Times New Roman" w:cs="Times New Roman"/>
          <w:i/>
        </w:rPr>
        <w:t>Pesaran</w:t>
      </w:r>
      <w:proofErr w:type="spellEnd"/>
      <w:r>
        <w:rPr>
          <w:rFonts w:ascii="Times New Roman" w:eastAsia="Times New Roman" w:hAnsi="Times New Roman" w:cs="Times New Roman"/>
          <w:i/>
        </w:rPr>
        <w:t xml:space="preserve"> bounds F-statistic (F = 5.96, k = 6) exceeds the 5 % upper critical value of 4.43, confirming cointegration for the </w:t>
      </w:r>
      <w:r>
        <w:rPr>
          <w:rFonts w:ascii="Times New Roman" w:eastAsia="Times New Roman" w:hAnsi="Times New Roman" w:cs="Times New Roman"/>
          <w:i/>
        </w:rPr>
        <w:lastRenderedPageBreak/>
        <w:t xml:space="preserve">same 1990–2024 </w:t>
      </w:r>
      <w:proofErr w:type="gramStart"/>
      <w:r>
        <w:rPr>
          <w:rFonts w:ascii="Times New Roman" w:eastAsia="Times New Roman" w:hAnsi="Times New Roman" w:cs="Times New Roman"/>
          <w:i/>
        </w:rPr>
        <w:t>sample..</w:t>
      </w:r>
      <w:proofErr w:type="gramEnd"/>
      <w:r>
        <w:rPr>
          <w:rFonts w:ascii="Times New Roman" w:eastAsia="Times New Roman" w:hAnsi="Times New Roman" w:cs="Times New Roman"/>
          <w:i/>
        </w:rPr>
        <w:t xml:space="preserve"> Source: Author’s calculations from NAEB, BNR, ICO, FAO and World Bank data.</w:t>
      </w:r>
    </w:p>
    <w:p w:rsidR="0045078D" w:rsidRDefault="00551C1A">
      <w:pPr>
        <w:pStyle w:val="Heading3"/>
        <w:keepNext w:val="0"/>
        <w:keepLines w:val="0"/>
        <w:spacing w:before="280"/>
        <w:rPr>
          <w:rFonts w:ascii="Times New Roman" w:eastAsia="Times New Roman" w:hAnsi="Times New Roman" w:cs="Times New Roman"/>
          <w:b/>
          <w:color w:val="000000"/>
          <w:sz w:val="22"/>
          <w:szCs w:val="22"/>
        </w:rPr>
      </w:pPr>
      <w:bookmarkStart w:id="5" w:name="_4fjkgq7eehp" w:colFirst="0" w:colLast="0"/>
      <w:bookmarkEnd w:id="5"/>
      <w:r>
        <w:rPr>
          <w:rFonts w:ascii="Times New Roman" w:eastAsia="Times New Roman" w:hAnsi="Times New Roman" w:cs="Times New Roman"/>
          <w:b/>
          <w:color w:val="000000"/>
          <w:sz w:val="22"/>
          <w:szCs w:val="22"/>
        </w:rPr>
        <w:t>4.1. Domestic Production and Value-Chain Improvements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Impact of production on exports:</w:t>
      </w:r>
      <w:r>
        <w:rPr>
          <w:rFonts w:ascii="Times New Roman" w:eastAsia="Times New Roman" w:hAnsi="Times New Roman" w:cs="Times New Roman"/>
        </w:rPr>
        <w:t xml:space="preserve"> As hypothesized, domestic coffee production emerges as a significant and positive determinant of export performance in the long run. The estimated long-run elasticity of export value with respect to production is approximately </w:t>
      </w:r>
      <w:r>
        <w:rPr>
          <w:rFonts w:ascii="Times New Roman" w:eastAsia="Times New Roman" w:hAnsi="Times New Roman" w:cs="Times New Roman"/>
          <w:b/>
        </w:rPr>
        <w:t>+1.3</w:t>
      </w:r>
      <w:r>
        <w:rPr>
          <w:rFonts w:ascii="Times New Roman" w:eastAsia="Times New Roman" w:hAnsi="Times New Roman" w:cs="Times New Roman"/>
        </w:rPr>
        <w:t xml:space="preserve"> (p &lt; 0.01). This implies that a 10% increase in Rwanda’s coffee output is associated with a 13% increase in export earnings in the long run, holding other factors constant. This elasticity &gt;1 may reflect the fact that higher production in Rwanda often coincides with quality improvements and better processing. For instance, when production rose in the late 2010s, a larger share of that output was fully washed, ready for specialty markets, hence fetching higher unit prices (IGC, 2022). However, this finding must be juxtaposed with Rwanda’s </w:t>
      </w:r>
      <w:r>
        <w:rPr>
          <w:rFonts w:ascii="Times New Roman" w:eastAsia="Times New Roman" w:hAnsi="Times New Roman" w:cs="Times New Roman"/>
          <w:b/>
        </w:rPr>
        <w:t>stagnating production trend</w:t>
      </w:r>
      <w:r>
        <w:rPr>
          <w:rFonts w:ascii="Times New Roman" w:eastAsia="Times New Roman" w:hAnsi="Times New Roman" w:cs="Times New Roman"/>
        </w:rPr>
        <w:t xml:space="preserve"> noted by observers. While the early 2000s saw production recover post-conflict, the past decade’s trend was relatively flat or modestly rising – Rwanda consistently produced roughly 16,000–21,000 tons of coffee per year, fluctuating with weather but not showing a strong upward trajectory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This plateau is partly due to structural constraints: about 30% of coffee trees in Rwanda are over 30 years old and past peak productivity (NAEB, 2024</w:t>
      </w:r>
      <w:r>
        <w:rPr>
          <w:rFonts w:ascii="Times New Roman" w:eastAsia="Times New Roman" w:hAnsi="Times New Roman" w:cs="Times New Roman"/>
          <w:color w:val="222222"/>
          <w:highlight w:val="white"/>
        </w:rPr>
        <w:t>)</w:t>
      </w:r>
      <w:r>
        <w:rPr>
          <w:rFonts w:ascii="Times New Roman" w:eastAsia="Times New Roman" w:hAnsi="Times New Roman" w:cs="Times New Roman"/>
        </w:rPr>
        <w:t>. Yields average only ~2 kg of cherries per tree, whereas the agronomic potential is 4+ kg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Our results empirically underscore the cost of this stagnation – had Rwanda managed to increase production substantially (say through a replanting program to replace old trees, as recently initiated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export revenues could be much higher today. The </w:t>
      </w:r>
      <w:r>
        <w:rPr>
          <w:rFonts w:ascii="Times New Roman" w:eastAsia="Times New Roman" w:hAnsi="Times New Roman" w:cs="Times New Roman"/>
          <w:b/>
        </w:rPr>
        <w:t>policy implication</w:t>
      </w:r>
      <w:r>
        <w:rPr>
          <w:rFonts w:ascii="Times New Roman" w:eastAsia="Times New Roman" w:hAnsi="Times New Roman" w:cs="Times New Roman"/>
        </w:rPr>
        <w:t xml:space="preserve"> is clear: revitalizing production capacity is crucial. The ongoing national coffee rejuvenation campaign (launched in 2024 to replace aging </w:t>
      </w:r>
      <w:proofErr w:type="gramStart"/>
      <w:r>
        <w:rPr>
          <w:rFonts w:ascii="Times New Roman" w:eastAsia="Times New Roman" w:hAnsi="Times New Roman" w:cs="Times New Roman"/>
        </w:rPr>
        <w:t>trees[</w:t>
      </w:r>
      <w:proofErr w:type="spellStart"/>
      <w:proofErr w:type="gramEnd"/>
      <w:r>
        <w:rPr>
          <w:rFonts w:ascii="Times New Roman" w:eastAsia="Times New Roman" w:hAnsi="Times New Roman" w:cs="Times New Roman"/>
        </w:rPr>
        <w:t>Ntirenganya</w:t>
      </w:r>
      <w:proofErr w:type="spellEnd"/>
      <w:r>
        <w:rPr>
          <w:rFonts w:ascii="Times New Roman" w:eastAsia="Times New Roman" w:hAnsi="Times New Roman" w:cs="Times New Roman"/>
        </w:rPr>
        <w:t>, 2024]) is a step in the right direction and aligns with our quantitative evidence that boosting output will pay off in export receipts.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Quality improvements and export value:</w:t>
      </w:r>
      <w:r>
        <w:rPr>
          <w:rFonts w:ascii="Times New Roman" w:eastAsia="Times New Roman" w:hAnsi="Times New Roman" w:cs="Times New Roman"/>
        </w:rPr>
        <w:t xml:space="preserve"> We do not include a direct variable for “quality” in the VECM (as quality is hard to quantify annually), but its influence is reflected in the export price (value/volume). Rwanda’s strategy of building dozens of coffee washing stations (CWS) and promoting fully-washed, specialty coffee has indeed led to higher average export prices over time. For example, the average export price per kg increased from about $3.64 in 2020/21 to $5.70 in 2022/23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thanks to global price rises but also quality positioning. Our data show that the share of fully washed coffee in Rwanda’s exports rose from negligible in the 1990s to roughly 60–70% by the late 2010s (</w:t>
      </w: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et al., 2012; NAEB, 2024)). This corresponds with a premium in price: fully washed Rwandan coffee often commands 15-20% higher prices than ordinary sun-dried coffee on international markets (</w:t>
      </w: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et al., 2012). In the VECM, this dynamic likely contributes to the high production elasticity noted above – when production increases in recent years, it’s not just more volume of the same quality, but more volume of better quality coffee.</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Yet, there are </w:t>
      </w:r>
      <w:r>
        <w:rPr>
          <w:rFonts w:ascii="Times New Roman" w:eastAsia="Times New Roman" w:hAnsi="Times New Roman" w:cs="Times New Roman"/>
          <w:b/>
        </w:rPr>
        <w:t>caveats</w:t>
      </w:r>
      <w:r>
        <w:rPr>
          <w:rFonts w:ascii="Times New Roman" w:eastAsia="Times New Roman" w:hAnsi="Times New Roman" w:cs="Times New Roman"/>
        </w:rPr>
        <w:t xml:space="preserve">. The literature and our comparative findings suggest that the quality upgrade is incomplete. </w:t>
      </w: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et al. (2012) pointed out that many CWS were underperforming or producing coffee that still didn’t meet specialty grade (</w:t>
      </w: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et al., 2012). Our analysis of NAEB reports confirms that even by 2020, a significant portion of coffee was sold as “ordinary” due to processing bottlenecks, especially when production spikes (some coffee can’t all be washed in time). This is corroborated by Jenkins et al. (2023), who observed an </w:t>
      </w:r>
      <w:r>
        <w:rPr>
          <w:rFonts w:ascii="Times New Roman" w:eastAsia="Times New Roman" w:hAnsi="Times New Roman" w:cs="Times New Roman"/>
          <w:i/>
        </w:rPr>
        <w:t>oversupply</w:t>
      </w:r>
      <w:r>
        <w:rPr>
          <w:rFonts w:ascii="Times New Roman" w:eastAsia="Times New Roman" w:hAnsi="Times New Roman" w:cs="Times New Roman"/>
        </w:rPr>
        <w:t xml:space="preserve"> of CWS relative to the coffee volume – effectively, </w:t>
      </w:r>
      <w:r>
        <w:rPr>
          <w:rFonts w:ascii="Times New Roman" w:eastAsia="Times New Roman" w:hAnsi="Times New Roman" w:cs="Times New Roman"/>
        </w:rPr>
        <w:lastRenderedPageBreak/>
        <w:t>Rwanda built more washing stations than the available cherry supply can fully utilize. The consequence is inefficiency: too many stations competing for too few cherries in some areas, while farmers in other areas may be too far from a station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The </w:t>
      </w:r>
      <w:r>
        <w:rPr>
          <w:rFonts w:ascii="Times New Roman" w:eastAsia="Times New Roman" w:hAnsi="Times New Roman" w:cs="Times New Roman"/>
          <w:b/>
        </w:rPr>
        <w:t>coffee zoning policy</w:t>
      </w:r>
      <w:r>
        <w:rPr>
          <w:rFonts w:ascii="Times New Roman" w:eastAsia="Times New Roman" w:hAnsi="Times New Roman" w:cs="Times New Roman"/>
        </w:rPr>
        <w:t xml:space="preserve"> introduced in 2015 tried to solve part of this by allocating catchment areas to each CWS (to ensure they have throughput), but an unintended side effect was reduced competition for farmers’ cherries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2018). Farmers effectively have one buyer, which can depress the price they receive and reduce their incentive to maximize quality or output.</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Our VECM cannot directly capture zoning effects, but we included a post-2015 dummy which had a mildly negative coefficient (and was statistically insignificant). This suggests the zoning policy did not produce a detectable structural break in the export trend at the aggregate level – perhaps its effects were more micro and long-term (e.g. affecting farmer behavior gradually). Qualitatively, though, stakeholders report mixed outcomes: some washing stations became more financially viable with guaranteed supply, but farmers in certain regions felt locked in to whatever price the station offered.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(2018) noted that Rwanda’s average farm-gate cherry price was around 0.22 USD/kg in mid-2010s, significantly lower than prices in Uganda or Kenya (Clay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2018). Our comparative analysis finds that in Uganda, liberalized competition among processors has driven farm-gate prices up (e.g. during 2021–22 price boom, Ugandan farmers saw much of the windfall passed on [UCDA, 2022]), whereas in Rwanda, NAEB sets a nationwide minimum cherry price (recently raised to RWF 480, about $0.45/kg in 2024)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Jenkins et al. argue Rwandan farmers could get 150% higher than this (i.e. around RWF 1000 or $1/kg) in a freer market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If true, that indicates a substantial </w:t>
      </w:r>
      <w:r>
        <w:rPr>
          <w:rFonts w:ascii="Times New Roman" w:eastAsia="Times New Roman" w:hAnsi="Times New Roman" w:cs="Times New Roman"/>
          <w:i/>
        </w:rPr>
        <w:t>producer surplus</w:t>
      </w:r>
      <w:r>
        <w:rPr>
          <w:rFonts w:ascii="Times New Roman" w:eastAsia="Times New Roman" w:hAnsi="Times New Roman" w:cs="Times New Roman"/>
        </w:rPr>
        <w:t xml:space="preserve"> being lost – money that could motivate production. </w:t>
      </w:r>
      <w:r>
        <w:rPr>
          <w:rFonts w:ascii="Times New Roman" w:eastAsia="Times New Roman" w:hAnsi="Times New Roman" w:cs="Times New Roman"/>
          <w:b/>
        </w:rPr>
        <w:t>In summary</w:t>
      </w:r>
      <w:r>
        <w:rPr>
          <w:rFonts w:ascii="Times New Roman" w:eastAsia="Times New Roman" w:hAnsi="Times New Roman" w:cs="Times New Roman"/>
        </w:rPr>
        <w:t xml:space="preserve">, our findings confirm production is fundamental to export success, but the ability to increase production is tied to micro-level incentive structures. Without ensuring farmers benefit proportionally from higher export prices, Rwanda risks a continued plateau or even decline in output as other crops become more attractive. For Rwanda to leverage its comparative advantage, policy must align the incentives of growers with the goals of exporters. This balance of </w:t>
      </w:r>
      <w:r>
        <w:rPr>
          <w:rFonts w:ascii="Times New Roman" w:eastAsia="Times New Roman" w:hAnsi="Times New Roman" w:cs="Times New Roman"/>
          <w:b/>
        </w:rPr>
        <w:t>quantity and quality</w:t>
      </w:r>
      <w:r>
        <w:rPr>
          <w:rFonts w:ascii="Times New Roman" w:eastAsia="Times New Roman" w:hAnsi="Times New Roman" w:cs="Times New Roman"/>
        </w:rPr>
        <w:t xml:space="preserve"> is delicate: quality improvements have elevated Rwanda’s coffee profile (illustrated by Rwanda commanding prices on par with top mild Arabicas), yet quantity has not kept up with targets (e.g., Rwanda’s strategic plans to reach 24,000+ tons by 2024 have fallen short).</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For contrast, consider </w:t>
      </w:r>
      <w:r>
        <w:rPr>
          <w:rFonts w:ascii="Times New Roman" w:eastAsia="Times New Roman" w:hAnsi="Times New Roman" w:cs="Times New Roman"/>
          <w:b/>
        </w:rPr>
        <w:t>Ethiopia and Uganda</w:t>
      </w:r>
      <w:r>
        <w:rPr>
          <w:rFonts w:ascii="Times New Roman" w:eastAsia="Times New Roman" w:hAnsi="Times New Roman" w:cs="Times New Roman"/>
        </w:rPr>
        <w:t>: Ethiopia massively expanded production (from ~200,000 tons in 1990s to ~470,000 tons by 2020s) by bringing new land under coffee and improving farm practices, though its quality varies and a lot is consumed domestically. Uganda doubled production in the last 20 years (from ~3 million to ~6+ million bags) primarily through yield improvements and new plantings of disease-resistant varieties, especially for Robusta (UCDA, 2022). Both countries also have larger internal markets or different institutional setups (Uganda’s coffee authority UCDA fosters competition and provides services). These countries illustrate that volume growth is achievable when farmers see profit in coffee: Uganda’s recent 35% hike in export value (2021 vs 2020) was accompanied by strong farm-gate prices and government campaigns to distribute seedlings (UCDA, 2022). Rwanda’s challenge is to replicate a growth spurt in output without sacrificing the hard-won quality gains.</w:t>
      </w:r>
    </w:p>
    <w:p w:rsidR="0045078D" w:rsidRDefault="00551C1A">
      <w:pPr>
        <w:pStyle w:val="Heading3"/>
        <w:keepNext w:val="0"/>
        <w:keepLines w:val="0"/>
        <w:spacing w:before="280"/>
        <w:rPr>
          <w:rFonts w:ascii="Times New Roman" w:eastAsia="Times New Roman" w:hAnsi="Times New Roman" w:cs="Times New Roman"/>
          <w:b/>
          <w:color w:val="000000"/>
          <w:sz w:val="22"/>
          <w:szCs w:val="22"/>
        </w:rPr>
      </w:pPr>
      <w:bookmarkStart w:id="6" w:name="_p9cvskfulufo" w:colFirst="0" w:colLast="0"/>
      <w:bookmarkEnd w:id="6"/>
      <w:r>
        <w:rPr>
          <w:rFonts w:ascii="Times New Roman" w:eastAsia="Times New Roman" w:hAnsi="Times New Roman" w:cs="Times New Roman"/>
          <w:b/>
          <w:color w:val="000000"/>
          <w:sz w:val="22"/>
          <w:szCs w:val="22"/>
        </w:rPr>
        <w:t>4.2. Macroeconomic and Global Market Influences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Exchange rate effects:</w:t>
      </w:r>
      <w:r>
        <w:rPr>
          <w:rFonts w:ascii="Times New Roman" w:eastAsia="Times New Roman" w:hAnsi="Times New Roman" w:cs="Times New Roman"/>
        </w:rPr>
        <w:t xml:space="preserve"> The VECM results for the </w:t>
      </w:r>
      <w:r>
        <w:rPr>
          <w:rFonts w:ascii="Times New Roman" w:eastAsia="Times New Roman" w:hAnsi="Times New Roman" w:cs="Times New Roman"/>
          <w:b/>
        </w:rPr>
        <w:t>exchange rate</w:t>
      </w:r>
      <w:r>
        <w:rPr>
          <w:rFonts w:ascii="Times New Roman" w:eastAsia="Times New Roman" w:hAnsi="Times New Roman" w:cs="Times New Roman"/>
        </w:rPr>
        <w:t xml:space="preserve"> (RWF/USD) show an intuitively positive long-run coefficient, but it is relatively small and not always significant. A 10% depreciation of </w:t>
      </w:r>
      <w:r>
        <w:rPr>
          <w:rFonts w:ascii="Times New Roman" w:eastAsia="Times New Roman" w:hAnsi="Times New Roman" w:cs="Times New Roman"/>
        </w:rPr>
        <w:lastRenderedPageBreak/>
        <w:t>the Rwandan franc is associated with about a 3–5% increase in coffee export earnings in the long run (elasticity ~+0.3 to +0.5). This suggests that exchange rate policy has a noticeable but not dominant influence. One reason for the modest elasticity could be that Rwanda’s exchange rate has been managed and relatively stable (with gradual depreciation) – there were no dramatic currency swings in our period except perhaps during 1994–95. Thus, exporters and importers may have adapted to a predictable trajectory. Additionally, since global coffee prices are in USD, a depreciation mainly affects local currency calculations (benefiting farmers if pass-through occurs). Anecdotal evidence indicates that the RWF’s steady depreciation over the years did help keep Rwanda’s coffee priced competitively in dollars. Unlike some African countries that at times had overvalued currencies harming exports, Rwanda generally maintained a realistic exchange rate. Our finding aligns with studies on other African exporters: for example, research on Ethiopia found currency devaluation improved coffee export earnings, but only if accompanied by stable macro policies (</w:t>
      </w:r>
      <w:proofErr w:type="spellStart"/>
      <w:r>
        <w:rPr>
          <w:rFonts w:ascii="Times New Roman" w:eastAsia="Times New Roman" w:hAnsi="Times New Roman" w:cs="Times New Roman"/>
        </w:rPr>
        <w:t>Umoru</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Imimole</w:t>
      </w:r>
      <w:proofErr w:type="spellEnd"/>
      <w:r>
        <w:rPr>
          <w:rFonts w:ascii="Times New Roman" w:eastAsia="Times New Roman" w:hAnsi="Times New Roman" w:cs="Times New Roman"/>
        </w:rPr>
        <w:t xml:space="preserve">, 2022). In Rwanda’s case, the policy lesson is to continue avoiding </w:t>
      </w:r>
      <w:r>
        <w:rPr>
          <w:rFonts w:ascii="Times New Roman" w:eastAsia="Times New Roman" w:hAnsi="Times New Roman" w:cs="Times New Roman"/>
          <w:b/>
        </w:rPr>
        <w:t>currency overvaluation</w:t>
      </w:r>
      <w:r>
        <w:rPr>
          <w:rFonts w:ascii="Times New Roman" w:eastAsia="Times New Roman" w:hAnsi="Times New Roman" w:cs="Times New Roman"/>
        </w:rPr>
        <w:t>. A competitive exchange rate can cushion against cost pressures and ensure Rwanda’s coffee isn’t priced out of the market. However, exchange rate alone cannot drive export growth if production is unresponsive. We note that in the short-run VECM equations, the change in exchange rate was not a significant predictor of year-to-year changes in export volumes, implying that other short-term factors (like weather or global price shifts) dominate annual fluctuations.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International coffee prices:</w:t>
      </w:r>
      <w:r>
        <w:rPr>
          <w:rFonts w:ascii="Times New Roman" w:eastAsia="Times New Roman" w:hAnsi="Times New Roman" w:cs="Times New Roman"/>
        </w:rPr>
        <w:t xml:space="preserve"> Not surprisingly, the international coffee price is a </w:t>
      </w:r>
      <w:r>
        <w:rPr>
          <w:rFonts w:ascii="Times New Roman" w:eastAsia="Times New Roman" w:hAnsi="Times New Roman" w:cs="Times New Roman"/>
          <w:b/>
        </w:rPr>
        <w:t>major driver</w:t>
      </w:r>
      <w:r>
        <w:rPr>
          <w:rFonts w:ascii="Times New Roman" w:eastAsia="Times New Roman" w:hAnsi="Times New Roman" w:cs="Times New Roman"/>
        </w:rPr>
        <w:t xml:space="preserve"> of Rwanda’s export performance. In the long-run cointegration equation, the elasticity of Rwanda’s export value with respect to the world price is estimated around </w:t>
      </w:r>
      <w:r>
        <w:rPr>
          <w:rFonts w:ascii="Times New Roman" w:eastAsia="Times New Roman" w:hAnsi="Times New Roman" w:cs="Times New Roman"/>
          <w:b/>
        </w:rPr>
        <w:t>+0.8 to +1.0</w:t>
      </w:r>
      <w:r>
        <w:rPr>
          <w:rFonts w:ascii="Times New Roman" w:eastAsia="Times New Roman" w:hAnsi="Times New Roman" w:cs="Times New Roman"/>
        </w:rPr>
        <w:t xml:space="preserve"> (and highly significant). This means a doubling of the global coffee price (100% increase) would roughly translate to an 80–100% increase in Rwanda’s export earnings, assuming production doesn’t change. In practice, this nearly one-to-one transmission reflects Rwanda’s small size in the market – it largely takes the price as given. We saw this vividly in the data: the 2018–2019 period experienced low global prices (the ICO composite fell to near $1.00/</w:t>
      </w:r>
      <w:proofErr w:type="spellStart"/>
      <w:r>
        <w:rPr>
          <w:rFonts w:ascii="Times New Roman" w:eastAsia="Times New Roman" w:hAnsi="Times New Roman" w:cs="Times New Roman"/>
        </w:rPr>
        <w:t>lb</w:t>
      </w:r>
      <w:proofErr w:type="spellEnd"/>
      <w:r>
        <w:rPr>
          <w:rFonts w:ascii="Times New Roman" w:eastAsia="Times New Roman" w:hAnsi="Times New Roman" w:cs="Times New Roman"/>
        </w:rPr>
        <w:t>), and Rwanda’s export revenues stagnated or fell despite efforts to increase output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Conversely, in 2022, global prices surged (ICO composite above $1.70/</w:t>
      </w:r>
      <w:proofErr w:type="spellStart"/>
      <w:r>
        <w:rPr>
          <w:rFonts w:ascii="Times New Roman" w:eastAsia="Times New Roman" w:hAnsi="Times New Roman" w:cs="Times New Roman"/>
        </w:rPr>
        <w:t>lb</w:t>
      </w:r>
      <w:proofErr w:type="spellEnd"/>
      <w:r>
        <w:rPr>
          <w:rFonts w:ascii="Times New Roman" w:eastAsia="Times New Roman" w:hAnsi="Times New Roman" w:cs="Times New Roman"/>
        </w:rPr>
        <w:t>) due to frost in Brazil and supply chain issues, and Rwanda’s export revenues hit record highs over $115 million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even though the export volume rose only slightly. In our VECM’s short-run dynamics, the </w:t>
      </w:r>
      <w:r>
        <w:rPr>
          <w:rFonts w:ascii="Times New Roman" w:eastAsia="Times New Roman" w:hAnsi="Times New Roman" w:cs="Times New Roman"/>
          <w:b/>
        </w:rPr>
        <w:t>error-correction term</w:t>
      </w:r>
      <w:r>
        <w:rPr>
          <w:rFonts w:ascii="Times New Roman" w:eastAsia="Times New Roman" w:hAnsi="Times New Roman" w:cs="Times New Roman"/>
        </w:rPr>
        <w:t xml:space="preserve"> from the cointegration (which includes price) was significant in the export equation, indicating that when export earnings deviate because of a price shock, there is a correction in subsequent periods – essentially, if prices fall, export earnings fall quickly but then recover as adjustments happen (like possibly shifting more coffee to specialty channels or policy responses).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An interesting discussion point is whether Rwanda’s specialty focus shields it any from price volatility. One could argue that having a differentiated product means Rwanda’s exporters can sometimes obtain higher and more stable prices via contracts or niche markets. Indeed, the premium for Rwandan specialty lots can remain even if commodity prices fall. However, the bulk of exports still track the broader market. The </w:t>
      </w:r>
      <w:r>
        <w:rPr>
          <w:rFonts w:ascii="Times New Roman" w:eastAsia="Times New Roman" w:hAnsi="Times New Roman" w:cs="Times New Roman"/>
          <w:b/>
        </w:rPr>
        <w:t>2019/2020 example</w:t>
      </w:r>
      <w:r>
        <w:rPr>
          <w:rFonts w:ascii="Times New Roman" w:eastAsia="Times New Roman" w:hAnsi="Times New Roman" w:cs="Times New Roman"/>
        </w:rPr>
        <w:t xml:space="preserve"> is instructive: Rwanda exported more volume in 2019/20 than in the prior year, yet earned slightly less (about $60.4M vs $68.7M) due to a 3.5% drop in average prices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Specialty premiums weren’t enough to overcome the general price decline. Thus, Rwanda is not insulated from global price cycles; rather, it slightly mitigates them by moving upmarket. This highlights a vulnerability: commodity price risk remains a major external threat to Rwanda’s export revenues. It also underscores why policies like </w:t>
      </w:r>
      <w:r>
        <w:rPr>
          <w:rFonts w:ascii="Times New Roman" w:eastAsia="Times New Roman" w:hAnsi="Times New Roman" w:cs="Times New Roman"/>
          <w:b/>
        </w:rPr>
        <w:t>diversifying markets and hedging</w:t>
      </w:r>
      <w:r>
        <w:rPr>
          <w:rFonts w:ascii="Times New Roman" w:eastAsia="Times New Roman" w:hAnsi="Times New Roman" w:cs="Times New Roman"/>
        </w:rPr>
        <w:t xml:space="preserve"> could be important. For example, Rwanda’s expansion into new buyers (from 13% of global importers reached in 2010 to 22% in 2019 [IGC, </w:t>
      </w:r>
      <w:r>
        <w:rPr>
          <w:rFonts w:ascii="Times New Roman" w:eastAsia="Times New Roman" w:hAnsi="Times New Roman" w:cs="Times New Roman"/>
        </w:rPr>
        <w:lastRenderedPageBreak/>
        <w:t>2022]) means it has more options and is less dependent on any single buyer. That diversification can help if certain markets offer better prices (e.g., selling more to specialty roasters in the US or EU versus standard buyers).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Global production and competition:</w:t>
      </w:r>
      <w:r>
        <w:rPr>
          <w:rFonts w:ascii="Times New Roman" w:eastAsia="Times New Roman" w:hAnsi="Times New Roman" w:cs="Times New Roman"/>
        </w:rPr>
        <w:t xml:space="preserve"> Our model included world coffee production, which had a negative sign in the cointegrating relationship (as expected – more global supply tends to depress prices and thereby Rwanda’s earnings). While this variable’s individual effect is hard to distinguish from price (since they are correlated), we found that controlling for world output slightly improved the model fit. It reinforces that </w:t>
      </w:r>
      <w:r>
        <w:rPr>
          <w:rFonts w:ascii="Times New Roman" w:eastAsia="Times New Roman" w:hAnsi="Times New Roman" w:cs="Times New Roman"/>
          <w:b/>
        </w:rPr>
        <w:t>competition from big producers</w:t>
      </w:r>
      <w:r>
        <w:rPr>
          <w:rFonts w:ascii="Times New Roman" w:eastAsia="Times New Roman" w:hAnsi="Times New Roman" w:cs="Times New Roman"/>
        </w:rPr>
        <w:t xml:space="preserve"> indirectly affects Rwanda. When Brazil or Vietnam ramp up production dramatically, Rwanda feels the pinch through lower prices, unless it can further differentiate its product. One could consider that Rwanda’s “competitors” are not just these giants but also regional peers like Uganda and Ethiopia for certain buyers. For instance, if a coffee importer in Europe can get high-quality Ugandan coffee at a lower price, they might. However, Rwanda has built a strong country brand in some markets; The New Times (Kigali) reported that Rwanda’s coffee is increasingly sought for its quality and that new entrants (youth entrepreneurs) have been marketing it in exhibitions worldwide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contributing to demand resilience. Nonetheless, the stark fact remains: Rwanda’s </w:t>
      </w:r>
      <w:r>
        <w:rPr>
          <w:rFonts w:ascii="Times New Roman" w:eastAsia="Times New Roman" w:hAnsi="Times New Roman" w:cs="Times New Roman"/>
          <w:b/>
        </w:rPr>
        <w:t>market share</w:t>
      </w:r>
      <w:r>
        <w:rPr>
          <w:rFonts w:ascii="Times New Roman" w:eastAsia="Times New Roman" w:hAnsi="Times New Roman" w:cs="Times New Roman"/>
        </w:rPr>
        <w:t xml:space="preserve"> of world coffee exports is tiny – roughly 0.3% by volume in recent years. Even within specialty, it’s notable but not dominant. Therefore, global supply trends will continue to dictate the baseline price levels Rwanda faces.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Domestic interest rates:</w:t>
      </w:r>
      <w:r>
        <w:rPr>
          <w:rFonts w:ascii="Times New Roman" w:eastAsia="Times New Roman" w:hAnsi="Times New Roman" w:cs="Times New Roman"/>
        </w:rPr>
        <w:t xml:space="preserve"> The lending interest rate in Rwanda averaged around 16% in the 2000s and declined to ~11-12% by late 2010s. In our model, the interest rate had the expected negative relationship with export performance, though it was not statistically strong. This suggests that macro-financial conditions, while important for general investment, have not been the primary constraint on coffee exports. It’s plausible that even at high interest rates, coffee sector investments occurred via targeted programs or foreign aid (many washing stations were donor-funded or subsidized). However, access to affordable credit could become more salient as the industry looks to modernize (e.g., farmers needing loans for fertilizers or irrigation equipment to adapt to climate change). We interpret the weak finding here with caution; it doesn’t imply interest rates don’t matter, only that other factors like prices and production had a more immediately observable effect in past data.</w:t>
      </w:r>
    </w:p>
    <w:p w:rsidR="0045078D" w:rsidRDefault="00551C1A">
      <w:pPr>
        <w:pStyle w:val="Heading3"/>
        <w:keepNext w:val="0"/>
        <w:keepLines w:val="0"/>
        <w:spacing w:before="280"/>
        <w:rPr>
          <w:rFonts w:ascii="Times New Roman" w:eastAsia="Times New Roman" w:hAnsi="Times New Roman" w:cs="Times New Roman"/>
          <w:b/>
          <w:color w:val="000000"/>
          <w:sz w:val="22"/>
          <w:szCs w:val="22"/>
        </w:rPr>
      </w:pPr>
      <w:bookmarkStart w:id="7" w:name="_qzgb9495lgin" w:colFirst="0" w:colLast="0"/>
      <w:bookmarkEnd w:id="7"/>
      <w:r>
        <w:rPr>
          <w:rFonts w:ascii="Times New Roman" w:eastAsia="Times New Roman" w:hAnsi="Times New Roman" w:cs="Times New Roman"/>
          <w:b/>
          <w:color w:val="000000"/>
          <w:sz w:val="22"/>
          <w:szCs w:val="22"/>
        </w:rPr>
        <w:t>4.3. Comparative Perspective: Rwanda vs. Other Coffee Exporters</w:t>
      </w:r>
    </w:p>
    <w:p w:rsidR="0045078D" w:rsidRDefault="00551C1A">
      <w:pPr>
        <w:spacing w:before="240" w:after="240"/>
        <w:rPr>
          <w:rFonts w:ascii="Times New Roman" w:eastAsia="Times New Roman" w:hAnsi="Times New Roman" w:cs="Times New Roman"/>
        </w:rPr>
      </w:pPr>
      <w:r>
        <w:rPr>
          <w:rFonts w:ascii="Times New Roman" w:eastAsia="Times New Roman" w:hAnsi="Times New Roman" w:cs="Times New Roman"/>
        </w:rPr>
        <w:t>Placing Rwanda’s results in a broader context reveals both common patterns and unique features: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Pr>
          <w:rFonts w:ascii="Times New Roman" w:eastAsia="Times New Roman" w:hAnsi="Times New Roman" w:cs="Times New Roman"/>
          <w:b/>
        </w:rPr>
        <w:t>Short-run vs. long-run dynamics:</w:t>
      </w:r>
      <w:r>
        <w:rPr>
          <w:rFonts w:ascii="Times New Roman" w:eastAsia="Times New Roman" w:hAnsi="Times New Roman" w:cs="Times New Roman"/>
        </w:rPr>
        <w:t xml:space="preserve"> The </w:t>
      </w:r>
      <w:r>
        <w:rPr>
          <w:rFonts w:ascii="Times New Roman" w:eastAsia="Times New Roman" w:hAnsi="Times New Roman" w:cs="Times New Roman"/>
          <w:b/>
        </w:rPr>
        <w:t>error correction coefficient</w:t>
      </w:r>
      <w:r>
        <w:rPr>
          <w:rFonts w:ascii="Times New Roman" w:eastAsia="Times New Roman" w:hAnsi="Times New Roman" w:cs="Times New Roman"/>
        </w:rPr>
        <w:t xml:space="preserve"> in Rwanda’s export equation is about -0.4 (significant), meaning about 40% of any deviation from long-run equilibrium is corrected in the next year. This speed of adjustment is fairly high, indicating Rwanda’s exports respond quickly to shocks. For instance, after the 2020 pandemic-induced drop, exports rebounded strongly by 2021/22 (IGC, 2022). Countries like Ethiopia have more internal buffering (large domestic consumption can absorb some shocks, so their exports adjust a bit slower), whereas Uganda, being very export-focused, also shows quick adjustment to global changes.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b/>
        </w:rPr>
        <w:t>Growth rates:</w:t>
      </w:r>
      <w:r>
        <w:rPr>
          <w:rFonts w:ascii="Times New Roman" w:eastAsia="Times New Roman" w:hAnsi="Times New Roman" w:cs="Times New Roman"/>
        </w:rPr>
        <w:t xml:space="preserve"> Rwanda’s coffee export volume growth has been modest – roughly 2.5% annually in the 2010s (IGC, 2022), barely above global growth of ~2.2%. In contrast, </w:t>
      </w:r>
      <w:r>
        <w:rPr>
          <w:rFonts w:ascii="Times New Roman" w:eastAsia="Times New Roman" w:hAnsi="Times New Roman" w:cs="Times New Roman"/>
          <w:b/>
        </w:rPr>
        <w:t>Ethiopia</w:t>
      </w:r>
      <w:r>
        <w:rPr>
          <w:rFonts w:ascii="Times New Roman" w:eastAsia="Times New Roman" w:hAnsi="Times New Roman" w:cs="Times New Roman"/>
        </w:rPr>
        <w:t xml:space="preserve">’s coffee </w:t>
      </w:r>
      <w:r>
        <w:rPr>
          <w:rFonts w:ascii="Times New Roman" w:eastAsia="Times New Roman" w:hAnsi="Times New Roman" w:cs="Times New Roman"/>
        </w:rPr>
        <w:lastRenderedPageBreak/>
        <w:t xml:space="preserve">exports grew around 5% annually over the past decade, and </w:t>
      </w:r>
      <w:r>
        <w:rPr>
          <w:rFonts w:ascii="Times New Roman" w:eastAsia="Times New Roman" w:hAnsi="Times New Roman" w:cs="Times New Roman"/>
          <w:b/>
        </w:rPr>
        <w:t>Uganda</w:t>
      </w:r>
      <w:r>
        <w:rPr>
          <w:rFonts w:ascii="Times New Roman" w:eastAsia="Times New Roman" w:hAnsi="Times New Roman" w:cs="Times New Roman"/>
        </w:rPr>
        <w:t>’s about 4-5% with some years of double-digit growth (especially value growth due to prices). The difference often comes down to land and productivity. Uganda expanded area under coffee by mobilizing smallholders in new regions and replanting old trees, while Ethiopia improved both area and yield in its traditional coffee highlands. Rwanda’s land is more limited and every hectare is precious – which is why intensification (yield per tree) is the only viable path for Rwanda to significantly raise output. Our findings support this: improvements in yield (production) directly translate to exports, so any interventions (fertilizer distribution, improved varieties, pruning campaigns) that raise yield should be priority. For example, a future research simulation could use our model to predict that raising average yield from 2kg to 3kg per tree (50% increase) might increase export earnings by roughly 50–60%, other factors constant.</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Policy environments:</w:t>
      </w:r>
      <w:r>
        <w:rPr>
          <w:rFonts w:ascii="Times New Roman" w:eastAsia="Times New Roman" w:hAnsi="Times New Roman" w:cs="Times New Roman"/>
        </w:rPr>
        <w:t xml:space="preserve"> Rwanda’s government has a hands-on approach (minimum prices, regulation of buyers, heavy involvement of NAEB in marketing), whereas </w:t>
      </w:r>
      <w:r>
        <w:rPr>
          <w:rFonts w:ascii="Times New Roman" w:eastAsia="Times New Roman" w:hAnsi="Times New Roman" w:cs="Times New Roman"/>
          <w:b/>
        </w:rPr>
        <w:t>Uganda</w:t>
      </w:r>
      <w:r>
        <w:rPr>
          <w:rFonts w:ascii="Times New Roman" w:eastAsia="Times New Roman" w:hAnsi="Times New Roman" w:cs="Times New Roman"/>
        </w:rPr>
        <w:t xml:space="preserve"> liberalized its coffee sector in the early 1990s, leading to a large number of private exporters and minimal direct price intervention. Ethiopia sits in between: it has a Coffee and Tea Authority and the ECX (Ethiopian Commodity Exchange) that centralizes trade. The success of Uganda in increasing exports suggests that liberalization spurred competition and efficiency; however, critics note that Ugandan farmers still face volatility and quality issues. Rwanda’s more managed system likely helped enforce quality standards (Rwandan coffee rarely has quality problems now, which is an achievement), but possibly at the cost of agility and farmer earnings. Our analysis implies Rwanda might consider </w:t>
      </w:r>
      <w:r>
        <w:rPr>
          <w:rFonts w:ascii="Times New Roman" w:eastAsia="Times New Roman" w:hAnsi="Times New Roman" w:cs="Times New Roman"/>
          <w:b/>
        </w:rPr>
        <w:t>hybrid models</w:t>
      </w:r>
      <w:r>
        <w:rPr>
          <w:rFonts w:ascii="Times New Roman" w:eastAsia="Times New Roman" w:hAnsi="Times New Roman" w:cs="Times New Roman"/>
        </w:rPr>
        <w:t xml:space="preserve"> – e.g., maintain quality oversight (through regulations on processing standards) but allow more competition in cherry buying or adopt price incentives that reward farmers for higher quality beyond a floor price. Some policy experiments are already happening: in 2022, seeing record high world prices, NAEB raised the floor cherry price by 65%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and reports suggest actual market prices went even higher (farmers getting RWF 600 or more per kg as buyers competed)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2024). This indicates a willingness to adjust policies to share gains with producers, which is encouraging.</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Climate and sustainability:</w:t>
      </w:r>
      <w:r>
        <w:rPr>
          <w:rFonts w:ascii="Times New Roman" w:eastAsia="Times New Roman" w:hAnsi="Times New Roman" w:cs="Times New Roman"/>
        </w:rPr>
        <w:t xml:space="preserve"> East African coffee exporters all face climate threats, but high-altitude producers like Rwanda and Ethiopia are particularly vulnerable to temperature rise. If certain zones become too warm for Arabica, production areas shrink or must shift to higher elevations. Uganda, with mostly Robusta at lower altitudes, faces different climate issues (drought in some seasons, but Robusta is somewhat heat-tolerant). Rwanda is actively researching climate-resilient varieties and promoting shade tree planting (</w:t>
      </w:r>
      <w:proofErr w:type="spellStart"/>
      <w:r>
        <w:rPr>
          <w:rFonts w:ascii="Times New Roman" w:eastAsia="Times New Roman" w:hAnsi="Times New Roman" w:cs="Times New Roman"/>
        </w:rPr>
        <w:t>Vuggumudi</w:t>
      </w:r>
      <w:proofErr w:type="spellEnd"/>
      <w:r>
        <w:rPr>
          <w:rFonts w:ascii="Times New Roman" w:eastAsia="Times New Roman" w:hAnsi="Times New Roman" w:cs="Times New Roman"/>
        </w:rPr>
        <w:t xml:space="preserve">, 2023). Our model doesn’t explicitly include climate variables (like rainfall), but large deviations (e.g., a drought year) show up as dummy outliers (we put a dummy for 2003 when a severe drought hit production, and 2003 indeed had a big negative residual). A key insight is that </w:t>
      </w:r>
      <w:r>
        <w:rPr>
          <w:rFonts w:ascii="Times New Roman" w:eastAsia="Times New Roman" w:hAnsi="Times New Roman" w:cs="Times New Roman"/>
          <w:b/>
        </w:rPr>
        <w:t>resilience</w:t>
      </w:r>
      <w:r>
        <w:rPr>
          <w:rFonts w:ascii="Times New Roman" w:eastAsia="Times New Roman" w:hAnsi="Times New Roman" w:cs="Times New Roman"/>
        </w:rPr>
        <w:t xml:space="preserve"> in the coffee sector may require diversifying within coffee (to new varieties or even to other high-value crops in some areas). Policymakers, reading our results, might realize that without adaptation, the production term in our model – so crucial to exports – could stagnate or decline due to climate stress, undermining all other efforts. Thus, integrating climate adaptation into trade competitiveness strategies is vital.</w:t>
      </w:r>
      <w:r>
        <w:rPr>
          <w:rFonts w:ascii="Times New Roman" w:eastAsia="Times New Roman" w:hAnsi="Times New Roman" w:cs="Times New Roman"/>
        </w:rPr>
        <w:br/>
      </w:r>
    </w:p>
    <w:p w:rsidR="0045078D" w:rsidRDefault="00551C1A">
      <w:pPr>
        <w:pStyle w:val="Heading3"/>
        <w:keepNext w:val="0"/>
        <w:keepLines w:val="0"/>
        <w:spacing w:before="280"/>
        <w:rPr>
          <w:rFonts w:ascii="Times New Roman" w:eastAsia="Times New Roman" w:hAnsi="Times New Roman" w:cs="Times New Roman"/>
          <w:b/>
          <w:color w:val="000000"/>
          <w:sz w:val="22"/>
          <w:szCs w:val="22"/>
        </w:rPr>
      </w:pPr>
      <w:bookmarkStart w:id="8" w:name="_j9yi03y673of" w:colFirst="0" w:colLast="0"/>
      <w:bookmarkEnd w:id="8"/>
      <w:r>
        <w:rPr>
          <w:rFonts w:ascii="Times New Roman" w:eastAsia="Times New Roman" w:hAnsi="Times New Roman" w:cs="Times New Roman"/>
          <w:b/>
          <w:color w:val="000000"/>
          <w:sz w:val="22"/>
          <w:szCs w:val="22"/>
        </w:rPr>
        <w:t>4.4. Policy Implications and Theoretical Contributions</w:t>
      </w:r>
    </w:p>
    <w:p w:rsidR="0045078D" w:rsidRDefault="00551C1A">
      <w:pPr>
        <w:spacing w:before="240" w:after="240"/>
        <w:rPr>
          <w:rFonts w:ascii="Times New Roman" w:eastAsia="Times New Roman" w:hAnsi="Times New Roman" w:cs="Times New Roman"/>
        </w:rPr>
      </w:pPr>
      <w:r>
        <w:rPr>
          <w:rFonts w:ascii="Times New Roman" w:eastAsia="Times New Roman" w:hAnsi="Times New Roman" w:cs="Times New Roman"/>
        </w:rPr>
        <w:t>Bridging the gap between our empirical findings and practical policy, we draw several implications: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Pr>
          <w:rFonts w:ascii="Times New Roman" w:eastAsia="Times New Roman" w:hAnsi="Times New Roman" w:cs="Times New Roman"/>
          <w:b/>
        </w:rPr>
        <w:t>Revamp farmer incentives:</w:t>
      </w:r>
      <w:r>
        <w:rPr>
          <w:rFonts w:ascii="Times New Roman" w:eastAsia="Times New Roman" w:hAnsi="Times New Roman" w:cs="Times New Roman"/>
        </w:rPr>
        <w:t xml:space="preserve"> Perhaps the clearest implication is that farmers need better compensation to drive the production increases our model identifies as crucial. Ensuring farmers capture a fair share of export prices could stimulate investment at the farm level (stumping old trees, applying inputs, etc.). This could be achieved by adjusting the fixed minimum price more frequently in line with world prices, or by allowing multiple buyers to operate in a region so that competition bids up prices (with NAEB monitoring quality compliance). The </w:t>
      </w:r>
      <w:r>
        <w:rPr>
          <w:rFonts w:ascii="Times New Roman" w:eastAsia="Times New Roman" w:hAnsi="Times New Roman" w:cs="Times New Roman"/>
          <w:b/>
        </w:rPr>
        <w:t>trade-off</w:t>
      </w:r>
      <w:r>
        <w:rPr>
          <w:rFonts w:ascii="Times New Roman" w:eastAsia="Times New Roman" w:hAnsi="Times New Roman" w:cs="Times New Roman"/>
        </w:rPr>
        <w:t xml:space="preserve"> is between control (for quality) and liberalization (for efficiency and incentive). Our results suggest Rwanda may have swung a bit far on control; a recalibration could unleash productivity gains.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b/>
        </w:rPr>
        <w:t>Value addition and market segmentation:</w:t>
      </w:r>
      <w:r>
        <w:rPr>
          <w:rFonts w:ascii="Times New Roman" w:eastAsia="Times New Roman" w:hAnsi="Times New Roman" w:cs="Times New Roman"/>
        </w:rPr>
        <w:t xml:space="preserve"> The fact that global prices so strongly dictate outcomes means Rwanda should continue to </w:t>
      </w:r>
      <w:r>
        <w:rPr>
          <w:rFonts w:ascii="Times New Roman" w:eastAsia="Times New Roman" w:hAnsi="Times New Roman" w:cs="Times New Roman"/>
          <w:b/>
        </w:rPr>
        <w:t>differentiate its coffee</w:t>
      </w:r>
      <w:r>
        <w:rPr>
          <w:rFonts w:ascii="Times New Roman" w:eastAsia="Times New Roman" w:hAnsi="Times New Roman" w:cs="Times New Roman"/>
        </w:rPr>
        <w:t xml:space="preserve"> to escape the full brunt of commodity cycles. Expanding sales of truly specialty micro-lots, geographic indication (e.g. “Gisenyi” or “</w:t>
      </w:r>
      <w:proofErr w:type="spellStart"/>
      <w:r>
        <w:rPr>
          <w:rFonts w:ascii="Times New Roman" w:eastAsia="Times New Roman" w:hAnsi="Times New Roman" w:cs="Times New Roman"/>
        </w:rPr>
        <w:t>Nyamasheke</w:t>
      </w:r>
      <w:proofErr w:type="spellEnd"/>
      <w:r>
        <w:rPr>
          <w:rFonts w:ascii="Times New Roman" w:eastAsia="Times New Roman" w:hAnsi="Times New Roman" w:cs="Times New Roman"/>
        </w:rPr>
        <w:t>” region coffees), and even developing domestic roasting for niche exports (tourist market or regional exports of roasted coffee) could incrementally increase the average value. While such niche efforts won’t absorb all production, they set price benchmarks that can lift the overall sector’s reputation. The government’s support for Cup of Excellence competitions and barista trainings, for example, has been low-cost but high-visibility in boosting Rwanda’s credentials.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Export diversification within coffee</w:t>
      </w:r>
      <w:r>
        <w:rPr>
          <w:rFonts w:ascii="Times New Roman" w:eastAsia="Times New Roman" w:hAnsi="Times New Roman" w:cs="Times New Roman"/>
        </w:rPr>
        <w:t xml:space="preserve">: Our comparative outlook shows Rwanda can’t match Ethiopia or Uganda in volume, but it can focus on being a </w:t>
      </w:r>
      <w:r>
        <w:rPr>
          <w:rFonts w:ascii="Times New Roman" w:eastAsia="Times New Roman" w:hAnsi="Times New Roman" w:cs="Times New Roman"/>
          <w:b/>
        </w:rPr>
        <w:t>quality leader in Africa</w:t>
      </w:r>
      <w:r>
        <w:rPr>
          <w:rFonts w:ascii="Times New Roman" w:eastAsia="Times New Roman" w:hAnsi="Times New Roman" w:cs="Times New Roman"/>
        </w:rPr>
        <w:t xml:space="preserve"> (which it already is, alongside Kenya for certain profiles). By cementing this position, Rwanda could negotiate better trade terms and marketing arrangements. One proposal is to establish a Rwandan coffee auction (like Kenya’s auction system), which might improve price discovery and transparency, potentially yielding higher prices for top lots. This intersects with trade policy – e.g., leveraging African Continental Free Trade Area (</w:t>
      </w:r>
      <w:proofErr w:type="spellStart"/>
      <w:r>
        <w:rPr>
          <w:rFonts w:ascii="Times New Roman" w:eastAsia="Times New Roman" w:hAnsi="Times New Roman" w:cs="Times New Roman"/>
        </w:rPr>
        <w:t>AfCFTA</w:t>
      </w:r>
      <w:proofErr w:type="spellEnd"/>
      <w:r>
        <w:rPr>
          <w:rFonts w:ascii="Times New Roman" w:eastAsia="Times New Roman" w:hAnsi="Times New Roman" w:cs="Times New Roman"/>
        </w:rPr>
        <w:t>) to perhaps export roasted coffee to regional markets tariff-free, capturing more value locally.</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Macroeconomic stability:</w:t>
      </w:r>
      <w:r>
        <w:rPr>
          <w:rFonts w:ascii="Times New Roman" w:eastAsia="Times New Roman" w:hAnsi="Times New Roman" w:cs="Times New Roman"/>
        </w:rPr>
        <w:t xml:space="preserve"> The modest but positive exchange rate effect implies Rwanda should maintain a stable, competitive currency. Inflation needs to be controlled so that real exchange rate doesn’t erode gains. Additionally, ensuring access to credit for coffee cooperatives and entrepreneurs (maybe via targeted credit lines or guarantee schemes) could address the non-significant interest rate finding – i.e., make sure that it remains a non-issue by keeping financing accessible.</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From a </w:t>
      </w:r>
      <w:r>
        <w:rPr>
          <w:rFonts w:ascii="Times New Roman" w:eastAsia="Times New Roman" w:hAnsi="Times New Roman" w:cs="Times New Roman"/>
          <w:b/>
        </w:rPr>
        <w:t>theoretical standpoint</w:t>
      </w:r>
      <w:r>
        <w:rPr>
          <w:rFonts w:ascii="Times New Roman" w:eastAsia="Times New Roman" w:hAnsi="Times New Roman" w:cs="Times New Roman"/>
        </w:rPr>
        <w:t xml:space="preserve">, our study contributes to the understanding of trade in an agricultural commodity by integrating classical trade theory with GVC and development perspectives. The evidence that institutional factors (like pricing policies) can impede a country from fully exploiting its comparative advantage is a valuable addition to trade theory, which often assumes frictionless markets. Rwanda’s case illustrates that </w:t>
      </w:r>
      <w:r>
        <w:rPr>
          <w:rFonts w:ascii="Times New Roman" w:eastAsia="Times New Roman" w:hAnsi="Times New Roman" w:cs="Times New Roman"/>
          <w:i/>
        </w:rPr>
        <w:t>comparative advantage can be policy-constrained</w:t>
      </w:r>
      <w:r>
        <w:rPr>
          <w:rFonts w:ascii="Times New Roman" w:eastAsia="Times New Roman" w:hAnsi="Times New Roman" w:cs="Times New Roman"/>
        </w:rPr>
        <w:t>: despite ideal conditions for coffee, outcomes lag potential due to micro-level incentive misalignment. This suggests trade theorists and modelers should incorporate variables for governance quality and market structure when analyzing export performance in agriculture. We also shed light on the micro-macro link: improvements at the micro level (farm productivity, quality) enhanced the macro export position, which in turn can influence macro variables (coffee exports have been linked to Rwanda’s exchange rate stability and rural income growth). Such feedback loops resonate with endogenous growth theories where sectoral performance can drive broader economic trajectories.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In comparing with other developing countries, we reaffirm some general principles – e.g., that export-led growth in agriculture requires both price and non-price competitiveness – but also emphasize that </w:t>
      </w:r>
      <w:r>
        <w:rPr>
          <w:rFonts w:ascii="Times New Roman" w:eastAsia="Times New Roman" w:hAnsi="Times New Roman" w:cs="Times New Roman"/>
          <w:b/>
        </w:rPr>
        <w:t>small countries must innovate to compete</w:t>
      </w:r>
      <w:r>
        <w:rPr>
          <w:rFonts w:ascii="Times New Roman" w:eastAsia="Times New Roman" w:hAnsi="Times New Roman" w:cs="Times New Roman"/>
        </w:rPr>
        <w:t>. Rwanda exemplifies how a tiny producer can remain globally relevant by carving out a quality niche and aggressively pursuing new markets (IGC, 2022), validating elements of Porter’s theory (differentiation strategy) in the context of a commodity. At the same time, the country’s struggles with production and farmer attrition provide a cautionary tale aligning with development economics: that rural transformation and poverty reduction must go hand in hand with export strategies, otherwise the supply base erodes.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Equity, sustainability, and resilience:</w:t>
      </w:r>
      <w:r>
        <w:rPr>
          <w:rFonts w:ascii="Times New Roman" w:eastAsia="Times New Roman" w:hAnsi="Times New Roman" w:cs="Times New Roman"/>
        </w:rPr>
        <w:t xml:space="preserve"> Finally, no discussion of Rwanda’s coffee sector is complete without addressing these cross-cutting issues. </w:t>
      </w:r>
      <w:r>
        <w:rPr>
          <w:rFonts w:ascii="Times New Roman" w:eastAsia="Times New Roman" w:hAnsi="Times New Roman" w:cs="Times New Roman"/>
          <w:b/>
        </w:rPr>
        <w:t>Equity</w:t>
      </w:r>
      <w:r>
        <w:rPr>
          <w:rFonts w:ascii="Times New Roman" w:eastAsia="Times New Roman" w:hAnsi="Times New Roman" w:cs="Times New Roman"/>
        </w:rPr>
        <w:t xml:space="preserve"> – The benefits of coffee exports must be equitably shared. If exporters and processors reap most gains while farmers live in poverty, the system is neither morally nor economically sustainable (as farmers will exit). Ensuring equitable value distribution (through cooperative empowerment, transparent pricing, possibly profit-sharing schemes) would make the sector more just and stable. </w:t>
      </w:r>
      <w:r>
        <w:rPr>
          <w:rFonts w:ascii="Times New Roman" w:eastAsia="Times New Roman" w:hAnsi="Times New Roman" w:cs="Times New Roman"/>
          <w:b/>
        </w:rPr>
        <w:t>Sustainability</w:t>
      </w:r>
      <w:r>
        <w:rPr>
          <w:rFonts w:ascii="Times New Roman" w:eastAsia="Times New Roman" w:hAnsi="Times New Roman" w:cs="Times New Roman"/>
        </w:rPr>
        <w:t xml:space="preserve"> – Environmental sustainability is key since coffee in Rwanda is largely rain-fed and grown on erosion-prone slopes. Practices like terracing, shade-grown coffee, and organic methods not only preserve the environment but can be marketed as specialty attributes. Rwanda has a chance to tie its sustainability efforts (it’s big on environmental initiatives nationally) with coffee branding (“climate-smart coffee”). </w:t>
      </w:r>
      <w:r>
        <w:rPr>
          <w:rFonts w:ascii="Times New Roman" w:eastAsia="Times New Roman" w:hAnsi="Times New Roman" w:cs="Times New Roman"/>
          <w:b/>
        </w:rPr>
        <w:t>Resilience</w:t>
      </w:r>
      <w:r>
        <w:rPr>
          <w:rFonts w:ascii="Times New Roman" w:eastAsia="Times New Roman" w:hAnsi="Times New Roman" w:cs="Times New Roman"/>
        </w:rPr>
        <w:t xml:space="preserve"> – Given the volatility we have evidenced, building resilience means creating buffers: e.g., developing financial tools like weather-index insurance (ICO, 2024) for farmers, or saving during boom years to support during bust years, and diversifying income (some coffee cooperatives in Rwanda are now intercropping or adding beekeeping for extra income). Our findings on long-run relationships imply that shocks will happen (they do in our data), but policy can shorten recovery time – as seen after COVID-19 when swift measures helped rebound exports (IGC, 2022). Investing in early warning systems for pests/diseases and fostering innovation (perhaps using predictive analytics – see Future Research section) will also bolster resilience.</w:t>
      </w:r>
    </w:p>
    <w:p w:rsidR="0045078D" w:rsidRDefault="00551C1A">
      <w:pPr>
        <w:spacing w:before="240" w:after="240"/>
        <w:ind w:firstLine="720"/>
        <w:jc w:val="both"/>
      </w:pPr>
      <w:r>
        <w:rPr>
          <w:rFonts w:ascii="Times New Roman" w:eastAsia="Times New Roman" w:hAnsi="Times New Roman" w:cs="Times New Roman"/>
        </w:rPr>
        <w:t>In conclusion of this section, Rwanda’s coffee export performance is the outcome of a complex interplay between domestic endeavors and global forces. The VECM analysis quantitatively validates many intuitive dynamics, while the comparative discussion highlights that Rwanda’s journey, though unique in some respects, offers lessons to and from other nations. As Rwanda aspires to raise its export competitiveness, these findings serve as a roadmap for where to focus efforts – on farms, in processing stations, in policy corridors, and across borders in the international marketplace.</w:t>
      </w:r>
    </w:p>
    <w:p w:rsidR="00551C1A" w:rsidRDefault="00551C1A">
      <w:pPr>
        <w:spacing w:before="240" w:after="240"/>
        <w:ind w:firstLine="720"/>
        <w:jc w:val="both"/>
      </w:pPr>
    </w:p>
    <w:p w:rsidR="00551C1A" w:rsidRDefault="00551C1A" w:rsidP="00551C1A">
      <w:pPr>
        <w:spacing w:before="240" w:after="240"/>
        <w:ind w:firstLine="720"/>
        <w:jc w:val="both"/>
        <w:rPr>
          <w:rFonts w:ascii="Times New Roman" w:eastAsia="Times New Roman" w:hAnsi="Times New Roman" w:cs="Times New Roman"/>
        </w:rPr>
      </w:pPr>
      <w:r>
        <w:rPr>
          <w:rFonts w:ascii="Times New Roman" w:eastAsia="Times New Roman" w:hAnsi="Times New Roman"/>
          <w:lang w:val="en-US"/>
        </w:rPr>
        <w:t>P</w:t>
      </w:r>
      <w:proofErr w:type="spellStart"/>
      <w:r w:rsidRPr="00247074">
        <w:rPr>
          <w:rFonts w:ascii="Times New Roman" w:eastAsia="Times New Roman" w:hAnsi="Times New Roman"/>
        </w:rPr>
        <w:t>olicy</w:t>
      </w:r>
      <w:proofErr w:type="spellEnd"/>
      <w:r w:rsidRPr="00247074">
        <w:rPr>
          <w:rFonts w:ascii="Times New Roman" w:eastAsia="Times New Roman" w:hAnsi="Times New Roman"/>
        </w:rPr>
        <w:t xml:space="preserve"> implications</w:t>
      </w:r>
      <w:r>
        <w:rPr>
          <w:rFonts w:ascii="Times New Roman" w:eastAsia="Times New Roman" w:hAnsi="Times New Roman"/>
          <w:lang w:val="en-US"/>
        </w:rPr>
        <w:t xml:space="preserve">: </w:t>
      </w:r>
      <w:r w:rsidRPr="00247074">
        <w:rPr>
          <w:rFonts w:ascii="Times New Roman" w:eastAsia="Times New Roman" w:hAnsi="Times New Roman"/>
        </w:rPr>
        <w:t xml:space="preserve">The evidence indicates that Rwanda can raise export earnings most reliably by pairing production-side rejuvenation with incentive-compatible pricing and strict market compliance. In practical terms this means accelerating tree replacement and rehabilitation and strengthening agronomic extension around quality, while aligning farm-gate payments with export realizations through predictable, transparent, and timely settlement that rewards quality. Crowding in private investment for washing, drying, and logistics reduces avoidable costs as world prices fluctuate, and market intelligence should target resilient, higher-premium specialty segments in the United States and Europe, where specialty consumption is at record highs (National Coffee Association of USA [NCA], 2025). At the same time, early, low-cost compliance with the EU Deforestation Regulation through farm mapping and traceability protects access </w:t>
      </w:r>
      <w:r w:rsidRPr="00247074">
        <w:rPr>
          <w:rFonts w:ascii="Times New Roman" w:eastAsia="Times New Roman" w:hAnsi="Times New Roman"/>
        </w:rPr>
        <w:lastRenderedPageBreak/>
        <w:t>to key markets and signals sustainability leadership (European Commission, 2024). Taken together, these steps strengthen fundamentals, speed the pass-through of positive price shocks to farmers, and position Rwanda to compete on differentiation rather than volume alone (ICO, 2024; NCA, 2025; European Commission, 2024).</w:t>
      </w:r>
    </w:p>
    <w:p w:rsidR="00551C1A" w:rsidRDefault="00551C1A">
      <w:pPr>
        <w:spacing w:before="240" w:after="240"/>
        <w:ind w:firstLine="720"/>
        <w:jc w:val="both"/>
        <w:rPr>
          <w:rFonts w:ascii="Times New Roman" w:eastAsia="Times New Roman" w:hAnsi="Times New Roman" w:cs="Times New Roman"/>
        </w:rPr>
      </w:pPr>
    </w:p>
    <w:p w:rsidR="0045078D" w:rsidRDefault="00551C1A">
      <w:pPr>
        <w:pStyle w:val="Heading2"/>
        <w:keepNext w:val="0"/>
        <w:keepLines w:val="0"/>
        <w:numPr>
          <w:ilvl w:val="0"/>
          <w:numId w:val="1"/>
        </w:numPr>
        <w:spacing w:after="80"/>
        <w:rPr>
          <w:rFonts w:ascii="Times New Roman" w:eastAsia="Times New Roman" w:hAnsi="Times New Roman" w:cs="Times New Roman"/>
          <w:b/>
          <w:sz w:val="26"/>
          <w:szCs w:val="26"/>
        </w:rPr>
      </w:pPr>
      <w:bookmarkStart w:id="9" w:name="_iwk31rlfdj5p" w:colFirst="0" w:colLast="0"/>
      <w:bookmarkEnd w:id="9"/>
      <w:r>
        <w:rPr>
          <w:rFonts w:ascii="Times New Roman" w:eastAsia="Times New Roman" w:hAnsi="Times New Roman" w:cs="Times New Roman"/>
          <w:b/>
          <w:sz w:val="26"/>
          <w:szCs w:val="26"/>
        </w:rPr>
        <w:t>Conclusion &amp; Recommendations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5.1. Summary of contributions.</w:t>
      </w:r>
      <w:r>
        <w:rPr>
          <w:rFonts w:ascii="Times New Roman" w:eastAsia="Times New Roman" w:hAnsi="Times New Roman" w:cs="Times New Roman"/>
        </w:rPr>
        <w:t xml:space="preserve"> This study provided a comprehensive reassessment of Rwanda’s coffee export competitiveness by merging </w:t>
      </w:r>
      <w:r>
        <w:rPr>
          <w:rFonts w:ascii="Times New Roman" w:eastAsia="Times New Roman" w:hAnsi="Times New Roman" w:cs="Times New Roman"/>
          <w:b/>
        </w:rPr>
        <w:t>new data</w:t>
      </w:r>
      <w:r>
        <w:rPr>
          <w:rFonts w:ascii="Times New Roman" w:eastAsia="Times New Roman" w:hAnsi="Times New Roman" w:cs="Times New Roman"/>
        </w:rPr>
        <w:t xml:space="preserve"> and </w:t>
      </w:r>
      <w:r>
        <w:rPr>
          <w:rFonts w:ascii="Times New Roman" w:eastAsia="Times New Roman" w:hAnsi="Times New Roman" w:cs="Times New Roman"/>
          <w:b/>
        </w:rPr>
        <w:t>new theory</w:t>
      </w:r>
      <w:r>
        <w:rPr>
          <w:rFonts w:ascii="Times New Roman" w:eastAsia="Times New Roman" w:hAnsi="Times New Roman" w:cs="Times New Roman"/>
        </w:rPr>
        <w:t xml:space="preserve">. Empirically, we compiled the most up-to-date dataset (1990–2024) from multiple sources and applied rigorous time-series econometric methods to identify determinants of export performance. This yielded fresh insights: we confirmed the primacy of domestic production and global prices in driving export earnings, quantified the moderate role of macroeconomic factors like exchange rates, and highlighted the importance of policy and institutional nuances in shaping outcomes. Theoretically, we moved beyond one-dimensional explanations (e.g. “just improve efficiency” or “just liberalize trade”) and instead showed that a hybrid understanding – one that fuses </w:t>
      </w:r>
      <w:r>
        <w:rPr>
          <w:rFonts w:ascii="Times New Roman" w:eastAsia="Times New Roman" w:hAnsi="Times New Roman" w:cs="Times New Roman"/>
          <w:b/>
        </w:rPr>
        <w:t>comparative advantage logic</w:t>
      </w:r>
      <w:r>
        <w:rPr>
          <w:rFonts w:ascii="Times New Roman" w:eastAsia="Times New Roman" w:hAnsi="Times New Roman" w:cs="Times New Roman"/>
        </w:rPr>
        <w:t xml:space="preserve"> with </w:t>
      </w:r>
      <w:r>
        <w:rPr>
          <w:rFonts w:ascii="Times New Roman" w:eastAsia="Times New Roman" w:hAnsi="Times New Roman" w:cs="Times New Roman"/>
          <w:b/>
        </w:rPr>
        <w:t>value-chain governance</w:t>
      </w:r>
      <w:r>
        <w:rPr>
          <w:rFonts w:ascii="Times New Roman" w:eastAsia="Times New Roman" w:hAnsi="Times New Roman" w:cs="Times New Roman"/>
        </w:rPr>
        <w:t xml:space="preserve"> and </w:t>
      </w:r>
      <w:r>
        <w:rPr>
          <w:rFonts w:ascii="Times New Roman" w:eastAsia="Times New Roman" w:hAnsi="Times New Roman" w:cs="Times New Roman"/>
          <w:b/>
        </w:rPr>
        <w:t>development policy</w:t>
      </w:r>
      <w:r>
        <w:rPr>
          <w:rFonts w:ascii="Times New Roman" w:eastAsia="Times New Roman" w:hAnsi="Times New Roman" w:cs="Times New Roman"/>
        </w:rPr>
        <w:t xml:space="preserve"> – is needed to explain Rwanda’s experience. In doing so, we challenge simplistic applications of trade theory to agriculture. For instance, classical theory might predict Rwanda should specialize in coffee and all will be well; our findings caution that without aligning incentives and addressing market failures, the expected gains may not fully materialize. We also contributed a conceptual model (Figure 1) that future researchers can adapt for analyzing other commodity-dependent economies integrating micro and macro factors.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5.2. </w:t>
      </w:r>
      <w:r>
        <w:rPr>
          <w:rFonts w:ascii="Times New Roman" w:eastAsia="Times New Roman" w:hAnsi="Times New Roman" w:cs="Times New Roman"/>
          <w:b/>
        </w:rPr>
        <w:t>Policy recommendations.</w:t>
      </w:r>
      <w:r>
        <w:rPr>
          <w:rFonts w:ascii="Times New Roman" w:eastAsia="Times New Roman" w:hAnsi="Times New Roman" w:cs="Times New Roman"/>
        </w:rPr>
        <w:t xml:space="preserve"> Based on our findings, we propose a set of actionable recommendations for stakeholders – including government policymakers (in trade, agriculture, finance), private sector actors (exporters, cooperatives), and development partners: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b/>
        </w:rPr>
        <w:t xml:space="preserve"> Launch a National Coffee Production &amp; Rejuvenation Drive:</w:t>
      </w:r>
      <w:r>
        <w:rPr>
          <w:rFonts w:ascii="Times New Roman" w:eastAsia="Times New Roman" w:hAnsi="Times New Roman" w:cs="Times New Roman"/>
        </w:rPr>
        <w:t xml:space="preserve"> Accelerating the replacement of old, unproductive coffee trees should be a top priority. The current rejuvenation campaign should be expanded into a multi-year program with clear targets (e.g., replace 10% of old trees each year for the next 5 years). This must be coupled with agronomic support: distribution of improved varieties (high-yield, disease-resistant), training in pruning and gap-filling, and provision of inputs (fertilizers, organic matter for soil health). Our analysis shows boosting production will directly boost exports; thus investing in productivity has high returns. </w:t>
      </w:r>
      <w:r>
        <w:rPr>
          <w:rFonts w:ascii="Times New Roman" w:eastAsia="Times New Roman" w:hAnsi="Times New Roman" w:cs="Times New Roman"/>
          <w:b/>
        </w:rPr>
        <w:t>Responsibility:</w:t>
      </w:r>
      <w:r>
        <w:rPr>
          <w:rFonts w:ascii="Times New Roman" w:eastAsia="Times New Roman" w:hAnsi="Times New Roman" w:cs="Times New Roman"/>
        </w:rPr>
        <w:t xml:space="preserve"> Ministry of Agriculture &amp; NAEB, supported by donor-funded agriculture programs for financing seedlings and extension.</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b/>
        </w:rPr>
        <w:t xml:space="preserve"> Enhance Farmer Incentives and Revenue Share:</w:t>
      </w:r>
      <w:r>
        <w:rPr>
          <w:rFonts w:ascii="Times New Roman" w:eastAsia="Times New Roman" w:hAnsi="Times New Roman" w:cs="Times New Roman"/>
        </w:rPr>
        <w:t xml:space="preserve"> Reform the coffee pricing and marketing structure to ensure farmers are rewarded for quality and shielded (at least partially) from downturns. One approach is to implement a </w:t>
      </w:r>
      <w:r>
        <w:rPr>
          <w:rFonts w:ascii="Times New Roman" w:eastAsia="Times New Roman" w:hAnsi="Times New Roman" w:cs="Times New Roman"/>
          <w:b/>
        </w:rPr>
        <w:t>two-tier pricing</w:t>
      </w:r>
      <w:r>
        <w:rPr>
          <w:rFonts w:ascii="Times New Roman" w:eastAsia="Times New Roman" w:hAnsi="Times New Roman" w:cs="Times New Roman"/>
        </w:rPr>
        <w:t xml:space="preserve">: a guaranteed minimum floor price (as exists) plus a quality-differential payment at season’s end based on the grade achieved or the profits made by the washing station/exporter. For example, if international prices were high and exporters profited, a bonus could be paid to farmers (some Latin American cooperatives follow this model). Another approach is to cautiously </w:t>
      </w:r>
      <w:r>
        <w:rPr>
          <w:rFonts w:ascii="Times New Roman" w:eastAsia="Times New Roman" w:hAnsi="Times New Roman" w:cs="Times New Roman"/>
          <w:b/>
        </w:rPr>
        <w:t>introduce competition</w:t>
      </w:r>
      <w:r>
        <w:rPr>
          <w:rFonts w:ascii="Times New Roman" w:eastAsia="Times New Roman" w:hAnsi="Times New Roman" w:cs="Times New Roman"/>
        </w:rPr>
        <w:t xml:space="preserve"> in cherry purchasing: allow farmers to sell to any licensed buyer (perhaps in pilot districts) to observe if prices to farmers increase without compromising quality. If successful, scale up </w:t>
      </w:r>
      <w:r>
        <w:rPr>
          <w:rFonts w:ascii="Times New Roman" w:eastAsia="Times New Roman" w:hAnsi="Times New Roman" w:cs="Times New Roman"/>
        </w:rPr>
        <w:lastRenderedPageBreak/>
        <w:t xml:space="preserve">competition nationwide with monitoring. Additionally, strengthening cooperatives can give farmers collective bargaining power; policies that encourage cooperative ownership of washing stations (some already do exist in Rwanda) can align incentives for quality (farmers as stakeholders in processing). </w:t>
      </w:r>
      <w:r>
        <w:rPr>
          <w:rFonts w:ascii="Times New Roman" w:eastAsia="Times New Roman" w:hAnsi="Times New Roman" w:cs="Times New Roman"/>
          <w:b/>
        </w:rPr>
        <w:t>Responsibility:</w:t>
      </w:r>
      <w:r>
        <w:rPr>
          <w:rFonts w:ascii="Times New Roman" w:eastAsia="Times New Roman" w:hAnsi="Times New Roman" w:cs="Times New Roman"/>
        </w:rPr>
        <w:t xml:space="preserve"> NAEB and MINICOM (Ministry of Trade) to revise regulations, UCDA/</w:t>
      </w:r>
      <w:proofErr w:type="spellStart"/>
      <w:r>
        <w:rPr>
          <w:rFonts w:ascii="Times New Roman" w:eastAsia="Times New Roman" w:hAnsi="Times New Roman" w:cs="Times New Roman"/>
        </w:rPr>
        <w:t>TechnoServe</w:t>
      </w:r>
      <w:proofErr w:type="spellEnd"/>
      <w:r>
        <w:rPr>
          <w:rFonts w:ascii="Times New Roman" w:eastAsia="Times New Roman" w:hAnsi="Times New Roman" w:cs="Times New Roman"/>
        </w:rPr>
        <w:t xml:space="preserve"> and similar organizations to provide technical assistance to cooperatives.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Focus on Quality and Value Addition Initiatives:</w:t>
      </w:r>
      <w:r>
        <w:rPr>
          <w:rFonts w:ascii="Times New Roman" w:eastAsia="Times New Roman" w:hAnsi="Times New Roman" w:cs="Times New Roman"/>
        </w:rPr>
        <w:t xml:space="preserve"> Maintain Rwanda’s edge in quality by continuing to emphasize training and compliance at washing stations. Introduce </w:t>
      </w:r>
      <w:r>
        <w:rPr>
          <w:rFonts w:ascii="Times New Roman" w:eastAsia="Times New Roman" w:hAnsi="Times New Roman" w:cs="Times New Roman"/>
          <w:b/>
        </w:rPr>
        <w:t>quality differentiation at the export level</w:t>
      </w:r>
      <w:r>
        <w:rPr>
          <w:rFonts w:ascii="Times New Roman" w:eastAsia="Times New Roman" w:hAnsi="Times New Roman" w:cs="Times New Roman"/>
        </w:rPr>
        <w:t xml:space="preserve"> – e.g., create a quality auction or platform where the highest scoring coffees (by Cup of Excellence or Q graders) are sold to the highest bidder, ensuring top farmers/processors get premium prices. On value addition, promote local roasting for export on a small scale: for instance, support Rwandan companies to attend trade fairs with roasted branded coffee (building on stories of entrepreneurship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2024]). While green bean exports will remain dominant, capturing even an extra $1-2 per kilo on a portion of exports (through roasted coffee or long-term relationships with specialty roasters) can increase total export value. The government can incentivize this by subsidizing equipment or providing tax breaks for roasting enterprises, and by leveraging trade agreements (AGOA for the U.S., Everything-But-Arms for the EU) that allow duty-free entry of roasted coffee from Rwanda. </w:t>
      </w:r>
      <w:r>
        <w:rPr>
          <w:rFonts w:ascii="Times New Roman" w:eastAsia="Times New Roman" w:hAnsi="Times New Roman" w:cs="Times New Roman"/>
          <w:b/>
        </w:rPr>
        <w:t>Responsibility:</w:t>
      </w:r>
      <w:r>
        <w:rPr>
          <w:rFonts w:ascii="Times New Roman" w:eastAsia="Times New Roman" w:hAnsi="Times New Roman" w:cs="Times New Roman"/>
        </w:rPr>
        <w:t xml:space="preserve"> NAEB’s marketing department, Rwanda Development Board (for investment incentives), and private sector coffee associations.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Ensure a Supportive Macroeconomic and Financial Environment:</w:t>
      </w:r>
      <w:r>
        <w:rPr>
          <w:rFonts w:ascii="Times New Roman" w:eastAsia="Times New Roman" w:hAnsi="Times New Roman" w:cs="Times New Roman"/>
        </w:rPr>
        <w:t xml:space="preserve"> Although macro factors were secondary in our analysis, they form the enabling backdrop. The Central Bank (BNR) should continue to pursue stable inflation and avoid any overvaluation of the RWF. If global coffee prices drop severely, consider allowing a bit more depreciation to help cushion farmers (while being mindful of import costs). Develop financial products for the coffee sector: encourage banks to offer seasonal credit to washing stations and traders at reasonable rates (perhaps backed by a government guarantee or lines of credit from development banks). Also, introduce risk management tools like </w:t>
      </w:r>
      <w:r>
        <w:rPr>
          <w:rFonts w:ascii="Times New Roman" w:eastAsia="Times New Roman" w:hAnsi="Times New Roman" w:cs="Times New Roman"/>
          <w:b/>
        </w:rPr>
        <w:t>commodity price insurance</w:t>
      </w:r>
      <w:r>
        <w:rPr>
          <w:rFonts w:ascii="Times New Roman" w:eastAsia="Times New Roman" w:hAnsi="Times New Roman" w:cs="Times New Roman"/>
        </w:rPr>
        <w:t xml:space="preserve"> or forward contracts for cooperatives, possibly via the African Export-Import Bank or other institutions, so that Rwandan exporters can hedge against price slumps and provide farmers with more stable income. </w:t>
      </w:r>
      <w:r>
        <w:rPr>
          <w:rFonts w:ascii="Times New Roman" w:eastAsia="Times New Roman" w:hAnsi="Times New Roman" w:cs="Times New Roman"/>
          <w:b/>
        </w:rPr>
        <w:t>Responsibility:</w:t>
      </w:r>
      <w:r>
        <w:rPr>
          <w:rFonts w:ascii="Times New Roman" w:eastAsia="Times New Roman" w:hAnsi="Times New Roman" w:cs="Times New Roman"/>
        </w:rPr>
        <w:t xml:space="preserve"> BNR for forex policy; Ministry of Finance in partnership with financial institutions for credit schemes.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Build Climate Resilience into Coffee Planning:</w:t>
      </w:r>
      <w:r>
        <w:rPr>
          <w:rFonts w:ascii="Times New Roman" w:eastAsia="Times New Roman" w:hAnsi="Times New Roman" w:cs="Times New Roman"/>
        </w:rPr>
        <w:t xml:space="preserve"> Proactively address the climate disruption threat to secure the future of Rwanda’s coffee. This involves research and adoption of climate-resilient coffee varieties (drought-tolerant or heat-tolerant cultivars), expanding irrigation in coffee farms (even small-scale drip irrigation or water harvesting for dry spells), and promoting shade trees and agroforestry in coffee zones to buffer temperature extremes. NAEB could work with meteorological agencies to develop an early warning system for weather extremes and pests (e.g., alerting farmers ahead of expected heavy rains or dry periods so they can adjust harvesting or processing timing). International climate finance can be tapped to fund these adaptation measures, given coffee’s importance to livelihoods. </w:t>
      </w:r>
      <w:r>
        <w:rPr>
          <w:rFonts w:ascii="Times New Roman" w:eastAsia="Times New Roman" w:hAnsi="Times New Roman" w:cs="Times New Roman"/>
          <w:b/>
        </w:rPr>
        <w:t>Responsibility:</w:t>
      </w:r>
      <w:r>
        <w:rPr>
          <w:rFonts w:ascii="Times New Roman" w:eastAsia="Times New Roman" w:hAnsi="Times New Roman" w:cs="Times New Roman"/>
        </w:rPr>
        <w:t xml:space="preserve"> NAEB and Ministry of Environment, with support from agricultural research institutions and international climate funds.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b/>
        </w:rPr>
        <w:t xml:space="preserve"> Market Diversification and Trade Promotion:</w:t>
      </w:r>
      <w:r>
        <w:rPr>
          <w:rFonts w:ascii="Times New Roman" w:eastAsia="Times New Roman" w:hAnsi="Times New Roman" w:cs="Times New Roman"/>
        </w:rPr>
        <w:t xml:space="preserve"> Continue to diversify export markets to reduce reliance on a few buyers. NAEB data show traditional markets like Switzerland, UK, US are top </w:t>
      </w:r>
      <w:r>
        <w:rPr>
          <w:rFonts w:ascii="Times New Roman" w:eastAsia="Times New Roman" w:hAnsi="Times New Roman" w:cs="Times New Roman"/>
        </w:rPr>
        <w:lastRenderedPageBreak/>
        <w:t xml:space="preserve">buyers (IGC, 2022); emerging markets in Asia and the Middle East could be targeted. Rwandan diplomatic missions and trade agencies should actively promote coffee in countries like China, South Korea, and the Gulf states where coffee consumption is rising. Tailor marketing to highlight Rwanda’s unique story (quality, stability, sustainability). Additionally, exploit regional opportunities: with </w:t>
      </w:r>
      <w:proofErr w:type="spellStart"/>
      <w:r>
        <w:rPr>
          <w:rFonts w:ascii="Times New Roman" w:eastAsia="Times New Roman" w:hAnsi="Times New Roman" w:cs="Times New Roman"/>
        </w:rPr>
        <w:t>AfCFTA</w:t>
      </w:r>
      <w:proofErr w:type="spellEnd"/>
      <w:r>
        <w:rPr>
          <w:rFonts w:ascii="Times New Roman" w:eastAsia="Times New Roman" w:hAnsi="Times New Roman" w:cs="Times New Roman"/>
        </w:rPr>
        <w:t xml:space="preserve">, Rwanda could target African markets (for instance, specialty coffee shops in South Africa or Nigeria could be customers). Hosting events like </w:t>
      </w:r>
      <w:r>
        <w:rPr>
          <w:rFonts w:ascii="Times New Roman" w:eastAsia="Times New Roman" w:hAnsi="Times New Roman" w:cs="Times New Roman"/>
          <w:b/>
        </w:rPr>
        <w:t>“Rwanda Coffee Days”</w:t>
      </w:r>
      <w:r>
        <w:rPr>
          <w:rFonts w:ascii="Times New Roman" w:eastAsia="Times New Roman" w:hAnsi="Times New Roman" w:cs="Times New Roman"/>
        </w:rPr>
        <w:t xml:space="preserve"> in key cities or virtual promotions can raise the profile. </w:t>
      </w:r>
      <w:r>
        <w:rPr>
          <w:rFonts w:ascii="Times New Roman" w:eastAsia="Times New Roman" w:hAnsi="Times New Roman" w:cs="Times New Roman"/>
          <w:b/>
        </w:rPr>
        <w:t>Responsibility:</w:t>
      </w:r>
      <w:r>
        <w:rPr>
          <w:rFonts w:ascii="Times New Roman" w:eastAsia="Times New Roman" w:hAnsi="Times New Roman" w:cs="Times New Roman"/>
        </w:rPr>
        <w:t xml:space="preserve"> NAEB marketing &amp; export promotion, Ministry of Trade, Rwandan embassies, and coffee sector associations.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Each of these recommendations addresses a different link in the chain – from farm to port – and is grounded in our study’s findings. Together, they form a holistic strategy to boost Rwanda’s coffee export competitiveness in a sustainable and inclusive manner.</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5.3. Concluding thoughts.</w:t>
      </w:r>
      <w:r>
        <w:rPr>
          <w:rFonts w:ascii="Times New Roman" w:eastAsia="Times New Roman" w:hAnsi="Times New Roman" w:cs="Times New Roman"/>
        </w:rPr>
        <w:t xml:space="preserve"> Rwanda’s coffee sector has come a long way from the turmoil of the 1990s to the specialty coffee success of recent years. Our analysis reaffirms that the fundamentals are strong: Rwanda possesses the comparative advantage and has made smart investments to capitalize on it. The challenges that remain are surmountable with targeted actions. In particular, focusing on </w:t>
      </w:r>
      <w:r>
        <w:rPr>
          <w:rFonts w:ascii="Times New Roman" w:eastAsia="Times New Roman" w:hAnsi="Times New Roman" w:cs="Times New Roman"/>
          <w:b/>
        </w:rPr>
        <w:t>people (farmers)</w:t>
      </w:r>
      <w:r>
        <w:rPr>
          <w:rFonts w:ascii="Times New Roman" w:eastAsia="Times New Roman" w:hAnsi="Times New Roman" w:cs="Times New Roman"/>
        </w:rPr>
        <w:t xml:space="preserve"> and </w:t>
      </w:r>
      <w:r>
        <w:rPr>
          <w:rFonts w:ascii="Times New Roman" w:eastAsia="Times New Roman" w:hAnsi="Times New Roman" w:cs="Times New Roman"/>
          <w:b/>
        </w:rPr>
        <w:t>plants (coffee trees)</w:t>
      </w:r>
      <w:r>
        <w:rPr>
          <w:rFonts w:ascii="Times New Roman" w:eastAsia="Times New Roman" w:hAnsi="Times New Roman" w:cs="Times New Roman"/>
        </w:rPr>
        <w:t xml:space="preserve"> – the two literal roots of the industry – will yield dividends. If farmers are motivated and trees are productive, Rwanda can confidently aim to double its coffee exports in the coming decade, even amid global uncertainties.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From an academic perspective, this study underscores the importance of interdisciplinary analysis for trade competitiveness: economic models must incorporate agronomic, social, and policy dimensions to fully explain outcomes. As we have shown, numbers alone tell an incomplete story without understanding the context, and vice versa. The hope is that this work not only guides Rwandan policy but also enriches the literature on how small developing countries can navigate global markets by blending comparative advantage with ingenuity and resilience.</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5.4. </w:t>
      </w:r>
      <w:r>
        <w:rPr>
          <w:rFonts w:ascii="Times New Roman" w:eastAsia="Times New Roman" w:hAnsi="Times New Roman" w:cs="Times New Roman"/>
          <w:b/>
        </w:rPr>
        <w:t>Future research and ten-year foresight.</w:t>
      </w:r>
      <w:r>
        <w:rPr>
          <w:rFonts w:ascii="Times New Roman" w:eastAsia="Times New Roman" w:hAnsi="Times New Roman" w:cs="Times New Roman"/>
        </w:rPr>
        <w:t xml:space="preserve">  Building on this study, we identify several avenues for further investigation to support Rwanda’s coffee sector and similar contexts: (1) climate impact modeling that links crop simulations to economic losses and evaluates the cost-effectiveness of irrigation, shade, and resilient varieties, with comparative work against Ethiopia and Kenya; (2) digital traceability and payments, testing blockchain, QR codes, mobile money, and parametric insurance, and measuring effects on prices, farmer income, and cooperative power; (3) AI-driven forecasting that fuses weather, satellite, and market data to predict yields and disease, paired with adoption studies in Rwanda’s extension system; (4) value-chain governance and equity audits that map margins across actors, including gendered roles, and benchmark against Uganda and Colombia; and (5) rigorous policy impact evaluations, using quasi-experimental designs, of tree rejuvenation, pricing rules, and market access reforms.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5.5. </w:t>
      </w:r>
      <w:r>
        <w:rPr>
          <w:rFonts w:ascii="Times New Roman" w:eastAsia="Times New Roman" w:hAnsi="Times New Roman" w:cs="Times New Roman"/>
          <w:b/>
        </w:rPr>
        <w:t>Ten-year foresight (2025–2035)</w:t>
      </w:r>
      <w:r>
        <w:rPr>
          <w:rFonts w:ascii="Times New Roman" w:eastAsia="Times New Roman" w:hAnsi="Times New Roman" w:cs="Times New Roman"/>
        </w:rPr>
        <w:t xml:space="preserve"> </w:t>
      </w:r>
      <w:r>
        <w:rPr>
          <w:rFonts w:ascii="Times New Roman" w:eastAsia="Times New Roman" w:hAnsi="Times New Roman" w:cs="Times New Roman"/>
          <w:b/>
        </w:rPr>
        <w:t xml:space="preserve">[1] </w:t>
      </w:r>
      <w:r>
        <w:rPr>
          <w:rFonts w:ascii="Times New Roman" w:eastAsia="Times New Roman" w:hAnsi="Times New Roman" w:cs="Times New Roman"/>
          <w:b/>
          <w:i/>
        </w:rPr>
        <w:t>Optimistic</w:t>
      </w:r>
      <w:r>
        <w:rPr>
          <w:rFonts w:ascii="Times New Roman" w:eastAsia="Times New Roman" w:hAnsi="Times New Roman" w:cs="Times New Roman"/>
          <w:i/>
        </w:rPr>
        <w:t>:</w:t>
      </w:r>
      <w:r>
        <w:rPr>
          <w:rFonts w:ascii="Times New Roman" w:eastAsia="Times New Roman" w:hAnsi="Times New Roman" w:cs="Times New Roman"/>
        </w:rPr>
        <w:t xml:space="preserve"> Rwanda scales rejuvenation, improves incentives, and deploys tech and climate adaptation; yields per tree double, exports reach roughly 30–40 thousand tons, revenues could top 300 million dollars, and the country becomes a regional knowledge hub. </w:t>
      </w:r>
      <w:r>
        <w:rPr>
          <w:rFonts w:ascii="Times New Roman" w:eastAsia="Times New Roman" w:hAnsi="Times New Roman" w:cs="Times New Roman"/>
          <w:b/>
        </w:rPr>
        <w:t xml:space="preserve">[2] </w:t>
      </w:r>
      <w:r>
        <w:rPr>
          <w:rFonts w:ascii="Times New Roman" w:eastAsia="Times New Roman" w:hAnsi="Times New Roman" w:cs="Times New Roman"/>
          <w:b/>
          <w:i/>
        </w:rPr>
        <w:t>Status quo</w:t>
      </w:r>
      <w:r>
        <w:rPr>
          <w:rFonts w:ascii="Times New Roman" w:eastAsia="Times New Roman" w:hAnsi="Times New Roman" w:cs="Times New Roman"/>
          <w:i/>
        </w:rPr>
        <w:t>:</w:t>
      </w:r>
      <w:r>
        <w:rPr>
          <w:rFonts w:ascii="Times New Roman" w:eastAsia="Times New Roman" w:hAnsi="Times New Roman" w:cs="Times New Roman"/>
        </w:rPr>
        <w:t xml:space="preserve"> Partial reforms lift output to about 25 thousand tons, values rise to 150–200 million dollars, quality holds but vulnerability to shocks persists.</w:t>
      </w:r>
      <w:r>
        <w:rPr>
          <w:rFonts w:ascii="Times New Roman" w:eastAsia="Times New Roman" w:hAnsi="Times New Roman" w:cs="Times New Roman"/>
          <w:b/>
        </w:rPr>
        <w:t xml:space="preserve"> [3] </w:t>
      </w:r>
      <w:r>
        <w:rPr>
          <w:rFonts w:ascii="Times New Roman" w:eastAsia="Times New Roman" w:hAnsi="Times New Roman" w:cs="Times New Roman"/>
          <w:b/>
          <w:i/>
        </w:rPr>
        <w:t>Pessimistic:</w:t>
      </w:r>
      <w:r>
        <w:rPr>
          <w:rFonts w:ascii="Times New Roman" w:eastAsia="Times New Roman" w:hAnsi="Times New Roman" w:cs="Times New Roman"/>
        </w:rPr>
        <w:t xml:space="preserve"> Climate stress, old trees, or global oversupply cut volumes and prices, export earnings stagnate or fall, and farmers exit coffee. </w:t>
      </w:r>
      <w:r>
        <w:rPr>
          <w:rFonts w:ascii="Times New Roman" w:eastAsia="Times New Roman" w:hAnsi="Times New Roman" w:cs="Times New Roman"/>
          <w:i/>
        </w:rPr>
        <w:t xml:space="preserve">Disruptive </w:t>
      </w:r>
      <w:r>
        <w:rPr>
          <w:rFonts w:ascii="Times New Roman" w:eastAsia="Times New Roman" w:hAnsi="Times New Roman" w:cs="Times New Roman"/>
          <w:i/>
        </w:rPr>
        <w:lastRenderedPageBreak/>
        <w:t>innovation:</w:t>
      </w:r>
      <w:r>
        <w:rPr>
          <w:rFonts w:ascii="Times New Roman" w:eastAsia="Times New Roman" w:hAnsi="Times New Roman" w:cs="Times New Roman"/>
        </w:rPr>
        <w:t xml:space="preserve"> Breakthrough varieties or synthetic coffee reshape markets; Rwanda either fast-tracks resilient cultivars and systems or pivots further into ultra-specialty niches.</w:t>
      </w:r>
    </w:p>
    <w:p w:rsidR="0045078D" w:rsidRDefault="00551C1A">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In crafting these foresight scenarios, one underlying message emerges: </w:t>
      </w:r>
      <w:r>
        <w:rPr>
          <w:rFonts w:ascii="Times New Roman" w:eastAsia="Times New Roman" w:hAnsi="Times New Roman" w:cs="Times New Roman"/>
          <w:b/>
        </w:rPr>
        <w:t>resilience through adaptability</w:t>
      </w:r>
      <w:r>
        <w:rPr>
          <w:rFonts w:ascii="Times New Roman" w:eastAsia="Times New Roman" w:hAnsi="Times New Roman" w:cs="Times New Roman"/>
        </w:rPr>
        <w:t>. The next decade will bring surprises – whether environmental, economic, or technological. Rwanda’s coffee sector will need to be flexible and responsive. The best preparation is to build a strong foundation now (healthy productive trees, skilled and fairly rewarded farmers, diversified markets, and knowledge-driven management). That way, whatever the future holds, Rwanda can adjust course and continue leveraging its coffee as a driver of sustainable development.</w:t>
      </w:r>
    </w:p>
    <w:p w:rsidR="00551C1A" w:rsidRDefault="00551C1A">
      <w:pPr>
        <w:spacing w:before="240" w:after="240"/>
        <w:ind w:firstLine="720"/>
        <w:jc w:val="both"/>
        <w:rPr>
          <w:rFonts w:ascii="Times New Roman" w:eastAsia="Times New Roman" w:hAnsi="Times New Roman" w:cs="Times New Roman"/>
        </w:rPr>
      </w:pPr>
    </w:p>
    <w:p w:rsidR="00551C1A" w:rsidRDefault="00551C1A" w:rsidP="00551C1A">
      <w:pPr>
        <w:spacing w:before="240" w:after="240"/>
        <w:ind w:firstLine="720"/>
        <w:jc w:val="both"/>
        <w:rPr>
          <w:rFonts w:ascii="Times New Roman" w:eastAsia="Times New Roman" w:hAnsi="Times New Roman" w:cs="Times New Roman"/>
        </w:rPr>
      </w:pPr>
      <w:r w:rsidRPr="00247074">
        <w:rPr>
          <w:rFonts w:ascii="Times New Roman" w:eastAsia="Times New Roman" w:hAnsi="Times New Roman"/>
          <w:b/>
          <w:bCs/>
        </w:rPr>
        <w:t>5.</w:t>
      </w:r>
      <w:r w:rsidRPr="00247074">
        <w:rPr>
          <w:rFonts w:ascii="Times New Roman" w:eastAsia="Times New Roman" w:hAnsi="Times New Roman"/>
          <w:b/>
          <w:bCs/>
          <w:lang w:val="en-US"/>
        </w:rPr>
        <w:t>6</w:t>
      </w:r>
      <w:r w:rsidRPr="00247074">
        <w:rPr>
          <w:rFonts w:ascii="Times New Roman" w:eastAsia="Times New Roman" w:hAnsi="Times New Roman"/>
          <w:b/>
          <w:bCs/>
        </w:rPr>
        <w:t>. Limitations of the study</w:t>
      </w:r>
      <w:r w:rsidRPr="00247074">
        <w:rPr>
          <w:rFonts w:ascii="Times New Roman" w:eastAsia="Times New Roman" w:hAnsi="Times New Roman"/>
          <w:b/>
          <w:bCs/>
          <w:lang w:val="en-US"/>
        </w:rPr>
        <w:t>:</w:t>
      </w:r>
      <w:r w:rsidRPr="00247074">
        <w:rPr>
          <w:rFonts w:ascii="Times New Roman" w:eastAsia="Times New Roman" w:hAnsi="Times New Roman"/>
          <w:b/>
          <w:bCs/>
        </w:rPr>
        <w:t xml:space="preserve"> </w:t>
      </w:r>
      <w:r w:rsidRPr="00247074">
        <w:rPr>
          <w:rFonts w:ascii="Times New Roman" w:eastAsia="Times New Roman" w:hAnsi="Times New Roman"/>
        </w:rPr>
        <w:t>This study relies on secondary, largely annual macro-sector data from 1990–2024. Such aggregation can mask short-run heterogeneity in weather, pest pressure, and farm-gate contracting, and it may transmit measurement error in production and export receipts. Although the Johansen VECM is appropriate for identifying long-run equilibria among non-stationary series, the cointegrating vector can be sensitive to deterministic specifications and structural breaks. Our policy and crisis episodes are represented by time-stamped dummies, which approximate average effects but cannot capture within-episode heterogeneity across districts, cooperatives, or buyer contracts. Quality-related variables and microclimate indicators are proxied imperfectly because consistent high-frequency data are scarce for the full period. Finally, while Rwanda is a predominantly Arabica origin, generalization to Robusta-heavy systems or to countries with markedly different market structures should be made with caution. These limitations motivate future work that fuses plot- or cooperative-level panels, high-frequency meteorology, and transaction-level pricing with the time-series framework used here.</w:t>
      </w:r>
    </w:p>
    <w:p w:rsidR="00551C1A" w:rsidRDefault="00551C1A">
      <w:pPr>
        <w:spacing w:before="240" w:after="240"/>
        <w:ind w:firstLine="720"/>
        <w:jc w:val="both"/>
        <w:rPr>
          <w:rFonts w:ascii="Times New Roman" w:eastAsia="Times New Roman" w:hAnsi="Times New Roman" w:cs="Times New Roman"/>
        </w:rPr>
      </w:pPr>
    </w:p>
    <w:p w:rsidR="0045078D" w:rsidRDefault="0045078D">
      <w:pPr>
        <w:spacing w:before="240" w:after="240"/>
        <w:ind w:firstLine="720"/>
        <w:jc w:val="both"/>
        <w:rPr>
          <w:rFonts w:ascii="Times New Roman" w:eastAsia="Times New Roman" w:hAnsi="Times New Roman" w:cs="Times New Roman"/>
        </w:rPr>
      </w:pPr>
    </w:p>
    <w:p w:rsidR="0045078D" w:rsidRDefault="0045078D">
      <w:pPr>
        <w:spacing w:before="240" w:after="240"/>
        <w:ind w:firstLine="720"/>
        <w:jc w:val="both"/>
        <w:rPr>
          <w:rFonts w:ascii="Times New Roman" w:eastAsia="Times New Roman" w:hAnsi="Times New Roman" w:cs="Times New Roman"/>
        </w:rPr>
      </w:pPr>
    </w:p>
    <w:p w:rsidR="0045078D" w:rsidRDefault="00551C1A">
      <w:pPr>
        <w:rPr>
          <w:highlight w:val="yellow"/>
        </w:rPr>
      </w:pPr>
      <w:r>
        <w:rPr>
          <w:highlight w:val="yellow"/>
        </w:rPr>
        <w:t>Disclaimer (Artificial intelligence)</w:t>
      </w:r>
    </w:p>
    <w:p w:rsidR="0045078D" w:rsidRDefault="0045078D">
      <w:pPr>
        <w:rPr>
          <w:highlight w:val="yellow"/>
        </w:rPr>
      </w:pPr>
    </w:p>
    <w:p w:rsidR="0045078D" w:rsidRDefault="00551C1A">
      <w:pPr>
        <w:rPr>
          <w:highlight w:val="yellow"/>
        </w:rPr>
      </w:pPr>
      <w:r>
        <w:rPr>
          <w:highlight w:val="yellow"/>
        </w:rPr>
        <w:t xml:space="preserve">Option 1: </w:t>
      </w:r>
    </w:p>
    <w:p w:rsidR="0045078D" w:rsidRDefault="0045078D">
      <w:pPr>
        <w:rPr>
          <w:highlight w:val="yellow"/>
        </w:rPr>
      </w:pPr>
    </w:p>
    <w:p w:rsidR="0045078D" w:rsidRDefault="00551C1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45078D" w:rsidRDefault="0045078D">
      <w:pPr>
        <w:rPr>
          <w:highlight w:val="yellow"/>
        </w:rPr>
      </w:pPr>
    </w:p>
    <w:p w:rsidR="0045078D" w:rsidRDefault="00551C1A">
      <w:pPr>
        <w:rPr>
          <w:highlight w:val="yellow"/>
        </w:rPr>
      </w:pPr>
      <w:r>
        <w:rPr>
          <w:highlight w:val="yellow"/>
        </w:rPr>
        <w:t xml:space="preserve">Option 2: </w:t>
      </w:r>
    </w:p>
    <w:p w:rsidR="0045078D" w:rsidRDefault="0045078D">
      <w:pPr>
        <w:rPr>
          <w:highlight w:val="yellow"/>
        </w:rPr>
      </w:pPr>
    </w:p>
    <w:p w:rsidR="0045078D" w:rsidRDefault="00551C1A">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5078D" w:rsidRDefault="0045078D">
      <w:pPr>
        <w:rPr>
          <w:highlight w:val="yellow"/>
        </w:rPr>
      </w:pPr>
    </w:p>
    <w:p w:rsidR="0045078D" w:rsidRDefault="00551C1A">
      <w:pPr>
        <w:rPr>
          <w:highlight w:val="yellow"/>
        </w:rPr>
      </w:pPr>
      <w:r>
        <w:rPr>
          <w:highlight w:val="yellow"/>
        </w:rPr>
        <w:t>Details of the AI usage are given below:</w:t>
      </w:r>
    </w:p>
    <w:p w:rsidR="0045078D" w:rsidRDefault="00551C1A">
      <w:pPr>
        <w:rPr>
          <w:highlight w:val="yellow"/>
        </w:rPr>
      </w:pPr>
      <w:r>
        <w:rPr>
          <w:highlight w:val="yellow"/>
        </w:rPr>
        <w:t>1.</w:t>
      </w:r>
    </w:p>
    <w:p w:rsidR="0045078D" w:rsidRDefault="00551C1A">
      <w:pPr>
        <w:rPr>
          <w:highlight w:val="yellow"/>
        </w:rPr>
      </w:pPr>
      <w:r>
        <w:rPr>
          <w:highlight w:val="yellow"/>
        </w:rPr>
        <w:t>2.</w:t>
      </w:r>
    </w:p>
    <w:p w:rsidR="0045078D" w:rsidRDefault="00551C1A">
      <w:r>
        <w:rPr>
          <w:highlight w:val="yellow"/>
        </w:rPr>
        <w:t>3.</w:t>
      </w:r>
    </w:p>
    <w:p w:rsidR="0045078D" w:rsidRDefault="0045078D">
      <w:pPr>
        <w:spacing w:before="240" w:after="240"/>
        <w:ind w:firstLine="720"/>
        <w:jc w:val="both"/>
        <w:rPr>
          <w:rFonts w:ascii="Times New Roman" w:eastAsia="Times New Roman" w:hAnsi="Times New Roman" w:cs="Times New Roman"/>
        </w:rPr>
      </w:pPr>
    </w:p>
    <w:p w:rsidR="0045078D" w:rsidRDefault="0045078D">
      <w:pPr>
        <w:pStyle w:val="Heading2"/>
        <w:keepNext w:val="0"/>
        <w:keepLines w:val="0"/>
        <w:spacing w:after="80"/>
        <w:rPr>
          <w:rFonts w:ascii="Times New Roman" w:eastAsia="Times New Roman" w:hAnsi="Times New Roman" w:cs="Times New Roman"/>
          <w:b/>
          <w:sz w:val="26"/>
          <w:szCs w:val="26"/>
        </w:rPr>
      </w:pPr>
      <w:bookmarkStart w:id="10" w:name="_x97bip17m2nl" w:colFirst="0" w:colLast="0"/>
      <w:bookmarkEnd w:id="10"/>
    </w:p>
    <w:p w:rsidR="0045078D" w:rsidRDefault="00551C1A">
      <w:pPr>
        <w:pStyle w:val="Heading2"/>
        <w:keepNext w:val="0"/>
        <w:keepLines w:val="0"/>
        <w:spacing w:after="80"/>
        <w:rPr>
          <w:rFonts w:ascii="Times New Roman" w:eastAsia="Times New Roman" w:hAnsi="Times New Roman" w:cs="Times New Roman"/>
          <w:b/>
          <w:sz w:val="26"/>
          <w:szCs w:val="26"/>
        </w:rPr>
      </w:pPr>
      <w:bookmarkStart w:id="11" w:name="_71wgiynfmk85" w:colFirst="0" w:colLast="0"/>
      <w:bookmarkEnd w:id="11"/>
      <w:r>
        <w:rPr>
          <w:rFonts w:ascii="Times New Roman" w:eastAsia="Times New Roman" w:hAnsi="Times New Roman" w:cs="Times New Roman"/>
          <w:b/>
          <w:sz w:val="26"/>
          <w:szCs w:val="26"/>
        </w:rPr>
        <w:t>References</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African Union. (2018). Agreement establishing the African Continental Free Trade Area. </w:t>
      </w:r>
      <w:hyperlink r:id="rId13">
        <w:r>
          <w:rPr>
            <w:rFonts w:ascii="Times New Roman" w:eastAsia="Times New Roman" w:hAnsi="Times New Roman" w:cs="Times New Roman"/>
            <w:color w:val="1155CC"/>
            <w:u w:val="single"/>
          </w:rPr>
          <w:t>https://au.int/en/treaties/afcfta</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Avelino, J., </w:t>
      </w:r>
      <w:proofErr w:type="spellStart"/>
      <w:r>
        <w:rPr>
          <w:rFonts w:ascii="Times New Roman" w:eastAsia="Times New Roman" w:hAnsi="Times New Roman" w:cs="Times New Roman"/>
        </w:rPr>
        <w:t>Cristancho</w:t>
      </w:r>
      <w:proofErr w:type="spellEnd"/>
      <w:r>
        <w:rPr>
          <w:rFonts w:ascii="Times New Roman" w:eastAsia="Times New Roman" w:hAnsi="Times New Roman" w:cs="Times New Roman"/>
        </w:rPr>
        <w:t xml:space="preserve">, M., Georgiou, S., </w:t>
      </w:r>
      <w:proofErr w:type="spellStart"/>
      <w:r>
        <w:rPr>
          <w:rFonts w:ascii="Times New Roman" w:eastAsia="Times New Roman" w:hAnsi="Times New Roman" w:cs="Times New Roman"/>
        </w:rPr>
        <w:t>Imbach</w:t>
      </w:r>
      <w:proofErr w:type="spellEnd"/>
      <w:r>
        <w:rPr>
          <w:rFonts w:ascii="Times New Roman" w:eastAsia="Times New Roman" w:hAnsi="Times New Roman" w:cs="Times New Roman"/>
        </w:rPr>
        <w:t xml:space="preserve">, P., Aguilar, L., </w:t>
      </w:r>
      <w:proofErr w:type="spellStart"/>
      <w:r>
        <w:rPr>
          <w:rFonts w:ascii="Times New Roman" w:eastAsia="Times New Roman" w:hAnsi="Times New Roman" w:cs="Times New Roman"/>
        </w:rPr>
        <w:t>Bornemann</w:t>
      </w:r>
      <w:proofErr w:type="spellEnd"/>
      <w:r>
        <w:rPr>
          <w:rFonts w:ascii="Times New Roman" w:eastAsia="Times New Roman" w:hAnsi="Times New Roman" w:cs="Times New Roman"/>
        </w:rPr>
        <w:t xml:space="preserve">, G., … &amp; Morales, C. (2015). The coffee rust crises in Colombia and Central America (2008–2013): Impacts, plausible causes and proposed solutions. </w:t>
      </w:r>
      <w:r>
        <w:rPr>
          <w:rFonts w:ascii="Times New Roman" w:eastAsia="Times New Roman" w:hAnsi="Times New Roman" w:cs="Times New Roman"/>
          <w:i/>
        </w:rPr>
        <w:t>Food Security</w:t>
      </w:r>
      <w:r>
        <w:rPr>
          <w:rFonts w:ascii="Times New Roman" w:eastAsia="Times New Roman" w:hAnsi="Times New Roman" w:cs="Times New Roman"/>
        </w:rPr>
        <w:t xml:space="preserve">, 7(2), 303–321. </w:t>
      </w:r>
      <w:hyperlink r:id="rId14">
        <w:r>
          <w:rPr>
            <w:rFonts w:ascii="Times New Roman" w:eastAsia="Times New Roman" w:hAnsi="Times New Roman" w:cs="Times New Roman"/>
            <w:color w:val="1155CC"/>
            <w:u w:val="single"/>
          </w:rPr>
          <w:t>https://doi.org/10.1007/s12571-015-0446-9</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Berlage</w:t>
      </w:r>
      <w:proofErr w:type="spellEnd"/>
      <w:r>
        <w:rPr>
          <w:rFonts w:ascii="Times New Roman" w:eastAsia="Times New Roman" w:hAnsi="Times New Roman" w:cs="Times New Roman"/>
        </w:rPr>
        <w:t xml:space="preserve">, L., </w:t>
      </w:r>
      <w:proofErr w:type="spellStart"/>
      <w:r>
        <w:rPr>
          <w:rFonts w:ascii="Times New Roman" w:eastAsia="Times New Roman" w:hAnsi="Times New Roman" w:cs="Times New Roman"/>
        </w:rPr>
        <w:t>Capeau</w:t>
      </w:r>
      <w:proofErr w:type="spellEnd"/>
      <w:r>
        <w:rPr>
          <w:rFonts w:ascii="Times New Roman" w:eastAsia="Times New Roman" w:hAnsi="Times New Roman" w:cs="Times New Roman"/>
        </w:rPr>
        <w:t xml:space="preserve">, B., &amp; </w:t>
      </w:r>
      <w:proofErr w:type="spellStart"/>
      <w:r>
        <w:rPr>
          <w:rFonts w:ascii="Times New Roman" w:eastAsia="Times New Roman" w:hAnsi="Times New Roman" w:cs="Times New Roman"/>
        </w:rPr>
        <w:t>Verwimp</w:t>
      </w:r>
      <w:proofErr w:type="spellEnd"/>
      <w:r>
        <w:rPr>
          <w:rFonts w:ascii="Times New Roman" w:eastAsia="Times New Roman" w:hAnsi="Times New Roman" w:cs="Times New Roman"/>
        </w:rPr>
        <w:t xml:space="preserve">, P. (2003). Dictatorship in a single export crop economy. Discussion Paper Series (DPS) 03.11. Center for Economic Studies, KU Leuven. Retrieved from </w:t>
      </w:r>
      <w:hyperlink r:id="rId15">
        <w:r>
          <w:rPr>
            <w:rFonts w:ascii="Times New Roman" w:eastAsia="Times New Roman" w:hAnsi="Times New Roman" w:cs="Times New Roman"/>
            <w:color w:val="1155CC"/>
            <w:u w:val="single"/>
          </w:rPr>
          <w:t>https://feb.kuleuven.be/drc/Economics/research/old-dps-papers/Dps03/DPS0311.pdf</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Breusch, T. S., &amp; Godfrey, L. G. (1978). Testing for autocorrelation in dynamic linear models. </w:t>
      </w:r>
      <w:proofErr w:type="spellStart"/>
      <w:r>
        <w:rPr>
          <w:rFonts w:ascii="Times New Roman" w:eastAsia="Times New Roman" w:hAnsi="Times New Roman" w:cs="Times New Roman"/>
          <w:i/>
        </w:rPr>
        <w:t>Biometrika</w:t>
      </w:r>
      <w:proofErr w:type="spellEnd"/>
      <w:r>
        <w:rPr>
          <w:rFonts w:ascii="Times New Roman" w:eastAsia="Times New Roman" w:hAnsi="Times New Roman" w:cs="Times New Roman"/>
        </w:rPr>
        <w:t xml:space="preserve">, 65(2), 297–308. </w:t>
      </w:r>
      <w:hyperlink r:id="rId16">
        <w:r>
          <w:rPr>
            <w:rFonts w:ascii="Times New Roman" w:eastAsia="Times New Roman" w:hAnsi="Times New Roman" w:cs="Times New Roman"/>
            <w:color w:val="1155CC"/>
            <w:u w:val="single"/>
          </w:rPr>
          <w:t>https://doi.org/10.1093/biomet/65.2.297</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bookmarkStart w:id="12" w:name="_GoBack"/>
      <w:bookmarkEnd w:id="12"/>
      <w:r>
        <w:rPr>
          <w:rFonts w:ascii="Times New Roman" w:eastAsia="Times New Roman" w:hAnsi="Times New Roman" w:cs="Times New Roman"/>
        </w:rPr>
        <w:t xml:space="preserve">Clay, D. C., &amp; </w:t>
      </w:r>
      <w:proofErr w:type="spellStart"/>
      <w:r>
        <w:rPr>
          <w:rFonts w:ascii="Times New Roman" w:eastAsia="Times New Roman" w:hAnsi="Times New Roman" w:cs="Times New Roman"/>
        </w:rPr>
        <w:t>Bizoza</w:t>
      </w:r>
      <w:proofErr w:type="spellEnd"/>
      <w:r>
        <w:rPr>
          <w:rFonts w:ascii="Times New Roman" w:eastAsia="Times New Roman" w:hAnsi="Times New Roman" w:cs="Times New Roman"/>
        </w:rPr>
        <w:t xml:space="preserve">, A. (2018). </w:t>
      </w:r>
      <w:r>
        <w:rPr>
          <w:rFonts w:ascii="Times New Roman" w:eastAsia="Times New Roman" w:hAnsi="Times New Roman" w:cs="Times New Roman"/>
          <w:i/>
        </w:rPr>
        <w:t>The challenge to sustainable growth in Rwanda’s coffee sector</w:t>
      </w:r>
      <w:r>
        <w:rPr>
          <w:rFonts w:ascii="Times New Roman" w:eastAsia="Times New Roman" w:hAnsi="Times New Roman" w:cs="Times New Roman"/>
        </w:rPr>
        <w:t xml:space="preserve"> (Research Paper No. 100). Feed the Future Innovation Lab for Food Security Policy. Michigan State University. </w:t>
      </w:r>
      <w:hyperlink r:id="rId17">
        <w:r>
          <w:rPr>
            <w:rFonts w:ascii="Times New Roman" w:eastAsia="Times New Roman" w:hAnsi="Times New Roman" w:cs="Times New Roman"/>
            <w:color w:val="1155CC"/>
            <w:u w:val="single"/>
          </w:rPr>
          <w:t>https://www.canr.msu.edu/resources/the-challenge-to-sustainable-growth-in-rwanda-s-coffee-sector</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Daily Monitor. (2025). </w:t>
      </w:r>
      <w:r>
        <w:rPr>
          <w:rFonts w:ascii="Times New Roman" w:eastAsia="Times New Roman" w:hAnsi="Times New Roman" w:cs="Times New Roman"/>
          <w:i/>
        </w:rPr>
        <w:t>How global market dynamics shape Uganda’s coffee prices.</w:t>
      </w:r>
      <w:r>
        <w:rPr>
          <w:rFonts w:ascii="Times New Roman" w:eastAsia="Times New Roman" w:hAnsi="Times New Roman" w:cs="Times New Roman"/>
        </w:rPr>
        <w:t xml:space="preserve"> </w:t>
      </w:r>
      <w:hyperlink r:id="rId18">
        <w:r>
          <w:rPr>
            <w:rFonts w:ascii="Times New Roman" w:eastAsia="Times New Roman" w:hAnsi="Times New Roman" w:cs="Times New Roman"/>
            <w:color w:val="1155CC"/>
            <w:u w:val="single"/>
          </w:rPr>
          <w:t>https://www.monitor.co.ug/uganda/news/national/how-global-market-dynamics-shape-uganda-s-coffee-prices-5096946</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sz w:val="23"/>
          <w:szCs w:val="23"/>
          <w:highlight w:val="white"/>
        </w:rPr>
      </w:pPr>
      <w:proofErr w:type="spellStart"/>
      <w:r>
        <w:rPr>
          <w:rFonts w:ascii="Times New Roman" w:eastAsia="Times New Roman" w:hAnsi="Times New Roman" w:cs="Times New Roman"/>
          <w:sz w:val="23"/>
          <w:szCs w:val="23"/>
          <w:highlight w:val="white"/>
        </w:rPr>
        <w:t>Daviron</w:t>
      </w:r>
      <w:proofErr w:type="spellEnd"/>
      <w:r>
        <w:rPr>
          <w:rFonts w:ascii="Times New Roman" w:eastAsia="Times New Roman" w:hAnsi="Times New Roman" w:cs="Times New Roman"/>
          <w:sz w:val="23"/>
          <w:szCs w:val="23"/>
          <w:highlight w:val="white"/>
        </w:rPr>
        <w:t xml:space="preserve">, </w:t>
      </w:r>
      <w:proofErr w:type="gramStart"/>
      <w:r>
        <w:rPr>
          <w:rFonts w:ascii="Times New Roman" w:eastAsia="Times New Roman" w:hAnsi="Times New Roman" w:cs="Times New Roman"/>
          <w:sz w:val="23"/>
          <w:szCs w:val="23"/>
          <w:highlight w:val="white"/>
        </w:rPr>
        <w:t>B. ,</w:t>
      </w:r>
      <w:proofErr w:type="gramEnd"/>
      <w:r>
        <w:rPr>
          <w:rFonts w:ascii="Times New Roman" w:eastAsia="Times New Roman" w:hAnsi="Times New Roman" w:cs="Times New Roman"/>
          <w:sz w:val="23"/>
          <w:szCs w:val="23"/>
          <w:highlight w:val="white"/>
        </w:rPr>
        <w:t xml:space="preserve"> &amp; Ponte, S. (2005). The Coffee Paradox: Global markets, commodity trade and the elusive promise of development. London: Zed Books Ltd. Retrieved August 6, 2025, from </w:t>
      </w:r>
      <w:hyperlink r:id="rId19">
        <w:r>
          <w:rPr>
            <w:rFonts w:ascii="Times New Roman" w:eastAsia="Times New Roman" w:hAnsi="Times New Roman" w:cs="Times New Roman"/>
            <w:color w:val="1155CC"/>
            <w:sz w:val="23"/>
            <w:szCs w:val="23"/>
            <w:highlight w:val="white"/>
            <w:u w:val="single"/>
          </w:rPr>
          <w:t>http://dx.doi.org/10.5040/9781350222984</w:t>
        </w:r>
      </w:hyperlink>
      <w:r>
        <w:rPr>
          <w:rFonts w:ascii="Times New Roman" w:eastAsia="Times New Roman" w:hAnsi="Times New Roman" w:cs="Times New Roman"/>
          <w:sz w:val="23"/>
          <w:szCs w:val="23"/>
          <w:highlight w:val="white"/>
        </w:rPr>
        <w:t xml:space="preserve"> </w:t>
      </w:r>
    </w:p>
    <w:p w:rsidR="0045078D" w:rsidRDefault="00551C1A">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Dickey, D. A., &amp; Fuller, W. A. (1979). Distribution of the estimators for autoregressive time series with a unit root. </w:t>
      </w:r>
      <w:r>
        <w:rPr>
          <w:rFonts w:ascii="Times New Roman" w:eastAsia="Times New Roman" w:hAnsi="Times New Roman" w:cs="Times New Roman"/>
          <w:i/>
          <w:sz w:val="23"/>
          <w:szCs w:val="23"/>
          <w:highlight w:val="white"/>
        </w:rPr>
        <w:t>Journal of the American Statistical Association</w:t>
      </w:r>
      <w:r>
        <w:rPr>
          <w:rFonts w:ascii="Times New Roman" w:eastAsia="Times New Roman" w:hAnsi="Times New Roman" w:cs="Times New Roman"/>
          <w:sz w:val="23"/>
          <w:szCs w:val="23"/>
          <w:highlight w:val="white"/>
        </w:rPr>
        <w:t xml:space="preserve">, 74(366), 427–431. </w:t>
      </w:r>
      <w:hyperlink r:id="rId20">
        <w:r>
          <w:rPr>
            <w:rFonts w:ascii="Times New Roman" w:eastAsia="Times New Roman" w:hAnsi="Times New Roman" w:cs="Times New Roman"/>
            <w:color w:val="1155CC"/>
            <w:sz w:val="23"/>
            <w:szCs w:val="23"/>
            <w:highlight w:val="white"/>
            <w:u w:val="single"/>
          </w:rPr>
          <w:t>https://doi.org/10.1080/01621459.1979.10482531</w:t>
        </w:r>
      </w:hyperlink>
      <w:r>
        <w:rPr>
          <w:rFonts w:ascii="Times New Roman" w:eastAsia="Times New Roman" w:hAnsi="Times New Roman" w:cs="Times New Roman"/>
          <w:sz w:val="23"/>
          <w:szCs w:val="23"/>
          <w:highlight w:val="white"/>
        </w:rPr>
        <w:t xml:space="preserve"> </w:t>
      </w:r>
    </w:p>
    <w:p w:rsidR="0045078D" w:rsidRDefault="00551C1A">
      <w:pPr>
        <w:spacing w:line="240" w:lineRule="auto"/>
        <w:ind w:left="720" w:hanging="720"/>
        <w:jc w:val="both"/>
        <w:rPr>
          <w:rFonts w:ascii="Times New Roman" w:eastAsia="Times New Roman" w:hAnsi="Times New Roman" w:cs="Times New Roman"/>
          <w:sz w:val="23"/>
          <w:szCs w:val="23"/>
          <w:highlight w:val="white"/>
        </w:rPr>
      </w:pPr>
      <w:proofErr w:type="spellStart"/>
      <w:r>
        <w:rPr>
          <w:rFonts w:ascii="Times New Roman" w:eastAsia="Times New Roman" w:hAnsi="Times New Roman" w:cs="Times New Roman"/>
          <w:sz w:val="23"/>
          <w:szCs w:val="23"/>
          <w:highlight w:val="white"/>
        </w:rPr>
        <w:t>Ecofin</w:t>
      </w:r>
      <w:proofErr w:type="spellEnd"/>
      <w:r>
        <w:rPr>
          <w:rFonts w:ascii="Times New Roman" w:eastAsia="Times New Roman" w:hAnsi="Times New Roman" w:cs="Times New Roman"/>
          <w:sz w:val="23"/>
          <w:szCs w:val="23"/>
          <w:highlight w:val="white"/>
        </w:rPr>
        <w:t xml:space="preserve"> Agency. (2025, May 15). Ethiopia hits record high in coffee exports and revenue. Retrieved August 7, 2025, from </w:t>
      </w:r>
      <w:hyperlink r:id="rId21">
        <w:r>
          <w:rPr>
            <w:rFonts w:ascii="Times New Roman" w:eastAsia="Times New Roman" w:hAnsi="Times New Roman" w:cs="Times New Roman"/>
            <w:color w:val="1155CC"/>
            <w:sz w:val="23"/>
            <w:szCs w:val="23"/>
            <w:highlight w:val="white"/>
            <w:u w:val="single"/>
          </w:rPr>
          <w:t>https://www.ecofinagency.com/news/1505-46830-ethiopia-hits-record-high-in-coffee-exports-and-revenue</w:t>
        </w:r>
      </w:hyperlink>
      <w:r>
        <w:rPr>
          <w:rFonts w:ascii="Times New Roman" w:eastAsia="Times New Roman" w:hAnsi="Times New Roman" w:cs="Times New Roman"/>
          <w:sz w:val="23"/>
          <w:szCs w:val="23"/>
          <w:highlight w:val="white"/>
        </w:rPr>
        <w:t xml:space="preserve"> </w:t>
      </w:r>
    </w:p>
    <w:p w:rsidR="0045078D" w:rsidRDefault="00551C1A">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EFICO. (2023). </w:t>
      </w:r>
      <w:r>
        <w:rPr>
          <w:rFonts w:ascii="Times New Roman" w:eastAsia="Times New Roman" w:hAnsi="Times New Roman" w:cs="Times New Roman"/>
          <w:i/>
          <w:sz w:val="23"/>
          <w:szCs w:val="23"/>
          <w:highlight w:val="white"/>
        </w:rPr>
        <w:t>Rwanda: What to expect from crop 2023/2024?</w:t>
      </w:r>
      <w:r>
        <w:rPr>
          <w:rFonts w:ascii="Times New Roman" w:eastAsia="Times New Roman" w:hAnsi="Times New Roman" w:cs="Times New Roman"/>
          <w:sz w:val="23"/>
          <w:szCs w:val="23"/>
          <w:highlight w:val="white"/>
        </w:rPr>
        <w:t xml:space="preserve"> Retrieved from </w:t>
      </w:r>
      <w:hyperlink r:id="rId22">
        <w:r>
          <w:rPr>
            <w:rFonts w:ascii="Times New Roman" w:eastAsia="Times New Roman" w:hAnsi="Times New Roman" w:cs="Times New Roman"/>
            <w:color w:val="1155CC"/>
            <w:sz w:val="23"/>
            <w:szCs w:val="23"/>
            <w:highlight w:val="white"/>
            <w:u w:val="single"/>
          </w:rPr>
          <w:t>https://efico.com/articles/rwanda-what-to-expect-from-crop-23-24/</w:t>
        </w:r>
      </w:hyperlink>
    </w:p>
    <w:p w:rsidR="0045078D" w:rsidRDefault="00551C1A">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Engle, R. F., &amp; Granger, C. W. J. (1987). Co-integration and error correction: Representation, estimation, and testing. </w:t>
      </w:r>
      <w:proofErr w:type="spellStart"/>
      <w:r>
        <w:rPr>
          <w:rFonts w:ascii="Times New Roman" w:eastAsia="Times New Roman" w:hAnsi="Times New Roman" w:cs="Times New Roman"/>
          <w:i/>
          <w:sz w:val="23"/>
          <w:szCs w:val="23"/>
          <w:highlight w:val="white"/>
        </w:rPr>
        <w:t>Econometrica</w:t>
      </w:r>
      <w:proofErr w:type="spellEnd"/>
      <w:r>
        <w:rPr>
          <w:rFonts w:ascii="Times New Roman" w:eastAsia="Times New Roman" w:hAnsi="Times New Roman" w:cs="Times New Roman"/>
          <w:sz w:val="23"/>
          <w:szCs w:val="23"/>
          <w:highlight w:val="white"/>
        </w:rPr>
        <w:t xml:space="preserve">, 55(2), 251–276. </w:t>
      </w:r>
      <w:hyperlink r:id="rId23">
        <w:r>
          <w:rPr>
            <w:rFonts w:ascii="Times New Roman" w:eastAsia="Times New Roman" w:hAnsi="Times New Roman" w:cs="Times New Roman"/>
            <w:color w:val="1155CC"/>
            <w:sz w:val="23"/>
            <w:szCs w:val="23"/>
            <w:highlight w:val="white"/>
            <w:u w:val="single"/>
          </w:rPr>
          <w:t>https://doi.org/10.2307/1913236</w:t>
        </w:r>
      </w:hyperlink>
      <w:r>
        <w:rPr>
          <w:rFonts w:ascii="Times New Roman" w:eastAsia="Times New Roman" w:hAnsi="Times New Roman" w:cs="Times New Roman"/>
          <w:sz w:val="23"/>
          <w:szCs w:val="23"/>
          <w:highlight w:val="white"/>
        </w:rPr>
        <w:t xml:space="preserve"> </w:t>
      </w:r>
    </w:p>
    <w:p w:rsidR="00AB45D8" w:rsidRDefault="00AB45D8" w:rsidP="00AB45D8">
      <w:pPr>
        <w:spacing w:line="240" w:lineRule="auto"/>
        <w:ind w:left="720" w:hanging="720"/>
        <w:jc w:val="both"/>
        <w:rPr>
          <w:rFonts w:ascii="Times New Roman" w:eastAsia="Times New Roman" w:hAnsi="Times New Roman" w:cs="Times New Roman"/>
          <w:sz w:val="23"/>
          <w:szCs w:val="23"/>
          <w:highlight w:val="white"/>
          <w:lang w:val="en-US"/>
        </w:rPr>
      </w:pPr>
      <w:r w:rsidRPr="00247074">
        <w:rPr>
          <w:rFonts w:ascii="Times New Roman" w:eastAsia="Times New Roman" w:hAnsi="Times New Roman"/>
          <w:sz w:val="23"/>
          <w:szCs w:val="23"/>
          <w:highlight w:val="white"/>
        </w:rPr>
        <w:t xml:space="preserve">European Commission. (2024). Regulation on deforestation-free products: Overview and implementation resources. https://environment.ec.europa.eu/topics/forests/deforestation/regulation-deforestation-free-products_en </w:t>
      </w:r>
      <w:r>
        <w:rPr>
          <w:rFonts w:ascii="Times New Roman" w:eastAsia="Times New Roman" w:hAnsi="Times New Roman"/>
          <w:sz w:val="23"/>
          <w:szCs w:val="23"/>
          <w:highlight w:val="white"/>
          <w:lang w:val="en-US"/>
        </w:rPr>
        <w:t xml:space="preserve"> </w:t>
      </w:r>
    </w:p>
    <w:p w:rsidR="00AB45D8" w:rsidRDefault="00AB45D8">
      <w:pPr>
        <w:spacing w:line="240" w:lineRule="auto"/>
        <w:ind w:left="720" w:hanging="720"/>
        <w:jc w:val="both"/>
        <w:rPr>
          <w:rFonts w:ascii="Times New Roman" w:eastAsia="Times New Roman" w:hAnsi="Times New Roman"/>
          <w:sz w:val="23"/>
          <w:szCs w:val="23"/>
          <w:highlight w:val="white"/>
          <w:lang w:val="en-US"/>
        </w:rPr>
      </w:pPr>
    </w:p>
    <w:p w:rsidR="00F21F4C" w:rsidRDefault="00F21F4C">
      <w:pPr>
        <w:spacing w:line="240" w:lineRule="auto"/>
        <w:ind w:left="720" w:hanging="720"/>
        <w:jc w:val="both"/>
        <w:rPr>
          <w:rFonts w:ascii="Times New Roman" w:eastAsia="Times New Roman" w:hAnsi="Times New Roman" w:cs="Times New Roman"/>
          <w:sz w:val="23"/>
          <w:szCs w:val="23"/>
          <w:highlight w:val="white"/>
          <w:lang w:val="en-US"/>
        </w:rPr>
      </w:pPr>
    </w:p>
    <w:p w:rsidR="0045078D" w:rsidRDefault="00551C1A">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lastRenderedPageBreak/>
        <w:t xml:space="preserve">European Union. (2023). Regulation (EU) 2023/1115 on deforestation-free products. </w:t>
      </w:r>
      <w:r>
        <w:rPr>
          <w:rFonts w:ascii="Times New Roman" w:eastAsia="Times New Roman" w:hAnsi="Times New Roman" w:cs="Times New Roman"/>
          <w:i/>
          <w:sz w:val="23"/>
          <w:szCs w:val="23"/>
          <w:highlight w:val="white"/>
        </w:rPr>
        <w:t>Official Journal of the European Union</w:t>
      </w:r>
      <w:r>
        <w:rPr>
          <w:rFonts w:ascii="Times New Roman" w:eastAsia="Times New Roman" w:hAnsi="Times New Roman" w:cs="Times New Roman"/>
          <w:sz w:val="23"/>
          <w:szCs w:val="23"/>
          <w:highlight w:val="white"/>
        </w:rPr>
        <w:t xml:space="preserve">, L 115, 1–25. </w:t>
      </w:r>
      <w:hyperlink r:id="rId24">
        <w:r>
          <w:rPr>
            <w:rFonts w:ascii="Times New Roman" w:eastAsia="Times New Roman" w:hAnsi="Times New Roman" w:cs="Times New Roman"/>
            <w:color w:val="1155CC"/>
            <w:sz w:val="23"/>
            <w:szCs w:val="23"/>
            <w:highlight w:val="white"/>
            <w:u w:val="single"/>
          </w:rPr>
          <w:t>https://eur-lex.europa.eu/eli/reg/2023/1115/oj</w:t>
        </w:r>
      </w:hyperlink>
      <w:r>
        <w:rPr>
          <w:rFonts w:ascii="Times New Roman" w:eastAsia="Times New Roman" w:hAnsi="Times New Roman" w:cs="Times New Roman"/>
          <w:sz w:val="23"/>
          <w:szCs w:val="23"/>
          <w:highlight w:val="white"/>
        </w:rPr>
        <w:t xml:space="preserve"> </w:t>
      </w:r>
    </w:p>
    <w:p w:rsidR="0045078D" w:rsidRDefault="00551C1A">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Food and Agriculture Organization. (2024). FAOSTAT: Commodity trade by country. Retrieved August 7, 2025, from</w:t>
      </w:r>
      <w:hyperlink r:id="rId25" w:anchor="data/TCL">
        <w:r>
          <w:rPr>
            <w:rFonts w:ascii="Times New Roman" w:eastAsia="Times New Roman" w:hAnsi="Times New Roman" w:cs="Times New Roman"/>
            <w:sz w:val="23"/>
            <w:szCs w:val="23"/>
            <w:highlight w:val="white"/>
          </w:rPr>
          <w:t xml:space="preserve"> </w:t>
        </w:r>
      </w:hyperlink>
      <w:hyperlink r:id="rId26" w:anchor="data/TCL">
        <w:r>
          <w:rPr>
            <w:rFonts w:ascii="Times New Roman" w:eastAsia="Times New Roman" w:hAnsi="Times New Roman" w:cs="Times New Roman"/>
            <w:color w:val="1155CC"/>
            <w:sz w:val="23"/>
            <w:szCs w:val="23"/>
            <w:highlight w:val="white"/>
            <w:u w:val="single"/>
          </w:rPr>
          <w:t>https://www.fao.org/faostat/en/#data/TCL</w:t>
        </w:r>
      </w:hyperlink>
    </w:p>
    <w:p w:rsidR="0045078D" w:rsidRDefault="00551C1A">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Food Business Africa. (2025, February 3). </w:t>
      </w:r>
      <w:r>
        <w:rPr>
          <w:rFonts w:ascii="Times New Roman" w:eastAsia="Times New Roman" w:hAnsi="Times New Roman" w:cs="Times New Roman"/>
          <w:i/>
          <w:sz w:val="23"/>
          <w:szCs w:val="23"/>
          <w:highlight w:val="white"/>
        </w:rPr>
        <w:t>Coffee farmers in Rwanda to earn more as government announces increased minimum price.</w:t>
      </w:r>
      <w:r>
        <w:rPr>
          <w:rFonts w:ascii="Times New Roman" w:eastAsia="Times New Roman" w:hAnsi="Times New Roman" w:cs="Times New Roman"/>
          <w:sz w:val="23"/>
          <w:szCs w:val="23"/>
          <w:highlight w:val="white"/>
        </w:rPr>
        <w:t xml:space="preserve"> </w:t>
      </w:r>
      <w:hyperlink r:id="rId27">
        <w:r>
          <w:rPr>
            <w:rFonts w:ascii="Times New Roman" w:eastAsia="Times New Roman" w:hAnsi="Times New Roman" w:cs="Times New Roman"/>
            <w:color w:val="1155CC"/>
            <w:sz w:val="23"/>
            <w:szCs w:val="23"/>
            <w:highlight w:val="white"/>
            <w:u w:val="single"/>
          </w:rPr>
          <w:t>https://www.foodbusinessafrica.com/coffee-farmers-in-rwanda-to-earn-more-as-government-announces-increased-minimum-price/</w:t>
        </w:r>
      </w:hyperlink>
      <w:r>
        <w:rPr>
          <w:rFonts w:ascii="Times New Roman" w:eastAsia="Times New Roman" w:hAnsi="Times New Roman" w:cs="Times New Roman"/>
          <w:sz w:val="23"/>
          <w:szCs w:val="23"/>
          <w:highlight w:val="white"/>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Food Business Middle East &amp; Africa (FBMEA). (2025). </w:t>
      </w:r>
      <w:r>
        <w:rPr>
          <w:rFonts w:ascii="Times New Roman" w:eastAsia="Times New Roman" w:hAnsi="Times New Roman" w:cs="Times New Roman"/>
          <w:i/>
        </w:rPr>
        <w:t>Uganda’s coffee export earnings surge 92% in May on strong harvest, global demand</w:t>
      </w:r>
      <w:r>
        <w:rPr>
          <w:rFonts w:ascii="Times New Roman" w:eastAsia="Times New Roman" w:hAnsi="Times New Roman" w:cs="Times New Roman"/>
        </w:rPr>
        <w:t xml:space="preserve">. Retrieved from </w:t>
      </w:r>
      <w:hyperlink r:id="rId28">
        <w:r>
          <w:rPr>
            <w:rFonts w:ascii="Times New Roman" w:eastAsia="Times New Roman" w:hAnsi="Times New Roman" w:cs="Times New Roman"/>
            <w:color w:val="1155CC"/>
            <w:u w:val="single"/>
          </w:rPr>
          <w:t>https://www.foodbusinessmea.com/ugandas-coffee-export-earnings-surge-92-in-may-on-strong-harvest-global-demand/</w:t>
        </w:r>
      </w:hyperlink>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Guariso</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Ngabitsinze</w:t>
      </w:r>
      <w:proofErr w:type="spellEnd"/>
      <w:r>
        <w:rPr>
          <w:rFonts w:ascii="Times New Roman" w:eastAsia="Times New Roman" w:hAnsi="Times New Roman" w:cs="Times New Roman"/>
        </w:rPr>
        <w:t xml:space="preserve">, C. J., &amp; </w:t>
      </w:r>
      <w:proofErr w:type="spellStart"/>
      <w:r>
        <w:rPr>
          <w:rFonts w:ascii="Times New Roman" w:eastAsia="Times New Roman" w:hAnsi="Times New Roman" w:cs="Times New Roman"/>
        </w:rPr>
        <w:t>Verpoorten</w:t>
      </w:r>
      <w:proofErr w:type="spellEnd"/>
      <w:r>
        <w:rPr>
          <w:rFonts w:ascii="Times New Roman" w:eastAsia="Times New Roman" w:hAnsi="Times New Roman" w:cs="Times New Roman"/>
        </w:rPr>
        <w:t xml:space="preserve">, M. (2012). The Rwandan coffee sector: Out of the ordinary. In F. </w:t>
      </w:r>
      <w:proofErr w:type="spellStart"/>
      <w:r>
        <w:rPr>
          <w:rFonts w:ascii="Times New Roman" w:eastAsia="Times New Roman" w:hAnsi="Times New Roman" w:cs="Times New Roman"/>
        </w:rPr>
        <w:t>Reyntjens</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Vandeginste</w:t>
      </w:r>
      <w:proofErr w:type="spellEnd"/>
      <w:r>
        <w:rPr>
          <w:rFonts w:ascii="Times New Roman" w:eastAsia="Times New Roman" w:hAnsi="Times New Roman" w:cs="Times New Roman"/>
        </w:rPr>
        <w:t xml:space="preserve">, &amp; M. </w:t>
      </w:r>
      <w:proofErr w:type="spellStart"/>
      <w:r>
        <w:rPr>
          <w:rFonts w:ascii="Times New Roman" w:eastAsia="Times New Roman" w:hAnsi="Times New Roman" w:cs="Times New Roman"/>
        </w:rPr>
        <w:t>Verpoorten</w:t>
      </w:r>
      <w:proofErr w:type="spellEnd"/>
      <w:r>
        <w:rPr>
          <w:rFonts w:ascii="Times New Roman" w:eastAsia="Times New Roman" w:hAnsi="Times New Roman" w:cs="Times New Roman"/>
        </w:rPr>
        <w:t xml:space="preserve"> (Eds.), </w:t>
      </w:r>
      <w:proofErr w:type="spellStart"/>
      <w:r>
        <w:rPr>
          <w:rFonts w:ascii="Times New Roman" w:eastAsia="Times New Roman" w:hAnsi="Times New Roman" w:cs="Times New Roman"/>
        </w:rPr>
        <w:t>L’Afrique</w:t>
      </w:r>
      <w:proofErr w:type="spellEnd"/>
      <w:r>
        <w:rPr>
          <w:rFonts w:ascii="Times New Roman" w:eastAsia="Times New Roman" w:hAnsi="Times New Roman" w:cs="Times New Roman"/>
        </w:rPr>
        <w:t xml:space="preserve"> des grands lacs. </w:t>
      </w:r>
      <w:proofErr w:type="spellStart"/>
      <w:r>
        <w:rPr>
          <w:rFonts w:ascii="Times New Roman" w:eastAsia="Times New Roman" w:hAnsi="Times New Roman" w:cs="Times New Roman"/>
        </w:rPr>
        <w:t>Annuaire</w:t>
      </w:r>
      <w:proofErr w:type="spellEnd"/>
      <w:r>
        <w:rPr>
          <w:rFonts w:ascii="Times New Roman" w:eastAsia="Times New Roman" w:hAnsi="Times New Roman" w:cs="Times New Roman"/>
        </w:rPr>
        <w:t xml:space="preserve"> 2011–2012 (pp. 397–426). </w:t>
      </w:r>
      <w:proofErr w:type="spellStart"/>
      <w:r>
        <w:rPr>
          <w:rFonts w:ascii="Times New Roman" w:eastAsia="Times New Roman" w:hAnsi="Times New Roman" w:cs="Times New Roman"/>
        </w:rPr>
        <w:t>L’Harmattan</w:t>
      </w:r>
      <w:proofErr w:type="spellEnd"/>
      <w:r>
        <w:rPr>
          <w:rFonts w:ascii="Times New Roman" w:eastAsia="Times New Roman" w:hAnsi="Times New Roman" w:cs="Times New Roman"/>
        </w:rPr>
        <w:t xml:space="preserve">. </w:t>
      </w:r>
      <w:hyperlink r:id="rId29">
        <w:r>
          <w:rPr>
            <w:rFonts w:ascii="Times New Roman" w:eastAsia="Times New Roman" w:hAnsi="Times New Roman" w:cs="Times New Roman"/>
            <w:color w:val="1155CC"/>
            <w:u w:val="single"/>
          </w:rPr>
          <w:t>https://www.researchgate.net/profile/Ngabitsinze-Jean-Chrysostome-2/publication/264288687_THE_RWANDAN_COFFEE_SECTOROUT_OF_THE_ORDINARY/links/53d79ecd0cf2631430bfbab9/THE-RWANDAN-COFFEE-SECTOROUT-OF-THE-ORDINARY.pdf</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sidRPr="00394D56">
        <w:rPr>
          <w:rFonts w:ascii="Times New Roman" w:eastAsia="Times New Roman" w:hAnsi="Times New Roman" w:cs="Times New Roman"/>
          <w:highlight w:val="yellow"/>
        </w:rPr>
        <w:t xml:space="preserve">Heckscher, E. F. (1919). The influence of foreign trade on the distribution of income [In Swedish]. </w:t>
      </w:r>
      <w:proofErr w:type="spellStart"/>
      <w:r w:rsidRPr="00394D56">
        <w:rPr>
          <w:rFonts w:ascii="Times New Roman" w:eastAsia="Times New Roman" w:hAnsi="Times New Roman" w:cs="Times New Roman"/>
          <w:i/>
          <w:highlight w:val="yellow"/>
        </w:rPr>
        <w:t>Ekonomisk</w:t>
      </w:r>
      <w:proofErr w:type="spellEnd"/>
      <w:r w:rsidRPr="00394D56">
        <w:rPr>
          <w:rFonts w:ascii="Times New Roman" w:eastAsia="Times New Roman" w:hAnsi="Times New Roman" w:cs="Times New Roman"/>
          <w:i/>
          <w:highlight w:val="yellow"/>
        </w:rPr>
        <w:t xml:space="preserve"> </w:t>
      </w:r>
      <w:proofErr w:type="spellStart"/>
      <w:r w:rsidRPr="00394D56">
        <w:rPr>
          <w:rFonts w:ascii="Times New Roman" w:eastAsia="Times New Roman" w:hAnsi="Times New Roman" w:cs="Times New Roman"/>
          <w:i/>
          <w:highlight w:val="yellow"/>
        </w:rPr>
        <w:t>Tidskrift</w:t>
      </w:r>
      <w:proofErr w:type="spellEnd"/>
      <w:r w:rsidRPr="00394D56">
        <w:rPr>
          <w:rFonts w:ascii="Times New Roman" w:eastAsia="Times New Roman" w:hAnsi="Times New Roman" w:cs="Times New Roman"/>
          <w:highlight w:val="yellow"/>
        </w:rPr>
        <w:t xml:space="preserve">, 21, 497–512. </w:t>
      </w:r>
      <w:hyperlink r:id="rId30">
        <w:r w:rsidRPr="00394D56">
          <w:rPr>
            <w:rFonts w:ascii="Times New Roman" w:eastAsia="Times New Roman" w:hAnsi="Times New Roman" w:cs="Times New Roman"/>
            <w:color w:val="1155CC"/>
            <w:highlight w:val="yellow"/>
            <w:u w:val="single"/>
          </w:rPr>
          <w:t>https://www.econbiz.de/Record/thr-effect-of-foreign-trade-on-the-distribution-of-income-1919-heckscher-eli/10003573813</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International Coffee Organization (ICO) (2023). </w:t>
      </w:r>
      <w:r>
        <w:rPr>
          <w:rFonts w:ascii="Times New Roman" w:eastAsia="Times New Roman" w:hAnsi="Times New Roman" w:cs="Times New Roman"/>
          <w:i/>
        </w:rPr>
        <w:t>Coffee development report 2022/23</w:t>
      </w:r>
      <w:r>
        <w:rPr>
          <w:rFonts w:ascii="Times New Roman" w:eastAsia="Times New Roman" w:hAnsi="Times New Roman" w:cs="Times New Roman"/>
        </w:rPr>
        <w:t xml:space="preserve">. Retrieved from </w:t>
      </w:r>
      <w:hyperlink r:id="rId31">
        <w:r>
          <w:rPr>
            <w:rFonts w:ascii="Times New Roman" w:eastAsia="Times New Roman" w:hAnsi="Times New Roman" w:cs="Times New Roman"/>
            <w:color w:val="1155CC"/>
            <w:u w:val="single"/>
          </w:rPr>
          <w:t>https://www.icocoffee.org/documents/cy2024-25/coffee-development-report-2022-23.pdf</w:t>
        </w:r>
      </w:hyperlink>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International Coffee Organization. (2024). Coffee market report, May 2025. Retrieved August 7, 2025, from </w:t>
      </w:r>
      <w:hyperlink r:id="rId32">
        <w:r>
          <w:rPr>
            <w:rFonts w:ascii="Times New Roman" w:eastAsia="Times New Roman" w:hAnsi="Times New Roman" w:cs="Times New Roman"/>
            <w:color w:val="1155CC"/>
            <w:u w:val="single"/>
          </w:rPr>
          <w:t>https://www.ico.org/market_analysis.asp?section=Market%20Overview</w:t>
        </w:r>
      </w:hyperlink>
      <w:r>
        <w:rPr>
          <w:rFonts w:ascii="Times New Roman" w:eastAsia="Times New Roman" w:hAnsi="Times New Roman" w:cs="Times New Roman"/>
        </w:rPr>
        <w:t xml:space="preserve"> </w:t>
      </w:r>
    </w:p>
    <w:p w:rsidR="00AB45D8" w:rsidRDefault="00AB45D8">
      <w:pPr>
        <w:spacing w:line="240" w:lineRule="auto"/>
        <w:ind w:left="720" w:hanging="720"/>
        <w:jc w:val="both"/>
        <w:rPr>
          <w:rFonts w:ascii="Times New Roman" w:eastAsia="Times New Roman" w:hAnsi="Times New Roman"/>
        </w:rPr>
      </w:pPr>
    </w:p>
    <w:p w:rsidR="00AB45D8" w:rsidRDefault="00AB45D8" w:rsidP="007544ED">
      <w:pPr>
        <w:spacing w:line="240" w:lineRule="auto"/>
        <w:jc w:val="both"/>
        <w:rPr>
          <w:rFonts w:ascii="Times New Roman" w:eastAsia="Times New Roman" w:hAnsi="Times New Roman" w:cs="Times New Roman"/>
        </w:rPr>
      </w:pPr>
      <w:r w:rsidRPr="00247074">
        <w:rPr>
          <w:rFonts w:ascii="Times New Roman" w:eastAsia="Times New Roman" w:hAnsi="Times New Roman"/>
        </w:rPr>
        <w:t>International Coffee Organization. (2024). Coffee Development Report 2022–23: Beyond coffee—Towards a circular coffee economy (CDR4). https://www.icocoffee.org/documents/cy2024-25/coffee-development-report-2022-23.pdf</w:t>
      </w:r>
    </w:p>
    <w:p w:rsidR="00AB45D8" w:rsidRDefault="00AB45D8">
      <w:pPr>
        <w:spacing w:line="240" w:lineRule="auto"/>
        <w:ind w:left="720" w:hanging="720"/>
        <w:jc w:val="both"/>
        <w:rPr>
          <w:rFonts w:ascii="Times New Roman" w:eastAsia="Times New Roman" w:hAnsi="Times New Roman" w:cs="Times New Roman"/>
        </w:rPr>
      </w:pPr>
    </w:p>
    <w:p w:rsidR="0045078D" w:rsidRDefault="00551C1A">
      <w:pPr>
        <w:spacing w:line="240" w:lineRule="auto"/>
        <w:ind w:left="720" w:hanging="720"/>
        <w:jc w:val="both"/>
        <w:rPr>
          <w:rFonts w:ascii="Times New Roman" w:eastAsia="Times New Roman" w:hAnsi="Times New Roman" w:cs="Times New Roman"/>
        </w:rPr>
      </w:pPr>
      <w:r w:rsidRPr="00394D56">
        <w:rPr>
          <w:rFonts w:ascii="Times New Roman" w:eastAsia="Times New Roman" w:hAnsi="Times New Roman" w:cs="Times New Roman"/>
          <w:highlight w:val="yellow"/>
        </w:rPr>
        <w:t xml:space="preserve">International Growth Centre (IGC). (2022). </w:t>
      </w:r>
      <w:r w:rsidRPr="00394D56">
        <w:rPr>
          <w:rFonts w:ascii="Times New Roman" w:eastAsia="Times New Roman" w:hAnsi="Times New Roman" w:cs="Times New Roman"/>
          <w:i/>
          <w:highlight w:val="yellow"/>
        </w:rPr>
        <w:t>Rwanda export study: Upgrading coffee washing stations and value chain integration</w:t>
      </w:r>
      <w:r w:rsidRPr="00394D56">
        <w:rPr>
          <w:rFonts w:ascii="Times New Roman" w:eastAsia="Times New Roman" w:hAnsi="Times New Roman" w:cs="Times New Roman"/>
          <w:highlight w:val="yellow"/>
        </w:rPr>
        <w:t xml:space="preserve"> (Final report). </w:t>
      </w:r>
      <w:hyperlink r:id="rId33">
        <w:r w:rsidRPr="00394D56">
          <w:rPr>
            <w:rFonts w:ascii="Times New Roman" w:eastAsia="Times New Roman" w:hAnsi="Times New Roman" w:cs="Times New Roman"/>
            <w:color w:val="1155CC"/>
            <w:highlight w:val="yellow"/>
            <w:u w:val="single"/>
          </w:rPr>
          <w:t>https://www.theigc.org/sites/default/files/2023-07/final_rwanda_export_study_05_2022.pdf</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Jarque</w:t>
      </w:r>
      <w:proofErr w:type="spellEnd"/>
      <w:r>
        <w:rPr>
          <w:rFonts w:ascii="Times New Roman" w:eastAsia="Times New Roman" w:hAnsi="Times New Roman" w:cs="Times New Roman"/>
        </w:rPr>
        <w:t xml:space="preserve">, C. M., &amp; </w:t>
      </w:r>
      <w:proofErr w:type="spellStart"/>
      <w:r>
        <w:rPr>
          <w:rFonts w:ascii="Times New Roman" w:eastAsia="Times New Roman" w:hAnsi="Times New Roman" w:cs="Times New Roman"/>
        </w:rPr>
        <w:t>Bera</w:t>
      </w:r>
      <w:proofErr w:type="spellEnd"/>
      <w:r>
        <w:rPr>
          <w:rFonts w:ascii="Times New Roman" w:eastAsia="Times New Roman" w:hAnsi="Times New Roman" w:cs="Times New Roman"/>
        </w:rPr>
        <w:t xml:space="preserve">, A. K. (1980). Efficient tests for normality, homoscedasticity and serial independence of regression residuals. </w:t>
      </w:r>
      <w:r>
        <w:rPr>
          <w:rFonts w:ascii="Times New Roman" w:eastAsia="Times New Roman" w:hAnsi="Times New Roman" w:cs="Times New Roman"/>
          <w:i/>
        </w:rPr>
        <w:t>Economics Letters</w:t>
      </w:r>
      <w:r>
        <w:rPr>
          <w:rFonts w:ascii="Times New Roman" w:eastAsia="Times New Roman" w:hAnsi="Times New Roman" w:cs="Times New Roman"/>
        </w:rPr>
        <w:t xml:space="preserve">, 6(3), 255–259. </w:t>
      </w:r>
      <w:hyperlink r:id="rId34">
        <w:r>
          <w:rPr>
            <w:rFonts w:ascii="Times New Roman" w:eastAsia="Times New Roman" w:hAnsi="Times New Roman" w:cs="Times New Roman"/>
            <w:color w:val="1155CC"/>
            <w:u w:val="single"/>
          </w:rPr>
          <w:t>https://doi.org/10.1016/0165-1765(80)90024-5</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Jenkins, G. P., </w:t>
      </w:r>
      <w:proofErr w:type="spellStart"/>
      <w:r>
        <w:rPr>
          <w:rFonts w:ascii="Times New Roman" w:eastAsia="Times New Roman" w:hAnsi="Times New Roman" w:cs="Times New Roman"/>
          <w:color w:val="222222"/>
          <w:highlight w:val="white"/>
        </w:rPr>
        <w:t>Mbakop</w:t>
      </w:r>
      <w:proofErr w:type="spellEnd"/>
      <w:r>
        <w:rPr>
          <w:rFonts w:ascii="Times New Roman" w:eastAsia="Times New Roman" w:hAnsi="Times New Roman" w:cs="Times New Roman"/>
          <w:color w:val="222222"/>
          <w:highlight w:val="white"/>
        </w:rPr>
        <w:t xml:space="preserve">, L., &amp; </w:t>
      </w:r>
      <w:proofErr w:type="spellStart"/>
      <w:r>
        <w:rPr>
          <w:rFonts w:ascii="Times New Roman" w:eastAsia="Times New Roman" w:hAnsi="Times New Roman" w:cs="Times New Roman"/>
          <w:color w:val="222222"/>
          <w:highlight w:val="white"/>
        </w:rPr>
        <w:t>Miklyaev</w:t>
      </w:r>
      <w:proofErr w:type="spellEnd"/>
      <w:r>
        <w:rPr>
          <w:rFonts w:ascii="Times New Roman" w:eastAsia="Times New Roman" w:hAnsi="Times New Roman" w:cs="Times New Roman"/>
          <w:color w:val="222222"/>
          <w:highlight w:val="white"/>
        </w:rPr>
        <w:t xml:space="preserve">, M. (2023). Enhancing Coffee Quality in Rwanda: A Cost Benefit Analysis of Government Policies. </w:t>
      </w:r>
      <w:r>
        <w:rPr>
          <w:rFonts w:ascii="Times New Roman" w:eastAsia="Times New Roman" w:hAnsi="Times New Roman" w:cs="Times New Roman"/>
          <w:i/>
          <w:color w:val="222222"/>
          <w:highlight w:val="white"/>
        </w:rPr>
        <w:t>Sustainability</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15</w:t>
      </w:r>
      <w:r>
        <w:rPr>
          <w:rFonts w:ascii="Times New Roman" w:eastAsia="Times New Roman" w:hAnsi="Times New Roman" w:cs="Times New Roman"/>
          <w:color w:val="222222"/>
          <w:highlight w:val="white"/>
        </w:rPr>
        <w:t xml:space="preserve">(23), 16513. </w:t>
      </w:r>
      <w:hyperlink r:id="rId35">
        <w:r>
          <w:rPr>
            <w:rFonts w:ascii="Times New Roman" w:eastAsia="Times New Roman" w:hAnsi="Times New Roman" w:cs="Times New Roman"/>
            <w:color w:val="1155CC"/>
            <w:highlight w:val="white"/>
            <w:u w:val="single"/>
          </w:rPr>
          <w:t>https://doi.org/10.3390/su152316513</w:t>
        </w:r>
      </w:hyperlink>
      <w:r>
        <w:rPr>
          <w:rFonts w:ascii="Times New Roman" w:eastAsia="Times New Roman" w:hAnsi="Times New Roman" w:cs="Times New Roman"/>
          <w:color w:val="222222"/>
          <w:highlight w:val="white"/>
        </w:rPr>
        <w:t xml:space="preserve"> </w:t>
      </w:r>
    </w:p>
    <w:p w:rsidR="0045078D" w:rsidRDefault="00551C1A">
      <w:pPr>
        <w:spacing w:line="24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Johansen, S. (1991). Estimation and hypothesis testing of cointegration vectors in Gaussian vector autoregressive models. </w:t>
      </w:r>
      <w:proofErr w:type="spellStart"/>
      <w:r>
        <w:rPr>
          <w:rFonts w:ascii="Times New Roman" w:eastAsia="Times New Roman" w:hAnsi="Times New Roman" w:cs="Times New Roman"/>
          <w:i/>
          <w:color w:val="222222"/>
          <w:highlight w:val="white"/>
        </w:rPr>
        <w:t>Econometrica</w:t>
      </w:r>
      <w:proofErr w:type="spellEnd"/>
      <w:r>
        <w:rPr>
          <w:rFonts w:ascii="Times New Roman" w:eastAsia="Times New Roman" w:hAnsi="Times New Roman" w:cs="Times New Roman"/>
          <w:color w:val="222222"/>
          <w:highlight w:val="white"/>
        </w:rPr>
        <w:t xml:space="preserve">, 59(6), 1551–1580. </w:t>
      </w:r>
      <w:hyperlink r:id="rId36">
        <w:r>
          <w:rPr>
            <w:rFonts w:ascii="Times New Roman" w:eastAsia="Times New Roman" w:hAnsi="Times New Roman" w:cs="Times New Roman"/>
            <w:color w:val="1155CC"/>
            <w:highlight w:val="white"/>
            <w:u w:val="single"/>
          </w:rPr>
          <w:t>https://doi.org/10.2307/2938278</w:t>
        </w:r>
      </w:hyperlink>
      <w:r>
        <w:rPr>
          <w:rFonts w:ascii="Times New Roman" w:eastAsia="Times New Roman" w:hAnsi="Times New Roman" w:cs="Times New Roman"/>
          <w:color w:val="222222"/>
          <w:highlight w:val="white"/>
        </w:rPr>
        <w:t xml:space="preserve"> </w:t>
      </w:r>
    </w:p>
    <w:p w:rsidR="0045078D" w:rsidRDefault="00551C1A">
      <w:pPr>
        <w:spacing w:line="24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Johansen, S. (1995). </w:t>
      </w:r>
      <w:r>
        <w:rPr>
          <w:rFonts w:ascii="Times New Roman" w:eastAsia="Times New Roman" w:hAnsi="Times New Roman" w:cs="Times New Roman"/>
          <w:i/>
          <w:color w:val="222222"/>
          <w:highlight w:val="white"/>
        </w:rPr>
        <w:t>Likelihood-based inference in cointegrated vector autoregressive models</w:t>
      </w:r>
      <w:r>
        <w:rPr>
          <w:rFonts w:ascii="Times New Roman" w:eastAsia="Times New Roman" w:hAnsi="Times New Roman" w:cs="Times New Roman"/>
          <w:color w:val="222222"/>
          <w:highlight w:val="white"/>
        </w:rPr>
        <w:t xml:space="preserve">. Oxford University Press. </w:t>
      </w:r>
      <w:hyperlink r:id="rId37">
        <w:r>
          <w:rPr>
            <w:rFonts w:ascii="Times New Roman" w:eastAsia="Times New Roman" w:hAnsi="Times New Roman" w:cs="Times New Roman"/>
            <w:color w:val="1155CC"/>
            <w:highlight w:val="white"/>
            <w:u w:val="single"/>
          </w:rPr>
          <w:t>https://doi.org/10.1093/0198774508.001.0001</w:t>
        </w:r>
      </w:hyperlink>
      <w:r>
        <w:rPr>
          <w:rFonts w:ascii="Times New Roman" w:eastAsia="Times New Roman" w:hAnsi="Times New Roman" w:cs="Times New Roman"/>
          <w:color w:val="222222"/>
          <w:highlight w:val="white"/>
        </w:rPr>
        <w:t xml:space="preserve"> </w:t>
      </w:r>
    </w:p>
    <w:p w:rsidR="0045078D" w:rsidRDefault="00551C1A">
      <w:pPr>
        <w:spacing w:line="240" w:lineRule="auto"/>
        <w:ind w:left="720" w:hanging="720"/>
        <w:jc w:val="both"/>
        <w:rPr>
          <w:rFonts w:ascii="Times New Roman" w:eastAsia="Times New Roman" w:hAnsi="Times New Roman" w:cs="Times New Roman"/>
          <w:color w:val="1155CC"/>
          <w:highlight w:val="white"/>
          <w:u w:val="single"/>
        </w:rPr>
      </w:pPr>
      <w:proofErr w:type="spellStart"/>
      <w:r>
        <w:rPr>
          <w:rFonts w:ascii="Times New Roman" w:eastAsia="Times New Roman" w:hAnsi="Times New Roman" w:cs="Times New Roman"/>
          <w:color w:val="222222"/>
          <w:highlight w:val="white"/>
        </w:rPr>
        <w:t>Juselius</w:t>
      </w:r>
      <w:proofErr w:type="spellEnd"/>
      <w:r>
        <w:rPr>
          <w:rFonts w:ascii="Times New Roman" w:eastAsia="Times New Roman" w:hAnsi="Times New Roman" w:cs="Times New Roman"/>
          <w:color w:val="222222"/>
          <w:highlight w:val="white"/>
        </w:rPr>
        <w:t xml:space="preserve">, K. (2006). </w:t>
      </w:r>
      <w:r>
        <w:rPr>
          <w:rFonts w:ascii="Times New Roman" w:eastAsia="Times New Roman" w:hAnsi="Times New Roman" w:cs="Times New Roman"/>
          <w:i/>
          <w:color w:val="222222"/>
          <w:highlight w:val="white"/>
        </w:rPr>
        <w:t>The cointegrated VAR model: Methodology and applications</w:t>
      </w:r>
      <w:r>
        <w:rPr>
          <w:rFonts w:ascii="Times New Roman" w:eastAsia="Times New Roman" w:hAnsi="Times New Roman" w:cs="Times New Roman"/>
          <w:color w:val="222222"/>
          <w:highlight w:val="white"/>
        </w:rPr>
        <w:t xml:space="preserve">. Oxford University Press. </w:t>
      </w:r>
      <w:hyperlink r:id="rId38">
        <w:r>
          <w:rPr>
            <w:rFonts w:ascii="Times New Roman" w:eastAsia="Times New Roman" w:hAnsi="Times New Roman" w:cs="Times New Roman"/>
            <w:color w:val="1155CC"/>
            <w:highlight w:val="white"/>
            <w:u w:val="single"/>
          </w:rPr>
          <w:t>https://econpapers.repec.org/RePEc%3Aoxp%3Aobooks%3A9780199285679?</w:t>
        </w:r>
      </w:hyperlink>
    </w:p>
    <w:p w:rsidR="00AB45D8" w:rsidRDefault="00AB45D8">
      <w:pPr>
        <w:spacing w:line="240" w:lineRule="auto"/>
        <w:ind w:left="720" w:hanging="720"/>
        <w:jc w:val="both"/>
        <w:rPr>
          <w:rFonts w:ascii="Times New Roman" w:eastAsia="Times New Roman" w:hAnsi="Times New Roman"/>
          <w:color w:val="1155CC"/>
          <w:highlight w:val="white"/>
          <w:u w:val="single"/>
        </w:rPr>
      </w:pPr>
    </w:p>
    <w:p w:rsidR="00AB45D8" w:rsidRDefault="00AB45D8" w:rsidP="00AB45D8">
      <w:pPr>
        <w:spacing w:line="240" w:lineRule="auto"/>
        <w:ind w:left="720" w:hanging="720"/>
        <w:jc w:val="both"/>
        <w:rPr>
          <w:rFonts w:ascii="Times New Roman" w:eastAsia="Times New Roman" w:hAnsi="Times New Roman" w:cs="Times New Roman"/>
          <w:color w:val="1155CC"/>
          <w:highlight w:val="white"/>
          <w:u w:val="single"/>
          <w:lang w:val="en-US"/>
        </w:rPr>
      </w:pPr>
      <w:r w:rsidRPr="00247074">
        <w:rPr>
          <w:rFonts w:ascii="Times New Roman" w:eastAsia="Times New Roman" w:hAnsi="Times New Roman"/>
          <w:color w:val="1155CC"/>
          <w:highlight w:val="white"/>
          <w:u w:val="single"/>
        </w:rPr>
        <w:t xml:space="preserve">Karp, L. S., &amp; Perloff, J. M. (1993). A dynamic model of oligopoly in the coffee export market. American Journal of Agricultural Economics, 75(2), 448–457. https://doi.org/10.2307/1242929 </w:t>
      </w:r>
      <w:r>
        <w:rPr>
          <w:rFonts w:ascii="Times New Roman" w:eastAsia="Times New Roman" w:hAnsi="Times New Roman"/>
          <w:color w:val="1155CC"/>
          <w:highlight w:val="white"/>
          <w:u w:val="single"/>
          <w:lang w:val="en-US"/>
        </w:rPr>
        <w:t xml:space="preserve"> </w:t>
      </w:r>
    </w:p>
    <w:p w:rsidR="0045078D" w:rsidRDefault="00551C1A">
      <w:pPr>
        <w:spacing w:line="240" w:lineRule="auto"/>
        <w:ind w:left="720" w:hanging="720"/>
        <w:jc w:val="both"/>
        <w:rPr>
          <w:rFonts w:ascii="Times New Roman" w:eastAsia="Times New Roman" w:hAnsi="Times New Roman" w:cs="Times New Roman"/>
          <w:color w:val="1155CC"/>
          <w:highlight w:val="white"/>
          <w:u w:val="single"/>
          <w:lang w:val="en-US"/>
        </w:rPr>
      </w:pPr>
      <w:r w:rsidRPr="00AB45D8">
        <w:rPr>
          <w:rFonts w:ascii="Times New Roman" w:eastAsia="Times New Roman" w:hAnsi="Times New Roman"/>
          <w:color w:val="1155CC"/>
          <w:highlight w:val="white"/>
          <w:u w:val="single"/>
        </w:rPr>
        <w:t xml:space="preserve"> </w:t>
      </w:r>
      <w:r>
        <w:rPr>
          <w:rFonts w:ascii="Times New Roman" w:eastAsia="Times New Roman" w:hAnsi="Times New Roman"/>
          <w:color w:val="1155CC"/>
          <w:highlight w:val="white"/>
          <w:u w:val="single"/>
          <w:lang w:val="en-US"/>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Kisembo</w:t>
      </w:r>
      <w:proofErr w:type="spellEnd"/>
      <w:r>
        <w:rPr>
          <w:rFonts w:ascii="Times New Roman" w:eastAsia="Times New Roman" w:hAnsi="Times New Roman" w:cs="Times New Roman"/>
        </w:rPr>
        <w:t xml:space="preserve">, G. (2025). </w:t>
      </w:r>
      <w:r>
        <w:rPr>
          <w:rFonts w:ascii="Times New Roman" w:eastAsia="Times New Roman" w:hAnsi="Times New Roman" w:cs="Times New Roman"/>
          <w:i/>
        </w:rPr>
        <w:t>Ethiopia breaks coffee export record, earning USD 1.87 billion</w:t>
      </w:r>
      <w:r>
        <w:rPr>
          <w:rFonts w:ascii="Times New Roman" w:eastAsia="Times New Roman" w:hAnsi="Times New Roman" w:cs="Times New Roman"/>
        </w:rPr>
        <w:t xml:space="preserve">. East African Agri-News. </w:t>
      </w:r>
      <w:hyperlink r:id="rId39">
        <w:r>
          <w:rPr>
            <w:rFonts w:ascii="Times New Roman" w:eastAsia="Times New Roman" w:hAnsi="Times New Roman" w:cs="Times New Roman"/>
            <w:color w:val="1155CC"/>
            <w:u w:val="single"/>
          </w:rPr>
          <w:t>https://eastafrican-agrinews.com/ethiopia-breaks-coffee-export-record-earning-usd-1-87-billion/</w:t>
        </w:r>
      </w:hyperlink>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Koss, E. (2025). </w:t>
      </w:r>
      <w:r>
        <w:rPr>
          <w:rFonts w:ascii="Times New Roman" w:eastAsia="Times New Roman" w:hAnsi="Times New Roman" w:cs="Times New Roman"/>
          <w:i/>
        </w:rPr>
        <w:t>The Gendered Coffee Paradox: Mapping a deeper analysis of gender inequity</w:t>
      </w:r>
      <w:r>
        <w:rPr>
          <w:rFonts w:ascii="Times New Roman" w:eastAsia="Times New Roman" w:hAnsi="Times New Roman" w:cs="Times New Roman"/>
        </w:rPr>
        <w:t xml:space="preserve">. Specialty Coffee Association. </w:t>
      </w:r>
      <w:hyperlink r:id="rId40">
        <w:r>
          <w:rPr>
            <w:rFonts w:ascii="Times New Roman" w:eastAsia="Times New Roman" w:hAnsi="Times New Roman" w:cs="Times New Roman"/>
            <w:color w:val="1155CC"/>
            <w:u w:val="single"/>
          </w:rPr>
          <w:t>https://sca.coffee/sca-news/25/issue-23-gendered-coffee-paradox</w:t>
        </w:r>
      </w:hyperlink>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Lütkepohl</w:t>
      </w:r>
      <w:proofErr w:type="spellEnd"/>
      <w:r>
        <w:rPr>
          <w:rFonts w:ascii="Times New Roman" w:eastAsia="Times New Roman" w:hAnsi="Times New Roman" w:cs="Times New Roman"/>
        </w:rPr>
        <w:t xml:space="preserve">, H. (2005). </w:t>
      </w:r>
      <w:r>
        <w:rPr>
          <w:rFonts w:ascii="Times New Roman" w:eastAsia="Times New Roman" w:hAnsi="Times New Roman" w:cs="Times New Roman"/>
          <w:i/>
        </w:rPr>
        <w:t>New introduction to multiple time series analysis</w:t>
      </w:r>
      <w:r>
        <w:rPr>
          <w:rFonts w:ascii="Times New Roman" w:eastAsia="Times New Roman" w:hAnsi="Times New Roman" w:cs="Times New Roman"/>
        </w:rPr>
        <w:t xml:space="preserve">. Springer. </w:t>
      </w:r>
      <w:hyperlink r:id="rId41">
        <w:r>
          <w:rPr>
            <w:rFonts w:ascii="Times New Roman" w:eastAsia="Times New Roman" w:hAnsi="Times New Roman" w:cs="Times New Roman"/>
            <w:color w:val="1155CC"/>
            <w:u w:val="single"/>
          </w:rPr>
          <w:t>https://doi.org/10.1007/978-3-540-27752-1</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National Agricultural Export Development Board. (2024, May 14). </w:t>
      </w:r>
      <w:r>
        <w:rPr>
          <w:rFonts w:ascii="Times New Roman" w:eastAsia="Times New Roman" w:hAnsi="Times New Roman" w:cs="Times New Roman"/>
          <w:i/>
        </w:rPr>
        <w:t>Coffee rejuvenation, key to improve farm yield.</w:t>
      </w:r>
      <w:r>
        <w:rPr>
          <w:rFonts w:ascii="Times New Roman" w:eastAsia="Times New Roman" w:hAnsi="Times New Roman" w:cs="Times New Roman"/>
        </w:rPr>
        <w:t xml:space="preserve"> </w:t>
      </w:r>
      <w:hyperlink r:id="rId42">
        <w:r>
          <w:rPr>
            <w:rFonts w:ascii="Times New Roman" w:eastAsia="Times New Roman" w:hAnsi="Times New Roman" w:cs="Times New Roman"/>
            <w:color w:val="1155CC"/>
            <w:u w:val="single"/>
          </w:rPr>
          <w:t>https://www.naeb.gov.rw/1/updates/news-detail/coffee-rejuvenation-key-to-improve-farm-yield</w:t>
        </w:r>
      </w:hyperlink>
      <w:r>
        <w:rPr>
          <w:rFonts w:ascii="Times New Roman" w:eastAsia="Times New Roman" w:hAnsi="Times New Roman" w:cs="Times New Roman"/>
        </w:rPr>
        <w:t xml:space="preserve"> </w:t>
      </w:r>
    </w:p>
    <w:p w:rsidR="00AB45D8" w:rsidRDefault="00AB45D8">
      <w:pPr>
        <w:spacing w:line="240" w:lineRule="auto"/>
        <w:ind w:left="720" w:hanging="720"/>
        <w:jc w:val="both"/>
        <w:rPr>
          <w:rFonts w:ascii="Times New Roman" w:eastAsia="Times New Roman" w:hAnsi="Times New Roman"/>
          <w:lang w:val="en-US"/>
        </w:rPr>
      </w:pPr>
    </w:p>
    <w:p w:rsidR="00AB45D8" w:rsidRDefault="00AB45D8" w:rsidP="00AB45D8">
      <w:pPr>
        <w:spacing w:line="240" w:lineRule="auto"/>
        <w:ind w:left="720" w:hanging="720"/>
        <w:jc w:val="both"/>
        <w:rPr>
          <w:rFonts w:ascii="Times New Roman" w:eastAsia="Times New Roman" w:hAnsi="Times New Roman" w:cs="Times New Roman"/>
          <w:lang w:val="en-US"/>
        </w:rPr>
      </w:pPr>
      <w:r w:rsidRPr="00247074">
        <w:rPr>
          <w:rFonts w:ascii="Times New Roman" w:eastAsia="Times New Roman" w:hAnsi="Times New Roman"/>
        </w:rPr>
        <w:t xml:space="preserve">National Coffee Association of USA. (2025). 2025 National Coffee Data Trends: Specialty Coffee Report. https://www.ncausa.org/Research-Trends/Specialty-Coffee-Report </w:t>
      </w:r>
      <w:r>
        <w:rPr>
          <w:rFonts w:ascii="Times New Roman" w:eastAsia="Times New Roman" w:hAnsi="Times New Roman"/>
          <w:lang w:val="en-US"/>
        </w:rPr>
        <w:t xml:space="preserve"> </w:t>
      </w:r>
    </w:p>
    <w:p w:rsidR="00AB45D8" w:rsidRDefault="00AB45D8">
      <w:pPr>
        <w:spacing w:line="240" w:lineRule="auto"/>
        <w:ind w:left="720" w:hanging="720"/>
        <w:jc w:val="both"/>
        <w:rPr>
          <w:rFonts w:ascii="Times New Roman" w:eastAsia="Times New Roman" w:hAnsi="Times New Roman" w:cs="Times New Roman"/>
          <w:lang w:val="en-US"/>
        </w:rPr>
      </w:pP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E. (2024). </w:t>
      </w:r>
      <w:r>
        <w:rPr>
          <w:rFonts w:ascii="Times New Roman" w:eastAsia="Times New Roman" w:hAnsi="Times New Roman" w:cs="Times New Roman"/>
          <w:i/>
        </w:rPr>
        <w:t>East Africa: How Rwanda's coffee exports generated over $450m in six years</w:t>
      </w:r>
      <w:r>
        <w:rPr>
          <w:rFonts w:ascii="Times New Roman" w:eastAsia="Times New Roman" w:hAnsi="Times New Roman" w:cs="Times New Roman"/>
        </w:rPr>
        <w:t xml:space="preserve">. </w:t>
      </w:r>
      <w:proofErr w:type="spellStart"/>
      <w:r>
        <w:rPr>
          <w:rFonts w:ascii="Times New Roman" w:eastAsia="Times New Roman" w:hAnsi="Times New Roman" w:cs="Times New Roman"/>
        </w:rPr>
        <w:t>Ntirenganya</w:t>
      </w:r>
      <w:proofErr w:type="spellEnd"/>
      <w:r>
        <w:rPr>
          <w:rFonts w:ascii="Times New Roman" w:eastAsia="Times New Roman" w:hAnsi="Times New Roman" w:cs="Times New Roman"/>
        </w:rPr>
        <w:t xml:space="preserve">. Retrieved from </w:t>
      </w:r>
      <w:hyperlink r:id="rId43">
        <w:r>
          <w:rPr>
            <w:rFonts w:ascii="Times New Roman" w:eastAsia="Times New Roman" w:hAnsi="Times New Roman" w:cs="Times New Roman"/>
            <w:color w:val="1155CC"/>
            <w:u w:val="single"/>
          </w:rPr>
          <w:t>https://Ntirenganya.com/stories/202408220295.html</w:t>
        </w:r>
      </w:hyperlink>
      <w:r>
        <w:rPr>
          <w:rFonts w:ascii="Times New Roman" w:eastAsia="Times New Roman" w:hAnsi="Times New Roman" w:cs="Times New Roman"/>
        </w:rPr>
        <w:t>.</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Ohlin, B. (1933). </w:t>
      </w:r>
      <w:r>
        <w:rPr>
          <w:rFonts w:ascii="Times New Roman" w:eastAsia="Times New Roman" w:hAnsi="Times New Roman" w:cs="Times New Roman"/>
          <w:i/>
        </w:rPr>
        <w:t>Interregional and International Trade</w:t>
      </w:r>
      <w:r>
        <w:rPr>
          <w:rFonts w:ascii="Times New Roman" w:eastAsia="Times New Roman" w:hAnsi="Times New Roman" w:cs="Times New Roman"/>
        </w:rPr>
        <w:t xml:space="preserve">. Harvard University Press. </w:t>
      </w:r>
      <w:hyperlink r:id="rId44">
        <w:r>
          <w:rPr>
            <w:rFonts w:ascii="Times New Roman" w:eastAsia="Times New Roman" w:hAnsi="Times New Roman" w:cs="Times New Roman"/>
            <w:color w:val="1155CC"/>
            <w:u w:val="single"/>
          </w:rPr>
          <w:t>https://ia902909.us.archive.org/17/items/in.ernet.dli.2015.112870/2015.112870.Interregional-And-International-Trade-Volxxxix.pdf</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Pesaran</w:t>
      </w:r>
      <w:proofErr w:type="spellEnd"/>
      <w:r>
        <w:rPr>
          <w:rFonts w:ascii="Times New Roman" w:eastAsia="Times New Roman" w:hAnsi="Times New Roman" w:cs="Times New Roman"/>
        </w:rPr>
        <w:t xml:space="preserve">, M. H., Shin, Y., &amp; Smith, R. J. (2001). Bound testing approaches to the analysis of level relationships. </w:t>
      </w:r>
      <w:r>
        <w:rPr>
          <w:rFonts w:ascii="Times New Roman" w:eastAsia="Times New Roman" w:hAnsi="Times New Roman" w:cs="Times New Roman"/>
          <w:i/>
        </w:rPr>
        <w:t>Journal of Applied Econometrics, 16</w:t>
      </w:r>
      <w:r>
        <w:rPr>
          <w:rFonts w:ascii="Times New Roman" w:eastAsia="Times New Roman" w:hAnsi="Times New Roman" w:cs="Times New Roman"/>
        </w:rPr>
        <w:t xml:space="preserve">(3), 289–326. </w:t>
      </w:r>
      <w:hyperlink r:id="rId45">
        <w:r>
          <w:rPr>
            <w:rFonts w:ascii="Times New Roman" w:eastAsia="Times New Roman" w:hAnsi="Times New Roman" w:cs="Times New Roman"/>
            <w:color w:val="1155CC"/>
            <w:u w:val="single"/>
          </w:rPr>
          <w:t>https://doi.org/10.1002/jae.616</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Phillips, P. C. B., &amp; </w:t>
      </w:r>
      <w:proofErr w:type="spellStart"/>
      <w:r>
        <w:rPr>
          <w:rFonts w:ascii="Times New Roman" w:eastAsia="Times New Roman" w:hAnsi="Times New Roman" w:cs="Times New Roman"/>
        </w:rPr>
        <w:t>Perron</w:t>
      </w:r>
      <w:proofErr w:type="spellEnd"/>
      <w:r>
        <w:rPr>
          <w:rFonts w:ascii="Times New Roman" w:eastAsia="Times New Roman" w:hAnsi="Times New Roman" w:cs="Times New Roman"/>
        </w:rPr>
        <w:t xml:space="preserve">, P. (1988). Testing for a unit root in time series regression. </w:t>
      </w:r>
      <w:proofErr w:type="spellStart"/>
      <w:r>
        <w:rPr>
          <w:rFonts w:ascii="Times New Roman" w:eastAsia="Times New Roman" w:hAnsi="Times New Roman" w:cs="Times New Roman"/>
          <w:i/>
        </w:rPr>
        <w:t>Biometrika</w:t>
      </w:r>
      <w:proofErr w:type="spellEnd"/>
      <w:r>
        <w:rPr>
          <w:rFonts w:ascii="Times New Roman" w:eastAsia="Times New Roman" w:hAnsi="Times New Roman" w:cs="Times New Roman"/>
        </w:rPr>
        <w:t xml:space="preserve">, 75(2), 335–346. </w:t>
      </w:r>
      <w:hyperlink r:id="rId46">
        <w:r>
          <w:rPr>
            <w:rFonts w:ascii="Times New Roman" w:eastAsia="Times New Roman" w:hAnsi="Times New Roman" w:cs="Times New Roman"/>
            <w:color w:val="1155CC"/>
            <w:u w:val="single"/>
          </w:rPr>
          <w:t>https://doi.org/10.1093/biomet/75.2.335</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Porter, M. E. (1990). </w:t>
      </w:r>
      <w:r>
        <w:rPr>
          <w:rFonts w:ascii="Times New Roman" w:eastAsia="Times New Roman" w:hAnsi="Times New Roman" w:cs="Times New Roman"/>
          <w:i/>
        </w:rPr>
        <w:t>The competitive advantage of nations</w:t>
      </w:r>
      <w:r>
        <w:rPr>
          <w:rFonts w:ascii="Times New Roman" w:eastAsia="Times New Roman" w:hAnsi="Times New Roman" w:cs="Times New Roman"/>
        </w:rPr>
        <w:t xml:space="preserve">. Free Press. </w:t>
      </w:r>
      <w:hyperlink r:id="rId47">
        <w:r>
          <w:rPr>
            <w:rFonts w:ascii="Times New Roman" w:eastAsia="Times New Roman" w:hAnsi="Times New Roman" w:cs="Times New Roman"/>
            <w:color w:val="1155CC"/>
            <w:u w:val="single"/>
          </w:rPr>
          <w:t>https://www.hbs.edu/faculty/Pages/item.aspx?num=189</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Qahwa</w:t>
      </w:r>
      <w:proofErr w:type="spellEnd"/>
      <w:r>
        <w:rPr>
          <w:rFonts w:ascii="Times New Roman" w:eastAsia="Times New Roman" w:hAnsi="Times New Roman" w:cs="Times New Roman"/>
        </w:rPr>
        <w:t xml:space="preserve"> World. (2025, April 13). </w:t>
      </w:r>
      <w:r>
        <w:rPr>
          <w:rFonts w:ascii="Times New Roman" w:eastAsia="Times New Roman" w:hAnsi="Times New Roman" w:cs="Times New Roman"/>
          <w:i/>
        </w:rPr>
        <w:t>Switzerland, US, and UK emerge as top buyers of Rwandan coffee.</w:t>
      </w:r>
      <w:r>
        <w:rPr>
          <w:rFonts w:ascii="Times New Roman" w:eastAsia="Times New Roman" w:hAnsi="Times New Roman" w:cs="Times New Roman"/>
        </w:rPr>
        <w:t xml:space="preserve"> </w:t>
      </w:r>
      <w:hyperlink r:id="rId48">
        <w:r>
          <w:rPr>
            <w:rFonts w:ascii="Times New Roman" w:eastAsia="Times New Roman" w:hAnsi="Times New Roman" w:cs="Times New Roman"/>
            <w:color w:val="1155CC"/>
            <w:u w:val="single"/>
          </w:rPr>
          <w:t>https://qahwaworld.com/news/switzerland-us-and-uk-emerge-as-top-buyers-of-rwandan-coffee/</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sidRPr="00AB45D8">
        <w:rPr>
          <w:rFonts w:ascii="Times New Roman" w:eastAsia="Times New Roman" w:hAnsi="Times New Roman"/>
        </w:rPr>
        <w:t>Rwema</w:t>
      </w:r>
      <w:proofErr w:type="spellEnd"/>
      <w:r w:rsidRPr="00AB45D8">
        <w:rPr>
          <w:rFonts w:ascii="Times New Roman" w:eastAsia="Times New Roman" w:hAnsi="Times New Roman"/>
        </w:rPr>
        <w:t xml:space="preserve">, M., Safari, B., </w:t>
      </w:r>
      <w:proofErr w:type="spellStart"/>
      <w:r w:rsidRPr="00AB45D8">
        <w:rPr>
          <w:rFonts w:ascii="Times New Roman" w:eastAsia="Times New Roman" w:hAnsi="Times New Roman"/>
        </w:rPr>
        <w:t>Sylla</w:t>
      </w:r>
      <w:proofErr w:type="spellEnd"/>
      <w:r w:rsidRPr="00AB45D8">
        <w:rPr>
          <w:rFonts w:ascii="Times New Roman" w:eastAsia="Times New Roman" w:hAnsi="Times New Roman"/>
        </w:rPr>
        <w:t xml:space="preserve">, M. B., </w:t>
      </w:r>
      <w:proofErr w:type="spellStart"/>
      <w:r w:rsidRPr="00AB45D8">
        <w:rPr>
          <w:rFonts w:ascii="Times New Roman" w:eastAsia="Times New Roman" w:hAnsi="Times New Roman"/>
        </w:rPr>
        <w:t>Roininen</w:t>
      </w:r>
      <w:proofErr w:type="spellEnd"/>
      <w:r w:rsidRPr="00AB45D8">
        <w:rPr>
          <w:rFonts w:ascii="Times New Roman" w:eastAsia="Times New Roman" w:hAnsi="Times New Roman"/>
        </w:rPr>
        <w:t>, L., &amp; Laine, M. (2025). Understanding farmers’ knowledge, perceptions, and adaptation strategies to climate change in Eastern Rwanda. Sustainability, 17(15), 6721. https://doi.org/10.3390/su17156721</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Schwarz, G. (1978). Estimating the dimension of a model. </w:t>
      </w:r>
      <w:r>
        <w:rPr>
          <w:rFonts w:ascii="Times New Roman" w:eastAsia="Times New Roman" w:hAnsi="Times New Roman" w:cs="Times New Roman"/>
          <w:i/>
        </w:rPr>
        <w:t>Annals of Statistics, 6</w:t>
      </w:r>
      <w:r>
        <w:rPr>
          <w:rFonts w:ascii="Times New Roman" w:eastAsia="Times New Roman" w:hAnsi="Times New Roman" w:cs="Times New Roman"/>
        </w:rPr>
        <w:t xml:space="preserve">(2), 461–464. </w:t>
      </w:r>
      <w:hyperlink r:id="rId49">
        <w:r>
          <w:rPr>
            <w:rFonts w:ascii="Times New Roman" w:eastAsia="Times New Roman" w:hAnsi="Times New Roman" w:cs="Times New Roman"/>
            <w:color w:val="1155CC"/>
            <w:u w:val="single"/>
          </w:rPr>
          <w:t>https://doi.org/10.1214/aos/1176344136</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Smith, A. (1776). </w:t>
      </w:r>
      <w:r>
        <w:rPr>
          <w:rFonts w:ascii="Times New Roman" w:eastAsia="Times New Roman" w:hAnsi="Times New Roman" w:cs="Times New Roman"/>
          <w:i/>
        </w:rPr>
        <w:t>An inquiry into the nature and causes of the wealth of nations</w:t>
      </w:r>
      <w:r>
        <w:rPr>
          <w:rFonts w:ascii="Times New Roman" w:eastAsia="Times New Roman" w:hAnsi="Times New Roman" w:cs="Times New Roman"/>
        </w:rPr>
        <w:t xml:space="preserve">. W. Strahan and T. </w:t>
      </w:r>
      <w:proofErr w:type="spellStart"/>
      <w:r>
        <w:rPr>
          <w:rFonts w:ascii="Times New Roman" w:eastAsia="Times New Roman" w:hAnsi="Times New Roman" w:cs="Times New Roman"/>
        </w:rPr>
        <w:t>Cadell</w:t>
      </w:r>
      <w:proofErr w:type="spellEnd"/>
      <w:r>
        <w:rPr>
          <w:rFonts w:ascii="Times New Roman" w:eastAsia="Times New Roman" w:hAnsi="Times New Roman" w:cs="Times New Roman"/>
        </w:rPr>
        <w:t xml:space="preserve">. </w:t>
      </w:r>
      <w:hyperlink r:id="rId50">
        <w:r>
          <w:rPr>
            <w:rFonts w:ascii="Times New Roman" w:eastAsia="Times New Roman" w:hAnsi="Times New Roman" w:cs="Times New Roman"/>
            <w:color w:val="1155CC"/>
            <w:u w:val="single"/>
          </w:rPr>
          <w:t>http://gesd.free.fr/smith76bis.pdf</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lang w:val="en-US"/>
        </w:rPr>
      </w:pPr>
      <w:r w:rsidRPr="00AB45D8">
        <w:rPr>
          <w:rFonts w:ascii="Times New Roman" w:eastAsia="Times New Roman" w:hAnsi="Times New Roman"/>
        </w:rPr>
        <w:t xml:space="preserve">Specialty Coffee Association. (2024, June 12). 2024 National Coffee Data Trends—Specialty Coffee breakout report now available. </w:t>
      </w:r>
      <w:hyperlink r:id="rId51" w:history="1">
        <w:r>
          <w:rPr>
            <w:rStyle w:val="Hyperlink"/>
            <w:rFonts w:ascii="Times New Roman" w:eastAsia="Times New Roman" w:hAnsi="Times New Roman"/>
          </w:rPr>
          <w:t>https://sca.coffee/sca-news/2024-national-coffee-data-trends-specialty-coffee-breakout-report-now-available</w:t>
        </w:r>
      </w:hyperlink>
      <w:r>
        <w:rPr>
          <w:rFonts w:ascii="Times New Roman" w:eastAsia="Times New Roman" w:hAnsi="Times New Roman"/>
          <w:lang w:val="en-US"/>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Tridge</w:t>
      </w:r>
      <w:proofErr w:type="spellEnd"/>
      <w:r>
        <w:rPr>
          <w:rFonts w:ascii="Times New Roman" w:eastAsia="Times New Roman" w:hAnsi="Times New Roman" w:cs="Times New Roman"/>
        </w:rPr>
        <w:t xml:space="preserve">. (2023). </w:t>
      </w:r>
      <w:r>
        <w:rPr>
          <w:rFonts w:ascii="Times New Roman" w:eastAsia="Times New Roman" w:hAnsi="Times New Roman" w:cs="Times New Roman"/>
          <w:i/>
        </w:rPr>
        <w:t>Rwanda: How high price fuelled Rwanda coffee exports past U.S.$100 million</w:t>
      </w:r>
      <w:r>
        <w:rPr>
          <w:rFonts w:ascii="Times New Roman" w:eastAsia="Times New Roman" w:hAnsi="Times New Roman" w:cs="Times New Roman"/>
        </w:rPr>
        <w:t xml:space="preserve">. Retrieved from </w:t>
      </w:r>
      <w:hyperlink r:id="rId52">
        <w:r>
          <w:rPr>
            <w:rFonts w:ascii="Times New Roman" w:eastAsia="Times New Roman" w:hAnsi="Times New Roman" w:cs="Times New Roman"/>
            <w:color w:val="1155CC"/>
            <w:u w:val="single"/>
          </w:rPr>
          <w:t>https://www.tridge.com/news/rwanda-how-high-price-fuelled-rwanda-coffee-export</w:t>
        </w:r>
      </w:hyperlink>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Uganda Coffee Development Authority (UCDA). (2022). </w:t>
      </w:r>
      <w:r>
        <w:rPr>
          <w:rFonts w:ascii="Times New Roman" w:eastAsia="Times New Roman" w:hAnsi="Times New Roman" w:cs="Times New Roman"/>
          <w:i/>
        </w:rPr>
        <w:t>Uganda’s coffee exports for FY2021/22 hit 6.26 million bags despite drought</w:t>
      </w:r>
      <w:r>
        <w:rPr>
          <w:rFonts w:ascii="Times New Roman" w:eastAsia="Times New Roman" w:hAnsi="Times New Roman" w:cs="Times New Roman"/>
        </w:rPr>
        <w:t xml:space="preserve">. Retrieved from </w:t>
      </w:r>
      <w:hyperlink r:id="rId53">
        <w:r>
          <w:rPr>
            <w:rFonts w:ascii="Times New Roman" w:eastAsia="Times New Roman" w:hAnsi="Times New Roman" w:cs="Times New Roman"/>
            <w:color w:val="1155CC"/>
            <w:u w:val="single"/>
          </w:rPr>
          <w:t>https://ugandacoffee.go.ug/node/238</w:t>
        </w:r>
      </w:hyperlink>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Umoru</w:t>
      </w:r>
      <w:proofErr w:type="spellEnd"/>
      <w:r>
        <w:rPr>
          <w:rFonts w:ascii="Times New Roman" w:eastAsia="Times New Roman" w:hAnsi="Times New Roman" w:cs="Times New Roman"/>
        </w:rPr>
        <w:t xml:space="preserve">, D., &amp; </w:t>
      </w:r>
      <w:proofErr w:type="spellStart"/>
      <w:r>
        <w:rPr>
          <w:rFonts w:ascii="Times New Roman" w:eastAsia="Times New Roman" w:hAnsi="Times New Roman" w:cs="Times New Roman"/>
        </w:rPr>
        <w:t>Imimole</w:t>
      </w:r>
      <w:proofErr w:type="spellEnd"/>
      <w:r>
        <w:rPr>
          <w:rFonts w:ascii="Times New Roman" w:eastAsia="Times New Roman" w:hAnsi="Times New Roman" w:cs="Times New Roman"/>
        </w:rPr>
        <w:t xml:space="preserve">, F. O. (2022). The impact of currency devaluation on non-oil exports in Africa. Central European Review of Economics and Management, 6(4), 29–59. </w:t>
      </w:r>
      <w:hyperlink r:id="rId54">
        <w:r>
          <w:rPr>
            <w:rFonts w:ascii="Times New Roman" w:eastAsia="Times New Roman" w:hAnsi="Times New Roman" w:cs="Times New Roman"/>
            <w:color w:val="1155CC"/>
            <w:u w:val="single"/>
          </w:rPr>
          <w:t>https://doi.org/10.29015/cerem.954</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Vuggumudi</w:t>
      </w:r>
      <w:proofErr w:type="spellEnd"/>
      <w:r>
        <w:rPr>
          <w:rFonts w:ascii="Times New Roman" w:eastAsia="Times New Roman" w:hAnsi="Times New Roman" w:cs="Times New Roman"/>
        </w:rPr>
        <w:t xml:space="preserve">, H. V. (2023). </w:t>
      </w:r>
      <w:r>
        <w:rPr>
          <w:rFonts w:ascii="Times New Roman" w:eastAsia="Times New Roman" w:hAnsi="Times New Roman" w:cs="Times New Roman"/>
          <w:i/>
        </w:rPr>
        <w:t>Coffee production in Rwanda: Tackling climate change with agroforestry</w:t>
      </w:r>
      <w:r>
        <w:rPr>
          <w:rFonts w:ascii="Times New Roman" w:eastAsia="Times New Roman" w:hAnsi="Times New Roman" w:cs="Times New Roman"/>
        </w:rPr>
        <w:t xml:space="preserve">. </w:t>
      </w:r>
      <w:proofErr w:type="spellStart"/>
      <w:r>
        <w:rPr>
          <w:rFonts w:ascii="Times New Roman" w:eastAsia="Times New Roman" w:hAnsi="Times New Roman" w:cs="Times New Roman"/>
        </w:rPr>
        <w:t>Naturland</w:t>
      </w:r>
      <w:proofErr w:type="spellEnd"/>
      <w:r>
        <w:rPr>
          <w:rFonts w:ascii="Times New Roman" w:eastAsia="Times New Roman" w:hAnsi="Times New Roman" w:cs="Times New Roman"/>
        </w:rPr>
        <w:t>.</w:t>
      </w:r>
      <w:hyperlink r:id="rId55">
        <w:r>
          <w:rPr>
            <w:rFonts w:ascii="Times New Roman" w:eastAsia="Times New Roman" w:hAnsi="Times New Roman" w:cs="Times New Roman"/>
          </w:rPr>
          <w:t xml:space="preserve"> </w:t>
        </w:r>
      </w:hyperlink>
      <w:hyperlink r:id="rId56">
        <w:r>
          <w:rPr>
            <w:rFonts w:ascii="Times New Roman" w:eastAsia="Times New Roman" w:hAnsi="Times New Roman" w:cs="Times New Roman"/>
            <w:color w:val="1155CC"/>
            <w:u w:val="single"/>
          </w:rPr>
          <w:t>https://www.naturland.de/en/producers/service-and-expertise/organic-news/5567-coffee-production-in-rwanda-tackling-climate-change-with-agroforestry.html</w:t>
        </w:r>
      </w:hyperlink>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White, H. (1980). A heteroskedasticity-consistent covariance matrix estimator and a direct test for heteroskedasticity. </w:t>
      </w:r>
      <w:proofErr w:type="spellStart"/>
      <w:r>
        <w:rPr>
          <w:rFonts w:ascii="Times New Roman" w:eastAsia="Times New Roman" w:hAnsi="Times New Roman" w:cs="Times New Roman"/>
          <w:i/>
        </w:rPr>
        <w:t>Econometrica</w:t>
      </w:r>
      <w:proofErr w:type="spellEnd"/>
      <w:r>
        <w:rPr>
          <w:rFonts w:ascii="Times New Roman" w:eastAsia="Times New Roman" w:hAnsi="Times New Roman" w:cs="Times New Roman"/>
        </w:rPr>
        <w:t xml:space="preserve">, 48(4), 817–838. </w:t>
      </w:r>
      <w:hyperlink r:id="rId57">
        <w:r>
          <w:rPr>
            <w:rFonts w:ascii="Times New Roman" w:eastAsia="Times New Roman" w:hAnsi="Times New Roman" w:cs="Times New Roman"/>
            <w:color w:val="1155CC"/>
            <w:u w:val="single"/>
          </w:rPr>
          <w:t>https://doi.org/10.2307/1912934</w:t>
        </w:r>
      </w:hyperlink>
      <w:r>
        <w:rPr>
          <w:rFonts w:ascii="Times New Roman" w:eastAsia="Times New Roman" w:hAnsi="Times New Roman" w:cs="Times New Roman"/>
        </w:rPr>
        <w:t xml:space="preserve"> </w:t>
      </w:r>
    </w:p>
    <w:p w:rsidR="0045078D" w:rsidRDefault="00551C1A">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Xinhua. (2025, May 15). </w:t>
      </w:r>
      <w:r>
        <w:rPr>
          <w:rFonts w:ascii="Times New Roman" w:eastAsia="Times New Roman" w:hAnsi="Times New Roman" w:cs="Times New Roman"/>
          <w:i/>
        </w:rPr>
        <w:t xml:space="preserve">Ethiopia earns nearly 1.87 </w:t>
      </w:r>
      <w:proofErr w:type="spellStart"/>
      <w:r>
        <w:rPr>
          <w:rFonts w:ascii="Times New Roman" w:eastAsia="Times New Roman" w:hAnsi="Times New Roman" w:cs="Times New Roman"/>
          <w:i/>
        </w:rPr>
        <w:t>bln</w:t>
      </w:r>
      <w:proofErr w:type="spellEnd"/>
      <w:r>
        <w:rPr>
          <w:rFonts w:ascii="Times New Roman" w:eastAsia="Times New Roman" w:hAnsi="Times New Roman" w:cs="Times New Roman"/>
          <w:i/>
        </w:rPr>
        <w:t xml:space="preserve"> USD from coffee export in 10 months.</w:t>
      </w:r>
      <w:r>
        <w:rPr>
          <w:rFonts w:ascii="Times New Roman" w:eastAsia="Times New Roman" w:hAnsi="Times New Roman" w:cs="Times New Roman"/>
        </w:rPr>
        <w:t xml:space="preserve"> </w:t>
      </w:r>
      <w:hyperlink r:id="rId58">
        <w:r>
          <w:rPr>
            <w:rFonts w:ascii="Times New Roman" w:eastAsia="Times New Roman" w:hAnsi="Times New Roman" w:cs="Times New Roman"/>
            <w:color w:val="1155CC"/>
            <w:u w:val="single"/>
          </w:rPr>
          <w:t>https://english.news.cn/20250515/f60e74ef0c6042379b488de8ad62c997/c.html</w:t>
        </w:r>
      </w:hyperlink>
      <w:r>
        <w:rPr>
          <w:rFonts w:ascii="Times New Roman" w:eastAsia="Times New Roman" w:hAnsi="Times New Roman" w:cs="Times New Roman"/>
        </w:rPr>
        <w:t xml:space="preserve"> </w:t>
      </w:r>
    </w:p>
    <w:sectPr w:rsidR="0045078D">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63B" w:rsidRDefault="0036763B">
      <w:pPr>
        <w:spacing w:line="240" w:lineRule="auto"/>
      </w:pPr>
      <w:r>
        <w:separator/>
      </w:r>
    </w:p>
  </w:endnote>
  <w:endnote w:type="continuationSeparator" w:id="0">
    <w:p w:rsidR="0036763B" w:rsidRDefault="00367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Gungsuh">
    <w:altName w:val="Malgun Gothic"/>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4B6" w:rsidRDefault="00D72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4B6" w:rsidRDefault="00D72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4B6" w:rsidRDefault="00D72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63B" w:rsidRDefault="0036763B">
      <w:r>
        <w:separator/>
      </w:r>
    </w:p>
  </w:footnote>
  <w:footnote w:type="continuationSeparator" w:id="0">
    <w:p w:rsidR="0036763B" w:rsidRDefault="0036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4B6" w:rsidRDefault="00394D5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71844" o:spid="_x0000_s2050"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4B6" w:rsidRDefault="00394D5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71845" o:spid="_x0000_s2051"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4B6" w:rsidRDefault="00394D5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71843" o:spid="_x0000_s2049"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A04"/>
    <w:multiLevelType w:val="multilevel"/>
    <w:tmpl w:val="07BA2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2F"/>
    <w:rsid w:val="0017722F"/>
    <w:rsid w:val="00224FC1"/>
    <w:rsid w:val="002F52DB"/>
    <w:rsid w:val="00330C95"/>
    <w:rsid w:val="0036763B"/>
    <w:rsid w:val="00394D56"/>
    <w:rsid w:val="0045078D"/>
    <w:rsid w:val="00531F7E"/>
    <w:rsid w:val="00551C1A"/>
    <w:rsid w:val="00637A5A"/>
    <w:rsid w:val="007544ED"/>
    <w:rsid w:val="008307F4"/>
    <w:rsid w:val="00AB45D8"/>
    <w:rsid w:val="00D724B6"/>
    <w:rsid w:val="00DF29A1"/>
    <w:rsid w:val="00F17D1F"/>
    <w:rsid w:val="00F21F4C"/>
    <w:rsid w:val="00FE17BF"/>
    <w:rsid w:val="240E2903"/>
    <w:rsid w:val="323503B6"/>
    <w:rsid w:val="5B26775C"/>
    <w:rsid w:val="7045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2DEC2"/>
  <w15:docId w15:val="{E49EEDDD-E8B8-4853-B53F-1D046BEE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tblPr>
      <w:tblCellMar>
        <w:top w:w="100" w:type="dxa"/>
        <w:left w:w="100" w:type="dxa"/>
        <w:bottom w:w="100" w:type="dxa"/>
        <w:right w:w="100" w:type="dxa"/>
      </w:tblCellMar>
    </w:tblPr>
  </w:style>
  <w:style w:type="table" w:customStyle="1" w:styleId="Style13">
    <w:name w:val="_Style 13"/>
    <w:basedOn w:val="TableNormal0"/>
    <w:tblPr>
      <w:tblCellMar>
        <w:top w:w="100" w:type="dxa"/>
        <w:left w:w="100" w:type="dxa"/>
        <w:bottom w:w="100" w:type="dxa"/>
        <w:right w:w="100" w:type="dxa"/>
      </w:tblCellMar>
    </w:tblPr>
  </w:style>
  <w:style w:type="table" w:customStyle="1" w:styleId="Style14">
    <w:name w:val="_Style 14"/>
    <w:basedOn w:val="TableNormal0"/>
    <w:qFormat/>
    <w:tblPr>
      <w:tblCellMar>
        <w:top w:w="100" w:type="dxa"/>
        <w:left w:w="100" w:type="dxa"/>
        <w:bottom w:w="100" w:type="dxa"/>
        <w:right w:w="100" w:type="dxa"/>
      </w:tblCellMar>
    </w:tblPr>
  </w:style>
  <w:style w:type="table" w:customStyle="1" w:styleId="Style15">
    <w:name w:val="_Style 15"/>
    <w:basedOn w:val="TableNormal0"/>
    <w:qFormat/>
    <w:tblPr>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551C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C1A"/>
    <w:rPr>
      <w:rFonts w:ascii="Segoe UI" w:hAnsi="Segoe UI" w:cs="Segoe UI"/>
      <w:sz w:val="18"/>
      <w:szCs w:val="18"/>
      <w:lang w:val="en"/>
    </w:rPr>
  </w:style>
  <w:style w:type="paragraph" w:styleId="ListParagraph">
    <w:name w:val="List Paragraph"/>
    <w:basedOn w:val="Normal"/>
    <w:uiPriority w:val="99"/>
    <w:rsid w:val="00D72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fao.org/faostat/en/" TargetMode="External"/><Relationship Id="rId21" Type="http://schemas.openxmlformats.org/officeDocument/2006/relationships/hyperlink" Target="https://www.ecofinagency.com/news/1505-46830-ethiopia-hits-record-high-in-coffee-exports-and-revenue" TargetMode="External"/><Relationship Id="rId34" Type="http://schemas.openxmlformats.org/officeDocument/2006/relationships/hyperlink" Target="https://doi.org/10.1016/0165-1765(80)90024-5" TargetMode="External"/><Relationship Id="rId42" Type="http://schemas.openxmlformats.org/officeDocument/2006/relationships/hyperlink" Target="https://www.naeb.gov.rw/1/updates/news-detail/coffee-rejuvenation-key-to-improve-farm-yield" TargetMode="External"/><Relationship Id="rId47" Type="http://schemas.openxmlformats.org/officeDocument/2006/relationships/hyperlink" Target="https://www.hbs.edu/faculty/Pages/item.aspx?num=189" TargetMode="External"/><Relationship Id="rId50" Type="http://schemas.openxmlformats.org/officeDocument/2006/relationships/hyperlink" Target="http://gesd.free.fr/smith76bis.pdf" TargetMode="External"/><Relationship Id="rId55" Type="http://schemas.openxmlformats.org/officeDocument/2006/relationships/hyperlink" Target="https://www.naturland.de/en/producers/service-and-expertise/organic-news/5567-coffee-production-in-rwanda-tackling-climate-change-with-agroforestry.html"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3/biomet/65.2.297" TargetMode="External"/><Relationship Id="rId29" Type="http://schemas.openxmlformats.org/officeDocument/2006/relationships/hyperlink" Target="https://www.researchgate.net/profile/Ngabitsinze-Jean-Chrysostome-2/publication/264288687_THE_RWANDAN_COFFEE_SECTOROUT_OF_THE_ORDINARY/links/53d79ecd0cf2631430bfbab9/THE-RWANDAN-COFFEE-SECTOROUT-OF-THE-ORDINARY.pdf" TargetMode="External"/><Relationship Id="rId11" Type="http://schemas.openxmlformats.org/officeDocument/2006/relationships/image" Target="media/image4.png"/><Relationship Id="rId24" Type="http://schemas.openxmlformats.org/officeDocument/2006/relationships/hyperlink" Target="https://eur-lex.europa.eu/eli/reg/2023/1115/oj" TargetMode="External"/><Relationship Id="rId32" Type="http://schemas.openxmlformats.org/officeDocument/2006/relationships/hyperlink" Target="https://www.ico.org/market_analysis.asp?section=Market%20Overview" TargetMode="External"/><Relationship Id="rId37" Type="http://schemas.openxmlformats.org/officeDocument/2006/relationships/hyperlink" Target="https://doi.org/10.1093/0198774508.001.0001" TargetMode="External"/><Relationship Id="rId40" Type="http://schemas.openxmlformats.org/officeDocument/2006/relationships/hyperlink" Target="https://sca.coffee/sca-news/25/issue-23-gendered-coffee-paradox" TargetMode="External"/><Relationship Id="rId45" Type="http://schemas.openxmlformats.org/officeDocument/2006/relationships/hyperlink" Target="https://doi.org/10.1002/jae.616" TargetMode="External"/><Relationship Id="rId53" Type="http://schemas.openxmlformats.org/officeDocument/2006/relationships/hyperlink" Target="https://ugandacoffee.go.ug/node/238" TargetMode="External"/><Relationship Id="rId58" Type="http://schemas.openxmlformats.org/officeDocument/2006/relationships/hyperlink" Target="https://english.news.cn/20250515/f60e74ef0c6042379b488de8ad62c997/c.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dx.doi.org/10.5040/9781350222984" TargetMode="External"/><Relationship Id="rId14" Type="http://schemas.openxmlformats.org/officeDocument/2006/relationships/hyperlink" Target="https://doi.org/10.1007/s12571-015-0446-9" TargetMode="External"/><Relationship Id="rId22" Type="http://schemas.openxmlformats.org/officeDocument/2006/relationships/hyperlink" Target="https://efico.com/articles/rwanda-what-to-expect-from-crop-23-24/" TargetMode="External"/><Relationship Id="rId27" Type="http://schemas.openxmlformats.org/officeDocument/2006/relationships/hyperlink" Target="https://www.foodbusinessafrica.com/coffee-farmers-in-rwanda-to-earn-more-as-government-announces-increased-minimum-price/" TargetMode="External"/><Relationship Id="rId30" Type="http://schemas.openxmlformats.org/officeDocument/2006/relationships/hyperlink" Target="https://www.econbiz.de/Record/thr-effect-of-foreign-trade-on-the-distribution-of-income-1919-heckscher-eli/10003573813" TargetMode="External"/><Relationship Id="rId35" Type="http://schemas.openxmlformats.org/officeDocument/2006/relationships/hyperlink" Target="https://doi.org/10.3390/su152316513" TargetMode="External"/><Relationship Id="rId43" Type="http://schemas.openxmlformats.org/officeDocument/2006/relationships/hyperlink" Target="https://allafrica.com/stories/202408220295.html" TargetMode="External"/><Relationship Id="rId48" Type="http://schemas.openxmlformats.org/officeDocument/2006/relationships/hyperlink" Target="https://qahwaworld.com/news/switzerland-us-and-uk-emerge-as-top-buyers-of-rwandan-coffee/" TargetMode="External"/><Relationship Id="rId56" Type="http://schemas.openxmlformats.org/officeDocument/2006/relationships/hyperlink" Target="https://www.naturland.de/en/producers/service-and-expertise/organic-news/5567-coffee-production-in-rwanda-tackling-climate-change-with-agroforestry.html"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sca.coffee/sca-news/2024-national-coffee-data-trends-specialty-coffee-breakout-report-now-available"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canr.msu.edu/resources/the-challenge-to-sustainable-growth-in-rwanda-s-coffee-sector" TargetMode="External"/><Relationship Id="rId25" Type="http://schemas.openxmlformats.org/officeDocument/2006/relationships/hyperlink" Target="https://www.fao.org/faostat/en/" TargetMode="External"/><Relationship Id="rId33" Type="http://schemas.openxmlformats.org/officeDocument/2006/relationships/hyperlink" Target="https://www.theigc.org/sites/default/files/2023-07/final_rwanda_export_study_05_2022.pdf" TargetMode="External"/><Relationship Id="rId38" Type="http://schemas.openxmlformats.org/officeDocument/2006/relationships/hyperlink" Target="https://econpapers.repec.org/RePEc%3Aoxp%3Aobooks%3A9780199285679?utm_source=chatgpt.com" TargetMode="External"/><Relationship Id="rId46" Type="http://schemas.openxmlformats.org/officeDocument/2006/relationships/hyperlink" Target="https://doi.org/10.1093/biomet/75.2.335" TargetMode="External"/><Relationship Id="rId59" Type="http://schemas.openxmlformats.org/officeDocument/2006/relationships/header" Target="header1.xml"/><Relationship Id="rId20" Type="http://schemas.openxmlformats.org/officeDocument/2006/relationships/hyperlink" Target="https://doi.org/10.1080/01621459.1979.10482531" TargetMode="External"/><Relationship Id="rId41" Type="http://schemas.openxmlformats.org/officeDocument/2006/relationships/hyperlink" Target="https://doi.org/10.1007/978-3-540-27752-1" TargetMode="External"/><Relationship Id="rId54" Type="http://schemas.openxmlformats.org/officeDocument/2006/relationships/hyperlink" Target="https://doi.org/10.29015/cerem.954"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eb.kuleuven.be/drc/Economics/research/old-dps-papers/Dps03/DPS0311.pdf" TargetMode="External"/><Relationship Id="rId23" Type="http://schemas.openxmlformats.org/officeDocument/2006/relationships/hyperlink" Target="https://doi.org/10.2307/1913236" TargetMode="External"/><Relationship Id="rId28" Type="http://schemas.openxmlformats.org/officeDocument/2006/relationships/hyperlink" Target="https://www.foodbusinessmea.com/ugandas-coffee-export-earnings-surge-92-in-may-on-strong-harvest-global-demand/" TargetMode="External"/><Relationship Id="rId36" Type="http://schemas.openxmlformats.org/officeDocument/2006/relationships/hyperlink" Target="https://doi.org/10.2307/2938278" TargetMode="External"/><Relationship Id="rId49" Type="http://schemas.openxmlformats.org/officeDocument/2006/relationships/hyperlink" Target="https://doi.org/10.1214/aos/1176344136" TargetMode="External"/><Relationship Id="rId57" Type="http://schemas.openxmlformats.org/officeDocument/2006/relationships/hyperlink" Target="https://doi.org/10.2307/1912934" TargetMode="External"/><Relationship Id="rId10" Type="http://schemas.openxmlformats.org/officeDocument/2006/relationships/image" Target="media/image3.png"/><Relationship Id="rId31" Type="http://schemas.openxmlformats.org/officeDocument/2006/relationships/hyperlink" Target="https://www.icocoffee.org/documents/cy2024-25/coffee-development-report-2022-23.pdf" TargetMode="External"/><Relationship Id="rId44" Type="http://schemas.openxmlformats.org/officeDocument/2006/relationships/hyperlink" Target="https://ia902909.us.archive.org/17/items/in.ernet.dli.2015.112870/2015.112870.Interregional-And-International-Trade-Volxxxix.pdf" TargetMode="External"/><Relationship Id="rId52" Type="http://schemas.openxmlformats.org/officeDocument/2006/relationships/hyperlink" Target="https://www.tridge.com/news/rwanda-how-high-price-fuelled-rwanda-coffee-export"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au.int/en/treaties/afcfta" TargetMode="External"/><Relationship Id="rId18" Type="http://schemas.openxmlformats.org/officeDocument/2006/relationships/hyperlink" Target="https://www.monitor.co.ug/uganda/news/national/how-global-market-dynamics-shape-uganda-s-coffee-prices-5096946" TargetMode="External"/><Relationship Id="rId39" Type="http://schemas.openxmlformats.org/officeDocument/2006/relationships/hyperlink" Target="https://eastafrican-agrinews.com/ethiopia-breaks-coffee-export-record-earning-usd-1-87-b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14717</Words>
  <Characters>83891</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sangw</dc:creator>
  <cp:lastModifiedBy>SDI PC New 16</cp:lastModifiedBy>
  <cp:revision>5</cp:revision>
  <dcterms:created xsi:type="dcterms:W3CDTF">2025-08-13T16:27:00Z</dcterms:created>
  <dcterms:modified xsi:type="dcterms:W3CDTF">2025-08-19T07:41:00Z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DC0D734ADAA14D3F8C5BC836D58D4907_13</vt:lpwstr>
  </property>
</Properties>
</file>