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08552" w14:textId="77777777" w:rsidR="00366727" w:rsidRDefault="005265DE">
      <w:pPr>
        <w:pStyle w:val="Author"/>
        <w:spacing w:line="240" w:lineRule="auto"/>
        <w:rPr>
          <w:rFonts w:ascii="Arial" w:hAnsi="Arial" w:cs="Arial"/>
          <w:bCs/>
          <w:iCs/>
          <w:kern w:val="28"/>
          <w:sz w:val="36"/>
        </w:rPr>
      </w:pPr>
      <w:r>
        <w:rPr>
          <w:rFonts w:ascii="Arial" w:hAnsi="Arial" w:cs="Arial"/>
          <w:bCs/>
          <w:iCs/>
          <w:kern w:val="28"/>
          <w:sz w:val="36"/>
        </w:rPr>
        <w:t xml:space="preserve">Original Research Article </w:t>
      </w:r>
    </w:p>
    <w:p w14:paraId="14778018" w14:textId="77777777" w:rsidR="00366727" w:rsidRDefault="00366727">
      <w:pPr>
        <w:pStyle w:val="Author"/>
        <w:spacing w:line="240" w:lineRule="auto"/>
        <w:rPr>
          <w:rFonts w:ascii="Arial" w:hAnsi="Arial" w:cs="Arial"/>
          <w:bCs/>
          <w:iCs/>
          <w:kern w:val="28"/>
          <w:sz w:val="36"/>
        </w:rPr>
      </w:pPr>
    </w:p>
    <w:p w14:paraId="4779E260" w14:textId="77777777" w:rsidR="00366727" w:rsidRDefault="005265DE">
      <w:pPr>
        <w:pStyle w:val="Author"/>
        <w:spacing w:line="240" w:lineRule="auto"/>
        <w:rPr>
          <w:rFonts w:ascii="Arial" w:hAnsi="Arial" w:cs="Arial"/>
          <w:bCs/>
          <w:iCs/>
          <w:kern w:val="28"/>
          <w:sz w:val="36"/>
        </w:rPr>
      </w:pPr>
      <w:r>
        <w:rPr>
          <w:rFonts w:ascii="Arial" w:hAnsi="Arial" w:cs="Arial"/>
          <w:bCs/>
          <w:iCs/>
          <w:kern w:val="28"/>
          <w:sz w:val="36"/>
        </w:rPr>
        <w:t>Testing Factors Affecting Unemployment Rates</w:t>
      </w:r>
    </w:p>
    <w:p w14:paraId="29EE458F" w14:textId="77777777" w:rsidR="00366727" w:rsidRDefault="00366727">
      <w:pPr>
        <w:pStyle w:val="Author"/>
        <w:spacing w:line="240" w:lineRule="auto"/>
        <w:jc w:val="both"/>
        <w:rPr>
          <w:rFonts w:ascii="Arial" w:hAnsi="Arial" w:cs="Arial"/>
          <w:sz w:val="36"/>
        </w:rPr>
      </w:pPr>
    </w:p>
    <w:p w14:paraId="34EF39C5" w14:textId="77777777" w:rsidR="00366727" w:rsidRDefault="00366727">
      <w:pPr>
        <w:pStyle w:val="Affiliation"/>
        <w:spacing w:after="0" w:line="240" w:lineRule="auto"/>
        <w:rPr>
          <w:rFonts w:ascii="Arial" w:hAnsi="Arial" w:cs="Arial"/>
          <w:i/>
        </w:rPr>
      </w:pPr>
    </w:p>
    <w:p w14:paraId="58880498" w14:textId="77777777" w:rsidR="00366727" w:rsidRDefault="00366727">
      <w:pPr>
        <w:pStyle w:val="Affiliation"/>
        <w:spacing w:after="0" w:line="240" w:lineRule="auto"/>
        <w:rPr>
          <w:rFonts w:ascii="Arial" w:hAnsi="Arial" w:cs="Arial"/>
          <w:i/>
        </w:rPr>
      </w:pPr>
    </w:p>
    <w:p w14:paraId="752526BD" w14:textId="77777777" w:rsidR="00366727" w:rsidRDefault="00366727">
      <w:pPr>
        <w:pStyle w:val="Affiliation"/>
        <w:spacing w:after="0" w:line="240" w:lineRule="auto"/>
        <w:rPr>
          <w:rFonts w:ascii="Arial" w:hAnsi="Arial" w:cs="Arial"/>
          <w:i/>
        </w:rPr>
      </w:pPr>
    </w:p>
    <w:p w14:paraId="2D4C139A" w14:textId="77777777" w:rsidR="00366727" w:rsidRDefault="00366727">
      <w:pPr>
        <w:pStyle w:val="Affiliation"/>
        <w:spacing w:after="0" w:line="240" w:lineRule="auto"/>
        <w:jc w:val="both"/>
        <w:rPr>
          <w:rFonts w:ascii="Arial" w:hAnsi="Arial" w:cs="Arial"/>
        </w:rPr>
      </w:pPr>
    </w:p>
    <w:p w14:paraId="5A98C6FF" w14:textId="77777777" w:rsidR="00366727" w:rsidRDefault="00CD481A">
      <w:pPr>
        <w:pStyle w:val="Copyright"/>
        <w:spacing w:after="0" w:line="240" w:lineRule="auto"/>
        <w:jc w:val="both"/>
        <w:rPr>
          <w:rFonts w:ascii="Arial" w:hAnsi="Arial" w:cs="Arial"/>
        </w:rPr>
        <w:sectPr w:rsidR="0036672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3D857F5">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5265DE">
        <w:rPr>
          <w:rFonts w:ascii="Arial" w:hAnsi="Arial" w:cs="Arial"/>
        </w:rPr>
        <w:t>.</w:t>
      </w:r>
    </w:p>
    <w:p w14:paraId="32170C7D" w14:textId="77777777" w:rsidR="00366727" w:rsidRDefault="005265DE">
      <w:pPr>
        <w:pStyle w:val="AbstHead"/>
        <w:spacing w:after="0"/>
        <w:jc w:val="both"/>
        <w:rPr>
          <w:rFonts w:ascii="Arial" w:hAnsi="Arial" w:cs="Arial"/>
        </w:rPr>
      </w:pPr>
      <w:r>
        <w:rPr>
          <w:rFonts w:ascii="Arial" w:hAnsi="Arial" w:cs="Arial"/>
        </w:rPr>
        <w:t>ABSTRACT</w:t>
      </w:r>
    </w:p>
    <w:p w14:paraId="3946E7CF" w14:textId="77777777" w:rsidR="00366727" w:rsidRDefault="00366727">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366727" w14:paraId="02A5C8F0" w14:textId="77777777">
        <w:tc>
          <w:tcPr>
            <w:tcW w:w="9576" w:type="dxa"/>
            <w:shd w:val="clear" w:color="auto" w:fill="F2F2F2"/>
          </w:tcPr>
          <w:p w14:paraId="7328E352" w14:textId="2545A6BA" w:rsidR="00366727" w:rsidRDefault="005265DE">
            <w:pPr>
              <w:pStyle w:val="Body"/>
              <w:spacing w:after="0"/>
              <w:rPr>
                <w:rFonts w:ascii="Arial" w:eastAsia="Calibri" w:hAnsi="Arial" w:cs="Arial"/>
                <w:szCs w:val="22"/>
              </w:rPr>
            </w:pPr>
            <w:r>
              <w:rPr>
                <w:rFonts w:ascii="Arial" w:eastAsia="Calibri" w:hAnsi="Arial" w:cs="Arial"/>
                <w:szCs w:val="22"/>
              </w:rPr>
              <w:t>The unemployment rate is influenced by various macroeconomic factors, including interest rates, which affect investment and job creation. Besides, renewable energy consumption, foreign direct investment (FDI), and gross domestic product (GDP) growth play significant roles in driving economic activity and absorbing labor. Based on these premises, this study focuses on macroeconomic determinants—namely renewable energy consumption, interest rates, FDI, and GDP per capita—in relation to the unemployment rate.</w:t>
            </w:r>
            <w:r w:rsidR="008426A2">
              <w:rPr>
                <w:rFonts w:ascii="Arial" w:eastAsia="Calibri" w:hAnsi="Arial" w:cs="Arial"/>
                <w:szCs w:val="22"/>
              </w:rPr>
              <w:t xml:space="preserve"> </w:t>
            </w:r>
            <w:r>
              <w:rPr>
                <w:rFonts w:ascii="Arial" w:eastAsia="Calibri" w:hAnsi="Arial" w:cs="Arial"/>
                <w:szCs w:val="22"/>
              </w:rPr>
              <w:t>The case study focuses on Indonesia. Time series data from 1991 to 2023 were collected from secondary sources</w:t>
            </w:r>
            <w:r w:rsidR="00274E51">
              <w:rPr>
                <w:rFonts w:ascii="Arial" w:eastAsia="Calibri" w:hAnsi="Arial" w:cs="Arial"/>
                <w:szCs w:val="22"/>
              </w:rPr>
              <w:t xml:space="preserve">, namely </w:t>
            </w:r>
            <w:r w:rsidR="00C975A9" w:rsidRPr="00C975A9">
              <w:rPr>
                <w:rFonts w:ascii="Arial" w:eastAsia="Calibri" w:hAnsi="Arial" w:cs="Arial"/>
                <w:szCs w:val="22"/>
              </w:rPr>
              <w:t>BPS-Statistics Indonesia</w:t>
            </w:r>
            <w:r>
              <w:rPr>
                <w:rFonts w:ascii="Arial" w:eastAsia="Calibri" w:hAnsi="Arial" w:cs="Arial"/>
                <w:szCs w:val="22"/>
              </w:rPr>
              <w:t>. The data were then tabulated using the Autoregressive Distributed Lag (ARDL) approach.</w:t>
            </w:r>
            <w:r w:rsidR="008426A2">
              <w:rPr>
                <w:rFonts w:ascii="Arial" w:eastAsia="Calibri" w:hAnsi="Arial" w:cs="Arial"/>
                <w:szCs w:val="22"/>
              </w:rPr>
              <w:t xml:space="preserve"> </w:t>
            </w:r>
            <w:r>
              <w:rPr>
                <w:rFonts w:ascii="Arial" w:eastAsia="Calibri" w:hAnsi="Arial" w:cs="Arial"/>
                <w:szCs w:val="22"/>
              </w:rPr>
              <w:t>The study found that renewable energy consumption has a significant but inconsistent short-term effect on unemployment, suggesting a time lag in job creation. Interest rates exhibit a positive and significant impact on unemployment in both the short and long term, as higher rates restrict access to financing. Statistically, FDI also shows a positive relationship with unemployment across both time horizons, likely due to the concentration of investment in technology-intensive and automated sectors with low labor absorption capacity. Meanwhile, GDP per capita has a negative and significant effect on unemployment. This finding reveals that inclusive economic growth contributes to reducing unemployment rates, consistent with Okun's law.</w:t>
            </w:r>
            <w:r w:rsidR="008426A2">
              <w:rPr>
                <w:rFonts w:ascii="Arial" w:eastAsia="Calibri" w:hAnsi="Arial" w:cs="Arial"/>
                <w:szCs w:val="22"/>
              </w:rPr>
              <w:t xml:space="preserve"> </w:t>
            </w:r>
            <w:r>
              <w:rPr>
                <w:rFonts w:ascii="Arial" w:eastAsia="Calibri" w:hAnsi="Arial" w:cs="Arial"/>
                <w:szCs w:val="22"/>
              </w:rPr>
              <w:t>The study's findings underscore the urgency of implementing targeted interest rate policies, strategically managing foreign investment, promoting inclusive economic growth initiatives, and ensuring an equitable energy transition driven by skills development and data-driven labor market planning.</w:t>
            </w:r>
            <w:r w:rsidR="00A033B9">
              <w:t xml:space="preserve"> </w:t>
            </w:r>
            <w:r w:rsidR="00995154" w:rsidRPr="00995154">
              <w:rPr>
                <w:rFonts w:ascii="Arial" w:eastAsia="Calibri" w:hAnsi="Arial" w:cs="Arial"/>
                <w:szCs w:val="22"/>
              </w:rPr>
              <w:t>Explicitly</w:t>
            </w:r>
            <w:r w:rsidR="00A033B9" w:rsidRPr="00A033B9">
              <w:rPr>
                <w:rFonts w:ascii="Arial" w:eastAsia="Calibri" w:hAnsi="Arial" w:cs="Arial"/>
                <w:szCs w:val="22"/>
              </w:rPr>
              <w:t>, policy recommendations are directed toward investment in the renewable energy sector and setting low interest rates for labor-intensive industries to create new jobs and reduce unemployment. Too, FDI policy should focus on sectors that absorb a large workforce, while ensuring inclusive GDP per capita growth through increased productivity in labor-intensive sectors that are integrated into the local economy.</w:t>
            </w:r>
          </w:p>
        </w:tc>
      </w:tr>
    </w:tbl>
    <w:p w14:paraId="2D1A5450" w14:textId="77777777" w:rsidR="00366727" w:rsidRDefault="00366727">
      <w:pPr>
        <w:pStyle w:val="Body"/>
        <w:spacing w:after="0"/>
        <w:rPr>
          <w:rFonts w:ascii="Arial" w:hAnsi="Arial" w:cs="Arial"/>
          <w:i/>
        </w:rPr>
      </w:pPr>
    </w:p>
    <w:p w14:paraId="66215296" w14:textId="77777777" w:rsidR="00366727" w:rsidRDefault="005265DE">
      <w:pPr>
        <w:pStyle w:val="Body"/>
        <w:spacing w:after="0"/>
        <w:rPr>
          <w:rFonts w:ascii="Arial" w:hAnsi="Arial" w:cs="Arial"/>
          <w:i/>
        </w:rPr>
      </w:pPr>
      <w:r>
        <w:rPr>
          <w:rFonts w:ascii="Arial" w:hAnsi="Arial" w:cs="Arial"/>
          <w:i/>
        </w:rPr>
        <w:t>Keywords: unemployment; renewable energy; interest rate; FDI; GDP.</w:t>
      </w:r>
    </w:p>
    <w:p w14:paraId="276A26F3" w14:textId="4FCD9626" w:rsidR="00366727" w:rsidRDefault="00274E51">
      <w:pPr>
        <w:pStyle w:val="Body"/>
        <w:spacing w:after="0"/>
        <w:rPr>
          <w:rFonts w:ascii="Arial" w:hAnsi="Arial" w:cs="Arial"/>
          <w:i/>
        </w:rPr>
      </w:pPr>
      <w:r>
        <w:rPr>
          <w:rFonts w:ascii="Arial" w:hAnsi="Arial" w:cs="Arial"/>
          <w:i/>
        </w:rPr>
        <w:t xml:space="preserve">JEL codes: </w:t>
      </w:r>
      <w:r w:rsidR="002E333B">
        <w:rPr>
          <w:rFonts w:ascii="Arial" w:hAnsi="Arial" w:cs="Arial"/>
          <w:i/>
        </w:rPr>
        <w:t xml:space="preserve">E24; Q42; E43; F21; </w:t>
      </w:r>
      <w:r w:rsidR="002E333B" w:rsidRPr="002E333B">
        <w:rPr>
          <w:rFonts w:ascii="Arial" w:hAnsi="Arial" w:cs="Arial"/>
          <w:i/>
        </w:rPr>
        <w:t>O47</w:t>
      </w:r>
    </w:p>
    <w:p w14:paraId="013D120A" w14:textId="77777777" w:rsidR="00274E51" w:rsidRDefault="00274E51">
      <w:pPr>
        <w:pStyle w:val="Body"/>
        <w:spacing w:after="0"/>
        <w:rPr>
          <w:rFonts w:ascii="Arial" w:hAnsi="Arial" w:cs="Arial"/>
          <w:i/>
        </w:rPr>
      </w:pPr>
    </w:p>
    <w:p w14:paraId="2E6505AE" w14:textId="77777777" w:rsidR="00366727" w:rsidRDefault="005265DE">
      <w:pPr>
        <w:pStyle w:val="AbstHead"/>
        <w:spacing w:after="0"/>
        <w:jc w:val="both"/>
        <w:rPr>
          <w:rFonts w:ascii="Arial" w:hAnsi="Arial" w:cs="Arial"/>
        </w:rPr>
      </w:pPr>
      <w:r>
        <w:rPr>
          <w:rFonts w:ascii="Arial" w:hAnsi="Arial" w:cs="Arial"/>
        </w:rPr>
        <w:t xml:space="preserve">1. INTRODUCTION </w:t>
      </w:r>
    </w:p>
    <w:p w14:paraId="7497B009" w14:textId="77777777" w:rsidR="00366727" w:rsidRDefault="00366727">
      <w:pPr>
        <w:pStyle w:val="Body"/>
        <w:spacing w:after="0"/>
        <w:rPr>
          <w:rFonts w:ascii="Arial" w:eastAsia="Calibri" w:hAnsi="Arial" w:cs="Arial"/>
          <w:szCs w:val="22"/>
          <w:highlight w:val="yellow"/>
        </w:rPr>
      </w:pPr>
    </w:p>
    <w:p w14:paraId="7A494293" w14:textId="77777777" w:rsidR="00366727" w:rsidRDefault="005265DE">
      <w:pPr>
        <w:pStyle w:val="Body"/>
        <w:spacing w:after="0"/>
        <w:rPr>
          <w:rFonts w:ascii="Arial" w:hAnsi="Arial" w:cs="Arial"/>
          <w:highlight w:val="yellow"/>
        </w:rPr>
      </w:pPr>
      <w:r>
        <w:rPr>
          <w:rFonts w:ascii="Arial" w:hAnsi="Arial" w:cs="Arial"/>
        </w:rPr>
        <w:t>Unemployment is an undesirable economic phenomenon and continues to pose a challenge globally (Daniel et al., 2021; Mark, 2023). Imbalances in unemployment rates—whether excessively high or unusually low—can disrupt the stability of a country's economic system, particularly in developing nations. Beyond diminishing purchasing power and social welfare, high unemployment can also hinder economic growth, exacerbate social inequality, and reduce national productivity (</w:t>
      </w:r>
      <w:proofErr w:type="spellStart"/>
      <w:r>
        <w:rPr>
          <w:rFonts w:ascii="Arial" w:hAnsi="Arial" w:cs="Arial"/>
        </w:rPr>
        <w:t>Faturohim</w:t>
      </w:r>
      <w:proofErr w:type="spellEnd"/>
      <w:r>
        <w:rPr>
          <w:rFonts w:ascii="Arial" w:hAnsi="Arial" w:cs="Arial"/>
        </w:rPr>
        <w:t xml:space="preserve"> et al., 2023; </w:t>
      </w:r>
      <w:proofErr w:type="spellStart"/>
      <w:r>
        <w:rPr>
          <w:rFonts w:ascii="Arial" w:hAnsi="Arial" w:cs="Arial"/>
        </w:rPr>
        <w:t>Pohlan</w:t>
      </w:r>
      <w:proofErr w:type="spellEnd"/>
      <w:r>
        <w:rPr>
          <w:rFonts w:ascii="Arial" w:hAnsi="Arial" w:cs="Arial"/>
        </w:rPr>
        <w:t xml:space="preserve">, 2019; </w:t>
      </w:r>
      <w:proofErr w:type="spellStart"/>
      <w:r>
        <w:rPr>
          <w:rFonts w:ascii="Arial" w:hAnsi="Arial" w:cs="Arial"/>
        </w:rPr>
        <w:t>Tjahjanto</w:t>
      </w:r>
      <w:proofErr w:type="spellEnd"/>
      <w:r>
        <w:rPr>
          <w:rFonts w:ascii="Arial" w:hAnsi="Arial" w:cs="Arial"/>
        </w:rPr>
        <w:t xml:space="preserve"> et al., 2023).</w:t>
      </w:r>
    </w:p>
    <w:p w14:paraId="678C049A" w14:textId="77777777" w:rsidR="00366727" w:rsidRDefault="00366727">
      <w:pPr>
        <w:pStyle w:val="Body"/>
        <w:spacing w:after="0"/>
        <w:rPr>
          <w:rFonts w:ascii="Arial" w:hAnsi="Arial" w:cs="Arial"/>
        </w:rPr>
      </w:pPr>
    </w:p>
    <w:p w14:paraId="019963E3" w14:textId="77777777" w:rsidR="00366727" w:rsidRDefault="005265DE">
      <w:pPr>
        <w:pStyle w:val="Body"/>
        <w:spacing w:after="0"/>
        <w:rPr>
          <w:rFonts w:ascii="Arial" w:hAnsi="Arial" w:cs="Arial"/>
        </w:rPr>
      </w:pPr>
      <w:r>
        <w:rPr>
          <w:rFonts w:ascii="Arial" w:hAnsi="Arial" w:cs="Arial"/>
        </w:rPr>
        <w:lastRenderedPageBreak/>
        <w:t>In Indonesia, the unemployment rate remains a critical issue that demands attention in regional economic studies. Data from the World Economic Outlook reports that Indonesia faces structural challenges in the labor market (International Monetary Fund, 2025). For three consecutive years, Indonesia has recorded the highest unemployment rate in the ASEAN region, underscoring the need for a more in-depth analysis of the factors driving this issue. Figure 1 illustrates the unemployment rate trends in ASEAN countries as of July 2024.</w:t>
      </w:r>
    </w:p>
    <w:p w14:paraId="7499AA11" w14:textId="77777777" w:rsidR="00366727" w:rsidRDefault="00366727">
      <w:pPr>
        <w:pStyle w:val="Body"/>
        <w:spacing w:after="0"/>
        <w:jc w:val="center"/>
        <w:rPr>
          <w:rFonts w:ascii="Arial" w:hAnsi="Arial" w:cs="Arial"/>
        </w:rPr>
      </w:pPr>
    </w:p>
    <w:p w14:paraId="461E4DA1" w14:textId="77777777" w:rsidR="00366727" w:rsidRDefault="005265DE">
      <w:pPr>
        <w:pStyle w:val="Body"/>
        <w:spacing w:after="0"/>
        <w:jc w:val="center"/>
        <w:rPr>
          <w:rFonts w:ascii="Arial" w:hAnsi="Arial" w:cs="Arial"/>
        </w:rPr>
      </w:pPr>
      <w:r>
        <w:rPr>
          <w:rFonts w:ascii="Times New Roman" w:eastAsia="Calibri" w:hAnsi="Times New Roman" w:cs="Arial"/>
          <w:noProof/>
          <w:sz w:val="24"/>
          <w:szCs w:val="24"/>
        </w:rPr>
        <w:drawing>
          <wp:inline distT="0" distB="0" distL="0" distR="0" wp14:anchorId="3DB3149E" wp14:editId="1A2AB73C">
            <wp:extent cx="3016885" cy="1853249"/>
            <wp:effectExtent l="0" t="0" r="0" b="0"/>
            <wp:docPr id="12025864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37870" cy="1866140"/>
                    </a:xfrm>
                    <a:prstGeom prst="rect">
                      <a:avLst/>
                    </a:prstGeom>
                    <a:noFill/>
                  </pic:spPr>
                </pic:pic>
              </a:graphicData>
            </a:graphic>
          </wp:inline>
        </w:drawing>
      </w:r>
    </w:p>
    <w:p w14:paraId="1394FDD2" w14:textId="77777777" w:rsidR="00366727" w:rsidRDefault="00366727">
      <w:pPr>
        <w:autoSpaceDE w:val="0"/>
        <w:autoSpaceDN w:val="0"/>
        <w:adjustRightInd w:val="0"/>
        <w:jc w:val="both"/>
        <w:rPr>
          <w:rFonts w:ascii="Arial" w:hAnsi="Arial" w:cs="Arial"/>
          <w:b/>
          <w:bCs/>
          <w:sz w:val="12"/>
          <w:szCs w:val="12"/>
        </w:rPr>
      </w:pPr>
    </w:p>
    <w:p w14:paraId="55DA1D15" w14:textId="77777777" w:rsidR="00366727" w:rsidRDefault="005265DE">
      <w:pPr>
        <w:autoSpaceDE w:val="0"/>
        <w:autoSpaceDN w:val="0"/>
        <w:adjustRightInd w:val="0"/>
        <w:jc w:val="both"/>
        <w:rPr>
          <w:rFonts w:ascii="Arial" w:hAnsi="Arial" w:cs="Arial"/>
          <w:b/>
          <w:bCs/>
          <w:szCs w:val="22"/>
        </w:rPr>
      </w:pPr>
      <w:r>
        <w:rPr>
          <w:rFonts w:ascii="Arial" w:hAnsi="Arial" w:cs="Arial"/>
          <w:b/>
          <w:bCs/>
          <w:szCs w:val="22"/>
        </w:rPr>
        <w:t>Fig. 1. Unemployment rate trends in ASEAN countries, 2024</w:t>
      </w:r>
    </w:p>
    <w:p w14:paraId="2B9A8685" w14:textId="77777777" w:rsidR="00366727" w:rsidRDefault="005265DE">
      <w:pPr>
        <w:pStyle w:val="BodyText3"/>
        <w:tabs>
          <w:tab w:val="left" w:pos="1080"/>
        </w:tabs>
        <w:spacing w:after="0"/>
        <w:ind w:left="1080" w:hanging="1080"/>
        <w:jc w:val="both"/>
        <w:rPr>
          <w:rFonts w:ascii="Arial" w:hAnsi="Arial"/>
          <w:b/>
        </w:rPr>
      </w:pPr>
      <w:r>
        <w:rPr>
          <w:rFonts w:ascii="Arial" w:hAnsi="Arial"/>
          <w:bCs/>
          <w:i/>
        </w:rPr>
        <w:t>Source: International Monetary Fund (2025).</w:t>
      </w:r>
    </w:p>
    <w:p w14:paraId="622778A0" w14:textId="77777777" w:rsidR="00366727" w:rsidRDefault="00366727">
      <w:pPr>
        <w:pStyle w:val="Body"/>
        <w:spacing w:after="0"/>
        <w:rPr>
          <w:rFonts w:ascii="Arial" w:hAnsi="Arial" w:cs="Arial"/>
        </w:rPr>
      </w:pPr>
    </w:p>
    <w:p w14:paraId="1F4B89F0" w14:textId="77777777" w:rsidR="00366727" w:rsidRDefault="005265DE">
      <w:pPr>
        <w:pStyle w:val="Body"/>
        <w:spacing w:after="0"/>
        <w:rPr>
          <w:rFonts w:ascii="Arial" w:hAnsi="Arial" w:cs="Arial"/>
          <w:highlight w:val="yellow"/>
        </w:rPr>
      </w:pPr>
      <w:r>
        <w:rPr>
          <w:rFonts w:ascii="Arial" w:hAnsi="Arial" w:cs="Arial"/>
        </w:rPr>
        <w:t>In addition to relatively high unemployment rates, the phenomenon of mass layoffs (PHK) presents a complex challenge. Recent data confirms that the number of workers affected by layoffs continues to rise each year. Between January and November 2023, 57,923 workers were laid off, and by July 2024, the number had reached 42,836 (</w:t>
      </w:r>
      <w:proofErr w:type="spellStart"/>
      <w:r>
        <w:rPr>
          <w:rFonts w:ascii="Arial" w:hAnsi="Arial" w:cs="Arial"/>
        </w:rPr>
        <w:t>Rachman</w:t>
      </w:r>
      <w:proofErr w:type="spellEnd"/>
      <w:r>
        <w:rPr>
          <w:rFonts w:ascii="Arial" w:hAnsi="Arial" w:cs="Arial"/>
        </w:rPr>
        <w:t>, 2024). Changes in workforce structure and shifts across various sectors contribute to both the creation and reduction of job opportunities. Moreover, rapid technological advancements have reduced job availability in certain sectors, thereby exacerbating unemployment conditions in Indonesia (</w:t>
      </w:r>
      <w:proofErr w:type="spellStart"/>
      <w:r>
        <w:rPr>
          <w:rFonts w:ascii="Arial" w:hAnsi="Arial" w:cs="Arial"/>
        </w:rPr>
        <w:t>Ferdinan</w:t>
      </w:r>
      <w:proofErr w:type="spellEnd"/>
      <w:r>
        <w:rPr>
          <w:rFonts w:ascii="Arial" w:hAnsi="Arial" w:cs="Arial"/>
        </w:rPr>
        <w:t>, 2013).</w:t>
      </w:r>
    </w:p>
    <w:p w14:paraId="2FF780AC" w14:textId="77777777" w:rsidR="00366727" w:rsidRDefault="00366727">
      <w:pPr>
        <w:pStyle w:val="Body"/>
        <w:spacing w:after="0"/>
        <w:rPr>
          <w:rFonts w:ascii="Arial" w:hAnsi="Arial" w:cs="Arial"/>
        </w:rPr>
      </w:pPr>
    </w:p>
    <w:p w14:paraId="45102113" w14:textId="77777777" w:rsidR="00366727" w:rsidRDefault="005265DE">
      <w:pPr>
        <w:pStyle w:val="Body"/>
        <w:spacing w:after="0"/>
        <w:rPr>
          <w:rFonts w:ascii="Arial" w:hAnsi="Arial" w:cs="Arial"/>
        </w:rPr>
      </w:pPr>
      <w:r>
        <w:rPr>
          <w:rFonts w:ascii="Arial" w:hAnsi="Arial" w:cs="Arial"/>
        </w:rPr>
        <w:t xml:space="preserve">The unemployment rate in a country is influenced by various macroeconomic factors. Key components often associated with unemployment include renewable energy consumption, interest rates, FDI, and GDP. Several articles, such as those by </w:t>
      </w:r>
      <w:proofErr w:type="spellStart"/>
      <w:r>
        <w:rPr>
          <w:rFonts w:ascii="Arial" w:hAnsi="Arial" w:cs="Arial"/>
        </w:rPr>
        <w:t>Borhan</w:t>
      </w:r>
      <w:proofErr w:type="spellEnd"/>
      <w:r>
        <w:rPr>
          <w:rFonts w:ascii="Arial" w:hAnsi="Arial" w:cs="Arial"/>
        </w:rPr>
        <w:t xml:space="preserve"> et al. (2023), </w:t>
      </w:r>
      <w:proofErr w:type="spellStart"/>
      <w:r>
        <w:rPr>
          <w:rFonts w:ascii="Arial" w:hAnsi="Arial" w:cs="Arial"/>
        </w:rPr>
        <w:t>Febriyanti</w:t>
      </w:r>
      <w:proofErr w:type="spellEnd"/>
      <w:r>
        <w:rPr>
          <w:rFonts w:ascii="Arial" w:hAnsi="Arial" w:cs="Arial"/>
        </w:rPr>
        <w:t xml:space="preserve"> et al. (2024), </w:t>
      </w:r>
      <w:proofErr w:type="spellStart"/>
      <w:r>
        <w:rPr>
          <w:rFonts w:ascii="Arial" w:hAnsi="Arial" w:cs="Arial"/>
        </w:rPr>
        <w:t>Ramadhani</w:t>
      </w:r>
      <w:proofErr w:type="spellEnd"/>
      <w:r>
        <w:rPr>
          <w:rFonts w:ascii="Arial" w:hAnsi="Arial" w:cs="Arial"/>
        </w:rPr>
        <w:t xml:space="preserve"> and Ananda (2024), and </w:t>
      </w:r>
      <w:proofErr w:type="spellStart"/>
      <w:r>
        <w:rPr>
          <w:rFonts w:ascii="Arial" w:hAnsi="Arial" w:cs="Arial"/>
        </w:rPr>
        <w:t>Yehosua</w:t>
      </w:r>
      <w:proofErr w:type="spellEnd"/>
      <w:r>
        <w:rPr>
          <w:rFonts w:ascii="Arial" w:hAnsi="Arial" w:cs="Arial"/>
        </w:rPr>
        <w:t xml:space="preserve"> et al. (2019), examine the links among these components and their impact on unemployment rates in Indonesia. In conclusion, these studies suggest that increases in renewable energy consumption, interest rates, and FDI positively affect Indonesia's GDP.</w:t>
      </w:r>
    </w:p>
    <w:p w14:paraId="16D1A089" w14:textId="77777777" w:rsidR="00366727" w:rsidRDefault="00366727">
      <w:pPr>
        <w:pStyle w:val="Body"/>
        <w:spacing w:after="0"/>
        <w:rPr>
          <w:rFonts w:ascii="Arial" w:hAnsi="Arial" w:cs="Arial"/>
        </w:rPr>
      </w:pPr>
    </w:p>
    <w:p w14:paraId="030857F4" w14:textId="43E8C7F8" w:rsidR="00366727" w:rsidRDefault="005265DE">
      <w:pPr>
        <w:pStyle w:val="Body"/>
        <w:spacing w:after="0"/>
      </w:pPr>
      <w:r>
        <w:t>Although Indonesia's unemployment rate has shown a downward trend since the COVID-19 pandemic, it remains relatively high, at 5.86% in 2023 compared to 5.</w:t>
      </w:r>
      <w:r w:rsidR="008E1BC5">
        <w:t>28</w:t>
      </w:r>
      <w:r>
        <w:t>% before the pandemic</w:t>
      </w:r>
      <w:r w:rsidR="008E1BC5">
        <w:t xml:space="preserve"> (BPS-Statistics Indonesia, 2019; 2023)</w:t>
      </w:r>
      <w:r>
        <w:t>. Meanwhile, Indonesia's real interest rate has fluctuated throughout the period from 1991 to 2023. Notably, over the past three decades, interest rates peaked in 1998</w:t>
      </w:r>
      <w:r w:rsidR="002D1954">
        <w:t xml:space="preserve"> at (Najib et al., 2022)</w:t>
      </w:r>
      <w:r>
        <w:t>. This anomaly in Indonesia's interest rates during that year was closely linked to the monetary crisis that paralyzed most sectors, except for Micro, Small, and Medium Enterprises (MSMEs).</w:t>
      </w:r>
    </w:p>
    <w:p w14:paraId="7222D73F" w14:textId="77777777" w:rsidR="00366727" w:rsidRDefault="00366727">
      <w:pPr>
        <w:pStyle w:val="Body"/>
        <w:spacing w:after="0"/>
        <w:rPr>
          <w:highlight w:val="yellow"/>
        </w:rPr>
      </w:pPr>
    </w:p>
    <w:p w14:paraId="3DA88127" w14:textId="77777777" w:rsidR="00366727" w:rsidRDefault="005265DE">
      <w:pPr>
        <w:pStyle w:val="Body"/>
        <w:spacing w:after="0"/>
      </w:pPr>
      <w:r>
        <w:t xml:space="preserve">Renewable energy consumption data over the past few years has fluctuated but shown a dramatic increase overall. This upward trend has been evident since 2016 and continues to the present. This growth is driven primarily by government policies supporting the energy transition. A vital policy is Presidential Regulation No. 22 of 2017 on the National Energy Master Plan (RUEN), which sets targets for increasing the share of renewable energy in the </w:t>
      </w:r>
      <w:r>
        <w:lastRenderedPageBreak/>
        <w:t>national energy mix (</w:t>
      </w:r>
      <w:proofErr w:type="spellStart"/>
      <w:r>
        <w:t>Apriliyanti</w:t>
      </w:r>
      <w:proofErr w:type="spellEnd"/>
      <w:r>
        <w:t xml:space="preserve"> et al., 2024). In contrast, FDI data exhibits inconsistent year-to-year trends. Specifically, FDI in Indonesia has not yet fully optimized its potential to stimulate the macroeconomy (</w:t>
      </w:r>
      <w:proofErr w:type="spellStart"/>
      <w:r>
        <w:t>Fazaalloh</w:t>
      </w:r>
      <w:proofErr w:type="spellEnd"/>
      <w:r>
        <w:t xml:space="preserve">, 2024; </w:t>
      </w:r>
      <w:proofErr w:type="spellStart"/>
      <w:r>
        <w:t>Millia</w:t>
      </w:r>
      <w:proofErr w:type="spellEnd"/>
      <w:r>
        <w:t xml:space="preserve"> et al., 2023).</w:t>
      </w:r>
    </w:p>
    <w:p w14:paraId="046F89EA" w14:textId="77777777" w:rsidR="00366727" w:rsidRDefault="00366727">
      <w:pPr>
        <w:pStyle w:val="Body"/>
        <w:spacing w:after="0"/>
      </w:pPr>
    </w:p>
    <w:p w14:paraId="460A9A31" w14:textId="77777777" w:rsidR="00366727" w:rsidRDefault="005265DE">
      <w:pPr>
        <w:pStyle w:val="Body"/>
        <w:spacing w:after="0"/>
        <w:rPr>
          <w:highlight w:val="yellow"/>
        </w:rPr>
      </w:pPr>
      <w:r>
        <w:t xml:space="preserve">Furthermore, Indonesia's GDP per capita generally exhibits an upward trend year over year, reflecting economic recovery and potential growth in job creation. However, during certain periods, Indonesia has experienced economic slowdowns that have adversely affected GDP per capita, such as during the 1998 Asian financial crisis and the 2020 COVID-19 pandemic (Akita &amp; </w:t>
      </w:r>
      <w:proofErr w:type="spellStart"/>
      <w:r>
        <w:t>Alisjahbana</w:t>
      </w:r>
      <w:proofErr w:type="spellEnd"/>
      <w:r>
        <w:t xml:space="preserve">, 2023; </w:t>
      </w:r>
      <w:proofErr w:type="spellStart"/>
      <w:r>
        <w:t>Nasution</w:t>
      </w:r>
      <w:proofErr w:type="spellEnd"/>
      <w:r>
        <w:t>, 2002). Despite contractions during both periods, GDP per capita has recovered in tandem with improvements in economic conditions and government policies aimed at fostering growth.</w:t>
      </w:r>
    </w:p>
    <w:p w14:paraId="1FCA2EE2" w14:textId="77777777" w:rsidR="00366727" w:rsidRDefault="00366727">
      <w:pPr>
        <w:pStyle w:val="Body"/>
        <w:spacing w:after="0"/>
        <w:rPr>
          <w:highlight w:val="yellow"/>
        </w:rPr>
      </w:pPr>
    </w:p>
    <w:p w14:paraId="2A7548DA" w14:textId="1023857D" w:rsidR="00366727" w:rsidRDefault="005265DE">
      <w:pPr>
        <w:pStyle w:val="Body"/>
        <w:spacing w:after="0"/>
      </w:pPr>
      <w:r>
        <w:t xml:space="preserve">This study contributes to the examination of unemployment in Indonesia by incorporating renewable energy consumption as an independent variable, a factor rarely explored in previous </w:t>
      </w:r>
      <w:r w:rsidR="00B56674">
        <w:t>study</w:t>
      </w:r>
      <w:r>
        <w:t xml:space="preserve">. Substantively, the use of broader data coverage </w:t>
      </w:r>
      <w:r w:rsidR="00B56674" w:rsidRPr="00B56674">
        <w:t>enables</w:t>
      </w:r>
      <w:r>
        <w:t xml:space="preserve"> for a more comprehensive analysis of long-term trends. Methodologically, the study employs ARDL techniques to investigate both the long-term and short-term relationships between these variables and the unemployment rate in Indonesia.</w:t>
      </w:r>
    </w:p>
    <w:p w14:paraId="7078A83C" w14:textId="77777777" w:rsidR="00366727" w:rsidRDefault="00366727">
      <w:pPr>
        <w:pStyle w:val="Body"/>
        <w:spacing w:after="0"/>
        <w:rPr>
          <w:rFonts w:ascii="Arial" w:hAnsi="Arial" w:cs="Arial"/>
        </w:rPr>
      </w:pPr>
    </w:p>
    <w:p w14:paraId="5FDB0C37" w14:textId="77777777" w:rsidR="00366727" w:rsidRDefault="005265DE">
      <w:pPr>
        <w:pStyle w:val="AbstHead"/>
        <w:spacing w:after="0"/>
        <w:jc w:val="both"/>
        <w:rPr>
          <w:rFonts w:ascii="Arial" w:hAnsi="Arial" w:cs="Arial"/>
        </w:rPr>
      </w:pPr>
      <w:r>
        <w:rPr>
          <w:rFonts w:ascii="Arial" w:hAnsi="Arial" w:cs="Arial"/>
        </w:rPr>
        <w:t>2. METHODOLOGY</w:t>
      </w:r>
    </w:p>
    <w:p w14:paraId="71709516" w14:textId="77777777" w:rsidR="00366727" w:rsidRDefault="00366727">
      <w:pPr>
        <w:pStyle w:val="Body"/>
        <w:spacing w:after="0"/>
        <w:rPr>
          <w:rFonts w:ascii="Arial" w:hAnsi="Arial" w:cs="Arial"/>
        </w:rPr>
      </w:pPr>
    </w:p>
    <w:p w14:paraId="0714578B" w14:textId="77777777" w:rsidR="00366727" w:rsidRDefault="005265DE">
      <w:pPr>
        <w:pStyle w:val="Body"/>
        <w:spacing w:after="0"/>
        <w:rPr>
          <w:rFonts w:ascii="Arial" w:hAnsi="Arial" w:cs="Arial"/>
        </w:rPr>
      </w:pPr>
      <w:r>
        <w:rPr>
          <w:rFonts w:ascii="Arial" w:hAnsi="Arial" w:cs="Arial"/>
          <w:b/>
          <w:caps/>
          <w:sz w:val="22"/>
        </w:rPr>
        <w:t xml:space="preserve">2.1 </w:t>
      </w:r>
      <w:r>
        <w:rPr>
          <w:rFonts w:ascii="Arial" w:hAnsi="Arial" w:cs="Arial"/>
          <w:b/>
          <w:sz w:val="22"/>
        </w:rPr>
        <w:t>Material Data</w:t>
      </w:r>
    </w:p>
    <w:p w14:paraId="326F2E5D" w14:textId="77777777" w:rsidR="00366727" w:rsidRDefault="00366727">
      <w:pPr>
        <w:pStyle w:val="Body"/>
        <w:spacing w:after="0"/>
        <w:rPr>
          <w:rFonts w:ascii="Arial" w:hAnsi="Arial" w:cs="Arial"/>
        </w:rPr>
      </w:pPr>
    </w:p>
    <w:p w14:paraId="6E526878" w14:textId="41248C13" w:rsidR="00366727" w:rsidRDefault="005265DE">
      <w:pPr>
        <w:pStyle w:val="Body"/>
        <w:spacing w:after="0"/>
        <w:rPr>
          <w:rFonts w:ascii="Arial" w:hAnsi="Arial" w:cs="Arial"/>
          <w:highlight w:val="yellow"/>
        </w:rPr>
      </w:pPr>
      <w:r>
        <w:rPr>
          <w:rFonts w:ascii="Arial" w:hAnsi="Arial" w:cs="Arial"/>
        </w:rPr>
        <w:t xml:space="preserve">The data used in this study are secondary data obtained from the </w:t>
      </w:r>
      <w:r w:rsidR="00C975A9" w:rsidRPr="00C975A9">
        <w:rPr>
          <w:rFonts w:ascii="Arial" w:hAnsi="Arial" w:cs="Arial"/>
        </w:rPr>
        <w:t>BPS-Statistics Indonesia</w:t>
      </w:r>
      <w:r w:rsidR="00C975A9">
        <w:rPr>
          <w:rFonts w:ascii="Arial" w:hAnsi="Arial" w:cs="Arial"/>
        </w:rPr>
        <w:t xml:space="preserve"> (2025)</w:t>
      </w:r>
      <w:r>
        <w:rPr>
          <w:rFonts w:ascii="Arial" w:hAnsi="Arial" w:cs="Arial"/>
        </w:rPr>
        <w:t>. The collected secondary data consist of time series spanning the period from 1991 to 2023. The data objects in this study include the unemployment rate, real interest rates, the percentage of renewable energy consumption relative to total primary energy, FDI as a proportion of GDP, and GDP per capita, all within the context of Indonesia.</w:t>
      </w:r>
      <w:r w:rsidR="00B43E9C" w:rsidRPr="00B43E9C">
        <w:t xml:space="preserve"> </w:t>
      </w:r>
      <w:r w:rsidR="00B43E9C" w:rsidRPr="00B43E9C">
        <w:rPr>
          <w:rFonts w:ascii="Arial" w:hAnsi="Arial" w:cs="Arial"/>
        </w:rPr>
        <w:t>Technically, the statistical software used for data extract</w:t>
      </w:r>
      <w:r w:rsidR="00DA14B7">
        <w:rPr>
          <w:rFonts w:ascii="Arial" w:hAnsi="Arial" w:cs="Arial"/>
        </w:rPr>
        <w:t>ion</w:t>
      </w:r>
      <w:r w:rsidR="00B43E9C" w:rsidRPr="00B43E9C">
        <w:rPr>
          <w:rFonts w:ascii="Arial" w:hAnsi="Arial" w:cs="Arial"/>
        </w:rPr>
        <w:t xml:space="preserve"> was EViews version 12.</w:t>
      </w:r>
    </w:p>
    <w:p w14:paraId="6A7EB6C2" w14:textId="77777777" w:rsidR="00366727" w:rsidRDefault="00366727">
      <w:pPr>
        <w:pStyle w:val="Body"/>
        <w:spacing w:after="0"/>
        <w:rPr>
          <w:rFonts w:ascii="Arial" w:hAnsi="Arial" w:cs="Arial"/>
          <w:bCs/>
        </w:rPr>
      </w:pPr>
    </w:p>
    <w:p w14:paraId="1A36115D" w14:textId="77777777" w:rsidR="00366727" w:rsidRDefault="005265DE">
      <w:pPr>
        <w:pStyle w:val="Body"/>
        <w:spacing w:after="0"/>
        <w:rPr>
          <w:rFonts w:ascii="Arial" w:hAnsi="Arial" w:cs="Arial"/>
          <w:b/>
          <w:sz w:val="22"/>
        </w:rPr>
      </w:pPr>
      <w:r>
        <w:rPr>
          <w:rFonts w:ascii="Arial" w:hAnsi="Arial" w:cs="Arial"/>
          <w:b/>
          <w:caps/>
          <w:sz w:val="22"/>
        </w:rPr>
        <w:t xml:space="preserve">2.2 </w:t>
      </w:r>
      <w:r>
        <w:rPr>
          <w:rFonts w:ascii="Arial" w:hAnsi="Arial" w:cs="Arial"/>
          <w:b/>
          <w:sz w:val="22"/>
        </w:rPr>
        <w:t>Econometrics and Analytical Tools</w:t>
      </w:r>
    </w:p>
    <w:p w14:paraId="2744CAF1" w14:textId="77777777" w:rsidR="00366727" w:rsidRDefault="00366727">
      <w:pPr>
        <w:pStyle w:val="Body"/>
        <w:spacing w:after="0"/>
        <w:rPr>
          <w:rFonts w:ascii="Arial" w:hAnsi="Arial" w:cs="Arial"/>
          <w:b/>
        </w:rPr>
      </w:pPr>
    </w:p>
    <w:p w14:paraId="152A5532" w14:textId="436E3088" w:rsidR="00366727" w:rsidRDefault="005265DE" w:rsidP="000E14E7">
      <w:pPr>
        <w:pStyle w:val="Body"/>
        <w:rPr>
          <w:rFonts w:ascii="Arial" w:hAnsi="Arial" w:cs="Arial"/>
          <w:bCs/>
          <w:lang w:val="id-ID"/>
        </w:rPr>
      </w:pPr>
      <w:r>
        <w:rPr>
          <w:rFonts w:ascii="Arial" w:hAnsi="Arial" w:cs="Arial"/>
          <w:bCs/>
          <w:lang w:val="id-ID"/>
        </w:rPr>
        <w:t>This section presents the econometric model applied and describes the ARDL model used in this study. The unemployment model is constructed based on various macroeconomic factors compiled from similar scientific works.</w:t>
      </w:r>
      <w:r w:rsidR="006B4229">
        <w:rPr>
          <w:rFonts w:ascii="Arial" w:hAnsi="Arial" w:cs="Arial"/>
          <w:bCs/>
          <w:lang w:val="id-ID"/>
        </w:rPr>
        <w:t xml:space="preserve"> </w:t>
      </w:r>
      <w:r w:rsidR="003827CB" w:rsidRPr="003827CB">
        <w:rPr>
          <w:rFonts w:ascii="Arial" w:hAnsi="Arial" w:cs="Arial"/>
          <w:bCs/>
          <w:lang w:val="id-ID"/>
        </w:rPr>
        <w:t>Studies employing long-term and short-term models of unemployment rates, incorporating renewable energy consumption, FDI, GDP per capita, and interest rates, were adapted and refined based on the works of Latief and Lefen (2019), Omri and Kahouli (2014), Rahman and Sarkandiz (2023), Rashed et al. (2022), Simionescu et al. (2021), and Tariq et al. (2023)</w:t>
      </w:r>
      <w:r w:rsidR="006B4229">
        <w:rPr>
          <w:rFonts w:ascii="Arial" w:hAnsi="Arial" w:cs="Arial"/>
          <w:bCs/>
          <w:lang w:val="id-ID"/>
        </w:rPr>
        <w:t>.</w:t>
      </w:r>
      <w:r>
        <w:rPr>
          <w:rFonts w:ascii="Arial" w:hAnsi="Arial" w:cs="Arial"/>
          <w:bCs/>
          <w:lang w:val="id-ID"/>
        </w:rPr>
        <w:t xml:space="preserve"> The long-term model framework in this study is created as follows:</w:t>
      </w:r>
    </w:p>
    <w:p w14:paraId="14132A3F" w14:textId="77777777" w:rsidR="00366727" w:rsidRDefault="00366727">
      <w:pPr>
        <w:pStyle w:val="Body"/>
        <w:spacing w:after="0"/>
        <w:rPr>
          <w:rFonts w:ascii="Arial" w:hAnsi="Arial" w:cs="Arial"/>
          <w:bCs/>
          <w:sz w:val="12"/>
          <w:szCs w:val="12"/>
          <w:lang w:val="id-ID"/>
        </w:rPr>
      </w:pPr>
    </w:p>
    <w:p w14:paraId="3E486683" w14:textId="77777777" w:rsidR="00366727" w:rsidRDefault="005265DE">
      <w:pPr>
        <w:pStyle w:val="Body"/>
        <w:spacing w:after="0"/>
        <w:jc w:val="center"/>
        <w:rPr>
          <w:rFonts w:ascii="Arial" w:hAnsi="Arial" w:cs="Arial"/>
          <w:bCs/>
          <w:lang w:val="id-ID"/>
        </w:rPr>
      </w:pPr>
      <w:r>
        <w:rPr>
          <w:rFonts w:asciiTheme="majorBidi" w:hAnsiTheme="majorBidi" w:cstheme="majorBidi"/>
          <w:noProof/>
          <w:sz w:val="24"/>
          <w:szCs w:val="24"/>
        </w:rPr>
        <w:drawing>
          <wp:inline distT="0" distB="0" distL="0" distR="0" wp14:anchorId="73C4375C" wp14:editId="498CB7F6">
            <wp:extent cx="2635885" cy="186055"/>
            <wp:effectExtent l="0" t="0" r="0" b="0"/>
            <wp:docPr id="1769132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06936"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887" t="-8759" r="-898" b="7939"/>
                    <a:stretch/>
                  </pic:blipFill>
                  <pic:spPr bwMode="auto">
                    <a:xfrm>
                      <a:off x="0" y="0"/>
                      <a:ext cx="2635885" cy="18605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bCs/>
          <w:lang w:val="id-ID"/>
        </w:rPr>
        <w:tab/>
      </w:r>
      <w:r>
        <w:rPr>
          <w:rFonts w:ascii="Arial" w:hAnsi="Arial" w:cs="Arial"/>
          <w:bCs/>
          <w:lang w:val="id-ID"/>
        </w:rPr>
        <w:tab/>
        <w:t>(1)</w:t>
      </w:r>
    </w:p>
    <w:p w14:paraId="7A918F32" w14:textId="77777777" w:rsidR="00366727" w:rsidRDefault="00366727">
      <w:pPr>
        <w:pStyle w:val="Body"/>
        <w:spacing w:after="0"/>
        <w:jc w:val="center"/>
        <w:rPr>
          <w:rFonts w:ascii="Arial" w:hAnsi="Arial" w:cs="Arial"/>
          <w:bCs/>
          <w:sz w:val="12"/>
          <w:szCs w:val="12"/>
          <w:lang w:val="id-ID"/>
        </w:rPr>
      </w:pPr>
    </w:p>
    <w:p w14:paraId="3D2F68AD" w14:textId="77777777" w:rsidR="00366727" w:rsidRDefault="005265DE">
      <w:pPr>
        <w:pStyle w:val="Body"/>
        <w:spacing w:after="0"/>
        <w:rPr>
          <w:rFonts w:ascii="Arial" w:hAnsi="Arial" w:cs="Arial"/>
          <w:bCs/>
          <w:lang w:val="id-ID"/>
        </w:rPr>
      </w:pPr>
      <w:bookmarkStart w:id="0" w:name="_Hlk191975659"/>
      <w:r>
        <w:rPr>
          <w:rFonts w:ascii="Arial" w:hAnsi="Arial" w:cs="Arial"/>
          <w:bCs/>
          <w:lang w:val="id-ID"/>
        </w:rPr>
        <w:t>Meanwhile, the short-term coefficient estimation model is expressed as follows:</w:t>
      </w:r>
    </w:p>
    <w:p w14:paraId="5ECF83E5" w14:textId="77777777" w:rsidR="00366727" w:rsidRDefault="00366727">
      <w:pPr>
        <w:pStyle w:val="Body"/>
        <w:spacing w:after="0"/>
        <w:rPr>
          <w:rFonts w:ascii="Arial" w:hAnsi="Arial" w:cs="Arial"/>
          <w:bCs/>
          <w:sz w:val="12"/>
          <w:szCs w:val="12"/>
          <w:lang w:val="id-ID"/>
        </w:rPr>
      </w:pPr>
    </w:p>
    <w:bookmarkEnd w:id="0"/>
    <w:p w14:paraId="5A03DA3B" w14:textId="77777777" w:rsidR="00366727" w:rsidRDefault="005265DE">
      <w:pPr>
        <w:pStyle w:val="Body"/>
        <w:spacing w:after="0"/>
        <w:jc w:val="center"/>
        <w:rPr>
          <w:rFonts w:ascii="Arial" w:hAnsi="Arial" w:cs="Arial"/>
          <w:bCs/>
          <w:lang w:val="id-ID"/>
        </w:rPr>
      </w:pPr>
      <w:r>
        <w:rPr>
          <w:noProof/>
          <w:sz w:val="24"/>
          <w:szCs w:val="24"/>
        </w:rPr>
        <w:drawing>
          <wp:inline distT="0" distB="0" distL="0" distR="0" wp14:anchorId="367A35CE" wp14:editId="096EE6B9">
            <wp:extent cx="2911786" cy="669851"/>
            <wp:effectExtent l="0" t="0" r="0" b="0"/>
            <wp:docPr id="9626575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657594" name="Picture 2"/>
                    <pic:cNvPicPr>
                      <a:picLocks noChangeAspect="1" noChangeArrowheads="1"/>
                    </pic:cNvPicPr>
                  </pic:nvPicPr>
                  <pic:blipFill>
                    <a:blip r:embed="rId16"/>
                    <a:stretch>
                      <a:fillRect/>
                    </a:stretch>
                  </pic:blipFill>
                  <pic:spPr bwMode="auto">
                    <a:xfrm>
                      <a:off x="0" y="0"/>
                      <a:ext cx="2952433" cy="679202"/>
                    </a:xfrm>
                    <a:prstGeom prst="rect">
                      <a:avLst/>
                    </a:prstGeom>
                    <a:noFill/>
                    <a:ln>
                      <a:noFill/>
                    </a:ln>
                  </pic:spPr>
                </pic:pic>
              </a:graphicData>
            </a:graphic>
          </wp:inline>
        </w:drawing>
      </w:r>
      <w:r>
        <w:rPr>
          <w:rFonts w:ascii="Arial" w:hAnsi="Arial" w:cs="Arial"/>
          <w:bCs/>
          <w:lang w:val="id-ID"/>
        </w:rPr>
        <w:tab/>
        <w:t>(2)</w:t>
      </w:r>
    </w:p>
    <w:p w14:paraId="57D767D7" w14:textId="77777777" w:rsidR="00366727" w:rsidRDefault="005265DE">
      <w:pPr>
        <w:pStyle w:val="Body"/>
        <w:spacing w:after="0"/>
        <w:rPr>
          <w:rFonts w:ascii="Arial" w:hAnsi="Arial" w:cs="Arial"/>
          <w:bCs/>
          <w:iCs/>
          <w:sz w:val="19"/>
          <w:szCs w:val="19"/>
          <w:lang w:val="id-ID"/>
        </w:rPr>
      </w:pPr>
      <w:bookmarkStart w:id="1" w:name="_Hlk196123727"/>
      <w:r>
        <w:rPr>
          <w:rFonts w:ascii="Arial" w:hAnsi="Arial" w:cs="Arial"/>
          <w:bCs/>
          <w:i/>
          <w:iCs/>
          <w:sz w:val="19"/>
          <w:szCs w:val="19"/>
          <w:lang w:val="id-ID"/>
        </w:rPr>
        <w:t>where</w:t>
      </w:r>
      <w:r>
        <w:rPr>
          <w:rFonts w:ascii="Arial" w:hAnsi="Arial" w:cs="Arial"/>
          <w:bCs/>
          <w:sz w:val="19"/>
          <w:szCs w:val="19"/>
          <w:lang w:val="id-ID"/>
        </w:rPr>
        <w:t xml:space="preserve">; θ and φ = short-term coefficient, γ = speed of adjustment, </w:t>
      </w:r>
      <m:oMath>
        <m:sSub>
          <m:sSubPr>
            <m:ctrlPr>
              <w:rPr>
                <w:rFonts w:ascii="Cambria Math" w:hAnsi="Cambria Math" w:cs="Arial"/>
                <w:bCs/>
                <w:iCs/>
                <w:sz w:val="19"/>
                <w:szCs w:val="19"/>
                <w:lang w:val="id-ID"/>
              </w:rPr>
            </m:ctrlPr>
          </m:sSubPr>
          <m:e>
            <m:r>
              <m:rPr>
                <m:sty m:val="p"/>
              </m:rPr>
              <w:rPr>
                <w:rFonts w:ascii="Cambria Math" w:hAnsi="Cambria Math" w:cs="Arial"/>
                <w:sz w:val="19"/>
                <w:szCs w:val="19"/>
                <w:lang w:val="id-ID"/>
              </w:rPr>
              <m:t>ε</m:t>
            </m:r>
          </m:e>
          <m:sub>
            <m:r>
              <m:rPr>
                <m:sty m:val="p"/>
              </m:rPr>
              <w:rPr>
                <w:rFonts w:ascii="Cambria Math" w:hAnsi="Cambria Math" w:cs="Arial"/>
                <w:sz w:val="19"/>
                <w:szCs w:val="19"/>
                <w:lang w:val="id-ID"/>
              </w:rPr>
              <m:t>t</m:t>
            </m:r>
          </m:sub>
        </m:sSub>
      </m:oMath>
      <w:r>
        <w:rPr>
          <w:rFonts w:ascii="Arial" w:hAnsi="Arial" w:cs="Arial"/>
          <w:bCs/>
          <w:iCs/>
          <w:sz w:val="19"/>
          <w:szCs w:val="19"/>
          <w:lang w:val="id-ID"/>
        </w:rPr>
        <w:t xml:space="preserve"> = error term,</w:t>
      </w:r>
      <w:r>
        <w:rPr>
          <w:rFonts w:ascii="Arial" w:hAnsi="Arial" w:cs="Arial"/>
          <w:bCs/>
          <w:sz w:val="19"/>
          <w:szCs w:val="19"/>
          <w:lang w:val="id-ID"/>
        </w:rPr>
        <w:t xml:space="preserve"> </w:t>
      </w:r>
      <w:r>
        <w:rPr>
          <w:rFonts w:ascii="Arial" w:hAnsi="Arial" w:cs="Arial"/>
          <w:bCs/>
          <w:iCs/>
          <w:sz w:val="19"/>
          <w:szCs w:val="19"/>
          <w:lang w:val="id-ID"/>
        </w:rPr>
        <w:t>∆ = first difference operator</w:t>
      </w:r>
      <w:r>
        <w:rPr>
          <w:rFonts w:ascii="Arial" w:hAnsi="Arial" w:cs="Arial"/>
          <w:bCs/>
          <w:sz w:val="19"/>
          <w:szCs w:val="19"/>
          <w:lang w:val="id-ID"/>
        </w:rPr>
        <w:t xml:space="preserve">, </w:t>
      </w:r>
      <w:r>
        <w:rPr>
          <w:rFonts w:ascii="Arial" w:hAnsi="Arial" w:cs="Arial"/>
          <w:bCs/>
          <w:iCs/>
          <w:sz w:val="19"/>
          <w:szCs w:val="19"/>
          <w:lang w:val="id-ID"/>
        </w:rPr>
        <w:t>t = lag size</w:t>
      </w:r>
      <w:r>
        <w:rPr>
          <w:rFonts w:ascii="Arial" w:hAnsi="Arial" w:cs="Arial"/>
          <w:bCs/>
          <w:sz w:val="19"/>
          <w:szCs w:val="19"/>
          <w:lang w:val="id-ID"/>
        </w:rPr>
        <w:t xml:space="preserve">, </w:t>
      </w:r>
      <w:r>
        <w:rPr>
          <w:rFonts w:ascii="Arial" w:hAnsi="Arial" w:cs="Arial"/>
          <w:bCs/>
          <w:iCs/>
          <w:sz w:val="19"/>
          <w:szCs w:val="19"/>
          <w:lang w:val="id-ID"/>
        </w:rPr>
        <w:t>t–1 = the optimal lag determined</w:t>
      </w:r>
      <w:r>
        <w:rPr>
          <w:rFonts w:ascii="Arial" w:hAnsi="Arial" w:cs="Arial"/>
          <w:bCs/>
          <w:sz w:val="19"/>
          <w:szCs w:val="19"/>
          <w:lang w:val="id-ID"/>
        </w:rPr>
        <w:t xml:space="preserve">, </w:t>
      </w:r>
      <w:r>
        <w:rPr>
          <w:rFonts w:ascii="Arial" w:hAnsi="Arial" w:cs="Arial"/>
          <w:bCs/>
          <w:iCs/>
          <w:sz w:val="19"/>
          <w:szCs w:val="19"/>
          <w:lang w:val="id-ID"/>
        </w:rPr>
        <w:t>p = number of lagged dependent variables,</w:t>
      </w:r>
      <w:r>
        <w:rPr>
          <w:rFonts w:ascii="Arial" w:hAnsi="Arial" w:cs="Arial"/>
          <w:bCs/>
          <w:sz w:val="19"/>
          <w:szCs w:val="19"/>
          <w:lang w:val="id-ID"/>
        </w:rPr>
        <w:t xml:space="preserve"> </w:t>
      </w:r>
      <w:r>
        <w:rPr>
          <w:rFonts w:ascii="Arial" w:hAnsi="Arial" w:cs="Arial"/>
          <w:bCs/>
          <w:iCs/>
          <w:sz w:val="19"/>
          <w:szCs w:val="19"/>
          <w:lang w:val="id-ID"/>
        </w:rPr>
        <w:t>q = number of explanatory variable lags</w:t>
      </w:r>
      <w:r>
        <w:rPr>
          <w:rFonts w:ascii="Arial" w:hAnsi="Arial" w:cs="Arial"/>
          <w:bCs/>
          <w:sz w:val="19"/>
          <w:szCs w:val="19"/>
          <w:lang w:val="id-ID"/>
        </w:rPr>
        <w:t xml:space="preserve">, </w:t>
      </w:r>
      <w:r>
        <w:rPr>
          <w:rFonts w:ascii="Arial" w:hAnsi="Arial" w:cs="Arial"/>
          <w:bCs/>
          <w:iCs/>
          <w:sz w:val="19"/>
          <w:szCs w:val="19"/>
          <w:lang w:val="id-ID"/>
        </w:rPr>
        <w:t>UN = unemployment (%)</w:t>
      </w:r>
      <w:r>
        <w:rPr>
          <w:rFonts w:ascii="Arial" w:hAnsi="Arial" w:cs="Arial"/>
          <w:bCs/>
          <w:sz w:val="19"/>
          <w:szCs w:val="19"/>
          <w:lang w:val="id-ID"/>
        </w:rPr>
        <w:t xml:space="preserve">, </w:t>
      </w:r>
      <w:r>
        <w:rPr>
          <w:rFonts w:ascii="Arial" w:hAnsi="Arial" w:cs="Arial"/>
          <w:bCs/>
          <w:iCs/>
          <w:sz w:val="19"/>
          <w:szCs w:val="19"/>
          <w:lang w:val="id-ID"/>
        </w:rPr>
        <w:t xml:space="preserve">RE = </w:t>
      </w:r>
      <w:r>
        <w:rPr>
          <w:rFonts w:ascii="Arial" w:hAnsi="Arial" w:cs="Arial"/>
          <w:bCs/>
          <w:iCs/>
          <w:sz w:val="19"/>
          <w:szCs w:val="19"/>
          <w:lang w:val="id-ID"/>
        </w:rPr>
        <w:lastRenderedPageBreak/>
        <w:t>renewable energy (%)</w:t>
      </w:r>
      <w:r>
        <w:rPr>
          <w:rFonts w:ascii="Arial" w:hAnsi="Arial" w:cs="Arial"/>
          <w:bCs/>
          <w:sz w:val="19"/>
          <w:szCs w:val="19"/>
          <w:lang w:val="id-ID"/>
        </w:rPr>
        <w:t xml:space="preserve">, </w:t>
      </w:r>
      <w:r>
        <w:rPr>
          <w:rFonts w:ascii="Arial" w:hAnsi="Arial" w:cs="Arial"/>
          <w:bCs/>
          <w:iCs/>
          <w:sz w:val="19"/>
          <w:szCs w:val="19"/>
          <w:lang w:val="id-ID"/>
        </w:rPr>
        <w:t>SB = interest rate (%)</w:t>
      </w:r>
      <w:r>
        <w:rPr>
          <w:rFonts w:ascii="Arial" w:hAnsi="Arial" w:cs="Arial"/>
          <w:bCs/>
          <w:sz w:val="19"/>
          <w:szCs w:val="19"/>
          <w:lang w:val="id-ID"/>
        </w:rPr>
        <w:t xml:space="preserve">, </w:t>
      </w:r>
      <w:r>
        <w:rPr>
          <w:rFonts w:ascii="Arial" w:hAnsi="Arial" w:cs="Arial"/>
          <w:bCs/>
          <w:iCs/>
          <w:sz w:val="19"/>
          <w:szCs w:val="19"/>
          <w:lang w:val="id-ID"/>
        </w:rPr>
        <w:t>FDI = foreign direct investment (%)</w:t>
      </w:r>
      <w:r>
        <w:rPr>
          <w:rFonts w:ascii="Arial" w:hAnsi="Arial" w:cs="Arial"/>
          <w:bCs/>
          <w:sz w:val="19"/>
          <w:szCs w:val="19"/>
          <w:lang w:val="id-ID"/>
        </w:rPr>
        <w:t xml:space="preserve">, and </w:t>
      </w:r>
      <w:r>
        <w:rPr>
          <w:rFonts w:ascii="Arial" w:hAnsi="Arial" w:cs="Arial"/>
          <w:bCs/>
          <w:iCs/>
          <w:sz w:val="19"/>
          <w:szCs w:val="19"/>
          <w:lang w:val="id-ID"/>
        </w:rPr>
        <w:t>GDP = GDP per capita (USD).</w:t>
      </w:r>
    </w:p>
    <w:p w14:paraId="7DB7773F" w14:textId="77777777" w:rsidR="00366727" w:rsidRDefault="00366727">
      <w:pPr>
        <w:pStyle w:val="Body"/>
        <w:spacing w:after="0"/>
        <w:rPr>
          <w:rFonts w:ascii="Arial" w:hAnsi="Arial" w:cs="Arial"/>
          <w:bCs/>
          <w:iCs/>
          <w:lang w:val="id-ID"/>
        </w:rPr>
      </w:pPr>
    </w:p>
    <w:p w14:paraId="0266AB6B" w14:textId="321E9410" w:rsidR="00366727" w:rsidRDefault="005265DE">
      <w:pPr>
        <w:pStyle w:val="Body"/>
        <w:spacing w:after="0"/>
        <w:rPr>
          <w:rFonts w:ascii="Arial" w:hAnsi="Arial" w:cs="Arial"/>
        </w:rPr>
      </w:pPr>
      <w:r>
        <w:rPr>
          <w:rFonts w:ascii="Arial" w:hAnsi="Arial" w:cs="Arial"/>
        </w:rPr>
        <w:t>The analysis employed the ARDL model because it effectively captures both long-term and short-term relationships. Additionally, it is well-suited for time series data with variables integrated at different orders. The sequence of analyses includes: (1) descriptive statistics, (2) stationarity tests, (3) cointegration tests, (4) short-term and long-term relationship assessments, and (5) diagnostic tests. The analysis begins with descriptive statistics, which systematically summarize the data for easier interpretation. This is followed by unit root tests, specifically the Augmented Dickey-Fuller and Phillips-</w:t>
      </w:r>
      <w:proofErr w:type="spellStart"/>
      <w:r>
        <w:rPr>
          <w:rFonts w:ascii="Arial" w:hAnsi="Arial" w:cs="Arial"/>
        </w:rPr>
        <w:t>Perron</w:t>
      </w:r>
      <w:proofErr w:type="spellEnd"/>
      <w:r>
        <w:rPr>
          <w:rFonts w:ascii="Arial" w:hAnsi="Arial" w:cs="Arial"/>
        </w:rPr>
        <w:t xml:space="preserve"> tests. Subsequently, cointegration tests and ARDL model estimation are conducted to identify long-term and short-term interactions among variables. Finally, post-estimation diagnostic tests are performed to evaluate the reliability and robustness of the applied methods.</w:t>
      </w:r>
    </w:p>
    <w:bookmarkEnd w:id="1"/>
    <w:p w14:paraId="37CAE158" w14:textId="77777777" w:rsidR="00366727" w:rsidRDefault="00366727">
      <w:pPr>
        <w:pStyle w:val="Body"/>
        <w:spacing w:after="0"/>
        <w:rPr>
          <w:rFonts w:ascii="Arial" w:hAnsi="Arial" w:cs="Arial"/>
          <w:b/>
          <w:caps/>
        </w:rPr>
      </w:pPr>
    </w:p>
    <w:p w14:paraId="7D33ACA8" w14:textId="77777777" w:rsidR="00366727" w:rsidRDefault="005265DE">
      <w:pPr>
        <w:pStyle w:val="Body"/>
        <w:spacing w:after="0"/>
        <w:rPr>
          <w:rFonts w:ascii="Arial" w:hAnsi="Arial" w:cs="Arial"/>
          <w:b/>
          <w:sz w:val="22"/>
        </w:rPr>
      </w:pPr>
      <w:r>
        <w:rPr>
          <w:rFonts w:ascii="Arial" w:hAnsi="Arial" w:cs="Arial"/>
          <w:b/>
          <w:caps/>
          <w:sz w:val="22"/>
        </w:rPr>
        <w:t xml:space="preserve">2.3 </w:t>
      </w:r>
      <w:r>
        <w:rPr>
          <w:rFonts w:ascii="Arial" w:hAnsi="Arial" w:cs="Arial"/>
          <w:b/>
          <w:sz w:val="22"/>
        </w:rPr>
        <w:t>Study Paradigm</w:t>
      </w:r>
    </w:p>
    <w:p w14:paraId="4273A902" w14:textId="77777777" w:rsidR="00366727" w:rsidRDefault="00366727">
      <w:pPr>
        <w:pStyle w:val="Body"/>
        <w:spacing w:after="0"/>
        <w:rPr>
          <w:rFonts w:ascii="Arial" w:hAnsi="Arial" w:cs="Arial"/>
          <w:b/>
        </w:rPr>
      </w:pPr>
    </w:p>
    <w:p w14:paraId="6A2794DB" w14:textId="0BFA3144" w:rsidR="00366727" w:rsidRDefault="005265DE">
      <w:pPr>
        <w:pStyle w:val="Body"/>
        <w:spacing w:after="0"/>
        <w:rPr>
          <w:rFonts w:ascii="Arial" w:hAnsi="Arial" w:cs="Arial"/>
          <w:bCs/>
          <w:highlight w:val="yellow"/>
        </w:rPr>
      </w:pPr>
      <w:r>
        <w:rPr>
          <w:rFonts w:ascii="Arial" w:hAnsi="Arial" w:cs="Arial"/>
          <w:bCs/>
        </w:rPr>
        <w:t xml:space="preserve">In a study, a paradigm functions as a framework for visualizing </w:t>
      </w:r>
      <w:proofErr w:type="gramStart"/>
      <w:r>
        <w:rPr>
          <w:rFonts w:ascii="Arial" w:hAnsi="Arial" w:cs="Arial"/>
          <w:bCs/>
        </w:rPr>
        <w:t xml:space="preserve">the </w:t>
      </w:r>
      <w:r w:rsidR="00FC365B" w:rsidRPr="00FC365B">
        <w:t xml:space="preserve"> </w:t>
      </w:r>
      <w:r w:rsidR="00FC365B" w:rsidRPr="00FC365B">
        <w:rPr>
          <w:rFonts w:ascii="Arial" w:hAnsi="Arial" w:cs="Arial"/>
          <w:bCs/>
        </w:rPr>
        <w:t>relationships</w:t>
      </w:r>
      <w:proofErr w:type="gramEnd"/>
      <w:r>
        <w:rPr>
          <w:rFonts w:ascii="Arial" w:hAnsi="Arial" w:cs="Arial"/>
          <w:bCs/>
        </w:rPr>
        <w:t xml:space="preserve"> among the variables being tested. Paradigms also assist researchers in creating a logical flow for their studies. Figure 2 below illustrates the study paradigm. This study employs a quantitative </w:t>
      </w:r>
      <w:r w:rsidR="00FC365B">
        <w:rPr>
          <w:rFonts w:ascii="Arial" w:hAnsi="Arial" w:cs="Arial"/>
          <w:bCs/>
        </w:rPr>
        <w:t xml:space="preserve">approach </w:t>
      </w:r>
      <w:r>
        <w:rPr>
          <w:rFonts w:ascii="Arial" w:hAnsi="Arial" w:cs="Arial"/>
          <w:bCs/>
        </w:rPr>
        <w:t>aimed at validating the influence of macroeconomic variables on the unemployment rate in Indonesia. Within this paradigm, the unemployment rate is positioned as the dependent variable, predicted by independent variables including renewable energy consumption (as a percentage of total primary energy), interest rates, FDI as a percentage of GDP, and GDP per capita.</w:t>
      </w:r>
    </w:p>
    <w:p w14:paraId="0B867B51" w14:textId="77777777" w:rsidR="00366727" w:rsidRDefault="00366727">
      <w:pPr>
        <w:pStyle w:val="Body"/>
        <w:spacing w:after="0"/>
        <w:rPr>
          <w:rFonts w:ascii="Arial" w:hAnsi="Arial" w:cs="Arial"/>
          <w:bCs/>
        </w:rPr>
      </w:pPr>
    </w:p>
    <w:p w14:paraId="4135792A" w14:textId="77777777" w:rsidR="00366727" w:rsidRDefault="005265DE">
      <w:pPr>
        <w:pStyle w:val="Body"/>
        <w:spacing w:after="0"/>
        <w:jc w:val="center"/>
        <w:rPr>
          <w:rFonts w:ascii="Arial" w:hAnsi="Arial" w:cs="Arial"/>
        </w:rPr>
      </w:pPr>
      <w:r>
        <w:rPr>
          <w:rFonts w:asciiTheme="majorBidi" w:hAnsiTheme="majorBidi" w:cstheme="majorBidi"/>
          <w:noProof/>
          <w:sz w:val="24"/>
          <w:szCs w:val="24"/>
        </w:rPr>
        <w:drawing>
          <wp:inline distT="0" distB="0" distL="0" distR="0" wp14:anchorId="7E95F43C" wp14:editId="59C7A85E">
            <wp:extent cx="2522119" cy="1550079"/>
            <wp:effectExtent l="0" t="0" r="0" b="0"/>
            <wp:docPr id="1269354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35451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557273" cy="1571685"/>
                    </a:xfrm>
                    <a:prstGeom prst="rect">
                      <a:avLst/>
                    </a:prstGeom>
                    <a:noFill/>
                  </pic:spPr>
                </pic:pic>
              </a:graphicData>
            </a:graphic>
          </wp:inline>
        </w:drawing>
      </w:r>
    </w:p>
    <w:p w14:paraId="3B761693" w14:textId="77777777" w:rsidR="00366727" w:rsidRDefault="00366727">
      <w:pPr>
        <w:autoSpaceDE w:val="0"/>
        <w:autoSpaceDN w:val="0"/>
        <w:adjustRightInd w:val="0"/>
        <w:jc w:val="both"/>
        <w:rPr>
          <w:rFonts w:ascii="Arial" w:hAnsi="Arial" w:cs="Arial"/>
          <w:b/>
          <w:bCs/>
          <w:sz w:val="12"/>
          <w:szCs w:val="12"/>
        </w:rPr>
      </w:pPr>
    </w:p>
    <w:p w14:paraId="3C4CE8D5" w14:textId="77777777" w:rsidR="00366727" w:rsidRDefault="005265DE">
      <w:pPr>
        <w:autoSpaceDE w:val="0"/>
        <w:autoSpaceDN w:val="0"/>
        <w:adjustRightInd w:val="0"/>
        <w:jc w:val="both"/>
        <w:rPr>
          <w:rFonts w:ascii="Arial" w:hAnsi="Arial" w:cs="Arial"/>
          <w:b/>
          <w:bCs/>
          <w:szCs w:val="22"/>
        </w:rPr>
      </w:pPr>
      <w:r>
        <w:rPr>
          <w:rFonts w:ascii="Arial" w:hAnsi="Arial" w:cs="Arial"/>
          <w:b/>
          <w:bCs/>
          <w:szCs w:val="22"/>
        </w:rPr>
        <w:t>Fig. 2. Study paradigm</w:t>
      </w:r>
    </w:p>
    <w:p w14:paraId="6D8D0EA4" w14:textId="77777777" w:rsidR="00366727" w:rsidRDefault="005265DE">
      <w:pPr>
        <w:pStyle w:val="BodyText3"/>
        <w:tabs>
          <w:tab w:val="left" w:pos="1080"/>
        </w:tabs>
        <w:spacing w:after="0"/>
        <w:ind w:left="1080" w:hanging="1080"/>
        <w:jc w:val="both"/>
        <w:rPr>
          <w:rFonts w:ascii="Arial" w:hAnsi="Arial"/>
          <w:bCs/>
          <w:i/>
        </w:rPr>
      </w:pPr>
      <w:r>
        <w:rPr>
          <w:rFonts w:ascii="Arial" w:hAnsi="Arial"/>
          <w:bCs/>
          <w:i/>
        </w:rPr>
        <w:t>Source: Authors own.</w:t>
      </w:r>
    </w:p>
    <w:p w14:paraId="57778C8F" w14:textId="77777777" w:rsidR="00366727" w:rsidRDefault="00366727">
      <w:pPr>
        <w:pStyle w:val="BodyText3"/>
        <w:tabs>
          <w:tab w:val="left" w:pos="1080"/>
        </w:tabs>
        <w:spacing w:after="0"/>
        <w:ind w:left="1080" w:hanging="1080"/>
        <w:jc w:val="both"/>
        <w:rPr>
          <w:rFonts w:ascii="Arial" w:hAnsi="Arial"/>
          <w:b/>
          <w:sz w:val="20"/>
          <w:szCs w:val="20"/>
        </w:rPr>
      </w:pPr>
    </w:p>
    <w:p w14:paraId="205821D8" w14:textId="77777777" w:rsidR="00366727" w:rsidRDefault="005265DE">
      <w:pPr>
        <w:pStyle w:val="Head1"/>
        <w:spacing w:after="0"/>
        <w:jc w:val="both"/>
        <w:rPr>
          <w:rFonts w:ascii="Arial" w:hAnsi="Arial" w:cs="Arial"/>
        </w:rPr>
      </w:pPr>
      <w:r>
        <w:rPr>
          <w:rFonts w:ascii="Arial" w:hAnsi="Arial" w:cs="Arial"/>
        </w:rPr>
        <w:t>3. results and discussion</w:t>
      </w:r>
    </w:p>
    <w:p w14:paraId="7017116A" w14:textId="77777777" w:rsidR="00366727" w:rsidRDefault="00366727">
      <w:pPr>
        <w:pStyle w:val="Head1"/>
        <w:spacing w:after="0"/>
        <w:jc w:val="both"/>
        <w:rPr>
          <w:rFonts w:ascii="Arial" w:hAnsi="Arial" w:cs="Arial"/>
          <w:sz w:val="20"/>
        </w:rPr>
      </w:pPr>
    </w:p>
    <w:p w14:paraId="40040752" w14:textId="77777777" w:rsidR="00366727" w:rsidRDefault="005265DE">
      <w:pPr>
        <w:pStyle w:val="Body"/>
        <w:spacing w:after="0"/>
        <w:rPr>
          <w:rFonts w:ascii="Arial" w:hAnsi="Arial" w:cs="Arial"/>
          <w:b/>
          <w:sz w:val="22"/>
        </w:rPr>
      </w:pPr>
      <w:r>
        <w:rPr>
          <w:rFonts w:ascii="Arial" w:hAnsi="Arial" w:cs="Arial"/>
          <w:b/>
          <w:caps/>
          <w:sz w:val="22"/>
        </w:rPr>
        <w:t xml:space="preserve">3.1 </w:t>
      </w:r>
      <w:r>
        <w:rPr>
          <w:rFonts w:ascii="Arial" w:hAnsi="Arial" w:cs="Arial"/>
          <w:b/>
          <w:sz w:val="22"/>
        </w:rPr>
        <w:t>Empirical Findings</w:t>
      </w:r>
    </w:p>
    <w:p w14:paraId="75999958" w14:textId="77777777" w:rsidR="00366727" w:rsidRDefault="00366727">
      <w:pPr>
        <w:pStyle w:val="Body"/>
        <w:spacing w:after="0"/>
        <w:rPr>
          <w:rFonts w:ascii="Arial" w:hAnsi="Arial" w:cs="Arial"/>
        </w:rPr>
      </w:pPr>
    </w:p>
    <w:p w14:paraId="209CCCE4" w14:textId="77777777" w:rsidR="00366727" w:rsidRDefault="005265DE">
      <w:pPr>
        <w:pStyle w:val="Body"/>
        <w:spacing w:after="0"/>
        <w:rPr>
          <w:rFonts w:ascii="Arial" w:hAnsi="Arial" w:cs="Arial"/>
        </w:rPr>
      </w:pPr>
      <w:r>
        <w:rPr>
          <w:rFonts w:ascii="Arial" w:hAnsi="Arial" w:cs="Arial"/>
        </w:rPr>
        <w:t>First, Table 1 summarizes the descriptive statistical results for each study variable. Overall, the average values for unemployment (UN), interest rates (SB), renewable energy (RE), foreign direct investment (FDI), and GDP per capita during the period 1991–2023 are 6.54%, 5.23%, 4.87%, 1.3%, and 2,628.891 USD, respectively. The median values for these variables are 6.18%, 6.5%, 3.84%, 1.78%, and 2,377.255 USD, respectively. According to Table 1, the maximum values for UN, SB, RE, FDI, and GDP are 11.24%, 15.60%, 10.79%, 2.91%, and 4,247,853 USD, respectively, occurring in 2005, 1992, 2021, 2005, and 2023. The minimum values are 2.67%, -24.60%, 2.47%, -2.75%, and 1,556.807 USD, respectively.</w:t>
      </w:r>
    </w:p>
    <w:p w14:paraId="3A6D0D7C" w14:textId="77777777" w:rsidR="00366727" w:rsidRDefault="00366727">
      <w:pPr>
        <w:pStyle w:val="Body"/>
        <w:spacing w:after="0"/>
        <w:rPr>
          <w:rFonts w:ascii="Arial" w:hAnsi="Arial" w:cs="Arial"/>
        </w:rPr>
      </w:pPr>
    </w:p>
    <w:p w14:paraId="04AB32E8" w14:textId="77777777" w:rsidR="00366727" w:rsidRDefault="005265DE">
      <w:pPr>
        <w:pStyle w:val="Body"/>
        <w:spacing w:after="0"/>
        <w:rPr>
          <w:rFonts w:ascii="Arial" w:hAnsi="Arial" w:cs="Arial"/>
          <w:highlight w:val="yellow"/>
        </w:rPr>
      </w:pPr>
      <w:r>
        <w:rPr>
          <w:rFonts w:ascii="Arial" w:hAnsi="Arial" w:cs="Arial"/>
        </w:rPr>
        <w:lastRenderedPageBreak/>
        <w:t>Second, the stationarity of each variable was assessed using the Augmented Dickey-Fuller (ADF) unit root test. To determine whether the data are stationary, the p-value for each variable was compared to a significance level (alpha) of 5%. If the p-value exceeds 5%, the data are considered non-stationary; conversely, if the p-value is less than 5%, the data are considered stationary. Table 2 shows that, based on the original data without transformation, only the interest rate variable was stationary from the outset. This test was conducted directly on the raw time series values. After transforming the data by taking first differences, in addition to the interest rate, the unemployment rate, renewable energy consumption, FDI, and GDP were classified as stationary according to the criteria at the first difference level. These varying levels of stationarity satisfy the requirements for the ARDL parameters.</w:t>
      </w:r>
    </w:p>
    <w:p w14:paraId="36CC8E20" w14:textId="77777777" w:rsidR="00366727" w:rsidRDefault="00366727">
      <w:pPr>
        <w:tabs>
          <w:tab w:val="left" w:pos="1080"/>
        </w:tabs>
        <w:jc w:val="both"/>
        <w:rPr>
          <w:rFonts w:ascii="Arial" w:hAnsi="Arial"/>
          <w:b/>
        </w:rPr>
      </w:pPr>
    </w:p>
    <w:p w14:paraId="60754308" w14:textId="77777777" w:rsidR="00366727" w:rsidRDefault="005265DE">
      <w:pPr>
        <w:tabs>
          <w:tab w:val="left" w:pos="1080"/>
        </w:tabs>
        <w:jc w:val="both"/>
        <w:rPr>
          <w:rFonts w:ascii="Arial" w:hAnsi="Arial"/>
          <w:b/>
        </w:rPr>
      </w:pPr>
      <w:r>
        <w:rPr>
          <w:rFonts w:ascii="Arial" w:hAnsi="Arial"/>
          <w:b/>
        </w:rPr>
        <w:t>Table 1. Descriptive statistics matrix</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815"/>
        <w:gridCol w:w="1267"/>
        <w:gridCol w:w="1267"/>
        <w:gridCol w:w="1268"/>
        <w:gridCol w:w="1267"/>
        <w:gridCol w:w="1268"/>
      </w:tblGrid>
      <w:tr w:rsidR="00366727" w14:paraId="5899E058" w14:textId="77777777">
        <w:trPr>
          <w:jc w:val="center"/>
        </w:trPr>
        <w:tc>
          <w:tcPr>
            <w:tcW w:w="1815" w:type="dxa"/>
            <w:tcBorders>
              <w:bottom w:val="single" w:sz="4" w:space="0" w:color="000000"/>
            </w:tcBorders>
            <w:vAlign w:val="center"/>
          </w:tcPr>
          <w:p w14:paraId="0D9968D8" w14:textId="77777777" w:rsidR="00366727" w:rsidRDefault="005265DE">
            <w:pPr>
              <w:autoSpaceDE w:val="0"/>
              <w:autoSpaceDN w:val="0"/>
              <w:adjustRightInd w:val="0"/>
              <w:rPr>
                <w:rFonts w:ascii="Arial" w:hAnsi="Arial" w:cs="Arial"/>
                <w:b/>
                <w:bCs/>
                <w:color w:val="000000"/>
                <w:sz w:val="19"/>
                <w:szCs w:val="19"/>
              </w:rPr>
            </w:pPr>
            <w:r>
              <w:rPr>
                <w:rFonts w:ascii="Arial" w:hAnsi="Arial" w:cs="Arial"/>
                <w:b/>
                <w:bCs/>
                <w:color w:val="000000"/>
                <w:sz w:val="19"/>
                <w:szCs w:val="19"/>
              </w:rPr>
              <w:t>Statistics</w:t>
            </w:r>
          </w:p>
        </w:tc>
        <w:tc>
          <w:tcPr>
            <w:tcW w:w="1267" w:type="dxa"/>
            <w:tcBorders>
              <w:bottom w:val="single" w:sz="4" w:space="0" w:color="000000"/>
            </w:tcBorders>
            <w:vAlign w:val="center"/>
          </w:tcPr>
          <w:p w14:paraId="5157DF43" w14:textId="77777777" w:rsidR="00366727" w:rsidRDefault="005265DE">
            <w:pPr>
              <w:autoSpaceDE w:val="0"/>
              <w:autoSpaceDN w:val="0"/>
              <w:adjustRightInd w:val="0"/>
              <w:jc w:val="center"/>
              <w:rPr>
                <w:rFonts w:ascii="Arial" w:hAnsi="Arial" w:cs="Arial"/>
                <w:b/>
                <w:bCs/>
                <w:color w:val="000000"/>
                <w:sz w:val="19"/>
                <w:szCs w:val="19"/>
              </w:rPr>
            </w:pPr>
            <w:r>
              <w:rPr>
                <w:rFonts w:ascii="Arial" w:hAnsi="Arial" w:cs="Arial"/>
                <w:b/>
                <w:bCs/>
                <w:color w:val="000000"/>
                <w:sz w:val="19"/>
                <w:szCs w:val="19"/>
              </w:rPr>
              <w:t>UN</w:t>
            </w:r>
          </w:p>
        </w:tc>
        <w:tc>
          <w:tcPr>
            <w:tcW w:w="1267" w:type="dxa"/>
            <w:tcBorders>
              <w:bottom w:val="single" w:sz="4" w:space="0" w:color="000000"/>
            </w:tcBorders>
            <w:vAlign w:val="center"/>
          </w:tcPr>
          <w:p w14:paraId="331D0168" w14:textId="77777777" w:rsidR="00366727" w:rsidRDefault="005265DE">
            <w:pPr>
              <w:autoSpaceDE w:val="0"/>
              <w:autoSpaceDN w:val="0"/>
              <w:adjustRightInd w:val="0"/>
              <w:jc w:val="center"/>
              <w:rPr>
                <w:rFonts w:ascii="Arial" w:hAnsi="Arial" w:cs="Arial"/>
                <w:b/>
                <w:bCs/>
                <w:color w:val="000000"/>
                <w:sz w:val="19"/>
                <w:szCs w:val="19"/>
              </w:rPr>
            </w:pPr>
            <w:r>
              <w:rPr>
                <w:rFonts w:ascii="Arial" w:hAnsi="Arial" w:cs="Arial"/>
                <w:b/>
                <w:bCs/>
                <w:color w:val="000000"/>
                <w:sz w:val="19"/>
                <w:szCs w:val="19"/>
              </w:rPr>
              <w:t>SB</w:t>
            </w:r>
          </w:p>
        </w:tc>
        <w:tc>
          <w:tcPr>
            <w:tcW w:w="1268" w:type="dxa"/>
            <w:tcBorders>
              <w:bottom w:val="single" w:sz="4" w:space="0" w:color="000000"/>
            </w:tcBorders>
            <w:vAlign w:val="center"/>
          </w:tcPr>
          <w:p w14:paraId="7ACBB41E" w14:textId="77777777" w:rsidR="00366727" w:rsidRDefault="005265DE">
            <w:pPr>
              <w:autoSpaceDE w:val="0"/>
              <w:autoSpaceDN w:val="0"/>
              <w:adjustRightInd w:val="0"/>
              <w:jc w:val="center"/>
              <w:rPr>
                <w:rFonts w:ascii="Arial" w:hAnsi="Arial" w:cs="Arial"/>
                <w:b/>
                <w:bCs/>
                <w:color w:val="000000"/>
                <w:sz w:val="19"/>
                <w:szCs w:val="19"/>
              </w:rPr>
            </w:pPr>
            <w:r>
              <w:rPr>
                <w:rFonts w:ascii="Arial" w:hAnsi="Arial" w:cs="Arial"/>
                <w:b/>
                <w:bCs/>
                <w:color w:val="000000"/>
                <w:sz w:val="19"/>
                <w:szCs w:val="19"/>
              </w:rPr>
              <w:t>RE</w:t>
            </w:r>
          </w:p>
        </w:tc>
        <w:tc>
          <w:tcPr>
            <w:tcW w:w="1267" w:type="dxa"/>
            <w:tcBorders>
              <w:bottom w:val="single" w:sz="4" w:space="0" w:color="000000"/>
            </w:tcBorders>
            <w:vAlign w:val="center"/>
          </w:tcPr>
          <w:p w14:paraId="73C9CBB8" w14:textId="77777777" w:rsidR="00366727" w:rsidRDefault="005265DE">
            <w:pPr>
              <w:autoSpaceDE w:val="0"/>
              <w:autoSpaceDN w:val="0"/>
              <w:adjustRightInd w:val="0"/>
              <w:jc w:val="center"/>
              <w:rPr>
                <w:rFonts w:ascii="Arial" w:hAnsi="Arial" w:cs="Arial"/>
                <w:b/>
                <w:bCs/>
                <w:color w:val="000000"/>
                <w:sz w:val="19"/>
                <w:szCs w:val="19"/>
              </w:rPr>
            </w:pPr>
            <w:r>
              <w:rPr>
                <w:rFonts w:ascii="Arial" w:hAnsi="Arial" w:cs="Arial"/>
                <w:b/>
                <w:bCs/>
                <w:color w:val="000000"/>
                <w:sz w:val="19"/>
                <w:szCs w:val="19"/>
              </w:rPr>
              <w:t>FDI</w:t>
            </w:r>
          </w:p>
        </w:tc>
        <w:tc>
          <w:tcPr>
            <w:tcW w:w="1268" w:type="dxa"/>
            <w:tcBorders>
              <w:bottom w:val="single" w:sz="4" w:space="0" w:color="000000"/>
            </w:tcBorders>
            <w:vAlign w:val="center"/>
          </w:tcPr>
          <w:p w14:paraId="1F99568B" w14:textId="77777777" w:rsidR="00366727" w:rsidRDefault="005265DE">
            <w:pPr>
              <w:autoSpaceDE w:val="0"/>
              <w:autoSpaceDN w:val="0"/>
              <w:adjustRightInd w:val="0"/>
              <w:jc w:val="center"/>
              <w:rPr>
                <w:rFonts w:ascii="Arial" w:hAnsi="Arial" w:cs="Arial"/>
                <w:b/>
                <w:bCs/>
                <w:color w:val="000000"/>
                <w:sz w:val="19"/>
                <w:szCs w:val="19"/>
              </w:rPr>
            </w:pPr>
            <w:r>
              <w:rPr>
                <w:rFonts w:ascii="Arial" w:hAnsi="Arial" w:cs="Arial"/>
                <w:b/>
                <w:bCs/>
                <w:color w:val="000000"/>
                <w:sz w:val="19"/>
                <w:szCs w:val="19"/>
              </w:rPr>
              <w:t>GDP</w:t>
            </w:r>
          </w:p>
        </w:tc>
      </w:tr>
      <w:tr w:rsidR="00366727" w14:paraId="25B306C4" w14:textId="77777777">
        <w:trPr>
          <w:jc w:val="center"/>
        </w:trPr>
        <w:tc>
          <w:tcPr>
            <w:tcW w:w="1815" w:type="dxa"/>
            <w:tcBorders>
              <w:bottom w:val="nil"/>
            </w:tcBorders>
            <w:vAlign w:val="center"/>
          </w:tcPr>
          <w:p w14:paraId="2240859C"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Mean</w:t>
            </w:r>
          </w:p>
        </w:tc>
        <w:tc>
          <w:tcPr>
            <w:tcW w:w="1267" w:type="dxa"/>
            <w:tcBorders>
              <w:bottom w:val="nil"/>
            </w:tcBorders>
            <w:vAlign w:val="center"/>
          </w:tcPr>
          <w:p w14:paraId="20526BE5"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6.542667</w:t>
            </w:r>
          </w:p>
        </w:tc>
        <w:tc>
          <w:tcPr>
            <w:tcW w:w="1267" w:type="dxa"/>
            <w:tcBorders>
              <w:bottom w:val="nil"/>
            </w:tcBorders>
            <w:vAlign w:val="center"/>
          </w:tcPr>
          <w:p w14:paraId="1501E8D7"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5.232548</w:t>
            </w:r>
          </w:p>
        </w:tc>
        <w:tc>
          <w:tcPr>
            <w:tcW w:w="1268" w:type="dxa"/>
            <w:tcBorders>
              <w:bottom w:val="nil"/>
            </w:tcBorders>
            <w:vAlign w:val="center"/>
          </w:tcPr>
          <w:p w14:paraId="054E3FE0"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4.874809</w:t>
            </w:r>
          </w:p>
        </w:tc>
        <w:tc>
          <w:tcPr>
            <w:tcW w:w="1267" w:type="dxa"/>
            <w:tcBorders>
              <w:bottom w:val="nil"/>
            </w:tcBorders>
            <w:vAlign w:val="center"/>
          </w:tcPr>
          <w:p w14:paraId="25F51798"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1.304912</w:t>
            </w:r>
          </w:p>
        </w:tc>
        <w:tc>
          <w:tcPr>
            <w:tcW w:w="1268" w:type="dxa"/>
            <w:tcBorders>
              <w:bottom w:val="nil"/>
            </w:tcBorders>
            <w:vAlign w:val="center"/>
          </w:tcPr>
          <w:p w14:paraId="4696E3EE"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2628.891</w:t>
            </w:r>
          </w:p>
        </w:tc>
      </w:tr>
      <w:tr w:rsidR="00366727" w14:paraId="0856372A" w14:textId="77777777">
        <w:trPr>
          <w:jc w:val="center"/>
        </w:trPr>
        <w:tc>
          <w:tcPr>
            <w:tcW w:w="1815" w:type="dxa"/>
            <w:tcBorders>
              <w:top w:val="nil"/>
              <w:bottom w:val="nil"/>
            </w:tcBorders>
            <w:vAlign w:val="center"/>
          </w:tcPr>
          <w:p w14:paraId="601756DB"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Median</w:t>
            </w:r>
          </w:p>
        </w:tc>
        <w:tc>
          <w:tcPr>
            <w:tcW w:w="1267" w:type="dxa"/>
            <w:tcBorders>
              <w:top w:val="nil"/>
              <w:bottom w:val="nil"/>
            </w:tcBorders>
            <w:vAlign w:val="center"/>
          </w:tcPr>
          <w:p w14:paraId="7A6BFE99"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6.180000</w:t>
            </w:r>
          </w:p>
        </w:tc>
        <w:tc>
          <w:tcPr>
            <w:tcW w:w="1267" w:type="dxa"/>
            <w:tcBorders>
              <w:top w:val="nil"/>
              <w:bottom w:val="nil"/>
            </w:tcBorders>
            <w:vAlign w:val="center"/>
          </w:tcPr>
          <w:p w14:paraId="1C133B21"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6.501564</w:t>
            </w:r>
          </w:p>
        </w:tc>
        <w:tc>
          <w:tcPr>
            <w:tcW w:w="1268" w:type="dxa"/>
            <w:tcBorders>
              <w:top w:val="nil"/>
              <w:bottom w:val="nil"/>
            </w:tcBorders>
            <w:vAlign w:val="center"/>
          </w:tcPr>
          <w:p w14:paraId="28D02B18"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3.847700</w:t>
            </w:r>
          </w:p>
        </w:tc>
        <w:tc>
          <w:tcPr>
            <w:tcW w:w="1267" w:type="dxa"/>
            <w:tcBorders>
              <w:top w:val="nil"/>
              <w:bottom w:val="nil"/>
            </w:tcBorders>
            <w:vAlign w:val="center"/>
          </w:tcPr>
          <w:p w14:paraId="551203D8"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1.787856</w:t>
            </w:r>
          </w:p>
        </w:tc>
        <w:tc>
          <w:tcPr>
            <w:tcW w:w="1268" w:type="dxa"/>
            <w:tcBorders>
              <w:top w:val="nil"/>
              <w:bottom w:val="nil"/>
            </w:tcBorders>
            <w:vAlign w:val="center"/>
          </w:tcPr>
          <w:p w14:paraId="2F2A644A"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2377.255</w:t>
            </w:r>
          </w:p>
        </w:tc>
      </w:tr>
      <w:tr w:rsidR="00366727" w14:paraId="16EFF4C8" w14:textId="77777777">
        <w:trPr>
          <w:jc w:val="center"/>
        </w:trPr>
        <w:tc>
          <w:tcPr>
            <w:tcW w:w="1815" w:type="dxa"/>
            <w:tcBorders>
              <w:top w:val="nil"/>
              <w:bottom w:val="nil"/>
            </w:tcBorders>
            <w:vAlign w:val="center"/>
          </w:tcPr>
          <w:p w14:paraId="6E8EF649"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Maximum</w:t>
            </w:r>
          </w:p>
        </w:tc>
        <w:tc>
          <w:tcPr>
            <w:tcW w:w="1267" w:type="dxa"/>
            <w:tcBorders>
              <w:top w:val="nil"/>
              <w:bottom w:val="nil"/>
            </w:tcBorders>
            <w:vAlign w:val="center"/>
          </w:tcPr>
          <w:p w14:paraId="7D8B38EA"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11.24000</w:t>
            </w:r>
          </w:p>
        </w:tc>
        <w:tc>
          <w:tcPr>
            <w:tcW w:w="1267" w:type="dxa"/>
            <w:tcBorders>
              <w:top w:val="nil"/>
              <w:bottom w:val="nil"/>
            </w:tcBorders>
            <w:vAlign w:val="center"/>
          </w:tcPr>
          <w:p w14:paraId="61136683"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15.60691</w:t>
            </w:r>
          </w:p>
        </w:tc>
        <w:tc>
          <w:tcPr>
            <w:tcW w:w="1268" w:type="dxa"/>
            <w:tcBorders>
              <w:top w:val="nil"/>
              <w:bottom w:val="nil"/>
            </w:tcBorders>
            <w:vAlign w:val="center"/>
          </w:tcPr>
          <w:p w14:paraId="40509305"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10.79370</w:t>
            </w:r>
          </w:p>
        </w:tc>
        <w:tc>
          <w:tcPr>
            <w:tcW w:w="1267" w:type="dxa"/>
            <w:tcBorders>
              <w:top w:val="nil"/>
              <w:bottom w:val="nil"/>
            </w:tcBorders>
            <w:vAlign w:val="center"/>
          </w:tcPr>
          <w:p w14:paraId="6E250214"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2.916115</w:t>
            </w:r>
          </w:p>
        </w:tc>
        <w:tc>
          <w:tcPr>
            <w:tcW w:w="1268" w:type="dxa"/>
            <w:tcBorders>
              <w:top w:val="nil"/>
              <w:bottom w:val="nil"/>
            </w:tcBorders>
            <w:vAlign w:val="center"/>
          </w:tcPr>
          <w:p w14:paraId="1CCD9C40"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4247.853</w:t>
            </w:r>
          </w:p>
        </w:tc>
      </w:tr>
      <w:tr w:rsidR="00366727" w14:paraId="3E71AA8E" w14:textId="77777777">
        <w:trPr>
          <w:jc w:val="center"/>
        </w:trPr>
        <w:tc>
          <w:tcPr>
            <w:tcW w:w="1815" w:type="dxa"/>
            <w:tcBorders>
              <w:top w:val="nil"/>
              <w:bottom w:val="nil"/>
            </w:tcBorders>
            <w:vAlign w:val="center"/>
          </w:tcPr>
          <w:p w14:paraId="0E8E529C"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Minimum</w:t>
            </w:r>
          </w:p>
        </w:tc>
        <w:tc>
          <w:tcPr>
            <w:tcW w:w="1267" w:type="dxa"/>
            <w:tcBorders>
              <w:top w:val="nil"/>
              <w:bottom w:val="nil"/>
            </w:tcBorders>
            <w:vAlign w:val="center"/>
          </w:tcPr>
          <w:p w14:paraId="0503D5C2"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2.670000</w:t>
            </w:r>
          </w:p>
        </w:tc>
        <w:tc>
          <w:tcPr>
            <w:tcW w:w="1267" w:type="dxa"/>
            <w:tcBorders>
              <w:top w:val="nil"/>
              <w:bottom w:val="nil"/>
            </w:tcBorders>
            <w:vAlign w:val="center"/>
          </w:tcPr>
          <w:p w14:paraId="7F2C37F5"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–24.60017</w:t>
            </w:r>
          </w:p>
        </w:tc>
        <w:tc>
          <w:tcPr>
            <w:tcW w:w="1268" w:type="dxa"/>
            <w:tcBorders>
              <w:top w:val="nil"/>
              <w:bottom w:val="nil"/>
            </w:tcBorders>
            <w:vAlign w:val="center"/>
          </w:tcPr>
          <w:p w14:paraId="5E6BB2F4"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2.477300</w:t>
            </w:r>
          </w:p>
        </w:tc>
        <w:tc>
          <w:tcPr>
            <w:tcW w:w="1267" w:type="dxa"/>
            <w:tcBorders>
              <w:top w:val="nil"/>
              <w:bottom w:val="nil"/>
            </w:tcBorders>
            <w:vAlign w:val="center"/>
          </w:tcPr>
          <w:p w14:paraId="64BD2BB5"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–2.757440</w:t>
            </w:r>
          </w:p>
        </w:tc>
        <w:tc>
          <w:tcPr>
            <w:tcW w:w="1268" w:type="dxa"/>
            <w:tcBorders>
              <w:top w:val="nil"/>
              <w:bottom w:val="nil"/>
            </w:tcBorders>
            <w:vAlign w:val="center"/>
          </w:tcPr>
          <w:p w14:paraId="48429C44"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1556.807</w:t>
            </w:r>
          </w:p>
        </w:tc>
      </w:tr>
      <w:tr w:rsidR="00366727" w14:paraId="2F4CF81D" w14:textId="77777777">
        <w:trPr>
          <w:jc w:val="center"/>
        </w:trPr>
        <w:tc>
          <w:tcPr>
            <w:tcW w:w="1815" w:type="dxa"/>
            <w:tcBorders>
              <w:top w:val="nil"/>
              <w:bottom w:val="nil"/>
            </w:tcBorders>
            <w:vAlign w:val="center"/>
          </w:tcPr>
          <w:p w14:paraId="29A8D8DD"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Std. Dev.</w:t>
            </w:r>
          </w:p>
        </w:tc>
        <w:tc>
          <w:tcPr>
            <w:tcW w:w="1267" w:type="dxa"/>
            <w:tcBorders>
              <w:top w:val="nil"/>
              <w:bottom w:val="nil"/>
            </w:tcBorders>
            <w:vAlign w:val="center"/>
          </w:tcPr>
          <w:p w14:paraId="4D945081"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2.099667</w:t>
            </w:r>
          </w:p>
        </w:tc>
        <w:tc>
          <w:tcPr>
            <w:tcW w:w="1267" w:type="dxa"/>
            <w:tcBorders>
              <w:top w:val="nil"/>
              <w:bottom w:val="nil"/>
            </w:tcBorders>
            <w:vAlign w:val="center"/>
          </w:tcPr>
          <w:p w14:paraId="4DE143DF"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7.176327</w:t>
            </w:r>
          </w:p>
        </w:tc>
        <w:tc>
          <w:tcPr>
            <w:tcW w:w="1268" w:type="dxa"/>
            <w:tcBorders>
              <w:top w:val="nil"/>
              <w:bottom w:val="nil"/>
            </w:tcBorders>
            <w:vAlign w:val="center"/>
          </w:tcPr>
          <w:p w14:paraId="55F5A823"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2.378827</w:t>
            </w:r>
          </w:p>
        </w:tc>
        <w:tc>
          <w:tcPr>
            <w:tcW w:w="1267" w:type="dxa"/>
            <w:tcBorders>
              <w:top w:val="nil"/>
              <w:bottom w:val="nil"/>
            </w:tcBorders>
            <w:vAlign w:val="center"/>
          </w:tcPr>
          <w:p w14:paraId="4C4036A8"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1.338369</w:t>
            </w:r>
          </w:p>
        </w:tc>
        <w:tc>
          <w:tcPr>
            <w:tcW w:w="1268" w:type="dxa"/>
            <w:tcBorders>
              <w:top w:val="nil"/>
              <w:bottom w:val="nil"/>
            </w:tcBorders>
            <w:vAlign w:val="center"/>
          </w:tcPr>
          <w:p w14:paraId="567DB31B"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832.7800</w:t>
            </w:r>
          </w:p>
        </w:tc>
      </w:tr>
      <w:tr w:rsidR="00366727" w14:paraId="40F17A76" w14:textId="77777777">
        <w:trPr>
          <w:jc w:val="center"/>
        </w:trPr>
        <w:tc>
          <w:tcPr>
            <w:tcW w:w="1815" w:type="dxa"/>
            <w:tcBorders>
              <w:top w:val="nil"/>
              <w:bottom w:val="nil"/>
            </w:tcBorders>
            <w:vAlign w:val="center"/>
          </w:tcPr>
          <w:p w14:paraId="36D73A31"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Skewness</w:t>
            </w:r>
          </w:p>
        </w:tc>
        <w:tc>
          <w:tcPr>
            <w:tcW w:w="1267" w:type="dxa"/>
            <w:tcBorders>
              <w:top w:val="nil"/>
              <w:bottom w:val="nil"/>
            </w:tcBorders>
            <w:vAlign w:val="center"/>
          </w:tcPr>
          <w:p w14:paraId="79E0327A"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0.268931</w:t>
            </w:r>
          </w:p>
        </w:tc>
        <w:tc>
          <w:tcPr>
            <w:tcW w:w="1267" w:type="dxa"/>
            <w:tcBorders>
              <w:top w:val="nil"/>
              <w:bottom w:val="nil"/>
            </w:tcBorders>
            <w:vAlign w:val="center"/>
          </w:tcPr>
          <w:p w14:paraId="28FD79DE"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–2.154766</w:t>
            </w:r>
          </w:p>
        </w:tc>
        <w:tc>
          <w:tcPr>
            <w:tcW w:w="1268" w:type="dxa"/>
            <w:tcBorders>
              <w:top w:val="nil"/>
              <w:bottom w:val="nil"/>
            </w:tcBorders>
            <w:vAlign w:val="center"/>
          </w:tcPr>
          <w:p w14:paraId="1F3903C1"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1.565836</w:t>
            </w:r>
          </w:p>
        </w:tc>
        <w:tc>
          <w:tcPr>
            <w:tcW w:w="1267" w:type="dxa"/>
            <w:tcBorders>
              <w:top w:val="nil"/>
              <w:bottom w:val="nil"/>
            </w:tcBorders>
            <w:vAlign w:val="center"/>
          </w:tcPr>
          <w:p w14:paraId="6951CF3D"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–1.432318</w:t>
            </w:r>
          </w:p>
        </w:tc>
        <w:tc>
          <w:tcPr>
            <w:tcW w:w="1268" w:type="dxa"/>
            <w:tcBorders>
              <w:top w:val="nil"/>
              <w:bottom w:val="nil"/>
            </w:tcBorders>
            <w:vAlign w:val="center"/>
          </w:tcPr>
          <w:p w14:paraId="028845FC"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0.499275</w:t>
            </w:r>
          </w:p>
        </w:tc>
      </w:tr>
      <w:tr w:rsidR="00366727" w14:paraId="70472917" w14:textId="77777777">
        <w:trPr>
          <w:jc w:val="center"/>
        </w:trPr>
        <w:tc>
          <w:tcPr>
            <w:tcW w:w="1815" w:type="dxa"/>
            <w:tcBorders>
              <w:top w:val="nil"/>
              <w:bottom w:val="nil"/>
            </w:tcBorders>
            <w:vAlign w:val="center"/>
          </w:tcPr>
          <w:p w14:paraId="0AF3D744"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Kurtosis</w:t>
            </w:r>
          </w:p>
        </w:tc>
        <w:tc>
          <w:tcPr>
            <w:tcW w:w="1267" w:type="dxa"/>
            <w:tcBorders>
              <w:top w:val="nil"/>
              <w:bottom w:val="nil"/>
            </w:tcBorders>
            <w:vAlign w:val="center"/>
          </w:tcPr>
          <w:p w14:paraId="47960061"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2.757973</w:t>
            </w:r>
          </w:p>
        </w:tc>
        <w:tc>
          <w:tcPr>
            <w:tcW w:w="1267" w:type="dxa"/>
            <w:tcBorders>
              <w:top w:val="nil"/>
              <w:bottom w:val="nil"/>
            </w:tcBorders>
            <w:vAlign w:val="center"/>
          </w:tcPr>
          <w:p w14:paraId="60995750"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10.15128</w:t>
            </w:r>
          </w:p>
        </w:tc>
        <w:tc>
          <w:tcPr>
            <w:tcW w:w="1268" w:type="dxa"/>
            <w:tcBorders>
              <w:top w:val="nil"/>
              <w:bottom w:val="nil"/>
            </w:tcBorders>
            <w:vAlign w:val="center"/>
          </w:tcPr>
          <w:p w14:paraId="75B77C3D"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3.973817</w:t>
            </w:r>
          </w:p>
        </w:tc>
        <w:tc>
          <w:tcPr>
            <w:tcW w:w="1267" w:type="dxa"/>
            <w:tcBorders>
              <w:top w:val="nil"/>
              <w:bottom w:val="nil"/>
            </w:tcBorders>
            <w:vAlign w:val="center"/>
          </w:tcPr>
          <w:p w14:paraId="1B262ABF"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4.613852</w:t>
            </w:r>
          </w:p>
        </w:tc>
        <w:tc>
          <w:tcPr>
            <w:tcW w:w="1268" w:type="dxa"/>
            <w:tcBorders>
              <w:top w:val="nil"/>
              <w:bottom w:val="nil"/>
            </w:tcBorders>
            <w:vAlign w:val="center"/>
          </w:tcPr>
          <w:p w14:paraId="22429B29"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1.840633</w:t>
            </w:r>
          </w:p>
        </w:tc>
      </w:tr>
      <w:tr w:rsidR="00366727" w14:paraId="78DF3C93" w14:textId="77777777">
        <w:trPr>
          <w:jc w:val="center"/>
        </w:trPr>
        <w:tc>
          <w:tcPr>
            <w:tcW w:w="1815" w:type="dxa"/>
            <w:tcBorders>
              <w:top w:val="nil"/>
              <w:bottom w:val="nil"/>
            </w:tcBorders>
            <w:vAlign w:val="center"/>
          </w:tcPr>
          <w:p w14:paraId="75005635" w14:textId="77777777" w:rsidR="00366727" w:rsidRDefault="005265DE">
            <w:pPr>
              <w:autoSpaceDE w:val="0"/>
              <w:autoSpaceDN w:val="0"/>
              <w:adjustRightInd w:val="0"/>
              <w:rPr>
                <w:rFonts w:ascii="Arial" w:hAnsi="Arial" w:cs="Arial"/>
                <w:color w:val="000000"/>
                <w:sz w:val="19"/>
                <w:szCs w:val="19"/>
              </w:rPr>
            </w:pPr>
            <w:proofErr w:type="spellStart"/>
            <w:r>
              <w:rPr>
                <w:rFonts w:ascii="Arial" w:hAnsi="Arial" w:cs="Arial"/>
                <w:color w:val="000000"/>
                <w:sz w:val="19"/>
                <w:szCs w:val="19"/>
              </w:rPr>
              <w:t>Jarque-Bera</w:t>
            </w:r>
            <w:proofErr w:type="spellEnd"/>
          </w:p>
        </w:tc>
        <w:tc>
          <w:tcPr>
            <w:tcW w:w="1267" w:type="dxa"/>
            <w:tcBorders>
              <w:top w:val="nil"/>
              <w:bottom w:val="nil"/>
            </w:tcBorders>
            <w:vAlign w:val="center"/>
          </w:tcPr>
          <w:p w14:paraId="28F81D07"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0.478325</w:t>
            </w:r>
          </w:p>
        </w:tc>
        <w:tc>
          <w:tcPr>
            <w:tcW w:w="1267" w:type="dxa"/>
            <w:tcBorders>
              <w:top w:val="nil"/>
              <w:bottom w:val="nil"/>
            </w:tcBorders>
            <w:vAlign w:val="center"/>
          </w:tcPr>
          <w:p w14:paraId="517E4D10"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95.85527</w:t>
            </w:r>
          </w:p>
        </w:tc>
        <w:tc>
          <w:tcPr>
            <w:tcW w:w="1268" w:type="dxa"/>
            <w:tcBorders>
              <w:top w:val="nil"/>
              <w:bottom w:val="nil"/>
            </w:tcBorders>
            <w:vAlign w:val="center"/>
          </w:tcPr>
          <w:p w14:paraId="755F4F80"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14.78907</w:t>
            </w:r>
          </w:p>
        </w:tc>
        <w:tc>
          <w:tcPr>
            <w:tcW w:w="1267" w:type="dxa"/>
            <w:tcBorders>
              <w:top w:val="nil"/>
              <w:bottom w:val="nil"/>
            </w:tcBorders>
            <w:vAlign w:val="center"/>
          </w:tcPr>
          <w:p w14:paraId="6479E8E5"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14.86466</w:t>
            </w:r>
          </w:p>
        </w:tc>
        <w:tc>
          <w:tcPr>
            <w:tcW w:w="1268" w:type="dxa"/>
            <w:tcBorders>
              <w:top w:val="nil"/>
              <w:bottom w:val="nil"/>
            </w:tcBorders>
            <w:vAlign w:val="center"/>
          </w:tcPr>
          <w:p w14:paraId="33E87BB9"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3.219196</w:t>
            </w:r>
          </w:p>
        </w:tc>
      </w:tr>
      <w:tr w:rsidR="00366727" w14:paraId="7C903FE8" w14:textId="77777777">
        <w:trPr>
          <w:jc w:val="center"/>
        </w:trPr>
        <w:tc>
          <w:tcPr>
            <w:tcW w:w="1815" w:type="dxa"/>
            <w:tcBorders>
              <w:top w:val="nil"/>
              <w:bottom w:val="nil"/>
            </w:tcBorders>
            <w:vAlign w:val="center"/>
          </w:tcPr>
          <w:p w14:paraId="2723C179"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Probability</w:t>
            </w:r>
          </w:p>
        </w:tc>
        <w:tc>
          <w:tcPr>
            <w:tcW w:w="1267" w:type="dxa"/>
            <w:tcBorders>
              <w:top w:val="nil"/>
              <w:bottom w:val="nil"/>
            </w:tcBorders>
            <w:vAlign w:val="center"/>
          </w:tcPr>
          <w:p w14:paraId="21C2125B"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0.787287</w:t>
            </w:r>
          </w:p>
        </w:tc>
        <w:tc>
          <w:tcPr>
            <w:tcW w:w="1267" w:type="dxa"/>
            <w:tcBorders>
              <w:top w:val="nil"/>
              <w:bottom w:val="nil"/>
            </w:tcBorders>
            <w:vAlign w:val="center"/>
          </w:tcPr>
          <w:p w14:paraId="2D46E6E8"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0.000000</w:t>
            </w:r>
          </w:p>
        </w:tc>
        <w:tc>
          <w:tcPr>
            <w:tcW w:w="1268" w:type="dxa"/>
            <w:tcBorders>
              <w:top w:val="nil"/>
              <w:bottom w:val="nil"/>
            </w:tcBorders>
            <w:vAlign w:val="center"/>
          </w:tcPr>
          <w:p w14:paraId="14150E74"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0.000615</w:t>
            </w:r>
          </w:p>
        </w:tc>
        <w:tc>
          <w:tcPr>
            <w:tcW w:w="1267" w:type="dxa"/>
            <w:tcBorders>
              <w:top w:val="nil"/>
              <w:bottom w:val="nil"/>
            </w:tcBorders>
            <w:vAlign w:val="center"/>
          </w:tcPr>
          <w:p w14:paraId="06D82627"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0.000592</w:t>
            </w:r>
          </w:p>
        </w:tc>
        <w:tc>
          <w:tcPr>
            <w:tcW w:w="1268" w:type="dxa"/>
            <w:tcBorders>
              <w:top w:val="nil"/>
              <w:bottom w:val="nil"/>
            </w:tcBorders>
            <w:vAlign w:val="center"/>
          </w:tcPr>
          <w:p w14:paraId="2D3C4783"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0.199968</w:t>
            </w:r>
          </w:p>
        </w:tc>
      </w:tr>
      <w:tr w:rsidR="00366727" w14:paraId="32946507" w14:textId="77777777">
        <w:trPr>
          <w:jc w:val="center"/>
        </w:trPr>
        <w:tc>
          <w:tcPr>
            <w:tcW w:w="1815" w:type="dxa"/>
            <w:tcBorders>
              <w:top w:val="nil"/>
              <w:bottom w:val="nil"/>
            </w:tcBorders>
            <w:vAlign w:val="center"/>
          </w:tcPr>
          <w:p w14:paraId="44F0A6E2"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Sum</w:t>
            </w:r>
          </w:p>
        </w:tc>
        <w:tc>
          <w:tcPr>
            <w:tcW w:w="1267" w:type="dxa"/>
            <w:tcBorders>
              <w:top w:val="nil"/>
              <w:bottom w:val="nil"/>
            </w:tcBorders>
            <w:vAlign w:val="center"/>
          </w:tcPr>
          <w:p w14:paraId="5F3F12D4"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215.9080</w:t>
            </w:r>
          </w:p>
        </w:tc>
        <w:tc>
          <w:tcPr>
            <w:tcW w:w="1267" w:type="dxa"/>
            <w:tcBorders>
              <w:top w:val="nil"/>
              <w:bottom w:val="nil"/>
            </w:tcBorders>
            <w:vAlign w:val="center"/>
          </w:tcPr>
          <w:p w14:paraId="11C229FB"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172.6741</w:t>
            </w:r>
          </w:p>
        </w:tc>
        <w:tc>
          <w:tcPr>
            <w:tcW w:w="1268" w:type="dxa"/>
            <w:tcBorders>
              <w:top w:val="nil"/>
              <w:bottom w:val="nil"/>
            </w:tcBorders>
            <w:vAlign w:val="center"/>
          </w:tcPr>
          <w:p w14:paraId="60D1494A"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160.8687</w:t>
            </w:r>
          </w:p>
        </w:tc>
        <w:tc>
          <w:tcPr>
            <w:tcW w:w="1267" w:type="dxa"/>
            <w:tcBorders>
              <w:top w:val="nil"/>
              <w:bottom w:val="nil"/>
            </w:tcBorders>
            <w:vAlign w:val="center"/>
          </w:tcPr>
          <w:p w14:paraId="57F5842F"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43.06211</w:t>
            </w:r>
          </w:p>
        </w:tc>
        <w:tc>
          <w:tcPr>
            <w:tcW w:w="1268" w:type="dxa"/>
            <w:tcBorders>
              <w:top w:val="nil"/>
              <w:bottom w:val="nil"/>
            </w:tcBorders>
            <w:vAlign w:val="center"/>
          </w:tcPr>
          <w:p w14:paraId="00DCD2EC"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86753.41</w:t>
            </w:r>
          </w:p>
        </w:tc>
      </w:tr>
      <w:tr w:rsidR="00366727" w14:paraId="501C1C26" w14:textId="77777777">
        <w:trPr>
          <w:jc w:val="center"/>
        </w:trPr>
        <w:tc>
          <w:tcPr>
            <w:tcW w:w="1815" w:type="dxa"/>
            <w:tcBorders>
              <w:top w:val="nil"/>
              <w:bottom w:val="nil"/>
            </w:tcBorders>
            <w:vAlign w:val="center"/>
          </w:tcPr>
          <w:p w14:paraId="01F4875A"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Sum Sq. Dev.</w:t>
            </w:r>
          </w:p>
        </w:tc>
        <w:tc>
          <w:tcPr>
            <w:tcW w:w="1267" w:type="dxa"/>
            <w:tcBorders>
              <w:top w:val="nil"/>
              <w:bottom w:val="nil"/>
            </w:tcBorders>
            <w:vAlign w:val="center"/>
          </w:tcPr>
          <w:p w14:paraId="1CF94374"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141.0752</w:t>
            </w:r>
          </w:p>
        </w:tc>
        <w:tc>
          <w:tcPr>
            <w:tcW w:w="1267" w:type="dxa"/>
            <w:tcBorders>
              <w:top w:val="nil"/>
              <w:bottom w:val="nil"/>
            </w:tcBorders>
            <w:vAlign w:val="center"/>
          </w:tcPr>
          <w:p w14:paraId="219D7A5F"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1647.989</w:t>
            </w:r>
          </w:p>
        </w:tc>
        <w:tc>
          <w:tcPr>
            <w:tcW w:w="1268" w:type="dxa"/>
            <w:tcBorders>
              <w:top w:val="nil"/>
              <w:bottom w:val="nil"/>
            </w:tcBorders>
            <w:vAlign w:val="center"/>
          </w:tcPr>
          <w:p w14:paraId="316C4A58"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181.0821</w:t>
            </w:r>
          </w:p>
        </w:tc>
        <w:tc>
          <w:tcPr>
            <w:tcW w:w="1267" w:type="dxa"/>
            <w:tcBorders>
              <w:top w:val="nil"/>
              <w:bottom w:val="nil"/>
            </w:tcBorders>
            <w:vAlign w:val="center"/>
          </w:tcPr>
          <w:p w14:paraId="226CDA2A"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57.31938</w:t>
            </w:r>
          </w:p>
        </w:tc>
        <w:tc>
          <w:tcPr>
            <w:tcW w:w="1268" w:type="dxa"/>
            <w:tcBorders>
              <w:top w:val="nil"/>
              <w:bottom w:val="nil"/>
            </w:tcBorders>
            <w:vAlign w:val="center"/>
          </w:tcPr>
          <w:p w14:paraId="44FA4454"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22192722</w:t>
            </w:r>
          </w:p>
        </w:tc>
      </w:tr>
      <w:tr w:rsidR="00366727" w14:paraId="433866B7" w14:textId="77777777">
        <w:trPr>
          <w:jc w:val="center"/>
        </w:trPr>
        <w:tc>
          <w:tcPr>
            <w:tcW w:w="1815" w:type="dxa"/>
            <w:tcBorders>
              <w:top w:val="nil"/>
            </w:tcBorders>
            <w:vAlign w:val="center"/>
          </w:tcPr>
          <w:p w14:paraId="6170C6DA"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Obs.</w:t>
            </w:r>
          </w:p>
        </w:tc>
        <w:tc>
          <w:tcPr>
            <w:tcW w:w="1267" w:type="dxa"/>
            <w:tcBorders>
              <w:top w:val="nil"/>
            </w:tcBorders>
            <w:vAlign w:val="center"/>
          </w:tcPr>
          <w:p w14:paraId="3E898C5C"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33</w:t>
            </w:r>
          </w:p>
        </w:tc>
        <w:tc>
          <w:tcPr>
            <w:tcW w:w="1267" w:type="dxa"/>
            <w:tcBorders>
              <w:top w:val="nil"/>
            </w:tcBorders>
            <w:vAlign w:val="center"/>
          </w:tcPr>
          <w:p w14:paraId="3DDA863B"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33</w:t>
            </w:r>
          </w:p>
        </w:tc>
        <w:tc>
          <w:tcPr>
            <w:tcW w:w="1268" w:type="dxa"/>
            <w:tcBorders>
              <w:top w:val="nil"/>
            </w:tcBorders>
            <w:vAlign w:val="center"/>
          </w:tcPr>
          <w:p w14:paraId="035C52FD"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33</w:t>
            </w:r>
          </w:p>
        </w:tc>
        <w:tc>
          <w:tcPr>
            <w:tcW w:w="1267" w:type="dxa"/>
            <w:tcBorders>
              <w:top w:val="nil"/>
            </w:tcBorders>
            <w:vAlign w:val="center"/>
          </w:tcPr>
          <w:p w14:paraId="07E86751"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33</w:t>
            </w:r>
          </w:p>
        </w:tc>
        <w:tc>
          <w:tcPr>
            <w:tcW w:w="1268" w:type="dxa"/>
            <w:tcBorders>
              <w:top w:val="nil"/>
            </w:tcBorders>
            <w:vAlign w:val="center"/>
          </w:tcPr>
          <w:p w14:paraId="79D032C3"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33</w:t>
            </w:r>
          </w:p>
        </w:tc>
      </w:tr>
    </w:tbl>
    <w:p w14:paraId="65C94854" w14:textId="77777777" w:rsidR="00366727" w:rsidRDefault="005265DE">
      <w:pPr>
        <w:pStyle w:val="BodyText3"/>
        <w:tabs>
          <w:tab w:val="left" w:pos="1080"/>
        </w:tabs>
        <w:spacing w:after="0"/>
        <w:ind w:left="1080" w:hanging="1080"/>
        <w:jc w:val="both"/>
        <w:rPr>
          <w:rFonts w:ascii="Arial" w:hAnsi="Arial"/>
          <w:b/>
        </w:rPr>
      </w:pPr>
      <w:r>
        <w:rPr>
          <w:rFonts w:ascii="Arial" w:hAnsi="Arial"/>
          <w:bCs/>
          <w:i/>
        </w:rPr>
        <w:t>Source: the data was processed using EViews version 12.</w:t>
      </w:r>
    </w:p>
    <w:p w14:paraId="75E8B426" w14:textId="77777777" w:rsidR="00366727" w:rsidRDefault="00366727">
      <w:pPr>
        <w:pStyle w:val="Body"/>
        <w:spacing w:after="0"/>
        <w:rPr>
          <w:rFonts w:ascii="Arial" w:hAnsi="Arial" w:cs="Arial"/>
        </w:rPr>
      </w:pPr>
    </w:p>
    <w:p w14:paraId="7B541CBF" w14:textId="77777777" w:rsidR="00366727" w:rsidRDefault="005265DE">
      <w:pPr>
        <w:tabs>
          <w:tab w:val="left" w:pos="1080"/>
        </w:tabs>
        <w:jc w:val="both"/>
        <w:rPr>
          <w:rFonts w:ascii="Arial" w:hAnsi="Arial"/>
          <w:b/>
        </w:rPr>
      </w:pPr>
      <w:r>
        <w:rPr>
          <w:rFonts w:ascii="Arial" w:hAnsi="Arial"/>
          <w:b/>
        </w:rPr>
        <w:t>Table 2. Summary of stationary tests</w:t>
      </w:r>
    </w:p>
    <w:tbl>
      <w:tblPr>
        <w:tblStyle w:val="TableGrid"/>
        <w:tblW w:w="0" w:type="auto"/>
        <w:jc w:val="center"/>
        <w:tblLook w:val="04A0" w:firstRow="1" w:lastRow="0" w:firstColumn="1" w:lastColumn="0" w:noHBand="0" w:noVBand="1"/>
      </w:tblPr>
      <w:tblGrid>
        <w:gridCol w:w="1957"/>
        <w:gridCol w:w="1548"/>
        <w:gridCol w:w="1549"/>
        <w:gridCol w:w="1549"/>
        <w:gridCol w:w="1549"/>
      </w:tblGrid>
      <w:tr w:rsidR="00366727" w14:paraId="5C3385A2" w14:textId="77777777">
        <w:trPr>
          <w:trHeight w:val="41"/>
          <w:jc w:val="center"/>
        </w:trPr>
        <w:tc>
          <w:tcPr>
            <w:tcW w:w="1957" w:type="dxa"/>
            <w:vMerge w:val="restart"/>
            <w:tcBorders>
              <w:left w:val="nil"/>
              <w:right w:val="nil"/>
            </w:tcBorders>
            <w:vAlign w:val="center"/>
          </w:tcPr>
          <w:p w14:paraId="64DFD0D5" w14:textId="77777777" w:rsidR="00366727" w:rsidRDefault="005265DE">
            <w:pPr>
              <w:autoSpaceDE w:val="0"/>
              <w:autoSpaceDN w:val="0"/>
              <w:adjustRightInd w:val="0"/>
              <w:rPr>
                <w:rFonts w:ascii="Arial" w:hAnsi="Arial" w:cs="Arial"/>
                <w:b/>
                <w:bCs/>
                <w:color w:val="000000"/>
                <w:sz w:val="19"/>
                <w:szCs w:val="19"/>
              </w:rPr>
            </w:pPr>
            <w:r>
              <w:rPr>
                <w:rFonts w:ascii="Arial" w:hAnsi="Arial" w:cs="Arial"/>
                <w:b/>
                <w:bCs/>
                <w:color w:val="000000"/>
                <w:sz w:val="19"/>
                <w:szCs w:val="19"/>
              </w:rPr>
              <w:t>Variables</w:t>
            </w:r>
          </w:p>
        </w:tc>
        <w:tc>
          <w:tcPr>
            <w:tcW w:w="3097" w:type="dxa"/>
            <w:gridSpan w:val="2"/>
            <w:tcBorders>
              <w:left w:val="nil"/>
              <w:bottom w:val="single" w:sz="4" w:space="0" w:color="auto"/>
              <w:right w:val="nil"/>
            </w:tcBorders>
            <w:vAlign w:val="center"/>
          </w:tcPr>
          <w:p w14:paraId="795B688C" w14:textId="77777777" w:rsidR="00366727" w:rsidRDefault="005265DE">
            <w:pPr>
              <w:autoSpaceDE w:val="0"/>
              <w:autoSpaceDN w:val="0"/>
              <w:adjustRightInd w:val="0"/>
              <w:jc w:val="center"/>
              <w:rPr>
                <w:rFonts w:ascii="Arial" w:hAnsi="Arial" w:cs="Arial"/>
                <w:b/>
                <w:bCs/>
                <w:color w:val="000000"/>
                <w:sz w:val="19"/>
                <w:szCs w:val="19"/>
              </w:rPr>
            </w:pPr>
            <w:r>
              <w:rPr>
                <w:rFonts w:ascii="Arial" w:hAnsi="Arial" w:cs="Arial"/>
                <w:b/>
                <w:bCs/>
                <w:color w:val="000000"/>
                <w:sz w:val="19"/>
                <w:szCs w:val="19"/>
              </w:rPr>
              <w:t>Level</w:t>
            </w:r>
          </w:p>
        </w:tc>
        <w:tc>
          <w:tcPr>
            <w:tcW w:w="3098" w:type="dxa"/>
            <w:gridSpan w:val="2"/>
            <w:tcBorders>
              <w:left w:val="nil"/>
              <w:bottom w:val="single" w:sz="4" w:space="0" w:color="auto"/>
              <w:right w:val="nil"/>
            </w:tcBorders>
            <w:vAlign w:val="center"/>
          </w:tcPr>
          <w:p w14:paraId="42C6B5A6" w14:textId="77777777" w:rsidR="00366727" w:rsidRDefault="005265DE">
            <w:pPr>
              <w:autoSpaceDE w:val="0"/>
              <w:autoSpaceDN w:val="0"/>
              <w:adjustRightInd w:val="0"/>
              <w:jc w:val="center"/>
              <w:rPr>
                <w:rFonts w:ascii="Arial" w:hAnsi="Arial" w:cs="Arial"/>
                <w:b/>
                <w:bCs/>
                <w:color w:val="000000"/>
                <w:sz w:val="19"/>
                <w:szCs w:val="19"/>
              </w:rPr>
            </w:pPr>
            <w:r>
              <w:rPr>
                <w:rFonts w:ascii="Arial" w:hAnsi="Arial" w:cs="Arial"/>
                <w:b/>
                <w:bCs/>
                <w:color w:val="000000"/>
                <w:sz w:val="19"/>
                <w:szCs w:val="19"/>
              </w:rPr>
              <w:t>1st Difference</w:t>
            </w:r>
          </w:p>
        </w:tc>
      </w:tr>
      <w:tr w:rsidR="00366727" w14:paraId="467A347C" w14:textId="77777777">
        <w:trPr>
          <w:trHeight w:val="41"/>
          <w:jc w:val="center"/>
        </w:trPr>
        <w:tc>
          <w:tcPr>
            <w:tcW w:w="1957" w:type="dxa"/>
            <w:vMerge/>
            <w:tcBorders>
              <w:left w:val="nil"/>
              <w:right w:val="nil"/>
            </w:tcBorders>
            <w:vAlign w:val="center"/>
          </w:tcPr>
          <w:p w14:paraId="3F9A7A02" w14:textId="77777777" w:rsidR="00366727" w:rsidRDefault="00366727">
            <w:pPr>
              <w:autoSpaceDE w:val="0"/>
              <w:autoSpaceDN w:val="0"/>
              <w:adjustRightInd w:val="0"/>
              <w:jc w:val="center"/>
              <w:rPr>
                <w:rFonts w:ascii="Arial" w:hAnsi="Arial" w:cs="Arial"/>
                <w:b/>
                <w:bCs/>
                <w:color w:val="000000"/>
                <w:sz w:val="19"/>
                <w:szCs w:val="19"/>
              </w:rPr>
            </w:pPr>
          </w:p>
        </w:tc>
        <w:tc>
          <w:tcPr>
            <w:tcW w:w="1548" w:type="dxa"/>
            <w:tcBorders>
              <w:top w:val="nil"/>
              <w:left w:val="nil"/>
              <w:bottom w:val="single" w:sz="4" w:space="0" w:color="auto"/>
              <w:right w:val="nil"/>
            </w:tcBorders>
            <w:shd w:val="clear" w:color="auto" w:fill="auto"/>
            <w:vAlign w:val="center"/>
          </w:tcPr>
          <w:p w14:paraId="2447769F" w14:textId="77777777" w:rsidR="00366727" w:rsidRDefault="005265DE">
            <w:pPr>
              <w:jc w:val="center"/>
              <w:rPr>
                <w:rFonts w:ascii="Arial" w:eastAsia="Times New Roman" w:hAnsi="Arial" w:cs="Arial"/>
                <w:b/>
                <w:bCs/>
                <w:color w:val="000000"/>
                <w:sz w:val="19"/>
                <w:szCs w:val="19"/>
                <w:lang w:eastAsia="id-ID"/>
              </w:rPr>
            </w:pPr>
            <w:r>
              <w:rPr>
                <w:rFonts w:ascii="Arial" w:eastAsia="Times New Roman" w:hAnsi="Arial" w:cs="Arial"/>
                <w:b/>
                <w:bCs/>
                <w:color w:val="000000"/>
                <w:sz w:val="19"/>
                <w:szCs w:val="19"/>
                <w:lang w:eastAsia="id-ID"/>
              </w:rPr>
              <w:t>t-Stat.</w:t>
            </w:r>
          </w:p>
        </w:tc>
        <w:tc>
          <w:tcPr>
            <w:tcW w:w="1549" w:type="dxa"/>
            <w:tcBorders>
              <w:top w:val="nil"/>
              <w:left w:val="nil"/>
              <w:bottom w:val="single" w:sz="4" w:space="0" w:color="auto"/>
              <w:right w:val="nil"/>
            </w:tcBorders>
            <w:shd w:val="clear" w:color="auto" w:fill="auto"/>
            <w:vAlign w:val="center"/>
          </w:tcPr>
          <w:p w14:paraId="649E67B5" w14:textId="77777777" w:rsidR="00366727" w:rsidRDefault="005265DE">
            <w:pPr>
              <w:jc w:val="center"/>
              <w:rPr>
                <w:rFonts w:ascii="Arial" w:eastAsia="Times New Roman" w:hAnsi="Arial" w:cs="Arial"/>
                <w:b/>
                <w:bCs/>
                <w:color w:val="000000"/>
                <w:sz w:val="19"/>
                <w:szCs w:val="19"/>
                <w:lang w:eastAsia="id-ID"/>
              </w:rPr>
            </w:pPr>
            <w:r>
              <w:rPr>
                <w:rFonts w:ascii="Arial" w:eastAsia="Times New Roman" w:hAnsi="Arial" w:cs="Arial"/>
                <w:b/>
                <w:bCs/>
                <w:color w:val="000000"/>
                <w:sz w:val="19"/>
                <w:szCs w:val="19"/>
                <w:lang w:eastAsia="id-ID"/>
              </w:rPr>
              <w:t>Prob.</w:t>
            </w:r>
          </w:p>
        </w:tc>
        <w:tc>
          <w:tcPr>
            <w:tcW w:w="1549" w:type="dxa"/>
            <w:tcBorders>
              <w:top w:val="nil"/>
              <w:left w:val="nil"/>
              <w:bottom w:val="single" w:sz="4" w:space="0" w:color="auto"/>
              <w:right w:val="nil"/>
            </w:tcBorders>
            <w:shd w:val="clear" w:color="auto" w:fill="auto"/>
            <w:vAlign w:val="center"/>
          </w:tcPr>
          <w:p w14:paraId="2BFD8291" w14:textId="77777777" w:rsidR="00366727" w:rsidRDefault="005265DE">
            <w:pPr>
              <w:jc w:val="center"/>
              <w:rPr>
                <w:rFonts w:ascii="Arial" w:eastAsia="Times New Roman" w:hAnsi="Arial" w:cs="Arial"/>
                <w:b/>
                <w:bCs/>
                <w:color w:val="000000"/>
                <w:sz w:val="19"/>
                <w:szCs w:val="19"/>
                <w:lang w:eastAsia="id-ID"/>
              </w:rPr>
            </w:pPr>
            <w:r>
              <w:rPr>
                <w:rFonts w:ascii="Arial" w:eastAsia="Times New Roman" w:hAnsi="Arial" w:cs="Arial"/>
                <w:b/>
                <w:bCs/>
                <w:color w:val="000000"/>
                <w:sz w:val="19"/>
                <w:szCs w:val="19"/>
                <w:lang w:eastAsia="id-ID"/>
              </w:rPr>
              <w:t>t-Stat.</w:t>
            </w:r>
          </w:p>
        </w:tc>
        <w:tc>
          <w:tcPr>
            <w:tcW w:w="1549" w:type="dxa"/>
            <w:tcBorders>
              <w:top w:val="nil"/>
              <w:left w:val="nil"/>
              <w:bottom w:val="single" w:sz="4" w:space="0" w:color="auto"/>
              <w:right w:val="nil"/>
            </w:tcBorders>
            <w:shd w:val="clear" w:color="auto" w:fill="auto"/>
            <w:vAlign w:val="center"/>
          </w:tcPr>
          <w:p w14:paraId="3786B929" w14:textId="77777777" w:rsidR="00366727" w:rsidRDefault="005265DE">
            <w:pPr>
              <w:jc w:val="center"/>
              <w:rPr>
                <w:rFonts w:ascii="Arial" w:eastAsia="Times New Roman" w:hAnsi="Arial" w:cs="Arial"/>
                <w:b/>
                <w:bCs/>
                <w:color w:val="000000"/>
                <w:sz w:val="19"/>
                <w:szCs w:val="19"/>
                <w:lang w:eastAsia="id-ID"/>
              </w:rPr>
            </w:pPr>
            <w:r>
              <w:rPr>
                <w:rFonts w:ascii="Arial" w:eastAsia="Times New Roman" w:hAnsi="Arial" w:cs="Arial"/>
                <w:b/>
                <w:bCs/>
                <w:color w:val="000000"/>
                <w:sz w:val="19"/>
                <w:szCs w:val="19"/>
                <w:lang w:eastAsia="id-ID"/>
              </w:rPr>
              <w:t>Prob</w:t>
            </w:r>
          </w:p>
        </w:tc>
      </w:tr>
      <w:tr w:rsidR="00366727" w14:paraId="33D32AEF" w14:textId="77777777">
        <w:trPr>
          <w:trHeight w:val="41"/>
          <w:jc w:val="center"/>
        </w:trPr>
        <w:tc>
          <w:tcPr>
            <w:tcW w:w="1957" w:type="dxa"/>
            <w:tcBorders>
              <w:left w:val="nil"/>
              <w:bottom w:val="nil"/>
              <w:right w:val="nil"/>
            </w:tcBorders>
            <w:vAlign w:val="center"/>
          </w:tcPr>
          <w:p w14:paraId="593C43AD"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UN</w:t>
            </w:r>
          </w:p>
        </w:tc>
        <w:tc>
          <w:tcPr>
            <w:tcW w:w="1548" w:type="dxa"/>
            <w:tcBorders>
              <w:top w:val="nil"/>
              <w:left w:val="nil"/>
              <w:bottom w:val="nil"/>
              <w:right w:val="nil"/>
            </w:tcBorders>
            <w:shd w:val="clear" w:color="auto" w:fill="auto"/>
            <w:vAlign w:val="center"/>
          </w:tcPr>
          <w:p w14:paraId="77FD1A63" w14:textId="77777777" w:rsidR="00366727" w:rsidRDefault="005265DE">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–2.047943</w:t>
            </w:r>
          </w:p>
        </w:tc>
        <w:tc>
          <w:tcPr>
            <w:tcW w:w="1549" w:type="dxa"/>
            <w:tcBorders>
              <w:top w:val="nil"/>
              <w:left w:val="nil"/>
              <w:bottom w:val="nil"/>
              <w:right w:val="nil"/>
            </w:tcBorders>
            <w:shd w:val="clear" w:color="auto" w:fill="auto"/>
            <w:vAlign w:val="center"/>
          </w:tcPr>
          <w:p w14:paraId="43EA404D" w14:textId="77777777" w:rsidR="00366727" w:rsidRDefault="005265DE">
            <w:pPr>
              <w:jc w:val="center"/>
              <w:rPr>
                <w:rFonts w:ascii="Arial" w:eastAsia="Times New Roman" w:hAnsi="Arial" w:cs="Arial"/>
                <w:color w:val="000000"/>
                <w:sz w:val="19"/>
                <w:szCs w:val="19"/>
                <w:lang w:eastAsia="id-ID"/>
              </w:rPr>
            </w:pPr>
            <w:r>
              <w:rPr>
                <w:rFonts w:ascii="Arial" w:hAnsi="Arial" w:cs="Arial"/>
                <w:sz w:val="19"/>
                <w:szCs w:val="19"/>
              </w:rPr>
              <w:t>0.266</w:t>
            </w:r>
          </w:p>
        </w:tc>
        <w:tc>
          <w:tcPr>
            <w:tcW w:w="1549" w:type="dxa"/>
            <w:tcBorders>
              <w:top w:val="nil"/>
              <w:left w:val="nil"/>
              <w:bottom w:val="nil"/>
              <w:right w:val="nil"/>
            </w:tcBorders>
            <w:shd w:val="clear" w:color="auto" w:fill="auto"/>
            <w:vAlign w:val="center"/>
          </w:tcPr>
          <w:p w14:paraId="0CB19907" w14:textId="77777777" w:rsidR="00366727" w:rsidRDefault="005265DE">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–5.057275</w:t>
            </w:r>
          </w:p>
        </w:tc>
        <w:tc>
          <w:tcPr>
            <w:tcW w:w="1549" w:type="dxa"/>
            <w:tcBorders>
              <w:top w:val="nil"/>
              <w:left w:val="nil"/>
              <w:bottom w:val="nil"/>
              <w:right w:val="nil"/>
            </w:tcBorders>
            <w:shd w:val="clear" w:color="auto" w:fill="auto"/>
            <w:vAlign w:val="center"/>
          </w:tcPr>
          <w:p w14:paraId="144846DC" w14:textId="77777777" w:rsidR="00366727" w:rsidRDefault="005265DE">
            <w:pPr>
              <w:jc w:val="center"/>
              <w:rPr>
                <w:rFonts w:ascii="Arial" w:eastAsia="Times New Roman" w:hAnsi="Arial" w:cs="Arial"/>
                <w:color w:val="000000"/>
                <w:sz w:val="19"/>
                <w:szCs w:val="19"/>
                <w:lang w:eastAsia="id-ID"/>
              </w:rPr>
            </w:pPr>
            <w:r>
              <w:rPr>
                <w:rFonts w:ascii="Arial" w:hAnsi="Arial" w:cs="Arial"/>
                <w:sz w:val="19"/>
                <w:szCs w:val="19"/>
              </w:rPr>
              <w:t>0.0003*</w:t>
            </w:r>
          </w:p>
        </w:tc>
      </w:tr>
      <w:tr w:rsidR="00366727" w14:paraId="3B0BE739" w14:textId="77777777">
        <w:trPr>
          <w:jc w:val="center"/>
        </w:trPr>
        <w:tc>
          <w:tcPr>
            <w:tcW w:w="1957" w:type="dxa"/>
            <w:tcBorders>
              <w:top w:val="nil"/>
              <w:left w:val="nil"/>
              <w:bottom w:val="nil"/>
              <w:right w:val="nil"/>
            </w:tcBorders>
            <w:vAlign w:val="center"/>
          </w:tcPr>
          <w:p w14:paraId="4722D177"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SB</w:t>
            </w:r>
          </w:p>
        </w:tc>
        <w:tc>
          <w:tcPr>
            <w:tcW w:w="1548" w:type="dxa"/>
            <w:tcBorders>
              <w:top w:val="nil"/>
              <w:left w:val="nil"/>
              <w:bottom w:val="nil"/>
              <w:right w:val="nil"/>
            </w:tcBorders>
            <w:shd w:val="clear" w:color="auto" w:fill="auto"/>
            <w:vAlign w:val="center"/>
          </w:tcPr>
          <w:p w14:paraId="1DCA9661" w14:textId="77777777" w:rsidR="00366727" w:rsidRDefault="005265DE">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0.529607</w:t>
            </w:r>
          </w:p>
        </w:tc>
        <w:tc>
          <w:tcPr>
            <w:tcW w:w="1549" w:type="dxa"/>
            <w:tcBorders>
              <w:top w:val="nil"/>
              <w:left w:val="nil"/>
              <w:bottom w:val="nil"/>
              <w:right w:val="nil"/>
            </w:tcBorders>
            <w:shd w:val="clear" w:color="auto" w:fill="auto"/>
            <w:vAlign w:val="center"/>
          </w:tcPr>
          <w:p w14:paraId="7FF7BA09" w14:textId="77777777" w:rsidR="00366727" w:rsidRDefault="005265DE">
            <w:pPr>
              <w:jc w:val="center"/>
              <w:rPr>
                <w:rFonts w:ascii="Arial" w:eastAsia="Times New Roman" w:hAnsi="Arial" w:cs="Arial"/>
                <w:color w:val="000000"/>
                <w:sz w:val="19"/>
                <w:szCs w:val="19"/>
                <w:lang w:eastAsia="id-ID"/>
              </w:rPr>
            </w:pPr>
            <w:r>
              <w:rPr>
                <w:rFonts w:ascii="Arial" w:hAnsi="Arial" w:cs="Arial"/>
                <w:sz w:val="19"/>
                <w:szCs w:val="19"/>
              </w:rPr>
              <w:t>0.9852</w:t>
            </w:r>
          </w:p>
        </w:tc>
        <w:tc>
          <w:tcPr>
            <w:tcW w:w="1549" w:type="dxa"/>
            <w:tcBorders>
              <w:top w:val="nil"/>
              <w:left w:val="nil"/>
              <w:bottom w:val="nil"/>
              <w:right w:val="nil"/>
            </w:tcBorders>
            <w:shd w:val="clear" w:color="auto" w:fill="auto"/>
            <w:vAlign w:val="center"/>
          </w:tcPr>
          <w:p w14:paraId="5DA8F151" w14:textId="77777777" w:rsidR="00366727" w:rsidRDefault="005265DE">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–6.413334</w:t>
            </w:r>
          </w:p>
        </w:tc>
        <w:tc>
          <w:tcPr>
            <w:tcW w:w="1549" w:type="dxa"/>
            <w:tcBorders>
              <w:top w:val="nil"/>
              <w:left w:val="nil"/>
              <w:bottom w:val="nil"/>
              <w:right w:val="nil"/>
            </w:tcBorders>
            <w:shd w:val="clear" w:color="auto" w:fill="auto"/>
            <w:vAlign w:val="center"/>
          </w:tcPr>
          <w:p w14:paraId="353E889E" w14:textId="77777777" w:rsidR="00366727" w:rsidRDefault="005265DE">
            <w:pPr>
              <w:jc w:val="center"/>
              <w:rPr>
                <w:rFonts w:ascii="Arial" w:eastAsia="Times New Roman" w:hAnsi="Arial" w:cs="Arial"/>
                <w:color w:val="000000"/>
                <w:sz w:val="19"/>
                <w:szCs w:val="19"/>
                <w:lang w:eastAsia="id-ID"/>
              </w:rPr>
            </w:pPr>
            <w:r>
              <w:rPr>
                <w:rFonts w:ascii="Arial" w:hAnsi="Arial" w:cs="Arial"/>
                <w:sz w:val="19"/>
                <w:szCs w:val="19"/>
              </w:rPr>
              <w:t>0.0000*</w:t>
            </w:r>
          </w:p>
        </w:tc>
      </w:tr>
      <w:tr w:rsidR="00366727" w14:paraId="1763A4AE" w14:textId="77777777">
        <w:trPr>
          <w:jc w:val="center"/>
        </w:trPr>
        <w:tc>
          <w:tcPr>
            <w:tcW w:w="1957" w:type="dxa"/>
            <w:tcBorders>
              <w:top w:val="nil"/>
              <w:left w:val="nil"/>
              <w:bottom w:val="nil"/>
              <w:right w:val="nil"/>
            </w:tcBorders>
            <w:vAlign w:val="center"/>
          </w:tcPr>
          <w:p w14:paraId="52B236AB"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RE</w:t>
            </w:r>
          </w:p>
        </w:tc>
        <w:tc>
          <w:tcPr>
            <w:tcW w:w="1548" w:type="dxa"/>
            <w:tcBorders>
              <w:top w:val="nil"/>
              <w:left w:val="nil"/>
              <w:bottom w:val="nil"/>
              <w:right w:val="nil"/>
            </w:tcBorders>
            <w:shd w:val="clear" w:color="auto" w:fill="auto"/>
            <w:vAlign w:val="center"/>
          </w:tcPr>
          <w:p w14:paraId="19E82A78" w14:textId="77777777" w:rsidR="00366727" w:rsidRDefault="005265DE">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–6.070705</w:t>
            </w:r>
          </w:p>
        </w:tc>
        <w:tc>
          <w:tcPr>
            <w:tcW w:w="1549" w:type="dxa"/>
            <w:tcBorders>
              <w:top w:val="nil"/>
              <w:left w:val="nil"/>
              <w:bottom w:val="nil"/>
              <w:right w:val="nil"/>
            </w:tcBorders>
            <w:shd w:val="clear" w:color="auto" w:fill="auto"/>
            <w:vAlign w:val="center"/>
          </w:tcPr>
          <w:p w14:paraId="7AB20A18" w14:textId="77777777" w:rsidR="00366727" w:rsidRDefault="005265DE">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0.0000*</w:t>
            </w:r>
          </w:p>
        </w:tc>
        <w:tc>
          <w:tcPr>
            <w:tcW w:w="1549" w:type="dxa"/>
            <w:tcBorders>
              <w:top w:val="nil"/>
              <w:left w:val="nil"/>
              <w:bottom w:val="nil"/>
              <w:right w:val="nil"/>
            </w:tcBorders>
            <w:shd w:val="clear" w:color="auto" w:fill="auto"/>
            <w:vAlign w:val="center"/>
          </w:tcPr>
          <w:p w14:paraId="1B3A2605" w14:textId="77777777" w:rsidR="00366727" w:rsidRDefault="005265DE">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–10.37393</w:t>
            </w:r>
          </w:p>
        </w:tc>
        <w:tc>
          <w:tcPr>
            <w:tcW w:w="1549" w:type="dxa"/>
            <w:tcBorders>
              <w:top w:val="nil"/>
              <w:left w:val="nil"/>
              <w:bottom w:val="nil"/>
              <w:right w:val="nil"/>
            </w:tcBorders>
            <w:shd w:val="clear" w:color="auto" w:fill="auto"/>
            <w:vAlign w:val="center"/>
          </w:tcPr>
          <w:p w14:paraId="20D1457E" w14:textId="77777777" w:rsidR="00366727" w:rsidRDefault="005265DE">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0.0000*</w:t>
            </w:r>
          </w:p>
        </w:tc>
      </w:tr>
      <w:tr w:rsidR="00366727" w14:paraId="35A0F98D" w14:textId="77777777">
        <w:trPr>
          <w:jc w:val="center"/>
        </w:trPr>
        <w:tc>
          <w:tcPr>
            <w:tcW w:w="1957" w:type="dxa"/>
            <w:tcBorders>
              <w:top w:val="nil"/>
              <w:left w:val="nil"/>
              <w:bottom w:val="nil"/>
              <w:right w:val="nil"/>
            </w:tcBorders>
            <w:vAlign w:val="center"/>
          </w:tcPr>
          <w:p w14:paraId="64B159A3"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FDI</w:t>
            </w:r>
          </w:p>
        </w:tc>
        <w:tc>
          <w:tcPr>
            <w:tcW w:w="1548" w:type="dxa"/>
            <w:tcBorders>
              <w:top w:val="nil"/>
              <w:left w:val="nil"/>
              <w:bottom w:val="nil"/>
              <w:right w:val="nil"/>
            </w:tcBorders>
            <w:shd w:val="clear" w:color="auto" w:fill="auto"/>
            <w:vAlign w:val="center"/>
          </w:tcPr>
          <w:p w14:paraId="02C8A56D" w14:textId="77777777" w:rsidR="00366727" w:rsidRDefault="005265DE">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–2.211488</w:t>
            </w:r>
          </w:p>
        </w:tc>
        <w:tc>
          <w:tcPr>
            <w:tcW w:w="1549" w:type="dxa"/>
            <w:tcBorders>
              <w:top w:val="nil"/>
              <w:left w:val="nil"/>
              <w:bottom w:val="nil"/>
              <w:right w:val="nil"/>
            </w:tcBorders>
            <w:shd w:val="clear" w:color="auto" w:fill="auto"/>
            <w:vAlign w:val="center"/>
          </w:tcPr>
          <w:p w14:paraId="667EE697" w14:textId="77777777" w:rsidR="00366727" w:rsidRDefault="005265DE">
            <w:pPr>
              <w:jc w:val="center"/>
              <w:rPr>
                <w:rFonts w:ascii="Arial" w:eastAsia="Times New Roman" w:hAnsi="Arial" w:cs="Arial"/>
                <w:color w:val="000000"/>
                <w:sz w:val="19"/>
                <w:szCs w:val="19"/>
                <w:lang w:eastAsia="id-ID"/>
              </w:rPr>
            </w:pPr>
            <w:r>
              <w:rPr>
                <w:rFonts w:ascii="Arial" w:hAnsi="Arial" w:cs="Arial"/>
                <w:sz w:val="19"/>
                <w:szCs w:val="19"/>
              </w:rPr>
              <w:t>0.2063</w:t>
            </w:r>
          </w:p>
        </w:tc>
        <w:tc>
          <w:tcPr>
            <w:tcW w:w="1549" w:type="dxa"/>
            <w:tcBorders>
              <w:top w:val="nil"/>
              <w:left w:val="nil"/>
              <w:bottom w:val="nil"/>
              <w:right w:val="nil"/>
            </w:tcBorders>
            <w:shd w:val="clear" w:color="auto" w:fill="auto"/>
            <w:vAlign w:val="center"/>
          </w:tcPr>
          <w:p w14:paraId="2D611E34" w14:textId="77777777" w:rsidR="00366727" w:rsidRDefault="005265DE">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–5.358602</w:t>
            </w:r>
          </w:p>
        </w:tc>
        <w:tc>
          <w:tcPr>
            <w:tcW w:w="1549" w:type="dxa"/>
            <w:tcBorders>
              <w:top w:val="nil"/>
              <w:left w:val="nil"/>
              <w:bottom w:val="nil"/>
              <w:right w:val="nil"/>
            </w:tcBorders>
            <w:shd w:val="clear" w:color="auto" w:fill="auto"/>
            <w:vAlign w:val="center"/>
          </w:tcPr>
          <w:p w14:paraId="01D0783A" w14:textId="77777777" w:rsidR="00366727" w:rsidRDefault="005265DE">
            <w:pPr>
              <w:jc w:val="center"/>
              <w:rPr>
                <w:rFonts w:ascii="Arial" w:eastAsia="Times New Roman" w:hAnsi="Arial" w:cs="Arial"/>
                <w:color w:val="000000"/>
                <w:sz w:val="19"/>
                <w:szCs w:val="19"/>
                <w:lang w:eastAsia="id-ID"/>
              </w:rPr>
            </w:pPr>
            <w:r>
              <w:rPr>
                <w:rFonts w:ascii="Arial" w:hAnsi="Arial" w:cs="Arial"/>
                <w:sz w:val="19"/>
                <w:szCs w:val="19"/>
              </w:rPr>
              <w:t>0.0001*</w:t>
            </w:r>
          </w:p>
        </w:tc>
      </w:tr>
      <w:tr w:rsidR="00366727" w14:paraId="321DB206" w14:textId="77777777">
        <w:trPr>
          <w:trHeight w:val="41"/>
          <w:jc w:val="center"/>
        </w:trPr>
        <w:tc>
          <w:tcPr>
            <w:tcW w:w="1957" w:type="dxa"/>
            <w:tcBorders>
              <w:top w:val="nil"/>
              <w:left w:val="nil"/>
              <w:bottom w:val="single" w:sz="4" w:space="0" w:color="auto"/>
              <w:right w:val="nil"/>
            </w:tcBorders>
            <w:vAlign w:val="center"/>
          </w:tcPr>
          <w:p w14:paraId="7B925DB4"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GDP</w:t>
            </w:r>
          </w:p>
        </w:tc>
        <w:tc>
          <w:tcPr>
            <w:tcW w:w="1548" w:type="dxa"/>
            <w:tcBorders>
              <w:top w:val="nil"/>
              <w:left w:val="nil"/>
              <w:bottom w:val="single" w:sz="4" w:space="0" w:color="auto"/>
              <w:right w:val="nil"/>
            </w:tcBorders>
            <w:shd w:val="clear" w:color="auto" w:fill="auto"/>
            <w:vAlign w:val="center"/>
          </w:tcPr>
          <w:p w14:paraId="3921BE2C" w14:textId="77777777" w:rsidR="00366727" w:rsidRDefault="005265DE">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1.644433</w:t>
            </w:r>
          </w:p>
        </w:tc>
        <w:tc>
          <w:tcPr>
            <w:tcW w:w="1549" w:type="dxa"/>
            <w:tcBorders>
              <w:top w:val="nil"/>
              <w:left w:val="nil"/>
              <w:bottom w:val="single" w:sz="4" w:space="0" w:color="auto"/>
              <w:right w:val="nil"/>
            </w:tcBorders>
            <w:shd w:val="clear" w:color="auto" w:fill="auto"/>
            <w:vAlign w:val="center"/>
          </w:tcPr>
          <w:p w14:paraId="5E897A85" w14:textId="77777777" w:rsidR="00366727" w:rsidRDefault="005265DE">
            <w:pPr>
              <w:jc w:val="center"/>
              <w:rPr>
                <w:rFonts w:ascii="Arial" w:eastAsia="Times New Roman" w:hAnsi="Arial" w:cs="Arial"/>
                <w:color w:val="000000"/>
                <w:sz w:val="19"/>
                <w:szCs w:val="19"/>
                <w:lang w:eastAsia="id-ID"/>
              </w:rPr>
            </w:pPr>
            <w:r>
              <w:rPr>
                <w:rFonts w:ascii="Arial" w:hAnsi="Arial" w:cs="Arial"/>
                <w:sz w:val="19"/>
                <w:szCs w:val="19"/>
              </w:rPr>
              <w:t>0.9993</w:t>
            </w:r>
          </w:p>
        </w:tc>
        <w:tc>
          <w:tcPr>
            <w:tcW w:w="1549" w:type="dxa"/>
            <w:tcBorders>
              <w:top w:val="nil"/>
              <w:left w:val="nil"/>
              <w:bottom w:val="single" w:sz="4" w:space="0" w:color="auto"/>
              <w:right w:val="nil"/>
            </w:tcBorders>
            <w:shd w:val="clear" w:color="auto" w:fill="auto"/>
            <w:vAlign w:val="center"/>
          </w:tcPr>
          <w:p w14:paraId="5B2E26AB" w14:textId="77777777" w:rsidR="00366727" w:rsidRDefault="005265DE">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–3.983258</w:t>
            </w:r>
          </w:p>
        </w:tc>
        <w:tc>
          <w:tcPr>
            <w:tcW w:w="1549" w:type="dxa"/>
            <w:tcBorders>
              <w:top w:val="nil"/>
              <w:left w:val="nil"/>
              <w:bottom w:val="single" w:sz="4" w:space="0" w:color="auto"/>
              <w:right w:val="nil"/>
            </w:tcBorders>
            <w:shd w:val="clear" w:color="auto" w:fill="auto"/>
            <w:vAlign w:val="center"/>
          </w:tcPr>
          <w:p w14:paraId="148E4C9C" w14:textId="77777777" w:rsidR="00366727" w:rsidRDefault="005265DE">
            <w:pPr>
              <w:jc w:val="center"/>
              <w:rPr>
                <w:rFonts w:ascii="Arial" w:eastAsia="Times New Roman" w:hAnsi="Arial" w:cs="Arial"/>
                <w:color w:val="000000"/>
                <w:sz w:val="19"/>
                <w:szCs w:val="19"/>
                <w:lang w:eastAsia="id-ID"/>
              </w:rPr>
            </w:pPr>
            <w:r>
              <w:rPr>
                <w:rFonts w:ascii="Arial" w:hAnsi="Arial" w:cs="Arial"/>
                <w:sz w:val="19"/>
                <w:szCs w:val="19"/>
              </w:rPr>
              <w:t>0.0045*</w:t>
            </w:r>
          </w:p>
        </w:tc>
      </w:tr>
    </w:tbl>
    <w:p w14:paraId="3843503F" w14:textId="77777777" w:rsidR="00366727" w:rsidRDefault="005265DE">
      <w:pPr>
        <w:pStyle w:val="BodyText3"/>
        <w:tabs>
          <w:tab w:val="left" w:pos="1080"/>
        </w:tabs>
        <w:spacing w:after="0"/>
        <w:ind w:left="1080" w:hanging="1080"/>
        <w:jc w:val="both"/>
        <w:rPr>
          <w:rFonts w:ascii="Arial" w:hAnsi="Arial"/>
          <w:bCs/>
          <w:i/>
        </w:rPr>
      </w:pPr>
      <w:r>
        <w:rPr>
          <w:rFonts w:ascii="Arial" w:hAnsi="Arial"/>
          <w:bCs/>
          <w:i/>
        </w:rPr>
        <w:t>Source: the data was processed using EViews version 12.</w:t>
      </w:r>
    </w:p>
    <w:p w14:paraId="096A3FFB" w14:textId="77777777" w:rsidR="00366727" w:rsidRDefault="005265DE">
      <w:pPr>
        <w:pStyle w:val="BodyText3"/>
        <w:tabs>
          <w:tab w:val="left" w:pos="1080"/>
        </w:tabs>
        <w:spacing w:after="0"/>
        <w:ind w:left="1080" w:hanging="1080"/>
        <w:jc w:val="both"/>
        <w:rPr>
          <w:rFonts w:ascii="Arial" w:hAnsi="Arial"/>
          <w:b/>
        </w:rPr>
      </w:pPr>
      <w:r>
        <w:rPr>
          <w:rFonts w:ascii="Arial" w:hAnsi="Arial"/>
          <w:bCs/>
          <w:i/>
        </w:rPr>
        <w:t>Noted: (*) indicates that it is significant at the 5% level.</w:t>
      </w:r>
    </w:p>
    <w:p w14:paraId="4C253169" w14:textId="77777777" w:rsidR="00366727" w:rsidRDefault="00366727">
      <w:pPr>
        <w:pStyle w:val="Body"/>
        <w:spacing w:after="0"/>
        <w:rPr>
          <w:rFonts w:ascii="Arial" w:hAnsi="Arial" w:cs="Arial"/>
        </w:rPr>
      </w:pPr>
    </w:p>
    <w:p w14:paraId="49E56FF2" w14:textId="02D77A89" w:rsidR="00366727" w:rsidRDefault="005265DE">
      <w:pPr>
        <w:pStyle w:val="Body"/>
        <w:spacing w:after="0"/>
        <w:rPr>
          <w:rFonts w:ascii="Arial" w:hAnsi="Arial" w:cs="Arial"/>
          <w:highlight w:val="yellow"/>
        </w:rPr>
      </w:pPr>
      <w:r>
        <w:rPr>
          <w:rFonts w:ascii="Arial" w:hAnsi="Arial" w:cs="Arial"/>
        </w:rPr>
        <w:t xml:space="preserve">Third, to determine whether there is long-term cointegration in the model, it is necessary to confirm this through an F-statistic test. The F-statistic value exceeds the upper critical bound at the 1%, 5%, and 10% significance levels. </w:t>
      </w:r>
      <w:r w:rsidR="00995154">
        <w:rPr>
          <w:rFonts w:ascii="Arial" w:hAnsi="Arial" w:cs="Arial"/>
        </w:rPr>
        <w:t>W</w:t>
      </w:r>
      <w:r>
        <w:rPr>
          <w:rFonts w:ascii="Arial" w:hAnsi="Arial" w:cs="Arial"/>
        </w:rPr>
        <w:t>ith an F-statistic value of 17.40787, which is higher than the upper bound value of 4.37, it can be articulated that the proposed model exhibits a significant long-term relationship at the 1% significance level (see Table 3).</w:t>
      </w:r>
    </w:p>
    <w:p w14:paraId="020478D9" w14:textId="77777777" w:rsidR="00366727" w:rsidRDefault="00366727">
      <w:pPr>
        <w:pStyle w:val="Body"/>
        <w:spacing w:after="0"/>
        <w:rPr>
          <w:rFonts w:ascii="Arial" w:hAnsi="Arial" w:cs="Arial"/>
        </w:rPr>
      </w:pPr>
    </w:p>
    <w:p w14:paraId="009CDFD2" w14:textId="77777777" w:rsidR="00366727" w:rsidRDefault="005265DE">
      <w:pPr>
        <w:tabs>
          <w:tab w:val="left" w:pos="1080"/>
        </w:tabs>
        <w:jc w:val="both"/>
        <w:rPr>
          <w:rFonts w:ascii="Arial" w:hAnsi="Arial"/>
          <w:b/>
        </w:rPr>
      </w:pPr>
      <w:r>
        <w:rPr>
          <w:rFonts w:ascii="Arial" w:hAnsi="Arial"/>
          <w:b/>
        </w:rPr>
        <w:t>Table 3. Cointegration bound test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957"/>
        <w:gridCol w:w="1571"/>
        <w:gridCol w:w="980"/>
        <w:gridCol w:w="2694"/>
        <w:gridCol w:w="950"/>
      </w:tblGrid>
      <w:tr w:rsidR="00366727" w14:paraId="6F3F1DE7" w14:textId="77777777">
        <w:trPr>
          <w:trHeight w:val="41"/>
          <w:jc w:val="center"/>
        </w:trPr>
        <w:tc>
          <w:tcPr>
            <w:tcW w:w="3528" w:type="dxa"/>
            <w:gridSpan w:val="2"/>
            <w:tcBorders>
              <w:bottom w:val="single" w:sz="4" w:space="0" w:color="000000"/>
            </w:tcBorders>
          </w:tcPr>
          <w:p w14:paraId="1D433D9B" w14:textId="77777777" w:rsidR="00366727" w:rsidRDefault="005265DE">
            <w:pPr>
              <w:rPr>
                <w:rFonts w:ascii="Arial" w:hAnsi="Arial" w:cs="Arial"/>
                <w:b/>
                <w:bCs/>
                <w:color w:val="000000"/>
                <w:sz w:val="19"/>
                <w:szCs w:val="19"/>
                <w:lang w:eastAsia="id-ID"/>
              </w:rPr>
            </w:pPr>
            <w:r>
              <w:rPr>
                <w:rFonts w:ascii="Arial" w:hAnsi="Arial" w:cs="Arial"/>
                <w:b/>
                <w:bCs/>
                <w:color w:val="000000"/>
                <w:sz w:val="19"/>
                <w:szCs w:val="19"/>
              </w:rPr>
              <w:t>F-Bounds Test</w:t>
            </w:r>
          </w:p>
        </w:tc>
        <w:tc>
          <w:tcPr>
            <w:tcW w:w="4624" w:type="dxa"/>
            <w:gridSpan w:val="3"/>
            <w:tcBorders>
              <w:bottom w:val="single" w:sz="4" w:space="0" w:color="000000"/>
            </w:tcBorders>
          </w:tcPr>
          <w:p w14:paraId="379F2444" w14:textId="77777777" w:rsidR="00366727" w:rsidRDefault="005265DE">
            <w:pPr>
              <w:jc w:val="right"/>
              <w:rPr>
                <w:rFonts w:ascii="Arial" w:hAnsi="Arial" w:cs="Arial"/>
                <w:b/>
                <w:bCs/>
                <w:color w:val="000000"/>
                <w:sz w:val="19"/>
                <w:szCs w:val="19"/>
                <w:lang w:eastAsia="id-ID"/>
              </w:rPr>
            </w:pPr>
            <w:r>
              <w:rPr>
                <w:rFonts w:ascii="Arial" w:hAnsi="Arial" w:cs="Arial"/>
                <w:b/>
                <w:bCs/>
                <w:color w:val="000000"/>
                <w:sz w:val="19"/>
                <w:szCs w:val="19"/>
                <w:lang w:eastAsia="id-ID"/>
              </w:rPr>
              <w:t>Null Hypothesis: No levels relationship</w:t>
            </w:r>
          </w:p>
        </w:tc>
      </w:tr>
      <w:tr w:rsidR="00366727" w14:paraId="0207B3F7" w14:textId="77777777">
        <w:trPr>
          <w:trHeight w:val="41"/>
          <w:jc w:val="center"/>
        </w:trPr>
        <w:tc>
          <w:tcPr>
            <w:tcW w:w="1957" w:type="dxa"/>
            <w:tcBorders>
              <w:bottom w:val="nil"/>
            </w:tcBorders>
          </w:tcPr>
          <w:p w14:paraId="636B1D4E"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Test statistic</w:t>
            </w:r>
          </w:p>
        </w:tc>
        <w:tc>
          <w:tcPr>
            <w:tcW w:w="1571" w:type="dxa"/>
            <w:tcBorders>
              <w:bottom w:val="nil"/>
            </w:tcBorders>
          </w:tcPr>
          <w:p w14:paraId="1F5012E1" w14:textId="77777777" w:rsidR="00366727" w:rsidRDefault="005265DE">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Value</w:t>
            </w:r>
          </w:p>
        </w:tc>
        <w:tc>
          <w:tcPr>
            <w:tcW w:w="980" w:type="dxa"/>
            <w:tcBorders>
              <w:bottom w:val="nil"/>
            </w:tcBorders>
          </w:tcPr>
          <w:p w14:paraId="5DF0F789" w14:textId="77777777" w:rsidR="00366727" w:rsidRDefault="005265DE">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Sig.</w:t>
            </w:r>
          </w:p>
        </w:tc>
        <w:tc>
          <w:tcPr>
            <w:tcW w:w="2694" w:type="dxa"/>
            <w:tcBorders>
              <w:bottom w:val="nil"/>
            </w:tcBorders>
          </w:tcPr>
          <w:p w14:paraId="00552CA6" w14:textId="77777777" w:rsidR="00366727" w:rsidRDefault="005265DE">
            <w:pPr>
              <w:jc w:val="right"/>
              <w:rPr>
                <w:rFonts w:ascii="Arial" w:eastAsia="Times New Roman" w:hAnsi="Arial" w:cs="Arial"/>
                <w:color w:val="000000"/>
                <w:sz w:val="19"/>
                <w:szCs w:val="19"/>
                <w:lang w:eastAsia="id-ID"/>
              </w:rPr>
            </w:pPr>
            <w:proofErr w:type="gramStart"/>
            <w:r>
              <w:rPr>
                <w:rFonts w:ascii="Arial" w:eastAsia="Times New Roman" w:hAnsi="Arial" w:cs="Arial"/>
                <w:color w:val="000000"/>
                <w:sz w:val="19"/>
                <w:szCs w:val="19"/>
                <w:lang w:eastAsia="id-ID"/>
              </w:rPr>
              <w:t>I(</w:t>
            </w:r>
            <w:proofErr w:type="gramEnd"/>
            <w:r>
              <w:rPr>
                <w:rFonts w:ascii="Arial" w:eastAsia="Times New Roman" w:hAnsi="Arial" w:cs="Arial"/>
                <w:color w:val="000000"/>
                <w:sz w:val="19"/>
                <w:szCs w:val="19"/>
                <w:lang w:eastAsia="id-ID"/>
              </w:rPr>
              <w:t>0)</w:t>
            </w:r>
          </w:p>
        </w:tc>
        <w:tc>
          <w:tcPr>
            <w:tcW w:w="950" w:type="dxa"/>
            <w:tcBorders>
              <w:bottom w:val="nil"/>
            </w:tcBorders>
          </w:tcPr>
          <w:p w14:paraId="5E9E82AB" w14:textId="77777777" w:rsidR="00366727" w:rsidRDefault="005265DE">
            <w:pPr>
              <w:jc w:val="right"/>
              <w:rPr>
                <w:rFonts w:ascii="Arial" w:eastAsia="Times New Roman" w:hAnsi="Arial" w:cs="Arial"/>
                <w:color w:val="000000"/>
                <w:sz w:val="19"/>
                <w:szCs w:val="19"/>
                <w:lang w:eastAsia="id-ID"/>
              </w:rPr>
            </w:pPr>
            <w:proofErr w:type="gramStart"/>
            <w:r>
              <w:rPr>
                <w:rFonts w:ascii="Arial" w:eastAsia="Times New Roman" w:hAnsi="Arial" w:cs="Arial"/>
                <w:color w:val="000000"/>
                <w:sz w:val="19"/>
                <w:szCs w:val="19"/>
                <w:lang w:eastAsia="id-ID"/>
              </w:rPr>
              <w:t>I(</w:t>
            </w:r>
            <w:proofErr w:type="gramEnd"/>
            <w:r>
              <w:rPr>
                <w:rFonts w:ascii="Arial" w:eastAsia="Times New Roman" w:hAnsi="Arial" w:cs="Arial"/>
                <w:color w:val="000000"/>
                <w:sz w:val="19"/>
                <w:szCs w:val="19"/>
                <w:lang w:eastAsia="id-ID"/>
              </w:rPr>
              <w:t>1)</w:t>
            </w:r>
          </w:p>
        </w:tc>
      </w:tr>
      <w:tr w:rsidR="00366727" w14:paraId="68D5974B" w14:textId="77777777">
        <w:trPr>
          <w:jc w:val="center"/>
        </w:trPr>
        <w:tc>
          <w:tcPr>
            <w:tcW w:w="1957" w:type="dxa"/>
            <w:tcBorders>
              <w:top w:val="nil"/>
              <w:bottom w:val="nil"/>
            </w:tcBorders>
          </w:tcPr>
          <w:p w14:paraId="7C8FC46C" w14:textId="77777777" w:rsidR="00366727" w:rsidRDefault="00366727">
            <w:pPr>
              <w:autoSpaceDE w:val="0"/>
              <w:autoSpaceDN w:val="0"/>
              <w:adjustRightInd w:val="0"/>
              <w:rPr>
                <w:rFonts w:ascii="Arial" w:hAnsi="Arial" w:cs="Arial"/>
                <w:color w:val="000000"/>
                <w:sz w:val="19"/>
                <w:szCs w:val="19"/>
              </w:rPr>
            </w:pPr>
          </w:p>
        </w:tc>
        <w:tc>
          <w:tcPr>
            <w:tcW w:w="1571" w:type="dxa"/>
            <w:tcBorders>
              <w:top w:val="nil"/>
              <w:bottom w:val="nil"/>
            </w:tcBorders>
          </w:tcPr>
          <w:p w14:paraId="326F5E32" w14:textId="77777777" w:rsidR="00366727" w:rsidRDefault="00366727">
            <w:pPr>
              <w:jc w:val="center"/>
              <w:rPr>
                <w:rFonts w:ascii="Arial" w:eastAsia="Times New Roman" w:hAnsi="Arial" w:cs="Arial"/>
                <w:color w:val="000000"/>
                <w:sz w:val="19"/>
                <w:szCs w:val="19"/>
                <w:lang w:eastAsia="id-ID"/>
              </w:rPr>
            </w:pPr>
          </w:p>
        </w:tc>
        <w:tc>
          <w:tcPr>
            <w:tcW w:w="980" w:type="dxa"/>
            <w:tcBorders>
              <w:top w:val="nil"/>
              <w:bottom w:val="nil"/>
            </w:tcBorders>
          </w:tcPr>
          <w:p w14:paraId="757D716A" w14:textId="77777777" w:rsidR="00366727" w:rsidRDefault="00366727">
            <w:pPr>
              <w:jc w:val="right"/>
              <w:rPr>
                <w:rFonts w:ascii="Arial" w:eastAsia="Times New Roman" w:hAnsi="Arial" w:cs="Arial"/>
                <w:color w:val="000000"/>
                <w:sz w:val="19"/>
                <w:szCs w:val="19"/>
                <w:lang w:eastAsia="id-ID"/>
              </w:rPr>
            </w:pPr>
          </w:p>
        </w:tc>
        <w:tc>
          <w:tcPr>
            <w:tcW w:w="2694" w:type="dxa"/>
            <w:tcBorders>
              <w:top w:val="nil"/>
              <w:bottom w:val="nil"/>
            </w:tcBorders>
          </w:tcPr>
          <w:p w14:paraId="6874D3C2" w14:textId="77777777" w:rsidR="00366727" w:rsidRDefault="005265DE">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Asymptotic: n = 1000</w:t>
            </w:r>
          </w:p>
        </w:tc>
        <w:tc>
          <w:tcPr>
            <w:tcW w:w="950" w:type="dxa"/>
            <w:tcBorders>
              <w:top w:val="nil"/>
              <w:bottom w:val="nil"/>
            </w:tcBorders>
          </w:tcPr>
          <w:p w14:paraId="64ECBB2D" w14:textId="77777777" w:rsidR="00366727" w:rsidRDefault="00366727">
            <w:pPr>
              <w:jc w:val="center"/>
              <w:rPr>
                <w:rFonts w:ascii="Arial" w:eastAsia="Times New Roman" w:hAnsi="Arial" w:cs="Arial"/>
                <w:color w:val="000000"/>
                <w:sz w:val="19"/>
                <w:szCs w:val="19"/>
                <w:lang w:eastAsia="id-ID"/>
              </w:rPr>
            </w:pPr>
          </w:p>
        </w:tc>
      </w:tr>
      <w:tr w:rsidR="00366727" w14:paraId="40E19D24" w14:textId="77777777">
        <w:trPr>
          <w:jc w:val="center"/>
        </w:trPr>
        <w:tc>
          <w:tcPr>
            <w:tcW w:w="1957" w:type="dxa"/>
            <w:tcBorders>
              <w:top w:val="nil"/>
              <w:bottom w:val="nil"/>
            </w:tcBorders>
          </w:tcPr>
          <w:p w14:paraId="651A124D"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F-statistic</w:t>
            </w:r>
          </w:p>
        </w:tc>
        <w:tc>
          <w:tcPr>
            <w:tcW w:w="1571" w:type="dxa"/>
            <w:tcBorders>
              <w:top w:val="nil"/>
              <w:bottom w:val="nil"/>
            </w:tcBorders>
          </w:tcPr>
          <w:p w14:paraId="343D100E" w14:textId="77777777" w:rsidR="00366727" w:rsidRDefault="005265DE">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17.40787</w:t>
            </w:r>
          </w:p>
        </w:tc>
        <w:tc>
          <w:tcPr>
            <w:tcW w:w="980" w:type="dxa"/>
            <w:tcBorders>
              <w:top w:val="nil"/>
              <w:bottom w:val="nil"/>
            </w:tcBorders>
          </w:tcPr>
          <w:p w14:paraId="259DBB22" w14:textId="77777777" w:rsidR="00366727" w:rsidRDefault="005265DE">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10%</w:t>
            </w:r>
          </w:p>
        </w:tc>
        <w:tc>
          <w:tcPr>
            <w:tcW w:w="2694" w:type="dxa"/>
            <w:tcBorders>
              <w:top w:val="nil"/>
              <w:bottom w:val="nil"/>
            </w:tcBorders>
          </w:tcPr>
          <w:p w14:paraId="2F20DD39" w14:textId="77777777" w:rsidR="00366727" w:rsidRDefault="005265DE">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2.2</w:t>
            </w:r>
          </w:p>
        </w:tc>
        <w:tc>
          <w:tcPr>
            <w:tcW w:w="950" w:type="dxa"/>
            <w:tcBorders>
              <w:top w:val="nil"/>
              <w:bottom w:val="nil"/>
            </w:tcBorders>
          </w:tcPr>
          <w:p w14:paraId="1AD38D54" w14:textId="77777777" w:rsidR="00366727" w:rsidRDefault="005265DE">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3.09</w:t>
            </w:r>
          </w:p>
        </w:tc>
      </w:tr>
      <w:tr w:rsidR="00366727" w14:paraId="7D8728F4" w14:textId="77777777">
        <w:trPr>
          <w:jc w:val="center"/>
        </w:trPr>
        <w:tc>
          <w:tcPr>
            <w:tcW w:w="1957" w:type="dxa"/>
            <w:tcBorders>
              <w:top w:val="nil"/>
              <w:bottom w:val="nil"/>
            </w:tcBorders>
          </w:tcPr>
          <w:p w14:paraId="2A564ED0"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 xml:space="preserve">k </w:t>
            </w:r>
          </w:p>
        </w:tc>
        <w:tc>
          <w:tcPr>
            <w:tcW w:w="1571" w:type="dxa"/>
            <w:tcBorders>
              <w:top w:val="nil"/>
              <w:bottom w:val="nil"/>
            </w:tcBorders>
          </w:tcPr>
          <w:p w14:paraId="4C1A4825" w14:textId="77777777" w:rsidR="00366727" w:rsidRDefault="005265DE">
            <w:pPr>
              <w:jc w:val="center"/>
              <w:rPr>
                <w:rFonts w:ascii="Arial" w:hAnsi="Arial" w:cs="Arial"/>
                <w:color w:val="000000"/>
                <w:sz w:val="19"/>
                <w:szCs w:val="19"/>
                <w:lang w:eastAsia="id-ID"/>
              </w:rPr>
            </w:pPr>
            <w:r>
              <w:rPr>
                <w:rFonts w:ascii="Arial" w:hAnsi="Arial" w:cs="Arial"/>
                <w:color w:val="000000"/>
                <w:sz w:val="19"/>
                <w:szCs w:val="19"/>
                <w:lang w:eastAsia="id-ID"/>
              </w:rPr>
              <w:t>4</w:t>
            </w:r>
          </w:p>
        </w:tc>
        <w:tc>
          <w:tcPr>
            <w:tcW w:w="980" w:type="dxa"/>
            <w:tcBorders>
              <w:top w:val="nil"/>
              <w:bottom w:val="nil"/>
            </w:tcBorders>
          </w:tcPr>
          <w:p w14:paraId="274E9154" w14:textId="77777777" w:rsidR="00366727" w:rsidRDefault="005265DE">
            <w:pPr>
              <w:jc w:val="right"/>
              <w:rPr>
                <w:rFonts w:ascii="Arial" w:hAnsi="Arial" w:cs="Arial"/>
                <w:color w:val="000000"/>
                <w:sz w:val="19"/>
                <w:szCs w:val="19"/>
                <w:lang w:eastAsia="id-ID"/>
              </w:rPr>
            </w:pPr>
            <w:r>
              <w:rPr>
                <w:rFonts w:ascii="Arial" w:hAnsi="Arial" w:cs="Arial"/>
                <w:color w:val="000000"/>
                <w:sz w:val="19"/>
                <w:szCs w:val="19"/>
                <w:lang w:eastAsia="id-ID"/>
              </w:rPr>
              <w:t>5%</w:t>
            </w:r>
          </w:p>
        </w:tc>
        <w:tc>
          <w:tcPr>
            <w:tcW w:w="2694" w:type="dxa"/>
            <w:tcBorders>
              <w:top w:val="nil"/>
              <w:bottom w:val="nil"/>
            </w:tcBorders>
          </w:tcPr>
          <w:p w14:paraId="0C2A0DD9" w14:textId="77777777" w:rsidR="00366727" w:rsidRDefault="005265DE">
            <w:pPr>
              <w:jc w:val="right"/>
              <w:rPr>
                <w:rFonts w:ascii="Arial" w:hAnsi="Arial" w:cs="Arial"/>
                <w:color w:val="000000"/>
                <w:sz w:val="19"/>
                <w:szCs w:val="19"/>
                <w:lang w:eastAsia="id-ID"/>
              </w:rPr>
            </w:pPr>
            <w:r>
              <w:rPr>
                <w:rFonts w:ascii="Arial" w:hAnsi="Arial" w:cs="Arial"/>
                <w:color w:val="000000"/>
                <w:sz w:val="19"/>
                <w:szCs w:val="19"/>
                <w:lang w:eastAsia="id-ID"/>
              </w:rPr>
              <w:t>2.56</w:t>
            </w:r>
          </w:p>
        </w:tc>
        <w:tc>
          <w:tcPr>
            <w:tcW w:w="950" w:type="dxa"/>
            <w:tcBorders>
              <w:top w:val="nil"/>
              <w:bottom w:val="nil"/>
            </w:tcBorders>
          </w:tcPr>
          <w:p w14:paraId="4461F880" w14:textId="77777777" w:rsidR="00366727" w:rsidRDefault="005265DE">
            <w:pPr>
              <w:jc w:val="right"/>
              <w:rPr>
                <w:rFonts w:ascii="Arial" w:hAnsi="Arial" w:cs="Arial"/>
                <w:color w:val="000000"/>
                <w:sz w:val="19"/>
                <w:szCs w:val="19"/>
                <w:lang w:eastAsia="id-ID"/>
              </w:rPr>
            </w:pPr>
            <w:r>
              <w:rPr>
                <w:rFonts w:ascii="Arial" w:hAnsi="Arial" w:cs="Arial"/>
                <w:color w:val="000000"/>
                <w:sz w:val="19"/>
                <w:szCs w:val="19"/>
                <w:lang w:eastAsia="id-ID"/>
              </w:rPr>
              <w:t>3.49</w:t>
            </w:r>
          </w:p>
        </w:tc>
      </w:tr>
      <w:tr w:rsidR="00366727" w14:paraId="2A7209E0" w14:textId="77777777">
        <w:trPr>
          <w:jc w:val="center"/>
        </w:trPr>
        <w:tc>
          <w:tcPr>
            <w:tcW w:w="1957" w:type="dxa"/>
            <w:tcBorders>
              <w:top w:val="nil"/>
              <w:bottom w:val="nil"/>
            </w:tcBorders>
          </w:tcPr>
          <w:p w14:paraId="453B0C68" w14:textId="77777777" w:rsidR="00366727" w:rsidRDefault="00366727">
            <w:pPr>
              <w:autoSpaceDE w:val="0"/>
              <w:autoSpaceDN w:val="0"/>
              <w:adjustRightInd w:val="0"/>
              <w:rPr>
                <w:rFonts w:ascii="Arial" w:hAnsi="Arial" w:cs="Arial"/>
                <w:color w:val="000000"/>
                <w:sz w:val="19"/>
                <w:szCs w:val="19"/>
              </w:rPr>
            </w:pPr>
          </w:p>
        </w:tc>
        <w:tc>
          <w:tcPr>
            <w:tcW w:w="1571" w:type="dxa"/>
            <w:tcBorders>
              <w:top w:val="nil"/>
              <w:bottom w:val="nil"/>
            </w:tcBorders>
          </w:tcPr>
          <w:p w14:paraId="0557BDB0" w14:textId="77777777" w:rsidR="00366727" w:rsidRDefault="00366727">
            <w:pPr>
              <w:jc w:val="center"/>
              <w:rPr>
                <w:rFonts w:ascii="Arial" w:eastAsia="Times New Roman" w:hAnsi="Arial" w:cs="Arial"/>
                <w:color w:val="000000"/>
                <w:sz w:val="19"/>
                <w:szCs w:val="19"/>
                <w:lang w:eastAsia="id-ID"/>
              </w:rPr>
            </w:pPr>
          </w:p>
        </w:tc>
        <w:tc>
          <w:tcPr>
            <w:tcW w:w="980" w:type="dxa"/>
            <w:tcBorders>
              <w:top w:val="nil"/>
              <w:bottom w:val="nil"/>
            </w:tcBorders>
          </w:tcPr>
          <w:p w14:paraId="1214BC7E" w14:textId="77777777" w:rsidR="00366727" w:rsidRDefault="005265DE">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2.5%</w:t>
            </w:r>
          </w:p>
        </w:tc>
        <w:tc>
          <w:tcPr>
            <w:tcW w:w="2694" w:type="dxa"/>
            <w:tcBorders>
              <w:top w:val="nil"/>
              <w:bottom w:val="nil"/>
            </w:tcBorders>
          </w:tcPr>
          <w:p w14:paraId="408FE00D" w14:textId="77777777" w:rsidR="00366727" w:rsidRDefault="005265DE">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2.88</w:t>
            </w:r>
          </w:p>
        </w:tc>
        <w:tc>
          <w:tcPr>
            <w:tcW w:w="950" w:type="dxa"/>
            <w:tcBorders>
              <w:top w:val="nil"/>
              <w:bottom w:val="nil"/>
            </w:tcBorders>
          </w:tcPr>
          <w:p w14:paraId="6A9327FD" w14:textId="77777777" w:rsidR="00366727" w:rsidRDefault="005265DE">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3.87</w:t>
            </w:r>
          </w:p>
        </w:tc>
      </w:tr>
      <w:tr w:rsidR="00366727" w14:paraId="7B53611C" w14:textId="77777777">
        <w:trPr>
          <w:trHeight w:val="41"/>
          <w:jc w:val="center"/>
        </w:trPr>
        <w:tc>
          <w:tcPr>
            <w:tcW w:w="1957" w:type="dxa"/>
            <w:tcBorders>
              <w:top w:val="nil"/>
            </w:tcBorders>
          </w:tcPr>
          <w:p w14:paraId="73F19E9A" w14:textId="77777777" w:rsidR="00366727" w:rsidRDefault="00366727">
            <w:pPr>
              <w:autoSpaceDE w:val="0"/>
              <w:autoSpaceDN w:val="0"/>
              <w:adjustRightInd w:val="0"/>
              <w:rPr>
                <w:rFonts w:ascii="Arial" w:hAnsi="Arial" w:cs="Arial"/>
                <w:color w:val="000000"/>
                <w:sz w:val="19"/>
                <w:szCs w:val="19"/>
              </w:rPr>
            </w:pPr>
          </w:p>
        </w:tc>
        <w:tc>
          <w:tcPr>
            <w:tcW w:w="1571" w:type="dxa"/>
            <w:tcBorders>
              <w:top w:val="nil"/>
            </w:tcBorders>
          </w:tcPr>
          <w:p w14:paraId="175E7E0C" w14:textId="77777777" w:rsidR="00366727" w:rsidRDefault="00366727">
            <w:pPr>
              <w:jc w:val="center"/>
              <w:rPr>
                <w:rFonts w:ascii="Arial" w:eastAsia="Times New Roman" w:hAnsi="Arial" w:cs="Arial"/>
                <w:color w:val="000000"/>
                <w:sz w:val="19"/>
                <w:szCs w:val="19"/>
                <w:lang w:eastAsia="id-ID"/>
              </w:rPr>
            </w:pPr>
          </w:p>
        </w:tc>
        <w:tc>
          <w:tcPr>
            <w:tcW w:w="980" w:type="dxa"/>
            <w:tcBorders>
              <w:top w:val="nil"/>
            </w:tcBorders>
          </w:tcPr>
          <w:p w14:paraId="1F164ED4" w14:textId="77777777" w:rsidR="00366727" w:rsidRDefault="005265DE">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1%</w:t>
            </w:r>
          </w:p>
        </w:tc>
        <w:tc>
          <w:tcPr>
            <w:tcW w:w="2694" w:type="dxa"/>
            <w:tcBorders>
              <w:top w:val="nil"/>
            </w:tcBorders>
          </w:tcPr>
          <w:p w14:paraId="35DAE4E5" w14:textId="77777777" w:rsidR="00366727" w:rsidRDefault="005265DE">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3.29</w:t>
            </w:r>
          </w:p>
        </w:tc>
        <w:tc>
          <w:tcPr>
            <w:tcW w:w="950" w:type="dxa"/>
            <w:tcBorders>
              <w:top w:val="nil"/>
            </w:tcBorders>
          </w:tcPr>
          <w:p w14:paraId="298C02C7" w14:textId="77777777" w:rsidR="00366727" w:rsidRDefault="005265DE">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4.37</w:t>
            </w:r>
          </w:p>
        </w:tc>
      </w:tr>
    </w:tbl>
    <w:p w14:paraId="48C160B0" w14:textId="77777777" w:rsidR="00366727" w:rsidRDefault="005265DE">
      <w:pPr>
        <w:pStyle w:val="BodyText3"/>
        <w:tabs>
          <w:tab w:val="left" w:pos="1080"/>
        </w:tabs>
        <w:spacing w:after="0"/>
        <w:ind w:left="1080" w:hanging="1080"/>
        <w:jc w:val="both"/>
        <w:rPr>
          <w:rFonts w:ascii="Arial" w:hAnsi="Arial"/>
          <w:bCs/>
          <w:i/>
        </w:rPr>
      </w:pPr>
      <w:r>
        <w:rPr>
          <w:rFonts w:ascii="Arial" w:hAnsi="Arial"/>
          <w:bCs/>
          <w:i/>
        </w:rPr>
        <w:t>Source:</w:t>
      </w:r>
      <w:r>
        <w:t xml:space="preserve"> </w:t>
      </w:r>
      <w:r>
        <w:rPr>
          <w:rFonts w:ascii="Arial" w:hAnsi="Arial"/>
          <w:bCs/>
          <w:i/>
        </w:rPr>
        <w:t>the data was processed using EViews version 12.</w:t>
      </w:r>
    </w:p>
    <w:p w14:paraId="3DA720F8" w14:textId="77777777" w:rsidR="00366727" w:rsidRDefault="00366727">
      <w:pPr>
        <w:pStyle w:val="Body"/>
        <w:spacing w:after="0"/>
        <w:rPr>
          <w:rFonts w:ascii="Arial" w:hAnsi="Arial" w:cs="Arial"/>
        </w:rPr>
      </w:pPr>
    </w:p>
    <w:p w14:paraId="4FA8AC8D" w14:textId="3C6A8D35" w:rsidR="00366727" w:rsidRDefault="005265DE">
      <w:pPr>
        <w:pStyle w:val="Body"/>
        <w:spacing w:after="0"/>
        <w:rPr>
          <w:rFonts w:ascii="Arial" w:hAnsi="Arial" w:cs="Arial"/>
        </w:rPr>
      </w:pPr>
      <w:r>
        <w:rPr>
          <w:rFonts w:ascii="Arial" w:hAnsi="Arial" w:cs="Arial"/>
        </w:rPr>
        <w:lastRenderedPageBreak/>
        <w:t>Fourth, the ARDL estimation produces two outputs: a short-term (dynamic) model and a long-term (static) model. This study aims to calculate both the short-term dynamics and long-term relationships among interest rates, renewable energy consumption, FDI, and GDP on the unemployment rate in Indonesia. Table 4 presents the results of the short-term model estimation. The optimal lag lengths, determined using the Schwarz Information Criterion (SIC), are 4, 4, 3, 4, and 3. In the short term, all variables significantly impact the unemployment rate. Without lag effects, renewable energy consumption and FDI do not significantly affect the unemployment rate. In contrast, the interest rate variable without lag effects has a positive and significant impact on unemployment. With a coefficient of 0.077656, a 1% increase in the interest rate corresponds to a 7.</w:t>
      </w:r>
      <w:r w:rsidR="00897316">
        <w:rPr>
          <w:rFonts w:ascii="Arial" w:hAnsi="Arial" w:cs="Arial"/>
        </w:rPr>
        <w:t>766</w:t>
      </w:r>
      <w:r>
        <w:rPr>
          <w:rFonts w:ascii="Arial" w:hAnsi="Arial" w:cs="Arial"/>
        </w:rPr>
        <w:t>% increase in the unemployment rate. Quantitatively, GDP has a negative and significant effect on unemployment; with a coefficient of -0.006922, every 1 USD increase in GDP reduces unemployment by 0.692%.</w:t>
      </w:r>
    </w:p>
    <w:p w14:paraId="14F06AA0" w14:textId="77777777" w:rsidR="00366727" w:rsidRDefault="00366727">
      <w:pPr>
        <w:pStyle w:val="Body"/>
        <w:spacing w:after="0"/>
        <w:rPr>
          <w:rFonts w:ascii="Arial" w:hAnsi="Arial" w:cs="Arial"/>
        </w:rPr>
      </w:pPr>
    </w:p>
    <w:p w14:paraId="663747F3" w14:textId="77777777" w:rsidR="00366727" w:rsidRDefault="005265DE">
      <w:pPr>
        <w:tabs>
          <w:tab w:val="left" w:pos="1080"/>
        </w:tabs>
        <w:jc w:val="both"/>
        <w:rPr>
          <w:rFonts w:ascii="Arial" w:hAnsi="Arial"/>
          <w:b/>
        </w:rPr>
      </w:pPr>
      <w:r>
        <w:rPr>
          <w:rFonts w:ascii="Arial" w:hAnsi="Arial"/>
          <w:b/>
        </w:rPr>
        <w:t>Table 4. Short-term estimates</w:t>
      </w:r>
    </w:p>
    <w:tbl>
      <w:tblPr>
        <w:tblStyle w:val="TableGrid"/>
        <w:tblW w:w="8245" w:type="dxa"/>
        <w:jc w:val="center"/>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2146"/>
        <w:gridCol w:w="1524"/>
        <w:gridCol w:w="1525"/>
        <w:gridCol w:w="1525"/>
        <w:gridCol w:w="1525"/>
      </w:tblGrid>
      <w:tr w:rsidR="00366727" w14:paraId="38D660E4" w14:textId="77777777">
        <w:trPr>
          <w:trHeight w:val="41"/>
          <w:jc w:val="center"/>
        </w:trPr>
        <w:tc>
          <w:tcPr>
            <w:tcW w:w="2146" w:type="dxa"/>
            <w:tcBorders>
              <w:bottom w:val="single" w:sz="4" w:space="0" w:color="000000"/>
            </w:tcBorders>
          </w:tcPr>
          <w:p w14:paraId="71D02E95" w14:textId="77777777" w:rsidR="00366727" w:rsidRDefault="005265DE">
            <w:pPr>
              <w:autoSpaceDE w:val="0"/>
              <w:autoSpaceDN w:val="0"/>
              <w:adjustRightInd w:val="0"/>
              <w:rPr>
                <w:rFonts w:ascii="Arial" w:hAnsi="Arial" w:cs="Arial"/>
                <w:b/>
                <w:bCs/>
                <w:color w:val="000000"/>
                <w:sz w:val="19"/>
                <w:szCs w:val="19"/>
              </w:rPr>
            </w:pPr>
            <w:r>
              <w:rPr>
                <w:rFonts w:ascii="Arial" w:hAnsi="Arial" w:cs="Arial"/>
                <w:b/>
                <w:bCs/>
                <w:color w:val="000000"/>
                <w:sz w:val="19"/>
                <w:szCs w:val="19"/>
              </w:rPr>
              <w:t>Variables</w:t>
            </w:r>
          </w:p>
        </w:tc>
        <w:tc>
          <w:tcPr>
            <w:tcW w:w="1524" w:type="dxa"/>
            <w:tcBorders>
              <w:bottom w:val="single" w:sz="4" w:space="0" w:color="000000"/>
            </w:tcBorders>
          </w:tcPr>
          <w:p w14:paraId="5A980D41" w14:textId="77777777" w:rsidR="00366727" w:rsidRDefault="005265DE">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Coefficient</w:t>
            </w:r>
          </w:p>
        </w:tc>
        <w:tc>
          <w:tcPr>
            <w:tcW w:w="1525" w:type="dxa"/>
            <w:tcBorders>
              <w:bottom w:val="single" w:sz="4" w:space="0" w:color="000000"/>
            </w:tcBorders>
          </w:tcPr>
          <w:p w14:paraId="16414BA9" w14:textId="77777777" w:rsidR="00366727" w:rsidRDefault="005265DE">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Std. Error</w:t>
            </w:r>
          </w:p>
        </w:tc>
        <w:tc>
          <w:tcPr>
            <w:tcW w:w="1525" w:type="dxa"/>
            <w:tcBorders>
              <w:bottom w:val="single" w:sz="4" w:space="0" w:color="000000"/>
            </w:tcBorders>
          </w:tcPr>
          <w:p w14:paraId="62004C16" w14:textId="77777777" w:rsidR="00366727" w:rsidRDefault="005265DE">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t-Statistic</w:t>
            </w:r>
          </w:p>
        </w:tc>
        <w:tc>
          <w:tcPr>
            <w:tcW w:w="1525" w:type="dxa"/>
            <w:tcBorders>
              <w:bottom w:val="single" w:sz="4" w:space="0" w:color="000000"/>
            </w:tcBorders>
          </w:tcPr>
          <w:p w14:paraId="4073E2F3" w14:textId="77777777" w:rsidR="00366727" w:rsidRDefault="005265DE">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Prob.*</w:t>
            </w:r>
          </w:p>
        </w:tc>
      </w:tr>
      <w:tr w:rsidR="00366727" w14:paraId="6B16C8C7" w14:textId="77777777">
        <w:trPr>
          <w:trHeight w:val="41"/>
          <w:jc w:val="center"/>
        </w:trPr>
        <w:tc>
          <w:tcPr>
            <w:tcW w:w="2146" w:type="dxa"/>
            <w:tcBorders>
              <w:bottom w:val="nil"/>
            </w:tcBorders>
          </w:tcPr>
          <w:p w14:paraId="134FD1CA"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UN(</w:t>
            </w:r>
            <w:proofErr w:type="gramEnd"/>
            <w:r>
              <w:rPr>
                <w:rFonts w:ascii="Arial" w:hAnsi="Arial" w:cs="Arial"/>
                <w:color w:val="000000"/>
                <w:sz w:val="19"/>
                <w:szCs w:val="19"/>
              </w:rPr>
              <w:t>-1))</w:t>
            </w:r>
          </w:p>
        </w:tc>
        <w:tc>
          <w:tcPr>
            <w:tcW w:w="1524" w:type="dxa"/>
            <w:tcBorders>
              <w:bottom w:val="nil"/>
            </w:tcBorders>
          </w:tcPr>
          <w:p w14:paraId="782FE661"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–0.660586</w:t>
            </w:r>
          </w:p>
        </w:tc>
        <w:tc>
          <w:tcPr>
            <w:tcW w:w="1525" w:type="dxa"/>
            <w:tcBorders>
              <w:bottom w:val="nil"/>
            </w:tcBorders>
          </w:tcPr>
          <w:p w14:paraId="60A619B0"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0.048342</w:t>
            </w:r>
          </w:p>
        </w:tc>
        <w:tc>
          <w:tcPr>
            <w:tcW w:w="1525" w:type="dxa"/>
            <w:tcBorders>
              <w:bottom w:val="nil"/>
            </w:tcBorders>
          </w:tcPr>
          <w:p w14:paraId="5F3457EB"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–13.66476</w:t>
            </w:r>
          </w:p>
        </w:tc>
        <w:tc>
          <w:tcPr>
            <w:tcW w:w="1525" w:type="dxa"/>
            <w:tcBorders>
              <w:bottom w:val="nil"/>
            </w:tcBorders>
          </w:tcPr>
          <w:p w14:paraId="761DAA2F"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0.0000*</w:t>
            </w:r>
          </w:p>
        </w:tc>
      </w:tr>
      <w:tr w:rsidR="00366727" w14:paraId="347388D7" w14:textId="77777777">
        <w:trPr>
          <w:trHeight w:val="41"/>
          <w:jc w:val="center"/>
        </w:trPr>
        <w:tc>
          <w:tcPr>
            <w:tcW w:w="2146" w:type="dxa"/>
            <w:tcBorders>
              <w:top w:val="nil"/>
              <w:bottom w:val="nil"/>
            </w:tcBorders>
          </w:tcPr>
          <w:p w14:paraId="6421764C"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UN(</w:t>
            </w:r>
            <w:proofErr w:type="gramEnd"/>
            <w:r>
              <w:rPr>
                <w:rFonts w:ascii="Arial" w:hAnsi="Arial" w:cs="Arial"/>
                <w:color w:val="000000"/>
                <w:sz w:val="19"/>
                <w:szCs w:val="19"/>
              </w:rPr>
              <w:t>-2))</w:t>
            </w:r>
          </w:p>
        </w:tc>
        <w:tc>
          <w:tcPr>
            <w:tcW w:w="1524" w:type="dxa"/>
            <w:tcBorders>
              <w:top w:val="nil"/>
              <w:bottom w:val="nil"/>
            </w:tcBorders>
          </w:tcPr>
          <w:p w14:paraId="72C4331F"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–0.643886</w:t>
            </w:r>
          </w:p>
        </w:tc>
        <w:tc>
          <w:tcPr>
            <w:tcW w:w="1525" w:type="dxa"/>
            <w:tcBorders>
              <w:top w:val="nil"/>
              <w:bottom w:val="nil"/>
            </w:tcBorders>
          </w:tcPr>
          <w:p w14:paraId="6BEA3394"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0.065518</w:t>
            </w:r>
          </w:p>
        </w:tc>
        <w:tc>
          <w:tcPr>
            <w:tcW w:w="1525" w:type="dxa"/>
            <w:tcBorders>
              <w:top w:val="nil"/>
              <w:bottom w:val="nil"/>
            </w:tcBorders>
          </w:tcPr>
          <w:p w14:paraId="12C9B6C5"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–9.827635</w:t>
            </w:r>
          </w:p>
        </w:tc>
        <w:tc>
          <w:tcPr>
            <w:tcW w:w="1525" w:type="dxa"/>
            <w:tcBorders>
              <w:top w:val="nil"/>
              <w:bottom w:val="nil"/>
            </w:tcBorders>
          </w:tcPr>
          <w:p w14:paraId="5F755CBC"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0.0002*</w:t>
            </w:r>
          </w:p>
        </w:tc>
      </w:tr>
      <w:tr w:rsidR="00366727" w14:paraId="75940C76" w14:textId="77777777">
        <w:trPr>
          <w:trHeight w:val="41"/>
          <w:jc w:val="center"/>
        </w:trPr>
        <w:tc>
          <w:tcPr>
            <w:tcW w:w="2146" w:type="dxa"/>
            <w:tcBorders>
              <w:top w:val="nil"/>
              <w:bottom w:val="nil"/>
            </w:tcBorders>
          </w:tcPr>
          <w:p w14:paraId="4F557333"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UN(</w:t>
            </w:r>
            <w:proofErr w:type="gramEnd"/>
            <w:r>
              <w:rPr>
                <w:rFonts w:ascii="Arial" w:hAnsi="Arial" w:cs="Arial"/>
                <w:color w:val="000000"/>
                <w:sz w:val="19"/>
                <w:szCs w:val="19"/>
              </w:rPr>
              <w:t>-3))</w:t>
            </w:r>
          </w:p>
        </w:tc>
        <w:tc>
          <w:tcPr>
            <w:tcW w:w="1524" w:type="dxa"/>
            <w:tcBorders>
              <w:top w:val="nil"/>
              <w:bottom w:val="nil"/>
            </w:tcBorders>
          </w:tcPr>
          <w:p w14:paraId="1C31563A"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–0.769601</w:t>
            </w:r>
          </w:p>
        </w:tc>
        <w:tc>
          <w:tcPr>
            <w:tcW w:w="1525" w:type="dxa"/>
            <w:tcBorders>
              <w:top w:val="nil"/>
              <w:bottom w:val="nil"/>
            </w:tcBorders>
          </w:tcPr>
          <w:p w14:paraId="2BC5BBB9"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0.091104</w:t>
            </w:r>
          </w:p>
        </w:tc>
        <w:tc>
          <w:tcPr>
            <w:tcW w:w="1525" w:type="dxa"/>
            <w:tcBorders>
              <w:top w:val="nil"/>
              <w:bottom w:val="nil"/>
            </w:tcBorders>
          </w:tcPr>
          <w:p w14:paraId="5BBF7B14"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–8.447505</w:t>
            </w:r>
          </w:p>
        </w:tc>
        <w:tc>
          <w:tcPr>
            <w:tcW w:w="1525" w:type="dxa"/>
            <w:tcBorders>
              <w:top w:val="nil"/>
              <w:bottom w:val="nil"/>
            </w:tcBorders>
          </w:tcPr>
          <w:p w14:paraId="5BE1840F"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0.0004*</w:t>
            </w:r>
          </w:p>
        </w:tc>
      </w:tr>
      <w:tr w:rsidR="00366727" w14:paraId="0E430A25" w14:textId="77777777">
        <w:trPr>
          <w:trHeight w:val="41"/>
          <w:jc w:val="center"/>
        </w:trPr>
        <w:tc>
          <w:tcPr>
            <w:tcW w:w="2146" w:type="dxa"/>
            <w:tcBorders>
              <w:top w:val="nil"/>
              <w:bottom w:val="nil"/>
            </w:tcBorders>
          </w:tcPr>
          <w:p w14:paraId="4BAF02FA"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UN(</w:t>
            </w:r>
            <w:proofErr w:type="gramEnd"/>
            <w:r>
              <w:rPr>
                <w:rFonts w:ascii="Arial" w:hAnsi="Arial" w:cs="Arial"/>
                <w:color w:val="000000"/>
                <w:sz w:val="19"/>
                <w:szCs w:val="19"/>
              </w:rPr>
              <w:t>-4))</w:t>
            </w:r>
          </w:p>
        </w:tc>
        <w:tc>
          <w:tcPr>
            <w:tcW w:w="1524" w:type="dxa"/>
            <w:tcBorders>
              <w:top w:val="nil"/>
              <w:bottom w:val="nil"/>
            </w:tcBorders>
          </w:tcPr>
          <w:p w14:paraId="14121142"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0.192068</w:t>
            </w:r>
          </w:p>
        </w:tc>
        <w:tc>
          <w:tcPr>
            <w:tcW w:w="1525" w:type="dxa"/>
            <w:tcBorders>
              <w:top w:val="nil"/>
              <w:bottom w:val="nil"/>
            </w:tcBorders>
          </w:tcPr>
          <w:p w14:paraId="142CBBB0"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0.069885</w:t>
            </w:r>
          </w:p>
        </w:tc>
        <w:tc>
          <w:tcPr>
            <w:tcW w:w="1525" w:type="dxa"/>
            <w:tcBorders>
              <w:top w:val="nil"/>
              <w:bottom w:val="nil"/>
            </w:tcBorders>
          </w:tcPr>
          <w:p w14:paraId="132916F2"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2.748350</w:t>
            </w:r>
          </w:p>
        </w:tc>
        <w:tc>
          <w:tcPr>
            <w:tcW w:w="1525" w:type="dxa"/>
            <w:tcBorders>
              <w:top w:val="nil"/>
              <w:bottom w:val="nil"/>
            </w:tcBorders>
          </w:tcPr>
          <w:p w14:paraId="2A620ABF"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0.0404**</w:t>
            </w:r>
          </w:p>
        </w:tc>
      </w:tr>
      <w:tr w:rsidR="00366727" w14:paraId="5526ADB1" w14:textId="77777777">
        <w:trPr>
          <w:trHeight w:val="44"/>
          <w:jc w:val="center"/>
        </w:trPr>
        <w:tc>
          <w:tcPr>
            <w:tcW w:w="2146" w:type="dxa"/>
            <w:tcBorders>
              <w:top w:val="nil"/>
              <w:bottom w:val="nil"/>
            </w:tcBorders>
          </w:tcPr>
          <w:p w14:paraId="3CE8EF3B"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D(RE)</w:t>
            </w:r>
          </w:p>
        </w:tc>
        <w:tc>
          <w:tcPr>
            <w:tcW w:w="1524" w:type="dxa"/>
            <w:tcBorders>
              <w:top w:val="nil"/>
              <w:bottom w:val="nil"/>
            </w:tcBorders>
          </w:tcPr>
          <w:p w14:paraId="4F2E7057"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–0.019615</w:t>
            </w:r>
          </w:p>
        </w:tc>
        <w:tc>
          <w:tcPr>
            <w:tcW w:w="1525" w:type="dxa"/>
            <w:tcBorders>
              <w:top w:val="nil"/>
              <w:bottom w:val="nil"/>
            </w:tcBorders>
          </w:tcPr>
          <w:p w14:paraId="4398A581"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0.063848</w:t>
            </w:r>
          </w:p>
        </w:tc>
        <w:tc>
          <w:tcPr>
            <w:tcW w:w="1525" w:type="dxa"/>
            <w:tcBorders>
              <w:top w:val="nil"/>
              <w:bottom w:val="nil"/>
            </w:tcBorders>
          </w:tcPr>
          <w:p w14:paraId="52120EEB"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–0.307213</w:t>
            </w:r>
          </w:p>
        </w:tc>
        <w:tc>
          <w:tcPr>
            <w:tcW w:w="1525" w:type="dxa"/>
            <w:tcBorders>
              <w:top w:val="nil"/>
              <w:bottom w:val="nil"/>
            </w:tcBorders>
          </w:tcPr>
          <w:p w14:paraId="19D32B09"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0.7711</w:t>
            </w:r>
          </w:p>
        </w:tc>
      </w:tr>
      <w:tr w:rsidR="00366727" w14:paraId="567B81EA" w14:textId="77777777">
        <w:trPr>
          <w:trHeight w:val="51"/>
          <w:jc w:val="center"/>
        </w:trPr>
        <w:tc>
          <w:tcPr>
            <w:tcW w:w="2146" w:type="dxa"/>
            <w:tcBorders>
              <w:top w:val="nil"/>
              <w:bottom w:val="nil"/>
            </w:tcBorders>
          </w:tcPr>
          <w:p w14:paraId="47E24CB2"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RE(</w:t>
            </w:r>
            <w:proofErr w:type="gramEnd"/>
            <w:r>
              <w:rPr>
                <w:rFonts w:ascii="Arial" w:hAnsi="Arial" w:cs="Arial"/>
                <w:color w:val="000000"/>
                <w:sz w:val="19"/>
                <w:szCs w:val="19"/>
              </w:rPr>
              <w:t>-1))</w:t>
            </w:r>
          </w:p>
        </w:tc>
        <w:tc>
          <w:tcPr>
            <w:tcW w:w="1524" w:type="dxa"/>
            <w:tcBorders>
              <w:top w:val="nil"/>
              <w:bottom w:val="nil"/>
            </w:tcBorders>
          </w:tcPr>
          <w:p w14:paraId="4FA529FF"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0.185524</w:t>
            </w:r>
          </w:p>
        </w:tc>
        <w:tc>
          <w:tcPr>
            <w:tcW w:w="1525" w:type="dxa"/>
            <w:tcBorders>
              <w:top w:val="nil"/>
              <w:bottom w:val="nil"/>
            </w:tcBorders>
          </w:tcPr>
          <w:p w14:paraId="0E48F39B"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0.071893</w:t>
            </w:r>
          </w:p>
        </w:tc>
        <w:tc>
          <w:tcPr>
            <w:tcW w:w="1525" w:type="dxa"/>
            <w:tcBorders>
              <w:top w:val="nil"/>
              <w:bottom w:val="nil"/>
            </w:tcBorders>
          </w:tcPr>
          <w:p w14:paraId="1FB63E3A"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2.580543</w:t>
            </w:r>
          </w:p>
        </w:tc>
        <w:tc>
          <w:tcPr>
            <w:tcW w:w="1525" w:type="dxa"/>
            <w:tcBorders>
              <w:top w:val="nil"/>
              <w:bottom w:val="nil"/>
            </w:tcBorders>
          </w:tcPr>
          <w:p w14:paraId="2D7E0466"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0.0494**</w:t>
            </w:r>
          </w:p>
        </w:tc>
      </w:tr>
      <w:tr w:rsidR="00366727" w14:paraId="4AC5A983" w14:textId="77777777">
        <w:trPr>
          <w:trHeight w:val="41"/>
          <w:jc w:val="center"/>
        </w:trPr>
        <w:tc>
          <w:tcPr>
            <w:tcW w:w="2146" w:type="dxa"/>
            <w:tcBorders>
              <w:top w:val="nil"/>
              <w:bottom w:val="nil"/>
            </w:tcBorders>
          </w:tcPr>
          <w:p w14:paraId="5B33C513"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RE(</w:t>
            </w:r>
            <w:proofErr w:type="gramEnd"/>
            <w:r>
              <w:rPr>
                <w:rFonts w:ascii="Arial" w:hAnsi="Arial" w:cs="Arial"/>
                <w:color w:val="000000"/>
                <w:sz w:val="19"/>
                <w:szCs w:val="19"/>
              </w:rPr>
              <w:t>-2))</w:t>
            </w:r>
          </w:p>
        </w:tc>
        <w:tc>
          <w:tcPr>
            <w:tcW w:w="1524" w:type="dxa"/>
            <w:tcBorders>
              <w:top w:val="nil"/>
              <w:bottom w:val="nil"/>
            </w:tcBorders>
          </w:tcPr>
          <w:p w14:paraId="6C1C4649"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0.239188</w:t>
            </w:r>
          </w:p>
        </w:tc>
        <w:tc>
          <w:tcPr>
            <w:tcW w:w="1525" w:type="dxa"/>
            <w:tcBorders>
              <w:top w:val="nil"/>
              <w:bottom w:val="nil"/>
            </w:tcBorders>
          </w:tcPr>
          <w:p w14:paraId="13C15D4D"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0.076141</w:t>
            </w:r>
          </w:p>
        </w:tc>
        <w:tc>
          <w:tcPr>
            <w:tcW w:w="1525" w:type="dxa"/>
            <w:tcBorders>
              <w:top w:val="nil"/>
              <w:bottom w:val="nil"/>
            </w:tcBorders>
          </w:tcPr>
          <w:p w14:paraId="7C251355"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3.141393</w:t>
            </w:r>
          </w:p>
        </w:tc>
        <w:tc>
          <w:tcPr>
            <w:tcW w:w="1525" w:type="dxa"/>
            <w:tcBorders>
              <w:top w:val="nil"/>
              <w:bottom w:val="nil"/>
            </w:tcBorders>
          </w:tcPr>
          <w:p w14:paraId="3563A535"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0.0256**</w:t>
            </w:r>
          </w:p>
        </w:tc>
      </w:tr>
      <w:tr w:rsidR="00366727" w14:paraId="400B8C7F" w14:textId="77777777">
        <w:trPr>
          <w:trHeight w:val="41"/>
          <w:jc w:val="center"/>
        </w:trPr>
        <w:tc>
          <w:tcPr>
            <w:tcW w:w="2146" w:type="dxa"/>
            <w:tcBorders>
              <w:top w:val="nil"/>
              <w:bottom w:val="nil"/>
            </w:tcBorders>
          </w:tcPr>
          <w:p w14:paraId="1C04D677"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RE(</w:t>
            </w:r>
            <w:proofErr w:type="gramEnd"/>
            <w:r>
              <w:rPr>
                <w:rFonts w:ascii="Arial" w:hAnsi="Arial" w:cs="Arial"/>
                <w:color w:val="000000"/>
                <w:sz w:val="19"/>
                <w:szCs w:val="19"/>
              </w:rPr>
              <w:t>-3))</w:t>
            </w:r>
          </w:p>
        </w:tc>
        <w:tc>
          <w:tcPr>
            <w:tcW w:w="1524" w:type="dxa"/>
            <w:tcBorders>
              <w:top w:val="nil"/>
              <w:bottom w:val="nil"/>
            </w:tcBorders>
          </w:tcPr>
          <w:p w14:paraId="00A45ED6"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0.120728</w:t>
            </w:r>
          </w:p>
        </w:tc>
        <w:tc>
          <w:tcPr>
            <w:tcW w:w="1525" w:type="dxa"/>
            <w:tcBorders>
              <w:top w:val="nil"/>
              <w:bottom w:val="nil"/>
            </w:tcBorders>
          </w:tcPr>
          <w:p w14:paraId="3CD6F5C9"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0.068443</w:t>
            </w:r>
          </w:p>
        </w:tc>
        <w:tc>
          <w:tcPr>
            <w:tcW w:w="1525" w:type="dxa"/>
            <w:tcBorders>
              <w:top w:val="nil"/>
              <w:bottom w:val="nil"/>
            </w:tcBorders>
          </w:tcPr>
          <w:p w14:paraId="1D9FE2C9"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1.763926</w:t>
            </w:r>
          </w:p>
        </w:tc>
        <w:tc>
          <w:tcPr>
            <w:tcW w:w="1525" w:type="dxa"/>
            <w:tcBorders>
              <w:top w:val="nil"/>
              <w:bottom w:val="nil"/>
            </w:tcBorders>
          </w:tcPr>
          <w:p w14:paraId="19CBF1E5"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0.1380</w:t>
            </w:r>
          </w:p>
        </w:tc>
      </w:tr>
      <w:tr w:rsidR="00366727" w14:paraId="06D4D12F" w14:textId="77777777">
        <w:trPr>
          <w:trHeight w:val="41"/>
          <w:jc w:val="center"/>
        </w:trPr>
        <w:tc>
          <w:tcPr>
            <w:tcW w:w="2146" w:type="dxa"/>
            <w:tcBorders>
              <w:top w:val="nil"/>
              <w:bottom w:val="nil"/>
            </w:tcBorders>
          </w:tcPr>
          <w:p w14:paraId="1619C7B8"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RE(</w:t>
            </w:r>
            <w:proofErr w:type="gramEnd"/>
            <w:r>
              <w:rPr>
                <w:rFonts w:ascii="Arial" w:hAnsi="Arial" w:cs="Arial"/>
                <w:color w:val="000000"/>
                <w:sz w:val="19"/>
                <w:szCs w:val="19"/>
              </w:rPr>
              <w:t>-4))</w:t>
            </w:r>
          </w:p>
        </w:tc>
        <w:tc>
          <w:tcPr>
            <w:tcW w:w="1524" w:type="dxa"/>
            <w:tcBorders>
              <w:top w:val="nil"/>
              <w:bottom w:val="nil"/>
            </w:tcBorders>
          </w:tcPr>
          <w:p w14:paraId="760FA0AD"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–0.264579</w:t>
            </w:r>
          </w:p>
        </w:tc>
        <w:tc>
          <w:tcPr>
            <w:tcW w:w="1525" w:type="dxa"/>
            <w:tcBorders>
              <w:top w:val="nil"/>
              <w:bottom w:val="nil"/>
            </w:tcBorders>
          </w:tcPr>
          <w:p w14:paraId="50940DF3"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0.074134</w:t>
            </w:r>
          </w:p>
        </w:tc>
        <w:tc>
          <w:tcPr>
            <w:tcW w:w="1525" w:type="dxa"/>
            <w:tcBorders>
              <w:top w:val="nil"/>
              <w:bottom w:val="nil"/>
            </w:tcBorders>
          </w:tcPr>
          <w:p w14:paraId="5AE7FBEB"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–3.568925</w:t>
            </w:r>
          </w:p>
        </w:tc>
        <w:tc>
          <w:tcPr>
            <w:tcW w:w="1525" w:type="dxa"/>
            <w:tcBorders>
              <w:top w:val="nil"/>
              <w:bottom w:val="nil"/>
            </w:tcBorders>
          </w:tcPr>
          <w:p w14:paraId="10B83BA5"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0.0161**</w:t>
            </w:r>
          </w:p>
        </w:tc>
      </w:tr>
      <w:tr w:rsidR="00366727" w14:paraId="7321E786" w14:textId="77777777">
        <w:trPr>
          <w:trHeight w:val="41"/>
          <w:jc w:val="center"/>
        </w:trPr>
        <w:tc>
          <w:tcPr>
            <w:tcW w:w="2146" w:type="dxa"/>
            <w:tcBorders>
              <w:top w:val="nil"/>
              <w:bottom w:val="nil"/>
            </w:tcBorders>
          </w:tcPr>
          <w:p w14:paraId="2D6999F1"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SB</w:t>
            </w:r>
          </w:p>
        </w:tc>
        <w:tc>
          <w:tcPr>
            <w:tcW w:w="1524" w:type="dxa"/>
            <w:tcBorders>
              <w:top w:val="nil"/>
              <w:bottom w:val="nil"/>
            </w:tcBorders>
          </w:tcPr>
          <w:p w14:paraId="47439049"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0.077656</w:t>
            </w:r>
          </w:p>
        </w:tc>
        <w:tc>
          <w:tcPr>
            <w:tcW w:w="1525" w:type="dxa"/>
            <w:tcBorders>
              <w:top w:val="nil"/>
              <w:bottom w:val="nil"/>
            </w:tcBorders>
          </w:tcPr>
          <w:p w14:paraId="06032347"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0.010308</w:t>
            </w:r>
          </w:p>
        </w:tc>
        <w:tc>
          <w:tcPr>
            <w:tcW w:w="1525" w:type="dxa"/>
            <w:tcBorders>
              <w:top w:val="nil"/>
              <w:bottom w:val="nil"/>
            </w:tcBorders>
          </w:tcPr>
          <w:p w14:paraId="416D1DB4"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7.533620</w:t>
            </w:r>
          </w:p>
        </w:tc>
        <w:tc>
          <w:tcPr>
            <w:tcW w:w="1525" w:type="dxa"/>
            <w:tcBorders>
              <w:top w:val="nil"/>
              <w:bottom w:val="nil"/>
            </w:tcBorders>
          </w:tcPr>
          <w:p w14:paraId="1219641A"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0.0007*</w:t>
            </w:r>
          </w:p>
        </w:tc>
      </w:tr>
      <w:tr w:rsidR="00366727" w14:paraId="13F6ECFA" w14:textId="77777777">
        <w:trPr>
          <w:trHeight w:val="41"/>
          <w:jc w:val="center"/>
        </w:trPr>
        <w:tc>
          <w:tcPr>
            <w:tcW w:w="2146" w:type="dxa"/>
            <w:tcBorders>
              <w:top w:val="nil"/>
              <w:bottom w:val="nil"/>
            </w:tcBorders>
          </w:tcPr>
          <w:p w14:paraId="76BBF4B7" w14:textId="77777777" w:rsidR="00366727" w:rsidRDefault="005265DE">
            <w:pPr>
              <w:autoSpaceDE w:val="0"/>
              <w:autoSpaceDN w:val="0"/>
              <w:adjustRightInd w:val="0"/>
              <w:rPr>
                <w:rFonts w:ascii="Arial" w:hAnsi="Arial" w:cs="Arial"/>
                <w:color w:val="000000"/>
                <w:sz w:val="19"/>
                <w:szCs w:val="19"/>
              </w:rPr>
            </w:pPr>
            <w:proofErr w:type="gramStart"/>
            <w:r>
              <w:rPr>
                <w:rFonts w:ascii="Arial" w:hAnsi="Arial" w:cs="Arial"/>
                <w:color w:val="000000"/>
                <w:sz w:val="19"/>
                <w:szCs w:val="19"/>
              </w:rPr>
              <w:t>SB(</w:t>
            </w:r>
            <w:proofErr w:type="gramEnd"/>
            <w:r>
              <w:rPr>
                <w:rFonts w:ascii="Arial" w:hAnsi="Arial" w:cs="Arial"/>
                <w:color w:val="000000"/>
                <w:sz w:val="19"/>
                <w:szCs w:val="19"/>
              </w:rPr>
              <w:t>-1)</w:t>
            </w:r>
          </w:p>
        </w:tc>
        <w:tc>
          <w:tcPr>
            <w:tcW w:w="1524" w:type="dxa"/>
            <w:tcBorders>
              <w:top w:val="nil"/>
              <w:bottom w:val="nil"/>
            </w:tcBorders>
          </w:tcPr>
          <w:p w14:paraId="23A80632"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0.127373</w:t>
            </w:r>
          </w:p>
        </w:tc>
        <w:tc>
          <w:tcPr>
            <w:tcW w:w="1525" w:type="dxa"/>
            <w:tcBorders>
              <w:top w:val="nil"/>
              <w:bottom w:val="nil"/>
            </w:tcBorders>
          </w:tcPr>
          <w:p w14:paraId="00026D6E"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0.012071</w:t>
            </w:r>
          </w:p>
        </w:tc>
        <w:tc>
          <w:tcPr>
            <w:tcW w:w="1525" w:type="dxa"/>
            <w:tcBorders>
              <w:top w:val="nil"/>
              <w:bottom w:val="nil"/>
            </w:tcBorders>
          </w:tcPr>
          <w:p w14:paraId="782CD073"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10.55177</w:t>
            </w:r>
          </w:p>
        </w:tc>
        <w:tc>
          <w:tcPr>
            <w:tcW w:w="1525" w:type="dxa"/>
            <w:tcBorders>
              <w:top w:val="nil"/>
              <w:bottom w:val="nil"/>
            </w:tcBorders>
          </w:tcPr>
          <w:p w14:paraId="6A45D485"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0.0001*</w:t>
            </w:r>
          </w:p>
        </w:tc>
      </w:tr>
      <w:tr w:rsidR="00366727" w14:paraId="57CDA221" w14:textId="77777777">
        <w:trPr>
          <w:trHeight w:val="41"/>
          <w:jc w:val="center"/>
        </w:trPr>
        <w:tc>
          <w:tcPr>
            <w:tcW w:w="2146" w:type="dxa"/>
            <w:tcBorders>
              <w:top w:val="nil"/>
              <w:bottom w:val="nil"/>
            </w:tcBorders>
          </w:tcPr>
          <w:p w14:paraId="02EDF390" w14:textId="77777777" w:rsidR="00366727" w:rsidRDefault="005265DE">
            <w:pPr>
              <w:autoSpaceDE w:val="0"/>
              <w:autoSpaceDN w:val="0"/>
              <w:adjustRightInd w:val="0"/>
              <w:rPr>
                <w:rFonts w:ascii="Arial" w:hAnsi="Arial" w:cs="Arial"/>
                <w:color w:val="000000"/>
                <w:sz w:val="19"/>
                <w:szCs w:val="19"/>
              </w:rPr>
            </w:pPr>
            <w:proofErr w:type="gramStart"/>
            <w:r>
              <w:rPr>
                <w:rFonts w:ascii="Arial" w:hAnsi="Arial" w:cs="Arial"/>
                <w:color w:val="000000"/>
                <w:sz w:val="19"/>
                <w:szCs w:val="19"/>
              </w:rPr>
              <w:t>SB(</w:t>
            </w:r>
            <w:proofErr w:type="gramEnd"/>
            <w:r>
              <w:rPr>
                <w:rFonts w:ascii="Arial" w:hAnsi="Arial" w:cs="Arial"/>
                <w:color w:val="000000"/>
                <w:sz w:val="19"/>
                <w:szCs w:val="19"/>
              </w:rPr>
              <w:t>-2)</w:t>
            </w:r>
          </w:p>
        </w:tc>
        <w:tc>
          <w:tcPr>
            <w:tcW w:w="1524" w:type="dxa"/>
            <w:tcBorders>
              <w:top w:val="nil"/>
              <w:bottom w:val="nil"/>
            </w:tcBorders>
          </w:tcPr>
          <w:p w14:paraId="7DA58C63"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0.105475</w:t>
            </w:r>
          </w:p>
        </w:tc>
        <w:tc>
          <w:tcPr>
            <w:tcW w:w="1525" w:type="dxa"/>
            <w:tcBorders>
              <w:top w:val="nil"/>
              <w:bottom w:val="nil"/>
            </w:tcBorders>
          </w:tcPr>
          <w:p w14:paraId="5307B132"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0.009594</w:t>
            </w:r>
          </w:p>
        </w:tc>
        <w:tc>
          <w:tcPr>
            <w:tcW w:w="1525" w:type="dxa"/>
            <w:tcBorders>
              <w:top w:val="nil"/>
              <w:bottom w:val="nil"/>
            </w:tcBorders>
          </w:tcPr>
          <w:p w14:paraId="6925A60D"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10.99438</w:t>
            </w:r>
          </w:p>
        </w:tc>
        <w:tc>
          <w:tcPr>
            <w:tcW w:w="1525" w:type="dxa"/>
            <w:tcBorders>
              <w:top w:val="nil"/>
              <w:bottom w:val="nil"/>
            </w:tcBorders>
          </w:tcPr>
          <w:p w14:paraId="64602739"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0.0001*</w:t>
            </w:r>
          </w:p>
        </w:tc>
      </w:tr>
      <w:tr w:rsidR="00366727" w14:paraId="235DF33A" w14:textId="77777777">
        <w:trPr>
          <w:trHeight w:val="41"/>
          <w:jc w:val="center"/>
        </w:trPr>
        <w:tc>
          <w:tcPr>
            <w:tcW w:w="2146" w:type="dxa"/>
            <w:tcBorders>
              <w:top w:val="nil"/>
              <w:bottom w:val="nil"/>
            </w:tcBorders>
          </w:tcPr>
          <w:p w14:paraId="06D19F76" w14:textId="77777777" w:rsidR="00366727" w:rsidRDefault="005265DE">
            <w:pPr>
              <w:autoSpaceDE w:val="0"/>
              <w:autoSpaceDN w:val="0"/>
              <w:adjustRightInd w:val="0"/>
              <w:rPr>
                <w:rFonts w:ascii="Arial" w:hAnsi="Arial" w:cs="Arial"/>
                <w:color w:val="000000"/>
                <w:sz w:val="19"/>
                <w:szCs w:val="19"/>
              </w:rPr>
            </w:pPr>
            <w:proofErr w:type="gramStart"/>
            <w:r>
              <w:rPr>
                <w:rFonts w:ascii="Arial" w:hAnsi="Arial" w:cs="Arial"/>
                <w:color w:val="000000"/>
                <w:sz w:val="19"/>
                <w:szCs w:val="19"/>
              </w:rPr>
              <w:t>SB(</w:t>
            </w:r>
            <w:proofErr w:type="gramEnd"/>
            <w:r>
              <w:rPr>
                <w:rFonts w:ascii="Arial" w:hAnsi="Arial" w:cs="Arial"/>
                <w:color w:val="000000"/>
                <w:sz w:val="19"/>
                <w:szCs w:val="19"/>
              </w:rPr>
              <w:t>-3)</w:t>
            </w:r>
          </w:p>
        </w:tc>
        <w:tc>
          <w:tcPr>
            <w:tcW w:w="1524" w:type="dxa"/>
            <w:tcBorders>
              <w:top w:val="nil"/>
              <w:bottom w:val="nil"/>
            </w:tcBorders>
          </w:tcPr>
          <w:p w14:paraId="32DF32AE"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0.057202</w:t>
            </w:r>
          </w:p>
        </w:tc>
        <w:tc>
          <w:tcPr>
            <w:tcW w:w="1525" w:type="dxa"/>
            <w:tcBorders>
              <w:top w:val="nil"/>
              <w:bottom w:val="nil"/>
            </w:tcBorders>
          </w:tcPr>
          <w:p w14:paraId="37A81B9F"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0.010006</w:t>
            </w:r>
          </w:p>
        </w:tc>
        <w:tc>
          <w:tcPr>
            <w:tcW w:w="1525" w:type="dxa"/>
            <w:tcBorders>
              <w:top w:val="nil"/>
              <w:bottom w:val="nil"/>
            </w:tcBorders>
          </w:tcPr>
          <w:p w14:paraId="47387781"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5.717037</w:t>
            </w:r>
          </w:p>
        </w:tc>
        <w:tc>
          <w:tcPr>
            <w:tcW w:w="1525" w:type="dxa"/>
            <w:tcBorders>
              <w:top w:val="nil"/>
              <w:bottom w:val="nil"/>
            </w:tcBorders>
          </w:tcPr>
          <w:p w14:paraId="5C4D7A69"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0.0023*</w:t>
            </w:r>
          </w:p>
        </w:tc>
      </w:tr>
      <w:tr w:rsidR="00366727" w14:paraId="60900706" w14:textId="77777777">
        <w:trPr>
          <w:trHeight w:val="41"/>
          <w:jc w:val="center"/>
        </w:trPr>
        <w:tc>
          <w:tcPr>
            <w:tcW w:w="2146" w:type="dxa"/>
            <w:tcBorders>
              <w:top w:val="nil"/>
              <w:bottom w:val="nil"/>
            </w:tcBorders>
          </w:tcPr>
          <w:p w14:paraId="6648ACD1"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D(FDI)</w:t>
            </w:r>
          </w:p>
        </w:tc>
        <w:tc>
          <w:tcPr>
            <w:tcW w:w="1524" w:type="dxa"/>
            <w:tcBorders>
              <w:top w:val="nil"/>
              <w:bottom w:val="nil"/>
            </w:tcBorders>
          </w:tcPr>
          <w:p w14:paraId="0D1AC956"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0.052269</w:t>
            </w:r>
          </w:p>
        </w:tc>
        <w:tc>
          <w:tcPr>
            <w:tcW w:w="1525" w:type="dxa"/>
            <w:tcBorders>
              <w:top w:val="nil"/>
              <w:bottom w:val="nil"/>
            </w:tcBorders>
          </w:tcPr>
          <w:p w14:paraId="57AAA1F0"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0.071356</w:t>
            </w:r>
          </w:p>
        </w:tc>
        <w:tc>
          <w:tcPr>
            <w:tcW w:w="1525" w:type="dxa"/>
            <w:tcBorders>
              <w:top w:val="nil"/>
              <w:bottom w:val="nil"/>
            </w:tcBorders>
          </w:tcPr>
          <w:p w14:paraId="481348C8"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0.732518</w:t>
            </w:r>
          </w:p>
        </w:tc>
        <w:tc>
          <w:tcPr>
            <w:tcW w:w="1525" w:type="dxa"/>
            <w:tcBorders>
              <w:top w:val="nil"/>
              <w:bottom w:val="nil"/>
            </w:tcBorders>
          </w:tcPr>
          <w:p w14:paraId="26DBFD45"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0.4967</w:t>
            </w:r>
          </w:p>
        </w:tc>
      </w:tr>
      <w:tr w:rsidR="00366727" w14:paraId="5C0CE8FA" w14:textId="77777777">
        <w:trPr>
          <w:trHeight w:val="41"/>
          <w:jc w:val="center"/>
        </w:trPr>
        <w:tc>
          <w:tcPr>
            <w:tcW w:w="2146" w:type="dxa"/>
            <w:tcBorders>
              <w:top w:val="nil"/>
              <w:bottom w:val="nil"/>
            </w:tcBorders>
          </w:tcPr>
          <w:p w14:paraId="106A4B8C"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FDI(</w:t>
            </w:r>
            <w:proofErr w:type="gramEnd"/>
            <w:r>
              <w:rPr>
                <w:rFonts w:ascii="Arial" w:hAnsi="Arial" w:cs="Arial"/>
                <w:color w:val="000000"/>
                <w:sz w:val="19"/>
                <w:szCs w:val="19"/>
              </w:rPr>
              <w:t>-1))</w:t>
            </w:r>
          </w:p>
        </w:tc>
        <w:tc>
          <w:tcPr>
            <w:tcW w:w="1524" w:type="dxa"/>
            <w:tcBorders>
              <w:top w:val="nil"/>
              <w:bottom w:val="nil"/>
            </w:tcBorders>
          </w:tcPr>
          <w:p w14:paraId="58E0EF95"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0.237452</w:t>
            </w:r>
          </w:p>
        </w:tc>
        <w:tc>
          <w:tcPr>
            <w:tcW w:w="1525" w:type="dxa"/>
            <w:tcBorders>
              <w:top w:val="nil"/>
              <w:bottom w:val="nil"/>
            </w:tcBorders>
          </w:tcPr>
          <w:p w14:paraId="48540A09"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0.054704</w:t>
            </w:r>
          </w:p>
        </w:tc>
        <w:tc>
          <w:tcPr>
            <w:tcW w:w="1525" w:type="dxa"/>
            <w:tcBorders>
              <w:top w:val="nil"/>
              <w:bottom w:val="nil"/>
            </w:tcBorders>
          </w:tcPr>
          <w:p w14:paraId="5B11CC1E"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4.340659</w:t>
            </w:r>
          </w:p>
        </w:tc>
        <w:tc>
          <w:tcPr>
            <w:tcW w:w="1525" w:type="dxa"/>
            <w:tcBorders>
              <w:top w:val="nil"/>
              <w:bottom w:val="nil"/>
            </w:tcBorders>
          </w:tcPr>
          <w:p w14:paraId="54D0745D"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0.0074*</w:t>
            </w:r>
          </w:p>
        </w:tc>
      </w:tr>
      <w:tr w:rsidR="00366727" w14:paraId="528E037F" w14:textId="77777777">
        <w:trPr>
          <w:trHeight w:val="41"/>
          <w:jc w:val="center"/>
        </w:trPr>
        <w:tc>
          <w:tcPr>
            <w:tcW w:w="2146" w:type="dxa"/>
            <w:tcBorders>
              <w:top w:val="nil"/>
              <w:bottom w:val="nil"/>
            </w:tcBorders>
          </w:tcPr>
          <w:p w14:paraId="7652ACD0"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FDI(</w:t>
            </w:r>
            <w:proofErr w:type="gramEnd"/>
            <w:r>
              <w:rPr>
                <w:rFonts w:ascii="Arial" w:hAnsi="Arial" w:cs="Arial"/>
                <w:color w:val="000000"/>
                <w:sz w:val="19"/>
                <w:szCs w:val="19"/>
              </w:rPr>
              <w:t>-2))</w:t>
            </w:r>
          </w:p>
        </w:tc>
        <w:tc>
          <w:tcPr>
            <w:tcW w:w="1524" w:type="dxa"/>
            <w:tcBorders>
              <w:top w:val="nil"/>
              <w:bottom w:val="nil"/>
            </w:tcBorders>
          </w:tcPr>
          <w:p w14:paraId="5CBC9A47"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0.085317</w:t>
            </w:r>
          </w:p>
        </w:tc>
        <w:tc>
          <w:tcPr>
            <w:tcW w:w="1525" w:type="dxa"/>
            <w:tcBorders>
              <w:top w:val="nil"/>
              <w:bottom w:val="nil"/>
            </w:tcBorders>
          </w:tcPr>
          <w:p w14:paraId="4A77733A"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0.051824</w:t>
            </w:r>
          </w:p>
        </w:tc>
        <w:tc>
          <w:tcPr>
            <w:tcW w:w="1525" w:type="dxa"/>
            <w:tcBorders>
              <w:top w:val="nil"/>
              <w:bottom w:val="nil"/>
            </w:tcBorders>
          </w:tcPr>
          <w:p w14:paraId="638C6550"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1.646266</w:t>
            </w:r>
          </w:p>
        </w:tc>
        <w:tc>
          <w:tcPr>
            <w:tcW w:w="1525" w:type="dxa"/>
            <w:tcBorders>
              <w:top w:val="nil"/>
              <w:bottom w:val="nil"/>
            </w:tcBorders>
          </w:tcPr>
          <w:p w14:paraId="1C17A7D3"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0.1606</w:t>
            </w:r>
          </w:p>
        </w:tc>
      </w:tr>
      <w:tr w:rsidR="00366727" w14:paraId="45645D99" w14:textId="77777777">
        <w:trPr>
          <w:trHeight w:val="41"/>
          <w:jc w:val="center"/>
        </w:trPr>
        <w:tc>
          <w:tcPr>
            <w:tcW w:w="2146" w:type="dxa"/>
            <w:tcBorders>
              <w:top w:val="nil"/>
              <w:bottom w:val="nil"/>
            </w:tcBorders>
          </w:tcPr>
          <w:p w14:paraId="2D2901AB"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FDI(</w:t>
            </w:r>
            <w:proofErr w:type="gramEnd"/>
            <w:r>
              <w:rPr>
                <w:rFonts w:ascii="Arial" w:hAnsi="Arial" w:cs="Arial"/>
                <w:color w:val="000000"/>
                <w:sz w:val="19"/>
                <w:szCs w:val="19"/>
              </w:rPr>
              <w:t>-3))</w:t>
            </w:r>
          </w:p>
        </w:tc>
        <w:tc>
          <w:tcPr>
            <w:tcW w:w="1524" w:type="dxa"/>
            <w:tcBorders>
              <w:top w:val="nil"/>
              <w:bottom w:val="nil"/>
            </w:tcBorders>
          </w:tcPr>
          <w:p w14:paraId="1931D17E"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0.438887</w:t>
            </w:r>
          </w:p>
        </w:tc>
        <w:tc>
          <w:tcPr>
            <w:tcW w:w="1525" w:type="dxa"/>
            <w:tcBorders>
              <w:top w:val="nil"/>
              <w:bottom w:val="nil"/>
            </w:tcBorders>
          </w:tcPr>
          <w:p w14:paraId="273E967B"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0.055525</w:t>
            </w:r>
          </w:p>
        </w:tc>
        <w:tc>
          <w:tcPr>
            <w:tcW w:w="1525" w:type="dxa"/>
            <w:tcBorders>
              <w:top w:val="nil"/>
              <w:bottom w:val="nil"/>
            </w:tcBorders>
          </w:tcPr>
          <w:p w14:paraId="271FC001"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7.904301</w:t>
            </w:r>
          </w:p>
        </w:tc>
        <w:tc>
          <w:tcPr>
            <w:tcW w:w="1525" w:type="dxa"/>
            <w:tcBorders>
              <w:top w:val="nil"/>
              <w:bottom w:val="nil"/>
            </w:tcBorders>
          </w:tcPr>
          <w:p w14:paraId="0815BF9B"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0.0005*</w:t>
            </w:r>
          </w:p>
        </w:tc>
      </w:tr>
      <w:tr w:rsidR="00366727" w14:paraId="4F8B9649" w14:textId="77777777">
        <w:trPr>
          <w:trHeight w:val="41"/>
          <w:jc w:val="center"/>
        </w:trPr>
        <w:tc>
          <w:tcPr>
            <w:tcW w:w="2146" w:type="dxa"/>
            <w:tcBorders>
              <w:top w:val="nil"/>
              <w:bottom w:val="nil"/>
            </w:tcBorders>
          </w:tcPr>
          <w:p w14:paraId="36678A94"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D(GDP)</w:t>
            </w:r>
          </w:p>
        </w:tc>
        <w:tc>
          <w:tcPr>
            <w:tcW w:w="1524" w:type="dxa"/>
            <w:tcBorders>
              <w:top w:val="nil"/>
              <w:bottom w:val="nil"/>
            </w:tcBorders>
          </w:tcPr>
          <w:p w14:paraId="3D3C1AFE"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–0.006922</w:t>
            </w:r>
          </w:p>
        </w:tc>
        <w:tc>
          <w:tcPr>
            <w:tcW w:w="1525" w:type="dxa"/>
            <w:tcBorders>
              <w:top w:val="nil"/>
              <w:bottom w:val="nil"/>
            </w:tcBorders>
          </w:tcPr>
          <w:p w14:paraId="45E46A33"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0.000736</w:t>
            </w:r>
          </w:p>
        </w:tc>
        <w:tc>
          <w:tcPr>
            <w:tcW w:w="1525" w:type="dxa"/>
            <w:tcBorders>
              <w:top w:val="nil"/>
              <w:bottom w:val="nil"/>
            </w:tcBorders>
          </w:tcPr>
          <w:p w14:paraId="66CAFDE4"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–9.402487</w:t>
            </w:r>
          </w:p>
        </w:tc>
        <w:tc>
          <w:tcPr>
            <w:tcW w:w="1525" w:type="dxa"/>
            <w:tcBorders>
              <w:top w:val="nil"/>
              <w:bottom w:val="nil"/>
            </w:tcBorders>
          </w:tcPr>
          <w:p w14:paraId="147B0C17"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0.0002*</w:t>
            </w:r>
          </w:p>
        </w:tc>
      </w:tr>
      <w:tr w:rsidR="00366727" w14:paraId="3AB9B037" w14:textId="77777777">
        <w:trPr>
          <w:trHeight w:val="41"/>
          <w:jc w:val="center"/>
        </w:trPr>
        <w:tc>
          <w:tcPr>
            <w:tcW w:w="2146" w:type="dxa"/>
            <w:tcBorders>
              <w:top w:val="nil"/>
              <w:bottom w:val="nil"/>
            </w:tcBorders>
          </w:tcPr>
          <w:p w14:paraId="391156BF"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GDP(</w:t>
            </w:r>
            <w:proofErr w:type="gramEnd"/>
            <w:r>
              <w:rPr>
                <w:rFonts w:ascii="Arial" w:hAnsi="Arial" w:cs="Arial"/>
                <w:color w:val="000000"/>
                <w:sz w:val="19"/>
                <w:szCs w:val="19"/>
              </w:rPr>
              <w:t>-1))</w:t>
            </w:r>
          </w:p>
        </w:tc>
        <w:tc>
          <w:tcPr>
            <w:tcW w:w="1524" w:type="dxa"/>
            <w:tcBorders>
              <w:top w:val="nil"/>
              <w:bottom w:val="nil"/>
            </w:tcBorders>
          </w:tcPr>
          <w:p w14:paraId="6939AA43"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–0.003510</w:t>
            </w:r>
          </w:p>
        </w:tc>
        <w:tc>
          <w:tcPr>
            <w:tcW w:w="1525" w:type="dxa"/>
            <w:tcBorders>
              <w:top w:val="nil"/>
              <w:bottom w:val="nil"/>
            </w:tcBorders>
          </w:tcPr>
          <w:p w14:paraId="6445B41D"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0.000794</w:t>
            </w:r>
          </w:p>
        </w:tc>
        <w:tc>
          <w:tcPr>
            <w:tcW w:w="1525" w:type="dxa"/>
            <w:tcBorders>
              <w:top w:val="nil"/>
              <w:bottom w:val="nil"/>
            </w:tcBorders>
          </w:tcPr>
          <w:p w14:paraId="611BAC54"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–4.420290</w:t>
            </w:r>
          </w:p>
        </w:tc>
        <w:tc>
          <w:tcPr>
            <w:tcW w:w="1525" w:type="dxa"/>
            <w:tcBorders>
              <w:top w:val="nil"/>
              <w:bottom w:val="nil"/>
            </w:tcBorders>
          </w:tcPr>
          <w:p w14:paraId="7DAEECA7"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0.0069*</w:t>
            </w:r>
          </w:p>
        </w:tc>
      </w:tr>
      <w:tr w:rsidR="00366727" w14:paraId="40FBEDA8" w14:textId="77777777">
        <w:trPr>
          <w:trHeight w:val="41"/>
          <w:jc w:val="center"/>
        </w:trPr>
        <w:tc>
          <w:tcPr>
            <w:tcW w:w="2146" w:type="dxa"/>
            <w:tcBorders>
              <w:top w:val="nil"/>
              <w:bottom w:val="nil"/>
            </w:tcBorders>
          </w:tcPr>
          <w:p w14:paraId="00A9F70A"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GDP(</w:t>
            </w:r>
            <w:proofErr w:type="gramEnd"/>
            <w:r>
              <w:rPr>
                <w:rFonts w:ascii="Arial" w:hAnsi="Arial" w:cs="Arial"/>
                <w:color w:val="000000"/>
                <w:sz w:val="19"/>
                <w:szCs w:val="19"/>
              </w:rPr>
              <w:t>-2))</w:t>
            </w:r>
          </w:p>
        </w:tc>
        <w:tc>
          <w:tcPr>
            <w:tcW w:w="1524" w:type="dxa"/>
            <w:tcBorders>
              <w:top w:val="nil"/>
              <w:bottom w:val="nil"/>
            </w:tcBorders>
          </w:tcPr>
          <w:p w14:paraId="1376F1EF"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–0.009117</w:t>
            </w:r>
          </w:p>
        </w:tc>
        <w:tc>
          <w:tcPr>
            <w:tcW w:w="1525" w:type="dxa"/>
            <w:tcBorders>
              <w:top w:val="nil"/>
              <w:bottom w:val="nil"/>
            </w:tcBorders>
          </w:tcPr>
          <w:p w14:paraId="552C1340"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0.000815</w:t>
            </w:r>
          </w:p>
        </w:tc>
        <w:tc>
          <w:tcPr>
            <w:tcW w:w="1525" w:type="dxa"/>
            <w:tcBorders>
              <w:top w:val="nil"/>
              <w:bottom w:val="nil"/>
            </w:tcBorders>
          </w:tcPr>
          <w:p w14:paraId="16EB50C9"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–11.18610</w:t>
            </w:r>
          </w:p>
        </w:tc>
        <w:tc>
          <w:tcPr>
            <w:tcW w:w="1525" w:type="dxa"/>
            <w:tcBorders>
              <w:top w:val="nil"/>
              <w:bottom w:val="nil"/>
            </w:tcBorders>
          </w:tcPr>
          <w:p w14:paraId="5C86F899"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0.0001*</w:t>
            </w:r>
          </w:p>
        </w:tc>
      </w:tr>
      <w:tr w:rsidR="00366727" w14:paraId="03030AED" w14:textId="77777777">
        <w:trPr>
          <w:trHeight w:val="41"/>
          <w:jc w:val="center"/>
        </w:trPr>
        <w:tc>
          <w:tcPr>
            <w:tcW w:w="2146" w:type="dxa"/>
            <w:tcBorders>
              <w:top w:val="nil"/>
              <w:bottom w:val="nil"/>
            </w:tcBorders>
          </w:tcPr>
          <w:p w14:paraId="1BD92B56"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GDP(</w:t>
            </w:r>
            <w:proofErr w:type="gramEnd"/>
            <w:r>
              <w:rPr>
                <w:rFonts w:ascii="Arial" w:hAnsi="Arial" w:cs="Arial"/>
                <w:color w:val="000000"/>
                <w:sz w:val="19"/>
                <w:szCs w:val="19"/>
              </w:rPr>
              <w:t>-3))</w:t>
            </w:r>
          </w:p>
        </w:tc>
        <w:tc>
          <w:tcPr>
            <w:tcW w:w="1524" w:type="dxa"/>
            <w:tcBorders>
              <w:top w:val="nil"/>
              <w:bottom w:val="nil"/>
            </w:tcBorders>
          </w:tcPr>
          <w:p w14:paraId="75604BE5"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–0.011673</w:t>
            </w:r>
          </w:p>
        </w:tc>
        <w:tc>
          <w:tcPr>
            <w:tcW w:w="1525" w:type="dxa"/>
            <w:tcBorders>
              <w:top w:val="nil"/>
              <w:bottom w:val="nil"/>
            </w:tcBorders>
          </w:tcPr>
          <w:p w14:paraId="0A4C7F3D"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0.001288</w:t>
            </w:r>
          </w:p>
        </w:tc>
        <w:tc>
          <w:tcPr>
            <w:tcW w:w="1525" w:type="dxa"/>
            <w:tcBorders>
              <w:top w:val="nil"/>
              <w:bottom w:val="nil"/>
            </w:tcBorders>
          </w:tcPr>
          <w:p w14:paraId="33BA0221"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–9.065771</w:t>
            </w:r>
          </w:p>
        </w:tc>
        <w:tc>
          <w:tcPr>
            <w:tcW w:w="1525" w:type="dxa"/>
            <w:tcBorders>
              <w:top w:val="nil"/>
              <w:bottom w:val="nil"/>
            </w:tcBorders>
          </w:tcPr>
          <w:p w14:paraId="01F083F5"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0.0003*</w:t>
            </w:r>
          </w:p>
        </w:tc>
      </w:tr>
      <w:tr w:rsidR="00366727" w14:paraId="4F499A80" w14:textId="77777777">
        <w:trPr>
          <w:trHeight w:val="41"/>
          <w:jc w:val="center"/>
        </w:trPr>
        <w:tc>
          <w:tcPr>
            <w:tcW w:w="2146" w:type="dxa"/>
            <w:tcBorders>
              <w:top w:val="nil"/>
              <w:bottom w:val="nil"/>
            </w:tcBorders>
          </w:tcPr>
          <w:p w14:paraId="26C6CD11"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GDP(</w:t>
            </w:r>
            <w:proofErr w:type="gramEnd"/>
            <w:r>
              <w:rPr>
                <w:rFonts w:ascii="Arial" w:hAnsi="Arial" w:cs="Arial"/>
                <w:color w:val="000000"/>
                <w:sz w:val="19"/>
                <w:szCs w:val="19"/>
              </w:rPr>
              <w:t>-4))</w:t>
            </w:r>
          </w:p>
        </w:tc>
        <w:tc>
          <w:tcPr>
            <w:tcW w:w="1524" w:type="dxa"/>
            <w:tcBorders>
              <w:top w:val="nil"/>
              <w:bottom w:val="nil"/>
            </w:tcBorders>
          </w:tcPr>
          <w:p w14:paraId="33B5BAAC"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–0.003922</w:t>
            </w:r>
          </w:p>
        </w:tc>
        <w:tc>
          <w:tcPr>
            <w:tcW w:w="1525" w:type="dxa"/>
            <w:tcBorders>
              <w:top w:val="nil"/>
              <w:bottom w:val="nil"/>
            </w:tcBorders>
          </w:tcPr>
          <w:p w14:paraId="5DC71ED7"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0.000763</w:t>
            </w:r>
          </w:p>
        </w:tc>
        <w:tc>
          <w:tcPr>
            <w:tcW w:w="1525" w:type="dxa"/>
            <w:tcBorders>
              <w:top w:val="nil"/>
              <w:bottom w:val="nil"/>
            </w:tcBorders>
          </w:tcPr>
          <w:p w14:paraId="3AF70D73"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–5.141708</w:t>
            </w:r>
          </w:p>
        </w:tc>
        <w:tc>
          <w:tcPr>
            <w:tcW w:w="1525" w:type="dxa"/>
            <w:tcBorders>
              <w:top w:val="nil"/>
              <w:bottom w:val="nil"/>
            </w:tcBorders>
          </w:tcPr>
          <w:p w14:paraId="32CBCB78"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0.0036*</w:t>
            </w:r>
          </w:p>
        </w:tc>
      </w:tr>
      <w:tr w:rsidR="00366727" w14:paraId="35D88399" w14:textId="77777777">
        <w:trPr>
          <w:trHeight w:val="46"/>
          <w:jc w:val="center"/>
        </w:trPr>
        <w:tc>
          <w:tcPr>
            <w:tcW w:w="2146" w:type="dxa"/>
            <w:tcBorders>
              <w:top w:val="nil"/>
              <w:bottom w:val="nil"/>
            </w:tcBorders>
          </w:tcPr>
          <w:p w14:paraId="55B90D85"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C</w:t>
            </w:r>
          </w:p>
        </w:tc>
        <w:tc>
          <w:tcPr>
            <w:tcW w:w="1524" w:type="dxa"/>
            <w:tcBorders>
              <w:top w:val="nil"/>
              <w:bottom w:val="nil"/>
            </w:tcBorders>
          </w:tcPr>
          <w:p w14:paraId="37488C2C"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1.161625</w:t>
            </w:r>
          </w:p>
        </w:tc>
        <w:tc>
          <w:tcPr>
            <w:tcW w:w="1525" w:type="dxa"/>
            <w:tcBorders>
              <w:top w:val="nil"/>
              <w:bottom w:val="nil"/>
            </w:tcBorders>
          </w:tcPr>
          <w:p w14:paraId="75363A30"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0.107468</w:t>
            </w:r>
          </w:p>
        </w:tc>
        <w:tc>
          <w:tcPr>
            <w:tcW w:w="1525" w:type="dxa"/>
            <w:tcBorders>
              <w:top w:val="nil"/>
              <w:bottom w:val="nil"/>
            </w:tcBorders>
          </w:tcPr>
          <w:p w14:paraId="3C634B35"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10.80908</w:t>
            </w:r>
          </w:p>
        </w:tc>
        <w:tc>
          <w:tcPr>
            <w:tcW w:w="1525" w:type="dxa"/>
            <w:tcBorders>
              <w:top w:val="nil"/>
              <w:bottom w:val="nil"/>
            </w:tcBorders>
          </w:tcPr>
          <w:p w14:paraId="48490F30"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0.0001*</w:t>
            </w:r>
          </w:p>
        </w:tc>
      </w:tr>
      <w:tr w:rsidR="00366727" w14:paraId="26355826" w14:textId="77777777">
        <w:trPr>
          <w:trHeight w:val="41"/>
          <w:jc w:val="center"/>
        </w:trPr>
        <w:tc>
          <w:tcPr>
            <w:tcW w:w="2146" w:type="dxa"/>
            <w:tcBorders>
              <w:top w:val="nil"/>
              <w:bottom w:val="nil"/>
            </w:tcBorders>
          </w:tcPr>
          <w:p w14:paraId="4E3D5248"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R-squared</w:t>
            </w:r>
          </w:p>
        </w:tc>
        <w:tc>
          <w:tcPr>
            <w:tcW w:w="1524" w:type="dxa"/>
            <w:tcBorders>
              <w:top w:val="nil"/>
              <w:bottom w:val="nil"/>
            </w:tcBorders>
          </w:tcPr>
          <w:p w14:paraId="218A7BDC"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0.995141</w:t>
            </w:r>
          </w:p>
        </w:tc>
        <w:tc>
          <w:tcPr>
            <w:tcW w:w="1525" w:type="dxa"/>
            <w:tcBorders>
              <w:top w:val="nil"/>
              <w:bottom w:val="nil"/>
            </w:tcBorders>
          </w:tcPr>
          <w:p w14:paraId="58BE6962" w14:textId="77777777" w:rsidR="00366727" w:rsidRDefault="00366727">
            <w:pPr>
              <w:autoSpaceDE w:val="0"/>
              <w:autoSpaceDN w:val="0"/>
              <w:adjustRightInd w:val="0"/>
              <w:ind w:right="10"/>
              <w:rPr>
                <w:rFonts w:ascii="Arial" w:hAnsi="Arial" w:cs="Arial"/>
                <w:color w:val="000000"/>
                <w:sz w:val="19"/>
                <w:szCs w:val="19"/>
              </w:rPr>
            </w:pPr>
          </w:p>
        </w:tc>
        <w:tc>
          <w:tcPr>
            <w:tcW w:w="1525" w:type="dxa"/>
            <w:tcBorders>
              <w:top w:val="nil"/>
              <w:bottom w:val="nil"/>
            </w:tcBorders>
          </w:tcPr>
          <w:p w14:paraId="1BDDB2DD" w14:textId="77777777" w:rsidR="00366727" w:rsidRDefault="00366727">
            <w:pPr>
              <w:autoSpaceDE w:val="0"/>
              <w:autoSpaceDN w:val="0"/>
              <w:adjustRightInd w:val="0"/>
              <w:ind w:right="10"/>
              <w:rPr>
                <w:rFonts w:ascii="Arial" w:hAnsi="Arial" w:cs="Arial"/>
                <w:color w:val="000000"/>
                <w:sz w:val="19"/>
                <w:szCs w:val="19"/>
              </w:rPr>
            </w:pPr>
          </w:p>
        </w:tc>
        <w:tc>
          <w:tcPr>
            <w:tcW w:w="1525" w:type="dxa"/>
            <w:tcBorders>
              <w:top w:val="nil"/>
              <w:bottom w:val="nil"/>
            </w:tcBorders>
          </w:tcPr>
          <w:p w14:paraId="23238F18" w14:textId="77777777" w:rsidR="00366727" w:rsidRDefault="00366727">
            <w:pPr>
              <w:autoSpaceDE w:val="0"/>
              <w:autoSpaceDN w:val="0"/>
              <w:adjustRightInd w:val="0"/>
              <w:ind w:right="10"/>
              <w:jc w:val="right"/>
              <w:rPr>
                <w:rFonts w:ascii="Arial" w:hAnsi="Arial" w:cs="Arial"/>
                <w:color w:val="000000"/>
                <w:sz w:val="19"/>
                <w:szCs w:val="19"/>
              </w:rPr>
            </w:pPr>
          </w:p>
        </w:tc>
      </w:tr>
      <w:tr w:rsidR="00366727" w14:paraId="7156C78F" w14:textId="77777777">
        <w:trPr>
          <w:trHeight w:val="41"/>
          <w:jc w:val="center"/>
        </w:trPr>
        <w:tc>
          <w:tcPr>
            <w:tcW w:w="2146" w:type="dxa"/>
            <w:tcBorders>
              <w:top w:val="nil"/>
              <w:bottom w:val="nil"/>
            </w:tcBorders>
          </w:tcPr>
          <w:p w14:paraId="678367C5"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Adjusted R-squared</w:t>
            </w:r>
          </w:p>
        </w:tc>
        <w:tc>
          <w:tcPr>
            <w:tcW w:w="1524" w:type="dxa"/>
            <w:tcBorders>
              <w:top w:val="nil"/>
              <w:bottom w:val="nil"/>
            </w:tcBorders>
          </w:tcPr>
          <w:p w14:paraId="3730D2B9"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0.973760</w:t>
            </w:r>
          </w:p>
        </w:tc>
        <w:tc>
          <w:tcPr>
            <w:tcW w:w="1525" w:type="dxa"/>
            <w:tcBorders>
              <w:top w:val="nil"/>
              <w:bottom w:val="nil"/>
            </w:tcBorders>
          </w:tcPr>
          <w:p w14:paraId="6710DB19" w14:textId="77777777" w:rsidR="00366727" w:rsidRDefault="00366727">
            <w:pPr>
              <w:autoSpaceDE w:val="0"/>
              <w:autoSpaceDN w:val="0"/>
              <w:adjustRightInd w:val="0"/>
              <w:ind w:right="10"/>
              <w:rPr>
                <w:rFonts w:ascii="Arial" w:hAnsi="Arial" w:cs="Arial"/>
                <w:color w:val="000000"/>
                <w:sz w:val="19"/>
                <w:szCs w:val="19"/>
              </w:rPr>
            </w:pPr>
          </w:p>
        </w:tc>
        <w:tc>
          <w:tcPr>
            <w:tcW w:w="1525" w:type="dxa"/>
            <w:tcBorders>
              <w:top w:val="nil"/>
              <w:bottom w:val="nil"/>
            </w:tcBorders>
          </w:tcPr>
          <w:p w14:paraId="0CB22A66" w14:textId="77777777" w:rsidR="00366727" w:rsidRDefault="00366727">
            <w:pPr>
              <w:autoSpaceDE w:val="0"/>
              <w:autoSpaceDN w:val="0"/>
              <w:adjustRightInd w:val="0"/>
              <w:ind w:right="10"/>
              <w:rPr>
                <w:rFonts w:ascii="Arial" w:hAnsi="Arial" w:cs="Arial"/>
                <w:color w:val="000000"/>
                <w:sz w:val="19"/>
                <w:szCs w:val="19"/>
              </w:rPr>
            </w:pPr>
          </w:p>
        </w:tc>
        <w:tc>
          <w:tcPr>
            <w:tcW w:w="1525" w:type="dxa"/>
            <w:tcBorders>
              <w:top w:val="nil"/>
              <w:bottom w:val="nil"/>
            </w:tcBorders>
          </w:tcPr>
          <w:p w14:paraId="2A113624" w14:textId="77777777" w:rsidR="00366727" w:rsidRDefault="00366727">
            <w:pPr>
              <w:autoSpaceDE w:val="0"/>
              <w:autoSpaceDN w:val="0"/>
              <w:adjustRightInd w:val="0"/>
              <w:ind w:right="10"/>
              <w:jc w:val="right"/>
              <w:rPr>
                <w:rFonts w:ascii="Arial" w:hAnsi="Arial" w:cs="Arial"/>
                <w:color w:val="000000"/>
                <w:sz w:val="19"/>
                <w:szCs w:val="19"/>
              </w:rPr>
            </w:pPr>
          </w:p>
        </w:tc>
      </w:tr>
      <w:tr w:rsidR="00366727" w14:paraId="5B6B768B" w14:textId="77777777">
        <w:trPr>
          <w:trHeight w:val="83"/>
          <w:jc w:val="center"/>
        </w:trPr>
        <w:tc>
          <w:tcPr>
            <w:tcW w:w="2146" w:type="dxa"/>
            <w:tcBorders>
              <w:top w:val="nil"/>
              <w:bottom w:val="nil"/>
            </w:tcBorders>
          </w:tcPr>
          <w:p w14:paraId="2932B9E7"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F-statistic</w:t>
            </w:r>
          </w:p>
        </w:tc>
        <w:tc>
          <w:tcPr>
            <w:tcW w:w="1524" w:type="dxa"/>
            <w:tcBorders>
              <w:top w:val="nil"/>
              <w:bottom w:val="nil"/>
            </w:tcBorders>
          </w:tcPr>
          <w:p w14:paraId="1A129DA0"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46.54311</w:t>
            </w:r>
          </w:p>
        </w:tc>
        <w:tc>
          <w:tcPr>
            <w:tcW w:w="1525" w:type="dxa"/>
            <w:tcBorders>
              <w:top w:val="nil"/>
              <w:bottom w:val="nil"/>
            </w:tcBorders>
          </w:tcPr>
          <w:p w14:paraId="5735BA45" w14:textId="77777777" w:rsidR="00366727" w:rsidRDefault="00366727">
            <w:pPr>
              <w:autoSpaceDE w:val="0"/>
              <w:autoSpaceDN w:val="0"/>
              <w:adjustRightInd w:val="0"/>
              <w:ind w:right="10"/>
              <w:rPr>
                <w:rFonts w:ascii="Arial" w:hAnsi="Arial" w:cs="Arial"/>
                <w:color w:val="000000"/>
                <w:sz w:val="19"/>
                <w:szCs w:val="19"/>
              </w:rPr>
            </w:pPr>
          </w:p>
        </w:tc>
        <w:tc>
          <w:tcPr>
            <w:tcW w:w="1525" w:type="dxa"/>
            <w:tcBorders>
              <w:top w:val="nil"/>
              <w:bottom w:val="nil"/>
            </w:tcBorders>
          </w:tcPr>
          <w:p w14:paraId="4337DD48" w14:textId="77777777" w:rsidR="00366727" w:rsidRDefault="00366727">
            <w:pPr>
              <w:autoSpaceDE w:val="0"/>
              <w:autoSpaceDN w:val="0"/>
              <w:adjustRightInd w:val="0"/>
              <w:ind w:right="10"/>
              <w:rPr>
                <w:rFonts w:ascii="Arial" w:hAnsi="Arial" w:cs="Arial"/>
                <w:color w:val="000000"/>
                <w:sz w:val="19"/>
                <w:szCs w:val="19"/>
              </w:rPr>
            </w:pPr>
          </w:p>
        </w:tc>
        <w:tc>
          <w:tcPr>
            <w:tcW w:w="1525" w:type="dxa"/>
            <w:tcBorders>
              <w:top w:val="nil"/>
              <w:bottom w:val="nil"/>
            </w:tcBorders>
          </w:tcPr>
          <w:p w14:paraId="5130E26E" w14:textId="77777777" w:rsidR="00366727" w:rsidRDefault="00366727">
            <w:pPr>
              <w:autoSpaceDE w:val="0"/>
              <w:autoSpaceDN w:val="0"/>
              <w:adjustRightInd w:val="0"/>
              <w:ind w:right="10"/>
              <w:jc w:val="right"/>
              <w:rPr>
                <w:rFonts w:ascii="Arial" w:hAnsi="Arial" w:cs="Arial"/>
                <w:color w:val="000000"/>
                <w:sz w:val="19"/>
                <w:szCs w:val="19"/>
              </w:rPr>
            </w:pPr>
          </w:p>
        </w:tc>
      </w:tr>
      <w:tr w:rsidR="00366727" w14:paraId="1AF6F10A" w14:textId="77777777">
        <w:trPr>
          <w:trHeight w:val="41"/>
          <w:jc w:val="center"/>
        </w:trPr>
        <w:tc>
          <w:tcPr>
            <w:tcW w:w="2146" w:type="dxa"/>
            <w:tcBorders>
              <w:top w:val="nil"/>
              <w:bottom w:val="nil"/>
            </w:tcBorders>
          </w:tcPr>
          <w:p w14:paraId="44AF9181"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Prob(F-statistic)</w:t>
            </w:r>
          </w:p>
        </w:tc>
        <w:tc>
          <w:tcPr>
            <w:tcW w:w="1524" w:type="dxa"/>
            <w:tcBorders>
              <w:top w:val="nil"/>
              <w:bottom w:val="nil"/>
            </w:tcBorders>
          </w:tcPr>
          <w:p w14:paraId="1E6DE7FE"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0.000226</w:t>
            </w:r>
          </w:p>
        </w:tc>
        <w:tc>
          <w:tcPr>
            <w:tcW w:w="1525" w:type="dxa"/>
            <w:tcBorders>
              <w:top w:val="nil"/>
              <w:bottom w:val="nil"/>
            </w:tcBorders>
          </w:tcPr>
          <w:p w14:paraId="7969C4DA" w14:textId="77777777" w:rsidR="00366727" w:rsidRDefault="00366727">
            <w:pPr>
              <w:autoSpaceDE w:val="0"/>
              <w:autoSpaceDN w:val="0"/>
              <w:adjustRightInd w:val="0"/>
              <w:ind w:right="10"/>
              <w:jc w:val="center"/>
              <w:rPr>
                <w:rFonts w:ascii="Arial" w:hAnsi="Arial" w:cs="Arial"/>
                <w:color w:val="000000"/>
                <w:sz w:val="19"/>
                <w:szCs w:val="19"/>
              </w:rPr>
            </w:pPr>
          </w:p>
        </w:tc>
        <w:tc>
          <w:tcPr>
            <w:tcW w:w="1525" w:type="dxa"/>
            <w:tcBorders>
              <w:top w:val="nil"/>
              <w:bottom w:val="nil"/>
            </w:tcBorders>
          </w:tcPr>
          <w:p w14:paraId="69B1C745" w14:textId="77777777" w:rsidR="00366727" w:rsidRDefault="00366727">
            <w:pPr>
              <w:autoSpaceDE w:val="0"/>
              <w:autoSpaceDN w:val="0"/>
              <w:adjustRightInd w:val="0"/>
              <w:ind w:right="10"/>
              <w:jc w:val="center"/>
              <w:rPr>
                <w:rFonts w:ascii="Arial" w:hAnsi="Arial" w:cs="Arial"/>
                <w:color w:val="000000"/>
                <w:sz w:val="19"/>
                <w:szCs w:val="19"/>
              </w:rPr>
            </w:pPr>
          </w:p>
        </w:tc>
        <w:tc>
          <w:tcPr>
            <w:tcW w:w="1525" w:type="dxa"/>
            <w:tcBorders>
              <w:top w:val="nil"/>
              <w:bottom w:val="nil"/>
            </w:tcBorders>
          </w:tcPr>
          <w:p w14:paraId="64368771" w14:textId="77777777" w:rsidR="00366727" w:rsidRDefault="00366727">
            <w:pPr>
              <w:autoSpaceDE w:val="0"/>
              <w:autoSpaceDN w:val="0"/>
              <w:adjustRightInd w:val="0"/>
              <w:ind w:right="10"/>
              <w:jc w:val="center"/>
              <w:rPr>
                <w:rFonts w:ascii="Arial" w:hAnsi="Arial" w:cs="Arial"/>
                <w:color w:val="000000"/>
                <w:sz w:val="19"/>
                <w:szCs w:val="19"/>
              </w:rPr>
            </w:pPr>
          </w:p>
        </w:tc>
      </w:tr>
      <w:tr w:rsidR="00366727" w14:paraId="2612F599" w14:textId="77777777">
        <w:trPr>
          <w:trHeight w:val="41"/>
          <w:jc w:val="center"/>
        </w:trPr>
        <w:tc>
          <w:tcPr>
            <w:tcW w:w="2146" w:type="dxa"/>
            <w:tcBorders>
              <w:top w:val="nil"/>
            </w:tcBorders>
          </w:tcPr>
          <w:p w14:paraId="0E89D132"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 xml:space="preserve">Durbin-Watson </w:t>
            </w:r>
          </w:p>
        </w:tc>
        <w:tc>
          <w:tcPr>
            <w:tcW w:w="1524" w:type="dxa"/>
            <w:tcBorders>
              <w:top w:val="nil"/>
            </w:tcBorders>
          </w:tcPr>
          <w:p w14:paraId="582B265B"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2.892802</w:t>
            </w:r>
          </w:p>
        </w:tc>
        <w:tc>
          <w:tcPr>
            <w:tcW w:w="1525" w:type="dxa"/>
            <w:tcBorders>
              <w:top w:val="nil"/>
            </w:tcBorders>
          </w:tcPr>
          <w:p w14:paraId="0A6B5DEF" w14:textId="77777777" w:rsidR="00366727" w:rsidRDefault="00366727">
            <w:pPr>
              <w:autoSpaceDE w:val="0"/>
              <w:autoSpaceDN w:val="0"/>
              <w:adjustRightInd w:val="0"/>
              <w:ind w:right="10"/>
              <w:jc w:val="center"/>
              <w:rPr>
                <w:rFonts w:ascii="Arial" w:hAnsi="Arial" w:cs="Arial"/>
                <w:color w:val="000000"/>
                <w:sz w:val="19"/>
                <w:szCs w:val="19"/>
              </w:rPr>
            </w:pPr>
          </w:p>
        </w:tc>
        <w:tc>
          <w:tcPr>
            <w:tcW w:w="1525" w:type="dxa"/>
            <w:tcBorders>
              <w:top w:val="nil"/>
            </w:tcBorders>
          </w:tcPr>
          <w:p w14:paraId="53FF4A60" w14:textId="77777777" w:rsidR="00366727" w:rsidRDefault="00366727">
            <w:pPr>
              <w:autoSpaceDE w:val="0"/>
              <w:autoSpaceDN w:val="0"/>
              <w:adjustRightInd w:val="0"/>
              <w:ind w:right="10"/>
              <w:jc w:val="center"/>
              <w:rPr>
                <w:rFonts w:ascii="Arial" w:hAnsi="Arial" w:cs="Arial"/>
                <w:color w:val="000000"/>
                <w:sz w:val="19"/>
                <w:szCs w:val="19"/>
              </w:rPr>
            </w:pPr>
          </w:p>
        </w:tc>
        <w:tc>
          <w:tcPr>
            <w:tcW w:w="1525" w:type="dxa"/>
            <w:tcBorders>
              <w:top w:val="nil"/>
            </w:tcBorders>
          </w:tcPr>
          <w:p w14:paraId="03D539B1" w14:textId="77777777" w:rsidR="00366727" w:rsidRDefault="00366727">
            <w:pPr>
              <w:autoSpaceDE w:val="0"/>
              <w:autoSpaceDN w:val="0"/>
              <w:adjustRightInd w:val="0"/>
              <w:ind w:right="10"/>
              <w:jc w:val="center"/>
              <w:rPr>
                <w:rFonts w:ascii="Arial" w:hAnsi="Arial" w:cs="Arial"/>
                <w:color w:val="000000"/>
                <w:sz w:val="19"/>
                <w:szCs w:val="19"/>
              </w:rPr>
            </w:pPr>
          </w:p>
        </w:tc>
      </w:tr>
    </w:tbl>
    <w:p w14:paraId="4064AE32" w14:textId="77777777" w:rsidR="00366727" w:rsidRDefault="005265DE">
      <w:pPr>
        <w:pStyle w:val="BodyText3"/>
        <w:tabs>
          <w:tab w:val="left" w:pos="1080"/>
        </w:tabs>
        <w:spacing w:after="0"/>
        <w:jc w:val="both"/>
        <w:rPr>
          <w:rFonts w:ascii="Arial" w:hAnsi="Arial"/>
          <w:bCs/>
          <w:i/>
        </w:rPr>
      </w:pPr>
      <w:r>
        <w:rPr>
          <w:rFonts w:ascii="Arial" w:hAnsi="Arial"/>
          <w:bCs/>
          <w:i/>
        </w:rPr>
        <w:t>Source: the data was processed using EViews version 12.</w:t>
      </w:r>
    </w:p>
    <w:p w14:paraId="717B962B" w14:textId="77777777" w:rsidR="00366727" w:rsidRDefault="005265DE">
      <w:pPr>
        <w:pStyle w:val="BodyText3"/>
        <w:tabs>
          <w:tab w:val="left" w:pos="1080"/>
        </w:tabs>
        <w:spacing w:after="0"/>
        <w:jc w:val="both"/>
        <w:rPr>
          <w:rFonts w:ascii="Arial" w:hAnsi="Arial"/>
          <w:bCs/>
          <w:i/>
        </w:rPr>
      </w:pPr>
      <w:r>
        <w:rPr>
          <w:rFonts w:ascii="Arial" w:hAnsi="Arial"/>
          <w:bCs/>
          <w:i/>
        </w:rPr>
        <w:t>Noted: (*) and (**) indicate significance at the 1% and 5% critical values.</w:t>
      </w:r>
    </w:p>
    <w:p w14:paraId="2D3CDFF1" w14:textId="77777777" w:rsidR="00366727" w:rsidRDefault="00366727">
      <w:pPr>
        <w:pStyle w:val="Body"/>
        <w:spacing w:after="0"/>
        <w:rPr>
          <w:rFonts w:ascii="Arial" w:hAnsi="Arial" w:cs="Arial"/>
        </w:rPr>
      </w:pPr>
    </w:p>
    <w:p w14:paraId="1367DED2" w14:textId="77777777" w:rsidR="00366727" w:rsidRDefault="005265DE">
      <w:pPr>
        <w:pStyle w:val="Body"/>
        <w:spacing w:after="0"/>
        <w:rPr>
          <w:rFonts w:ascii="Arial" w:hAnsi="Arial" w:cs="Arial"/>
        </w:rPr>
      </w:pPr>
      <w:r>
        <w:rPr>
          <w:rFonts w:ascii="Arial" w:hAnsi="Arial" w:cs="Arial"/>
        </w:rPr>
        <w:t>Table 4 above also shows that the unemployment rate variable has a negative and significant effect with lags of one to four periods. On the contrary, renewable energy exhibits a positive effect with lags of one and two periods, while energy consumption has a negative effect with a lag of four periods. Also, the results indicate that both interest rates and FDI have a positive and significant impact on the unemployment rate with lags of one to three periods. The adjusted</w:t>
      </w:r>
      <w:r>
        <w:rPr>
          <w:rFonts w:ascii="Arial" w:hAnsi="Arial" w:cs="Arial"/>
          <w:i/>
          <w:iCs/>
        </w:rPr>
        <w:t xml:space="preserve"> R² </w:t>
      </w:r>
      <w:r>
        <w:rPr>
          <w:rFonts w:ascii="Arial" w:hAnsi="Arial" w:cs="Arial"/>
        </w:rPr>
        <w:t xml:space="preserve">value of 0.97376 indicates that 97.37% of the variation in the unemployment rate is explained by the independent variables in the short term. Furthermore, </w:t>
      </w:r>
      <w:r>
        <w:rPr>
          <w:rFonts w:ascii="Arial" w:hAnsi="Arial" w:cs="Arial"/>
        </w:rPr>
        <w:lastRenderedPageBreak/>
        <w:t>the F-statistics probability value of less than 5% confirms that the estimated model is statistically significant.</w:t>
      </w:r>
    </w:p>
    <w:p w14:paraId="12DBCF98" w14:textId="77777777" w:rsidR="00366727" w:rsidRDefault="00366727">
      <w:pPr>
        <w:pStyle w:val="Body"/>
        <w:spacing w:after="0"/>
        <w:rPr>
          <w:rFonts w:ascii="Arial" w:hAnsi="Arial" w:cs="Arial"/>
        </w:rPr>
      </w:pPr>
    </w:p>
    <w:p w14:paraId="15B7C1A1" w14:textId="77777777" w:rsidR="00366727" w:rsidRDefault="005265DE">
      <w:pPr>
        <w:pStyle w:val="Body"/>
        <w:spacing w:after="0"/>
        <w:rPr>
          <w:rFonts w:ascii="Arial" w:hAnsi="Arial" w:cs="Arial"/>
          <w:highlight w:val="yellow"/>
        </w:rPr>
      </w:pPr>
      <w:r>
        <w:rPr>
          <w:rFonts w:ascii="Arial" w:hAnsi="Arial" w:cs="Arial"/>
        </w:rPr>
        <w:t>In the long-term estimates covered in Table 5, three independent variables significantly affect the long-term unemployment rate: interest rates and FDI have a positive effect, while GDP has a negative effect. These findings contrast with the variable of renewable energy consumption, which shows no significant impact on the unemployment rate in the long term. The coefficient for the interest rate is 0.127587, indicating that a 1% increase in the interest rate corresponds to a 12.76% increase in the unemployment rate. The FDI coefficient is 0.282416, suggesting that a 1% increase in FDI leads to a 28.24% rise in the unemployment rate. As is known, the GDP coefficient is -0.012195, meaning that a 1 USD increase in GDP results in a 1.22% decrease in the unemployment rate over the long term.</w:t>
      </w:r>
    </w:p>
    <w:p w14:paraId="458BF4EF" w14:textId="77777777" w:rsidR="00366727" w:rsidRDefault="00366727">
      <w:pPr>
        <w:pStyle w:val="Body"/>
        <w:spacing w:after="0"/>
        <w:rPr>
          <w:rFonts w:ascii="Arial" w:eastAsia="Calibri" w:hAnsi="Arial" w:cs="Arial"/>
          <w:highlight w:val="yellow"/>
        </w:rPr>
      </w:pPr>
    </w:p>
    <w:p w14:paraId="25405E8D" w14:textId="77777777" w:rsidR="00366727" w:rsidRDefault="005265DE">
      <w:pPr>
        <w:tabs>
          <w:tab w:val="left" w:pos="1080"/>
        </w:tabs>
        <w:jc w:val="both"/>
        <w:rPr>
          <w:rFonts w:ascii="Arial" w:hAnsi="Arial"/>
          <w:b/>
        </w:rPr>
      </w:pPr>
      <w:bookmarkStart w:id="2" w:name="_Hlk204375490"/>
      <w:r>
        <w:rPr>
          <w:rFonts w:ascii="Arial" w:hAnsi="Arial"/>
          <w:b/>
        </w:rPr>
        <w:t>Table 5. Long-term estimates</w:t>
      </w:r>
    </w:p>
    <w:tbl>
      <w:tblPr>
        <w:tblStyle w:val="TableGrid"/>
        <w:tblW w:w="8212" w:type="dxa"/>
        <w:jc w:val="center"/>
        <w:tblBorders>
          <w:left w:val="none" w:sz="0" w:space="0" w:color="auto"/>
          <w:right w:val="none" w:sz="0" w:space="0" w:color="auto"/>
          <w:insideV w:val="none" w:sz="0" w:space="0" w:color="auto"/>
        </w:tblBorders>
        <w:tblLook w:val="0000" w:firstRow="0" w:lastRow="0" w:firstColumn="0" w:lastColumn="0" w:noHBand="0" w:noVBand="0"/>
      </w:tblPr>
      <w:tblGrid>
        <w:gridCol w:w="1987"/>
        <w:gridCol w:w="1556"/>
        <w:gridCol w:w="1556"/>
        <w:gridCol w:w="1556"/>
        <w:gridCol w:w="1557"/>
      </w:tblGrid>
      <w:tr w:rsidR="00366727" w14:paraId="5285F798" w14:textId="77777777">
        <w:trPr>
          <w:trHeight w:val="41"/>
          <w:jc w:val="center"/>
        </w:trPr>
        <w:tc>
          <w:tcPr>
            <w:tcW w:w="1987" w:type="dxa"/>
            <w:tcBorders>
              <w:bottom w:val="single" w:sz="4" w:space="0" w:color="000000"/>
            </w:tcBorders>
          </w:tcPr>
          <w:p w14:paraId="31780604" w14:textId="77777777" w:rsidR="00366727" w:rsidRDefault="005265DE">
            <w:pPr>
              <w:autoSpaceDE w:val="0"/>
              <w:autoSpaceDN w:val="0"/>
              <w:adjustRightInd w:val="0"/>
              <w:rPr>
                <w:rFonts w:ascii="Arial" w:hAnsi="Arial" w:cs="Arial"/>
                <w:b/>
                <w:bCs/>
                <w:color w:val="000000"/>
                <w:sz w:val="19"/>
                <w:szCs w:val="19"/>
              </w:rPr>
            </w:pPr>
            <w:r>
              <w:rPr>
                <w:rFonts w:ascii="Arial" w:hAnsi="Arial" w:cs="Arial"/>
                <w:b/>
                <w:bCs/>
                <w:color w:val="000000"/>
                <w:sz w:val="19"/>
                <w:szCs w:val="19"/>
              </w:rPr>
              <w:t>Variables</w:t>
            </w:r>
          </w:p>
        </w:tc>
        <w:tc>
          <w:tcPr>
            <w:tcW w:w="1556" w:type="dxa"/>
            <w:tcBorders>
              <w:bottom w:val="single" w:sz="4" w:space="0" w:color="000000"/>
            </w:tcBorders>
          </w:tcPr>
          <w:p w14:paraId="648B832B" w14:textId="77777777" w:rsidR="00366727" w:rsidRDefault="005265DE">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Coefficient</w:t>
            </w:r>
          </w:p>
        </w:tc>
        <w:tc>
          <w:tcPr>
            <w:tcW w:w="1556" w:type="dxa"/>
            <w:tcBorders>
              <w:bottom w:val="single" w:sz="4" w:space="0" w:color="000000"/>
            </w:tcBorders>
          </w:tcPr>
          <w:p w14:paraId="5733FFE8" w14:textId="77777777" w:rsidR="00366727" w:rsidRDefault="005265DE">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Std. Error</w:t>
            </w:r>
          </w:p>
        </w:tc>
        <w:tc>
          <w:tcPr>
            <w:tcW w:w="1556" w:type="dxa"/>
            <w:tcBorders>
              <w:bottom w:val="single" w:sz="4" w:space="0" w:color="000000"/>
            </w:tcBorders>
          </w:tcPr>
          <w:p w14:paraId="00ED47B8" w14:textId="77777777" w:rsidR="00366727" w:rsidRDefault="005265DE">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t-Statistic</w:t>
            </w:r>
          </w:p>
        </w:tc>
        <w:tc>
          <w:tcPr>
            <w:tcW w:w="1557" w:type="dxa"/>
            <w:tcBorders>
              <w:bottom w:val="single" w:sz="4" w:space="0" w:color="000000"/>
            </w:tcBorders>
          </w:tcPr>
          <w:p w14:paraId="29E5088E" w14:textId="77777777" w:rsidR="00366727" w:rsidRDefault="005265DE">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Prob.</w:t>
            </w:r>
          </w:p>
        </w:tc>
      </w:tr>
      <w:tr w:rsidR="00366727" w14:paraId="638231FD" w14:textId="77777777">
        <w:trPr>
          <w:trHeight w:val="41"/>
          <w:jc w:val="center"/>
        </w:trPr>
        <w:tc>
          <w:tcPr>
            <w:tcW w:w="1987" w:type="dxa"/>
            <w:tcBorders>
              <w:bottom w:val="nil"/>
            </w:tcBorders>
          </w:tcPr>
          <w:p w14:paraId="7878568C"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D(RE)</w:t>
            </w:r>
          </w:p>
        </w:tc>
        <w:tc>
          <w:tcPr>
            <w:tcW w:w="1556" w:type="dxa"/>
            <w:tcBorders>
              <w:bottom w:val="nil"/>
            </w:tcBorders>
          </w:tcPr>
          <w:p w14:paraId="3B9D3697"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0.090647</w:t>
            </w:r>
          </w:p>
        </w:tc>
        <w:tc>
          <w:tcPr>
            <w:tcW w:w="1556" w:type="dxa"/>
            <w:tcBorders>
              <w:bottom w:val="nil"/>
            </w:tcBorders>
          </w:tcPr>
          <w:p w14:paraId="194410E8"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0.040331</w:t>
            </w:r>
          </w:p>
        </w:tc>
        <w:tc>
          <w:tcPr>
            <w:tcW w:w="1556" w:type="dxa"/>
            <w:tcBorders>
              <w:bottom w:val="nil"/>
            </w:tcBorders>
          </w:tcPr>
          <w:p w14:paraId="634943C9"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2.247597</w:t>
            </w:r>
          </w:p>
        </w:tc>
        <w:tc>
          <w:tcPr>
            <w:tcW w:w="1557" w:type="dxa"/>
            <w:tcBorders>
              <w:bottom w:val="nil"/>
            </w:tcBorders>
          </w:tcPr>
          <w:p w14:paraId="0CBA5602"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0.0745</w:t>
            </w:r>
          </w:p>
        </w:tc>
      </w:tr>
      <w:tr w:rsidR="00366727" w14:paraId="18E30226" w14:textId="77777777">
        <w:trPr>
          <w:trHeight w:val="41"/>
          <w:jc w:val="center"/>
        </w:trPr>
        <w:tc>
          <w:tcPr>
            <w:tcW w:w="1987" w:type="dxa"/>
            <w:tcBorders>
              <w:top w:val="nil"/>
              <w:bottom w:val="nil"/>
            </w:tcBorders>
          </w:tcPr>
          <w:p w14:paraId="14C497A5"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SB</w:t>
            </w:r>
          </w:p>
        </w:tc>
        <w:tc>
          <w:tcPr>
            <w:tcW w:w="1556" w:type="dxa"/>
            <w:tcBorders>
              <w:top w:val="nil"/>
              <w:bottom w:val="nil"/>
            </w:tcBorders>
          </w:tcPr>
          <w:p w14:paraId="54FA5B86"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0.127587</w:t>
            </w:r>
          </w:p>
        </w:tc>
        <w:tc>
          <w:tcPr>
            <w:tcW w:w="1556" w:type="dxa"/>
            <w:tcBorders>
              <w:top w:val="nil"/>
              <w:bottom w:val="nil"/>
            </w:tcBorders>
          </w:tcPr>
          <w:p w14:paraId="23960191"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0.006224</w:t>
            </w:r>
          </w:p>
        </w:tc>
        <w:tc>
          <w:tcPr>
            <w:tcW w:w="1556" w:type="dxa"/>
            <w:tcBorders>
              <w:top w:val="nil"/>
              <w:bottom w:val="nil"/>
            </w:tcBorders>
          </w:tcPr>
          <w:p w14:paraId="4CC6E201"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20.49953</w:t>
            </w:r>
          </w:p>
        </w:tc>
        <w:tc>
          <w:tcPr>
            <w:tcW w:w="1557" w:type="dxa"/>
            <w:tcBorders>
              <w:top w:val="nil"/>
              <w:bottom w:val="nil"/>
            </w:tcBorders>
          </w:tcPr>
          <w:p w14:paraId="04D92166"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0.0000*</w:t>
            </w:r>
          </w:p>
        </w:tc>
      </w:tr>
      <w:tr w:rsidR="00366727" w14:paraId="52B6385D" w14:textId="77777777">
        <w:trPr>
          <w:trHeight w:val="41"/>
          <w:jc w:val="center"/>
        </w:trPr>
        <w:tc>
          <w:tcPr>
            <w:tcW w:w="1987" w:type="dxa"/>
            <w:tcBorders>
              <w:top w:val="nil"/>
              <w:bottom w:val="nil"/>
            </w:tcBorders>
          </w:tcPr>
          <w:p w14:paraId="57D63934"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D(FDI)</w:t>
            </w:r>
          </w:p>
        </w:tc>
        <w:tc>
          <w:tcPr>
            <w:tcW w:w="1556" w:type="dxa"/>
            <w:tcBorders>
              <w:top w:val="nil"/>
              <w:bottom w:val="nil"/>
            </w:tcBorders>
          </w:tcPr>
          <w:p w14:paraId="505D7215"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0.282416</w:t>
            </w:r>
          </w:p>
        </w:tc>
        <w:tc>
          <w:tcPr>
            <w:tcW w:w="1556" w:type="dxa"/>
            <w:tcBorders>
              <w:top w:val="nil"/>
              <w:bottom w:val="nil"/>
            </w:tcBorders>
          </w:tcPr>
          <w:p w14:paraId="2BEE6293"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0.035002</w:t>
            </w:r>
          </w:p>
        </w:tc>
        <w:tc>
          <w:tcPr>
            <w:tcW w:w="1556" w:type="dxa"/>
            <w:tcBorders>
              <w:top w:val="nil"/>
              <w:bottom w:val="nil"/>
            </w:tcBorders>
          </w:tcPr>
          <w:p w14:paraId="73487E29"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8.068581</w:t>
            </w:r>
          </w:p>
        </w:tc>
        <w:tc>
          <w:tcPr>
            <w:tcW w:w="1557" w:type="dxa"/>
            <w:tcBorders>
              <w:top w:val="nil"/>
              <w:bottom w:val="nil"/>
            </w:tcBorders>
          </w:tcPr>
          <w:p w14:paraId="3F1CE627"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0.0005*</w:t>
            </w:r>
          </w:p>
        </w:tc>
      </w:tr>
      <w:tr w:rsidR="00366727" w14:paraId="226658B0" w14:textId="77777777">
        <w:trPr>
          <w:trHeight w:val="41"/>
          <w:jc w:val="center"/>
        </w:trPr>
        <w:tc>
          <w:tcPr>
            <w:tcW w:w="1987" w:type="dxa"/>
            <w:tcBorders>
              <w:top w:val="nil"/>
              <w:bottom w:val="nil"/>
            </w:tcBorders>
          </w:tcPr>
          <w:p w14:paraId="339D2B97"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D(GDP)</w:t>
            </w:r>
          </w:p>
        </w:tc>
        <w:tc>
          <w:tcPr>
            <w:tcW w:w="1556" w:type="dxa"/>
            <w:tcBorders>
              <w:top w:val="nil"/>
              <w:bottom w:val="nil"/>
            </w:tcBorders>
          </w:tcPr>
          <w:p w14:paraId="2F9E1799"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–0.012195</w:t>
            </w:r>
          </w:p>
        </w:tc>
        <w:tc>
          <w:tcPr>
            <w:tcW w:w="1556" w:type="dxa"/>
            <w:tcBorders>
              <w:top w:val="nil"/>
              <w:bottom w:val="nil"/>
            </w:tcBorders>
          </w:tcPr>
          <w:p w14:paraId="5EFC16F5"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0.000326</w:t>
            </w:r>
          </w:p>
        </w:tc>
        <w:tc>
          <w:tcPr>
            <w:tcW w:w="1556" w:type="dxa"/>
            <w:tcBorders>
              <w:top w:val="nil"/>
              <w:bottom w:val="nil"/>
            </w:tcBorders>
          </w:tcPr>
          <w:p w14:paraId="08098EB2"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–37.40843</w:t>
            </w:r>
          </w:p>
        </w:tc>
        <w:tc>
          <w:tcPr>
            <w:tcW w:w="1557" w:type="dxa"/>
            <w:tcBorders>
              <w:top w:val="nil"/>
              <w:bottom w:val="nil"/>
            </w:tcBorders>
          </w:tcPr>
          <w:p w14:paraId="71B40666"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0.0000*</w:t>
            </w:r>
          </w:p>
        </w:tc>
      </w:tr>
      <w:tr w:rsidR="00366727" w14:paraId="78CAC9DF" w14:textId="77777777">
        <w:trPr>
          <w:trHeight w:val="56"/>
          <w:jc w:val="center"/>
        </w:trPr>
        <w:tc>
          <w:tcPr>
            <w:tcW w:w="1987" w:type="dxa"/>
            <w:tcBorders>
              <w:top w:val="nil"/>
            </w:tcBorders>
          </w:tcPr>
          <w:p w14:paraId="4B65257D"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C</w:t>
            </w:r>
          </w:p>
        </w:tc>
        <w:tc>
          <w:tcPr>
            <w:tcW w:w="1556" w:type="dxa"/>
            <w:tcBorders>
              <w:top w:val="nil"/>
            </w:tcBorders>
          </w:tcPr>
          <w:p w14:paraId="025C062E"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0.403061</w:t>
            </w:r>
          </w:p>
        </w:tc>
        <w:tc>
          <w:tcPr>
            <w:tcW w:w="1556" w:type="dxa"/>
            <w:tcBorders>
              <w:top w:val="nil"/>
            </w:tcBorders>
          </w:tcPr>
          <w:p w14:paraId="1F65B70E"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0.028197</w:t>
            </w:r>
          </w:p>
        </w:tc>
        <w:tc>
          <w:tcPr>
            <w:tcW w:w="1556" w:type="dxa"/>
            <w:tcBorders>
              <w:top w:val="nil"/>
            </w:tcBorders>
          </w:tcPr>
          <w:p w14:paraId="1C2C4B3D"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14.29426</w:t>
            </w:r>
          </w:p>
        </w:tc>
        <w:tc>
          <w:tcPr>
            <w:tcW w:w="1557" w:type="dxa"/>
            <w:tcBorders>
              <w:top w:val="nil"/>
            </w:tcBorders>
          </w:tcPr>
          <w:p w14:paraId="6A4F21A6"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0.0000*</w:t>
            </w:r>
          </w:p>
        </w:tc>
      </w:tr>
    </w:tbl>
    <w:p w14:paraId="16AF77C9" w14:textId="77777777" w:rsidR="00366727" w:rsidRDefault="005265DE">
      <w:pPr>
        <w:pStyle w:val="BodyText3"/>
        <w:tabs>
          <w:tab w:val="left" w:pos="1080"/>
        </w:tabs>
        <w:spacing w:after="0"/>
        <w:jc w:val="both"/>
        <w:rPr>
          <w:rFonts w:ascii="Arial" w:hAnsi="Arial"/>
          <w:bCs/>
          <w:i/>
        </w:rPr>
      </w:pPr>
      <w:r>
        <w:rPr>
          <w:rFonts w:ascii="Arial" w:hAnsi="Arial"/>
          <w:bCs/>
          <w:i/>
        </w:rPr>
        <w:t>Source: the data was processed using EViews version 12.</w:t>
      </w:r>
    </w:p>
    <w:p w14:paraId="64931297" w14:textId="77777777" w:rsidR="00366727" w:rsidRDefault="005265DE">
      <w:pPr>
        <w:pStyle w:val="BodyText3"/>
        <w:tabs>
          <w:tab w:val="left" w:pos="1080"/>
        </w:tabs>
        <w:spacing w:after="0"/>
        <w:jc w:val="both"/>
        <w:rPr>
          <w:rFonts w:ascii="Arial" w:hAnsi="Arial"/>
          <w:bCs/>
          <w:i/>
        </w:rPr>
      </w:pPr>
      <w:r>
        <w:rPr>
          <w:rFonts w:ascii="Arial" w:hAnsi="Arial"/>
          <w:bCs/>
          <w:i/>
        </w:rPr>
        <w:t>Noted: (*) and (**) indicate significance at the 1% and 5% critical values.</w:t>
      </w:r>
    </w:p>
    <w:bookmarkEnd w:id="2"/>
    <w:p w14:paraId="793D0A03" w14:textId="77777777" w:rsidR="00366727" w:rsidRDefault="00366727">
      <w:pPr>
        <w:pStyle w:val="Body"/>
        <w:spacing w:after="0"/>
        <w:rPr>
          <w:rFonts w:ascii="Arial" w:eastAsia="Calibri" w:hAnsi="Arial" w:cs="Arial"/>
          <w:highlight w:val="yellow"/>
        </w:rPr>
      </w:pPr>
    </w:p>
    <w:p w14:paraId="35B60928" w14:textId="77777777" w:rsidR="00366727" w:rsidRDefault="005265DE">
      <w:pPr>
        <w:tabs>
          <w:tab w:val="left" w:pos="1080"/>
        </w:tabs>
        <w:jc w:val="both"/>
        <w:rPr>
          <w:rFonts w:ascii="Arial" w:hAnsi="Arial"/>
          <w:b/>
        </w:rPr>
      </w:pPr>
      <w:r>
        <w:rPr>
          <w:rFonts w:ascii="Arial" w:hAnsi="Arial"/>
          <w:b/>
        </w:rPr>
        <w:t>Table 6. Diagnostic test</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694"/>
        <w:gridCol w:w="1701"/>
      </w:tblGrid>
      <w:tr w:rsidR="00366727" w14:paraId="0C2AE71C" w14:textId="77777777">
        <w:tc>
          <w:tcPr>
            <w:tcW w:w="2694" w:type="dxa"/>
            <w:tcBorders>
              <w:bottom w:val="single" w:sz="4" w:space="0" w:color="000000"/>
            </w:tcBorders>
          </w:tcPr>
          <w:p w14:paraId="238A04F2" w14:textId="77777777" w:rsidR="00366727" w:rsidRDefault="005265DE">
            <w:pPr>
              <w:autoSpaceDE w:val="0"/>
              <w:autoSpaceDN w:val="0"/>
              <w:adjustRightInd w:val="0"/>
              <w:rPr>
                <w:rFonts w:ascii="Arial" w:hAnsi="Arial" w:cs="Arial"/>
                <w:b/>
                <w:bCs/>
                <w:sz w:val="19"/>
                <w:szCs w:val="19"/>
              </w:rPr>
            </w:pPr>
            <w:r>
              <w:rPr>
                <w:rFonts w:ascii="Arial" w:hAnsi="Arial" w:cs="Arial"/>
                <w:b/>
                <w:bCs/>
                <w:sz w:val="19"/>
                <w:szCs w:val="19"/>
              </w:rPr>
              <w:t>Test</w:t>
            </w:r>
          </w:p>
        </w:tc>
        <w:tc>
          <w:tcPr>
            <w:tcW w:w="1701" w:type="dxa"/>
            <w:tcBorders>
              <w:bottom w:val="single" w:sz="4" w:space="0" w:color="000000"/>
            </w:tcBorders>
          </w:tcPr>
          <w:p w14:paraId="00EC8159" w14:textId="77777777" w:rsidR="00366727" w:rsidRDefault="005265DE">
            <w:pPr>
              <w:autoSpaceDE w:val="0"/>
              <w:autoSpaceDN w:val="0"/>
              <w:adjustRightInd w:val="0"/>
              <w:jc w:val="center"/>
              <w:rPr>
                <w:rFonts w:ascii="Arial" w:hAnsi="Arial" w:cs="Arial"/>
                <w:b/>
                <w:bCs/>
                <w:sz w:val="19"/>
                <w:szCs w:val="19"/>
              </w:rPr>
            </w:pPr>
            <w:r>
              <w:rPr>
                <w:rFonts w:ascii="Arial" w:hAnsi="Arial" w:cs="Arial"/>
                <w:b/>
                <w:bCs/>
                <w:sz w:val="19"/>
                <w:szCs w:val="19"/>
              </w:rPr>
              <w:t>Prob.</w:t>
            </w:r>
          </w:p>
        </w:tc>
      </w:tr>
      <w:tr w:rsidR="00366727" w14:paraId="16DCF2A5" w14:textId="77777777">
        <w:tc>
          <w:tcPr>
            <w:tcW w:w="2694" w:type="dxa"/>
            <w:tcBorders>
              <w:bottom w:val="nil"/>
            </w:tcBorders>
          </w:tcPr>
          <w:p w14:paraId="64F0E45A" w14:textId="77777777" w:rsidR="00366727" w:rsidRDefault="005265DE">
            <w:pPr>
              <w:autoSpaceDE w:val="0"/>
              <w:autoSpaceDN w:val="0"/>
              <w:adjustRightInd w:val="0"/>
              <w:rPr>
                <w:rFonts w:ascii="Arial" w:hAnsi="Arial" w:cs="Arial"/>
                <w:sz w:val="19"/>
                <w:szCs w:val="19"/>
              </w:rPr>
            </w:pPr>
            <w:r>
              <w:rPr>
                <w:rFonts w:ascii="Arial" w:hAnsi="Arial" w:cs="Arial"/>
                <w:sz w:val="19"/>
                <w:szCs w:val="19"/>
              </w:rPr>
              <w:t>Normality</w:t>
            </w:r>
          </w:p>
        </w:tc>
        <w:tc>
          <w:tcPr>
            <w:tcW w:w="1701" w:type="dxa"/>
            <w:tcBorders>
              <w:bottom w:val="nil"/>
            </w:tcBorders>
          </w:tcPr>
          <w:p w14:paraId="08754B78" w14:textId="77777777" w:rsidR="00366727" w:rsidRDefault="005265DE">
            <w:pPr>
              <w:autoSpaceDE w:val="0"/>
              <w:autoSpaceDN w:val="0"/>
              <w:adjustRightInd w:val="0"/>
              <w:jc w:val="center"/>
              <w:rPr>
                <w:rFonts w:ascii="Arial" w:hAnsi="Arial" w:cs="Arial"/>
                <w:sz w:val="19"/>
                <w:szCs w:val="19"/>
              </w:rPr>
            </w:pPr>
            <w:r>
              <w:rPr>
                <w:rFonts w:ascii="Arial" w:hAnsi="Arial" w:cs="Arial"/>
                <w:sz w:val="19"/>
                <w:szCs w:val="19"/>
              </w:rPr>
              <w:t>0.139958</w:t>
            </w:r>
          </w:p>
        </w:tc>
      </w:tr>
      <w:tr w:rsidR="00366727" w14:paraId="3C810E52" w14:textId="77777777">
        <w:tc>
          <w:tcPr>
            <w:tcW w:w="2694" w:type="dxa"/>
            <w:tcBorders>
              <w:top w:val="nil"/>
              <w:bottom w:val="nil"/>
            </w:tcBorders>
          </w:tcPr>
          <w:p w14:paraId="35555253" w14:textId="77777777" w:rsidR="00366727" w:rsidRDefault="005265DE">
            <w:pPr>
              <w:autoSpaceDE w:val="0"/>
              <w:autoSpaceDN w:val="0"/>
              <w:adjustRightInd w:val="0"/>
              <w:rPr>
                <w:rFonts w:ascii="Arial" w:hAnsi="Arial" w:cs="Arial"/>
                <w:sz w:val="19"/>
                <w:szCs w:val="19"/>
              </w:rPr>
            </w:pPr>
            <w:r>
              <w:rPr>
                <w:rFonts w:ascii="Arial" w:hAnsi="Arial" w:cs="Arial"/>
                <w:sz w:val="19"/>
                <w:szCs w:val="19"/>
              </w:rPr>
              <w:t>Autocorrelation</w:t>
            </w:r>
          </w:p>
        </w:tc>
        <w:tc>
          <w:tcPr>
            <w:tcW w:w="1701" w:type="dxa"/>
            <w:tcBorders>
              <w:top w:val="nil"/>
              <w:bottom w:val="nil"/>
            </w:tcBorders>
          </w:tcPr>
          <w:p w14:paraId="2543FE57" w14:textId="77777777" w:rsidR="00366727" w:rsidRDefault="005265DE">
            <w:pPr>
              <w:autoSpaceDE w:val="0"/>
              <w:autoSpaceDN w:val="0"/>
              <w:adjustRightInd w:val="0"/>
              <w:jc w:val="center"/>
              <w:rPr>
                <w:rFonts w:ascii="Arial" w:hAnsi="Arial" w:cs="Arial"/>
                <w:sz w:val="19"/>
                <w:szCs w:val="19"/>
              </w:rPr>
            </w:pPr>
            <w:r>
              <w:rPr>
                <w:rFonts w:ascii="Arial" w:hAnsi="Arial" w:cs="Arial"/>
                <w:sz w:val="19"/>
                <w:szCs w:val="19"/>
              </w:rPr>
              <w:t>0.7321</w:t>
            </w:r>
          </w:p>
        </w:tc>
      </w:tr>
      <w:tr w:rsidR="00366727" w14:paraId="4420B16D" w14:textId="77777777">
        <w:tc>
          <w:tcPr>
            <w:tcW w:w="2694" w:type="dxa"/>
            <w:tcBorders>
              <w:top w:val="nil"/>
            </w:tcBorders>
          </w:tcPr>
          <w:p w14:paraId="3E0F3AE7" w14:textId="77777777" w:rsidR="00366727" w:rsidRDefault="005265DE">
            <w:pPr>
              <w:autoSpaceDE w:val="0"/>
              <w:autoSpaceDN w:val="0"/>
              <w:adjustRightInd w:val="0"/>
              <w:rPr>
                <w:rFonts w:ascii="Arial" w:hAnsi="Arial" w:cs="Arial"/>
                <w:sz w:val="19"/>
                <w:szCs w:val="19"/>
              </w:rPr>
            </w:pPr>
            <w:r>
              <w:rPr>
                <w:rFonts w:ascii="Arial" w:hAnsi="Arial" w:cs="Arial"/>
                <w:sz w:val="19"/>
                <w:szCs w:val="19"/>
              </w:rPr>
              <w:t>Heteroscedasticity</w:t>
            </w:r>
          </w:p>
        </w:tc>
        <w:tc>
          <w:tcPr>
            <w:tcW w:w="1701" w:type="dxa"/>
            <w:tcBorders>
              <w:top w:val="nil"/>
            </w:tcBorders>
          </w:tcPr>
          <w:p w14:paraId="695384F6" w14:textId="77777777" w:rsidR="00366727" w:rsidRDefault="005265DE">
            <w:pPr>
              <w:autoSpaceDE w:val="0"/>
              <w:autoSpaceDN w:val="0"/>
              <w:adjustRightInd w:val="0"/>
              <w:jc w:val="center"/>
              <w:rPr>
                <w:rFonts w:ascii="Arial" w:hAnsi="Arial" w:cs="Arial"/>
                <w:sz w:val="19"/>
                <w:szCs w:val="19"/>
              </w:rPr>
            </w:pPr>
            <w:r>
              <w:rPr>
                <w:rFonts w:ascii="Arial" w:hAnsi="Arial" w:cs="Arial"/>
                <w:sz w:val="19"/>
                <w:szCs w:val="19"/>
              </w:rPr>
              <w:t>0.4502</w:t>
            </w:r>
          </w:p>
        </w:tc>
      </w:tr>
    </w:tbl>
    <w:p w14:paraId="35437731" w14:textId="77777777" w:rsidR="00366727" w:rsidRDefault="005265DE">
      <w:pPr>
        <w:pStyle w:val="BodyText3"/>
        <w:tabs>
          <w:tab w:val="left" w:pos="1080"/>
        </w:tabs>
        <w:spacing w:after="0"/>
        <w:jc w:val="both"/>
        <w:rPr>
          <w:rFonts w:ascii="Arial" w:hAnsi="Arial"/>
          <w:bCs/>
          <w:i/>
        </w:rPr>
      </w:pPr>
      <w:r>
        <w:rPr>
          <w:rFonts w:ascii="Arial" w:hAnsi="Arial"/>
          <w:bCs/>
          <w:i/>
        </w:rPr>
        <w:t>Source: the data was processed using EViews version 12.</w:t>
      </w:r>
    </w:p>
    <w:p w14:paraId="78406F69" w14:textId="77777777" w:rsidR="00366727" w:rsidRDefault="00366727">
      <w:pPr>
        <w:pStyle w:val="Body"/>
        <w:spacing w:after="0"/>
        <w:rPr>
          <w:rFonts w:ascii="Arial" w:eastAsia="Calibri" w:hAnsi="Arial" w:cs="Arial"/>
          <w:highlight w:val="yellow"/>
        </w:rPr>
      </w:pPr>
    </w:p>
    <w:p w14:paraId="5AFEFC77" w14:textId="77777777" w:rsidR="00366727" w:rsidRDefault="005265DE">
      <w:pPr>
        <w:pStyle w:val="Body"/>
        <w:spacing w:after="0"/>
        <w:rPr>
          <w:rFonts w:ascii="Arial" w:eastAsia="Calibri" w:hAnsi="Arial" w:cs="Arial"/>
          <w:highlight w:val="yellow"/>
        </w:rPr>
      </w:pPr>
      <w:r>
        <w:rPr>
          <w:rFonts w:ascii="Arial" w:eastAsia="Calibri" w:hAnsi="Arial" w:cs="Arial"/>
        </w:rPr>
        <w:t>Fifth, diagnostic tests were conducted to assess the suitability of the data. These tests included normality, autocorrelation, and heteroscedasticity assessments. Table 6 displays the results of diagnostic tests used in the modeling process. The study model passes all diagnostic tests, as the p-values for normality, autocorrelation, and heteroscedasticity exceed 5%. In other words, the model satisfies the assumptions required for the Best Linear Unbiased Estimator (BLUE). As well, with the blue line on the Cumulative Sum (CUSUM) and Cumulative Sum of Squares of Recursive Residuals (CUSUMQ) plots remaining within the two red lines at the 5% significance level, the model is concluded to be stable.</w:t>
      </w:r>
    </w:p>
    <w:p w14:paraId="03283BAC" w14:textId="77777777" w:rsidR="00366727" w:rsidRDefault="00366727">
      <w:pPr>
        <w:pStyle w:val="Body"/>
        <w:spacing w:after="0"/>
        <w:rPr>
          <w:rFonts w:ascii="Arial" w:eastAsia="Calibri" w:hAnsi="Arial" w:cs="Arial"/>
        </w:rPr>
      </w:pPr>
    </w:p>
    <w:p w14:paraId="3985F22D" w14:textId="77777777" w:rsidR="00366727" w:rsidRDefault="005265DE">
      <w:pPr>
        <w:pStyle w:val="Body"/>
        <w:spacing w:after="0"/>
        <w:rPr>
          <w:rFonts w:ascii="Arial" w:hAnsi="Arial" w:cs="Arial"/>
          <w:b/>
          <w:sz w:val="22"/>
        </w:rPr>
      </w:pPr>
      <w:r>
        <w:rPr>
          <w:rFonts w:ascii="Arial" w:hAnsi="Arial" w:cs="Arial"/>
          <w:b/>
          <w:caps/>
          <w:sz w:val="22"/>
        </w:rPr>
        <w:t xml:space="preserve">3.2 </w:t>
      </w:r>
      <w:r>
        <w:rPr>
          <w:rFonts w:ascii="Arial" w:hAnsi="Arial" w:cs="Arial"/>
          <w:b/>
          <w:sz w:val="22"/>
        </w:rPr>
        <w:t>Justification</w:t>
      </w:r>
    </w:p>
    <w:p w14:paraId="62A88722" w14:textId="77777777" w:rsidR="00366727" w:rsidRDefault="00366727">
      <w:pPr>
        <w:pStyle w:val="Body"/>
        <w:spacing w:after="0"/>
        <w:rPr>
          <w:rFonts w:ascii="Arial" w:hAnsi="Arial" w:cs="Arial"/>
        </w:rPr>
      </w:pPr>
    </w:p>
    <w:p w14:paraId="76550B93" w14:textId="77777777" w:rsidR="00366727" w:rsidRDefault="005265DE">
      <w:pPr>
        <w:pStyle w:val="Body"/>
        <w:spacing w:after="0"/>
        <w:rPr>
          <w:rFonts w:ascii="Arial" w:hAnsi="Arial" w:cs="Arial"/>
          <w:highlight w:val="yellow"/>
        </w:rPr>
      </w:pPr>
      <w:r>
        <w:rPr>
          <w:rFonts w:ascii="Arial" w:hAnsi="Arial" w:cs="Arial"/>
        </w:rPr>
        <w:t>Based on a series of tests, it was found that renewable energy variables affect the unemployment rate in the short term, particularly during the previous two periods with a positive effect and the previous four periods with a negative effect. This indicates the presence of a time-lag effect, where the impact of renewable energy on job creation within the same period does not occur uniformly but requires time to adjust to economic performance and the labor market (</w:t>
      </w:r>
      <w:proofErr w:type="spellStart"/>
      <w:r>
        <w:rPr>
          <w:rFonts w:ascii="Arial" w:hAnsi="Arial" w:cs="Arial"/>
        </w:rPr>
        <w:t>Afriyanti</w:t>
      </w:r>
      <w:proofErr w:type="spellEnd"/>
      <w:r>
        <w:rPr>
          <w:rFonts w:ascii="Arial" w:hAnsi="Arial" w:cs="Arial"/>
        </w:rPr>
        <w:t xml:space="preserve"> et al., 2021). Moreover, the findings of this study align with those of </w:t>
      </w:r>
      <w:proofErr w:type="spellStart"/>
      <w:r>
        <w:rPr>
          <w:rFonts w:ascii="Arial" w:hAnsi="Arial" w:cs="Arial"/>
        </w:rPr>
        <w:t>Borhan</w:t>
      </w:r>
      <w:proofErr w:type="spellEnd"/>
      <w:r>
        <w:rPr>
          <w:rFonts w:ascii="Arial" w:hAnsi="Arial" w:cs="Arial"/>
        </w:rPr>
        <w:t xml:space="preserve"> et al. (2023), </w:t>
      </w:r>
      <w:proofErr w:type="spellStart"/>
      <w:r>
        <w:rPr>
          <w:rFonts w:ascii="Arial" w:hAnsi="Arial" w:cs="Arial"/>
        </w:rPr>
        <w:t>Kurniadi</w:t>
      </w:r>
      <w:proofErr w:type="spellEnd"/>
      <w:r>
        <w:rPr>
          <w:rFonts w:ascii="Arial" w:hAnsi="Arial" w:cs="Arial"/>
        </w:rPr>
        <w:t xml:space="preserve"> et al. (2022), and Rafiq et al. (2018), who state that although investment in the renewable energy sector can generate new job opportunities, the transition process from non-renewable to renewable energy can cause temporary disruptions in the labor market. These disruptions are driven by differences in skill requirements between the renewable energy sector and the conventional energy sector, which in turn lead to skill mismatches among the workforce.</w:t>
      </w:r>
    </w:p>
    <w:p w14:paraId="37A9F9A5" w14:textId="77777777" w:rsidR="00366727" w:rsidRDefault="00366727">
      <w:pPr>
        <w:pStyle w:val="Body"/>
        <w:spacing w:after="0"/>
        <w:rPr>
          <w:rFonts w:ascii="Arial" w:hAnsi="Arial" w:cs="Arial"/>
        </w:rPr>
      </w:pPr>
    </w:p>
    <w:p w14:paraId="0EDAF082" w14:textId="77777777" w:rsidR="00366727" w:rsidRDefault="005265DE">
      <w:pPr>
        <w:pStyle w:val="Body"/>
        <w:spacing w:after="0"/>
        <w:rPr>
          <w:rFonts w:ascii="Arial" w:hAnsi="Arial" w:cs="Arial"/>
          <w:highlight w:val="yellow"/>
        </w:rPr>
      </w:pPr>
      <w:r>
        <w:rPr>
          <w:rFonts w:ascii="Arial" w:hAnsi="Arial" w:cs="Arial"/>
        </w:rPr>
        <w:lastRenderedPageBreak/>
        <w:t xml:space="preserve">Both short-term and long-term interest rate variables have a significant positive impact on unemployment rates. As noted in previous publications by </w:t>
      </w:r>
      <w:proofErr w:type="spellStart"/>
      <w:r>
        <w:rPr>
          <w:rFonts w:ascii="Arial" w:hAnsi="Arial" w:cs="Arial"/>
        </w:rPr>
        <w:t>Audrino</w:t>
      </w:r>
      <w:proofErr w:type="spellEnd"/>
      <w:r>
        <w:rPr>
          <w:rFonts w:ascii="Arial" w:hAnsi="Arial" w:cs="Arial"/>
        </w:rPr>
        <w:t xml:space="preserve"> and </w:t>
      </w:r>
      <w:proofErr w:type="spellStart"/>
      <w:r>
        <w:rPr>
          <w:rFonts w:ascii="Arial" w:hAnsi="Arial" w:cs="Arial"/>
        </w:rPr>
        <w:t>Offner</w:t>
      </w:r>
      <w:proofErr w:type="spellEnd"/>
      <w:r>
        <w:rPr>
          <w:rFonts w:ascii="Arial" w:hAnsi="Arial" w:cs="Arial"/>
        </w:rPr>
        <w:t xml:space="preserve"> (2024), </w:t>
      </w:r>
      <w:proofErr w:type="spellStart"/>
      <w:r>
        <w:rPr>
          <w:rFonts w:ascii="Arial" w:hAnsi="Arial" w:cs="Arial"/>
        </w:rPr>
        <w:t>Mahadika</w:t>
      </w:r>
      <w:proofErr w:type="spellEnd"/>
      <w:r>
        <w:rPr>
          <w:rFonts w:ascii="Arial" w:hAnsi="Arial" w:cs="Arial"/>
        </w:rPr>
        <w:t xml:space="preserve"> and </w:t>
      </w:r>
      <w:proofErr w:type="spellStart"/>
      <w:r>
        <w:rPr>
          <w:rFonts w:ascii="Arial" w:hAnsi="Arial" w:cs="Arial"/>
        </w:rPr>
        <w:t>Wibowo</w:t>
      </w:r>
      <w:proofErr w:type="spellEnd"/>
      <w:r>
        <w:rPr>
          <w:rFonts w:ascii="Arial" w:hAnsi="Arial" w:cs="Arial"/>
        </w:rPr>
        <w:t xml:space="preserve"> (2021), </w:t>
      </w:r>
      <w:proofErr w:type="spellStart"/>
      <w:r>
        <w:rPr>
          <w:rFonts w:ascii="Arial" w:hAnsi="Arial" w:cs="Arial"/>
        </w:rPr>
        <w:t>Muttaqim</w:t>
      </w:r>
      <w:proofErr w:type="spellEnd"/>
      <w:r>
        <w:rPr>
          <w:rFonts w:ascii="Arial" w:hAnsi="Arial" w:cs="Arial"/>
        </w:rPr>
        <w:t xml:space="preserve"> and </w:t>
      </w:r>
      <w:proofErr w:type="spellStart"/>
      <w:r>
        <w:rPr>
          <w:rFonts w:ascii="Arial" w:hAnsi="Arial" w:cs="Arial"/>
        </w:rPr>
        <w:t>Hwihanus</w:t>
      </w:r>
      <w:proofErr w:type="spellEnd"/>
      <w:r>
        <w:rPr>
          <w:rFonts w:ascii="Arial" w:hAnsi="Arial" w:cs="Arial"/>
        </w:rPr>
        <w:t xml:space="preserve"> (2024), and Sun (2023), higher interest rates are associated with increased unemployment rates, and vice versa. The key point is that when the Bank of Indonesia raises interest rates, domestic households are more likely to postpone or avoid banking transactions, including loan applications. Consequently, many individuals face difficulties obtaining capital to start or expand businesses, which can lead to higher open unemployment rates. Conversely, when the government sets low interest rates, the public is encouraged to access banking services to secure business capital. In this way, interest rate policies can stimulate national economic growth and effectively reduce unemployment rates.</w:t>
      </w:r>
    </w:p>
    <w:p w14:paraId="00495C3C" w14:textId="77777777" w:rsidR="00366727" w:rsidRDefault="00366727">
      <w:pPr>
        <w:pStyle w:val="Body"/>
        <w:spacing w:after="0"/>
        <w:rPr>
          <w:rFonts w:ascii="Arial" w:hAnsi="Arial" w:cs="Arial"/>
          <w:highlight w:val="yellow"/>
        </w:rPr>
      </w:pPr>
    </w:p>
    <w:p w14:paraId="19641555" w14:textId="77777777" w:rsidR="00366727" w:rsidRDefault="005265DE">
      <w:pPr>
        <w:pStyle w:val="Body"/>
        <w:spacing w:after="0"/>
        <w:rPr>
          <w:rFonts w:ascii="Arial" w:eastAsia="Calibri" w:hAnsi="Arial" w:cs="Arial"/>
          <w:highlight w:val="yellow"/>
        </w:rPr>
      </w:pPr>
      <w:r>
        <w:rPr>
          <w:rFonts w:ascii="Arial" w:eastAsia="Calibri" w:hAnsi="Arial" w:cs="Arial"/>
        </w:rPr>
        <w:t>The analysis also indicates that both long-term and short-term FDI have a positive relationship with the unemployment rate. Fundamentally, these findings contradict the Harrod-</w:t>
      </w:r>
      <w:proofErr w:type="spellStart"/>
      <w:r>
        <w:rPr>
          <w:rFonts w:ascii="Arial" w:eastAsia="Calibri" w:hAnsi="Arial" w:cs="Arial"/>
        </w:rPr>
        <w:t>Domar</w:t>
      </w:r>
      <w:proofErr w:type="spellEnd"/>
      <w:r>
        <w:rPr>
          <w:rFonts w:ascii="Arial" w:eastAsia="Calibri" w:hAnsi="Arial" w:cs="Arial"/>
        </w:rPr>
        <w:t xml:space="preserve"> Theory, which posits that an increase in foreign investment should lead to a decrease in the unemployment rate in Indonesia (</w:t>
      </w:r>
      <w:proofErr w:type="spellStart"/>
      <w:r>
        <w:rPr>
          <w:rFonts w:ascii="Arial" w:eastAsia="Calibri" w:hAnsi="Arial" w:cs="Arial"/>
        </w:rPr>
        <w:t>Rayhan</w:t>
      </w:r>
      <w:proofErr w:type="spellEnd"/>
      <w:r>
        <w:rPr>
          <w:rFonts w:ascii="Arial" w:eastAsia="Calibri" w:hAnsi="Arial" w:cs="Arial"/>
        </w:rPr>
        <w:t xml:space="preserve"> et al., 2025). </w:t>
      </w:r>
      <w:r w:rsidRPr="00FF334B">
        <w:rPr>
          <w:rFonts w:ascii="Arial" w:eastAsia="Calibri" w:hAnsi="Arial" w:cs="Arial"/>
          <w:lang w:val="nb-NO"/>
        </w:rPr>
        <w:t xml:space="preserve">According to Dao et al. (2023), Kukaj et al. (2022), Nguyen et al. </w:t>
      </w:r>
      <w:r>
        <w:rPr>
          <w:rFonts w:ascii="Arial" w:eastAsia="Calibri" w:hAnsi="Arial" w:cs="Arial"/>
        </w:rPr>
        <w:t xml:space="preserve">(2024), and </w:t>
      </w:r>
      <w:proofErr w:type="spellStart"/>
      <w:r>
        <w:rPr>
          <w:rFonts w:ascii="Arial" w:eastAsia="Calibri" w:hAnsi="Arial" w:cs="Arial"/>
        </w:rPr>
        <w:t>Tanaya</w:t>
      </w:r>
      <w:proofErr w:type="spellEnd"/>
      <w:r>
        <w:rPr>
          <w:rFonts w:ascii="Arial" w:eastAsia="Calibri" w:hAnsi="Arial" w:cs="Arial"/>
        </w:rPr>
        <w:t xml:space="preserve"> and </w:t>
      </w:r>
      <w:proofErr w:type="spellStart"/>
      <w:r>
        <w:rPr>
          <w:rFonts w:ascii="Arial" w:eastAsia="Calibri" w:hAnsi="Arial" w:cs="Arial"/>
        </w:rPr>
        <w:t>Suyanto</w:t>
      </w:r>
      <w:proofErr w:type="spellEnd"/>
      <w:r>
        <w:rPr>
          <w:rFonts w:ascii="Arial" w:eastAsia="Calibri" w:hAnsi="Arial" w:cs="Arial"/>
        </w:rPr>
        <w:t xml:space="preserve"> (2023), this issue arises because foreign investment tends to concentrate in high-tech and automation-based sectors, thereby reducing reliance on human labor. Industries receiving substantial foreign investment generally aim to enhance efficiency through the adoption of automated technologies, which directly affects the demand for traditional labor (</w:t>
      </w:r>
      <w:proofErr w:type="spellStart"/>
      <w:r>
        <w:rPr>
          <w:rFonts w:ascii="Arial" w:eastAsia="Calibri" w:hAnsi="Arial" w:cs="Arial"/>
        </w:rPr>
        <w:t>Lubis</w:t>
      </w:r>
      <w:proofErr w:type="spellEnd"/>
      <w:r>
        <w:rPr>
          <w:rFonts w:ascii="Arial" w:eastAsia="Calibri" w:hAnsi="Arial" w:cs="Arial"/>
        </w:rPr>
        <w:t xml:space="preserve"> et al., 2015). On the other hand, although investment realization increases, job creation does not always keep pace and, in some sectors, has even declined.</w:t>
      </w:r>
    </w:p>
    <w:p w14:paraId="2F9325D0" w14:textId="77777777" w:rsidR="00366727" w:rsidRDefault="00366727">
      <w:pPr>
        <w:pStyle w:val="Body"/>
        <w:spacing w:after="0"/>
        <w:rPr>
          <w:rFonts w:ascii="Arial" w:eastAsia="Calibri" w:hAnsi="Arial" w:cs="Arial"/>
        </w:rPr>
      </w:pPr>
    </w:p>
    <w:p w14:paraId="3B1E6CCB" w14:textId="77777777" w:rsidR="00366727" w:rsidRDefault="005265DE">
      <w:pPr>
        <w:pStyle w:val="Body"/>
        <w:spacing w:after="0"/>
        <w:rPr>
          <w:rFonts w:ascii="Arial" w:eastAsia="Calibri" w:hAnsi="Arial" w:cs="Arial"/>
        </w:rPr>
      </w:pPr>
      <w:r>
        <w:rPr>
          <w:rFonts w:ascii="Arial" w:eastAsia="Calibri" w:hAnsi="Arial" w:cs="Arial"/>
        </w:rPr>
        <w:t>Specifically, every increase in economic growth, measured here by GDP per capita, tends to be followed by a decrease in the unemployment rate in Indonesia. This observation is supported by Okun's law, which emphasizes that sustained and positive economic growth, as indicated by GDP growth, generally leads to a reduction in unemployment. This relationship exists because an increase in GDP reflects an expansion in national economic activity, including the production, distribution, and consumption of goods and services across various industrial sectors. As these sectors grow, the demand for labor rises to meet production requirements and support other operational activities. Thus, strong economic growth serves as a primary driver for creating new job opportunities and reducing unemployment rates, as demonstrated by Kurniawan et al. (2021).</w:t>
      </w:r>
    </w:p>
    <w:p w14:paraId="194077B3" w14:textId="77777777" w:rsidR="00366727" w:rsidRDefault="00366727">
      <w:pPr>
        <w:pStyle w:val="ConcHead"/>
        <w:spacing w:after="0"/>
        <w:jc w:val="both"/>
        <w:rPr>
          <w:rFonts w:ascii="Arial" w:hAnsi="Arial" w:cs="Arial"/>
          <w:sz w:val="20"/>
        </w:rPr>
      </w:pPr>
    </w:p>
    <w:p w14:paraId="593CBA3C" w14:textId="33A1A295" w:rsidR="00366727" w:rsidRDefault="005265DE">
      <w:pPr>
        <w:pStyle w:val="ConcHead"/>
        <w:spacing w:after="0"/>
        <w:jc w:val="both"/>
        <w:rPr>
          <w:rFonts w:ascii="Arial" w:hAnsi="Arial" w:cs="Arial"/>
        </w:rPr>
      </w:pPr>
      <w:r>
        <w:rPr>
          <w:rFonts w:ascii="Arial" w:hAnsi="Arial" w:cs="Arial"/>
        </w:rPr>
        <w:t>4. Conclusion</w:t>
      </w:r>
      <w:r w:rsidR="00CD481A">
        <w:rPr>
          <w:rFonts w:ascii="Arial" w:hAnsi="Arial" w:cs="Arial"/>
        </w:rPr>
        <w:t>S</w:t>
      </w:r>
      <w:r w:rsidR="00897316">
        <w:rPr>
          <w:rFonts w:ascii="Arial" w:hAnsi="Arial" w:cs="Arial"/>
        </w:rPr>
        <w:t>, RECOMMENDATION</w:t>
      </w:r>
      <w:r w:rsidR="00CD481A">
        <w:rPr>
          <w:rFonts w:ascii="Arial" w:hAnsi="Arial" w:cs="Arial"/>
        </w:rPr>
        <w:t>S</w:t>
      </w:r>
      <w:r w:rsidR="00897316">
        <w:rPr>
          <w:rFonts w:ascii="Arial" w:hAnsi="Arial" w:cs="Arial"/>
        </w:rPr>
        <w:t xml:space="preserve"> AND LIMITATI</w:t>
      </w:r>
      <w:bookmarkStart w:id="3" w:name="_GoBack"/>
      <w:bookmarkEnd w:id="3"/>
      <w:r w:rsidR="00897316">
        <w:rPr>
          <w:rFonts w:ascii="Arial" w:hAnsi="Arial" w:cs="Arial"/>
        </w:rPr>
        <w:t>ON</w:t>
      </w:r>
    </w:p>
    <w:p w14:paraId="09C17015" w14:textId="77777777" w:rsidR="00366727" w:rsidRDefault="00366727">
      <w:pPr>
        <w:pStyle w:val="ConcHead"/>
        <w:spacing w:after="0"/>
        <w:jc w:val="both"/>
        <w:rPr>
          <w:rFonts w:ascii="Arial" w:hAnsi="Arial" w:cs="Arial"/>
          <w:sz w:val="20"/>
        </w:rPr>
      </w:pPr>
    </w:p>
    <w:p w14:paraId="5CF598C3" w14:textId="77777777" w:rsidR="00366727" w:rsidRDefault="005265DE">
      <w:pPr>
        <w:pStyle w:val="Body"/>
        <w:spacing w:after="0"/>
        <w:rPr>
          <w:rFonts w:ascii="Arial" w:eastAsia="Calibri" w:hAnsi="Arial" w:cs="Arial"/>
          <w:highlight w:val="yellow"/>
        </w:rPr>
      </w:pPr>
      <w:r>
        <w:rPr>
          <w:rFonts w:ascii="Arial" w:eastAsia="Calibri" w:hAnsi="Arial" w:cs="Arial"/>
        </w:rPr>
        <w:t>This study was designed to explore the causal relationships between interest rates, GDP per capita, FDI, and renewable energy consumption on unemployment rates in Indonesia. First, interest rates have a positive and significant impact on unemployment rates in both the short and long term. In practice, increases in interest rates tend to raise unemployment because they make financing less accessible. Second, GDP per capita has a negative and significant effect on unemployment. It is well established that economic growth contributes to reducing unemployment rates, consistent with Okun's Law. Third, FDI exhibits a positive effect on unemployment in both the short and long term. This is because FDI often flows into technology-intensive and automated sectors that absorb relatively little labor. Fourth, renewable energy consumption has a significant impact only in the short term and displays inconsistent patterns, suggesting a time-lagged effect on job creation. Therefore, controlling unemployment rates in Indonesia is largely influenced by effective interest rate management, inclusive economic growth, strategic investment policies, and a targeted energy transition.</w:t>
      </w:r>
    </w:p>
    <w:p w14:paraId="54F26773" w14:textId="77777777" w:rsidR="00366727" w:rsidRDefault="00366727">
      <w:pPr>
        <w:pStyle w:val="Body"/>
        <w:spacing w:after="0"/>
        <w:rPr>
          <w:rFonts w:ascii="Arial" w:eastAsia="Calibri" w:hAnsi="Arial" w:cs="Arial"/>
        </w:rPr>
      </w:pPr>
    </w:p>
    <w:p w14:paraId="72779538" w14:textId="77777777" w:rsidR="00366727" w:rsidRDefault="005265DE">
      <w:pPr>
        <w:pStyle w:val="Body"/>
        <w:spacing w:after="0"/>
        <w:rPr>
          <w:rFonts w:ascii="Arial" w:eastAsia="Calibri" w:hAnsi="Arial" w:cs="Arial"/>
        </w:rPr>
      </w:pPr>
      <w:r>
        <w:rPr>
          <w:rFonts w:ascii="Arial" w:eastAsia="Calibri" w:hAnsi="Arial" w:cs="Arial"/>
        </w:rPr>
        <w:lastRenderedPageBreak/>
        <w:t>This study provides valuable insights for policymakers, particularly the government. It is recommended that the government develop more targeted fiscal and monetary policies aimed at job creation. Also, the government should enhance incentives for the renewable energy sector and labor-intensive foreign investments. Besides, prioritizing improvements in productivity and economic inclusion through per capita GDP growth is essential for sustainably addressing the unemployment issue.</w:t>
      </w:r>
    </w:p>
    <w:p w14:paraId="74C31D89" w14:textId="77777777" w:rsidR="00AE7AEE" w:rsidRDefault="00AE7AEE">
      <w:pPr>
        <w:pStyle w:val="Body"/>
        <w:spacing w:after="0"/>
        <w:rPr>
          <w:rFonts w:ascii="Arial" w:eastAsia="Calibri" w:hAnsi="Arial" w:cs="Arial"/>
        </w:rPr>
      </w:pPr>
    </w:p>
    <w:p w14:paraId="70A47B81" w14:textId="77777777" w:rsidR="00366727" w:rsidRDefault="005265DE">
      <w:pPr>
        <w:pStyle w:val="Body"/>
        <w:spacing w:after="0"/>
        <w:rPr>
          <w:rFonts w:ascii="Arial" w:eastAsia="Calibri" w:hAnsi="Arial" w:cs="Arial"/>
        </w:rPr>
      </w:pPr>
      <w:r>
        <w:rPr>
          <w:rFonts w:ascii="Arial" w:eastAsia="Calibri" w:hAnsi="Arial" w:cs="Arial"/>
        </w:rPr>
        <w:t>Finally, this study has certain limitations, one of which is that the factors influencing the unemployment rate are restricted to interest rates, GDP per capita, FDI, and renewable energy consumption. Future research should aim to address these limitations by incorporating additional variables beyond those included in the current model.</w:t>
      </w:r>
    </w:p>
    <w:p w14:paraId="7122EEEF" w14:textId="77777777" w:rsidR="00366727" w:rsidRDefault="00366727">
      <w:pPr>
        <w:pStyle w:val="Body"/>
        <w:spacing w:after="0"/>
        <w:rPr>
          <w:rFonts w:ascii="Arial" w:hAnsi="Arial" w:cs="Arial"/>
        </w:rPr>
      </w:pPr>
    </w:p>
    <w:p w14:paraId="64353664" w14:textId="77777777" w:rsidR="00366727" w:rsidRDefault="00366727">
      <w:pPr>
        <w:pStyle w:val="ReferHead"/>
        <w:spacing w:after="0"/>
        <w:jc w:val="both"/>
        <w:rPr>
          <w:rFonts w:ascii="Arial" w:hAnsi="Arial" w:cs="Arial"/>
          <w:bCs/>
          <w:sz w:val="20"/>
        </w:rPr>
      </w:pPr>
    </w:p>
    <w:p w14:paraId="687485FF" w14:textId="77777777" w:rsidR="00366727" w:rsidRDefault="005265DE">
      <w:pPr>
        <w:pStyle w:val="ReferHead"/>
        <w:spacing w:after="0"/>
        <w:jc w:val="both"/>
        <w:rPr>
          <w:rFonts w:ascii="Arial" w:hAnsi="Arial" w:cs="Arial"/>
          <w:bCs/>
        </w:rPr>
      </w:pPr>
      <w:r>
        <w:rPr>
          <w:rFonts w:ascii="Arial" w:hAnsi="Arial" w:cs="Arial"/>
          <w:bCs/>
        </w:rPr>
        <w:t>DISCLAIMER (ARTIFICIAL INTELLIGENCE)</w:t>
      </w:r>
    </w:p>
    <w:p w14:paraId="59458883" w14:textId="77777777" w:rsidR="00366727" w:rsidRDefault="00366727">
      <w:pPr>
        <w:pStyle w:val="ReferHead"/>
        <w:spacing w:after="0"/>
        <w:jc w:val="both"/>
        <w:rPr>
          <w:rFonts w:ascii="Arial" w:hAnsi="Arial" w:cs="Arial"/>
          <w:b w:val="0"/>
          <w:caps w:val="0"/>
          <w:sz w:val="20"/>
        </w:rPr>
      </w:pPr>
    </w:p>
    <w:p w14:paraId="2F98A8B3" w14:textId="429E0669" w:rsidR="00366727" w:rsidRDefault="00C06FCB">
      <w:pPr>
        <w:pStyle w:val="ReferHead"/>
        <w:spacing w:after="0"/>
        <w:jc w:val="both"/>
        <w:rPr>
          <w:rFonts w:ascii="Arial" w:hAnsi="Arial" w:cs="Arial"/>
          <w:b w:val="0"/>
          <w:caps w:val="0"/>
          <w:sz w:val="20"/>
        </w:rPr>
      </w:pPr>
      <w:r w:rsidRPr="00C06FCB">
        <w:rPr>
          <w:rFonts w:ascii="Arial" w:hAnsi="Arial" w:cs="Arial"/>
          <w:b w:val="0"/>
          <w:caps w:val="0"/>
          <w:sz w:val="20"/>
        </w:rPr>
        <w:t>Author(s) hereby declare that NO generative AI technologies such as Large Language Models (</w:t>
      </w:r>
      <w:proofErr w:type="spellStart"/>
      <w:r w:rsidRPr="00C06FCB">
        <w:rPr>
          <w:rFonts w:ascii="Arial" w:hAnsi="Arial" w:cs="Arial"/>
          <w:b w:val="0"/>
          <w:caps w:val="0"/>
          <w:sz w:val="20"/>
        </w:rPr>
        <w:t>ChatGPT</w:t>
      </w:r>
      <w:proofErr w:type="spellEnd"/>
      <w:r w:rsidRPr="00C06FCB">
        <w:rPr>
          <w:rFonts w:ascii="Arial" w:hAnsi="Arial" w:cs="Arial"/>
          <w:b w:val="0"/>
          <w:caps w:val="0"/>
          <w:sz w:val="20"/>
        </w:rPr>
        <w:t>, COPILOT, etc.) and text-to-image generators have been used during the writing or editing of this manuscript.</w:t>
      </w:r>
    </w:p>
    <w:p w14:paraId="4368CB07" w14:textId="77777777" w:rsidR="00C06FCB" w:rsidRDefault="00C06FCB">
      <w:pPr>
        <w:pStyle w:val="ReferHead"/>
        <w:spacing w:after="0"/>
        <w:jc w:val="both"/>
        <w:rPr>
          <w:rFonts w:ascii="Arial" w:hAnsi="Arial" w:cs="Arial"/>
          <w:b w:val="0"/>
          <w:caps w:val="0"/>
          <w:sz w:val="20"/>
        </w:rPr>
      </w:pPr>
    </w:p>
    <w:p w14:paraId="0E8CACA1" w14:textId="77777777" w:rsidR="00366727" w:rsidRDefault="005265DE">
      <w:pPr>
        <w:pStyle w:val="DefAcrHead"/>
        <w:spacing w:after="0"/>
        <w:jc w:val="both"/>
        <w:rPr>
          <w:rFonts w:ascii="Arial" w:hAnsi="Arial" w:cs="Arial"/>
        </w:rPr>
      </w:pPr>
      <w:r>
        <w:rPr>
          <w:rFonts w:ascii="Arial" w:hAnsi="Arial" w:cs="Arial"/>
        </w:rPr>
        <w:t>Abbreviations</w:t>
      </w:r>
    </w:p>
    <w:p w14:paraId="45C7488C" w14:textId="77777777" w:rsidR="00366727" w:rsidRDefault="00366727">
      <w:pPr>
        <w:pStyle w:val="Body"/>
        <w:spacing w:after="0"/>
        <w:rPr>
          <w:rFonts w:ascii="Arial" w:hAnsi="Arial" w:cs="Arial"/>
          <w:b/>
        </w:rPr>
      </w:pPr>
    </w:p>
    <w:p w14:paraId="0936F536" w14:textId="77777777" w:rsidR="00366727" w:rsidRDefault="005265DE">
      <w:pPr>
        <w:pStyle w:val="Body"/>
        <w:spacing w:after="0"/>
        <w:rPr>
          <w:rFonts w:ascii="Arial" w:hAnsi="Arial" w:cs="Arial"/>
          <w:b/>
        </w:rPr>
      </w:pPr>
      <w:r>
        <w:rPr>
          <w:rFonts w:ascii="Arial" w:hAnsi="Arial" w:cs="Arial"/>
          <w:b/>
        </w:rPr>
        <w:t>ADF</w:t>
      </w:r>
      <w:r>
        <w:rPr>
          <w:rFonts w:ascii="Arial" w:hAnsi="Arial" w:cs="Arial"/>
          <w:b/>
        </w:rPr>
        <w:tab/>
      </w:r>
      <w:r>
        <w:rPr>
          <w:rFonts w:ascii="Arial" w:hAnsi="Arial" w:cs="Arial"/>
          <w:b/>
        </w:rPr>
        <w:tab/>
      </w:r>
      <w:r>
        <w:rPr>
          <w:rFonts w:ascii="Arial" w:hAnsi="Arial" w:cs="Arial"/>
          <w:bCs/>
        </w:rPr>
        <w:t>:</w:t>
      </w:r>
      <w:r>
        <w:t xml:space="preserve"> </w:t>
      </w:r>
      <w:r>
        <w:rPr>
          <w:rFonts w:ascii="Arial" w:hAnsi="Arial" w:cs="Arial"/>
          <w:bCs/>
        </w:rPr>
        <w:t>Augmented Dickey-Fuller</w:t>
      </w:r>
    </w:p>
    <w:p w14:paraId="1C69BDA2" w14:textId="77777777" w:rsidR="00366727" w:rsidRDefault="005265DE">
      <w:pPr>
        <w:pStyle w:val="Body"/>
        <w:spacing w:after="0"/>
        <w:rPr>
          <w:rFonts w:ascii="Arial" w:hAnsi="Arial" w:cs="Arial"/>
        </w:rPr>
      </w:pPr>
      <w:r>
        <w:rPr>
          <w:rFonts w:ascii="Arial" w:hAnsi="Arial" w:cs="Arial"/>
          <w:b/>
        </w:rPr>
        <w:t>ARDL</w:t>
      </w:r>
      <w:r>
        <w:rPr>
          <w:rFonts w:ascii="Arial" w:hAnsi="Arial" w:cs="Arial"/>
          <w:b/>
        </w:rPr>
        <w:tab/>
      </w:r>
      <w:r>
        <w:rPr>
          <w:rFonts w:ascii="Arial" w:hAnsi="Arial" w:cs="Arial"/>
          <w:b/>
        </w:rPr>
        <w:tab/>
      </w:r>
      <w:r>
        <w:rPr>
          <w:rFonts w:ascii="Arial" w:hAnsi="Arial" w:cs="Arial"/>
        </w:rPr>
        <w:t>: Definition for the term</w:t>
      </w:r>
      <w:r>
        <w:t xml:space="preserve"> </w:t>
      </w:r>
      <w:r>
        <w:rPr>
          <w:rFonts w:ascii="Arial" w:hAnsi="Arial" w:cs="Arial"/>
        </w:rPr>
        <w:t>Autoregressive Distributed Lag</w:t>
      </w:r>
    </w:p>
    <w:p w14:paraId="1F9CBF5A" w14:textId="77777777" w:rsidR="00366727" w:rsidRDefault="005265DE">
      <w:pPr>
        <w:pStyle w:val="Appendix"/>
        <w:spacing w:after="0"/>
        <w:jc w:val="both"/>
        <w:rPr>
          <w:rFonts w:ascii="Arial" w:hAnsi="Arial" w:cs="Arial"/>
          <w:b w:val="0"/>
          <w:caps w:val="0"/>
          <w:sz w:val="20"/>
        </w:rPr>
      </w:pPr>
      <w:r>
        <w:rPr>
          <w:rFonts w:ascii="Arial" w:hAnsi="Arial" w:cs="Arial"/>
          <w:bCs/>
          <w:caps w:val="0"/>
          <w:sz w:val="20"/>
        </w:rPr>
        <w:t>ASEAN</w:t>
      </w:r>
      <w:r>
        <w:rPr>
          <w:rFonts w:ascii="Arial" w:hAnsi="Arial" w:cs="Arial"/>
          <w:bCs/>
          <w:caps w:val="0"/>
          <w:sz w:val="20"/>
        </w:rPr>
        <w:tab/>
      </w:r>
      <w:r>
        <w:rPr>
          <w:rFonts w:ascii="Arial" w:hAnsi="Arial" w:cs="Arial"/>
          <w:bCs/>
          <w:caps w:val="0"/>
          <w:sz w:val="20"/>
        </w:rPr>
        <w:tab/>
      </w:r>
      <w:r>
        <w:rPr>
          <w:rFonts w:ascii="Arial" w:hAnsi="Arial" w:cs="Arial"/>
          <w:b w:val="0"/>
          <w:caps w:val="0"/>
          <w:sz w:val="20"/>
        </w:rPr>
        <w:t>:</w:t>
      </w:r>
      <w:r>
        <w:t xml:space="preserve"> </w:t>
      </w:r>
      <w:r>
        <w:rPr>
          <w:rFonts w:ascii="Arial" w:hAnsi="Arial" w:cs="Arial"/>
          <w:b w:val="0"/>
          <w:caps w:val="0"/>
          <w:sz w:val="20"/>
        </w:rPr>
        <w:t>Association of Southeast Asian Nations</w:t>
      </w:r>
    </w:p>
    <w:p w14:paraId="5B65AED1" w14:textId="77777777" w:rsidR="00366727" w:rsidRDefault="005265DE">
      <w:pPr>
        <w:pStyle w:val="Appendix"/>
        <w:spacing w:after="0"/>
        <w:jc w:val="both"/>
        <w:rPr>
          <w:rFonts w:ascii="Arial" w:hAnsi="Arial" w:cs="Arial"/>
          <w:bCs/>
          <w:caps w:val="0"/>
          <w:sz w:val="20"/>
        </w:rPr>
      </w:pPr>
      <w:r>
        <w:rPr>
          <w:rFonts w:ascii="Arial" w:hAnsi="Arial" w:cs="Arial"/>
          <w:bCs/>
          <w:caps w:val="0"/>
          <w:sz w:val="20"/>
        </w:rPr>
        <w:t>BLUE</w:t>
      </w:r>
      <w:r>
        <w:rPr>
          <w:rFonts w:ascii="Arial" w:hAnsi="Arial" w:cs="Arial"/>
          <w:bCs/>
          <w:caps w:val="0"/>
          <w:sz w:val="20"/>
        </w:rPr>
        <w:tab/>
      </w:r>
      <w:r>
        <w:rPr>
          <w:rFonts w:ascii="Arial" w:hAnsi="Arial" w:cs="Arial"/>
          <w:bCs/>
          <w:caps w:val="0"/>
          <w:sz w:val="20"/>
        </w:rPr>
        <w:tab/>
      </w:r>
      <w:r>
        <w:rPr>
          <w:rFonts w:ascii="Arial" w:hAnsi="Arial" w:cs="Arial"/>
          <w:b w:val="0"/>
          <w:caps w:val="0"/>
          <w:sz w:val="20"/>
        </w:rPr>
        <w:t>: Best Linear Unbiased Estimator</w:t>
      </w:r>
    </w:p>
    <w:p w14:paraId="66F080EF" w14:textId="77777777" w:rsidR="00366727" w:rsidRDefault="005265DE">
      <w:pPr>
        <w:pStyle w:val="Appendix"/>
        <w:spacing w:after="0"/>
        <w:jc w:val="both"/>
        <w:rPr>
          <w:rFonts w:ascii="Arial" w:hAnsi="Arial" w:cs="Arial"/>
          <w:bCs/>
          <w:caps w:val="0"/>
          <w:sz w:val="20"/>
        </w:rPr>
      </w:pPr>
      <w:r>
        <w:rPr>
          <w:rFonts w:ascii="Arial" w:hAnsi="Arial" w:cs="Arial"/>
          <w:bCs/>
          <w:caps w:val="0"/>
          <w:sz w:val="20"/>
        </w:rPr>
        <w:t>COVID-19</w:t>
      </w:r>
      <w:r>
        <w:rPr>
          <w:rFonts w:ascii="Arial" w:hAnsi="Arial" w:cs="Arial"/>
          <w:bCs/>
          <w:caps w:val="0"/>
          <w:sz w:val="20"/>
        </w:rPr>
        <w:tab/>
      </w:r>
      <w:r>
        <w:rPr>
          <w:rFonts w:ascii="Arial" w:hAnsi="Arial" w:cs="Arial"/>
          <w:b w:val="0"/>
          <w:caps w:val="0"/>
          <w:sz w:val="20"/>
        </w:rPr>
        <w:t>:</w:t>
      </w:r>
      <w:r>
        <w:t xml:space="preserve"> </w:t>
      </w:r>
      <w:r>
        <w:rPr>
          <w:rFonts w:ascii="Arial" w:hAnsi="Arial" w:cs="Arial"/>
          <w:b w:val="0"/>
          <w:caps w:val="0"/>
          <w:sz w:val="20"/>
        </w:rPr>
        <w:t>Corona Virus Disease 2019</w:t>
      </w:r>
    </w:p>
    <w:p w14:paraId="338F3814" w14:textId="77777777" w:rsidR="00366727" w:rsidRDefault="005265DE">
      <w:pPr>
        <w:pStyle w:val="Appendix"/>
        <w:spacing w:after="0"/>
        <w:jc w:val="both"/>
        <w:rPr>
          <w:rFonts w:ascii="Arial" w:hAnsi="Arial" w:cs="Arial"/>
          <w:bCs/>
          <w:caps w:val="0"/>
          <w:sz w:val="20"/>
        </w:rPr>
      </w:pPr>
      <w:r>
        <w:rPr>
          <w:rFonts w:ascii="Arial" w:hAnsi="Arial" w:cs="Arial"/>
          <w:bCs/>
          <w:caps w:val="0"/>
          <w:sz w:val="20"/>
        </w:rPr>
        <w:t>CUSUM</w:t>
      </w:r>
      <w:r>
        <w:rPr>
          <w:rFonts w:ascii="Arial" w:hAnsi="Arial" w:cs="Arial"/>
          <w:bCs/>
          <w:caps w:val="0"/>
          <w:sz w:val="20"/>
        </w:rPr>
        <w:tab/>
      </w:r>
      <w:r>
        <w:rPr>
          <w:rFonts w:ascii="Arial" w:hAnsi="Arial" w:cs="Arial"/>
          <w:b w:val="0"/>
          <w:caps w:val="0"/>
          <w:sz w:val="20"/>
        </w:rPr>
        <w:t>:</w:t>
      </w:r>
      <w:r>
        <w:t xml:space="preserve"> </w:t>
      </w:r>
      <w:r>
        <w:rPr>
          <w:rFonts w:ascii="Arial" w:hAnsi="Arial" w:cs="Arial"/>
          <w:b w:val="0"/>
          <w:caps w:val="0"/>
          <w:sz w:val="20"/>
        </w:rPr>
        <w:t>Cumulative Sum</w:t>
      </w:r>
    </w:p>
    <w:p w14:paraId="18671648" w14:textId="77777777" w:rsidR="00366727" w:rsidRDefault="005265DE">
      <w:pPr>
        <w:pStyle w:val="Appendix"/>
        <w:spacing w:after="0"/>
        <w:jc w:val="both"/>
        <w:rPr>
          <w:rFonts w:ascii="Arial" w:hAnsi="Arial" w:cs="Arial"/>
          <w:bCs/>
          <w:caps w:val="0"/>
          <w:sz w:val="20"/>
        </w:rPr>
      </w:pPr>
      <w:r>
        <w:rPr>
          <w:rFonts w:ascii="Arial" w:hAnsi="Arial" w:cs="Arial"/>
          <w:bCs/>
          <w:caps w:val="0"/>
          <w:sz w:val="20"/>
        </w:rPr>
        <w:t>CUSUMQ</w:t>
      </w:r>
      <w:r>
        <w:rPr>
          <w:rFonts w:ascii="Arial" w:hAnsi="Arial" w:cs="Arial"/>
          <w:bCs/>
          <w:caps w:val="0"/>
          <w:sz w:val="20"/>
        </w:rPr>
        <w:tab/>
      </w:r>
      <w:r>
        <w:rPr>
          <w:rFonts w:ascii="Arial" w:hAnsi="Arial" w:cs="Arial"/>
          <w:b w:val="0"/>
          <w:caps w:val="0"/>
          <w:sz w:val="20"/>
        </w:rPr>
        <w:t>:</w:t>
      </w:r>
      <w:r>
        <w:t xml:space="preserve"> </w:t>
      </w:r>
      <w:r>
        <w:rPr>
          <w:rFonts w:ascii="Arial" w:hAnsi="Arial" w:cs="Arial"/>
          <w:b w:val="0"/>
          <w:caps w:val="0"/>
          <w:sz w:val="20"/>
        </w:rPr>
        <w:t>Cumulative Sum of Squares of Recursive Residuals</w:t>
      </w:r>
    </w:p>
    <w:p w14:paraId="45CE98C7" w14:textId="77777777" w:rsidR="00366727" w:rsidRDefault="005265DE">
      <w:pPr>
        <w:pStyle w:val="Appendix"/>
        <w:spacing w:after="0"/>
        <w:jc w:val="both"/>
        <w:rPr>
          <w:rFonts w:ascii="Arial" w:hAnsi="Arial" w:cs="Arial"/>
          <w:bCs/>
          <w:caps w:val="0"/>
          <w:sz w:val="20"/>
        </w:rPr>
      </w:pPr>
      <w:proofErr w:type="spellStart"/>
      <w:r>
        <w:rPr>
          <w:rFonts w:ascii="Arial" w:hAnsi="Arial" w:cs="Arial"/>
          <w:bCs/>
          <w:caps w:val="0"/>
          <w:sz w:val="20"/>
        </w:rPr>
        <w:t>Eviews</w:t>
      </w:r>
      <w:proofErr w:type="spellEnd"/>
      <w:r>
        <w:rPr>
          <w:rFonts w:ascii="Arial" w:hAnsi="Arial" w:cs="Arial"/>
          <w:bCs/>
          <w:caps w:val="0"/>
          <w:sz w:val="20"/>
        </w:rPr>
        <w:tab/>
      </w:r>
      <w:r>
        <w:rPr>
          <w:rFonts w:ascii="Arial" w:hAnsi="Arial" w:cs="Arial"/>
          <w:bCs/>
          <w:caps w:val="0"/>
          <w:sz w:val="20"/>
        </w:rPr>
        <w:tab/>
      </w:r>
      <w:r>
        <w:rPr>
          <w:rFonts w:ascii="Arial" w:hAnsi="Arial" w:cs="Arial"/>
          <w:b w:val="0"/>
          <w:caps w:val="0"/>
          <w:sz w:val="20"/>
        </w:rPr>
        <w:t>:</w:t>
      </w:r>
      <w:r>
        <w:t xml:space="preserve"> </w:t>
      </w:r>
      <w:r>
        <w:rPr>
          <w:rFonts w:ascii="Arial" w:hAnsi="Arial" w:cs="Arial"/>
          <w:b w:val="0"/>
          <w:caps w:val="0"/>
          <w:sz w:val="20"/>
        </w:rPr>
        <w:t>Econometric Views</w:t>
      </w:r>
    </w:p>
    <w:p w14:paraId="21C7F538" w14:textId="77777777" w:rsidR="00366727" w:rsidRDefault="005265DE">
      <w:pPr>
        <w:pStyle w:val="Appendix"/>
        <w:spacing w:after="0"/>
        <w:jc w:val="both"/>
        <w:rPr>
          <w:rFonts w:ascii="Arial" w:hAnsi="Arial" w:cs="Arial"/>
          <w:b w:val="0"/>
          <w:caps w:val="0"/>
          <w:sz w:val="20"/>
        </w:rPr>
      </w:pPr>
      <w:r>
        <w:rPr>
          <w:rFonts w:ascii="Arial" w:hAnsi="Arial" w:cs="Arial"/>
          <w:bCs/>
          <w:caps w:val="0"/>
          <w:sz w:val="20"/>
        </w:rPr>
        <w:t>FDI</w:t>
      </w:r>
      <w:r>
        <w:rPr>
          <w:rFonts w:ascii="Arial" w:hAnsi="Arial" w:cs="Arial"/>
          <w:b w:val="0"/>
          <w:caps w:val="0"/>
          <w:sz w:val="20"/>
        </w:rPr>
        <w:tab/>
      </w:r>
      <w:r>
        <w:rPr>
          <w:rFonts w:ascii="Arial" w:hAnsi="Arial" w:cs="Arial"/>
          <w:b w:val="0"/>
          <w:caps w:val="0"/>
          <w:sz w:val="20"/>
        </w:rPr>
        <w:tab/>
        <w:t>: Foreign Direct Investment</w:t>
      </w:r>
    </w:p>
    <w:p w14:paraId="0F17208A" w14:textId="77777777" w:rsidR="00366727" w:rsidRDefault="005265DE">
      <w:pPr>
        <w:pStyle w:val="Appendix"/>
        <w:spacing w:after="0"/>
        <w:jc w:val="both"/>
        <w:rPr>
          <w:rFonts w:ascii="Arial" w:hAnsi="Arial" w:cs="Arial"/>
          <w:b w:val="0"/>
          <w:caps w:val="0"/>
          <w:sz w:val="20"/>
        </w:rPr>
      </w:pPr>
      <w:r>
        <w:rPr>
          <w:rFonts w:ascii="Arial" w:hAnsi="Arial" w:cs="Arial"/>
          <w:bCs/>
          <w:caps w:val="0"/>
          <w:sz w:val="20"/>
        </w:rPr>
        <w:t>GDP</w:t>
      </w:r>
      <w:r>
        <w:rPr>
          <w:rFonts w:ascii="Arial" w:hAnsi="Arial" w:cs="Arial"/>
          <w:b w:val="0"/>
          <w:caps w:val="0"/>
          <w:sz w:val="20"/>
        </w:rPr>
        <w:tab/>
      </w:r>
      <w:r>
        <w:rPr>
          <w:rFonts w:ascii="Arial" w:hAnsi="Arial" w:cs="Arial"/>
          <w:b w:val="0"/>
          <w:caps w:val="0"/>
          <w:sz w:val="20"/>
        </w:rPr>
        <w:tab/>
        <w:t>: Gross Domestic Product</w:t>
      </w:r>
    </w:p>
    <w:p w14:paraId="054814A5" w14:textId="77777777" w:rsidR="00366727" w:rsidRDefault="005265DE">
      <w:pPr>
        <w:pStyle w:val="Appendix"/>
        <w:spacing w:after="0"/>
        <w:jc w:val="both"/>
        <w:rPr>
          <w:rFonts w:ascii="Arial" w:hAnsi="Arial" w:cs="Arial"/>
          <w:bCs/>
          <w:caps w:val="0"/>
          <w:sz w:val="20"/>
        </w:rPr>
      </w:pPr>
      <w:r>
        <w:rPr>
          <w:rFonts w:ascii="Arial" w:hAnsi="Arial" w:cs="Arial"/>
          <w:bCs/>
          <w:caps w:val="0"/>
          <w:sz w:val="20"/>
        </w:rPr>
        <w:t>ILO</w:t>
      </w:r>
      <w:r>
        <w:rPr>
          <w:rFonts w:ascii="Arial" w:hAnsi="Arial" w:cs="Arial"/>
          <w:bCs/>
          <w:caps w:val="0"/>
          <w:sz w:val="20"/>
        </w:rPr>
        <w:tab/>
      </w:r>
      <w:r>
        <w:rPr>
          <w:rFonts w:ascii="Arial" w:hAnsi="Arial" w:cs="Arial"/>
          <w:bCs/>
          <w:caps w:val="0"/>
          <w:sz w:val="20"/>
        </w:rPr>
        <w:tab/>
      </w:r>
      <w:r>
        <w:rPr>
          <w:rFonts w:ascii="Arial" w:hAnsi="Arial" w:cs="Arial"/>
          <w:b w:val="0"/>
          <w:caps w:val="0"/>
          <w:sz w:val="20"/>
        </w:rPr>
        <w:t>:</w:t>
      </w:r>
      <w:r>
        <w:t xml:space="preserve"> </w:t>
      </w:r>
      <w:r>
        <w:rPr>
          <w:rFonts w:ascii="Arial" w:hAnsi="Arial" w:cs="Arial"/>
          <w:b w:val="0"/>
          <w:caps w:val="0"/>
          <w:sz w:val="20"/>
        </w:rPr>
        <w:t xml:space="preserve">International </w:t>
      </w:r>
      <w:proofErr w:type="spellStart"/>
      <w:r>
        <w:rPr>
          <w:rFonts w:ascii="Arial" w:hAnsi="Arial" w:cs="Arial"/>
          <w:b w:val="0"/>
          <w:caps w:val="0"/>
          <w:sz w:val="20"/>
        </w:rPr>
        <w:t>Labour</w:t>
      </w:r>
      <w:proofErr w:type="spellEnd"/>
      <w:r>
        <w:rPr>
          <w:rFonts w:ascii="Arial" w:hAnsi="Arial" w:cs="Arial"/>
          <w:b w:val="0"/>
          <w:caps w:val="0"/>
          <w:sz w:val="20"/>
        </w:rPr>
        <w:t xml:space="preserve"> Organization</w:t>
      </w:r>
    </w:p>
    <w:p w14:paraId="394CAE7F" w14:textId="77777777" w:rsidR="00366727" w:rsidRDefault="005265DE">
      <w:pPr>
        <w:pStyle w:val="Appendix"/>
        <w:spacing w:after="0"/>
        <w:jc w:val="both"/>
        <w:rPr>
          <w:rFonts w:ascii="Arial" w:hAnsi="Arial" w:cs="Arial"/>
          <w:bCs/>
          <w:caps w:val="0"/>
          <w:sz w:val="20"/>
        </w:rPr>
      </w:pPr>
      <w:r>
        <w:rPr>
          <w:rFonts w:ascii="Arial" w:hAnsi="Arial" w:cs="Arial"/>
          <w:bCs/>
          <w:caps w:val="0"/>
          <w:sz w:val="20"/>
        </w:rPr>
        <w:t>IMF</w:t>
      </w:r>
      <w:r>
        <w:rPr>
          <w:rFonts w:ascii="Arial" w:hAnsi="Arial" w:cs="Arial"/>
          <w:bCs/>
          <w:caps w:val="0"/>
          <w:sz w:val="20"/>
        </w:rPr>
        <w:tab/>
      </w:r>
      <w:r>
        <w:rPr>
          <w:rFonts w:ascii="Arial" w:hAnsi="Arial" w:cs="Arial"/>
          <w:bCs/>
          <w:caps w:val="0"/>
          <w:sz w:val="20"/>
        </w:rPr>
        <w:tab/>
      </w:r>
      <w:r>
        <w:rPr>
          <w:rFonts w:ascii="Arial" w:hAnsi="Arial" w:cs="Arial"/>
          <w:b w:val="0"/>
          <w:caps w:val="0"/>
          <w:sz w:val="20"/>
        </w:rPr>
        <w:t>:</w:t>
      </w:r>
      <w:r>
        <w:t xml:space="preserve"> </w:t>
      </w:r>
      <w:r>
        <w:rPr>
          <w:rFonts w:ascii="Arial" w:hAnsi="Arial" w:cs="Arial"/>
          <w:b w:val="0"/>
          <w:caps w:val="0"/>
          <w:sz w:val="20"/>
        </w:rPr>
        <w:t>International Monetary Fund</w:t>
      </w:r>
    </w:p>
    <w:p w14:paraId="4DCF0C96" w14:textId="77777777" w:rsidR="00366727" w:rsidRDefault="005265DE">
      <w:pPr>
        <w:pStyle w:val="Appendix"/>
        <w:spacing w:after="0"/>
        <w:jc w:val="both"/>
        <w:rPr>
          <w:rFonts w:ascii="Arial" w:hAnsi="Arial" w:cs="Arial"/>
          <w:b w:val="0"/>
          <w:caps w:val="0"/>
          <w:sz w:val="20"/>
        </w:rPr>
      </w:pPr>
      <w:r>
        <w:rPr>
          <w:rFonts w:ascii="Arial" w:hAnsi="Arial" w:cs="Arial"/>
          <w:bCs/>
          <w:caps w:val="0"/>
          <w:sz w:val="20"/>
        </w:rPr>
        <w:t>PHK</w:t>
      </w:r>
      <w:r>
        <w:rPr>
          <w:rFonts w:ascii="Arial" w:hAnsi="Arial" w:cs="Arial"/>
          <w:b w:val="0"/>
          <w:caps w:val="0"/>
          <w:sz w:val="20"/>
        </w:rPr>
        <w:tab/>
      </w:r>
      <w:r>
        <w:rPr>
          <w:rFonts w:ascii="Arial" w:hAnsi="Arial" w:cs="Arial"/>
          <w:b w:val="0"/>
          <w:caps w:val="0"/>
          <w:sz w:val="20"/>
        </w:rPr>
        <w:tab/>
        <w:t xml:space="preserve">: </w:t>
      </w:r>
      <w:proofErr w:type="spellStart"/>
      <w:r>
        <w:rPr>
          <w:rFonts w:ascii="Arial" w:hAnsi="Arial" w:cs="Arial"/>
          <w:b w:val="0"/>
          <w:caps w:val="0"/>
          <w:sz w:val="20"/>
        </w:rPr>
        <w:t>Pemutusan</w:t>
      </w:r>
      <w:proofErr w:type="spellEnd"/>
      <w:r>
        <w:rPr>
          <w:rFonts w:ascii="Arial" w:hAnsi="Arial" w:cs="Arial"/>
          <w:b w:val="0"/>
          <w:caps w:val="0"/>
          <w:sz w:val="20"/>
        </w:rPr>
        <w:t xml:space="preserve"> </w:t>
      </w:r>
      <w:proofErr w:type="spellStart"/>
      <w:r>
        <w:rPr>
          <w:rFonts w:ascii="Arial" w:hAnsi="Arial" w:cs="Arial"/>
          <w:b w:val="0"/>
          <w:caps w:val="0"/>
          <w:sz w:val="20"/>
        </w:rPr>
        <w:t>Hubungan</w:t>
      </w:r>
      <w:proofErr w:type="spellEnd"/>
      <w:r>
        <w:rPr>
          <w:rFonts w:ascii="Arial" w:hAnsi="Arial" w:cs="Arial"/>
          <w:b w:val="0"/>
          <w:caps w:val="0"/>
          <w:sz w:val="20"/>
        </w:rPr>
        <w:t xml:space="preserve"> </w:t>
      </w:r>
      <w:proofErr w:type="spellStart"/>
      <w:r>
        <w:rPr>
          <w:rFonts w:ascii="Arial" w:hAnsi="Arial" w:cs="Arial"/>
          <w:b w:val="0"/>
          <w:caps w:val="0"/>
          <w:sz w:val="20"/>
        </w:rPr>
        <w:t>Kerja</w:t>
      </w:r>
      <w:proofErr w:type="spellEnd"/>
      <w:r>
        <w:rPr>
          <w:rFonts w:ascii="Arial" w:hAnsi="Arial" w:cs="Arial"/>
          <w:b w:val="0"/>
          <w:caps w:val="0"/>
          <w:sz w:val="20"/>
        </w:rPr>
        <w:t>/</w:t>
      </w:r>
      <w:r>
        <w:t xml:space="preserve"> </w:t>
      </w:r>
      <w:r>
        <w:rPr>
          <w:rFonts w:ascii="Arial" w:hAnsi="Arial" w:cs="Arial"/>
          <w:b w:val="0"/>
          <w:caps w:val="0"/>
          <w:sz w:val="20"/>
        </w:rPr>
        <w:t>Mass Layoffs</w:t>
      </w:r>
    </w:p>
    <w:p w14:paraId="1B22B727" w14:textId="77777777" w:rsidR="00366727" w:rsidRDefault="005265DE">
      <w:pPr>
        <w:pStyle w:val="Appendix"/>
        <w:spacing w:after="0"/>
        <w:jc w:val="both"/>
        <w:rPr>
          <w:rFonts w:ascii="Arial" w:hAnsi="Arial" w:cs="Arial"/>
          <w:bCs/>
          <w:caps w:val="0"/>
          <w:sz w:val="20"/>
        </w:rPr>
      </w:pPr>
      <w:r>
        <w:rPr>
          <w:rFonts w:ascii="Arial" w:hAnsi="Arial" w:cs="Arial"/>
          <w:bCs/>
          <w:caps w:val="0"/>
          <w:sz w:val="20"/>
        </w:rPr>
        <w:t>RUEN</w:t>
      </w:r>
      <w:r>
        <w:rPr>
          <w:rFonts w:ascii="Arial" w:hAnsi="Arial" w:cs="Arial"/>
          <w:bCs/>
          <w:caps w:val="0"/>
          <w:sz w:val="20"/>
        </w:rPr>
        <w:tab/>
      </w:r>
      <w:r>
        <w:rPr>
          <w:rFonts w:ascii="Arial" w:hAnsi="Arial" w:cs="Arial"/>
          <w:bCs/>
          <w:caps w:val="0"/>
          <w:sz w:val="20"/>
        </w:rPr>
        <w:tab/>
      </w:r>
      <w:r>
        <w:rPr>
          <w:rFonts w:ascii="Arial" w:hAnsi="Arial" w:cs="Arial"/>
          <w:b w:val="0"/>
          <w:caps w:val="0"/>
          <w:sz w:val="20"/>
        </w:rPr>
        <w:t>:</w:t>
      </w:r>
      <w:r>
        <w:t xml:space="preserve"> </w:t>
      </w:r>
      <w:proofErr w:type="spellStart"/>
      <w:r>
        <w:rPr>
          <w:rFonts w:ascii="Arial" w:hAnsi="Arial" w:cs="Arial"/>
          <w:b w:val="0"/>
          <w:caps w:val="0"/>
          <w:sz w:val="20"/>
        </w:rPr>
        <w:t>Rencana</w:t>
      </w:r>
      <w:proofErr w:type="spellEnd"/>
      <w:r>
        <w:rPr>
          <w:rFonts w:ascii="Arial" w:hAnsi="Arial" w:cs="Arial"/>
          <w:b w:val="0"/>
          <w:caps w:val="0"/>
          <w:sz w:val="20"/>
        </w:rPr>
        <w:t xml:space="preserve"> </w:t>
      </w:r>
      <w:proofErr w:type="spellStart"/>
      <w:r>
        <w:rPr>
          <w:rFonts w:ascii="Arial" w:hAnsi="Arial" w:cs="Arial"/>
          <w:b w:val="0"/>
          <w:caps w:val="0"/>
          <w:sz w:val="20"/>
        </w:rPr>
        <w:t>Umum</w:t>
      </w:r>
      <w:proofErr w:type="spellEnd"/>
      <w:r>
        <w:rPr>
          <w:rFonts w:ascii="Arial" w:hAnsi="Arial" w:cs="Arial"/>
          <w:b w:val="0"/>
          <w:caps w:val="0"/>
          <w:sz w:val="20"/>
        </w:rPr>
        <w:t xml:space="preserve"> </w:t>
      </w:r>
      <w:proofErr w:type="spellStart"/>
      <w:r>
        <w:rPr>
          <w:rFonts w:ascii="Arial" w:hAnsi="Arial" w:cs="Arial"/>
          <w:b w:val="0"/>
          <w:caps w:val="0"/>
          <w:sz w:val="20"/>
        </w:rPr>
        <w:t>Energi</w:t>
      </w:r>
      <w:proofErr w:type="spellEnd"/>
      <w:r>
        <w:rPr>
          <w:rFonts w:ascii="Arial" w:hAnsi="Arial" w:cs="Arial"/>
          <w:b w:val="0"/>
          <w:caps w:val="0"/>
          <w:sz w:val="20"/>
        </w:rPr>
        <w:t xml:space="preserve"> Nasional/ National Energy Master Plan</w:t>
      </w:r>
    </w:p>
    <w:p w14:paraId="1DD912C9" w14:textId="77777777" w:rsidR="00366727" w:rsidRDefault="005265DE">
      <w:pPr>
        <w:pStyle w:val="Appendix"/>
        <w:spacing w:after="0"/>
        <w:jc w:val="both"/>
        <w:rPr>
          <w:rFonts w:ascii="Arial" w:hAnsi="Arial" w:cs="Arial"/>
          <w:b w:val="0"/>
          <w:caps w:val="0"/>
          <w:sz w:val="20"/>
        </w:rPr>
      </w:pPr>
      <w:r>
        <w:rPr>
          <w:rFonts w:ascii="Arial" w:hAnsi="Arial" w:cs="Arial"/>
          <w:bCs/>
          <w:caps w:val="0"/>
          <w:sz w:val="20"/>
        </w:rPr>
        <w:t>SIC</w:t>
      </w:r>
      <w:r>
        <w:rPr>
          <w:rFonts w:ascii="Arial" w:hAnsi="Arial" w:cs="Arial"/>
          <w:bCs/>
          <w:caps w:val="0"/>
          <w:sz w:val="20"/>
        </w:rPr>
        <w:tab/>
      </w:r>
      <w:r>
        <w:rPr>
          <w:rFonts w:ascii="Arial" w:hAnsi="Arial" w:cs="Arial"/>
          <w:bCs/>
          <w:caps w:val="0"/>
          <w:sz w:val="20"/>
        </w:rPr>
        <w:tab/>
      </w:r>
      <w:r>
        <w:rPr>
          <w:rFonts w:ascii="Arial" w:hAnsi="Arial" w:cs="Arial"/>
          <w:b w:val="0"/>
          <w:caps w:val="0"/>
          <w:sz w:val="20"/>
        </w:rPr>
        <w:t xml:space="preserve">: </w:t>
      </w:r>
      <w:proofErr w:type="spellStart"/>
      <w:r>
        <w:rPr>
          <w:rFonts w:ascii="Arial" w:hAnsi="Arial" w:cs="Arial"/>
          <w:b w:val="0"/>
          <w:caps w:val="0"/>
          <w:sz w:val="20"/>
        </w:rPr>
        <w:t>Scwartz</w:t>
      </w:r>
      <w:proofErr w:type="spellEnd"/>
      <w:r>
        <w:rPr>
          <w:rFonts w:ascii="Arial" w:hAnsi="Arial" w:cs="Arial"/>
          <w:b w:val="0"/>
          <w:caps w:val="0"/>
          <w:sz w:val="20"/>
        </w:rPr>
        <w:t xml:space="preserve"> Information Criterion</w:t>
      </w:r>
    </w:p>
    <w:p w14:paraId="2BB264AA" w14:textId="77777777" w:rsidR="00366727" w:rsidRDefault="005265DE">
      <w:pPr>
        <w:pStyle w:val="Appendix"/>
        <w:spacing w:after="0"/>
        <w:jc w:val="both"/>
        <w:rPr>
          <w:rFonts w:ascii="Arial" w:hAnsi="Arial" w:cs="Arial"/>
          <w:bCs/>
          <w:caps w:val="0"/>
          <w:sz w:val="20"/>
        </w:rPr>
      </w:pPr>
      <w:r>
        <w:rPr>
          <w:rFonts w:ascii="Arial" w:hAnsi="Arial" w:cs="Arial"/>
          <w:bCs/>
          <w:caps w:val="0"/>
          <w:sz w:val="20"/>
        </w:rPr>
        <w:t>UMKM</w:t>
      </w:r>
      <w:r>
        <w:rPr>
          <w:rFonts w:ascii="Arial" w:hAnsi="Arial" w:cs="Arial"/>
          <w:bCs/>
          <w:caps w:val="0"/>
          <w:sz w:val="20"/>
        </w:rPr>
        <w:tab/>
      </w:r>
      <w:r>
        <w:rPr>
          <w:rFonts w:ascii="Arial" w:hAnsi="Arial" w:cs="Arial"/>
          <w:b w:val="0"/>
          <w:caps w:val="0"/>
          <w:sz w:val="20"/>
        </w:rPr>
        <w:tab/>
        <w:t xml:space="preserve">: Usaha </w:t>
      </w:r>
      <w:proofErr w:type="spellStart"/>
      <w:r>
        <w:rPr>
          <w:rFonts w:ascii="Arial" w:hAnsi="Arial" w:cs="Arial"/>
          <w:b w:val="0"/>
          <w:caps w:val="0"/>
          <w:sz w:val="20"/>
        </w:rPr>
        <w:t>Mikro</w:t>
      </w:r>
      <w:proofErr w:type="spellEnd"/>
      <w:r>
        <w:rPr>
          <w:rFonts w:ascii="Arial" w:hAnsi="Arial" w:cs="Arial"/>
          <w:b w:val="0"/>
          <w:caps w:val="0"/>
          <w:sz w:val="20"/>
        </w:rPr>
        <w:t xml:space="preserve">, Kecil, dan </w:t>
      </w:r>
      <w:proofErr w:type="spellStart"/>
      <w:r>
        <w:rPr>
          <w:rFonts w:ascii="Arial" w:hAnsi="Arial" w:cs="Arial"/>
          <w:b w:val="0"/>
          <w:caps w:val="0"/>
          <w:sz w:val="20"/>
        </w:rPr>
        <w:t>Menengah</w:t>
      </w:r>
      <w:proofErr w:type="spellEnd"/>
      <w:r>
        <w:rPr>
          <w:rFonts w:ascii="Arial" w:hAnsi="Arial" w:cs="Arial"/>
          <w:b w:val="0"/>
          <w:caps w:val="0"/>
          <w:sz w:val="20"/>
        </w:rPr>
        <w:t>/</w:t>
      </w:r>
      <w:r>
        <w:t xml:space="preserve"> </w:t>
      </w:r>
      <w:r>
        <w:rPr>
          <w:rFonts w:ascii="Arial" w:hAnsi="Arial" w:cs="Arial"/>
          <w:b w:val="0"/>
          <w:caps w:val="0"/>
          <w:sz w:val="20"/>
        </w:rPr>
        <w:t>Micro, Small, and Medium Enterprises</w:t>
      </w:r>
    </w:p>
    <w:p w14:paraId="75CC97B6" w14:textId="77777777" w:rsidR="00366727" w:rsidRDefault="005265DE">
      <w:pPr>
        <w:pStyle w:val="Appendix"/>
        <w:spacing w:after="0"/>
        <w:jc w:val="both"/>
        <w:rPr>
          <w:rFonts w:ascii="Arial" w:hAnsi="Arial" w:cs="Arial"/>
          <w:b w:val="0"/>
          <w:sz w:val="20"/>
        </w:rPr>
      </w:pPr>
      <w:r>
        <w:rPr>
          <w:rFonts w:ascii="Arial" w:hAnsi="Arial" w:cs="Arial"/>
          <w:bCs/>
          <w:caps w:val="0"/>
          <w:sz w:val="20"/>
        </w:rPr>
        <w:t>USD</w:t>
      </w:r>
      <w:r>
        <w:rPr>
          <w:rFonts w:ascii="Arial" w:hAnsi="Arial" w:cs="Arial"/>
          <w:b w:val="0"/>
          <w:caps w:val="0"/>
          <w:sz w:val="20"/>
        </w:rPr>
        <w:tab/>
      </w:r>
      <w:r>
        <w:rPr>
          <w:rFonts w:ascii="Arial" w:hAnsi="Arial" w:cs="Arial"/>
          <w:b w:val="0"/>
          <w:caps w:val="0"/>
          <w:sz w:val="20"/>
        </w:rPr>
        <w:tab/>
        <w:t>:</w:t>
      </w:r>
      <w:r>
        <w:t xml:space="preserve"> </w:t>
      </w:r>
      <w:r>
        <w:rPr>
          <w:rFonts w:ascii="Arial" w:hAnsi="Arial" w:cs="Arial"/>
          <w:b w:val="0"/>
          <w:caps w:val="0"/>
          <w:sz w:val="20"/>
        </w:rPr>
        <w:t>United States Dollar</w:t>
      </w:r>
      <w:r>
        <w:rPr>
          <w:rFonts w:ascii="Arial" w:hAnsi="Arial" w:cs="Arial"/>
          <w:b w:val="0"/>
          <w:caps w:val="0"/>
          <w:sz w:val="20"/>
        </w:rPr>
        <w:tab/>
      </w:r>
    </w:p>
    <w:p w14:paraId="44E505AC" w14:textId="77777777" w:rsidR="00366727" w:rsidRDefault="00366727">
      <w:pPr>
        <w:pStyle w:val="ReferHead"/>
        <w:spacing w:after="0"/>
        <w:jc w:val="both"/>
        <w:rPr>
          <w:rFonts w:ascii="Arial" w:hAnsi="Arial" w:cs="Arial"/>
          <w:b w:val="0"/>
          <w:sz w:val="20"/>
        </w:rPr>
      </w:pPr>
    </w:p>
    <w:p w14:paraId="21176856" w14:textId="77777777" w:rsidR="00366727" w:rsidRDefault="00366727">
      <w:pPr>
        <w:pStyle w:val="ReferHead"/>
        <w:spacing w:after="0"/>
        <w:jc w:val="both"/>
        <w:rPr>
          <w:rFonts w:ascii="Arial" w:hAnsi="Arial" w:cs="Arial"/>
          <w:bCs/>
          <w:sz w:val="20"/>
        </w:rPr>
      </w:pPr>
    </w:p>
    <w:p w14:paraId="1A0A5E59" w14:textId="77777777" w:rsidR="00366727" w:rsidRDefault="005265DE">
      <w:pPr>
        <w:pStyle w:val="ReferHead"/>
        <w:spacing w:after="0"/>
        <w:jc w:val="both"/>
        <w:rPr>
          <w:rFonts w:ascii="Arial" w:hAnsi="Arial" w:cs="Arial"/>
        </w:rPr>
      </w:pPr>
      <w:r>
        <w:rPr>
          <w:rFonts w:ascii="Arial" w:hAnsi="Arial" w:cs="Arial"/>
        </w:rPr>
        <w:t>References</w:t>
      </w:r>
    </w:p>
    <w:p w14:paraId="1AD22B2A" w14:textId="77777777" w:rsidR="00366727" w:rsidRDefault="00366727">
      <w:pPr>
        <w:pStyle w:val="Body"/>
        <w:spacing w:after="0"/>
        <w:rPr>
          <w:rFonts w:ascii="Arial" w:hAnsi="Arial" w:cs="Arial"/>
          <w:i/>
          <w:u w:val="single"/>
        </w:rPr>
      </w:pPr>
    </w:p>
    <w:p w14:paraId="0BCEB1E5" w14:textId="77777777" w:rsidR="00366727" w:rsidRDefault="005265DE">
      <w:pPr>
        <w:pStyle w:val="Body"/>
        <w:spacing w:after="0"/>
        <w:ind w:left="567" w:hanging="567"/>
        <w:rPr>
          <w:rFonts w:ascii="Arial" w:hAnsi="Arial" w:cs="Arial"/>
        </w:rPr>
      </w:pPr>
      <w:proofErr w:type="spellStart"/>
      <w:r>
        <w:rPr>
          <w:rFonts w:ascii="Arial" w:hAnsi="Arial" w:cs="Arial"/>
        </w:rPr>
        <w:t>Afriyanti</w:t>
      </w:r>
      <w:proofErr w:type="spellEnd"/>
      <w:r>
        <w:rPr>
          <w:rFonts w:ascii="Arial" w:hAnsi="Arial" w:cs="Arial"/>
        </w:rPr>
        <w:t xml:space="preserve">, Y., </w:t>
      </w:r>
      <w:proofErr w:type="spellStart"/>
      <w:r>
        <w:rPr>
          <w:rFonts w:ascii="Arial" w:hAnsi="Arial" w:cs="Arial"/>
        </w:rPr>
        <w:t>Sasana</w:t>
      </w:r>
      <w:proofErr w:type="spellEnd"/>
      <w:r>
        <w:rPr>
          <w:rFonts w:ascii="Arial" w:hAnsi="Arial" w:cs="Arial"/>
        </w:rPr>
        <w:t xml:space="preserve">, H., </w:t>
      </w:r>
      <w:proofErr w:type="spellStart"/>
      <w:r>
        <w:rPr>
          <w:rFonts w:ascii="Arial" w:hAnsi="Arial" w:cs="Arial"/>
        </w:rPr>
        <w:t>Jalunggono</w:t>
      </w:r>
      <w:proofErr w:type="spellEnd"/>
      <w:r>
        <w:rPr>
          <w:rFonts w:ascii="Arial" w:hAnsi="Arial" w:cs="Arial"/>
        </w:rPr>
        <w:t xml:space="preserve">, G., </w:t>
      </w:r>
      <w:proofErr w:type="spellStart"/>
      <w:r>
        <w:rPr>
          <w:rFonts w:ascii="Arial" w:hAnsi="Arial" w:cs="Arial"/>
        </w:rPr>
        <w:t>Ekonomi</w:t>
      </w:r>
      <w:proofErr w:type="spellEnd"/>
      <w:r>
        <w:rPr>
          <w:rFonts w:ascii="Arial" w:hAnsi="Arial" w:cs="Arial"/>
        </w:rPr>
        <w:t xml:space="preserve">, F., &amp; </w:t>
      </w:r>
      <w:proofErr w:type="spellStart"/>
      <w:r>
        <w:rPr>
          <w:rFonts w:ascii="Arial" w:hAnsi="Arial" w:cs="Arial"/>
        </w:rPr>
        <w:t>Tidar</w:t>
      </w:r>
      <w:proofErr w:type="spellEnd"/>
      <w:r>
        <w:rPr>
          <w:rFonts w:ascii="Arial" w:hAnsi="Arial" w:cs="Arial"/>
        </w:rPr>
        <w:t xml:space="preserve">, U. (2021). </w:t>
      </w:r>
      <w:proofErr w:type="spellStart"/>
      <w:r>
        <w:rPr>
          <w:rFonts w:ascii="Arial" w:hAnsi="Arial" w:cs="Arial"/>
        </w:rPr>
        <w:t>Analisis</w:t>
      </w:r>
      <w:proofErr w:type="spellEnd"/>
      <w:r>
        <w:rPr>
          <w:rFonts w:ascii="Arial" w:hAnsi="Arial" w:cs="Arial"/>
        </w:rPr>
        <w:t xml:space="preserve"> </w:t>
      </w:r>
      <w:proofErr w:type="spellStart"/>
      <w:r>
        <w:rPr>
          <w:rFonts w:ascii="Arial" w:hAnsi="Arial" w:cs="Arial"/>
        </w:rPr>
        <w:t>faktor-faktor</w:t>
      </w:r>
      <w:proofErr w:type="spellEnd"/>
      <w:r>
        <w:rPr>
          <w:rFonts w:ascii="Arial" w:hAnsi="Arial" w:cs="Arial"/>
        </w:rPr>
        <w:t xml:space="preserve"> yang </w:t>
      </w:r>
      <w:proofErr w:type="spellStart"/>
      <w:r>
        <w:rPr>
          <w:rFonts w:ascii="Arial" w:hAnsi="Arial" w:cs="Arial"/>
        </w:rPr>
        <w:t>mempengaruhi</w:t>
      </w:r>
      <w:proofErr w:type="spellEnd"/>
      <w:r>
        <w:rPr>
          <w:rFonts w:ascii="Arial" w:hAnsi="Arial" w:cs="Arial"/>
        </w:rPr>
        <w:t xml:space="preserve"> </w:t>
      </w:r>
      <w:proofErr w:type="spellStart"/>
      <w:r>
        <w:rPr>
          <w:rFonts w:ascii="Arial" w:hAnsi="Arial" w:cs="Arial"/>
        </w:rPr>
        <w:t>konsumsi</w:t>
      </w:r>
      <w:proofErr w:type="spellEnd"/>
      <w:r>
        <w:rPr>
          <w:rFonts w:ascii="Arial" w:hAnsi="Arial" w:cs="Arial"/>
        </w:rPr>
        <w:t xml:space="preserve"> </w:t>
      </w:r>
      <w:proofErr w:type="spellStart"/>
      <w:r>
        <w:rPr>
          <w:rFonts w:ascii="Arial" w:hAnsi="Arial" w:cs="Arial"/>
        </w:rPr>
        <w:t>energi</w:t>
      </w:r>
      <w:proofErr w:type="spellEnd"/>
      <w:r>
        <w:rPr>
          <w:rFonts w:ascii="Arial" w:hAnsi="Arial" w:cs="Arial"/>
        </w:rPr>
        <w:t xml:space="preserve"> </w:t>
      </w:r>
      <w:proofErr w:type="spellStart"/>
      <w:r>
        <w:rPr>
          <w:rFonts w:ascii="Arial" w:hAnsi="Arial" w:cs="Arial"/>
        </w:rPr>
        <w:t>terbarukan</w:t>
      </w:r>
      <w:proofErr w:type="spellEnd"/>
      <w:r>
        <w:rPr>
          <w:rFonts w:ascii="Arial" w:hAnsi="Arial" w:cs="Arial"/>
        </w:rPr>
        <w:t xml:space="preserve"> di Indonesia [In English: Analysis of factors influencing renewable energy consumption in Indonesia]. </w:t>
      </w:r>
      <w:r>
        <w:rPr>
          <w:rFonts w:ascii="Arial" w:hAnsi="Arial" w:cs="Arial"/>
          <w:i/>
          <w:iCs/>
        </w:rPr>
        <w:t>DINAMIC: Directory Journal of Economic, 2</w:t>
      </w:r>
      <w:r>
        <w:rPr>
          <w:rFonts w:ascii="Arial" w:hAnsi="Arial" w:cs="Arial"/>
        </w:rPr>
        <w:t xml:space="preserve">(3), 865–884. </w:t>
      </w:r>
      <w:hyperlink r:id="rId18" w:history="1">
        <w:r w:rsidR="00366727">
          <w:rPr>
            <w:rStyle w:val="Hyperlink"/>
            <w:rFonts w:ascii="Arial" w:hAnsi="Arial" w:cs="Arial"/>
          </w:rPr>
          <w:t>https://doi.org/10.31002/dinamic.v2i3.1428</w:t>
        </w:r>
      </w:hyperlink>
      <w:r>
        <w:rPr>
          <w:rFonts w:ascii="Arial" w:hAnsi="Arial" w:cs="Arial"/>
        </w:rPr>
        <w:t xml:space="preserve"> </w:t>
      </w:r>
    </w:p>
    <w:p w14:paraId="138B442F" w14:textId="77777777" w:rsidR="00366727" w:rsidRDefault="005265DE">
      <w:pPr>
        <w:pStyle w:val="Body"/>
        <w:spacing w:after="0"/>
        <w:ind w:left="567" w:hanging="567"/>
        <w:rPr>
          <w:rFonts w:ascii="Arial" w:hAnsi="Arial" w:cs="Arial"/>
        </w:rPr>
      </w:pPr>
      <w:r>
        <w:rPr>
          <w:rFonts w:ascii="Arial" w:hAnsi="Arial" w:cs="Arial"/>
        </w:rPr>
        <w:t xml:space="preserve">Akita, T., &amp; </w:t>
      </w:r>
      <w:proofErr w:type="spellStart"/>
      <w:r>
        <w:rPr>
          <w:rFonts w:ascii="Arial" w:hAnsi="Arial" w:cs="Arial"/>
        </w:rPr>
        <w:t>Alisjahbana</w:t>
      </w:r>
      <w:proofErr w:type="spellEnd"/>
      <w:r>
        <w:rPr>
          <w:rFonts w:ascii="Arial" w:hAnsi="Arial" w:cs="Arial"/>
        </w:rPr>
        <w:t xml:space="preserve">, A. S. (2023). The initial impacts of the COVID-19 pandemic on regional economies in Indonesia: Structural changes and regional income inequality. </w:t>
      </w:r>
      <w:r>
        <w:rPr>
          <w:rFonts w:ascii="Arial" w:hAnsi="Arial" w:cs="Arial"/>
          <w:i/>
          <w:iCs/>
        </w:rPr>
        <w:t>Sustainability, 15</w:t>
      </w:r>
      <w:r>
        <w:rPr>
          <w:rFonts w:ascii="Arial" w:hAnsi="Arial" w:cs="Arial"/>
        </w:rPr>
        <w:t xml:space="preserve">(18), Article 13709. </w:t>
      </w:r>
      <w:hyperlink r:id="rId19" w:history="1">
        <w:r w:rsidR="00366727">
          <w:rPr>
            <w:rStyle w:val="Hyperlink"/>
            <w:rFonts w:ascii="Arial" w:hAnsi="Arial" w:cs="Arial"/>
          </w:rPr>
          <w:t>https://doi.org/10.3390/su151813709</w:t>
        </w:r>
      </w:hyperlink>
      <w:r>
        <w:rPr>
          <w:rFonts w:ascii="Arial" w:hAnsi="Arial" w:cs="Arial"/>
        </w:rPr>
        <w:t xml:space="preserve"> </w:t>
      </w:r>
    </w:p>
    <w:p w14:paraId="60C37612" w14:textId="77777777" w:rsidR="00366727" w:rsidRDefault="005265DE">
      <w:pPr>
        <w:pStyle w:val="Body"/>
        <w:spacing w:after="0"/>
        <w:ind w:left="567" w:hanging="567"/>
        <w:rPr>
          <w:rFonts w:ascii="Arial" w:hAnsi="Arial" w:cs="Arial"/>
        </w:rPr>
      </w:pPr>
      <w:proofErr w:type="spellStart"/>
      <w:r>
        <w:rPr>
          <w:rFonts w:ascii="Arial" w:hAnsi="Arial" w:cs="Arial"/>
        </w:rPr>
        <w:t>Apriliyanti</w:t>
      </w:r>
      <w:proofErr w:type="spellEnd"/>
      <w:r>
        <w:rPr>
          <w:rFonts w:ascii="Arial" w:hAnsi="Arial" w:cs="Arial"/>
        </w:rPr>
        <w:t xml:space="preserve">, I. D., </w:t>
      </w:r>
      <w:proofErr w:type="spellStart"/>
      <w:r>
        <w:rPr>
          <w:rFonts w:ascii="Arial" w:hAnsi="Arial" w:cs="Arial"/>
        </w:rPr>
        <w:t>Nugraha</w:t>
      </w:r>
      <w:proofErr w:type="spellEnd"/>
      <w:r>
        <w:rPr>
          <w:rFonts w:ascii="Arial" w:hAnsi="Arial" w:cs="Arial"/>
        </w:rPr>
        <w:t xml:space="preserve">, D. B., Kristiansen, S., &amp; Overland, I. (2024). To reform or not reform? Competing energy transition perspectives on Indonesia's monopoly electricity </w:t>
      </w:r>
      <w:r>
        <w:rPr>
          <w:rFonts w:ascii="Arial" w:hAnsi="Arial" w:cs="Arial"/>
        </w:rPr>
        <w:lastRenderedPageBreak/>
        <w:t xml:space="preserve">supplier Perusahaan </w:t>
      </w:r>
      <w:proofErr w:type="spellStart"/>
      <w:r>
        <w:rPr>
          <w:rFonts w:ascii="Arial" w:hAnsi="Arial" w:cs="Arial"/>
        </w:rPr>
        <w:t>Listrik</w:t>
      </w:r>
      <w:proofErr w:type="spellEnd"/>
      <w:r>
        <w:rPr>
          <w:rFonts w:ascii="Arial" w:hAnsi="Arial" w:cs="Arial"/>
        </w:rPr>
        <w:t xml:space="preserve"> Negara (PLN). </w:t>
      </w:r>
      <w:r>
        <w:rPr>
          <w:rFonts w:ascii="Arial" w:hAnsi="Arial" w:cs="Arial"/>
          <w:i/>
          <w:iCs/>
        </w:rPr>
        <w:t>Energy Research &amp; Social Science, 118</w:t>
      </w:r>
      <w:r>
        <w:rPr>
          <w:rFonts w:ascii="Arial" w:hAnsi="Arial" w:cs="Arial"/>
        </w:rPr>
        <w:t xml:space="preserve">, Article 103797. </w:t>
      </w:r>
      <w:hyperlink r:id="rId20" w:history="1">
        <w:r w:rsidR="00366727">
          <w:rPr>
            <w:rStyle w:val="Hyperlink"/>
            <w:rFonts w:ascii="Arial" w:hAnsi="Arial" w:cs="Arial"/>
          </w:rPr>
          <w:t>https://doi.org/10.1016/j.erss.2024.103797</w:t>
        </w:r>
      </w:hyperlink>
      <w:r>
        <w:rPr>
          <w:rFonts w:ascii="Arial" w:hAnsi="Arial" w:cs="Arial"/>
        </w:rPr>
        <w:t xml:space="preserve"> </w:t>
      </w:r>
    </w:p>
    <w:p w14:paraId="459576D1" w14:textId="77777777" w:rsidR="00366727" w:rsidRDefault="005265DE">
      <w:pPr>
        <w:pStyle w:val="Body"/>
        <w:spacing w:after="0"/>
        <w:ind w:left="567" w:hanging="567"/>
        <w:rPr>
          <w:rFonts w:ascii="Arial" w:hAnsi="Arial" w:cs="Arial"/>
        </w:rPr>
      </w:pPr>
      <w:proofErr w:type="spellStart"/>
      <w:r>
        <w:rPr>
          <w:rFonts w:ascii="Arial" w:hAnsi="Arial" w:cs="Arial"/>
        </w:rPr>
        <w:t>Audrino</w:t>
      </w:r>
      <w:proofErr w:type="spellEnd"/>
      <w:r>
        <w:rPr>
          <w:rFonts w:ascii="Arial" w:hAnsi="Arial" w:cs="Arial"/>
        </w:rPr>
        <w:t xml:space="preserve">, F., &amp; </w:t>
      </w:r>
      <w:proofErr w:type="spellStart"/>
      <w:r>
        <w:rPr>
          <w:rFonts w:ascii="Arial" w:hAnsi="Arial" w:cs="Arial"/>
        </w:rPr>
        <w:t>Offner</w:t>
      </w:r>
      <w:proofErr w:type="spellEnd"/>
      <w:r>
        <w:rPr>
          <w:rFonts w:ascii="Arial" w:hAnsi="Arial" w:cs="Arial"/>
        </w:rPr>
        <w:t xml:space="preserve">, E. A. (2024). The impact of macroeconomic news sentiment on interest rates. </w:t>
      </w:r>
      <w:r>
        <w:rPr>
          <w:rFonts w:ascii="Arial" w:hAnsi="Arial" w:cs="Arial"/>
          <w:i/>
          <w:iCs/>
        </w:rPr>
        <w:t>International Review of Financial Analysis, 94</w:t>
      </w:r>
      <w:r>
        <w:rPr>
          <w:rFonts w:ascii="Arial" w:hAnsi="Arial" w:cs="Arial"/>
        </w:rPr>
        <w:t xml:space="preserve">, Article 103293. </w:t>
      </w:r>
      <w:hyperlink r:id="rId21" w:history="1">
        <w:r w:rsidR="00366727">
          <w:rPr>
            <w:rStyle w:val="Hyperlink"/>
            <w:rFonts w:ascii="Arial" w:hAnsi="Arial" w:cs="Arial"/>
          </w:rPr>
          <w:t>https://doi.org/10.1016/j.irfa.2024.103293</w:t>
        </w:r>
      </w:hyperlink>
      <w:r>
        <w:rPr>
          <w:rFonts w:ascii="Arial" w:hAnsi="Arial" w:cs="Arial"/>
        </w:rPr>
        <w:t xml:space="preserve"> </w:t>
      </w:r>
    </w:p>
    <w:p w14:paraId="11FC0772" w14:textId="77777777" w:rsidR="00366727" w:rsidRDefault="005265DE">
      <w:pPr>
        <w:pStyle w:val="Body"/>
        <w:spacing w:after="0"/>
        <w:ind w:left="567" w:hanging="567"/>
        <w:rPr>
          <w:rFonts w:ascii="Arial" w:hAnsi="Arial" w:cs="Arial"/>
        </w:rPr>
      </w:pPr>
      <w:r w:rsidRPr="00FF334B">
        <w:rPr>
          <w:rFonts w:ascii="Arial" w:hAnsi="Arial" w:cs="Arial"/>
          <w:lang w:val="nb-NO"/>
        </w:rPr>
        <w:t xml:space="preserve">Borhan, H., Ridzuan, A. R., &amp; Razak, M. I. (2023). </w:t>
      </w:r>
      <w:r>
        <w:rPr>
          <w:rFonts w:ascii="Arial" w:hAnsi="Arial" w:cs="Arial"/>
        </w:rPr>
        <w:t xml:space="preserve">The dynamic relationship between energy consumption and level of unemployment rates in Malaysia: A time series analysis based on ARDL estimation. </w:t>
      </w:r>
      <w:r>
        <w:rPr>
          <w:rFonts w:ascii="Arial" w:hAnsi="Arial" w:cs="Arial"/>
          <w:i/>
          <w:iCs/>
        </w:rPr>
        <w:t>International Journal of Energy Economics and Policy, 13</w:t>
      </w:r>
      <w:r>
        <w:rPr>
          <w:rFonts w:ascii="Arial" w:hAnsi="Arial" w:cs="Arial"/>
        </w:rPr>
        <w:t xml:space="preserve">(2), 207–214. </w:t>
      </w:r>
      <w:hyperlink r:id="rId22" w:history="1">
        <w:r w:rsidR="00366727">
          <w:rPr>
            <w:rStyle w:val="Hyperlink"/>
            <w:rFonts w:ascii="Arial" w:hAnsi="Arial" w:cs="Arial"/>
          </w:rPr>
          <w:t>https://doi.org/10.32479/ijeep.13893</w:t>
        </w:r>
      </w:hyperlink>
      <w:r>
        <w:rPr>
          <w:rFonts w:ascii="Arial" w:hAnsi="Arial" w:cs="Arial"/>
        </w:rPr>
        <w:t xml:space="preserve"> </w:t>
      </w:r>
    </w:p>
    <w:p w14:paraId="5F8984CC" w14:textId="1472D0E8" w:rsidR="00EA515C" w:rsidRDefault="00EA515C" w:rsidP="00EA515C">
      <w:pPr>
        <w:pStyle w:val="Body"/>
        <w:spacing w:after="0"/>
        <w:ind w:left="567" w:hanging="567"/>
        <w:rPr>
          <w:rFonts w:ascii="Arial" w:hAnsi="Arial" w:cs="Arial"/>
        </w:rPr>
      </w:pPr>
      <w:r w:rsidRPr="008E1BC5">
        <w:rPr>
          <w:rFonts w:ascii="Arial" w:hAnsi="Arial" w:cs="Arial"/>
        </w:rPr>
        <w:t>BPS-Statistics Indonesia</w:t>
      </w:r>
      <w:r>
        <w:rPr>
          <w:rFonts w:ascii="Arial" w:hAnsi="Arial" w:cs="Arial"/>
        </w:rPr>
        <w:t>.</w:t>
      </w:r>
      <w:r w:rsidRPr="008E1BC5">
        <w:rPr>
          <w:rFonts w:ascii="Arial" w:hAnsi="Arial" w:cs="Arial"/>
        </w:rPr>
        <w:t xml:space="preserve"> </w:t>
      </w:r>
      <w:r>
        <w:rPr>
          <w:rFonts w:ascii="Arial" w:hAnsi="Arial" w:cs="Arial"/>
        </w:rPr>
        <w:t>(</w:t>
      </w:r>
      <w:r w:rsidRPr="008E1BC5">
        <w:rPr>
          <w:rFonts w:ascii="Arial" w:hAnsi="Arial" w:cs="Arial"/>
        </w:rPr>
        <w:t>20</w:t>
      </w:r>
      <w:r>
        <w:rPr>
          <w:rFonts w:ascii="Arial" w:hAnsi="Arial" w:cs="Arial"/>
        </w:rPr>
        <w:t xml:space="preserve">19). </w:t>
      </w:r>
      <w:r w:rsidRPr="00EA515C">
        <w:rPr>
          <w:rFonts w:ascii="Arial" w:hAnsi="Arial" w:cs="Arial"/>
        </w:rPr>
        <w:t>August 2019: Open unemployment rate (TPT) of 5.28 percent</w:t>
      </w:r>
      <w:r>
        <w:rPr>
          <w:rFonts w:ascii="Arial" w:hAnsi="Arial" w:cs="Arial"/>
        </w:rPr>
        <w:t xml:space="preserve">. </w:t>
      </w:r>
      <w:r w:rsidRPr="008D07A2">
        <w:rPr>
          <w:rFonts w:ascii="Arial" w:hAnsi="Arial" w:cs="Arial"/>
          <w:i/>
          <w:iCs/>
        </w:rPr>
        <w:t>Official Statistics News</w:t>
      </w:r>
      <w:r>
        <w:rPr>
          <w:rFonts w:ascii="Arial" w:hAnsi="Arial" w:cs="Arial"/>
        </w:rPr>
        <w:t xml:space="preserve">. </w:t>
      </w:r>
      <w:r w:rsidRPr="008E1BC5">
        <w:rPr>
          <w:rFonts w:ascii="Arial" w:hAnsi="Arial" w:cs="Arial"/>
        </w:rPr>
        <w:t>Retrieved from</w:t>
      </w:r>
      <w:r>
        <w:rPr>
          <w:rFonts w:ascii="Arial" w:hAnsi="Arial" w:cs="Arial"/>
        </w:rPr>
        <w:t xml:space="preserve"> </w:t>
      </w:r>
      <w:hyperlink r:id="rId23" w:history="1">
        <w:r w:rsidR="00C975A9" w:rsidRPr="00262F78">
          <w:rPr>
            <w:rStyle w:val="Hyperlink"/>
            <w:rFonts w:ascii="Arial" w:hAnsi="Arial" w:cs="Arial"/>
          </w:rPr>
          <w:t>https://www.bps.go.id/en/pressrelease/2019/11/05/1565/august-2019-open-unemployment-rate--tpt--of-5-28-percent.html</w:t>
        </w:r>
      </w:hyperlink>
      <w:r w:rsidR="00C975A9">
        <w:rPr>
          <w:rFonts w:ascii="Arial" w:hAnsi="Arial" w:cs="Arial"/>
        </w:rPr>
        <w:t xml:space="preserve"> </w:t>
      </w:r>
    </w:p>
    <w:p w14:paraId="5AA2CA4C" w14:textId="43FA32E6" w:rsidR="008E1BC5" w:rsidRDefault="008E1BC5" w:rsidP="00C975A9">
      <w:pPr>
        <w:pStyle w:val="Body"/>
        <w:spacing w:after="0"/>
        <w:ind w:left="567" w:hanging="567"/>
        <w:rPr>
          <w:rFonts w:ascii="Arial" w:hAnsi="Arial" w:cs="Arial"/>
        </w:rPr>
      </w:pPr>
      <w:r w:rsidRPr="008E1BC5">
        <w:rPr>
          <w:rFonts w:ascii="Arial" w:hAnsi="Arial" w:cs="Arial"/>
        </w:rPr>
        <w:t>BPS-Statistics Indonesia</w:t>
      </w:r>
      <w:r>
        <w:rPr>
          <w:rFonts w:ascii="Arial" w:hAnsi="Arial" w:cs="Arial"/>
        </w:rPr>
        <w:t>.</w:t>
      </w:r>
      <w:r w:rsidRPr="008E1BC5">
        <w:rPr>
          <w:rFonts w:ascii="Arial" w:hAnsi="Arial" w:cs="Arial"/>
        </w:rPr>
        <w:t xml:space="preserve"> </w:t>
      </w:r>
      <w:r>
        <w:rPr>
          <w:rFonts w:ascii="Arial" w:hAnsi="Arial" w:cs="Arial"/>
        </w:rPr>
        <w:t>(</w:t>
      </w:r>
      <w:r w:rsidRPr="008E1BC5">
        <w:rPr>
          <w:rFonts w:ascii="Arial" w:hAnsi="Arial" w:cs="Arial"/>
        </w:rPr>
        <w:t>2023</w:t>
      </w:r>
      <w:r>
        <w:rPr>
          <w:rFonts w:ascii="Arial" w:hAnsi="Arial" w:cs="Arial"/>
        </w:rPr>
        <w:t xml:space="preserve">). </w:t>
      </w:r>
      <w:r w:rsidRPr="008E1BC5">
        <w:rPr>
          <w:rFonts w:ascii="Arial" w:hAnsi="Arial" w:cs="Arial"/>
        </w:rPr>
        <w:t xml:space="preserve">Unemployment rate was 5.32 percent &amp; average </w:t>
      </w:r>
      <w:proofErr w:type="spellStart"/>
      <w:r w:rsidRPr="008E1BC5">
        <w:rPr>
          <w:rFonts w:ascii="Arial" w:hAnsi="Arial" w:cs="Arial"/>
        </w:rPr>
        <w:t>labour</w:t>
      </w:r>
      <w:proofErr w:type="spellEnd"/>
      <w:r w:rsidRPr="008E1BC5">
        <w:rPr>
          <w:rFonts w:ascii="Arial" w:hAnsi="Arial" w:cs="Arial"/>
        </w:rPr>
        <w:t xml:space="preserve"> wage was 3.18 </w:t>
      </w:r>
      <w:proofErr w:type="spellStart"/>
      <w:r w:rsidRPr="008E1BC5">
        <w:rPr>
          <w:rFonts w:ascii="Arial" w:hAnsi="Arial" w:cs="Arial"/>
        </w:rPr>
        <w:t>milion</w:t>
      </w:r>
      <w:proofErr w:type="spellEnd"/>
      <w:r w:rsidRPr="008E1BC5">
        <w:rPr>
          <w:rFonts w:ascii="Arial" w:hAnsi="Arial" w:cs="Arial"/>
        </w:rPr>
        <w:t xml:space="preserve"> rupiahs per month</w:t>
      </w:r>
      <w:r>
        <w:rPr>
          <w:rFonts w:ascii="Arial" w:hAnsi="Arial" w:cs="Arial"/>
        </w:rPr>
        <w:t xml:space="preserve">. </w:t>
      </w:r>
      <w:r w:rsidRPr="000E14E7">
        <w:rPr>
          <w:rFonts w:ascii="Arial" w:hAnsi="Arial" w:cs="Arial"/>
          <w:i/>
          <w:iCs/>
        </w:rPr>
        <w:t>Official Statistics News</w:t>
      </w:r>
      <w:r>
        <w:rPr>
          <w:rFonts w:ascii="Arial" w:hAnsi="Arial" w:cs="Arial"/>
        </w:rPr>
        <w:t xml:space="preserve">. </w:t>
      </w:r>
      <w:r w:rsidRPr="008E1BC5">
        <w:rPr>
          <w:rFonts w:ascii="Arial" w:hAnsi="Arial" w:cs="Arial"/>
        </w:rPr>
        <w:t>Retrieved from</w:t>
      </w:r>
      <w:r>
        <w:rPr>
          <w:rFonts w:ascii="Arial" w:hAnsi="Arial" w:cs="Arial"/>
        </w:rPr>
        <w:t xml:space="preserve"> </w:t>
      </w:r>
      <w:hyperlink r:id="rId24" w:history="1">
        <w:r w:rsidR="00C975A9" w:rsidRPr="00262F78">
          <w:rPr>
            <w:rStyle w:val="Hyperlink"/>
            <w:rFonts w:ascii="Arial" w:hAnsi="Arial" w:cs="Arial"/>
          </w:rPr>
          <w:t>https://www.bps.go.id/en/pressrelease/2023/11/06/2002/unemployment-rate-was-5-32-percent---average-labour-wage-was-3-18-milion-rupiahs-per-month.html</w:t>
        </w:r>
      </w:hyperlink>
      <w:r w:rsidR="00C975A9">
        <w:rPr>
          <w:rFonts w:ascii="Arial" w:hAnsi="Arial" w:cs="Arial"/>
        </w:rPr>
        <w:t xml:space="preserve"> </w:t>
      </w:r>
    </w:p>
    <w:p w14:paraId="258FBA2F" w14:textId="1B342827" w:rsidR="00C975A9" w:rsidRDefault="00C975A9" w:rsidP="00C975A9">
      <w:pPr>
        <w:pStyle w:val="Body"/>
        <w:spacing w:after="0"/>
        <w:ind w:left="567" w:hanging="567"/>
        <w:rPr>
          <w:rFonts w:ascii="Arial" w:hAnsi="Arial" w:cs="Arial"/>
        </w:rPr>
      </w:pPr>
      <w:r w:rsidRPr="00C975A9">
        <w:rPr>
          <w:rFonts w:ascii="Arial" w:hAnsi="Arial" w:cs="Arial"/>
        </w:rPr>
        <w:t>BPS-Statistics Indonesia. (20</w:t>
      </w:r>
      <w:r>
        <w:rPr>
          <w:rFonts w:ascii="Arial" w:hAnsi="Arial" w:cs="Arial"/>
        </w:rPr>
        <w:t>25</w:t>
      </w:r>
      <w:r w:rsidRPr="00C975A9">
        <w:rPr>
          <w:rFonts w:ascii="Arial" w:hAnsi="Arial" w:cs="Arial"/>
        </w:rPr>
        <w:t>)</w:t>
      </w:r>
      <w:r>
        <w:rPr>
          <w:rFonts w:ascii="Arial" w:hAnsi="Arial" w:cs="Arial"/>
        </w:rPr>
        <w:t xml:space="preserve">. </w:t>
      </w:r>
      <w:proofErr w:type="spellStart"/>
      <w:r w:rsidRPr="00C975A9">
        <w:rPr>
          <w:rFonts w:ascii="Arial" w:hAnsi="Arial" w:cs="Arial"/>
        </w:rPr>
        <w:t>Penyedia</w:t>
      </w:r>
      <w:proofErr w:type="spellEnd"/>
      <w:r w:rsidRPr="00C975A9">
        <w:rPr>
          <w:rFonts w:ascii="Arial" w:hAnsi="Arial" w:cs="Arial"/>
        </w:rPr>
        <w:t xml:space="preserve"> data </w:t>
      </w:r>
      <w:proofErr w:type="spellStart"/>
      <w:r w:rsidRPr="00C975A9">
        <w:rPr>
          <w:rFonts w:ascii="Arial" w:hAnsi="Arial" w:cs="Arial"/>
        </w:rPr>
        <w:t>statistik</w:t>
      </w:r>
      <w:proofErr w:type="spellEnd"/>
      <w:r w:rsidRPr="00C975A9">
        <w:rPr>
          <w:rFonts w:ascii="Arial" w:hAnsi="Arial" w:cs="Arial"/>
        </w:rPr>
        <w:t xml:space="preserve"> </w:t>
      </w:r>
      <w:proofErr w:type="spellStart"/>
      <w:r w:rsidRPr="00C975A9">
        <w:rPr>
          <w:rFonts w:ascii="Arial" w:hAnsi="Arial" w:cs="Arial"/>
        </w:rPr>
        <w:t>berkualitas</w:t>
      </w:r>
      <w:proofErr w:type="spellEnd"/>
      <w:r>
        <w:rPr>
          <w:rFonts w:ascii="Arial" w:hAnsi="Arial" w:cs="Arial"/>
        </w:rPr>
        <w:t xml:space="preserve"> </w:t>
      </w:r>
      <w:proofErr w:type="spellStart"/>
      <w:r w:rsidRPr="00C975A9">
        <w:rPr>
          <w:rFonts w:ascii="Arial" w:hAnsi="Arial" w:cs="Arial"/>
        </w:rPr>
        <w:t>untuk</w:t>
      </w:r>
      <w:proofErr w:type="spellEnd"/>
      <w:r w:rsidRPr="00C975A9">
        <w:rPr>
          <w:rFonts w:ascii="Arial" w:hAnsi="Arial" w:cs="Arial"/>
        </w:rPr>
        <w:t xml:space="preserve"> Indonesia </w:t>
      </w:r>
      <w:proofErr w:type="spellStart"/>
      <w:r>
        <w:rPr>
          <w:rFonts w:ascii="Arial" w:hAnsi="Arial" w:cs="Arial"/>
        </w:rPr>
        <w:t>m</w:t>
      </w:r>
      <w:r w:rsidRPr="00C975A9">
        <w:rPr>
          <w:rFonts w:ascii="Arial" w:hAnsi="Arial" w:cs="Arial"/>
        </w:rPr>
        <w:t>aju</w:t>
      </w:r>
      <w:proofErr w:type="spellEnd"/>
      <w:r>
        <w:rPr>
          <w:rFonts w:ascii="Arial" w:hAnsi="Arial" w:cs="Arial"/>
        </w:rPr>
        <w:t xml:space="preserve"> </w:t>
      </w:r>
      <w:r w:rsidRPr="00C975A9">
        <w:rPr>
          <w:rFonts w:ascii="Arial" w:hAnsi="Arial" w:cs="Arial"/>
        </w:rPr>
        <w:t>[</w:t>
      </w:r>
      <w:r>
        <w:rPr>
          <w:rFonts w:ascii="Arial" w:hAnsi="Arial" w:cs="Arial"/>
        </w:rPr>
        <w:t xml:space="preserve">In English: </w:t>
      </w:r>
      <w:r w:rsidRPr="00C975A9">
        <w:rPr>
          <w:rFonts w:ascii="Arial" w:hAnsi="Arial" w:cs="Arial"/>
        </w:rPr>
        <w:t>A provider of high-quality statistical data for a progressive Indonesia]</w:t>
      </w:r>
      <w:r>
        <w:rPr>
          <w:rFonts w:ascii="Arial" w:hAnsi="Arial" w:cs="Arial"/>
        </w:rPr>
        <w:t xml:space="preserve">. </w:t>
      </w:r>
      <w:r w:rsidRPr="00C975A9">
        <w:rPr>
          <w:rFonts w:ascii="Arial" w:hAnsi="Arial" w:cs="Arial"/>
        </w:rPr>
        <w:t>Retrieved from</w:t>
      </w:r>
      <w:r>
        <w:rPr>
          <w:rFonts w:ascii="Arial" w:hAnsi="Arial" w:cs="Arial"/>
        </w:rPr>
        <w:t xml:space="preserve"> </w:t>
      </w:r>
      <w:hyperlink r:id="rId25" w:history="1">
        <w:r w:rsidRPr="00262F78">
          <w:rPr>
            <w:rStyle w:val="Hyperlink"/>
            <w:rFonts w:ascii="Arial" w:hAnsi="Arial" w:cs="Arial"/>
          </w:rPr>
          <w:t>https://www.bps.go.id/id</w:t>
        </w:r>
      </w:hyperlink>
      <w:r w:rsidR="00F4070D">
        <w:rPr>
          <w:rFonts w:ascii="Arial" w:hAnsi="Arial" w:cs="Arial"/>
        </w:rPr>
        <w:t xml:space="preserve"> </w:t>
      </w:r>
      <w:r>
        <w:rPr>
          <w:rFonts w:ascii="Arial" w:hAnsi="Arial" w:cs="Arial"/>
        </w:rPr>
        <w:t xml:space="preserve"> </w:t>
      </w:r>
    </w:p>
    <w:p w14:paraId="0CB659E3" w14:textId="5F464346" w:rsidR="00366727" w:rsidRDefault="005265DE" w:rsidP="00C975A9">
      <w:pPr>
        <w:pStyle w:val="Body"/>
        <w:spacing w:after="0"/>
        <w:ind w:left="567" w:hanging="567"/>
        <w:rPr>
          <w:rFonts w:ascii="Arial" w:hAnsi="Arial" w:cs="Arial"/>
        </w:rPr>
      </w:pPr>
      <w:r>
        <w:rPr>
          <w:rFonts w:ascii="Arial" w:hAnsi="Arial" w:cs="Arial"/>
        </w:rPr>
        <w:t xml:space="preserve">Daniel, S. U., Israel, V. C., </w:t>
      </w:r>
      <w:proofErr w:type="spellStart"/>
      <w:r>
        <w:rPr>
          <w:rFonts w:ascii="Arial" w:hAnsi="Arial" w:cs="Arial"/>
        </w:rPr>
        <w:t>Chidubem</w:t>
      </w:r>
      <w:proofErr w:type="spellEnd"/>
      <w:r>
        <w:rPr>
          <w:rFonts w:ascii="Arial" w:hAnsi="Arial" w:cs="Arial"/>
        </w:rPr>
        <w:t xml:space="preserve">, C. B., &amp; Quansah, J. (2021). Relationship between inflation and unemployment: Testing Philips curve hypotheses and investigating the causes of inflation and unemployment in Nigeria. </w:t>
      </w:r>
      <w:proofErr w:type="spellStart"/>
      <w:r>
        <w:rPr>
          <w:rFonts w:ascii="Arial" w:hAnsi="Arial" w:cs="Arial"/>
          <w:i/>
          <w:iCs/>
        </w:rPr>
        <w:t>Traektoriâ</w:t>
      </w:r>
      <w:proofErr w:type="spellEnd"/>
      <w:r>
        <w:rPr>
          <w:rFonts w:ascii="Arial" w:hAnsi="Arial" w:cs="Arial"/>
          <w:i/>
          <w:iCs/>
        </w:rPr>
        <w:t xml:space="preserve"> </w:t>
      </w:r>
      <w:proofErr w:type="spellStart"/>
      <w:r>
        <w:rPr>
          <w:rFonts w:ascii="Arial" w:hAnsi="Arial" w:cs="Arial"/>
          <w:i/>
          <w:iCs/>
        </w:rPr>
        <w:t>Nauki</w:t>
      </w:r>
      <w:proofErr w:type="spellEnd"/>
      <w:r>
        <w:rPr>
          <w:rFonts w:ascii="Arial" w:hAnsi="Arial" w:cs="Arial"/>
          <w:i/>
          <w:iCs/>
        </w:rPr>
        <w:t xml:space="preserve"> = Path of Science, 7</w:t>
      </w:r>
      <w:r>
        <w:rPr>
          <w:rFonts w:ascii="Arial" w:hAnsi="Arial" w:cs="Arial"/>
        </w:rPr>
        <w:t xml:space="preserve">(9), 1013–1027. </w:t>
      </w:r>
      <w:hyperlink r:id="rId26" w:history="1">
        <w:r w:rsidR="00366727">
          <w:rPr>
            <w:rStyle w:val="Hyperlink"/>
            <w:rFonts w:ascii="Arial" w:hAnsi="Arial" w:cs="Arial"/>
          </w:rPr>
          <w:t>https://doi.org/10.22178/pos.74-13</w:t>
        </w:r>
      </w:hyperlink>
      <w:r>
        <w:rPr>
          <w:rFonts w:ascii="Arial" w:hAnsi="Arial" w:cs="Arial"/>
        </w:rPr>
        <w:t xml:space="preserve"> </w:t>
      </w:r>
    </w:p>
    <w:p w14:paraId="4AA31927" w14:textId="77777777" w:rsidR="00366727" w:rsidRDefault="005265DE">
      <w:pPr>
        <w:pStyle w:val="Body"/>
        <w:spacing w:after="0"/>
        <w:ind w:left="567" w:hanging="567"/>
        <w:rPr>
          <w:rFonts w:ascii="Arial" w:hAnsi="Arial" w:cs="Arial"/>
        </w:rPr>
      </w:pPr>
      <w:r>
        <w:rPr>
          <w:rFonts w:ascii="Arial" w:hAnsi="Arial" w:cs="Arial"/>
        </w:rPr>
        <w:t xml:space="preserve">Dao, T. B. T., </w:t>
      </w:r>
      <w:proofErr w:type="spellStart"/>
      <w:r>
        <w:rPr>
          <w:rFonts w:ascii="Arial" w:hAnsi="Arial" w:cs="Arial"/>
        </w:rPr>
        <w:t>Khuc</w:t>
      </w:r>
      <w:proofErr w:type="spellEnd"/>
      <w:r>
        <w:rPr>
          <w:rFonts w:ascii="Arial" w:hAnsi="Arial" w:cs="Arial"/>
        </w:rPr>
        <w:t xml:space="preserve">, V. Q., Dong, M. C., &amp; Cao, T. L. (2023). How does foreign direct investment drive employment growth in Vietnam’s formal economy? </w:t>
      </w:r>
      <w:r>
        <w:rPr>
          <w:rFonts w:ascii="Arial" w:hAnsi="Arial" w:cs="Arial"/>
          <w:i/>
          <w:iCs/>
        </w:rPr>
        <w:t>Economies, 11</w:t>
      </w:r>
      <w:r>
        <w:rPr>
          <w:rFonts w:ascii="Arial" w:hAnsi="Arial" w:cs="Arial"/>
        </w:rPr>
        <w:t xml:space="preserve">(11), Article 266. </w:t>
      </w:r>
      <w:hyperlink r:id="rId27" w:history="1">
        <w:r w:rsidR="00366727">
          <w:rPr>
            <w:rStyle w:val="Hyperlink"/>
            <w:rFonts w:ascii="Arial" w:hAnsi="Arial" w:cs="Arial"/>
          </w:rPr>
          <w:t>https://doi.org/10.3390/economies11110266</w:t>
        </w:r>
      </w:hyperlink>
      <w:r>
        <w:rPr>
          <w:rFonts w:ascii="Arial" w:hAnsi="Arial" w:cs="Arial"/>
        </w:rPr>
        <w:t xml:space="preserve"> </w:t>
      </w:r>
    </w:p>
    <w:p w14:paraId="6E08D624" w14:textId="77777777" w:rsidR="00366727" w:rsidRDefault="005265DE">
      <w:pPr>
        <w:pStyle w:val="Body"/>
        <w:spacing w:after="0"/>
        <w:ind w:left="567" w:hanging="567"/>
        <w:rPr>
          <w:rFonts w:ascii="Arial" w:hAnsi="Arial" w:cs="Arial"/>
        </w:rPr>
      </w:pPr>
      <w:proofErr w:type="spellStart"/>
      <w:r>
        <w:rPr>
          <w:rFonts w:ascii="Arial" w:hAnsi="Arial" w:cs="Arial"/>
        </w:rPr>
        <w:t>Faturohim</w:t>
      </w:r>
      <w:proofErr w:type="spellEnd"/>
      <w:r>
        <w:rPr>
          <w:rFonts w:ascii="Arial" w:hAnsi="Arial" w:cs="Arial"/>
        </w:rPr>
        <w:t xml:space="preserve">, A., Akbar, A., </w:t>
      </w:r>
      <w:proofErr w:type="spellStart"/>
      <w:r>
        <w:rPr>
          <w:rFonts w:ascii="Arial" w:hAnsi="Arial" w:cs="Arial"/>
        </w:rPr>
        <w:t>Hidayat</w:t>
      </w:r>
      <w:proofErr w:type="spellEnd"/>
      <w:r>
        <w:rPr>
          <w:rFonts w:ascii="Arial" w:hAnsi="Arial" w:cs="Arial"/>
        </w:rPr>
        <w:t xml:space="preserve">, B. A., &amp; </w:t>
      </w:r>
      <w:proofErr w:type="spellStart"/>
      <w:r>
        <w:rPr>
          <w:rFonts w:ascii="Arial" w:hAnsi="Arial" w:cs="Arial"/>
        </w:rPr>
        <w:t>Saksono</w:t>
      </w:r>
      <w:proofErr w:type="spellEnd"/>
      <w:r>
        <w:rPr>
          <w:rFonts w:ascii="Arial" w:hAnsi="Arial" w:cs="Arial"/>
        </w:rPr>
        <w:t xml:space="preserve">, H. (2023). An analysis of urban poverty and unemployment. </w:t>
      </w:r>
      <w:proofErr w:type="spellStart"/>
      <w:r>
        <w:rPr>
          <w:rFonts w:ascii="Arial" w:hAnsi="Arial" w:cs="Arial"/>
          <w:i/>
          <w:iCs/>
        </w:rPr>
        <w:t>Jurnal</w:t>
      </w:r>
      <w:proofErr w:type="spellEnd"/>
      <w:r>
        <w:rPr>
          <w:rFonts w:ascii="Arial" w:hAnsi="Arial" w:cs="Arial"/>
          <w:i/>
          <w:iCs/>
        </w:rPr>
        <w:t xml:space="preserve"> Bina </w:t>
      </w:r>
      <w:proofErr w:type="spellStart"/>
      <w:r>
        <w:rPr>
          <w:rFonts w:ascii="Arial" w:hAnsi="Arial" w:cs="Arial"/>
          <w:i/>
          <w:iCs/>
        </w:rPr>
        <w:t>Praja</w:t>
      </w:r>
      <w:proofErr w:type="spellEnd"/>
      <w:r>
        <w:rPr>
          <w:rFonts w:ascii="Arial" w:hAnsi="Arial" w:cs="Arial"/>
          <w:i/>
          <w:iCs/>
        </w:rPr>
        <w:t>, 15</w:t>
      </w:r>
      <w:r>
        <w:rPr>
          <w:rFonts w:ascii="Arial" w:hAnsi="Arial" w:cs="Arial"/>
        </w:rPr>
        <w:t xml:space="preserve">(2), 309–324. </w:t>
      </w:r>
      <w:hyperlink r:id="rId28" w:history="1">
        <w:r w:rsidR="00366727">
          <w:rPr>
            <w:rStyle w:val="Hyperlink"/>
            <w:rFonts w:ascii="Arial" w:hAnsi="Arial" w:cs="Arial"/>
          </w:rPr>
          <w:t>https://doi.org/10.21787/jbp.15.2023.309-324</w:t>
        </w:r>
      </w:hyperlink>
    </w:p>
    <w:p w14:paraId="640C0F46" w14:textId="77777777" w:rsidR="00366727" w:rsidRDefault="005265DE">
      <w:pPr>
        <w:pStyle w:val="Body"/>
        <w:spacing w:after="0"/>
        <w:ind w:left="567" w:hanging="567"/>
        <w:rPr>
          <w:rFonts w:ascii="Arial" w:hAnsi="Arial" w:cs="Arial"/>
        </w:rPr>
      </w:pPr>
      <w:proofErr w:type="spellStart"/>
      <w:r>
        <w:rPr>
          <w:rFonts w:ascii="Arial" w:hAnsi="Arial" w:cs="Arial"/>
        </w:rPr>
        <w:t>Fazaalloh</w:t>
      </w:r>
      <w:proofErr w:type="spellEnd"/>
      <w:r>
        <w:rPr>
          <w:rFonts w:ascii="Arial" w:hAnsi="Arial" w:cs="Arial"/>
        </w:rPr>
        <w:t xml:space="preserve">, A. M. (2024). FDI and economic growth in Indonesia: A provincial and sectoral analysis. </w:t>
      </w:r>
      <w:r>
        <w:rPr>
          <w:rFonts w:ascii="Arial" w:hAnsi="Arial" w:cs="Arial"/>
          <w:i/>
          <w:iCs/>
        </w:rPr>
        <w:t>Economic Structures, 13</w:t>
      </w:r>
      <w:r>
        <w:rPr>
          <w:rFonts w:ascii="Arial" w:hAnsi="Arial" w:cs="Arial"/>
        </w:rPr>
        <w:t xml:space="preserve">(1), Article 3. </w:t>
      </w:r>
      <w:hyperlink r:id="rId29" w:history="1">
        <w:r w:rsidR="00366727">
          <w:rPr>
            <w:rStyle w:val="Hyperlink"/>
            <w:rFonts w:ascii="Arial" w:hAnsi="Arial" w:cs="Arial"/>
          </w:rPr>
          <w:t>https://doi.org/10.1186/s40008-023-00323-w</w:t>
        </w:r>
      </w:hyperlink>
      <w:r>
        <w:rPr>
          <w:rFonts w:ascii="Arial" w:hAnsi="Arial" w:cs="Arial"/>
        </w:rPr>
        <w:t xml:space="preserve"> </w:t>
      </w:r>
    </w:p>
    <w:p w14:paraId="3DB2D55C" w14:textId="77777777" w:rsidR="00366727" w:rsidRPr="00B632B1" w:rsidRDefault="005265DE">
      <w:pPr>
        <w:pStyle w:val="Body"/>
        <w:spacing w:after="0"/>
        <w:ind w:left="567" w:hanging="567"/>
        <w:rPr>
          <w:rFonts w:ascii="Arial" w:hAnsi="Arial" w:cs="Arial"/>
          <w:lang w:val="en-GB"/>
        </w:rPr>
      </w:pPr>
      <w:proofErr w:type="spellStart"/>
      <w:r>
        <w:rPr>
          <w:rFonts w:ascii="Arial" w:hAnsi="Arial" w:cs="Arial"/>
        </w:rPr>
        <w:t>Febriyanti</w:t>
      </w:r>
      <w:proofErr w:type="spellEnd"/>
      <w:r>
        <w:rPr>
          <w:rFonts w:ascii="Arial" w:hAnsi="Arial" w:cs="Arial"/>
        </w:rPr>
        <w:t xml:space="preserve">, A. R., </w:t>
      </w:r>
      <w:proofErr w:type="spellStart"/>
      <w:r>
        <w:rPr>
          <w:rFonts w:ascii="Arial" w:hAnsi="Arial" w:cs="Arial"/>
        </w:rPr>
        <w:t>Rusgianto</w:t>
      </w:r>
      <w:proofErr w:type="spellEnd"/>
      <w:r>
        <w:rPr>
          <w:rFonts w:ascii="Arial" w:hAnsi="Arial" w:cs="Arial"/>
        </w:rPr>
        <w:t xml:space="preserve">, S., </w:t>
      </w:r>
      <w:proofErr w:type="spellStart"/>
      <w:r>
        <w:rPr>
          <w:rFonts w:ascii="Arial" w:hAnsi="Arial" w:cs="Arial"/>
        </w:rPr>
        <w:t>Herianingrum</w:t>
      </w:r>
      <w:proofErr w:type="spellEnd"/>
      <w:r>
        <w:rPr>
          <w:rFonts w:ascii="Arial" w:hAnsi="Arial" w:cs="Arial"/>
        </w:rPr>
        <w:t xml:space="preserve">, S., Ghani, D., &amp; </w:t>
      </w:r>
      <w:proofErr w:type="spellStart"/>
      <w:r>
        <w:rPr>
          <w:rFonts w:ascii="Arial" w:hAnsi="Arial" w:cs="Arial"/>
        </w:rPr>
        <w:t>Dasangga</w:t>
      </w:r>
      <w:proofErr w:type="spellEnd"/>
      <w:r>
        <w:rPr>
          <w:rFonts w:ascii="Arial" w:hAnsi="Arial" w:cs="Arial"/>
        </w:rPr>
        <w:t xml:space="preserve">, R. (2024). Impact of foreign direct investment, productivity, and growth on Indonesian youth unemployment. </w:t>
      </w:r>
      <w:r w:rsidRPr="00FF334B">
        <w:rPr>
          <w:rFonts w:ascii="Arial" w:hAnsi="Arial" w:cs="Arial"/>
          <w:i/>
          <w:iCs/>
          <w:lang w:val="nb-NO"/>
        </w:rPr>
        <w:t>Jurnal Ekonomi Pembangunan, 22</w:t>
      </w:r>
      <w:r w:rsidRPr="00FF334B">
        <w:rPr>
          <w:rFonts w:ascii="Arial" w:hAnsi="Arial" w:cs="Arial"/>
          <w:lang w:val="nb-NO"/>
        </w:rPr>
        <w:t xml:space="preserve">(01), 40–53. </w:t>
      </w:r>
      <w:hyperlink r:id="rId30" w:history="1">
        <w:r w:rsidR="00366727" w:rsidRPr="00B632B1">
          <w:rPr>
            <w:rStyle w:val="Hyperlink"/>
            <w:rFonts w:ascii="Arial" w:hAnsi="Arial" w:cs="Arial"/>
            <w:lang w:val="en-GB"/>
          </w:rPr>
          <w:t>https://doi.org/10.22219/jep.v22i01.33037</w:t>
        </w:r>
      </w:hyperlink>
      <w:r w:rsidRPr="00B632B1">
        <w:rPr>
          <w:rFonts w:ascii="Arial" w:hAnsi="Arial" w:cs="Arial"/>
          <w:lang w:val="en-GB"/>
        </w:rPr>
        <w:t xml:space="preserve"> </w:t>
      </w:r>
    </w:p>
    <w:p w14:paraId="10AFF79A" w14:textId="77777777" w:rsidR="00366727" w:rsidRDefault="005265DE">
      <w:pPr>
        <w:pStyle w:val="Body"/>
        <w:spacing w:after="0"/>
        <w:ind w:left="567" w:hanging="567"/>
        <w:rPr>
          <w:rFonts w:ascii="Arial" w:hAnsi="Arial" w:cs="Arial"/>
        </w:rPr>
      </w:pPr>
      <w:proofErr w:type="spellStart"/>
      <w:r w:rsidRPr="00B632B1">
        <w:rPr>
          <w:rFonts w:ascii="Arial" w:hAnsi="Arial" w:cs="Arial"/>
          <w:lang w:val="en-GB"/>
        </w:rPr>
        <w:t>Ferdinan</w:t>
      </w:r>
      <w:proofErr w:type="spellEnd"/>
      <w:r w:rsidRPr="00B632B1">
        <w:rPr>
          <w:rFonts w:ascii="Arial" w:hAnsi="Arial" w:cs="Arial"/>
          <w:lang w:val="en-GB"/>
        </w:rPr>
        <w:t xml:space="preserve">, H. (2013). </w:t>
      </w:r>
      <w:r>
        <w:rPr>
          <w:rFonts w:ascii="Arial" w:hAnsi="Arial" w:cs="Arial"/>
        </w:rPr>
        <w:t xml:space="preserve">The impact of technological growth on economic performance in Indonesia. </w:t>
      </w:r>
      <w:r>
        <w:rPr>
          <w:rFonts w:ascii="Arial" w:hAnsi="Arial" w:cs="Arial"/>
          <w:i/>
          <w:iCs/>
        </w:rPr>
        <w:t>Economic Journal of Emerging Markets, 5</w:t>
      </w:r>
      <w:r>
        <w:rPr>
          <w:rFonts w:ascii="Arial" w:hAnsi="Arial" w:cs="Arial"/>
        </w:rPr>
        <w:t xml:space="preserve">(1), 15–24. </w:t>
      </w:r>
      <w:hyperlink r:id="rId31" w:history="1">
        <w:r w:rsidR="00366727">
          <w:rPr>
            <w:rStyle w:val="Hyperlink"/>
            <w:rFonts w:ascii="Arial" w:hAnsi="Arial" w:cs="Arial"/>
          </w:rPr>
          <w:t>https://doi.org/10.20885/ejem.vol5.iss1.art2</w:t>
        </w:r>
      </w:hyperlink>
      <w:r>
        <w:rPr>
          <w:rFonts w:ascii="Arial" w:hAnsi="Arial" w:cs="Arial"/>
        </w:rPr>
        <w:t xml:space="preserve"> </w:t>
      </w:r>
    </w:p>
    <w:p w14:paraId="49BA85DE" w14:textId="77777777" w:rsidR="00366727" w:rsidRDefault="005265DE">
      <w:pPr>
        <w:pStyle w:val="Body"/>
        <w:spacing w:after="0"/>
        <w:ind w:left="567" w:hanging="567"/>
        <w:rPr>
          <w:rFonts w:ascii="Arial" w:hAnsi="Arial" w:cs="Arial"/>
        </w:rPr>
      </w:pPr>
      <w:r>
        <w:rPr>
          <w:rFonts w:ascii="Arial" w:hAnsi="Arial" w:cs="Arial"/>
        </w:rPr>
        <w:t xml:space="preserve">International Monetary Fund. (2025). World economic outlook, April 2025: A critical juncture amid policy shifts. Retrieved from </w:t>
      </w:r>
      <w:hyperlink r:id="rId32" w:history="1">
        <w:r w:rsidR="00366727">
          <w:rPr>
            <w:rStyle w:val="Hyperlink"/>
            <w:rFonts w:ascii="Arial" w:hAnsi="Arial" w:cs="Arial"/>
          </w:rPr>
          <w:t>https://www.imf.org/en/Publications/WEO</w:t>
        </w:r>
      </w:hyperlink>
      <w:r>
        <w:rPr>
          <w:rFonts w:ascii="Arial" w:hAnsi="Arial" w:cs="Arial"/>
        </w:rPr>
        <w:t xml:space="preserve"> </w:t>
      </w:r>
    </w:p>
    <w:p w14:paraId="13AE74F6" w14:textId="77777777" w:rsidR="00366727" w:rsidRDefault="005265DE">
      <w:pPr>
        <w:pStyle w:val="Body"/>
        <w:spacing w:after="0"/>
        <w:ind w:left="567" w:hanging="567"/>
        <w:rPr>
          <w:rFonts w:ascii="Arial" w:hAnsi="Arial" w:cs="Arial"/>
        </w:rPr>
      </w:pPr>
      <w:proofErr w:type="spellStart"/>
      <w:r>
        <w:rPr>
          <w:rFonts w:ascii="Arial" w:hAnsi="Arial" w:cs="Arial"/>
        </w:rPr>
        <w:t>Kukaj</w:t>
      </w:r>
      <w:proofErr w:type="spellEnd"/>
      <w:r>
        <w:rPr>
          <w:rFonts w:ascii="Arial" w:hAnsi="Arial" w:cs="Arial"/>
        </w:rPr>
        <w:t xml:space="preserve">, H., </w:t>
      </w:r>
      <w:proofErr w:type="spellStart"/>
      <w:r>
        <w:rPr>
          <w:rFonts w:ascii="Arial" w:hAnsi="Arial" w:cs="Arial"/>
        </w:rPr>
        <w:t>Nimani</w:t>
      </w:r>
      <w:proofErr w:type="spellEnd"/>
      <w:r>
        <w:rPr>
          <w:rFonts w:ascii="Arial" w:hAnsi="Arial" w:cs="Arial"/>
        </w:rPr>
        <w:t xml:space="preserve">, A., &amp; </w:t>
      </w:r>
      <w:proofErr w:type="spellStart"/>
      <w:r>
        <w:rPr>
          <w:rFonts w:ascii="Arial" w:hAnsi="Arial" w:cs="Arial"/>
        </w:rPr>
        <w:t>Usaj</w:t>
      </w:r>
      <w:proofErr w:type="spellEnd"/>
      <w:r>
        <w:rPr>
          <w:rFonts w:ascii="Arial" w:hAnsi="Arial" w:cs="Arial"/>
        </w:rPr>
        <w:t xml:space="preserve">, V. (2022). Foreign direct investment, economic growth, and unemployment: Evidence from developing countries. </w:t>
      </w:r>
      <w:r>
        <w:rPr>
          <w:rFonts w:ascii="Arial" w:hAnsi="Arial" w:cs="Arial"/>
          <w:i/>
          <w:iCs/>
        </w:rPr>
        <w:t>Journal of Governance &amp; Regulation, 11</w:t>
      </w:r>
      <w:r>
        <w:rPr>
          <w:rFonts w:ascii="Arial" w:hAnsi="Arial" w:cs="Arial"/>
        </w:rPr>
        <w:t xml:space="preserve">(2), 293–300. </w:t>
      </w:r>
      <w:hyperlink r:id="rId33" w:history="1">
        <w:r w:rsidR="00366727">
          <w:rPr>
            <w:rStyle w:val="Hyperlink"/>
            <w:rFonts w:ascii="Arial" w:hAnsi="Arial" w:cs="Arial"/>
          </w:rPr>
          <w:t>https://doi.org/10.22495/jgrv11i2siart8</w:t>
        </w:r>
      </w:hyperlink>
      <w:r>
        <w:rPr>
          <w:rFonts w:ascii="Arial" w:hAnsi="Arial" w:cs="Arial"/>
        </w:rPr>
        <w:t xml:space="preserve"> </w:t>
      </w:r>
    </w:p>
    <w:p w14:paraId="26C9B6A5" w14:textId="77777777" w:rsidR="00366727" w:rsidRDefault="005265DE">
      <w:pPr>
        <w:pStyle w:val="Body"/>
        <w:spacing w:after="0"/>
        <w:ind w:left="567" w:hanging="567"/>
        <w:rPr>
          <w:rFonts w:ascii="Arial" w:hAnsi="Arial" w:cs="Arial"/>
        </w:rPr>
      </w:pPr>
      <w:proofErr w:type="spellStart"/>
      <w:r>
        <w:rPr>
          <w:rFonts w:ascii="Arial" w:hAnsi="Arial" w:cs="Arial"/>
        </w:rPr>
        <w:t>Kurniadi</w:t>
      </w:r>
      <w:proofErr w:type="spellEnd"/>
      <w:r>
        <w:rPr>
          <w:rFonts w:ascii="Arial" w:hAnsi="Arial" w:cs="Arial"/>
        </w:rPr>
        <w:t xml:space="preserve">, A. P., </w:t>
      </w:r>
      <w:proofErr w:type="spellStart"/>
      <w:r>
        <w:rPr>
          <w:rFonts w:ascii="Arial" w:hAnsi="Arial" w:cs="Arial"/>
        </w:rPr>
        <w:t>Aimon</w:t>
      </w:r>
      <w:proofErr w:type="spellEnd"/>
      <w:r>
        <w:rPr>
          <w:rFonts w:ascii="Arial" w:hAnsi="Arial" w:cs="Arial"/>
        </w:rPr>
        <w:t xml:space="preserve">, H., &amp; Amar, S. (2022). Analysis of green economic growth, biofuel oil consumption, fuel oil consumption and carbon emission in Asia Pacific. </w:t>
      </w:r>
      <w:r>
        <w:rPr>
          <w:rFonts w:ascii="Arial" w:hAnsi="Arial" w:cs="Arial"/>
          <w:i/>
          <w:iCs/>
        </w:rPr>
        <w:t>International Journal of Sustainable Development and Planning, 17</w:t>
      </w:r>
      <w:r>
        <w:rPr>
          <w:rFonts w:ascii="Arial" w:hAnsi="Arial" w:cs="Arial"/>
        </w:rPr>
        <w:t xml:space="preserve">(7), 2247–2254. </w:t>
      </w:r>
      <w:hyperlink r:id="rId34" w:history="1">
        <w:r w:rsidR="00366727">
          <w:rPr>
            <w:rStyle w:val="Hyperlink"/>
            <w:rFonts w:ascii="Arial" w:hAnsi="Arial" w:cs="Arial"/>
          </w:rPr>
          <w:t>https://doi.org/10.18280/ijsdp.170725</w:t>
        </w:r>
      </w:hyperlink>
      <w:r>
        <w:rPr>
          <w:rFonts w:ascii="Arial" w:hAnsi="Arial" w:cs="Arial"/>
        </w:rPr>
        <w:t xml:space="preserve"> </w:t>
      </w:r>
    </w:p>
    <w:p w14:paraId="2370910A" w14:textId="77777777" w:rsidR="00366727" w:rsidRDefault="005265DE">
      <w:pPr>
        <w:pStyle w:val="Body"/>
        <w:spacing w:after="0"/>
        <w:ind w:left="567" w:hanging="567"/>
        <w:rPr>
          <w:rFonts w:ascii="Arial" w:hAnsi="Arial" w:cs="Arial"/>
        </w:rPr>
      </w:pPr>
      <w:r>
        <w:rPr>
          <w:rFonts w:ascii="Arial" w:hAnsi="Arial" w:cs="Arial"/>
        </w:rPr>
        <w:t xml:space="preserve">Kurniawan, E., </w:t>
      </w:r>
      <w:proofErr w:type="spellStart"/>
      <w:r>
        <w:rPr>
          <w:rFonts w:ascii="Arial" w:hAnsi="Arial" w:cs="Arial"/>
        </w:rPr>
        <w:t>Awaluddin</w:t>
      </w:r>
      <w:proofErr w:type="spellEnd"/>
      <w:r>
        <w:rPr>
          <w:rFonts w:ascii="Arial" w:hAnsi="Arial" w:cs="Arial"/>
        </w:rPr>
        <w:t xml:space="preserve">, M., </w:t>
      </w:r>
      <w:proofErr w:type="spellStart"/>
      <w:r>
        <w:rPr>
          <w:rFonts w:ascii="Arial" w:hAnsi="Arial" w:cs="Arial"/>
        </w:rPr>
        <w:t>Fitriadi</w:t>
      </w:r>
      <w:proofErr w:type="spellEnd"/>
      <w:r>
        <w:rPr>
          <w:rFonts w:ascii="Arial" w:hAnsi="Arial" w:cs="Arial"/>
        </w:rPr>
        <w:t xml:space="preserve">, F., </w:t>
      </w:r>
      <w:proofErr w:type="spellStart"/>
      <w:r>
        <w:rPr>
          <w:rFonts w:ascii="Arial" w:hAnsi="Arial" w:cs="Arial"/>
        </w:rPr>
        <w:t>Busari</w:t>
      </w:r>
      <w:proofErr w:type="spellEnd"/>
      <w:r>
        <w:rPr>
          <w:rFonts w:ascii="Arial" w:hAnsi="Arial" w:cs="Arial"/>
        </w:rPr>
        <w:t xml:space="preserve">, A., &amp; </w:t>
      </w:r>
      <w:proofErr w:type="spellStart"/>
      <w:r>
        <w:rPr>
          <w:rFonts w:ascii="Arial" w:hAnsi="Arial" w:cs="Arial"/>
        </w:rPr>
        <w:t>Darma</w:t>
      </w:r>
      <w:proofErr w:type="spellEnd"/>
      <w:r>
        <w:rPr>
          <w:rFonts w:ascii="Arial" w:hAnsi="Arial" w:cs="Arial"/>
        </w:rPr>
        <w:t xml:space="preserve">, D. C. (2021). Contemporary Indonesian GDP: Context of analysis at unemployment, labor force and poor people. </w:t>
      </w:r>
      <w:r>
        <w:rPr>
          <w:rFonts w:ascii="Arial" w:hAnsi="Arial" w:cs="Arial"/>
          <w:i/>
          <w:iCs/>
        </w:rPr>
        <w:t>International Journal of Economics and Financial Research, 7(</w:t>
      </w:r>
      <w:r>
        <w:rPr>
          <w:rFonts w:ascii="Arial" w:hAnsi="Arial" w:cs="Arial"/>
        </w:rPr>
        <w:t xml:space="preserve">4), 143–154. </w:t>
      </w:r>
      <w:hyperlink r:id="rId35" w:history="1">
        <w:r w:rsidR="00366727">
          <w:rPr>
            <w:rStyle w:val="Hyperlink"/>
            <w:rFonts w:ascii="Arial" w:hAnsi="Arial" w:cs="Arial"/>
          </w:rPr>
          <w:t>https://doi.org/10.32861/ijefr.74.143.154</w:t>
        </w:r>
      </w:hyperlink>
      <w:r>
        <w:rPr>
          <w:rFonts w:ascii="Arial" w:hAnsi="Arial" w:cs="Arial"/>
        </w:rPr>
        <w:t xml:space="preserve"> </w:t>
      </w:r>
    </w:p>
    <w:p w14:paraId="41D50132" w14:textId="4C207306" w:rsidR="004138E1" w:rsidRDefault="004138E1">
      <w:pPr>
        <w:pStyle w:val="Body"/>
        <w:spacing w:after="0"/>
        <w:ind w:left="567" w:hanging="567"/>
        <w:rPr>
          <w:rFonts w:ascii="Arial" w:hAnsi="Arial" w:cs="Arial"/>
        </w:rPr>
      </w:pPr>
      <w:proofErr w:type="spellStart"/>
      <w:r w:rsidRPr="004138E1">
        <w:rPr>
          <w:rFonts w:ascii="Arial" w:hAnsi="Arial" w:cs="Arial"/>
        </w:rPr>
        <w:lastRenderedPageBreak/>
        <w:t>Latief</w:t>
      </w:r>
      <w:proofErr w:type="spellEnd"/>
      <w:r w:rsidRPr="004138E1">
        <w:rPr>
          <w:rFonts w:ascii="Arial" w:hAnsi="Arial" w:cs="Arial"/>
        </w:rPr>
        <w:t xml:space="preserve">, R., &amp; </w:t>
      </w:r>
      <w:proofErr w:type="spellStart"/>
      <w:r w:rsidRPr="004138E1">
        <w:rPr>
          <w:rFonts w:ascii="Arial" w:hAnsi="Arial" w:cs="Arial"/>
        </w:rPr>
        <w:t>Lefen</w:t>
      </w:r>
      <w:proofErr w:type="spellEnd"/>
      <w:r w:rsidRPr="004138E1">
        <w:rPr>
          <w:rFonts w:ascii="Arial" w:hAnsi="Arial" w:cs="Arial"/>
        </w:rPr>
        <w:t xml:space="preserve">, L. (2019). Foreign direct investment in the power and energy sector, energy consumption, and economic growth: Empirical evidence from Pakistan. </w:t>
      </w:r>
      <w:r w:rsidRPr="000E14E7">
        <w:rPr>
          <w:rFonts w:ascii="Arial" w:hAnsi="Arial" w:cs="Arial"/>
          <w:i/>
          <w:iCs/>
        </w:rPr>
        <w:t>Sustainability, 11</w:t>
      </w:r>
      <w:r w:rsidRPr="004138E1">
        <w:rPr>
          <w:rFonts w:ascii="Arial" w:hAnsi="Arial" w:cs="Arial"/>
        </w:rPr>
        <w:t xml:space="preserve">(1), </w:t>
      </w:r>
      <w:r>
        <w:rPr>
          <w:rFonts w:ascii="Arial" w:hAnsi="Arial" w:cs="Arial"/>
        </w:rPr>
        <w:t xml:space="preserve">Article </w:t>
      </w:r>
      <w:r w:rsidRPr="004138E1">
        <w:rPr>
          <w:rFonts w:ascii="Arial" w:hAnsi="Arial" w:cs="Arial"/>
        </w:rPr>
        <w:t xml:space="preserve">192. </w:t>
      </w:r>
      <w:hyperlink r:id="rId36" w:history="1">
        <w:r w:rsidRPr="00262F78">
          <w:rPr>
            <w:rStyle w:val="Hyperlink"/>
            <w:rFonts w:ascii="Arial" w:hAnsi="Arial" w:cs="Arial"/>
          </w:rPr>
          <w:t>https://doi.org/10.3390/su11010192</w:t>
        </w:r>
      </w:hyperlink>
      <w:r w:rsidR="00F4070D">
        <w:rPr>
          <w:rFonts w:ascii="Arial" w:hAnsi="Arial" w:cs="Arial"/>
        </w:rPr>
        <w:t xml:space="preserve"> </w:t>
      </w:r>
      <w:r>
        <w:rPr>
          <w:rFonts w:ascii="Arial" w:hAnsi="Arial" w:cs="Arial"/>
        </w:rPr>
        <w:t xml:space="preserve"> </w:t>
      </w:r>
    </w:p>
    <w:p w14:paraId="3078EFD8" w14:textId="56778277" w:rsidR="00366727" w:rsidRPr="00FF334B" w:rsidRDefault="005265DE">
      <w:pPr>
        <w:pStyle w:val="Body"/>
        <w:spacing w:after="0"/>
        <w:ind w:left="567" w:hanging="567"/>
        <w:rPr>
          <w:rFonts w:ascii="Arial" w:hAnsi="Arial" w:cs="Arial"/>
          <w:lang w:val="nb-NO"/>
        </w:rPr>
      </w:pPr>
      <w:proofErr w:type="spellStart"/>
      <w:r>
        <w:rPr>
          <w:rFonts w:ascii="Arial" w:hAnsi="Arial" w:cs="Arial"/>
        </w:rPr>
        <w:t>Lubis</w:t>
      </w:r>
      <w:proofErr w:type="spellEnd"/>
      <w:r>
        <w:rPr>
          <w:rFonts w:ascii="Arial" w:hAnsi="Arial" w:cs="Arial"/>
        </w:rPr>
        <w:t xml:space="preserve">, R. P., Firdaus, M., &amp; </w:t>
      </w:r>
      <w:proofErr w:type="spellStart"/>
      <w:r>
        <w:rPr>
          <w:rFonts w:ascii="Arial" w:hAnsi="Arial" w:cs="Arial"/>
        </w:rPr>
        <w:t>Sasongko</w:t>
      </w:r>
      <w:proofErr w:type="spellEnd"/>
      <w:r>
        <w:rPr>
          <w:rFonts w:ascii="Arial" w:hAnsi="Arial" w:cs="Arial"/>
        </w:rPr>
        <w:t xml:space="preserve">, H. (2015). Determinant of foreign direct investment in Indonesia plantation sector. </w:t>
      </w:r>
      <w:r w:rsidRPr="00FF334B">
        <w:rPr>
          <w:rFonts w:ascii="Arial" w:hAnsi="Arial" w:cs="Arial"/>
          <w:i/>
          <w:iCs/>
          <w:lang w:val="nb-NO"/>
        </w:rPr>
        <w:t>Jurnal Bisnis Dan Manajemen, 16</w:t>
      </w:r>
      <w:r w:rsidRPr="00FF334B">
        <w:rPr>
          <w:rFonts w:ascii="Arial" w:hAnsi="Arial" w:cs="Arial"/>
          <w:lang w:val="nb-NO"/>
        </w:rPr>
        <w:t xml:space="preserve">(2), 80–89. </w:t>
      </w:r>
      <w:hyperlink r:id="rId37" w:history="1">
        <w:r w:rsidR="00366727" w:rsidRPr="00FF334B">
          <w:rPr>
            <w:rStyle w:val="Hyperlink"/>
            <w:rFonts w:ascii="Arial" w:hAnsi="Arial" w:cs="Arial"/>
            <w:lang w:val="nb-NO"/>
          </w:rPr>
          <w:t>https://doi.org/10.24198/jbm.v16i2.11</w:t>
        </w:r>
      </w:hyperlink>
      <w:r w:rsidRPr="00FF334B">
        <w:rPr>
          <w:rFonts w:ascii="Arial" w:hAnsi="Arial" w:cs="Arial"/>
          <w:lang w:val="nb-NO"/>
        </w:rPr>
        <w:t xml:space="preserve"> </w:t>
      </w:r>
    </w:p>
    <w:p w14:paraId="2A9608B0" w14:textId="77777777" w:rsidR="00366727" w:rsidRPr="00B632B1" w:rsidRDefault="005265DE">
      <w:pPr>
        <w:pStyle w:val="Body"/>
        <w:spacing w:after="0"/>
        <w:ind w:left="567" w:hanging="567"/>
        <w:rPr>
          <w:rFonts w:ascii="Arial" w:hAnsi="Arial" w:cs="Arial"/>
          <w:lang w:val="en-GB"/>
        </w:rPr>
      </w:pPr>
      <w:r w:rsidRPr="00FF334B">
        <w:rPr>
          <w:rFonts w:ascii="Arial" w:hAnsi="Arial" w:cs="Arial"/>
          <w:lang w:val="nb-NO"/>
        </w:rPr>
        <w:t xml:space="preserve">Mahadika, H., &amp; Wibowo, W. (2021). </w:t>
      </w:r>
      <w:r>
        <w:rPr>
          <w:rFonts w:ascii="Arial" w:hAnsi="Arial" w:cs="Arial"/>
        </w:rPr>
        <w:t xml:space="preserve">The effect of monetary policy on unemployment rate in Indonesia. </w:t>
      </w:r>
      <w:r w:rsidRPr="00FF334B">
        <w:rPr>
          <w:rFonts w:ascii="Arial" w:hAnsi="Arial" w:cs="Arial"/>
          <w:i/>
          <w:iCs/>
          <w:lang w:val="nb-NO"/>
        </w:rPr>
        <w:t>Jurnal Ilmu Ekonomi Terapan, 6</w:t>
      </w:r>
      <w:r w:rsidRPr="00FF334B">
        <w:rPr>
          <w:rFonts w:ascii="Arial" w:hAnsi="Arial" w:cs="Arial"/>
          <w:lang w:val="nb-NO"/>
        </w:rPr>
        <w:t xml:space="preserve">(1), 1–14. </w:t>
      </w:r>
      <w:hyperlink r:id="rId38" w:history="1">
        <w:r w:rsidR="00366727" w:rsidRPr="00B632B1">
          <w:rPr>
            <w:rStyle w:val="Hyperlink"/>
            <w:rFonts w:ascii="Arial" w:hAnsi="Arial" w:cs="Arial"/>
            <w:lang w:val="en-GB"/>
          </w:rPr>
          <w:t>https://doi.org/10.20473/jiet.v6i1.27100</w:t>
        </w:r>
      </w:hyperlink>
      <w:r w:rsidRPr="00B632B1">
        <w:rPr>
          <w:rFonts w:ascii="Arial" w:hAnsi="Arial" w:cs="Arial"/>
          <w:lang w:val="en-GB"/>
        </w:rPr>
        <w:t xml:space="preserve"> </w:t>
      </w:r>
    </w:p>
    <w:p w14:paraId="58D80BE5" w14:textId="77777777" w:rsidR="00366727" w:rsidRDefault="005265DE">
      <w:pPr>
        <w:pStyle w:val="Body"/>
        <w:spacing w:after="0"/>
        <w:ind w:left="567" w:hanging="567"/>
        <w:rPr>
          <w:rFonts w:ascii="Arial" w:hAnsi="Arial" w:cs="Arial"/>
        </w:rPr>
      </w:pPr>
      <w:r w:rsidRPr="00B632B1">
        <w:rPr>
          <w:rFonts w:ascii="Arial" w:hAnsi="Arial" w:cs="Arial"/>
          <w:lang w:val="en-GB"/>
        </w:rPr>
        <w:t xml:space="preserve">Mark, AT. </w:t>
      </w:r>
      <w:r>
        <w:rPr>
          <w:rFonts w:ascii="Arial" w:hAnsi="Arial" w:cs="Arial"/>
        </w:rPr>
        <w:t xml:space="preserve">(2023). Consequences of unemployment for employable persons of generation 50+ and special challenges during the COVID-19 pandemic. In: </w:t>
      </w:r>
      <w:r>
        <w:rPr>
          <w:rFonts w:ascii="Arial" w:hAnsi="Arial" w:cs="Arial"/>
          <w:i/>
          <w:iCs/>
        </w:rPr>
        <w:t>Pichler, C., Küffner, C. (eds) Work</w:t>
      </w:r>
      <w:r>
        <w:rPr>
          <w:rFonts w:ascii="Arial" w:hAnsi="Arial" w:cs="Arial"/>
        </w:rPr>
        <w:t xml:space="preserve">, Precarity and COVID-19. Springer, Wiesbaden. </w:t>
      </w:r>
      <w:hyperlink r:id="rId39" w:history="1">
        <w:r w:rsidR="00366727">
          <w:rPr>
            <w:rStyle w:val="Hyperlink"/>
            <w:rFonts w:ascii="Arial" w:hAnsi="Arial" w:cs="Arial"/>
          </w:rPr>
          <w:t>https://doi.org/10.1007/978-3-658-42020-8_3</w:t>
        </w:r>
      </w:hyperlink>
      <w:r>
        <w:rPr>
          <w:rFonts w:ascii="Arial" w:hAnsi="Arial" w:cs="Arial"/>
        </w:rPr>
        <w:t xml:space="preserve"> </w:t>
      </w:r>
    </w:p>
    <w:p w14:paraId="734D46BA" w14:textId="77777777" w:rsidR="00366727" w:rsidRPr="00FF334B" w:rsidRDefault="005265DE">
      <w:pPr>
        <w:pStyle w:val="Body"/>
        <w:spacing w:after="0"/>
        <w:ind w:left="567" w:hanging="567"/>
        <w:rPr>
          <w:rFonts w:ascii="Arial" w:hAnsi="Arial" w:cs="Arial"/>
          <w:lang w:val="nb-NO"/>
        </w:rPr>
      </w:pPr>
      <w:proofErr w:type="spellStart"/>
      <w:r>
        <w:rPr>
          <w:rFonts w:ascii="Arial" w:hAnsi="Arial" w:cs="Arial"/>
        </w:rPr>
        <w:t>Millia</w:t>
      </w:r>
      <w:proofErr w:type="spellEnd"/>
      <w:r>
        <w:rPr>
          <w:rFonts w:ascii="Arial" w:hAnsi="Arial" w:cs="Arial"/>
        </w:rPr>
        <w:t xml:space="preserve">, H., </w:t>
      </w:r>
      <w:proofErr w:type="spellStart"/>
      <w:r>
        <w:rPr>
          <w:rFonts w:ascii="Arial" w:hAnsi="Arial" w:cs="Arial"/>
        </w:rPr>
        <w:t>Ernawati</w:t>
      </w:r>
      <w:proofErr w:type="spellEnd"/>
      <w:r>
        <w:rPr>
          <w:rFonts w:ascii="Arial" w:hAnsi="Arial" w:cs="Arial"/>
        </w:rPr>
        <w:t xml:space="preserve">, E., &amp; </w:t>
      </w:r>
      <w:proofErr w:type="spellStart"/>
      <w:r>
        <w:rPr>
          <w:rFonts w:ascii="Arial" w:hAnsi="Arial" w:cs="Arial"/>
        </w:rPr>
        <w:t>Heriberta</w:t>
      </w:r>
      <w:proofErr w:type="spellEnd"/>
      <w:r>
        <w:rPr>
          <w:rFonts w:ascii="Arial" w:hAnsi="Arial" w:cs="Arial"/>
        </w:rPr>
        <w:t xml:space="preserve">, H. (2023). Do foreign direct investment, trade and their interactions affect economic growth in </w:t>
      </w:r>
      <w:proofErr w:type="gramStart"/>
      <w:r>
        <w:rPr>
          <w:rFonts w:ascii="Arial" w:hAnsi="Arial" w:cs="Arial"/>
        </w:rPr>
        <w:t>Indonesia?.</w:t>
      </w:r>
      <w:proofErr w:type="gramEnd"/>
      <w:r>
        <w:rPr>
          <w:rFonts w:ascii="Arial" w:hAnsi="Arial" w:cs="Arial"/>
        </w:rPr>
        <w:t xml:space="preserve"> </w:t>
      </w:r>
      <w:r w:rsidRPr="00FF334B">
        <w:rPr>
          <w:rFonts w:ascii="Arial" w:hAnsi="Arial" w:cs="Arial"/>
          <w:i/>
          <w:iCs/>
          <w:lang w:val="nb-NO"/>
        </w:rPr>
        <w:t>Jurnal Perspektif Pembiayaan Dan Pembangunan Daerah, 11</w:t>
      </w:r>
      <w:r w:rsidRPr="00FF334B">
        <w:rPr>
          <w:rFonts w:ascii="Arial" w:hAnsi="Arial" w:cs="Arial"/>
          <w:lang w:val="nb-NO"/>
        </w:rPr>
        <w:t xml:space="preserve">(1), 1–16. </w:t>
      </w:r>
      <w:hyperlink r:id="rId40" w:history="1">
        <w:r w:rsidR="00366727" w:rsidRPr="00FF334B">
          <w:rPr>
            <w:rStyle w:val="Hyperlink"/>
            <w:rFonts w:ascii="Arial" w:hAnsi="Arial" w:cs="Arial"/>
            <w:lang w:val="nb-NO"/>
          </w:rPr>
          <w:t>https://doi.org/10.22437/ppd.v11i1.22698</w:t>
        </w:r>
      </w:hyperlink>
      <w:r w:rsidRPr="00FF334B">
        <w:rPr>
          <w:rFonts w:ascii="Arial" w:hAnsi="Arial" w:cs="Arial"/>
          <w:lang w:val="nb-NO"/>
        </w:rPr>
        <w:t xml:space="preserve"> </w:t>
      </w:r>
    </w:p>
    <w:p w14:paraId="769F350B" w14:textId="77777777" w:rsidR="00366727" w:rsidRPr="00B632B1" w:rsidRDefault="005265DE">
      <w:pPr>
        <w:pStyle w:val="Body"/>
        <w:spacing w:after="0"/>
        <w:ind w:left="567" w:hanging="567"/>
        <w:rPr>
          <w:rFonts w:ascii="Arial" w:hAnsi="Arial" w:cs="Arial"/>
          <w:lang w:val="en-GB"/>
        </w:rPr>
      </w:pPr>
      <w:proofErr w:type="spellStart"/>
      <w:r>
        <w:rPr>
          <w:rFonts w:ascii="Arial" w:hAnsi="Arial" w:cs="Arial"/>
        </w:rPr>
        <w:t>Muttaqim</w:t>
      </w:r>
      <w:proofErr w:type="spellEnd"/>
      <w:r>
        <w:rPr>
          <w:rFonts w:ascii="Arial" w:hAnsi="Arial" w:cs="Arial"/>
        </w:rPr>
        <w:t xml:space="preserve">, H., &amp; </w:t>
      </w:r>
      <w:proofErr w:type="spellStart"/>
      <w:r>
        <w:rPr>
          <w:rFonts w:ascii="Arial" w:hAnsi="Arial" w:cs="Arial"/>
        </w:rPr>
        <w:t>Hwihanus</w:t>
      </w:r>
      <w:proofErr w:type="spellEnd"/>
      <w:r>
        <w:rPr>
          <w:rFonts w:ascii="Arial" w:hAnsi="Arial" w:cs="Arial"/>
        </w:rPr>
        <w:t xml:space="preserve">, H. (2024). Comprehensive analysis of the effect of government expenditures, inflation, interest rates, and investment on seasonal unemployment rates in sectors agriculture in Indonesia. </w:t>
      </w:r>
      <w:r w:rsidRPr="00FF334B">
        <w:rPr>
          <w:rFonts w:ascii="Arial" w:hAnsi="Arial" w:cs="Arial"/>
          <w:i/>
          <w:iCs/>
          <w:lang w:val="nb-NO"/>
        </w:rPr>
        <w:t>Tekper: Jurnal Teknologi dan Manajemen Industri Pertanian, 5</w:t>
      </w:r>
      <w:r w:rsidRPr="00FF334B">
        <w:rPr>
          <w:rFonts w:ascii="Arial" w:hAnsi="Arial" w:cs="Arial"/>
          <w:lang w:val="nb-NO"/>
        </w:rPr>
        <w:t xml:space="preserve">(3), 195–205. </w:t>
      </w:r>
      <w:r w:rsidRPr="00B632B1">
        <w:rPr>
          <w:rFonts w:ascii="Arial" w:hAnsi="Arial" w:cs="Arial"/>
          <w:lang w:val="en-GB"/>
        </w:rPr>
        <w:t xml:space="preserve">Retrieved from </w:t>
      </w:r>
      <w:hyperlink r:id="rId41" w:history="1">
        <w:r w:rsidR="00366727" w:rsidRPr="00B632B1">
          <w:rPr>
            <w:rStyle w:val="Hyperlink"/>
            <w:rFonts w:ascii="Arial" w:hAnsi="Arial" w:cs="Arial"/>
            <w:lang w:val="en-GB"/>
          </w:rPr>
          <w:t>https://tekper.uho.ac.id/index.php/t/article/view/6</w:t>
        </w:r>
      </w:hyperlink>
      <w:r w:rsidRPr="00B632B1">
        <w:rPr>
          <w:rFonts w:ascii="Arial" w:hAnsi="Arial" w:cs="Arial"/>
          <w:lang w:val="en-GB"/>
        </w:rPr>
        <w:t xml:space="preserve"> </w:t>
      </w:r>
    </w:p>
    <w:p w14:paraId="2F949BF7" w14:textId="4AB65863" w:rsidR="00E61387" w:rsidRDefault="00E61387">
      <w:pPr>
        <w:pStyle w:val="Body"/>
        <w:spacing w:after="0"/>
        <w:ind w:left="567" w:hanging="567"/>
        <w:rPr>
          <w:rFonts w:ascii="Arial" w:hAnsi="Arial" w:cs="Arial"/>
        </w:rPr>
      </w:pPr>
      <w:r w:rsidRPr="00E61387">
        <w:rPr>
          <w:rFonts w:ascii="Arial" w:hAnsi="Arial" w:cs="Arial"/>
        </w:rPr>
        <w:t xml:space="preserve">Najib, M. K., </w:t>
      </w:r>
      <w:proofErr w:type="spellStart"/>
      <w:r w:rsidRPr="00E61387">
        <w:rPr>
          <w:rFonts w:ascii="Arial" w:hAnsi="Arial" w:cs="Arial"/>
        </w:rPr>
        <w:t>Nurdiati</w:t>
      </w:r>
      <w:proofErr w:type="spellEnd"/>
      <w:r w:rsidRPr="00E61387">
        <w:rPr>
          <w:rFonts w:ascii="Arial" w:hAnsi="Arial" w:cs="Arial"/>
        </w:rPr>
        <w:t xml:space="preserve">, S., &amp; </w:t>
      </w:r>
      <w:proofErr w:type="spellStart"/>
      <w:r w:rsidRPr="00E61387">
        <w:rPr>
          <w:rFonts w:ascii="Arial" w:hAnsi="Arial" w:cs="Arial"/>
        </w:rPr>
        <w:t>Fikri</w:t>
      </w:r>
      <w:proofErr w:type="spellEnd"/>
      <w:r w:rsidRPr="00E61387">
        <w:rPr>
          <w:rFonts w:ascii="Arial" w:hAnsi="Arial" w:cs="Arial"/>
        </w:rPr>
        <w:t xml:space="preserve">, F. (2022). Rarity of joint probability between interest and inflation rates in the 1998 economic crisis in Indonesia and their comparison over three time periods. </w:t>
      </w:r>
      <w:proofErr w:type="spellStart"/>
      <w:r w:rsidRPr="000E14E7">
        <w:rPr>
          <w:rFonts w:ascii="Arial" w:hAnsi="Arial" w:cs="Arial"/>
          <w:i/>
          <w:iCs/>
        </w:rPr>
        <w:t>Jurnal</w:t>
      </w:r>
      <w:proofErr w:type="spellEnd"/>
      <w:r w:rsidRPr="000E14E7">
        <w:rPr>
          <w:rFonts w:ascii="Arial" w:hAnsi="Arial" w:cs="Arial"/>
          <w:i/>
          <w:iCs/>
        </w:rPr>
        <w:t xml:space="preserve"> </w:t>
      </w:r>
      <w:proofErr w:type="spellStart"/>
      <w:r w:rsidRPr="000E14E7">
        <w:rPr>
          <w:rFonts w:ascii="Arial" w:hAnsi="Arial" w:cs="Arial"/>
          <w:i/>
          <w:iCs/>
        </w:rPr>
        <w:t>Matematika</w:t>
      </w:r>
      <w:proofErr w:type="spellEnd"/>
      <w:r w:rsidRPr="000E14E7">
        <w:rPr>
          <w:rFonts w:ascii="Arial" w:hAnsi="Arial" w:cs="Arial"/>
          <w:i/>
          <w:iCs/>
        </w:rPr>
        <w:t xml:space="preserve"> MANTIK, 8</w:t>
      </w:r>
      <w:r w:rsidRPr="00E61387">
        <w:rPr>
          <w:rFonts w:ascii="Arial" w:hAnsi="Arial" w:cs="Arial"/>
        </w:rPr>
        <w:t>(1), 10–17. https://doi.org/10.15642/mantik.2022.8.1.10-17</w:t>
      </w:r>
    </w:p>
    <w:p w14:paraId="54C2E15A" w14:textId="5C6BD343" w:rsidR="00366727" w:rsidRDefault="005265DE">
      <w:pPr>
        <w:pStyle w:val="Body"/>
        <w:spacing w:after="0"/>
        <w:ind w:left="567" w:hanging="567"/>
        <w:rPr>
          <w:rFonts w:ascii="Arial" w:hAnsi="Arial" w:cs="Arial"/>
        </w:rPr>
      </w:pPr>
      <w:proofErr w:type="spellStart"/>
      <w:r>
        <w:rPr>
          <w:rFonts w:ascii="Arial" w:hAnsi="Arial" w:cs="Arial"/>
        </w:rPr>
        <w:t>Nasution</w:t>
      </w:r>
      <w:proofErr w:type="spellEnd"/>
      <w:r>
        <w:rPr>
          <w:rFonts w:ascii="Arial" w:hAnsi="Arial" w:cs="Arial"/>
        </w:rPr>
        <w:t xml:space="preserve">, A. (2002). The Indonesian economic recovery from the crisis in 1997–1998. </w:t>
      </w:r>
      <w:r>
        <w:rPr>
          <w:rFonts w:ascii="Arial" w:hAnsi="Arial" w:cs="Arial"/>
          <w:i/>
          <w:iCs/>
        </w:rPr>
        <w:t>Journal of Asian Economics, 13</w:t>
      </w:r>
      <w:r>
        <w:rPr>
          <w:rFonts w:ascii="Arial" w:hAnsi="Arial" w:cs="Arial"/>
        </w:rPr>
        <w:t xml:space="preserve">(2), 157–180. </w:t>
      </w:r>
      <w:hyperlink r:id="rId42" w:history="1">
        <w:r w:rsidR="00366727">
          <w:rPr>
            <w:rStyle w:val="Hyperlink"/>
            <w:rFonts w:ascii="Arial" w:hAnsi="Arial" w:cs="Arial"/>
          </w:rPr>
          <w:t>https://doi.org/10.1016/S1049-0078(02)00114-8</w:t>
        </w:r>
      </w:hyperlink>
      <w:r>
        <w:rPr>
          <w:rFonts w:ascii="Arial" w:hAnsi="Arial" w:cs="Arial"/>
        </w:rPr>
        <w:t xml:space="preserve"> </w:t>
      </w:r>
    </w:p>
    <w:p w14:paraId="534C2B5C" w14:textId="77777777" w:rsidR="00366727" w:rsidRDefault="005265DE" w:rsidP="004138E1">
      <w:pPr>
        <w:pStyle w:val="Body"/>
        <w:spacing w:after="0"/>
        <w:ind w:left="567" w:hanging="567"/>
        <w:rPr>
          <w:rFonts w:ascii="Arial" w:hAnsi="Arial" w:cs="Arial"/>
        </w:rPr>
      </w:pPr>
      <w:r>
        <w:rPr>
          <w:rFonts w:ascii="Arial" w:hAnsi="Arial" w:cs="Arial"/>
        </w:rPr>
        <w:t xml:space="preserve">Nguyen, H. T., Le, A. N. N., Le, H. V., &amp; Duong, K. D. (2024). Foreign direct investment and employments in Asia Pacific nations: The moderating role of labor quality. </w:t>
      </w:r>
      <w:proofErr w:type="spellStart"/>
      <w:r>
        <w:rPr>
          <w:rFonts w:ascii="Arial" w:hAnsi="Arial" w:cs="Arial"/>
          <w:i/>
          <w:iCs/>
        </w:rPr>
        <w:t>Heliyon</w:t>
      </w:r>
      <w:proofErr w:type="spellEnd"/>
      <w:r>
        <w:rPr>
          <w:rFonts w:ascii="Arial" w:hAnsi="Arial" w:cs="Arial"/>
          <w:i/>
          <w:iCs/>
        </w:rPr>
        <w:t>, 10</w:t>
      </w:r>
      <w:r>
        <w:rPr>
          <w:rFonts w:ascii="Arial" w:hAnsi="Arial" w:cs="Arial"/>
        </w:rPr>
        <w:t xml:space="preserve">(9), Article e30133. </w:t>
      </w:r>
      <w:hyperlink r:id="rId43" w:history="1">
        <w:r w:rsidR="00366727">
          <w:rPr>
            <w:rStyle w:val="Hyperlink"/>
            <w:rFonts w:ascii="Arial" w:hAnsi="Arial" w:cs="Arial"/>
          </w:rPr>
          <w:t>https://doi.org/10.1016/j.heliyon.2024.e30133</w:t>
        </w:r>
      </w:hyperlink>
      <w:r>
        <w:rPr>
          <w:rFonts w:ascii="Arial" w:hAnsi="Arial" w:cs="Arial"/>
        </w:rPr>
        <w:t xml:space="preserve"> </w:t>
      </w:r>
    </w:p>
    <w:p w14:paraId="08DA8974" w14:textId="44B6996D" w:rsidR="004138E1" w:rsidRDefault="004138E1" w:rsidP="004138E1">
      <w:pPr>
        <w:pStyle w:val="Body"/>
        <w:spacing w:after="0"/>
        <w:ind w:left="567" w:hanging="567"/>
        <w:rPr>
          <w:rFonts w:ascii="Arial" w:hAnsi="Arial" w:cs="Arial"/>
        </w:rPr>
      </w:pPr>
      <w:proofErr w:type="spellStart"/>
      <w:r w:rsidRPr="004138E1">
        <w:rPr>
          <w:rFonts w:ascii="Arial" w:hAnsi="Arial" w:cs="Arial"/>
        </w:rPr>
        <w:t>Omri</w:t>
      </w:r>
      <w:proofErr w:type="spellEnd"/>
      <w:r w:rsidRPr="004138E1">
        <w:rPr>
          <w:rFonts w:ascii="Arial" w:hAnsi="Arial" w:cs="Arial"/>
        </w:rPr>
        <w:t>,</w:t>
      </w:r>
      <w:r>
        <w:rPr>
          <w:rFonts w:ascii="Arial" w:hAnsi="Arial" w:cs="Arial"/>
        </w:rPr>
        <w:t xml:space="preserve"> A.,</w:t>
      </w:r>
      <w:r w:rsidRPr="004138E1">
        <w:rPr>
          <w:rFonts w:ascii="Arial" w:hAnsi="Arial" w:cs="Arial"/>
        </w:rPr>
        <w:t xml:space="preserve"> </w:t>
      </w:r>
      <w:r>
        <w:rPr>
          <w:rFonts w:ascii="Arial" w:hAnsi="Arial" w:cs="Arial"/>
        </w:rPr>
        <w:t xml:space="preserve">&amp; </w:t>
      </w:r>
      <w:proofErr w:type="spellStart"/>
      <w:r w:rsidRPr="004138E1">
        <w:rPr>
          <w:rFonts w:ascii="Arial" w:hAnsi="Arial" w:cs="Arial"/>
        </w:rPr>
        <w:t>Kahouli</w:t>
      </w:r>
      <w:proofErr w:type="spellEnd"/>
      <w:r>
        <w:rPr>
          <w:rFonts w:ascii="Arial" w:hAnsi="Arial" w:cs="Arial"/>
        </w:rPr>
        <w:t>, B. (2014).</w:t>
      </w:r>
      <w:r w:rsidRPr="004138E1">
        <w:t xml:space="preserve"> </w:t>
      </w:r>
      <w:r w:rsidRPr="004138E1">
        <w:rPr>
          <w:rFonts w:ascii="Arial" w:hAnsi="Arial" w:cs="Arial"/>
        </w:rPr>
        <w:t>Causal relationships between energy consumption, foreign direct investment and economic growth: Fresh evidence from dynamic simultaneous-equations models</w:t>
      </w:r>
      <w:r>
        <w:rPr>
          <w:rFonts w:ascii="Arial" w:hAnsi="Arial" w:cs="Arial"/>
        </w:rPr>
        <w:t xml:space="preserve">. </w:t>
      </w:r>
      <w:r w:rsidRPr="000E14E7">
        <w:rPr>
          <w:rFonts w:ascii="Arial" w:hAnsi="Arial" w:cs="Arial"/>
          <w:i/>
          <w:iCs/>
        </w:rPr>
        <w:t>Energy Policy, 67</w:t>
      </w:r>
      <w:r>
        <w:rPr>
          <w:rFonts w:ascii="Arial" w:hAnsi="Arial" w:cs="Arial"/>
        </w:rPr>
        <w:t xml:space="preserve">, </w:t>
      </w:r>
      <w:r w:rsidRPr="004138E1">
        <w:rPr>
          <w:rFonts w:ascii="Arial" w:hAnsi="Arial" w:cs="Arial"/>
        </w:rPr>
        <w:t>913–922</w:t>
      </w:r>
      <w:r>
        <w:rPr>
          <w:rFonts w:ascii="Arial" w:hAnsi="Arial" w:cs="Arial"/>
        </w:rPr>
        <w:t>.</w:t>
      </w:r>
      <w:r w:rsidRPr="004138E1">
        <w:t xml:space="preserve"> </w:t>
      </w:r>
      <w:hyperlink r:id="rId44" w:history="1">
        <w:r w:rsidRPr="00262F78">
          <w:rPr>
            <w:rStyle w:val="Hyperlink"/>
            <w:rFonts w:ascii="Arial" w:hAnsi="Arial" w:cs="Arial"/>
          </w:rPr>
          <w:t>https://doi.org/10.1016/j.enpol.2013.11.067</w:t>
        </w:r>
      </w:hyperlink>
      <w:r w:rsidR="00F4070D">
        <w:rPr>
          <w:rFonts w:ascii="Arial" w:hAnsi="Arial" w:cs="Arial"/>
        </w:rPr>
        <w:t xml:space="preserve"> </w:t>
      </w:r>
      <w:r>
        <w:rPr>
          <w:rFonts w:ascii="Arial" w:hAnsi="Arial" w:cs="Arial"/>
        </w:rPr>
        <w:t xml:space="preserve"> </w:t>
      </w:r>
    </w:p>
    <w:p w14:paraId="2C285751" w14:textId="6C515FF1" w:rsidR="00366727" w:rsidRPr="00FF334B" w:rsidRDefault="005265DE" w:rsidP="004138E1">
      <w:pPr>
        <w:pStyle w:val="Body"/>
        <w:spacing w:after="0"/>
        <w:ind w:left="567" w:hanging="567"/>
        <w:rPr>
          <w:rFonts w:ascii="Arial" w:hAnsi="Arial" w:cs="Arial"/>
          <w:lang w:val="nb-NO"/>
        </w:rPr>
      </w:pPr>
      <w:proofErr w:type="spellStart"/>
      <w:r>
        <w:rPr>
          <w:rFonts w:ascii="Arial" w:hAnsi="Arial" w:cs="Arial"/>
        </w:rPr>
        <w:t>Pohlan</w:t>
      </w:r>
      <w:proofErr w:type="spellEnd"/>
      <w:r>
        <w:rPr>
          <w:rFonts w:ascii="Arial" w:hAnsi="Arial" w:cs="Arial"/>
        </w:rPr>
        <w:t xml:space="preserve">, L. (2019). Unemployment and social exclusion. </w:t>
      </w:r>
      <w:r>
        <w:rPr>
          <w:rFonts w:ascii="Arial" w:hAnsi="Arial" w:cs="Arial"/>
          <w:i/>
          <w:iCs/>
        </w:rPr>
        <w:t>Journal of Economic Behavior &amp; Organization, 164</w:t>
      </w:r>
      <w:r>
        <w:rPr>
          <w:rFonts w:ascii="Arial" w:hAnsi="Arial" w:cs="Arial"/>
        </w:rPr>
        <w:t xml:space="preserve">, 273–299. </w:t>
      </w:r>
      <w:hyperlink r:id="rId45" w:history="1">
        <w:r w:rsidR="00366727" w:rsidRPr="00FF334B">
          <w:rPr>
            <w:rStyle w:val="Hyperlink"/>
            <w:rFonts w:ascii="Arial" w:hAnsi="Arial" w:cs="Arial"/>
            <w:lang w:val="nb-NO"/>
          </w:rPr>
          <w:t>https://doi.org/10.1016/j.jebo.2019.06.006</w:t>
        </w:r>
      </w:hyperlink>
      <w:r w:rsidRPr="00FF334B">
        <w:rPr>
          <w:rFonts w:ascii="Arial" w:hAnsi="Arial" w:cs="Arial"/>
          <w:lang w:val="nb-NO"/>
        </w:rPr>
        <w:t xml:space="preserve"> </w:t>
      </w:r>
    </w:p>
    <w:p w14:paraId="22AA91AC" w14:textId="77777777" w:rsidR="00366727" w:rsidRDefault="005265DE" w:rsidP="004138E1">
      <w:pPr>
        <w:pStyle w:val="Body"/>
        <w:spacing w:after="0"/>
        <w:ind w:left="567" w:hanging="567"/>
        <w:rPr>
          <w:rFonts w:ascii="Arial" w:hAnsi="Arial" w:cs="Arial"/>
        </w:rPr>
      </w:pPr>
      <w:r w:rsidRPr="00FF334B">
        <w:rPr>
          <w:rFonts w:ascii="Arial" w:hAnsi="Arial" w:cs="Arial"/>
          <w:lang w:val="nb-NO"/>
        </w:rPr>
        <w:t xml:space="preserve">Rachman, A. (2024). Data ekonomi RI oke tapi PHK di mana-mana, kok bisa? </w:t>
      </w:r>
      <w:r>
        <w:rPr>
          <w:rFonts w:ascii="Arial" w:hAnsi="Arial" w:cs="Arial"/>
        </w:rPr>
        <w:t xml:space="preserve">[In English: Indonesia's economic data is okay but layoffs are everywhere, how come?]. CNBC Indonesia. Retrieved from </w:t>
      </w:r>
      <w:hyperlink r:id="rId46" w:history="1">
        <w:r w:rsidR="00366727">
          <w:rPr>
            <w:rStyle w:val="Hyperlink"/>
            <w:rFonts w:ascii="Arial" w:hAnsi="Arial" w:cs="Arial"/>
          </w:rPr>
          <w:t>https://www.cnbcindonesia.com/news/20240808122113-4-561359/data-ekonomi-ri-oke-tapi-phk-di-mana-mana-kok-bisa</w:t>
        </w:r>
      </w:hyperlink>
      <w:r>
        <w:rPr>
          <w:rFonts w:ascii="Arial" w:hAnsi="Arial" w:cs="Arial"/>
        </w:rPr>
        <w:t xml:space="preserve"> </w:t>
      </w:r>
    </w:p>
    <w:p w14:paraId="04A345C2" w14:textId="77777777" w:rsidR="00366727" w:rsidRDefault="005265DE">
      <w:pPr>
        <w:pStyle w:val="Body"/>
        <w:spacing w:after="0"/>
        <w:ind w:left="567" w:hanging="567"/>
        <w:rPr>
          <w:rFonts w:ascii="Arial" w:hAnsi="Arial" w:cs="Arial"/>
        </w:rPr>
      </w:pPr>
      <w:r>
        <w:rPr>
          <w:rFonts w:ascii="Arial" w:hAnsi="Arial" w:cs="Arial"/>
        </w:rPr>
        <w:t xml:space="preserve">Rafiq, S., Salim, R., &amp; </w:t>
      </w:r>
      <w:proofErr w:type="spellStart"/>
      <w:r>
        <w:rPr>
          <w:rFonts w:ascii="Arial" w:hAnsi="Arial" w:cs="Arial"/>
        </w:rPr>
        <w:t>Sgro</w:t>
      </w:r>
      <w:proofErr w:type="spellEnd"/>
      <w:r>
        <w:rPr>
          <w:rFonts w:ascii="Arial" w:hAnsi="Arial" w:cs="Arial"/>
        </w:rPr>
        <w:t xml:space="preserve">, P. M. (2018). Energy, unemployment and trade. </w:t>
      </w:r>
      <w:r>
        <w:rPr>
          <w:rFonts w:ascii="Arial" w:hAnsi="Arial" w:cs="Arial"/>
          <w:i/>
          <w:iCs/>
        </w:rPr>
        <w:t>Applied Economics, 50</w:t>
      </w:r>
      <w:r>
        <w:rPr>
          <w:rFonts w:ascii="Arial" w:hAnsi="Arial" w:cs="Arial"/>
        </w:rPr>
        <w:t xml:space="preserve">(47), 5120–5132. </w:t>
      </w:r>
      <w:hyperlink r:id="rId47" w:history="1">
        <w:r w:rsidR="00366727">
          <w:rPr>
            <w:rStyle w:val="Hyperlink"/>
            <w:rFonts w:ascii="Arial" w:hAnsi="Arial" w:cs="Arial"/>
          </w:rPr>
          <w:t>https://doi.org/10.1080/00036846.2018.1472741</w:t>
        </w:r>
      </w:hyperlink>
      <w:r>
        <w:rPr>
          <w:rFonts w:ascii="Arial" w:hAnsi="Arial" w:cs="Arial"/>
        </w:rPr>
        <w:t xml:space="preserve"> </w:t>
      </w:r>
    </w:p>
    <w:p w14:paraId="06B7E7E4" w14:textId="77777777" w:rsidR="00366727" w:rsidRDefault="005265DE">
      <w:pPr>
        <w:pStyle w:val="Body"/>
        <w:spacing w:after="0"/>
        <w:ind w:left="567" w:hanging="567"/>
        <w:rPr>
          <w:rFonts w:ascii="Arial" w:hAnsi="Arial" w:cs="Arial"/>
        </w:rPr>
      </w:pPr>
      <w:proofErr w:type="spellStart"/>
      <w:r>
        <w:rPr>
          <w:rFonts w:ascii="Arial" w:hAnsi="Arial" w:cs="Arial"/>
        </w:rPr>
        <w:t>Ramadhani</w:t>
      </w:r>
      <w:proofErr w:type="spellEnd"/>
      <w:r>
        <w:rPr>
          <w:rFonts w:ascii="Arial" w:hAnsi="Arial" w:cs="Arial"/>
        </w:rPr>
        <w:t xml:space="preserve">, Q. N., &amp; Ananda, C. F. (2024). </w:t>
      </w:r>
      <w:proofErr w:type="spellStart"/>
      <w:r>
        <w:rPr>
          <w:rFonts w:ascii="Arial" w:hAnsi="Arial" w:cs="Arial"/>
        </w:rPr>
        <w:t>Pengaruh</w:t>
      </w:r>
      <w:proofErr w:type="spellEnd"/>
      <w:r>
        <w:rPr>
          <w:rFonts w:ascii="Arial" w:hAnsi="Arial" w:cs="Arial"/>
        </w:rPr>
        <w:t xml:space="preserve"> </w:t>
      </w:r>
      <w:proofErr w:type="spellStart"/>
      <w:r>
        <w:rPr>
          <w:rFonts w:ascii="Arial" w:hAnsi="Arial" w:cs="Arial"/>
        </w:rPr>
        <w:t>pertumbuhan</w:t>
      </w:r>
      <w:proofErr w:type="spellEnd"/>
      <w:r>
        <w:rPr>
          <w:rFonts w:ascii="Arial" w:hAnsi="Arial" w:cs="Arial"/>
        </w:rPr>
        <w:t xml:space="preserve"> </w:t>
      </w:r>
      <w:proofErr w:type="spellStart"/>
      <w:r>
        <w:rPr>
          <w:rFonts w:ascii="Arial" w:hAnsi="Arial" w:cs="Arial"/>
        </w:rPr>
        <w:t>ekonomi</w:t>
      </w:r>
      <w:proofErr w:type="spellEnd"/>
      <w:r>
        <w:rPr>
          <w:rFonts w:ascii="Arial" w:hAnsi="Arial" w:cs="Arial"/>
        </w:rPr>
        <w:t xml:space="preserve">, </w:t>
      </w:r>
      <w:proofErr w:type="spellStart"/>
      <w:r>
        <w:rPr>
          <w:rFonts w:ascii="Arial" w:hAnsi="Arial" w:cs="Arial"/>
        </w:rPr>
        <w:t>investasi</w:t>
      </w:r>
      <w:proofErr w:type="spellEnd"/>
      <w:r>
        <w:rPr>
          <w:rFonts w:ascii="Arial" w:hAnsi="Arial" w:cs="Arial"/>
        </w:rPr>
        <w:t xml:space="preserve">, dan </w:t>
      </w:r>
      <w:proofErr w:type="spellStart"/>
      <w:r>
        <w:rPr>
          <w:rFonts w:ascii="Arial" w:hAnsi="Arial" w:cs="Arial"/>
        </w:rPr>
        <w:t>upah</w:t>
      </w:r>
      <w:proofErr w:type="spellEnd"/>
      <w:r>
        <w:rPr>
          <w:rFonts w:ascii="Arial" w:hAnsi="Arial" w:cs="Arial"/>
        </w:rPr>
        <w:t xml:space="preserve"> minimum </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tingkat</w:t>
      </w:r>
      <w:proofErr w:type="spellEnd"/>
      <w:r>
        <w:rPr>
          <w:rFonts w:ascii="Arial" w:hAnsi="Arial" w:cs="Arial"/>
        </w:rPr>
        <w:t xml:space="preserve"> </w:t>
      </w:r>
      <w:proofErr w:type="spellStart"/>
      <w:r>
        <w:rPr>
          <w:rFonts w:ascii="Arial" w:hAnsi="Arial" w:cs="Arial"/>
        </w:rPr>
        <w:t>pengangguran</w:t>
      </w:r>
      <w:proofErr w:type="spellEnd"/>
      <w:r>
        <w:rPr>
          <w:rFonts w:ascii="Arial" w:hAnsi="Arial" w:cs="Arial"/>
        </w:rPr>
        <w:t xml:space="preserve"> di </w:t>
      </w:r>
      <w:proofErr w:type="spellStart"/>
      <w:r>
        <w:rPr>
          <w:rFonts w:ascii="Arial" w:hAnsi="Arial" w:cs="Arial"/>
        </w:rPr>
        <w:t>Jawa</w:t>
      </w:r>
      <w:proofErr w:type="spellEnd"/>
      <w:r>
        <w:rPr>
          <w:rFonts w:ascii="Arial" w:hAnsi="Arial" w:cs="Arial"/>
        </w:rPr>
        <w:t xml:space="preserve"> Barat [In English: Effect of economic growth, investment, and minimum wage on unemployment rate in West Java]. </w:t>
      </w:r>
      <w:r>
        <w:rPr>
          <w:rFonts w:ascii="Arial" w:hAnsi="Arial" w:cs="Arial"/>
          <w:i/>
          <w:iCs/>
        </w:rPr>
        <w:t>Journal of Development Economic and Social Studies, 3</w:t>
      </w:r>
      <w:r>
        <w:rPr>
          <w:rFonts w:ascii="Arial" w:hAnsi="Arial" w:cs="Arial"/>
        </w:rPr>
        <w:t xml:space="preserve">(2), 347–361. </w:t>
      </w:r>
      <w:hyperlink r:id="rId48" w:history="1">
        <w:r w:rsidR="00366727">
          <w:rPr>
            <w:rStyle w:val="Hyperlink"/>
            <w:rFonts w:ascii="Arial" w:hAnsi="Arial" w:cs="Arial"/>
          </w:rPr>
          <w:t>https://doi.org/http://dx.doi.org/10.21776/jdess.2024.03.2.2</w:t>
        </w:r>
      </w:hyperlink>
      <w:r>
        <w:rPr>
          <w:rFonts w:ascii="Arial" w:hAnsi="Arial" w:cs="Arial"/>
        </w:rPr>
        <w:t xml:space="preserve"> </w:t>
      </w:r>
    </w:p>
    <w:p w14:paraId="5C30A8CA" w14:textId="297B9BF1" w:rsidR="004138E1" w:rsidRDefault="004138E1">
      <w:pPr>
        <w:pStyle w:val="Body"/>
        <w:spacing w:after="0"/>
        <w:ind w:left="567" w:hanging="567"/>
        <w:rPr>
          <w:rFonts w:ascii="Arial" w:hAnsi="Arial" w:cs="Arial"/>
        </w:rPr>
      </w:pPr>
      <w:r w:rsidRPr="004138E1">
        <w:rPr>
          <w:rFonts w:ascii="Arial" w:hAnsi="Arial" w:cs="Arial"/>
        </w:rPr>
        <w:t xml:space="preserve">Rahman, M. M., &amp; </w:t>
      </w:r>
      <w:proofErr w:type="spellStart"/>
      <w:r w:rsidRPr="004138E1">
        <w:rPr>
          <w:rFonts w:ascii="Arial" w:hAnsi="Arial" w:cs="Arial"/>
        </w:rPr>
        <w:t>Raeisi</w:t>
      </w:r>
      <w:proofErr w:type="spellEnd"/>
      <w:r w:rsidRPr="004138E1">
        <w:rPr>
          <w:rFonts w:ascii="Arial" w:hAnsi="Arial" w:cs="Arial"/>
        </w:rPr>
        <w:t xml:space="preserve"> </w:t>
      </w:r>
      <w:proofErr w:type="spellStart"/>
      <w:r w:rsidRPr="004138E1">
        <w:rPr>
          <w:rFonts w:ascii="Arial" w:hAnsi="Arial" w:cs="Arial"/>
        </w:rPr>
        <w:t>Sarkandiz</w:t>
      </w:r>
      <w:proofErr w:type="spellEnd"/>
      <w:r w:rsidRPr="004138E1">
        <w:rPr>
          <w:rFonts w:ascii="Arial" w:hAnsi="Arial" w:cs="Arial"/>
        </w:rPr>
        <w:t xml:space="preserve">, M., (2023). Renewable energy consumption in G-7 Countries: Evidence from a dynamic panel investigation. </w:t>
      </w:r>
      <w:r w:rsidRPr="000E14E7">
        <w:rPr>
          <w:rFonts w:ascii="Arial" w:hAnsi="Arial" w:cs="Arial"/>
          <w:i/>
          <w:iCs/>
        </w:rPr>
        <w:t>International Journal of Energy Research, 2023</w:t>
      </w:r>
      <w:r>
        <w:rPr>
          <w:rFonts w:ascii="Arial" w:hAnsi="Arial" w:cs="Arial"/>
        </w:rPr>
        <w:t xml:space="preserve">, Article </w:t>
      </w:r>
      <w:r w:rsidRPr="004138E1">
        <w:rPr>
          <w:rFonts w:ascii="Arial" w:hAnsi="Arial" w:cs="Arial"/>
        </w:rPr>
        <w:t>100705</w:t>
      </w:r>
      <w:r>
        <w:rPr>
          <w:rFonts w:ascii="Arial" w:hAnsi="Arial" w:cs="Arial"/>
        </w:rPr>
        <w:t>.</w:t>
      </w:r>
      <w:r w:rsidRPr="004138E1">
        <w:t xml:space="preserve"> </w:t>
      </w:r>
      <w:hyperlink r:id="rId49" w:history="1">
        <w:r w:rsidRPr="00262F78">
          <w:rPr>
            <w:rStyle w:val="Hyperlink"/>
            <w:rFonts w:ascii="Arial" w:hAnsi="Arial" w:cs="Arial"/>
          </w:rPr>
          <w:t>https://doi.org/10.1155/2023/3100705</w:t>
        </w:r>
      </w:hyperlink>
      <w:r w:rsidR="00F4070D">
        <w:rPr>
          <w:rFonts w:ascii="Arial" w:hAnsi="Arial" w:cs="Arial"/>
        </w:rPr>
        <w:t xml:space="preserve"> </w:t>
      </w:r>
      <w:r>
        <w:rPr>
          <w:rFonts w:ascii="Arial" w:hAnsi="Arial" w:cs="Arial"/>
        </w:rPr>
        <w:t xml:space="preserve">  </w:t>
      </w:r>
    </w:p>
    <w:p w14:paraId="6F9FE925" w14:textId="419DC79F" w:rsidR="00F4070D" w:rsidRDefault="00F4070D">
      <w:pPr>
        <w:pStyle w:val="Body"/>
        <w:spacing w:after="0"/>
        <w:ind w:left="567" w:hanging="567"/>
        <w:rPr>
          <w:rFonts w:ascii="Arial" w:hAnsi="Arial" w:cs="Arial"/>
        </w:rPr>
      </w:pPr>
      <w:proofErr w:type="spellStart"/>
      <w:r w:rsidRPr="00F4070D">
        <w:rPr>
          <w:rFonts w:ascii="Arial" w:hAnsi="Arial" w:cs="Arial"/>
        </w:rPr>
        <w:t>Rashed</w:t>
      </w:r>
      <w:proofErr w:type="spellEnd"/>
      <w:r w:rsidRPr="00F4070D">
        <w:rPr>
          <w:rFonts w:ascii="Arial" w:hAnsi="Arial" w:cs="Arial"/>
        </w:rPr>
        <w:t>,</w:t>
      </w:r>
      <w:r>
        <w:rPr>
          <w:rFonts w:ascii="Arial" w:hAnsi="Arial" w:cs="Arial"/>
        </w:rPr>
        <w:t xml:space="preserve"> A.,</w:t>
      </w:r>
      <w:r w:rsidRPr="00F4070D">
        <w:rPr>
          <w:rFonts w:ascii="Arial" w:hAnsi="Arial" w:cs="Arial"/>
        </w:rPr>
        <w:t xml:space="preserve"> Yong</w:t>
      </w:r>
      <w:r>
        <w:rPr>
          <w:rFonts w:ascii="Arial" w:hAnsi="Arial" w:cs="Arial"/>
        </w:rPr>
        <w:t>, C-C., &amp;</w:t>
      </w:r>
      <w:r w:rsidRPr="00F4070D">
        <w:rPr>
          <w:rFonts w:ascii="Arial" w:hAnsi="Arial" w:cs="Arial"/>
        </w:rPr>
        <w:t xml:space="preserve"> Soon</w:t>
      </w:r>
      <w:r>
        <w:rPr>
          <w:rFonts w:ascii="Arial" w:hAnsi="Arial" w:cs="Arial"/>
        </w:rPr>
        <w:t xml:space="preserve">, S-V. (2022). </w:t>
      </w:r>
      <w:r w:rsidRPr="00F4070D">
        <w:rPr>
          <w:rFonts w:ascii="Arial" w:hAnsi="Arial" w:cs="Arial"/>
        </w:rPr>
        <w:t xml:space="preserve">The nexus among foreign direct investment in renewable electricity industry, renewable electricity production, and economic growth </w:t>
      </w:r>
      <w:r w:rsidRPr="00F4070D">
        <w:rPr>
          <w:rFonts w:ascii="Arial" w:hAnsi="Arial" w:cs="Arial"/>
        </w:rPr>
        <w:lastRenderedPageBreak/>
        <w:t>in Africa</w:t>
      </w:r>
      <w:r>
        <w:rPr>
          <w:rFonts w:ascii="Arial" w:hAnsi="Arial" w:cs="Arial"/>
        </w:rPr>
        <w:t xml:space="preserve">. </w:t>
      </w:r>
      <w:r w:rsidRPr="000E14E7">
        <w:rPr>
          <w:rFonts w:ascii="Arial" w:hAnsi="Arial" w:cs="Arial"/>
          <w:i/>
          <w:iCs/>
        </w:rPr>
        <w:t>Cogent Economics &amp; Finance, 10</w:t>
      </w:r>
      <w:r>
        <w:rPr>
          <w:rFonts w:ascii="Arial" w:hAnsi="Arial" w:cs="Arial"/>
        </w:rPr>
        <w:t>(1), Article</w:t>
      </w:r>
      <w:r w:rsidRPr="00F4070D">
        <w:rPr>
          <w:rFonts w:ascii="Arial" w:hAnsi="Arial" w:cs="Arial"/>
        </w:rPr>
        <w:t xml:space="preserve"> 2001141</w:t>
      </w:r>
      <w:r>
        <w:rPr>
          <w:rFonts w:ascii="Arial" w:hAnsi="Arial" w:cs="Arial"/>
        </w:rPr>
        <w:t>.</w:t>
      </w:r>
      <w:r w:rsidRPr="00F4070D">
        <w:t xml:space="preserve"> </w:t>
      </w:r>
      <w:hyperlink r:id="rId50" w:history="1">
        <w:r w:rsidRPr="00262F78">
          <w:rPr>
            <w:rStyle w:val="Hyperlink"/>
            <w:rFonts w:ascii="Arial" w:hAnsi="Arial" w:cs="Arial"/>
          </w:rPr>
          <w:t>https://doi.org/10.1080/23322039.2021.2001141</w:t>
        </w:r>
      </w:hyperlink>
      <w:r>
        <w:rPr>
          <w:rFonts w:ascii="Arial" w:hAnsi="Arial" w:cs="Arial"/>
        </w:rPr>
        <w:t xml:space="preserve">   </w:t>
      </w:r>
    </w:p>
    <w:p w14:paraId="5847C315" w14:textId="14392728" w:rsidR="00366727" w:rsidRDefault="005265DE">
      <w:pPr>
        <w:pStyle w:val="Body"/>
        <w:spacing w:after="0"/>
        <w:ind w:left="567" w:hanging="567"/>
        <w:rPr>
          <w:rFonts w:ascii="Arial" w:hAnsi="Arial" w:cs="Arial"/>
        </w:rPr>
      </w:pPr>
      <w:proofErr w:type="spellStart"/>
      <w:r>
        <w:rPr>
          <w:rFonts w:ascii="Arial" w:hAnsi="Arial" w:cs="Arial"/>
        </w:rPr>
        <w:t>Rayhan</w:t>
      </w:r>
      <w:proofErr w:type="spellEnd"/>
      <w:r>
        <w:rPr>
          <w:rFonts w:ascii="Arial" w:hAnsi="Arial" w:cs="Arial"/>
        </w:rPr>
        <w:t xml:space="preserve">, M. E., &amp; </w:t>
      </w:r>
      <w:proofErr w:type="spellStart"/>
      <w:r>
        <w:rPr>
          <w:rFonts w:ascii="Arial" w:hAnsi="Arial" w:cs="Arial"/>
        </w:rPr>
        <w:t>Saputra</w:t>
      </w:r>
      <w:proofErr w:type="spellEnd"/>
      <w:r>
        <w:rPr>
          <w:rFonts w:ascii="Arial" w:hAnsi="Arial" w:cs="Arial"/>
        </w:rPr>
        <w:t xml:space="preserve">, P. M. A. (2025). An analysis of the determinants of unemployment rate in West Java. </w:t>
      </w:r>
      <w:r>
        <w:rPr>
          <w:rFonts w:ascii="Arial" w:hAnsi="Arial" w:cs="Arial"/>
          <w:i/>
          <w:iCs/>
        </w:rPr>
        <w:t>Journal of Development Economic and Social Studies, 4</w:t>
      </w:r>
      <w:r>
        <w:rPr>
          <w:rFonts w:ascii="Arial" w:hAnsi="Arial" w:cs="Arial"/>
        </w:rPr>
        <w:t xml:space="preserve">(1), 77–90. </w:t>
      </w:r>
      <w:hyperlink r:id="rId51" w:history="1">
        <w:r w:rsidR="00366727">
          <w:rPr>
            <w:rStyle w:val="Hyperlink"/>
            <w:rFonts w:ascii="Arial" w:hAnsi="Arial" w:cs="Arial"/>
          </w:rPr>
          <w:t>http://dx.doi.org/10.21776/jdess.2025.04.1.07</w:t>
        </w:r>
      </w:hyperlink>
      <w:r>
        <w:rPr>
          <w:rFonts w:ascii="Arial" w:hAnsi="Arial" w:cs="Arial"/>
        </w:rPr>
        <w:t xml:space="preserve"> </w:t>
      </w:r>
    </w:p>
    <w:p w14:paraId="641DC9D4" w14:textId="5E575816" w:rsidR="004138E1" w:rsidRDefault="004138E1" w:rsidP="004138E1">
      <w:pPr>
        <w:pStyle w:val="Body"/>
        <w:spacing w:after="0"/>
        <w:ind w:left="567" w:hanging="567"/>
        <w:rPr>
          <w:rFonts w:ascii="Arial" w:hAnsi="Arial" w:cs="Arial"/>
        </w:rPr>
      </w:pPr>
      <w:proofErr w:type="spellStart"/>
      <w:r w:rsidRPr="004138E1">
        <w:rPr>
          <w:rFonts w:ascii="Arial" w:hAnsi="Arial" w:cs="Arial"/>
        </w:rPr>
        <w:t>Simionescu</w:t>
      </w:r>
      <w:proofErr w:type="spellEnd"/>
      <w:r>
        <w:rPr>
          <w:rFonts w:ascii="Arial" w:hAnsi="Arial" w:cs="Arial"/>
        </w:rPr>
        <w:t>,</w:t>
      </w:r>
      <w:r w:rsidRPr="004138E1">
        <w:rPr>
          <w:rFonts w:ascii="Arial" w:hAnsi="Arial" w:cs="Arial"/>
        </w:rPr>
        <w:t xml:space="preserve"> M</w:t>
      </w:r>
      <w:r>
        <w:rPr>
          <w:rFonts w:ascii="Arial" w:hAnsi="Arial" w:cs="Arial"/>
        </w:rPr>
        <w:t>.</w:t>
      </w:r>
      <w:r w:rsidRPr="004138E1">
        <w:rPr>
          <w:rFonts w:ascii="Arial" w:hAnsi="Arial" w:cs="Arial"/>
        </w:rPr>
        <w:t xml:space="preserve">, </w:t>
      </w:r>
      <w:proofErr w:type="spellStart"/>
      <w:r w:rsidRPr="004138E1">
        <w:rPr>
          <w:rFonts w:ascii="Arial" w:hAnsi="Arial" w:cs="Arial"/>
        </w:rPr>
        <w:t>Szeles</w:t>
      </w:r>
      <w:proofErr w:type="spellEnd"/>
      <w:r>
        <w:rPr>
          <w:rFonts w:ascii="Arial" w:hAnsi="Arial" w:cs="Arial"/>
        </w:rPr>
        <w:t>,</w:t>
      </w:r>
      <w:r w:rsidRPr="004138E1">
        <w:rPr>
          <w:rFonts w:ascii="Arial" w:hAnsi="Arial" w:cs="Arial"/>
        </w:rPr>
        <w:t xml:space="preserve"> M</w:t>
      </w:r>
      <w:r>
        <w:rPr>
          <w:rFonts w:ascii="Arial" w:hAnsi="Arial" w:cs="Arial"/>
        </w:rPr>
        <w:t xml:space="preserve">. </w:t>
      </w:r>
      <w:r w:rsidRPr="004138E1">
        <w:rPr>
          <w:rFonts w:ascii="Arial" w:hAnsi="Arial" w:cs="Arial"/>
        </w:rPr>
        <w:t>R</w:t>
      </w:r>
      <w:r>
        <w:rPr>
          <w:rFonts w:ascii="Arial" w:hAnsi="Arial" w:cs="Arial"/>
        </w:rPr>
        <w:t>.</w:t>
      </w:r>
      <w:r w:rsidRPr="004138E1">
        <w:rPr>
          <w:rFonts w:ascii="Arial" w:hAnsi="Arial" w:cs="Arial"/>
        </w:rPr>
        <w:t xml:space="preserve">, </w:t>
      </w:r>
      <w:proofErr w:type="spellStart"/>
      <w:r w:rsidRPr="004138E1">
        <w:rPr>
          <w:rFonts w:ascii="Arial" w:hAnsi="Arial" w:cs="Arial"/>
        </w:rPr>
        <w:t>Gavurova</w:t>
      </w:r>
      <w:proofErr w:type="spellEnd"/>
      <w:r>
        <w:rPr>
          <w:rFonts w:ascii="Arial" w:hAnsi="Arial" w:cs="Arial"/>
        </w:rPr>
        <w:t>,</w:t>
      </w:r>
      <w:r w:rsidRPr="004138E1">
        <w:rPr>
          <w:rFonts w:ascii="Arial" w:hAnsi="Arial" w:cs="Arial"/>
        </w:rPr>
        <w:t xml:space="preserve"> B</w:t>
      </w:r>
      <w:r>
        <w:rPr>
          <w:rFonts w:ascii="Arial" w:hAnsi="Arial" w:cs="Arial"/>
        </w:rPr>
        <w:t xml:space="preserve">., &amp; </w:t>
      </w:r>
      <w:proofErr w:type="spellStart"/>
      <w:r w:rsidRPr="004138E1">
        <w:rPr>
          <w:rFonts w:ascii="Arial" w:hAnsi="Arial" w:cs="Arial"/>
        </w:rPr>
        <w:t>Mentel</w:t>
      </w:r>
      <w:proofErr w:type="spellEnd"/>
      <w:r>
        <w:rPr>
          <w:rFonts w:ascii="Arial" w:hAnsi="Arial" w:cs="Arial"/>
        </w:rPr>
        <w:t>,</w:t>
      </w:r>
      <w:r w:rsidRPr="004138E1">
        <w:rPr>
          <w:rFonts w:ascii="Arial" w:hAnsi="Arial" w:cs="Arial"/>
        </w:rPr>
        <w:t xml:space="preserve"> U</w:t>
      </w:r>
      <w:r>
        <w:rPr>
          <w:rFonts w:ascii="Arial" w:hAnsi="Arial" w:cs="Arial"/>
        </w:rPr>
        <w:t>.</w:t>
      </w:r>
      <w:r w:rsidRPr="004138E1">
        <w:rPr>
          <w:rFonts w:ascii="Arial" w:hAnsi="Arial" w:cs="Arial"/>
        </w:rPr>
        <w:t xml:space="preserve"> (2021)</w:t>
      </w:r>
      <w:r>
        <w:rPr>
          <w:rFonts w:ascii="Arial" w:hAnsi="Arial" w:cs="Arial"/>
        </w:rPr>
        <w:t>.</w:t>
      </w:r>
      <w:r w:rsidRPr="004138E1">
        <w:rPr>
          <w:rFonts w:ascii="Arial" w:hAnsi="Arial" w:cs="Arial"/>
        </w:rPr>
        <w:t xml:space="preserve"> The impact of</w:t>
      </w:r>
      <w:r>
        <w:rPr>
          <w:rFonts w:ascii="Arial" w:hAnsi="Arial" w:cs="Arial"/>
        </w:rPr>
        <w:t xml:space="preserve"> </w:t>
      </w:r>
      <w:r w:rsidRPr="004138E1">
        <w:rPr>
          <w:rFonts w:ascii="Arial" w:hAnsi="Arial" w:cs="Arial"/>
        </w:rPr>
        <w:t>quality of governance, renewable</w:t>
      </w:r>
      <w:r>
        <w:rPr>
          <w:rFonts w:ascii="Arial" w:hAnsi="Arial" w:cs="Arial"/>
        </w:rPr>
        <w:t xml:space="preserve"> </w:t>
      </w:r>
      <w:r w:rsidRPr="004138E1">
        <w:rPr>
          <w:rFonts w:ascii="Arial" w:hAnsi="Arial" w:cs="Arial"/>
        </w:rPr>
        <w:t>energy and foreign direct investment</w:t>
      </w:r>
      <w:r>
        <w:rPr>
          <w:rFonts w:ascii="Arial" w:hAnsi="Arial" w:cs="Arial"/>
        </w:rPr>
        <w:t xml:space="preserve"> </w:t>
      </w:r>
      <w:r w:rsidRPr="004138E1">
        <w:rPr>
          <w:rFonts w:ascii="Arial" w:hAnsi="Arial" w:cs="Arial"/>
        </w:rPr>
        <w:t>on sustainable development in</w:t>
      </w:r>
      <w:r>
        <w:rPr>
          <w:rFonts w:ascii="Arial" w:hAnsi="Arial" w:cs="Arial"/>
        </w:rPr>
        <w:t xml:space="preserve"> </w:t>
      </w:r>
      <w:r w:rsidRPr="004138E1">
        <w:rPr>
          <w:rFonts w:ascii="Arial" w:hAnsi="Arial" w:cs="Arial"/>
        </w:rPr>
        <w:t>Cee Countries.</w:t>
      </w:r>
      <w:r w:rsidRPr="004138E1">
        <w:t xml:space="preserve"> </w:t>
      </w:r>
      <w:r w:rsidRPr="000E14E7">
        <w:rPr>
          <w:rFonts w:ascii="Arial" w:hAnsi="Arial" w:cs="Arial"/>
          <w:i/>
          <w:iCs/>
        </w:rPr>
        <w:t>Frontiers in Environmental Science, 9</w:t>
      </w:r>
      <w:r>
        <w:rPr>
          <w:rFonts w:ascii="Arial" w:hAnsi="Arial" w:cs="Arial"/>
        </w:rPr>
        <w:t xml:space="preserve">, Article </w:t>
      </w:r>
      <w:r w:rsidRPr="004138E1">
        <w:rPr>
          <w:rFonts w:ascii="Arial" w:hAnsi="Arial" w:cs="Arial"/>
        </w:rPr>
        <w:t>765927</w:t>
      </w:r>
      <w:r>
        <w:rPr>
          <w:rFonts w:ascii="Arial" w:hAnsi="Arial" w:cs="Arial"/>
        </w:rPr>
        <w:t xml:space="preserve">. </w:t>
      </w:r>
      <w:hyperlink r:id="rId52" w:history="1">
        <w:r w:rsidRPr="00262F78">
          <w:rPr>
            <w:rStyle w:val="Hyperlink"/>
            <w:rFonts w:ascii="Arial" w:hAnsi="Arial" w:cs="Arial"/>
          </w:rPr>
          <w:t>https://doi.org/10.3389/fenvs.2021.765927</w:t>
        </w:r>
      </w:hyperlink>
      <w:r w:rsidR="00F4070D">
        <w:rPr>
          <w:rFonts w:ascii="Arial" w:hAnsi="Arial" w:cs="Arial"/>
        </w:rPr>
        <w:t xml:space="preserve"> </w:t>
      </w:r>
      <w:r>
        <w:rPr>
          <w:rFonts w:ascii="Arial" w:hAnsi="Arial" w:cs="Arial"/>
        </w:rPr>
        <w:t xml:space="preserve"> </w:t>
      </w:r>
    </w:p>
    <w:p w14:paraId="5413F1BE" w14:textId="28F8994C" w:rsidR="00366727" w:rsidRDefault="005265DE" w:rsidP="004138E1">
      <w:pPr>
        <w:pStyle w:val="Body"/>
        <w:spacing w:after="0"/>
        <w:ind w:left="567" w:hanging="567"/>
        <w:rPr>
          <w:rFonts w:ascii="Arial" w:hAnsi="Arial" w:cs="Arial"/>
        </w:rPr>
      </w:pPr>
      <w:r>
        <w:rPr>
          <w:rFonts w:ascii="Arial" w:hAnsi="Arial" w:cs="Arial"/>
        </w:rPr>
        <w:t xml:space="preserve">Sun, J. (2023). The federal reserve's interest rate policy and its impact against a background of inflation and high unemployment rate. </w:t>
      </w:r>
      <w:r>
        <w:rPr>
          <w:rFonts w:ascii="Arial" w:hAnsi="Arial" w:cs="Arial"/>
          <w:i/>
          <w:iCs/>
        </w:rPr>
        <w:t>Highlights in Business, Economics and Management, 15</w:t>
      </w:r>
      <w:r>
        <w:rPr>
          <w:rFonts w:ascii="Arial" w:hAnsi="Arial" w:cs="Arial"/>
        </w:rPr>
        <w:t xml:space="preserve">, 80–85. </w:t>
      </w:r>
      <w:hyperlink r:id="rId53" w:history="1">
        <w:r w:rsidR="00366727">
          <w:rPr>
            <w:rStyle w:val="Hyperlink"/>
            <w:rFonts w:ascii="Arial" w:hAnsi="Arial" w:cs="Arial"/>
          </w:rPr>
          <w:t>https://doi.org/10.54097/hbem.v15i.9320</w:t>
        </w:r>
      </w:hyperlink>
      <w:r>
        <w:rPr>
          <w:rFonts w:ascii="Arial" w:hAnsi="Arial" w:cs="Arial"/>
        </w:rPr>
        <w:t xml:space="preserve"> </w:t>
      </w:r>
    </w:p>
    <w:p w14:paraId="1C2DDC32" w14:textId="77777777" w:rsidR="00366727" w:rsidRDefault="005265DE">
      <w:pPr>
        <w:pStyle w:val="Body"/>
        <w:spacing w:after="0"/>
        <w:ind w:left="567" w:hanging="567"/>
        <w:rPr>
          <w:rFonts w:ascii="Arial" w:hAnsi="Arial" w:cs="Arial"/>
        </w:rPr>
      </w:pPr>
      <w:proofErr w:type="spellStart"/>
      <w:r>
        <w:rPr>
          <w:rFonts w:ascii="Arial" w:hAnsi="Arial" w:cs="Arial"/>
        </w:rPr>
        <w:t>Tanaya</w:t>
      </w:r>
      <w:proofErr w:type="spellEnd"/>
      <w:r>
        <w:rPr>
          <w:rFonts w:ascii="Arial" w:hAnsi="Arial" w:cs="Arial"/>
        </w:rPr>
        <w:t xml:space="preserve">, O., &amp; </w:t>
      </w:r>
      <w:proofErr w:type="spellStart"/>
      <w:r>
        <w:rPr>
          <w:rFonts w:ascii="Arial" w:hAnsi="Arial" w:cs="Arial"/>
        </w:rPr>
        <w:t>Suyanto</w:t>
      </w:r>
      <w:proofErr w:type="spellEnd"/>
      <w:r>
        <w:rPr>
          <w:rFonts w:ascii="Arial" w:hAnsi="Arial" w:cs="Arial"/>
        </w:rPr>
        <w:t xml:space="preserve">, S. (2023). Investigating the role of foreign direct investment on youth unemployment rate in Indonesia. </w:t>
      </w:r>
      <w:proofErr w:type="spellStart"/>
      <w:r>
        <w:rPr>
          <w:rFonts w:ascii="Arial" w:hAnsi="Arial" w:cs="Arial"/>
          <w:i/>
          <w:iCs/>
        </w:rPr>
        <w:t>Binus</w:t>
      </w:r>
      <w:proofErr w:type="spellEnd"/>
      <w:r>
        <w:rPr>
          <w:rFonts w:ascii="Arial" w:hAnsi="Arial" w:cs="Arial"/>
          <w:i/>
          <w:iCs/>
        </w:rPr>
        <w:t xml:space="preserve"> Business Review, 14</w:t>
      </w:r>
      <w:r>
        <w:rPr>
          <w:rFonts w:ascii="Arial" w:hAnsi="Arial" w:cs="Arial"/>
        </w:rPr>
        <w:t xml:space="preserve">(2), 121–131. </w:t>
      </w:r>
      <w:hyperlink r:id="rId54" w:history="1">
        <w:r w:rsidR="00366727">
          <w:rPr>
            <w:rStyle w:val="Hyperlink"/>
            <w:rFonts w:ascii="Arial" w:hAnsi="Arial" w:cs="Arial"/>
          </w:rPr>
          <w:t>https://doi.org/10.21512/bbr.v14i2.8486</w:t>
        </w:r>
      </w:hyperlink>
      <w:r>
        <w:rPr>
          <w:rFonts w:ascii="Arial" w:hAnsi="Arial" w:cs="Arial"/>
        </w:rPr>
        <w:t xml:space="preserve"> </w:t>
      </w:r>
    </w:p>
    <w:p w14:paraId="3DD87CAE" w14:textId="06ECE95C" w:rsidR="004138E1" w:rsidRDefault="004138E1">
      <w:pPr>
        <w:pStyle w:val="Body"/>
        <w:spacing w:after="0"/>
        <w:ind w:left="567" w:hanging="567"/>
        <w:rPr>
          <w:rFonts w:ascii="Arial" w:hAnsi="Arial" w:cs="Arial"/>
        </w:rPr>
      </w:pPr>
      <w:r w:rsidRPr="004138E1">
        <w:rPr>
          <w:rFonts w:ascii="Arial" w:hAnsi="Arial" w:cs="Arial"/>
        </w:rPr>
        <w:t>Tariq, G., Sun, H., Fernandez-</w:t>
      </w:r>
      <w:proofErr w:type="spellStart"/>
      <w:r w:rsidRPr="004138E1">
        <w:rPr>
          <w:rFonts w:ascii="Arial" w:hAnsi="Arial" w:cs="Arial"/>
        </w:rPr>
        <w:t>Gamiz</w:t>
      </w:r>
      <w:proofErr w:type="spellEnd"/>
      <w:r w:rsidRPr="004138E1">
        <w:rPr>
          <w:rFonts w:ascii="Arial" w:hAnsi="Arial" w:cs="Arial"/>
        </w:rPr>
        <w:t xml:space="preserve">, U., Mansoor, S., Pasha, A. A., Ali, S., &amp; Khan, M. S. (2023). Effects of globalization, foreign direct investment and economic growth on renewable electricity consumption. </w:t>
      </w:r>
      <w:proofErr w:type="spellStart"/>
      <w:r w:rsidRPr="000E14E7">
        <w:rPr>
          <w:rFonts w:ascii="Arial" w:hAnsi="Arial" w:cs="Arial"/>
          <w:i/>
          <w:iCs/>
        </w:rPr>
        <w:t>Heliyon</w:t>
      </w:r>
      <w:proofErr w:type="spellEnd"/>
      <w:r w:rsidRPr="000E14E7">
        <w:rPr>
          <w:rFonts w:ascii="Arial" w:hAnsi="Arial" w:cs="Arial"/>
          <w:i/>
          <w:iCs/>
        </w:rPr>
        <w:t>, 9</w:t>
      </w:r>
      <w:r w:rsidRPr="004138E1">
        <w:rPr>
          <w:rFonts w:ascii="Arial" w:hAnsi="Arial" w:cs="Arial"/>
        </w:rPr>
        <w:t xml:space="preserve">(3), </w:t>
      </w:r>
      <w:r>
        <w:rPr>
          <w:rFonts w:ascii="Arial" w:hAnsi="Arial" w:cs="Arial"/>
        </w:rPr>
        <w:t xml:space="preserve">Article </w:t>
      </w:r>
      <w:r w:rsidRPr="004138E1">
        <w:rPr>
          <w:rFonts w:ascii="Arial" w:hAnsi="Arial" w:cs="Arial"/>
        </w:rPr>
        <w:t xml:space="preserve">e14635. </w:t>
      </w:r>
      <w:hyperlink r:id="rId55" w:history="1">
        <w:r w:rsidRPr="00262F78">
          <w:rPr>
            <w:rStyle w:val="Hyperlink"/>
            <w:rFonts w:ascii="Arial" w:hAnsi="Arial" w:cs="Arial"/>
          </w:rPr>
          <w:t>https://doi.org/10.1016/j.heliyon.2023.e14635</w:t>
        </w:r>
      </w:hyperlink>
      <w:r w:rsidR="00F4070D">
        <w:rPr>
          <w:rFonts w:ascii="Arial" w:hAnsi="Arial" w:cs="Arial"/>
        </w:rPr>
        <w:t xml:space="preserve"> </w:t>
      </w:r>
      <w:r>
        <w:rPr>
          <w:rFonts w:ascii="Arial" w:hAnsi="Arial" w:cs="Arial"/>
        </w:rPr>
        <w:t xml:space="preserve"> </w:t>
      </w:r>
    </w:p>
    <w:p w14:paraId="2665194C" w14:textId="5F96F8ED" w:rsidR="00366727" w:rsidRDefault="005265DE">
      <w:pPr>
        <w:pStyle w:val="Body"/>
        <w:spacing w:after="0"/>
        <w:ind w:left="567" w:hanging="567"/>
        <w:rPr>
          <w:rFonts w:ascii="Arial" w:hAnsi="Arial" w:cs="Arial"/>
        </w:rPr>
      </w:pPr>
      <w:proofErr w:type="spellStart"/>
      <w:r>
        <w:rPr>
          <w:rFonts w:ascii="Arial" w:hAnsi="Arial" w:cs="Arial"/>
        </w:rPr>
        <w:t>Tjahjanto</w:t>
      </w:r>
      <w:proofErr w:type="spellEnd"/>
      <w:r>
        <w:rPr>
          <w:rFonts w:ascii="Arial" w:hAnsi="Arial" w:cs="Arial"/>
        </w:rPr>
        <w:t xml:space="preserve">, H., </w:t>
      </w:r>
      <w:proofErr w:type="spellStart"/>
      <w:r>
        <w:rPr>
          <w:rFonts w:ascii="Arial" w:hAnsi="Arial" w:cs="Arial"/>
        </w:rPr>
        <w:t>Tuhana</w:t>
      </w:r>
      <w:proofErr w:type="spellEnd"/>
      <w:r>
        <w:rPr>
          <w:rFonts w:ascii="Arial" w:hAnsi="Arial" w:cs="Arial"/>
        </w:rPr>
        <w:t xml:space="preserve">, T., </w:t>
      </w:r>
      <w:proofErr w:type="spellStart"/>
      <w:r>
        <w:rPr>
          <w:rFonts w:ascii="Arial" w:hAnsi="Arial" w:cs="Arial"/>
        </w:rPr>
        <w:t>Mafruhah</w:t>
      </w:r>
      <w:proofErr w:type="spellEnd"/>
      <w:r>
        <w:rPr>
          <w:rFonts w:ascii="Arial" w:hAnsi="Arial" w:cs="Arial"/>
        </w:rPr>
        <w:t xml:space="preserve">, I., </w:t>
      </w:r>
      <w:proofErr w:type="spellStart"/>
      <w:r>
        <w:rPr>
          <w:rFonts w:ascii="Arial" w:hAnsi="Arial" w:cs="Arial"/>
        </w:rPr>
        <w:t>Istiqomah</w:t>
      </w:r>
      <w:proofErr w:type="spellEnd"/>
      <w:r>
        <w:rPr>
          <w:rFonts w:ascii="Arial" w:hAnsi="Arial" w:cs="Arial"/>
        </w:rPr>
        <w:t xml:space="preserve">, N., &amp; </w:t>
      </w:r>
      <w:proofErr w:type="spellStart"/>
      <w:r>
        <w:rPr>
          <w:rFonts w:ascii="Arial" w:hAnsi="Arial" w:cs="Arial"/>
        </w:rPr>
        <w:t>Ismoyowati</w:t>
      </w:r>
      <w:proofErr w:type="spellEnd"/>
      <w:r>
        <w:rPr>
          <w:rFonts w:ascii="Arial" w:hAnsi="Arial" w:cs="Arial"/>
        </w:rPr>
        <w:t xml:space="preserve">, D. (2023). High unemployment, disrupted economic growth and sustainable development goals: Analyzing unemployment reduction. </w:t>
      </w:r>
      <w:r>
        <w:rPr>
          <w:rFonts w:ascii="Arial" w:hAnsi="Arial" w:cs="Arial"/>
          <w:i/>
          <w:iCs/>
        </w:rPr>
        <w:t>Economics and Sociology, 16</w:t>
      </w:r>
      <w:r>
        <w:rPr>
          <w:rFonts w:ascii="Arial" w:hAnsi="Arial" w:cs="Arial"/>
        </w:rPr>
        <w:t xml:space="preserve">(1), 106–120. </w:t>
      </w:r>
      <w:hyperlink r:id="rId56" w:history="1">
        <w:r w:rsidR="00366727">
          <w:rPr>
            <w:rStyle w:val="Hyperlink"/>
            <w:rFonts w:ascii="Arial" w:hAnsi="Arial" w:cs="Arial"/>
          </w:rPr>
          <w:t>https://doi.org/10.14254/2071-789X.2023/16-1/7</w:t>
        </w:r>
      </w:hyperlink>
    </w:p>
    <w:p w14:paraId="0F8835C1" w14:textId="77777777" w:rsidR="00366727" w:rsidRDefault="005265DE">
      <w:pPr>
        <w:pStyle w:val="Body"/>
        <w:spacing w:after="0"/>
        <w:ind w:left="567" w:hanging="567"/>
        <w:rPr>
          <w:rFonts w:ascii="Arial" w:hAnsi="Arial" w:cs="Arial"/>
        </w:rPr>
      </w:pPr>
      <w:proofErr w:type="spellStart"/>
      <w:r>
        <w:rPr>
          <w:rFonts w:ascii="Arial" w:hAnsi="Arial" w:cs="Arial"/>
        </w:rPr>
        <w:t>Yehosua</w:t>
      </w:r>
      <w:proofErr w:type="spellEnd"/>
      <w:r>
        <w:rPr>
          <w:rFonts w:ascii="Arial" w:hAnsi="Arial" w:cs="Arial"/>
        </w:rPr>
        <w:t xml:space="preserve">, S. A., </w:t>
      </w:r>
      <w:proofErr w:type="spellStart"/>
      <w:r>
        <w:rPr>
          <w:rFonts w:ascii="Arial" w:hAnsi="Arial" w:cs="Arial"/>
        </w:rPr>
        <w:t>Rotinsulu</w:t>
      </w:r>
      <w:proofErr w:type="spellEnd"/>
      <w:r>
        <w:rPr>
          <w:rFonts w:ascii="Arial" w:hAnsi="Arial" w:cs="Arial"/>
        </w:rPr>
        <w:t xml:space="preserve">, T. O., &amp; </w:t>
      </w:r>
      <w:proofErr w:type="spellStart"/>
      <w:r>
        <w:rPr>
          <w:rFonts w:ascii="Arial" w:hAnsi="Arial" w:cs="Arial"/>
        </w:rPr>
        <w:t>Niode</w:t>
      </w:r>
      <w:proofErr w:type="spellEnd"/>
      <w:r>
        <w:rPr>
          <w:rFonts w:ascii="Arial" w:hAnsi="Arial" w:cs="Arial"/>
        </w:rPr>
        <w:t xml:space="preserve">, A. O. (2019). </w:t>
      </w:r>
      <w:proofErr w:type="spellStart"/>
      <w:r>
        <w:rPr>
          <w:rFonts w:ascii="Arial" w:hAnsi="Arial" w:cs="Arial"/>
        </w:rPr>
        <w:t>Pengaruh</w:t>
      </w:r>
      <w:proofErr w:type="spellEnd"/>
      <w:r>
        <w:rPr>
          <w:rFonts w:ascii="Arial" w:hAnsi="Arial" w:cs="Arial"/>
        </w:rPr>
        <w:t xml:space="preserve"> </w:t>
      </w:r>
      <w:proofErr w:type="spellStart"/>
      <w:r>
        <w:rPr>
          <w:rFonts w:ascii="Arial" w:hAnsi="Arial" w:cs="Arial"/>
        </w:rPr>
        <w:t>inflasi</w:t>
      </w:r>
      <w:proofErr w:type="spellEnd"/>
      <w:r>
        <w:rPr>
          <w:rFonts w:ascii="Arial" w:hAnsi="Arial" w:cs="Arial"/>
        </w:rPr>
        <w:t xml:space="preserve"> dan </w:t>
      </w:r>
      <w:proofErr w:type="spellStart"/>
      <w:r>
        <w:rPr>
          <w:rFonts w:ascii="Arial" w:hAnsi="Arial" w:cs="Arial"/>
        </w:rPr>
        <w:t>suku</w:t>
      </w:r>
      <w:proofErr w:type="spellEnd"/>
      <w:r>
        <w:rPr>
          <w:rFonts w:ascii="Arial" w:hAnsi="Arial" w:cs="Arial"/>
        </w:rPr>
        <w:t xml:space="preserve"> </w:t>
      </w:r>
      <w:proofErr w:type="spellStart"/>
      <w:r>
        <w:rPr>
          <w:rFonts w:ascii="Arial" w:hAnsi="Arial" w:cs="Arial"/>
        </w:rPr>
        <w:t>bunga</w:t>
      </w:r>
      <w:proofErr w:type="spellEnd"/>
      <w:r>
        <w:rPr>
          <w:rFonts w:ascii="Arial" w:hAnsi="Arial" w:cs="Arial"/>
        </w:rPr>
        <w:t xml:space="preserve"> </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tingkat</w:t>
      </w:r>
      <w:proofErr w:type="spellEnd"/>
      <w:r>
        <w:rPr>
          <w:rFonts w:ascii="Arial" w:hAnsi="Arial" w:cs="Arial"/>
        </w:rPr>
        <w:t xml:space="preserve"> </w:t>
      </w:r>
      <w:proofErr w:type="spellStart"/>
      <w:r>
        <w:rPr>
          <w:rFonts w:ascii="Arial" w:hAnsi="Arial" w:cs="Arial"/>
        </w:rPr>
        <w:t>pengangguran</w:t>
      </w:r>
      <w:proofErr w:type="spellEnd"/>
      <w:r>
        <w:rPr>
          <w:rFonts w:ascii="Arial" w:hAnsi="Arial" w:cs="Arial"/>
        </w:rPr>
        <w:t xml:space="preserve"> di Kota Manado [In English: The effect of inflation and interest rate on unemployment rate in Manado City]. </w:t>
      </w:r>
      <w:proofErr w:type="spellStart"/>
      <w:r>
        <w:rPr>
          <w:rFonts w:ascii="Arial" w:hAnsi="Arial" w:cs="Arial"/>
          <w:i/>
          <w:iCs/>
        </w:rPr>
        <w:t>Jurnal</w:t>
      </w:r>
      <w:proofErr w:type="spellEnd"/>
      <w:r>
        <w:rPr>
          <w:rFonts w:ascii="Arial" w:hAnsi="Arial" w:cs="Arial"/>
          <w:i/>
          <w:iCs/>
        </w:rPr>
        <w:t xml:space="preserve"> </w:t>
      </w:r>
      <w:proofErr w:type="spellStart"/>
      <w:r>
        <w:rPr>
          <w:rFonts w:ascii="Arial" w:hAnsi="Arial" w:cs="Arial"/>
          <w:i/>
          <w:iCs/>
        </w:rPr>
        <w:t>Berkala</w:t>
      </w:r>
      <w:proofErr w:type="spellEnd"/>
      <w:r>
        <w:rPr>
          <w:rFonts w:ascii="Arial" w:hAnsi="Arial" w:cs="Arial"/>
          <w:i/>
          <w:iCs/>
        </w:rPr>
        <w:t xml:space="preserve"> </w:t>
      </w:r>
      <w:proofErr w:type="spellStart"/>
      <w:r>
        <w:rPr>
          <w:rFonts w:ascii="Arial" w:hAnsi="Arial" w:cs="Arial"/>
          <w:i/>
          <w:iCs/>
        </w:rPr>
        <w:t>Ilmiah</w:t>
      </w:r>
      <w:proofErr w:type="spellEnd"/>
      <w:r>
        <w:rPr>
          <w:rFonts w:ascii="Arial" w:hAnsi="Arial" w:cs="Arial"/>
          <w:i/>
          <w:iCs/>
        </w:rPr>
        <w:t xml:space="preserve"> </w:t>
      </w:r>
      <w:proofErr w:type="spellStart"/>
      <w:r>
        <w:rPr>
          <w:rFonts w:ascii="Arial" w:hAnsi="Arial" w:cs="Arial"/>
          <w:i/>
          <w:iCs/>
        </w:rPr>
        <w:t>Efisiensi</w:t>
      </w:r>
      <w:proofErr w:type="spellEnd"/>
      <w:r>
        <w:rPr>
          <w:rFonts w:ascii="Arial" w:hAnsi="Arial" w:cs="Arial"/>
          <w:i/>
          <w:iCs/>
        </w:rPr>
        <w:t>, 19</w:t>
      </w:r>
      <w:r>
        <w:rPr>
          <w:rFonts w:ascii="Arial" w:hAnsi="Arial" w:cs="Arial"/>
        </w:rPr>
        <w:t xml:space="preserve">(01), 20–31. Retrieved from </w:t>
      </w:r>
      <w:hyperlink r:id="rId57" w:history="1">
        <w:r w:rsidR="00366727">
          <w:rPr>
            <w:rStyle w:val="Hyperlink"/>
            <w:rFonts w:ascii="Arial" w:hAnsi="Arial" w:cs="Arial"/>
          </w:rPr>
          <w:t>https://ejournal.unsrat.ac.id/index.php/jbie/article/view/22262</w:t>
        </w:r>
      </w:hyperlink>
      <w:r>
        <w:rPr>
          <w:rFonts w:ascii="Arial" w:hAnsi="Arial" w:cs="Arial"/>
        </w:rPr>
        <w:t xml:space="preserve">  </w:t>
      </w:r>
    </w:p>
    <w:p w14:paraId="7782E8FA" w14:textId="77777777" w:rsidR="00366727" w:rsidRDefault="00366727">
      <w:pPr>
        <w:pStyle w:val="Reference"/>
        <w:numPr>
          <w:ilvl w:val="0"/>
          <w:numId w:val="0"/>
        </w:numPr>
        <w:spacing w:line="240" w:lineRule="auto"/>
        <w:rPr>
          <w:rFonts w:ascii="Arial" w:hAnsi="Arial" w:cs="Arial"/>
        </w:rPr>
      </w:pPr>
    </w:p>
    <w:p w14:paraId="7430C40A" w14:textId="77777777" w:rsidR="00366727" w:rsidRDefault="00366727">
      <w:pPr>
        <w:pStyle w:val="Body"/>
        <w:spacing w:after="0"/>
        <w:rPr>
          <w:rFonts w:ascii="Arial" w:hAnsi="Arial" w:cs="Arial"/>
        </w:rPr>
        <w:sectPr w:rsidR="00366727">
          <w:headerReference w:type="even" r:id="rId58"/>
          <w:headerReference w:type="default" r:id="rId59"/>
          <w:footerReference w:type="default" r:id="rId60"/>
          <w:headerReference w:type="first" r:id="rId61"/>
          <w:type w:val="continuous"/>
          <w:pgSz w:w="12240" w:h="15840"/>
          <w:pgMar w:top="1440" w:right="2016" w:bottom="2016" w:left="2016" w:header="720" w:footer="1123" w:gutter="0"/>
          <w:cols w:space="720"/>
          <w:docGrid w:linePitch="272"/>
        </w:sectPr>
      </w:pPr>
    </w:p>
    <w:p w14:paraId="0DDDB257" w14:textId="77777777" w:rsidR="00366727" w:rsidRDefault="00366727">
      <w:pPr>
        <w:pStyle w:val="Appendix"/>
        <w:spacing w:after="0"/>
        <w:jc w:val="both"/>
        <w:rPr>
          <w:rFonts w:ascii="Arial" w:hAnsi="Arial" w:cs="Arial"/>
          <w:b w:val="0"/>
        </w:rPr>
      </w:pPr>
    </w:p>
    <w:sectPr w:rsidR="00366727">
      <w:type w:val="continuous"/>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01D5021" w16cex:dateUtc="2025-07-29T16:37:00Z"/>
  <w16cex:commentExtensible w16cex:durableId="492DDB37" w16cex:dateUtc="2025-07-29T17:51:00Z"/>
  <w16cex:commentExtensible w16cex:durableId="4CF11532" w16cex:dateUtc="2025-07-29T16:42:00Z"/>
  <w16cex:commentExtensible w16cex:durableId="7DAA72A0" w16cex:dateUtc="2025-07-29T14:31:00Z"/>
  <w16cex:commentExtensible w16cex:durableId="0BB0C61A" w16cex:dateUtc="2025-07-29T17:46:00Z"/>
  <w16cex:commentExtensible w16cex:durableId="34A0F994" w16cex:dateUtc="2025-07-29T17:48:00Z"/>
  <w16cex:commentExtensible w16cex:durableId="19B149C1" w16cex:dateUtc="2025-07-29T14:46:00Z"/>
  <w16cex:commentExtensible w16cex:durableId="2B297F33" w16cex:dateUtc="2025-07-29T16:50:00Z"/>
  <w16cex:commentExtensible w16cex:durableId="060B8A26" w16cex:dateUtc="2025-07-29T14:53:00Z"/>
  <w16cex:commentExtensible w16cex:durableId="4AF8D81C" w16cex:dateUtc="2025-07-29T16:59:00Z"/>
  <w16cex:commentExtensible w16cex:durableId="7C5C9BF2" w16cex:dateUtc="2025-07-29T17:02:00Z"/>
  <w16cex:commentExtensible w16cex:durableId="2E6B6CC8" w16cex:dateUtc="2025-07-29T17:22:00Z"/>
  <w16cex:commentExtensible w16cex:durableId="12CC0E00" w16cex:dateUtc="2025-07-29T17:25:00Z"/>
  <w16cex:commentExtensible w16cex:durableId="6DDFFE55" w16cex:dateUtc="2025-07-29T17:36:00Z"/>
  <w16cex:commentExtensible w16cex:durableId="4495D397" w16cex:dateUtc="2025-07-29T15: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F4DF7" w14:textId="77777777" w:rsidR="001A33D5" w:rsidRDefault="001A33D5">
      <w:r>
        <w:separator/>
      </w:r>
    </w:p>
  </w:endnote>
  <w:endnote w:type="continuationSeparator" w:id="0">
    <w:p w14:paraId="376091E0" w14:textId="77777777" w:rsidR="001A33D5" w:rsidRDefault="001A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7F86B" w14:textId="77777777" w:rsidR="00366727" w:rsidRDefault="00366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2D3F2" w14:textId="77777777" w:rsidR="00366727" w:rsidRDefault="005265D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2DDCE" w14:textId="77777777" w:rsidR="00366727" w:rsidRDefault="00366727">
    <w:pPr>
      <w:pStyle w:val="Footer"/>
      <w:rPr>
        <w:rFonts w:ascii="Arial" w:hAnsi="Arial" w:cs="Arial"/>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93DD" w14:textId="77777777" w:rsidR="00366727" w:rsidRDefault="00366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483ED" w14:textId="77777777" w:rsidR="001A33D5" w:rsidRDefault="001A33D5">
      <w:r>
        <w:separator/>
      </w:r>
    </w:p>
  </w:footnote>
  <w:footnote w:type="continuationSeparator" w:id="0">
    <w:p w14:paraId="6A73254D" w14:textId="77777777" w:rsidR="001A33D5" w:rsidRDefault="001A3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74A5B" w14:textId="77777777" w:rsidR="00366727" w:rsidRDefault="00CD481A">
    <w:pPr>
      <w:pStyle w:val="Header"/>
    </w:pPr>
    <w:r>
      <w:rPr>
        <w:noProof/>
      </w:rPr>
      <w:pict w14:anchorId="528130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135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7AB8" w14:textId="77777777" w:rsidR="00366727" w:rsidRDefault="00CD481A">
    <w:pPr>
      <w:pStyle w:val="Header"/>
    </w:pPr>
    <w:r>
      <w:rPr>
        <w:noProof/>
      </w:rPr>
      <w:pict w14:anchorId="411E34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135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92F21" w14:textId="77777777" w:rsidR="00366727" w:rsidRDefault="00CD481A">
    <w:pPr>
      <w:ind w:left="2160"/>
      <w:jc w:val="center"/>
      <w:rPr>
        <w:rFonts w:ascii="Times New Roman" w:eastAsia="Calibri" w:hAnsi="Times New Roman"/>
        <w:i/>
        <w:sz w:val="18"/>
        <w:szCs w:val="22"/>
      </w:rPr>
    </w:pPr>
    <w:r>
      <w:rPr>
        <w:noProof/>
      </w:rPr>
      <w:pict w14:anchorId="3EE22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135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2F1D4DD" w14:textId="77777777" w:rsidR="00366727" w:rsidRDefault="005265DE">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527FEDE3" w14:textId="77777777" w:rsidR="00366727" w:rsidRDefault="005265DE">
    <w:pPr>
      <w:jc w:val="center"/>
      <w:rPr>
        <w:rFonts w:ascii="Times New Roman" w:eastAsia="Calibri" w:hAnsi="Times New Roman"/>
        <w:i/>
        <w:sz w:val="18"/>
        <w:szCs w:val="22"/>
      </w:rPr>
    </w:pPr>
    <w:r>
      <w:rPr>
        <w:rFonts w:ascii="Times New Roman" w:eastAsia="Calibri" w:hAnsi="Times New Roman"/>
        <w:i/>
        <w:sz w:val="18"/>
        <w:szCs w:val="22"/>
      </w:rPr>
      <w:t>.</w:t>
    </w:r>
  </w:p>
  <w:p w14:paraId="10D601DF" w14:textId="77777777" w:rsidR="00366727" w:rsidRDefault="005265DE">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7D128AC5" w14:textId="77777777" w:rsidR="00366727" w:rsidRDefault="005265DE">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4B62A1B3" w14:textId="77777777" w:rsidR="00366727" w:rsidRDefault="005265DE">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1E22CDE" w14:textId="77777777" w:rsidR="00366727" w:rsidRDefault="005265DE">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55592" w14:textId="77777777" w:rsidR="00366727" w:rsidRDefault="00CD481A">
    <w:pPr>
      <w:pStyle w:val="Header"/>
    </w:pPr>
    <w:r>
      <w:rPr>
        <w:noProof/>
      </w:rPr>
      <w:pict w14:anchorId="04BC9D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1351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DD54F" w14:textId="77777777" w:rsidR="00366727" w:rsidRDefault="00CD481A">
    <w:pPr>
      <w:pStyle w:val="Header"/>
    </w:pPr>
    <w:r>
      <w:rPr>
        <w:noProof/>
      </w:rPr>
      <w:pict w14:anchorId="52F27A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1352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9C60F" w14:textId="77777777" w:rsidR="00366727" w:rsidRDefault="00CD481A">
    <w:pPr>
      <w:pStyle w:val="Header"/>
    </w:pPr>
    <w:r>
      <w:rPr>
        <w:noProof/>
      </w:rPr>
      <w:pict w14:anchorId="3B558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1351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tLA0trA0Nzc2NrEwMzVT0lEKTi0uzszPAykwrAUA25phJSwAAAA="/>
  </w:docVars>
  <w:rsids>
    <w:rsidRoot w:val="00366727"/>
    <w:rsid w:val="000133ED"/>
    <w:rsid w:val="00062B50"/>
    <w:rsid w:val="000C3EE4"/>
    <w:rsid w:val="000E14E7"/>
    <w:rsid w:val="00113058"/>
    <w:rsid w:val="0015168B"/>
    <w:rsid w:val="001A33D5"/>
    <w:rsid w:val="001C610A"/>
    <w:rsid w:val="0020476B"/>
    <w:rsid w:val="00274E51"/>
    <w:rsid w:val="002C5268"/>
    <w:rsid w:val="002D1954"/>
    <w:rsid w:val="002E333B"/>
    <w:rsid w:val="002F4D55"/>
    <w:rsid w:val="00366727"/>
    <w:rsid w:val="003827CB"/>
    <w:rsid w:val="003F3800"/>
    <w:rsid w:val="004138E1"/>
    <w:rsid w:val="00466EA1"/>
    <w:rsid w:val="00472FDB"/>
    <w:rsid w:val="004C6100"/>
    <w:rsid w:val="004F2229"/>
    <w:rsid w:val="005265DE"/>
    <w:rsid w:val="00571344"/>
    <w:rsid w:val="0057343B"/>
    <w:rsid w:val="005C6C54"/>
    <w:rsid w:val="00603A71"/>
    <w:rsid w:val="00635DB6"/>
    <w:rsid w:val="00670D95"/>
    <w:rsid w:val="006B4229"/>
    <w:rsid w:val="006D7D82"/>
    <w:rsid w:val="007178A0"/>
    <w:rsid w:val="0078397A"/>
    <w:rsid w:val="007B59D4"/>
    <w:rsid w:val="00800416"/>
    <w:rsid w:val="00800A7C"/>
    <w:rsid w:val="00804ECF"/>
    <w:rsid w:val="008426A2"/>
    <w:rsid w:val="00882E9A"/>
    <w:rsid w:val="00897316"/>
    <w:rsid w:val="008A1ED9"/>
    <w:rsid w:val="008B40A5"/>
    <w:rsid w:val="008E1BC5"/>
    <w:rsid w:val="00975DB6"/>
    <w:rsid w:val="00995154"/>
    <w:rsid w:val="009E2D82"/>
    <w:rsid w:val="00A033B9"/>
    <w:rsid w:val="00A81F5A"/>
    <w:rsid w:val="00A837F3"/>
    <w:rsid w:val="00AE7AEE"/>
    <w:rsid w:val="00B3752F"/>
    <w:rsid w:val="00B43E9C"/>
    <w:rsid w:val="00B56674"/>
    <w:rsid w:val="00B632B1"/>
    <w:rsid w:val="00C06FCB"/>
    <w:rsid w:val="00C17E08"/>
    <w:rsid w:val="00C42B7A"/>
    <w:rsid w:val="00C975A9"/>
    <w:rsid w:val="00CD2554"/>
    <w:rsid w:val="00CD481A"/>
    <w:rsid w:val="00D44EEF"/>
    <w:rsid w:val="00D47CA0"/>
    <w:rsid w:val="00DA14B7"/>
    <w:rsid w:val="00E61387"/>
    <w:rsid w:val="00E66303"/>
    <w:rsid w:val="00E67051"/>
    <w:rsid w:val="00E679DF"/>
    <w:rsid w:val="00EA515C"/>
    <w:rsid w:val="00F4070D"/>
    <w:rsid w:val="00F97135"/>
    <w:rsid w:val="00FC365B"/>
    <w:rsid w:val="00FD1680"/>
    <w:rsid w:val="00FD6DC7"/>
    <w:rsid w:val="00FF3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2" type="connector" idref="#_x0000_s1026"/>
      </o:rules>
    </o:shapelayout>
  </w:shapeDefaults>
  <w:decimalSymbol w:val="."/>
  <w:listSeparator w:val=","/>
  <w14:docId w14:val="4D67325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styleId="Title">
    <w:name w:val="Title"/>
    <w:basedOn w:val="Normal"/>
    <w:qFormat/>
    <w:pPr>
      <w:spacing w:after="360"/>
      <w:jc w:val="right"/>
    </w:pPr>
    <w:rPr>
      <w:b/>
      <w:kern w:val="28"/>
      <w:sz w:val="36"/>
    </w:rPr>
  </w:style>
  <w:style w:type="paragraph" w:customStyle="1" w:styleId="Reference">
    <w:name w:val="Reference"/>
    <w:basedOn w:val="Body"/>
    <w:pPr>
      <w:numPr>
        <w:numId w:val="23"/>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paragraph" w:customStyle="1" w:styleId="Head2">
    <w:name w:val="Head2"/>
    <w:basedOn w:val="Normal"/>
    <w:next w:val="Body"/>
    <w:pPr>
      <w:keepNext/>
      <w:spacing w:after="240"/>
    </w:pPr>
    <w:rPr>
      <w:caps/>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MainHead">
    <w:name w:val="Main Head"/>
    <w:basedOn w:val="Normal"/>
    <w:pPr>
      <w:keepNext/>
      <w:spacing w:after="240"/>
    </w:pPr>
    <w:rPr>
      <w:b/>
      <w:caps/>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styleId="Footer">
    <w:name w:val="footer"/>
    <w:basedOn w:val="Normal"/>
    <w:pPr>
      <w:tabs>
        <w:tab w:val="center" w:pos="4320"/>
        <w:tab w:val="right" w:pos="8640"/>
      </w:tabs>
    </w:pPr>
  </w:style>
  <w:style w:type="paragraph" w:customStyle="1" w:styleId="Head40">
    <w:name w:val="Head 4"/>
    <w:basedOn w:val="Head3"/>
    <w:rPr>
      <w:u w:val="none"/>
    </w:rPr>
  </w:style>
  <w:style w:type="paragraph" w:styleId="Header">
    <w:name w:val="header"/>
    <w:basedOn w:val="Normal"/>
    <w:pPr>
      <w:tabs>
        <w:tab w:val="center" w:pos="4320"/>
        <w:tab w:val="right" w:pos="8640"/>
      </w:tabs>
    </w:pPr>
  </w:style>
  <w:style w:type="paragraph" w:customStyle="1" w:styleId="Paper">
    <w:name w:val="Paper"/>
    <w:basedOn w:val="Normal"/>
    <w:pPr>
      <w:spacing w:after="360" w:line="440" w:lineRule="exact"/>
      <w:jc w:val="right"/>
    </w:pPr>
    <w:rPr>
      <w:b/>
      <w:sz w:val="36"/>
    </w:rPr>
  </w:style>
  <w:style w:type="paragraph" w:styleId="Signature">
    <w:name w:val="Signature"/>
    <w:basedOn w:val="Normal"/>
    <w:pPr>
      <w:ind w:left="4320"/>
    </w:p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styleId="Hyperlink">
    <w:name w:val="Hyperlink"/>
    <w:basedOn w:val="DefaultParagraphFont"/>
    <w:rPr>
      <w:color w:val="FF0080"/>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3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Helvetica" w:hAnsi="Helvetica"/>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styleId="LineNumber">
    <w:name w:val="line number"/>
    <w:basedOn w:val="DefaultParagraphFont"/>
  </w:style>
  <w:style w:type="character" w:styleId="Emphasis">
    <w:name w:val="Emphasis"/>
    <w:basedOn w:val="DefaultParagraphFont"/>
    <w:uiPriority w:val="20"/>
    <w:qFormat/>
    <w:rPr>
      <w:i/>
      <w:iCs/>
    </w:rPr>
  </w:style>
  <w:style w:type="character" w:styleId="UnresolvedMention">
    <w:name w:val="Unresolved Mention"/>
    <w:basedOn w:val="DefaultParagraphFont"/>
    <w:uiPriority w:val="99"/>
    <w:semiHidden/>
    <w:unhideWhenUsed/>
    <w:rPr>
      <w:color w:val="605E5C"/>
      <w:shd w:val="clear" w:color="auto" w:fill="E1DFDD"/>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0C3EE4"/>
    <w:rPr>
      <w:rFonts w:ascii="Helvetica" w:hAnsi="Helvetica"/>
      <w:b/>
      <w:bCs/>
      <w:lang w:val="en-US" w:eastAsia="en-US"/>
    </w:rPr>
  </w:style>
  <w:style w:type="character" w:customStyle="1" w:styleId="CommentSubjectChar">
    <w:name w:val="Comment Subject Char"/>
    <w:basedOn w:val="CommentTextChar"/>
    <w:link w:val="CommentSubject"/>
    <w:semiHidden/>
    <w:rsid w:val="000C3EE4"/>
    <w:rPr>
      <w:rFonts w:ascii="Helvetica" w:hAnsi="Helvetica"/>
      <w:b/>
      <w:bCs/>
      <w:lang w:val="nb-NO" w:eastAsia="nb-NO"/>
    </w:rPr>
  </w:style>
  <w:style w:type="paragraph" w:styleId="Revision">
    <w:name w:val="Revision"/>
    <w:hidden/>
    <w:uiPriority w:val="99"/>
    <w:semiHidden/>
    <w:rsid w:val="00B3752F"/>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1652246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31002/dinamic.v2i3.1428" TargetMode="External"/><Relationship Id="rId26" Type="http://schemas.openxmlformats.org/officeDocument/2006/relationships/hyperlink" Target="https://doi.org/10.22178/pos.74-13" TargetMode="External"/><Relationship Id="rId39" Type="http://schemas.openxmlformats.org/officeDocument/2006/relationships/hyperlink" Target="https://doi.org/10.1007/978-3-658-42020-8_3" TargetMode="External"/><Relationship Id="rId21" Type="http://schemas.openxmlformats.org/officeDocument/2006/relationships/hyperlink" Target="https://doi.org/10.1016/j.irfa.2024.103293" TargetMode="External"/><Relationship Id="rId34" Type="http://schemas.openxmlformats.org/officeDocument/2006/relationships/hyperlink" Target="https://doi.org/10.18280/ijsdp.170725" TargetMode="External"/><Relationship Id="rId42" Type="http://schemas.openxmlformats.org/officeDocument/2006/relationships/hyperlink" Target="https://doi.org/10.1016/S1049-0078(02)00114-8" TargetMode="External"/><Relationship Id="rId47" Type="http://schemas.openxmlformats.org/officeDocument/2006/relationships/hyperlink" Target="https://doi.org/10.1080/00036846.2018.1472741" TargetMode="External"/><Relationship Id="rId50" Type="http://schemas.openxmlformats.org/officeDocument/2006/relationships/hyperlink" Target="https://doi.org/10.1080/23322039.2021.2001141" TargetMode="External"/><Relationship Id="rId55" Type="http://schemas.openxmlformats.org/officeDocument/2006/relationships/hyperlink" Target="https://doi.org/10.1016/j.heliyon.2023.e14635"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hyperlink" Target="https://doi.org/10.1186/s40008-023-00323-w" TargetMode="External"/><Relationship Id="rId11" Type="http://schemas.openxmlformats.org/officeDocument/2006/relationships/footer" Target="footer2.xml"/><Relationship Id="rId24" Type="http://schemas.openxmlformats.org/officeDocument/2006/relationships/hyperlink" Target="https://www.bps.go.id/en/pressrelease/2023/11/06/2002/unemployment-rate-was-5-32-percent---average-labour-wage-was-3-18-milion-rupiahs-per-month.html" TargetMode="External"/><Relationship Id="rId32" Type="http://schemas.openxmlformats.org/officeDocument/2006/relationships/hyperlink" Target="https://www.imf.org/en/Publications/WEO" TargetMode="External"/><Relationship Id="rId37" Type="http://schemas.openxmlformats.org/officeDocument/2006/relationships/hyperlink" Target="https://doi.org/10.24198/jbm.v16i2.11" TargetMode="External"/><Relationship Id="rId40" Type="http://schemas.openxmlformats.org/officeDocument/2006/relationships/hyperlink" Target="https://doi.org/10.22437/ppd.v11i1.22698" TargetMode="External"/><Relationship Id="rId45" Type="http://schemas.openxmlformats.org/officeDocument/2006/relationships/hyperlink" Target="https://doi.org/10.1016/j.jebo.2019.06.006" TargetMode="External"/><Relationship Id="rId53" Type="http://schemas.openxmlformats.org/officeDocument/2006/relationships/hyperlink" Target="https://doi.org/10.54097/hbem.v15i.9320" TargetMode="External"/><Relationship Id="rId58"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header" Target="header6.xml"/><Relationship Id="rId19" Type="http://schemas.openxmlformats.org/officeDocument/2006/relationships/hyperlink" Target="https://doi.org/10.3390/su151813709" TargetMode="External"/><Relationship Id="rId14" Type="http://schemas.openxmlformats.org/officeDocument/2006/relationships/image" Target="media/image1.png"/><Relationship Id="rId22" Type="http://schemas.openxmlformats.org/officeDocument/2006/relationships/hyperlink" Target="https://doi.org/10.32479/ijeep.13893" TargetMode="External"/><Relationship Id="rId27" Type="http://schemas.openxmlformats.org/officeDocument/2006/relationships/hyperlink" Target="https://doi.org/10.3390/economies11110266" TargetMode="External"/><Relationship Id="rId30" Type="http://schemas.openxmlformats.org/officeDocument/2006/relationships/hyperlink" Target="https://doi.org/10.22219/jep.v22i01.33037" TargetMode="External"/><Relationship Id="rId35" Type="http://schemas.openxmlformats.org/officeDocument/2006/relationships/hyperlink" Target="https://doi.org/10.32861/ijefr.74.143.154" TargetMode="External"/><Relationship Id="rId43" Type="http://schemas.openxmlformats.org/officeDocument/2006/relationships/hyperlink" Target="https://doi.org/10.1016/j.heliyon.2024.e30133" TargetMode="External"/><Relationship Id="rId48" Type="http://schemas.openxmlformats.org/officeDocument/2006/relationships/hyperlink" Target="https://doi.org/http://dx.doi.org/10.21776/jdess.2024.03.2.2" TargetMode="External"/><Relationship Id="rId56" Type="http://schemas.openxmlformats.org/officeDocument/2006/relationships/hyperlink" Target="https://doi.org/10.14254/2071-789X.2023/16-1/7" TargetMode="External"/><Relationship Id="rId64" Type="http://schemas.microsoft.com/office/2018/08/relationships/commentsExtensible" Target="commentsExtensible.xml"/><Relationship Id="rId8" Type="http://schemas.openxmlformats.org/officeDocument/2006/relationships/header" Target="header1.xml"/><Relationship Id="rId51" Type="http://schemas.openxmlformats.org/officeDocument/2006/relationships/hyperlink" Target="http://dx.doi.org/10.21776/jdess.2025.04.1.07"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www.bps.go.id/id" TargetMode="External"/><Relationship Id="rId33" Type="http://schemas.openxmlformats.org/officeDocument/2006/relationships/hyperlink" Target="https://doi.org/10.22495/jgrv11i2siart8" TargetMode="External"/><Relationship Id="rId38" Type="http://schemas.openxmlformats.org/officeDocument/2006/relationships/hyperlink" Target="https://doi.org/10.20473/jiet.v6i1.27100" TargetMode="External"/><Relationship Id="rId46" Type="http://schemas.openxmlformats.org/officeDocument/2006/relationships/hyperlink" Target="https://www.cnbcindonesia.com/news/20240808122113-4-561359/data-ekonomi-ri-oke-tapi-phk-di-mana-mana-kok-bisa" TargetMode="External"/><Relationship Id="rId59" Type="http://schemas.openxmlformats.org/officeDocument/2006/relationships/header" Target="header5.xml"/><Relationship Id="rId20" Type="http://schemas.openxmlformats.org/officeDocument/2006/relationships/hyperlink" Target="https://doi.org/10.1016/j.erss.2024.103797" TargetMode="External"/><Relationship Id="rId41" Type="http://schemas.openxmlformats.org/officeDocument/2006/relationships/hyperlink" Target="https://tekper.uho.ac.id/index.php/t/article/view/6" TargetMode="External"/><Relationship Id="rId54" Type="http://schemas.openxmlformats.org/officeDocument/2006/relationships/hyperlink" Target="https://doi.org/10.21512/bbr.v14i2.8486"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www.bps.go.id/en/pressrelease/2019/11/05/1565/august-2019-open-unemployment-rate--tpt--of-5-28-percent.html" TargetMode="External"/><Relationship Id="rId28" Type="http://schemas.openxmlformats.org/officeDocument/2006/relationships/hyperlink" Target="https://doi.org/10.21787/jbp.15.2023.309-324" TargetMode="External"/><Relationship Id="rId36" Type="http://schemas.openxmlformats.org/officeDocument/2006/relationships/hyperlink" Target="https://doi.org/10.3390/su11010192" TargetMode="External"/><Relationship Id="rId49" Type="http://schemas.openxmlformats.org/officeDocument/2006/relationships/hyperlink" Target="https://doi.org/10.1155/2023/3100705" TargetMode="External"/><Relationship Id="rId57" Type="http://schemas.openxmlformats.org/officeDocument/2006/relationships/hyperlink" Target="https://ejournal.unsrat.ac.id/index.php/jbie/article/view/22262" TargetMode="External"/><Relationship Id="rId10" Type="http://schemas.openxmlformats.org/officeDocument/2006/relationships/footer" Target="footer1.xml"/><Relationship Id="rId31" Type="http://schemas.openxmlformats.org/officeDocument/2006/relationships/hyperlink" Target="https://doi.org/10.20885/ejem.vol5.iss1.art2" TargetMode="External"/><Relationship Id="rId44" Type="http://schemas.openxmlformats.org/officeDocument/2006/relationships/hyperlink" Target="https://doi.org/10.1016/j.enpol.2013.11.067" TargetMode="External"/><Relationship Id="rId52" Type="http://schemas.openxmlformats.org/officeDocument/2006/relationships/hyperlink" Target="https://doi.org/10.3389/fenvs.2021.765927" TargetMode="External"/><Relationship Id="rId60"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BB1FA-D616-43DC-9A09-D26966F1C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1871</TotalTime>
  <Pages>12</Pages>
  <Words>5871</Words>
  <Characters>33469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39262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225</cp:revision>
  <cp:lastPrinted>1999-07-06T11:00:00Z</cp:lastPrinted>
  <dcterms:created xsi:type="dcterms:W3CDTF">2014-10-25T14:34:00Z</dcterms:created>
  <dcterms:modified xsi:type="dcterms:W3CDTF">2025-08-06T07:30:00Z</dcterms:modified>
</cp:coreProperties>
</file>