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90F0" w14:textId="77777777" w:rsidR="008E5803" w:rsidRDefault="00000000">
      <w:pPr>
        <w:jc w:val="center"/>
        <w:rPr>
          <w:rFonts w:ascii="Times New Roman" w:hAnsi="Times New Roman" w:cs="Times New Roman"/>
          <w:b/>
          <w:bCs/>
          <w:sz w:val="24"/>
        </w:rPr>
      </w:pPr>
      <w:r>
        <w:rPr>
          <w:rFonts w:ascii="Times New Roman" w:hAnsi="Times New Roman" w:cs="Times New Roman" w:hint="eastAsia"/>
          <w:b/>
          <w:bCs/>
          <w:sz w:val="24"/>
        </w:rPr>
        <w:t>Leveraging New Quality Productive Forces for China's Silver Economy Development: Policy Framework and Implementation Challenges</w:t>
      </w:r>
    </w:p>
    <w:p w14:paraId="1312BEE3" w14:textId="77777777" w:rsidR="008E5803" w:rsidRDefault="008E5803">
      <w:pPr>
        <w:jc w:val="center"/>
        <w:rPr>
          <w:rFonts w:ascii="Times New Roman" w:hAnsi="Times New Roman" w:cs="Times New Roman"/>
          <w:b/>
          <w:bCs/>
          <w:sz w:val="24"/>
        </w:rPr>
      </w:pPr>
    </w:p>
    <w:p w14:paraId="43C6D29E" w14:textId="77777777" w:rsidR="008E5803" w:rsidRDefault="008E5803">
      <w:pPr>
        <w:snapToGrid w:val="0"/>
        <w:spacing w:line="300" w:lineRule="exact"/>
        <w:jc w:val="center"/>
      </w:pPr>
    </w:p>
    <w:p w14:paraId="13C0295C" w14:textId="77777777" w:rsidR="008E5803" w:rsidRDefault="008E5803">
      <w:pPr>
        <w:snapToGrid w:val="0"/>
        <w:spacing w:line="300" w:lineRule="exact"/>
        <w:jc w:val="center"/>
        <w:rPr>
          <w:rFonts w:ascii="Times New Roman" w:hAnsi="Times New Roman"/>
          <w:kern w:val="0"/>
          <w:sz w:val="20"/>
          <w:szCs w:val="20"/>
        </w:rPr>
      </w:pPr>
    </w:p>
    <w:p w14:paraId="1C8B5888" w14:textId="77777777" w:rsidR="008E5803" w:rsidRDefault="00000000">
      <w:pPr>
        <w:snapToGrid w:val="0"/>
        <w:spacing w:line="300" w:lineRule="exact"/>
        <w:rPr>
          <w:rFonts w:ascii="Times New Roman" w:hAnsi="Times New Roman"/>
          <w:kern w:val="0"/>
          <w:sz w:val="24"/>
        </w:rPr>
      </w:pPr>
      <w:r>
        <w:rPr>
          <w:rFonts w:ascii="Times New Roman" w:hAnsi="Times New Roman"/>
          <w:b/>
          <w:bCs/>
          <w:kern w:val="0"/>
          <w:sz w:val="24"/>
        </w:rPr>
        <w:t xml:space="preserve">Abstract: </w:t>
      </w:r>
      <w:r>
        <w:rPr>
          <w:rFonts w:ascii="Times New Roman" w:hAnsi="Times New Roman" w:hint="eastAsia"/>
          <w:kern w:val="0"/>
          <w:sz w:val="24"/>
        </w:rPr>
        <w:t>According to data from the seventh national population census in 2021, individuals aged 60 and above accounted for 18.70% of China's population, while those aged 65 and above constituted 13.50%, with the elderly dependency ratio reaching 22.5%. As of June 2025, the number of "silver-haired" internet users aged 60 and above had reached 161 million. Against the backdrop of accelerating population aging, developing the silver economy has become a crucial strategy for proactively addressing aging challenges. Silver-age new-quality productive forces represent a key driver and central entry point for advancing the silver economy. Through theoretical analysis, this paper clarifies the fundamental connotations of new-quality productive forces and the silver economy, and identifies existing issues within the current silver economy, including imbalances between supply and demand, uneven distribution of resources, insufficient talent reserves, and inadequate institutional frameworks. To address these challenges, the paper proposes that policies should adopt a dual-pronged approach, simultaneously advancing "supply-side structural reform" and "demand-side guidance," to resolve the structural contradiction characterized by "excess ineffective supply" and "insufficient effective demand." This study finds that to use new quality productive forces to grow China's silver economy, which could be worth 30 trillion yuan by 2035, we need to strengthen technological innovation ecosystems, set unified industry standards, and create targeted regulatory frameworks.</w:t>
      </w:r>
    </w:p>
    <w:p w14:paraId="6AA02FED" w14:textId="77777777" w:rsidR="008E5803" w:rsidRDefault="00000000">
      <w:pPr>
        <w:snapToGrid w:val="0"/>
        <w:spacing w:line="300" w:lineRule="exact"/>
        <w:rPr>
          <w:rFonts w:ascii="Times New Roman" w:hAnsi="Times New Roman"/>
          <w:kern w:val="0"/>
          <w:sz w:val="24"/>
        </w:rPr>
      </w:pPr>
      <w:r>
        <w:rPr>
          <w:rFonts w:ascii="Times New Roman" w:hAnsi="Times New Roman"/>
          <w:b/>
          <w:bCs/>
          <w:kern w:val="0"/>
          <w:sz w:val="24"/>
        </w:rPr>
        <w:t>Keywords :</w:t>
      </w:r>
      <w:r>
        <w:rPr>
          <w:rFonts w:ascii="Times New Roman" w:hAnsi="Times New Roman"/>
          <w:kern w:val="0"/>
          <w:sz w:val="24"/>
        </w:rPr>
        <w:t xml:space="preserve"> new quality productivity ; silver economy ; active aging</w:t>
      </w:r>
    </w:p>
    <w:p w14:paraId="79C3F78E" w14:textId="77777777" w:rsidR="008E5803" w:rsidRDefault="008E5803">
      <w:pPr>
        <w:snapToGrid w:val="0"/>
        <w:spacing w:line="300" w:lineRule="exact"/>
        <w:rPr>
          <w:rFonts w:ascii="Times New Roman" w:hAnsi="Times New Roman"/>
          <w:kern w:val="0"/>
          <w:sz w:val="24"/>
        </w:rPr>
      </w:pPr>
    </w:p>
    <w:p w14:paraId="2984EA7C" w14:textId="77777777" w:rsidR="008E5803" w:rsidRDefault="00000000">
      <w:pPr>
        <w:numPr>
          <w:ilvl w:val="0"/>
          <w:numId w:val="1"/>
        </w:numPr>
        <w:snapToGrid w:val="0"/>
        <w:spacing w:line="300" w:lineRule="exact"/>
        <w:rPr>
          <w:rFonts w:ascii="Times New Roman" w:hAnsi="Times New Roman"/>
          <w:b/>
          <w:bCs/>
          <w:kern w:val="0"/>
          <w:sz w:val="24"/>
        </w:rPr>
      </w:pPr>
      <w:r>
        <w:rPr>
          <w:rFonts w:ascii="Times New Roman" w:hAnsi="Times New Roman"/>
          <w:b/>
          <w:bCs/>
          <w:kern w:val="0"/>
          <w:sz w:val="24"/>
        </w:rPr>
        <w:t>Introduction.</w:t>
      </w:r>
    </w:p>
    <w:p w14:paraId="2157BC91" w14:textId="737DF31F"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Since the 21st century, China</w:t>
      </w:r>
      <w:r>
        <w:rPr>
          <w:rFonts w:ascii="Times New Roman" w:hAnsi="Times New Roman" w:hint="eastAsia"/>
          <w:kern w:val="0"/>
          <w:sz w:val="24"/>
        </w:rPr>
        <w:t>’</w:t>
      </w:r>
      <w:r>
        <w:rPr>
          <w:rFonts w:ascii="Times New Roman" w:hAnsi="Times New Roman" w:hint="eastAsia"/>
          <w:kern w:val="0"/>
          <w:sz w:val="24"/>
        </w:rPr>
        <w:t xml:space="preserve">s demographic aging process has accelerated markedly (Wei et al., 2024). According to data from the National Bureau of Statistics, in 2024, individuals aged 60 and above accounted for 22.0% of the population, with those aged 65 and over comprising 15.6%. Projections indicate that this elderly population will surpass 400 million by 2035 (Zhang et al., 2024; Ren et al., 2023). In response to the challenges posed by population aging and to foster new drivers of economic growth, the Decision of the Central Committee of the Communist Party of China on Further Deepening Reform and Promoting Chinese-Style Modernization, adopted at the Third Plenary Session of the 20th Central Committee of the Communist Party of China, emphasized key initiatives such as "developing new-quality productive forces </w:t>
      </w:r>
      <w:r w:rsidR="00C47DAE">
        <w:rPr>
          <w:rFonts w:ascii="Times New Roman" w:hAnsi="Times New Roman"/>
          <w:kern w:val="0"/>
          <w:sz w:val="24"/>
        </w:rPr>
        <w:t>by</w:t>
      </w:r>
      <w:r>
        <w:rPr>
          <w:rFonts w:ascii="Times New Roman" w:hAnsi="Times New Roman" w:hint="eastAsia"/>
          <w:kern w:val="0"/>
          <w:sz w:val="24"/>
        </w:rPr>
        <w:t xml:space="preserve"> local conditions" and "advancing the silver economy." A critical contemporary question thus arises: how can new-quality productive forces promote the development of the silver economy? Furthermore, how should such productive forces be cultivated, and how can deeper integration between the two be achieved? This inquiry holds significant practical relevance and theoretical importance. This paper seeks to address the practical challenges facing the silver economy by examining the conceptual foundations and mechanisms underlying new-quality productive forces and the silver economy.</w:t>
      </w:r>
    </w:p>
    <w:p w14:paraId="466A7C05" w14:textId="77777777" w:rsidR="008E5803" w:rsidRDefault="00000000">
      <w:pPr>
        <w:numPr>
          <w:ilvl w:val="0"/>
          <w:numId w:val="1"/>
        </w:numPr>
        <w:snapToGrid w:val="0"/>
        <w:spacing w:line="300" w:lineRule="exact"/>
        <w:rPr>
          <w:rFonts w:ascii="Times New Roman" w:hAnsi="Times New Roman"/>
          <w:b/>
          <w:bCs/>
          <w:kern w:val="0"/>
          <w:sz w:val="24"/>
        </w:rPr>
      </w:pPr>
      <w:r>
        <w:rPr>
          <w:rFonts w:ascii="Times New Roman" w:hAnsi="Times New Roman"/>
          <w:b/>
          <w:bCs/>
          <w:kern w:val="0"/>
          <w:sz w:val="24"/>
        </w:rPr>
        <w:t>Literature Review.</w:t>
      </w:r>
    </w:p>
    <w:p w14:paraId="1394989A" w14:textId="77777777" w:rsidR="008E5803" w:rsidRDefault="00000000">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lastRenderedPageBreak/>
        <w:t>New mass productivity</w:t>
      </w:r>
    </w:p>
    <w:p w14:paraId="46A949AF" w14:textId="77777777"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This significant exposition offers novel insights and charts a new direction for the comprehensive advancement of China</w:t>
      </w:r>
      <w:r>
        <w:rPr>
          <w:rFonts w:ascii="Times New Roman" w:hAnsi="Times New Roman" w:hint="eastAsia"/>
          <w:kern w:val="0"/>
          <w:sz w:val="24"/>
        </w:rPr>
        <w:t>’</w:t>
      </w:r>
      <w:r>
        <w:rPr>
          <w:rFonts w:ascii="Times New Roman" w:hAnsi="Times New Roman" w:hint="eastAsia"/>
          <w:kern w:val="0"/>
          <w:sz w:val="24"/>
        </w:rPr>
        <w:t>s economic and social reforms in the new era. As living standards improve and advanced technologies continue to evolve, the growing demand among China</w:t>
      </w:r>
      <w:r>
        <w:rPr>
          <w:rFonts w:ascii="Times New Roman" w:hAnsi="Times New Roman" w:hint="eastAsia"/>
          <w:kern w:val="0"/>
          <w:sz w:val="24"/>
        </w:rPr>
        <w:t>’</w:t>
      </w:r>
      <w:r>
        <w:rPr>
          <w:rFonts w:ascii="Times New Roman" w:hAnsi="Times New Roman" w:hint="eastAsia"/>
          <w:kern w:val="0"/>
          <w:sz w:val="24"/>
        </w:rPr>
        <w:t>s elderly population for a higher quality of life necessitates the development of new, digitally enabled forms of productive capacity in the elder care sector (Qian, 2017). Distinct from conventional productivity, new-quality productive forces involve more sophisticated configurations of data and production factors, enabling the emergence of novel industrial forms and placing greater emphasis on the stability and adaptability of economic systems (Gao, 2023; Yang &amp; Zhao, 2018). In sum, new-quality productive forces not only drive economic growth through technological advancement but also foster high-quality development by optimizing institutional frameworks, organizational structures, and systemic coordination.</w:t>
      </w:r>
    </w:p>
    <w:p w14:paraId="69E70CC9" w14:textId="77777777" w:rsidR="008E5803" w:rsidRDefault="00000000">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Silver hair economy</w:t>
      </w:r>
    </w:p>
    <w:p w14:paraId="2A53BE29" w14:textId="3A9621DD"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The concept of the "silver economy" originated from Japan</w:t>
      </w:r>
      <w:r>
        <w:rPr>
          <w:rFonts w:ascii="Times New Roman" w:hAnsi="Times New Roman" w:hint="eastAsia"/>
          <w:kern w:val="0"/>
          <w:sz w:val="24"/>
        </w:rPr>
        <w:t>’</w:t>
      </w:r>
      <w:r>
        <w:rPr>
          <w:rFonts w:ascii="Times New Roman" w:hAnsi="Times New Roman" w:hint="eastAsia"/>
          <w:kern w:val="0"/>
          <w:sz w:val="24"/>
        </w:rPr>
        <w:t>s "silver market," introduced in the 1970s, which primarily referred to the provision of goods and services tailored to affluent older adults. As global population aging intensifies, the silver economy has increasingly gained recognition and strategic attention worldwide (Wang et al., 2022). For China, developing the silver economy represents a pivotal strategy for proactively addressing demographic aging and enhancing the well-being of its elderly population. In October 2020, the Fifth Plenary Session of the 19th Central Committee of the Communist Party of China formally proposed the development of the silver economy, elevating it to the level of national strategy for the first time. Subsequently, a series of policy documents ha</w:t>
      </w:r>
      <w:r w:rsidR="00C47DAE">
        <w:rPr>
          <w:rFonts w:ascii="Times New Roman" w:hAnsi="Times New Roman"/>
          <w:kern w:val="0"/>
          <w:sz w:val="24"/>
        </w:rPr>
        <w:t>s</w:t>
      </w:r>
      <w:r>
        <w:rPr>
          <w:rFonts w:ascii="Times New Roman" w:hAnsi="Times New Roman" w:hint="eastAsia"/>
          <w:kern w:val="0"/>
          <w:sz w:val="24"/>
        </w:rPr>
        <w:t xml:space="preserve"> been issued, progressively clarifying the conceptual scope and developmental trajectory of the silver economy (Akimov et al., 2021; He et al., 2022). Broadly defined, the silver economy encompasses the aggregate economic activities that supply products and services in response to the needs of both current elderly populations and the "pre-elderly" cohort approaching old age. It spans diverse sectors, including pension finance, healthcare, tourism, smart eldercare technologies, and related services. Compared to the frameworks adopted in Japan and the European Union, China</w:t>
      </w:r>
      <w:r>
        <w:rPr>
          <w:rFonts w:ascii="Times New Roman" w:hAnsi="Times New Roman"/>
          <w:kern w:val="0"/>
          <w:sz w:val="24"/>
        </w:rPr>
        <w:t>'</w:t>
      </w:r>
      <w:r>
        <w:rPr>
          <w:rFonts w:ascii="Times New Roman" w:hAnsi="Times New Roman" w:hint="eastAsia"/>
          <w:kern w:val="0"/>
          <w:sz w:val="24"/>
        </w:rPr>
        <w:t>s conceptualization of the silver economy is more comprehensive and forward-looking. It incorporates not only the "economy of later life"</w:t>
      </w:r>
      <w:r>
        <w:rPr>
          <w:rFonts w:ascii="Times New Roman" w:hAnsi="Times New Roman" w:hint="eastAsia"/>
          <w:kern w:val="0"/>
          <w:sz w:val="24"/>
        </w:rPr>
        <w:t>—</w:t>
      </w:r>
      <w:r>
        <w:rPr>
          <w:rFonts w:ascii="Times New Roman" w:hAnsi="Times New Roman" w:hint="eastAsia"/>
          <w:kern w:val="0"/>
          <w:sz w:val="24"/>
        </w:rPr>
        <w:t>providing smart healthcare devices, rehabilitation aids, and care services for the current elderly</w:t>
      </w:r>
      <w:r>
        <w:rPr>
          <w:rFonts w:ascii="Times New Roman" w:hAnsi="Times New Roman" w:hint="eastAsia"/>
          <w:kern w:val="0"/>
          <w:sz w:val="24"/>
        </w:rPr>
        <w:t>—</w:t>
      </w:r>
      <w:r>
        <w:rPr>
          <w:rFonts w:ascii="Times New Roman" w:hAnsi="Times New Roman" w:hint="eastAsia"/>
          <w:kern w:val="0"/>
          <w:sz w:val="24"/>
        </w:rPr>
        <w:t>but also the "preparatory economy for aging," which addresses the needs of younger individuals through planning in pension finance, health management, and longevity-related services.</w:t>
      </w:r>
    </w:p>
    <w:p w14:paraId="09365694" w14:textId="056D218B" w:rsidR="008E5803" w:rsidRDefault="00000000">
      <w:pPr>
        <w:numPr>
          <w:ilvl w:val="0"/>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 xml:space="preserve">New productivity promotes </w:t>
      </w:r>
      <w:r>
        <w:rPr>
          <w:rFonts w:ascii="Times New Roman" w:hAnsi="Times New Roman"/>
          <w:b/>
          <w:bCs/>
          <w:kern w:val="0"/>
          <w:sz w:val="24"/>
        </w:rPr>
        <w:t xml:space="preserve">the </w:t>
      </w:r>
      <w:r>
        <w:rPr>
          <w:rFonts w:ascii="Times New Roman" w:hAnsi="Times New Roman" w:hint="eastAsia"/>
          <w:b/>
          <w:bCs/>
          <w:kern w:val="0"/>
          <w:sz w:val="24"/>
        </w:rPr>
        <w:t>silver economy</w:t>
      </w:r>
      <w:r w:rsidR="00C47DAE">
        <w:rPr>
          <w:rFonts w:ascii="Times New Roman" w:hAnsi="Times New Roman" w:hint="eastAsia"/>
          <w:b/>
          <w:bCs/>
          <w:kern w:val="0"/>
          <w:sz w:val="24"/>
        </w:rPr>
        <w:t>.</w:t>
      </w:r>
    </w:p>
    <w:p w14:paraId="42CA40C4" w14:textId="246E962B"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China</w:t>
      </w:r>
      <w:r>
        <w:rPr>
          <w:rFonts w:ascii="Times New Roman" w:hAnsi="Times New Roman" w:hint="eastAsia"/>
          <w:kern w:val="0"/>
          <w:sz w:val="24"/>
        </w:rPr>
        <w:t>’</w:t>
      </w:r>
      <w:r>
        <w:rPr>
          <w:rFonts w:ascii="Times New Roman" w:hAnsi="Times New Roman" w:hint="eastAsia"/>
          <w:kern w:val="0"/>
          <w:sz w:val="24"/>
        </w:rPr>
        <w:t xml:space="preserve">s aging trend is intensifying. Changes in the elderly population structure and evolving attitudes toward elder care are driving significant growth in consumption potential. By </w:t>
      </w:r>
      <w:r w:rsidR="00C47DAE">
        <w:rPr>
          <w:rFonts w:ascii="Times New Roman" w:hAnsi="Times New Roman"/>
          <w:kern w:val="0"/>
          <w:sz w:val="24"/>
        </w:rPr>
        <w:t xml:space="preserve">the </w:t>
      </w:r>
      <w:r>
        <w:rPr>
          <w:rFonts w:ascii="Times New Roman" w:hAnsi="Times New Roman" w:hint="eastAsia"/>
          <w:kern w:val="0"/>
          <w:sz w:val="24"/>
        </w:rPr>
        <w:t>mid-21st century, elderly consumer spending in China is projected to reach approximately 40 trillion yuan, indicating vast market potential for the silver economy (Chen, 2024).</w:t>
      </w:r>
      <w:r w:rsidR="00C47DAE">
        <w:rPr>
          <w:rFonts w:ascii="Times New Roman" w:hAnsi="Times New Roman"/>
          <w:kern w:val="0"/>
          <w:sz w:val="24"/>
        </w:rPr>
        <w:t xml:space="preserve"> </w:t>
      </w:r>
      <w:r>
        <w:rPr>
          <w:rFonts w:ascii="Times New Roman" w:hAnsi="Times New Roman" w:hint="eastAsia"/>
          <w:kern w:val="0"/>
          <w:sz w:val="24"/>
        </w:rPr>
        <w:t xml:space="preserve">The rapid expansion of the silver economy, along with rising consumption demands among older adults, has created new opportunities for the elderly care service industry. This industry operates as a market-based service model. </w:t>
      </w:r>
      <w:r>
        <w:rPr>
          <w:rFonts w:ascii="Times New Roman" w:hAnsi="Times New Roman" w:hint="eastAsia"/>
          <w:kern w:val="0"/>
          <w:sz w:val="24"/>
        </w:rPr>
        <w:lastRenderedPageBreak/>
        <w:t>It is defined by demand from paying care recipients, sustained by reliable service supply, and guided by principles of industrial development (Zhang, 2017).</w:t>
      </w:r>
      <w:r w:rsidR="00C47DAE">
        <w:rPr>
          <w:rFonts w:ascii="Times New Roman" w:hAnsi="Times New Roman"/>
          <w:kern w:val="0"/>
          <w:sz w:val="24"/>
        </w:rPr>
        <w:t xml:space="preserve"> </w:t>
      </w:r>
      <w:r>
        <w:rPr>
          <w:rFonts w:ascii="Times New Roman" w:hAnsi="Times New Roman" w:hint="eastAsia"/>
          <w:kern w:val="0"/>
          <w:sz w:val="24"/>
        </w:rPr>
        <w:t>Integrating modern information technology with elderly care services can significantly support and promote the growth of this sector.</w:t>
      </w:r>
    </w:p>
    <w:p w14:paraId="145465DE" w14:textId="31D48856"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New productive forces can drive the development of the silver economy and fundamentally transform its employment patterns and modes of production (Huang, 2020). First, artificial intelligence enables new productive forces to reshape production in the silver economy. Technologies such as AI and big data are increasingly integrated into elder care services. They replace repetitive, labor-intensive tasks, reducing the sector</w:t>
      </w:r>
      <w:r>
        <w:rPr>
          <w:rFonts w:ascii="Times New Roman" w:hAnsi="Times New Roman" w:hint="eastAsia"/>
          <w:kern w:val="0"/>
          <w:sz w:val="24"/>
        </w:rPr>
        <w:t>’</w:t>
      </w:r>
      <w:r>
        <w:rPr>
          <w:rFonts w:ascii="Times New Roman" w:hAnsi="Times New Roman" w:hint="eastAsia"/>
          <w:kern w:val="0"/>
          <w:sz w:val="24"/>
        </w:rPr>
        <w:t>s heavy reliance on human labor. This shift overcomes key limitations of the traditional silver economy, which often fails to meet people</w:t>
      </w:r>
      <w:r>
        <w:rPr>
          <w:rFonts w:ascii="Times New Roman" w:hAnsi="Times New Roman" w:hint="eastAsia"/>
          <w:kern w:val="0"/>
          <w:sz w:val="24"/>
        </w:rPr>
        <w:t>’</w:t>
      </w:r>
      <w:r>
        <w:rPr>
          <w:rFonts w:ascii="Times New Roman" w:hAnsi="Times New Roman" w:hint="eastAsia"/>
          <w:kern w:val="0"/>
          <w:sz w:val="24"/>
        </w:rPr>
        <w:t>s needs or support sustainable economic growth. As a result, it enhances the vitality of silver economy development.</w:t>
      </w:r>
      <w:r w:rsidR="00C47DAE">
        <w:rPr>
          <w:rFonts w:ascii="Times New Roman" w:hAnsi="Times New Roman"/>
          <w:kern w:val="0"/>
          <w:sz w:val="24"/>
        </w:rPr>
        <w:t xml:space="preserve"> </w:t>
      </w:r>
      <w:r>
        <w:rPr>
          <w:rFonts w:ascii="Times New Roman" w:hAnsi="Times New Roman" w:hint="eastAsia"/>
          <w:kern w:val="0"/>
          <w:sz w:val="24"/>
        </w:rPr>
        <w:t>Second, new productive forces generate significant employment opportunities within the silver economy (Chen et al., 2024). The application of big data, artificial intelligence, and the Internet of Things has expanded the sector into diverse fields</w:t>
      </w:r>
      <w:r>
        <w:rPr>
          <w:rFonts w:ascii="Times New Roman" w:hAnsi="Times New Roman" w:hint="eastAsia"/>
          <w:kern w:val="0"/>
          <w:sz w:val="24"/>
        </w:rPr>
        <w:t>—</w:t>
      </w:r>
      <w:r>
        <w:rPr>
          <w:rFonts w:ascii="Times New Roman" w:hAnsi="Times New Roman" w:hint="eastAsia"/>
          <w:kern w:val="0"/>
          <w:sz w:val="24"/>
        </w:rPr>
        <w:t>including smart homes, health management, cultural entertainment, and online education. These emerging areas offer flexible and age-appropriate jobs for older adults, supporting deeper industrial development.</w:t>
      </w:r>
      <w:r w:rsidR="00C47DAE">
        <w:rPr>
          <w:rFonts w:ascii="Times New Roman" w:hAnsi="Times New Roman"/>
          <w:kern w:val="0"/>
          <w:sz w:val="24"/>
        </w:rPr>
        <w:t xml:space="preserve"> </w:t>
      </w:r>
      <w:r>
        <w:rPr>
          <w:rFonts w:ascii="Times New Roman" w:hAnsi="Times New Roman" w:hint="eastAsia"/>
          <w:kern w:val="0"/>
          <w:sz w:val="24"/>
        </w:rPr>
        <w:t xml:space="preserve">Growing and diverse demands for elderly care services have created strong market potential for the care industry. While the current workforce still largely consists of general laborers, the role of high-quality, skilled workers is becoming increasingly important. As </w:t>
      </w:r>
      <w:r w:rsidR="00C47DAE">
        <w:rPr>
          <w:rFonts w:ascii="Times New Roman" w:hAnsi="Times New Roman"/>
          <w:kern w:val="0"/>
          <w:sz w:val="24"/>
        </w:rPr>
        <w:t xml:space="preserve">the </w:t>
      </w:r>
      <w:r>
        <w:rPr>
          <w:rFonts w:ascii="Times New Roman" w:hAnsi="Times New Roman" w:hint="eastAsia"/>
          <w:kern w:val="0"/>
          <w:sz w:val="24"/>
        </w:rPr>
        <w:t>overall population quality improves, these new-quality workers will play a central role in advancing the high-quality development of the silver economy.</w:t>
      </w:r>
    </w:p>
    <w:p w14:paraId="520D7CE1" w14:textId="46AC9562" w:rsidR="008E5803" w:rsidRDefault="00000000">
      <w:pPr>
        <w:numPr>
          <w:ilvl w:val="0"/>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Predicament</w:t>
      </w:r>
      <w:r w:rsidR="00C47DAE">
        <w:rPr>
          <w:rFonts w:ascii="Times New Roman" w:hAnsi="Times New Roman" w:hint="eastAsia"/>
          <w:b/>
          <w:bCs/>
          <w:kern w:val="0"/>
          <w:sz w:val="24"/>
        </w:rPr>
        <w:t>.</w:t>
      </w:r>
    </w:p>
    <w:p w14:paraId="20C1E04A" w14:textId="77777777"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Despite its potential to advance the high-quality development of the silver economy, the emergence of new productive forces in elderly care services faces significant challenges. These stem from China</w:t>
      </w:r>
      <w:r>
        <w:rPr>
          <w:rFonts w:ascii="Times New Roman" w:hAnsi="Times New Roman" w:hint="eastAsia"/>
          <w:kern w:val="0"/>
          <w:sz w:val="24"/>
        </w:rPr>
        <w:t>’</w:t>
      </w:r>
      <w:r>
        <w:rPr>
          <w:rFonts w:ascii="Times New Roman" w:hAnsi="Times New Roman" w:hint="eastAsia"/>
          <w:kern w:val="0"/>
          <w:sz w:val="24"/>
        </w:rPr>
        <w:t>s relatively weak care service foundation, outdated care concepts, and incomplete policy frameworks (Huang, 2020).</w:t>
      </w:r>
    </w:p>
    <w:p w14:paraId="109D3FDB" w14:textId="77777777" w:rsidR="008E5803" w:rsidRDefault="00000000">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Maladjustment of supply and demand</w:t>
      </w:r>
    </w:p>
    <w:p w14:paraId="7FBBAEC2" w14:textId="437F822B"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New-quality workers are a key component of new-quality productive forces. However, China</w:t>
      </w:r>
      <w:r>
        <w:rPr>
          <w:rFonts w:ascii="Times New Roman" w:hAnsi="Times New Roman" w:hint="eastAsia"/>
          <w:kern w:val="0"/>
          <w:sz w:val="24"/>
        </w:rPr>
        <w:t>’</w:t>
      </w:r>
      <w:r>
        <w:rPr>
          <w:rFonts w:ascii="Times New Roman" w:hAnsi="Times New Roman" w:hint="eastAsia"/>
          <w:kern w:val="0"/>
          <w:sz w:val="24"/>
        </w:rPr>
        <w:t xml:space="preserve">s elderly care sector faces a shortage of such workers due to </w:t>
      </w:r>
      <w:r w:rsidR="00C47DAE">
        <w:rPr>
          <w:rFonts w:ascii="Times New Roman" w:hAnsi="Times New Roman"/>
          <w:kern w:val="0"/>
          <w:sz w:val="24"/>
        </w:rPr>
        <w:t xml:space="preserve">an </w:t>
      </w:r>
      <w:r>
        <w:rPr>
          <w:rFonts w:ascii="Times New Roman" w:hAnsi="Times New Roman" w:hint="eastAsia"/>
          <w:kern w:val="0"/>
          <w:sz w:val="24"/>
        </w:rPr>
        <w:t xml:space="preserve">insufficient effective supply. On </w:t>
      </w:r>
      <w:r w:rsidR="00C47DAE">
        <w:rPr>
          <w:rFonts w:ascii="Times New Roman" w:hAnsi="Times New Roman"/>
          <w:kern w:val="0"/>
          <w:sz w:val="24"/>
        </w:rPr>
        <w:t xml:space="preserve">the </w:t>
      </w:r>
      <w:r>
        <w:rPr>
          <w:rFonts w:ascii="Times New Roman" w:hAnsi="Times New Roman" w:hint="eastAsia"/>
          <w:kern w:val="0"/>
          <w:sz w:val="24"/>
        </w:rPr>
        <w:t>one hand, consumer demands in the silver economy have evolved significantly. Yet, elderly care services have not kept pace. Current vocational training and higher education programs lag behind market needs. Program design, curricula, and talent development strategies in colleges and universities often fail to align with industry requirements. A lack of systematic practical training further limits graduates</w:t>
      </w:r>
      <w:r>
        <w:rPr>
          <w:rFonts w:ascii="Times New Roman" w:hAnsi="Times New Roman" w:hint="eastAsia"/>
          <w:kern w:val="0"/>
          <w:sz w:val="24"/>
        </w:rPr>
        <w:t>’</w:t>
      </w:r>
      <w:r>
        <w:rPr>
          <w:rFonts w:ascii="Times New Roman" w:hAnsi="Times New Roman" w:hint="eastAsia"/>
          <w:kern w:val="0"/>
          <w:sz w:val="24"/>
        </w:rPr>
        <w:t xml:space="preserve"> ability to apply new knowledge and skills in real-world settings. On the other hand, the elderly care industry struggles with several workforce challenges. These include long working hours, high physical and emotional demands, low wages, and limited social recognition. As a result, employee retention is low, turnover is high, and the care workforce lacks stability and continuity.</w:t>
      </w:r>
    </w:p>
    <w:p w14:paraId="03E2A460" w14:textId="77777777" w:rsidR="008E5803" w:rsidRDefault="00000000">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Single service</w:t>
      </w:r>
    </w:p>
    <w:p w14:paraId="76556AEC" w14:textId="77777777"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As people</w:t>
      </w:r>
      <w:r>
        <w:rPr>
          <w:rFonts w:ascii="Times New Roman" w:hAnsi="Times New Roman" w:hint="eastAsia"/>
          <w:kern w:val="0"/>
          <w:sz w:val="24"/>
        </w:rPr>
        <w:t>’</w:t>
      </w:r>
      <w:r>
        <w:rPr>
          <w:rFonts w:ascii="Times New Roman" w:hAnsi="Times New Roman" w:hint="eastAsia"/>
          <w:kern w:val="0"/>
          <w:sz w:val="24"/>
        </w:rPr>
        <w:t>s demand for a better quality of life increases, older adults</w:t>
      </w:r>
      <w:r>
        <w:rPr>
          <w:rFonts w:ascii="Times New Roman" w:hAnsi="Times New Roman" w:hint="eastAsia"/>
          <w:kern w:val="0"/>
          <w:sz w:val="24"/>
        </w:rPr>
        <w:t>’</w:t>
      </w:r>
      <w:r>
        <w:rPr>
          <w:rFonts w:ascii="Times New Roman" w:hAnsi="Times New Roman" w:hint="eastAsia"/>
          <w:kern w:val="0"/>
          <w:sz w:val="24"/>
        </w:rPr>
        <w:t xml:space="preserve"> needs for elderly care have become more diverse and multifaceted. However, current pension services in China remain relatively limited in scope. They often fail to address the varied and individualized needs of the elderly population. Personal differences</w:t>
      </w:r>
      <w:r>
        <w:rPr>
          <w:rFonts w:ascii="Times New Roman" w:hAnsi="Times New Roman" w:hint="eastAsia"/>
          <w:kern w:val="0"/>
          <w:sz w:val="24"/>
        </w:rPr>
        <w:t>—</w:t>
      </w:r>
      <w:r>
        <w:rPr>
          <w:rFonts w:ascii="Times New Roman" w:hAnsi="Times New Roman" w:hint="eastAsia"/>
          <w:kern w:val="0"/>
          <w:sz w:val="24"/>
        </w:rPr>
        <w:t xml:space="preserve">such </w:t>
      </w:r>
      <w:r>
        <w:rPr>
          <w:rFonts w:ascii="Times New Roman" w:hAnsi="Times New Roman" w:hint="eastAsia"/>
          <w:kern w:val="0"/>
          <w:sz w:val="24"/>
        </w:rPr>
        <w:lastRenderedPageBreak/>
        <w:t>as health status, living conditions, and socioeconomic background</w:t>
      </w:r>
      <w:r>
        <w:rPr>
          <w:rFonts w:ascii="Times New Roman" w:hAnsi="Times New Roman" w:hint="eastAsia"/>
          <w:kern w:val="0"/>
          <w:sz w:val="24"/>
        </w:rPr>
        <w:t>—</w:t>
      </w:r>
      <w:r>
        <w:rPr>
          <w:rFonts w:ascii="Times New Roman" w:hAnsi="Times New Roman" w:hint="eastAsia"/>
          <w:kern w:val="0"/>
          <w:sz w:val="24"/>
        </w:rPr>
        <w:t>lead to distinct care requirements among older adults. A growing number of young people are moving to large cities for work, leaving many elderly individuals living alone. Statistics show that older adults in China experience approximately 25 million falls annually, with 60% occurring at home. Simple household items</w:t>
      </w:r>
      <w:r>
        <w:rPr>
          <w:rFonts w:ascii="Times New Roman" w:hAnsi="Times New Roman" w:hint="eastAsia"/>
          <w:kern w:val="0"/>
          <w:sz w:val="24"/>
        </w:rPr>
        <w:t>—</w:t>
      </w:r>
      <w:r>
        <w:rPr>
          <w:rFonts w:ascii="Times New Roman" w:hAnsi="Times New Roman" w:hint="eastAsia"/>
          <w:kern w:val="0"/>
          <w:sz w:val="24"/>
        </w:rPr>
        <w:t>such as electrical cords, heating blankets, or drinking cups</w:t>
      </w:r>
      <w:r>
        <w:rPr>
          <w:rFonts w:ascii="Times New Roman" w:hAnsi="Times New Roman" w:hint="eastAsia"/>
          <w:kern w:val="0"/>
          <w:sz w:val="24"/>
        </w:rPr>
        <w:t>—</w:t>
      </w:r>
      <w:r>
        <w:rPr>
          <w:rFonts w:ascii="Times New Roman" w:hAnsi="Times New Roman" w:hint="eastAsia"/>
          <w:kern w:val="0"/>
          <w:sz w:val="24"/>
        </w:rPr>
        <w:t>can pose serious risks to those with limited mobility. Elderly individuals living alone face multiple challenges beyond basic daily care. These include financial pressure, chronic health conditions, and mental health issues such as loneliness and depression. Prolonged isolation may also increase their desire for emotional connection and spiritual support. Yet, the lack of dedicated service platforms, an underdeveloped market mechanism, and insufficient policy safeguards make it difficult to meet these differentiated and evolving needs.</w:t>
      </w:r>
    </w:p>
    <w:p w14:paraId="58066A87" w14:textId="77777777" w:rsidR="008E5803" w:rsidRDefault="00000000">
      <w:pPr>
        <w:snapToGrid w:val="0"/>
        <w:spacing w:line="300" w:lineRule="exact"/>
        <w:rPr>
          <w:rFonts w:ascii="Times New Roman" w:hAnsi="Times New Roman"/>
          <w:b/>
          <w:bCs/>
          <w:kern w:val="0"/>
          <w:sz w:val="24"/>
        </w:rPr>
      </w:pPr>
      <w:r>
        <w:rPr>
          <w:rFonts w:ascii="Times New Roman" w:hAnsi="Times New Roman" w:hint="eastAsia"/>
          <w:b/>
          <w:bCs/>
          <w:kern w:val="0"/>
          <w:sz w:val="24"/>
        </w:rPr>
        <w:t>4.3.</w:t>
      </w:r>
      <w:r>
        <w:rPr>
          <w:rFonts w:ascii="Times New Roman" w:hAnsi="Times New Roman"/>
          <w:b/>
          <w:bCs/>
          <w:kern w:val="0"/>
          <w:sz w:val="24"/>
        </w:rPr>
        <w:t>Uneven distribution of resources</w:t>
      </w:r>
    </w:p>
    <w:p w14:paraId="53F627F4" w14:textId="77777777"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The impact of regional population aging on new productive forces varies across areas. This reflects spatial differences in how population structures and industrial systems adapt dynamically. An uneven distribution of silver economy industries and resources across regions has become a major barrier to technology diffusion and talent mobility. Currently, central and western China continue to rely on traditional, labor-intensive industries. This path is shaped by the dominance of basic human capital. In contrast, eastern China has developed a high-tech industrial model, supported by accumulated innovation-driven human capital. In central and western regions, the spatial layout of basic industries is often inefficient. Population aging reduces labor supply in traditional sectors, increasing pressure on industrial transformation and upgrading. In eastern regions, a structural mismatch exists: an aging population coincides with a shortage of highly skilled workers. This limits innovation efficiency and slows the upgrading of high-tech industries.</w:t>
      </w:r>
    </w:p>
    <w:p w14:paraId="3716E853" w14:textId="77777777" w:rsidR="008E5803" w:rsidRDefault="00000000">
      <w:pPr>
        <w:snapToGrid w:val="0"/>
        <w:spacing w:line="300" w:lineRule="exact"/>
        <w:rPr>
          <w:rFonts w:ascii="Times New Roman" w:hAnsi="Times New Roman"/>
          <w:b/>
          <w:bCs/>
          <w:kern w:val="0"/>
          <w:sz w:val="24"/>
        </w:rPr>
      </w:pPr>
      <w:r>
        <w:rPr>
          <w:rFonts w:ascii="Times New Roman" w:hAnsi="Times New Roman" w:hint="eastAsia"/>
          <w:b/>
          <w:bCs/>
          <w:kern w:val="0"/>
          <w:sz w:val="24"/>
        </w:rPr>
        <w:t>4.4.</w:t>
      </w:r>
      <w:bookmarkStart w:id="0" w:name="_Hlk204426884"/>
      <w:r>
        <w:rPr>
          <w:rFonts w:ascii="Times New Roman" w:hAnsi="Times New Roman"/>
          <w:b/>
          <w:bCs/>
          <w:kern w:val="0"/>
          <w:sz w:val="24"/>
        </w:rPr>
        <w:t>The policy is not perfect enough</w:t>
      </w:r>
      <w:bookmarkEnd w:id="0"/>
    </w:p>
    <w:p w14:paraId="18D0416D" w14:textId="0DB1713C"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On one hand, some unscrupulous businesses exploit the label of technological innovation to introduce low-quality products or services into the market. The widespread availability of "three-no" elderly health products (no manufacturer, no approval number, no expiry date), overpriced "special drugs," and fraudulent pension apartment investment schemes highlight weaknesses in market oversight. These issues reflect insufficient regulatory policies and delayed supervision in the silver economy. As a result, market disorder undermines elderly consumers</w:t>
      </w:r>
      <w:r w:rsidR="00C47DAE">
        <w:rPr>
          <w:rFonts w:ascii="Times New Roman" w:hAnsi="Times New Roman"/>
          <w:kern w:val="0"/>
          <w:sz w:val="24"/>
        </w:rPr>
        <w:t>'</w:t>
      </w:r>
      <w:r>
        <w:rPr>
          <w:rFonts w:ascii="Times New Roman" w:hAnsi="Times New Roman" w:hint="eastAsia"/>
          <w:kern w:val="0"/>
          <w:sz w:val="24"/>
        </w:rPr>
        <w:t xml:space="preserve"> confidence and sense of security. On the other hand, industry norms and standards in the silver economy remain fragmented and lack a unified framework. When purchasing elderly care products and services, older adults often face challenges such as limited ability to evaluate quality, low awareness of consumer rights, and difficulty in seeking redress when rights are violated.</w:t>
      </w:r>
    </w:p>
    <w:p w14:paraId="544165AA" w14:textId="65EB99CE" w:rsidR="008E5803" w:rsidRDefault="00000000">
      <w:pPr>
        <w:numPr>
          <w:ilvl w:val="0"/>
          <w:numId w:val="1"/>
        </w:numPr>
        <w:snapToGrid w:val="0"/>
        <w:spacing w:line="300" w:lineRule="exact"/>
        <w:rPr>
          <w:rFonts w:ascii="Times New Roman" w:hAnsi="Times New Roman"/>
          <w:b/>
          <w:bCs/>
          <w:kern w:val="0"/>
          <w:sz w:val="24"/>
        </w:rPr>
      </w:pPr>
      <w:r>
        <w:rPr>
          <w:rFonts w:ascii="Times New Roman" w:hAnsi="Times New Roman"/>
          <w:b/>
          <w:bCs/>
          <w:kern w:val="0"/>
          <w:sz w:val="24"/>
        </w:rPr>
        <w:t>C</w:t>
      </w:r>
      <w:r>
        <w:rPr>
          <w:rFonts w:ascii="Times New Roman" w:hAnsi="Times New Roman" w:hint="eastAsia"/>
          <w:b/>
          <w:bCs/>
          <w:kern w:val="0"/>
          <w:sz w:val="24"/>
        </w:rPr>
        <w:t>onclusions</w:t>
      </w:r>
      <w:r w:rsidR="00C47DAE">
        <w:rPr>
          <w:rFonts w:ascii="Times New Roman" w:hAnsi="Times New Roman" w:hint="eastAsia"/>
          <w:b/>
          <w:bCs/>
          <w:kern w:val="0"/>
          <w:sz w:val="24"/>
        </w:rPr>
        <w:t>.</w:t>
      </w:r>
    </w:p>
    <w:p w14:paraId="604BED01" w14:textId="77777777" w:rsidR="008E5803" w:rsidRDefault="00000000">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Cultivate new productive forces</w:t>
      </w:r>
      <w:r>
        <w:rPr>
          <w:rFonts w:ascii="Times New Roman" w:hAnsi="Times New Roman"/>
          <w:b/>
          <w:bCs/>
          <w:kern w:val="0"/>
          <w:sz w:val="24"/>
        </w:rPr>
        <w:t>.</w:t>
      </w:r>
    </w:p>
    <w:p w14:paraId="113B1256" w14:textId="6B51B474"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 xml:space="preserve">Talent plays a crucial role in enhancing the quality and effectiveness of smart elderly care services. Skilled workers are key to advancing industrial modernization. Accelerating the development of new-quality workers is essential to promote the growth and implementation of new-quality productive forces. First, strengthen school-enterprise collaboration in talent training. Colleges and vocational schools </w:t>
      </w:r>
      <w:r>
        <w:rPr>
          <w:rFonts w:ascii="Times New Roman" w:hAnsi="Times New Roman" w:hint="eastAsia"/>
          <w:kern w:val="0"/>
          <w:sz w:val="24"/>
        </w:rPr>
        <w:lastRenderedPageBreak/>
        <w:t>should introduce disciplines related to the silver economy. Curricula should be updated to meet emerging industry needs, with an emphasis on practical, hands-on instruction. This approach helps cultivate professionals equipped for the demands of new productive forces. Second, develop high-tech talent. In the era of big data, artificial intelligence, and 5G, educational institutions and enterprises must work together. By leveraging universities, vocational schools, and training centers, applied talents with specialized knowledge and technical skills can be systematically developed. This ensures a steady supply of qualified personnel for the silver economy. Third, promote international exchange and cooperation. Institutions should actively engage with global advancements in elderly care and digital technologies. Through organized training programs tailored to industry needs, practitioners can stay connected with contemporary knowledge and real-world technological systems. Such efforts enhance digital literacy and professional competence. Together, these strategies create a supportive environment for cultivating, developing, and applying new-quality productive forces in elderly care.</w:t>
      </w:r>
      <w:r w:rsidR="00C47DAE">
        <w:rPr>
          <w:rFonts w:ascii="Times New Roman" w:hAnsi="Times New Roman"/>
          <w:kern w:val="0"/>
          <w:sz w:val="24"/>
        </w:rPr>
        <w:t xml:space="preserve"> </w:t>
      </w:r>
      <w:r>
        <w:rPr>
          <w:rFonts w:ascii="Times New Roman" w:hAnsi="Times New Roman"/>
          <w:kern w:val="0"/>
          <w:sz w:val="24"/>
        </w:rPr>
        <w:t>ioners in the digital age with the knowledge system of the times and the real technology system, and continuously improve the digital literacy of practitioners. Provide a good environment for the cultivation, development, and practice of new productivity.</w:t>
      </w:r>
    </w:p>
    <w:p w14:paraId="7BFB4BC7" w14:textId="77777777" w:rsidR="008E5803" w:rsidRDefault="00000000">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Optimize the employment environment</w:t>
      </w:r>
      <w:r>
        <w:rPr>
          <w:rFonts w:ascii="Times New Roman" w:hAnsi="Times New Roman"/>
          <w:b/>
          <w:bCs/>
          <w:kern w:val="0"/>
          <w:sz w:val="24"/>
        </w:rPr>
        <w:t>.</w:t>
      </w:r>
    </w:p>
    <w:p w14:paraId="407EE198" w14:textId="58AE703B"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Improving the employment environment, enhancing worker engagement, and expanding the recruitment and training of professional talent are essential for new-quality productive forces to drive the silver economy. First, a tiered and classification-based career advancement system should be established to align with the technological and operational demands of new-quality productivity. This includes implementing a unified national certification system for elderly care workers</w:t>
      </w:r>
      <w:r>
        <w:rPr>
          <w:rFonts w:ascii="Times New Roman" w:hAnsi="Times New Roman" w:hint="eastAsia"/>
          <w:kern w:val="0"/>
          <w:sz w:val="24"/>
        </w:rPr>
        <w:t>’</w:t>
      </w:r>
      <w:r>
        <w:rPr>
          <w:rFonts w:ascii="Times New Roman" w:hAnsi="Times New Roman" w:hint="eastAsia"/>
          <w:kern w:val="0"/>
          <w:sz w:val="24"/>
        </w:rPr>
        <w:t xml:space="preserve"> vocational skills. Such a system would reduce regional disparities and create clearer upward mobility pathways. By improving vocational training, even entry-level workers can transition into higher</w:t>
      </w:r>
      <w:r w:rsidR="00C47DAE">
        <w:rPr>
          <w:rFonts w:ascii="Times New Roman" w:hAnsi="Times New Roman"/>
          <w:kern w:val="0"/>
          <w:sz w:val="24"/>
        </w:rPr>
        <w:t>-</w:t>
      </w:r>
      <w:r>
        <w:rPr>
          <w:rFonts w:ascii="Times New Roman" w:hAnsi="Times New Roman" w:hint="eastAsia"/>
          <w:kern w:val="0"/>
          <w:sz w:val="24"/>
        </w:rPr>
        <w:t>value-added roles within the silver economy. This fosters positive interaction between workers and advanced production models. Second, more scientific and technological innovation professionals should be recruited to elevate the overall quality of the workforce. Universities and research institutions should leverage their talent development strengths to establish integrated platforms for industry, education, and research collaboration. These platforms can attract professionals with expertise in emerging technologies, support cross-sector cooperation, and promote resource sharing within the silver economy.</w:t>
      </w:r>
    </w:p>
    <w:p w14:paraId="0D276474" w14:textId="77777777" w:rsidR="008E5803" w:rsidRDefault="00000000">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Vigorously develop scientific and technological innovation</w:t>
      </w:r>
      <w:r>
        <w:rPr>
          <w:rFonts w:ascii="Times New Roman" w:hAnsi="Times New Roman"/>
          <w:b/>
          <w:bCs/>
          <w:kern w:val="0"/>
          <w:sz w:val="24"/>
        </w:rPr>
        <w:t>.</w:t>
      </w:r>
    </w:p>
    <w:p w14:paraId="21C0AA32" w14:textId="37147847"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Scientific and technological innovation is a key driver of new-quality productive forces in elderly care services. However, technological "bottlenecks" still exist in this sector. A lack of independent innovation in elderly care products, along with weak core competitiveness, hinders the transformation and upgrading of service systems. To address these challenges, it is essential to advance the digitalization and intelligentization of elderly care services. This provides critical technological support for developing new</w:t>
      </w:r>
      <w:r w:rsidR="00C47DAE">
        <w:rPr>
          <w:rFonts w:ascii="Times New Roman" w:hAnsi="Times New Roman"/>
          <w:kern w:val="0"/>
          <w:sz w:val="24"/>
        </w:rPr>
        <w:t>, high</w:t>
      </w:r>
      <w:r>
        <w:rPr>
          <w:rFonts w:ascii="Times New Roman" w:hAnsi="Times New Roman" w:hint="eastAsia"/>
          <w:kern w:val="0"/>
          <w:sz w:val="24"/>
        </w:rPr>
        <w:t>-quality productive forces in China</w:t>
      </w:r>
      <w:r>
        <w:rPr>
          <w:rFonts w:ascii="Times New Roman" w:hAnsi="Times New Roman" w:hint="eastAsia"/>
          <w:kern w:val="0"/>
          <w:sz w:val="24"/>
        </w:rPr>
        <w:t>’</w:t>
      </w:r>
      <w:r>
        <w:rPr>
          <w:rFonts w:ascii="Times New Roman" w:hAnsi="Times New Roman" w:hint="eastAsia"/>
          <w:kern w:val="0"/>
          <w:sz w:val="24"/>
        </w:rPr>
        <w:t>s pension system. Modern artificial intelligence services should be widely adopted to support older adults and help them engage with digital life. Digital literacy programs</w:t>
      </w:r>
      <w:r>
        <w:rPr>
          <w:rFonts w:ascii="Times New Roman" w:hAnsi="Times New Roman" w:hint="eastAsia"/>
          <w:kern w:val="0"/>
          <w:sz w:val="24"/>
        </w:rPr>
        <w:t>—</w:t>
      </w:r>
      <w:r>
        <w:rPr>
          <w:rFonts w:ascii="Times New Roman" w:hAnsi="Times New Roman" w:hint="eastAsia"/>
          <w:kern w:val="0"/>
          <w:sz w:val="24"/>
        </w:rPr>
        <w:t>delivered through videos, public campaigns, and educational lectures</w:t>
      </w:r>
      <w:r>
        <w:rPr>
          <w:rFonts w:ascii="Times New Roman" w:hAnsi="Times New Roman" w:hint="eastAsia"/>
          <w:kern w:val="0"/>
          <w:sz w:val="24"/>
        </w:rPr>
        <w:t>—</w:t>
      </w:r>
      <w:r>
        <w:rPr>
          <w:rFonts w:ascii="Times New Roman" w:hAnsi="Times New Roman" w:hint="eastAsia"/>
          <w:kern w:val="0"/>
          <w:sz w:val="24"/>
        </w:rPr>
        <w:t xml:space="preserve">should be promoted to </w:t>
      </w:r>
      <w:r>
        <w:rPr>
          <w:rFonts w:ascii="Times New Roman" w:hAnsi="Times New Roman" w:hint="eastAsia"/>
          <w:kern w:val="0"/>
          <w:sz w:val="24"/>
        </w:rPr>
        <w:lastRenderedPageBreak/>
        <w:t>increase elderly users</w:t>
      </w:r>
      <w:r>
        <w:rPr>
          <w:rFonts w:ascii="Times New Roman" w:hAnsi="Times New Roman" w:hint="eastAsia"/>
          <w:kern w:val="0"/>
          <w:sz w:val="24"/>
        </w:rPr>
        <w:t>’</w:t>
      </w:r>
      <w:r>
        <w:rPr>
          <w:rFonts w:ascii="Times New Roman" w:hAnsi="Times New Roman" w:hint="eastAsia"/>
          <w:kern w:val="0"/>
          <w:sz w:val="24"/>
        </w:rPr>
        <w:t xml:space="preserve"> understanding and use of digital care services. At the same time, user-friendly "elderly modes" should be implemented in everyday digital environments. Examples include simplified interfaces in mobile apps, supermarket payment systems, and subway ticketing services. Designing digital tools that accommodate the needs and abilities of older users will enhance accessibility and inclusion. Such innovations not only improve service quality but also support the sustainable development of the silver economy.</w:t>
      </w:r>
    </w:p>
    <w:p w14:paraId="6FE56DCB" w14:textId="77777777" w:rsidR="008E5803" w:rsidRDefault="00000000">
      <w:pPr>
        <w:snapToGrid w:val="0"/>
        <w:spacing w:line="300" w:lineRule="exact"/>
        <w:rPr>
          <w:rFonts w:ascii="Times New Roman" w:hAnsi="Times New Roman"/>
          <w:b/>
          <w:bCs/>
          <w:kern w:val="0"/>
          <w:sz w:val="24"/>
        </w:rPr>
      </w:pPr>
      <w:r>
        <w:rPr>
          <w:rFonts w:ascii="Times New Roman" w:hAnsi="Times New Roman" w:hint="eastAsia"/>
          <w:b/>
          <w:bCs/>
          <w:kern w:val="0"/>
          <w:sz w:val="24"/>
        </w:rPr>
        <w:t>5.4.Policy support</w:t>
      </w:r>
    </w:p>
    <w:p w14:paraId="60453698" w14:textId="27570466" w:rsidR="008E5803" w:rsidRDefault="00000000">
      <w:pPr>
        <w:snapToGrid w:val="0"/>
        <w:spacing w:line="300" w:lineRule="exact"/>
        <w:rPr>
          <w:rFonts w:ascii="Times New Roman" w:hAnsi="Times New Roman"/>
          <w:kern w:val="0"/>
          <w:sz w:val="24"/>
        </w:rPr>
      </w:pPr>
      <w:r>
        <w:rPr>
          <w:rFonts w:ascii="Times New Roman" w:hAnsi="Times New Roman" w:hint="eastAsia"/>
          <w:kern w:val="0"/>
          <w:sz w:val="24"/>
        </w:rPr>
        <w:t>The development of new-quality productive forces in elderly care requires targeted policy support. It also requires a social system aligned with current productivity levels, as well as a robust framework to enhance the innovation and coordination of silver economy policy instruments. First, a dedicated science and technology pension plan should be developed. Research and development in elderly care technologies should be integrated into national and regional science and technology strategies. Clear phase-specific goals and key tasks must be defined. For example, over the next five years, a specific target could be set for the proportion of independently developed core technologies</w:t>
      </w:r>
      <w:r>
        <w:rPr>
          <w:rFonts w:ascii="Times New Roman" w:hAnsi="Times New Roman" w:hint="eastAsia"/>
          <w:kern w:val="0"/>
          <w:sz w:val="24"/>
        </w:rPr>
        <w:t>—</w:t>
      </w:r>
      <w:r>
        <w:rPr>
          <w:rFonts w:ascii="Times New Roman" w:hAnsi="Times New Roman" w:hint="eastAsia"/>
          <w:kern w:val="0"/>
          <w:sz w:val="24"/>
        </w:rPr>
        <w:t>such as intelligent monitoring systems and rehabilitation assistance devices</w:t>
      </w:r>
      <w:r>
        <w:rPr>
          <w:rFonts w:ascii="Times New Roman" w:hAnsi="Times New Roman" w:hint="eastAsia"/>
          <w:kern w:val="0"/>
          <w:sz w:val="24"/>
        </w:rPr>
        <w:t>—</w:t>
      </w:r>
      <w:r>
        <w:rPr>
          <w:rFonts w:ascii="Times New Roman" w:hAnsi="Times New Roman" w:hint="eastAsia"/>
          <w:kern w:val="0"/>
          <w:sz w:val="24"/>
        </w:rPr>
        <w:t xml:space="preserve">within the elderly care sector. Second, a unified industry standard for the silver economy should be established to strengthen policy coherence and innovation. A multi-level incentive mechanism should support enterprises and institutions that lead in developing such standards. Incentives may include priority project approval and financial subsidies, encouraging technological breakthroughs in smart elderly care products and services. At the same time, safety oversight of elderly care technologies must be strengthened. A formal safety assessment and risk monitoring system should be implemented to ensure both information security and physical safety for older users. Strict data protection regulations must be enforced for all organizations handling </w:t>
      </w:r>
      <w:r w:rsidR="00C47DAE">
        <w:rPr>
          <w:rFonts w:ascii="Times New Roman" w:hAnsi="Times New Roman"/>
          <w:kern w:val="0"/>
          <w:sz w:val="24"/>
        </w:rPr>
        <w:t xml:space="preserve">the </w:t>
      </w:r>
      <w:r>
        <w:rPr>
          <w:rFonts w:ascii="Times New Roman" w:hAnsi="Times New Roman" w:hint="eastAsia"/>
          <w:kern w:val="0"/>
          <w:sz w:val="24"/>
        </w:rPr>
        <w:t>personal data of the elderly.</w:t>
      </w:r>
    </w:p>
    <w:p w14:paraId="6D455D0A" w14:textId="77777777" w:rsidR="008E5803" w:rsidRDefault="00000000">
      <w:pPr>
        <w:rPr>
          <w:highlight w:val="yellow"/>
        </w:rPr>
      </w:pPr>
      <w:r>
        <w:rPr>
          <w:highlight w:val="yellow"/>
        </w:rPr>
        <w:t>Disclaimer (Artificial intelligence)</w:t>
      </w:r>
    </w:p>
    <w:p w14:paraId="190F2B64" w14:textId="77777777" w:rsidR="008E5803" w:rsidRDefault="008E5803">
      <w:pPr>
        <w:rPr>
          <w:highlight w:val="yellow"/>
        </w:rPr>
      </w:pPr>
    </w:p>
    <w:p w14:paraId="76005E63" w14:textId="77777777" w:rsidR="008E5803" w:rsidRDefault="00000000">
      <w:pPr>
        <w:rPr>
          <w:highlight w:val="yellow"/>
        </w:rPr>
      </w:pPr>
      <w:r>
        <w:rPr>
          <w:highlight w:val="yellow"/>
        </w:rPr>
        <w:t xml:space="preserve">NO generative AI technologies such as Large Language Models (ChatGPT, COPILOT, etc.) and text-to-image generators have been used during the writing or editing of this manuscript. </w:t>
      </w:r>
    </w:p>
    <w:p w14:paraId="39EDF631" w14:textId="77777777" w:rsidR="008E5803" w:rsidRDefault="008E5803">
      <w:pPr>
        <w:snapToGrid w:val="0"/>
        <w:spacing w:line="300" w:lineRule="exact"/>
        <w:rPr>
          <w:rFonts w:ascii="Times New Roman" w:hAnsi="Times New Roman"/>
          <w:kern w:val="0"/>
          <w:sz w:val="24"/>
        </w:rPr>
      </w:pPr>
    </w:p>
    <w:p w14:paraId="16483ECD" w14:textId="5BE54ACB" w:rsidR="008E5803" w:rsidRDefault="00000000">
      <w:pPr>
        <w:numPr>
          <w:ilvl w:val="0"/>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References</w:t>
      </w:r>
      <w:r w:rsidR="00C47DAE">
        <w:rPr>
          <w:rFonts w:ascii="Times New Roman" w:hAnsi="Times New Roman" w:hint="eastAsia"/>
          <w:b/>
          <w:bCs/>
          <w:kern w:val="0"/>
          <w:sz w:val="24"/>
        </w:rPr>
        <w:t>.</w:t>
      </w:r>
    </w:p>
    <w:p w14:paraId="554130E1"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lang w:val="es-US"/>
        </w:rPr>
        <w:t xml:space="preserve">Ikuta, K., Ogata, T., Tsubio, M., &amp; Kojima, S. (1996, February). </w:t>
      </w:r>
      <w:r>
        <w:rPr>
          <w:rFonts w:ascii="Times New Roman" w:hAnsi="Times New Roman"/>
          <w:kern w:val="0"/>
          <w:sz w:val="20"/>
          <w:szCs w:val="20"/>
        </w:rPr>
        <w:t>Development of mass productive micro stereo lithography (Mass-IH Process). In Proceedings of ninth international workshop on micro electromechanical systems (pp. 301-306). IEEE.</w:t>
      </w:r>
    </w:p>
    <w:p w14:paraId="16AAD7D0"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Drucker, P. F. (2018). The new productivity challenge. In Quality in Higher Education (pp. 37-46). Routledge.</w:t>
      </w:r>
    </w:p>
    <w:p w14:paraId="2ED54BCF"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Sklair, L. (1979). Relations of production, productive forces and the mass line in the formation of the rural people's communes in China. The Journal of Peasant Studies, 6(3), 311-341.</w:t>
      </w:r>
    </w:p>
    <w:p w14:paraId="6DFE27BD"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lang w:val="es-US"/>
        </w:rPr>
        <w:t xml:space="preserve">Firmino, P. C., Vianna, S. S., da Costa, O. M., Malfatti-Gasperini, A. A., Gobbi, A. L., Lima, R. S., &amp; de la Torre, L. G. (2021). </w:t>
      </w:r>
      <w:r>
        <w:rPr>
          <w:rFonts w:ascii="Times New Roman" w:hAnsi="Times New Roman"/>
          <w:kern w:val="0"/>
          <w:sz w:val="20"/>
          <w:szCs w:val="20"/>
        </w:rPr>
        <w:t>3D micromixer for nanoliposome synthesis: A promising advance in high mass productivity. Lab on a Chip, 21(15), 2971-2985.</w:t>
      </w:r>
    </w:p>
    <w:p w14:paraId="6A4E2C80"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Conway Lenihan, A., &amp; McGuirk, H. (2022). Small enterprises and the silver economy. Small Enterprise Research, 29(1), 1-5.</w:t>
      </w:r>
    </w:p>
    <w:p w14:paraId="2BD95BAB"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 xml:space="preserve">Goodman, R. (2010). Silver‐haired society: What are the implications?. Social </w:t>
      </w:r>
      <w:r>
        <w:rPr>
          <w:rFonts w:ascii="Times New Roman" w:hAnsi="Times New Roman"/>
          <w:kern w:val="0"/>
          <w:sz w:val="20"/>
          <w:szCs w:val="20"/>
        </w:rPr>
        <w:lastRenderedPageBreak/>
        <w:t>Anthropology/Anthropologie sociale, 18(2), 210-212.</w:t>
      </w:r>
    </w:p>
    <w:p w14:paraId="67D8371E"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Huang, J. W., &amp; Liao, Y. M. (2024). Application of problem-based learning in marketing studies combined with silver-haired business opportunities. Thinking Skills and Creativity, 53, 101571.</w:t>
      </w:r>
    </w:p>
    <w:p w14:paraId="7CE59518"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Moss, S. H. Recovery Strategy for the Silver Hair Moss (Fabronia pusilla) in Canada.</w:t>
      </w:r>
    </w:p>
    <w:p w14:paraId="3AB14F31"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Zhang, M., Chen, C., Zhou, X., Wang, X., Wang, B., Huan, F., &amp; Liu, J. (2024). The impact of accelerating population aging on service industry development: Evidence from China. </w:t>
      </w:r>
      <w:r>
        <w:rPr>
          <w:rFonts w:ascii="Times New Roman" w:hAnsi="Times New Roman"/>
          <w:i/>
          <w:iCs/>
          <w:kern w:val="0"/>
          <w:sz w:val="20"/>
          <w:szCs w:val="20"/>
        </w:rPr>
        <w:t>PloS one</w:t>
      </w:r>
      <w:r>
        <w:rPr>
          <w:rFonts w:ascii="Times New Roman" w:hAnsi="Times New Roman"/>
          <w:kern w:val="0"/>
          <w:sz w:val="20"/>
          <w:szCs w:val="20"/>
        </w:rPr>
        <w:t>, </w:t>
      </w:r>
      <w:r>
        <w:rPr>
          <w:rFonts w:ascii="Times New Roman" w:hAnsi="Times New Roman"/>
          <w:i/>
          <w:iCs/>
          <w:kern w:val="0"/>
          <w:sz w:val="20"/>
          <w:szCs w:val="20"/>
        </w:rPr>
        <w:t>19</w:t>
      </w:r>
      <w:r>
        <w:rPr>
          <w:rFonts w:ascii="Times New Roman" w:hAnsi="Times New Roman"/>
          <w:kern w:val="0"/>
          <w:sz w:val="20"/>
          <w:szCs w:val="20"/>
        </w:rPr>
        <w:t>(6), e0296623.</w:t>
      </w:r>
    </w:p>
    <w:p w14:paraId="45EEBA05"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Ren, C., Zhou, X., Wang, C., Guo, Y., Diao, Y., Shen, S., ... &amp; Gu, B. (2023). Ageing threatens sustainability of smallholder farming in China. </w:t>
      </w:r>
      <w:r>
        <w:rPr>
          <w:rFonts w:ascii="Times New Roman" w:hAnsi="Times New Roman"/>
          <w:i/>
          <w:iCs/>
          <w:kern w:val="0"/>
          <w:sz w:val="20"/>
          <w:szCs w:val="20"/>
        </w:rPr>
        <w:t>Nature</w:t>
      </w:r>
      <w:r>
        <w:rPr>
          <w:rFonts w:ascii="Times New Roman" w:hAnsi="Times New Roman"/>
          <w:kern w:val="0"/>
          <w:sz w:val="20"/>
          <w:szCs w:val="20"/>
        </w:rPr>
        <w:t>, </w:t>
      </w:r>
      <w:r>
        <w:rPr>
          <w:rFonts w:ascii="Times New Roman" w:hAnsi="Times New Roman"/>
          <w:i/>
          <w:iCs/>
          <w:kern w:val="0"/>
          <w:sz w:val="20"/>
          <w:szCs w:val="20"/>
        </w:rPr>
        <w:t>616</w:t>
      </w:r>
      <w:r>
        <w:rPr>
          <w:rFonts w:ascii="Times New Roman" w:hAnsi="Times New Roman"/>
          <w:kern w:val="0"/>
          <w:sz w:val="20"/>
          <w:szCs w:val="20"/>
        </w:rPr>
        <w:t>(7955), 96-103.</w:t>
      </w:r>
    </w:p>
    <w:p w14:paraId="73D59C00"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Qian, Y. (2017). </w:t>
      </w:r>
      <w:r>
        <w:rPr>
          <w:rFonts w:ascii="Times New Roman" w:hAnsi="Times New Roman"/>
          <w:i/>
          <w:iCs/>
          <w:kern w:val="0"/>
          <w:sz w:val="20"/>
          <w:szCs w:val="20"/>
        </w:rPr>
        <w:t>How reform worked in China: The transition from plan to market</w:t>
      </w:r>
      <w:r>
        <w:rPr>
          <w:rFonts w:ascii="Times New Roman" w:hAnsi="Times New Roman"/>
          <w:kern w:val="0"/>
          <w:sz w:val="20"/>
          <w:szCs w:val="20"/>
        </w:rPr>
        <w:t>. MIT Press.</w:t>
      </w:r>
    </w:p>
    <w:p w14:paraId="06875729"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Yang, H., &amp; Zhao, D. (2018). Performance legitimacy, state autonomy and China's economic miracle. In </w:t>
      </w:r>
      <w:r>
        <w:rPr>
          <w:rFonts w:ascii="Times New Roman" w:hAnsi="Times New Roman"/>
          <w:i/>
          <w:iCs/>
          <w:kern w:val="0"/>
          <w:sz w:val="20"/>
          <w:szCs w:val="20"/>
        </w:rPr>
        <w:t>Debating regime legitimacy in contemporary China</w:t>
      </w:r>
      <w:r>
        <w:rPr>
          <w:rFonts w:ascii="Times New Roman" w:hAnsi="Times New Roman"/>
          <w:kern w:val="0"/>
          <w:sz w:val="20"/>
          <w:szCs w:val="20"/>
        </w:rPr>
        <w:t> (pp. 174-192). Routledge.</w:t>
      </w:r>
    </w:p>
    <w:p w14:paraId="019284A5"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Wang, Y., Zhao, W., &amp; Meng, W. (2022). Bilateral effect of aging population on consumption structure: Evidence from China. </w:t>
      </w:r>
      <w:r>
        <w:rPr>
          <w:rFonts w:ascii="Times New Roman" w:hAnsi="Times New Roman"/>
          <w:i/>
          <w:iCs/>
          <w:kern w:val="0"/>
          <w:sz w:val="20"/>
          <w:szCs w:val="20"/>
        </w:rPr>
        <w:t>Frontiers in Public Health</w:t>
      </w:r>
      <w:r>
        <w:rPr>
          <w:rFonts w:ascii="Times New Roman" w:hAnsi="Times New Roman"/>
          <w:kern w:val="0"/>
          <w:sz w:val="20"/>
          <w:szCs w:val="20"/>
        </w:rPr>
        <w:t>, </w:t>
      </w:r>
      <w:r>
        <w:rPr>
          <w:rFonts w:ascii="Times New Roman" w:hAnsi="Times New Roman"/>
          <w:i/>
          <w:iCs/>
          <w:kern w:val="0"/>
          <w:sz w:val="20"/>
          <w:szCs w:val="20"/>
        </w:rPr>
        <w:t>10</w:t>
      </w:r>
      <w:r>
        <w:rPr>
          <w:rFonts w:ascii="Times New Roman" w:hAnsi="Times New Roman"/>
          <w:kern w:val="0"/>
          <w:sz w:val="20"/>
          <w:szCs w:val="20"/>
        </w:rPr>
        <w:t>, 941485.</w:t>
      </w:r>
    </w:p>
    <w:p w14:paraId="127F2FA7"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lang w:val="es-US"/>
        </w:rPr>
        <w:t xml:space="preserve">Akimov, A. V., Gemueva, K. A., &amp; Semenova, N. K. (2021). </w:t>
      </w:r>
      <w:r>
        <w:rPr>
          <w:rFonts w:ascii="Times New Roman" w:hAnsi="Times New Roman"/>
          <w:kern w:val="0"/>
          <w:sz w:val="20"/>
          <w:szCs w:val="20"/>
        </w:rPr>
        <w:t>The seventh population census in the PRC: results and prospects of the country’s demographic development. </w:t>
      </w:r>
      <w:r>
        <w:rPr>
          <w:rFonts w:ascii="Times New Roman" w:hAnsi="Times New Roman"/>
          <w:i/>
          <w:iCs/>
          <w:kern w:val="0"/>
          <w:sz w:val="20"/>
          <w:szCs w:val="20"/>
        </w:rPr>
        <w:t>Herald of the Russian Academy of Sciences</w:t>
      </w:r>
      <w:r>
        <w:rPr>
          <w:rFonts w:ascii="Times New Roman" w:hAnsi="Times New Roman"/>
          <w:kern w:val="0"/>
          <w:sz w:val="20"/>
          <w:szCs w:val="20"/>
        </w:rPr>
        <w:t>, </w:t>
      </w:r>
      <w:r>
        <w:rPr>
          <w:rFonts w:ascii="Times New Roman" w:hAnsi="Times New Roman"/>
          <w:i/>
          <w:iCs/>
          <w:kern w:val="0"/>
          <w:sz w:val="20"/>
          <w:szCs w:val="20"/>
        </w:rPr>
        <w:t>91</w:t>
      </w:r>
      <w:r>
        <w:rPr>
          <w:rFonts w:ascii="Times New Roman" w:hAnsi="Times New Roman"/>
          <w:kern w:val="0"/>
          <w:sz w:val="20"/>
          <w:szCs w:val="20"/>
        </w:rPr>
        <w:t>(6), 724-735.</w:t>
      </w:r>
    </w:p>
    <w:p w14:paraId="062B2768"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He, X., He, B., &amp; Li, C. (2022, December). Research on the Development Path and Countermeasures of the Silver Economy. In </w:t>
      </w:r>
      <w:r>
        <w:rPr>
          <w:rFonts w:ascii="Times New Roman" w:hAnsi="Times New Roman"/>
          <w:i/>
          <w:iCs/>
          <w:kern w:val="0"/>
          <w:sz w:val="20"/>
          <w:szCs w:val="20"/>
        </w:rPr>
        <w:t>2022 International Conference on Economics, Smart Finance and Contemporary Trade (ESFCT 2022)</w:t>
      </w:r>
      <w:r>
        <w:rPr>
          <w:rFonts w:ascii="Times New Roman" w:hAnsi="Times New Roman"/>
          <w:kern w:val="0"/>
          <w:sz w:val="20"/>
          <w:szCs w:val="20"/>
        </w:rPr>
        <w:t> (pp. 79-86). Atlantis Press.</w:t>
      </w:r>
    </w:p>
    <w:p w14:paraId="010D11A4"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Chen, X. (2024). The Benefits of Re-employment Among the Elderly: Perspectives on the Silver Economy and Re-employment Willingness. </w:t>
      </w:r>
      <w:r>
        <w:rPr>
          <w:rFonts w:ascii="Times New Roman" w:hAnsi="Times New Roman"/>
          <w:i/>
          <w:iCs/>
          <w:kern w:val="0"/>
          <w:sz w:val="20"/>
          <w:szCs w:val="20"/>
        </w:rPr>
        <w:t>Advances in Economics and Management Research</w:t>
      </w:r>
      <w:r>
        <w:rPr>
          <w:rFonts w:ascii="Times New Roman" w:hAnsi="Times New Roman"/>
          <w:kern w:val="0"/>
          <w:sz w:val="20"/>
          <w:szCs w:val="20"/>
        </w:rPr>
        <w:t>, </w:t>
      </w:r>
      <w:r>
        <w:rPr>
          <w:rFonts w:ascii="Times New Roman" w:hAnsi="Times New Roman"/>
          <w:i/>
          <w:iCs/>
          <w:kern w:val="0"/>
          <w:sz w:val="20"/>
          <w:szCs w:val="20"/>
        </w:rPr>
        <w:t>12</w:t>
      </w:r>
      <w:r>
        <w:rPr>
          <w:rFonts w:ascii="Times New Roman" w:hAnsi="Times New Roman"/>
          <w:kern w:val="0"/>
          <w:sz w:val="20"/>
          <w:szCs w:val="20"/>
        </w:rPr>
        <w:t>(1), 874-874.</w:t>
      </w:r>
    </w:p>
    <w:p w14:paraId="0D585879"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Zhang, Y. (2017). Productivity in China: Past success and future challenges. </w:t>
      </w:r>
      <w:r>
        <w:rPr>
          <w:rFonts w:ascii="Times New Roman" w:hAnsi="Times New Roman"/>
          <w:i/>
          <w:iCs/>
          <w:kern w:val="0"/>
          <w:sz w:val="20"/>
          <w:szCs w:val="20"/>
        </w:rPr>
        <w:t>Asia-Pacific Development Journal</w:t>
      </w:r>
      <w:r>
        <w:rPr>
          <w:rFonts w:ascii="Times New Roman" w:hAnsi="Times New Roman"/>
          <w:kern w:val="0"/>
          <w:sz w:val="20"/>
          <w:szCs w:val="20"/>
        </w:rPr>
        <w:t>, </w:t>
      </w:r>
      <w:r>
        <w:rPr>
          <w:rFonts w:ascii="Times New Roman" w:hAnsi="Times New Roman"/>
          <w:i/>
          <w:iCs/>
          <w:kern w:val="0"/>
          <w:sz w:val="20"/>
          <w:szCs w:val="20"/>
        </w:rPr>
        <w:t>24</w:t>
      </w:r>
      <w:r>
        <w:rPr>
          <w:rFonts w:ascii="Times New Roman" w:hAnsi="Times New Roman"/>
          <w:kern w:val="0"/>
          <w:sz w:val="20"/>
          <w:szCs w:val="20"/>
        </w:rPr>
        <w:t>(1), 1-21.</w:t>
      </w:r>
    </w:p>
    <w:p w14:paraId="0F4828AF"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Huang, Y. (2020).</w:t>
      </w:r>
      <w:r>
        <w:rPr>
          <w:rFonts w:ascii="Times New Roman" w:hAnsi="Times New Roman" w:hint="eastAsia"/>
          <w:kern w:val="0"/>
          <w:sz w:val="20"/>
          <w:szCs w:val="20"/>
        </w:rPr>
        <w:t xml:space="preserve"> </w:t>
      </w:r>
      <w:r>
        <w:rPr>
          <w:rFonts w:ascii="Times New Roman" w:hAnsi="Times New Roman"/>
          <w:kern w:val="0"/>
          <w:sz w:val="20"/>
          <w:szCs w:val="20"/>
        </w:rPr>
        <w:t>Silver-Haired Working Women: Intergenerational Contract, Elderly Care and Gender in Lianhe. In </w:t>
      </w:r>
      <w:r>
        <w:rPr>
          <w:rFonts w:ascii="Times New Roman" w:hAnsi="Times New Roman"/>
          <w:i/>
          <w:iCs/>
          <w:kern w:val="0"/>
          <w:sz w:val="20"/>
          <w:szCs w:val="20"/>
        </w:rPr>
        <w:t>Transforming the Gendered Organisation of Labour and Leisure: Women, Labour, Leisure and Family in Lianhe Village, Central China, 1926–2013</w:t>
      </w:r>
      <w:r>
        <w:rPr>
          <w:rFonts w:ascii="Times New Roman" w:hAnsi="Times New Roman"/>
          <w:kern w:val="0"/>
          <w:sz w:val="20"/>
          <w:szCs w:val="20"/>
        </w:rPr>
        <w:t> (pp. 151-175). Singapore: Springer Singapore.</w:t>
      </w:r>
    </w:p>
    <w:p w14:paraId="124EB171"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Chen, C. C., Liao, C. C., Zhang, Z. L., Chen, S. Y., Liao, Q. L., &amp; Yang, Y. R. (2024, July). Researching the rural revitalization information service platform base on aging population-Guangdong's rural areas as an example. In </w:t>
      </w:r>
      <w:r>
        <w:rPr>
          <w:rFonts w:ascii="Times New Roman" w:hAnsi="Times New Roman"/>
          <w:i/>
          <w:iCs/>
          <w:kern w:val="0"/>
          <w:sz w:val="20"/>
          <w:szCs w:val="20"/>
        </w:rPr>
        <w:t>2024 International Conference on Consumer Electronics-Taiwan (ICCE-Taiwan)</w:t>
      </w:r>
      <w:r>
        <w:rPr>
          <w:rFonts w:ascii="Times New Roman" w:hAnsi="Times New Roman"/>
          <w:kern w:val="0"/>
          <w:sz w:val="20"/>
          <w:szCs w:val="20"/>
        </w:rPr>
        <w:t> (pp. 501-502). IEEE.</w:t>
      </w:r>
    </w:p>
    <w:p w14:paraId="1AFB2BD7"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Huang, Y. (2020). Mother’s Daughter: Girls’ Labour and Leisure in the Pre-collective Era (1926–1956). In </w:t>
      </w:r>
      <w:r>
        <w:rPr>
          <w:rFonts w:ascii="Times New Roman" w:hAnsi="Times New Roman"/>
          <w:i/>
          <w:iCs/>
          <w:kern w:val="0"/>
          <w:sz w:val="20"/>
          <w:szCs w:val="20"/>
        </w:rPr>
        <w:t>Transforming the Gendered Organisation of Labour and Leisure: Women, Labour, Leisure and Family in Lianhe Village, Central China, 1926–2013</w:t>
      </w:r>
      <w:r>
        <w:rPr>
          <w:rFonts w:ascii="Times New Roman" w:hAnsi="Times New Roman"/>
          <w:kern w:val="0"/>
          <w:sz w:val="20"/>
          <w:szCs w:val="20"/>
        </w:rPr>
        <w:t> (pp. 41-56). Singapore: Springer Singapore.</w:t>
      </w:r>
    </w:p>
    <w:p w14:paraId="09394372" w14:textId="77777777" w:rsidR="008E5803" w:rsidRDefault="00000000">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BERTRAND GRUSS,DIAA NOURELDIN</w:t>
      </w:r>
      <w:r>
        <w:rPr>
          <w:rFonts w:ascii="Times New Roman" w:hAnsi="Times New Roman" w:hint="eastAsia"/>
          <w:kern w:val="0"/>
          <w:sz w:val="20"/>
          <w:szCs w:val="20"/>
        </w:rPr>
        <w:t>. (2025). Sustaining Growth in an Aging World. IMF Working Paper, NO. 2/6.</w:t>
      </w:r>
    </w:p>
    <w:p w14:paraId="132BE007" w14:textId="77777777" w:rsidR="008E5803" w:rsidRDefault="008E5803">
      <w:pPr>
        <w:snapToGrid w:val="0"/>
        <w:spacing w:line="300" w:lineRule="exact"/>
        <w:rPr>
          <w:rFonts w:ascii="Times New Roman" w:hAnsi="Times New Roman"/>
          <w:kern w:val="0"/>
          <w:sz w:val="20"/>
          <w:szCs w:val="20"/>
        </w:rPr>
      </w:pPr>
    </w:p>
    <w:p w14:paraId="3D0E2AFF" w14:textId="77777777" w:rsidR="008E5803" w:rsidRDefault="008E5803">
      <w:pPr>
        <w:snapToGrid w:val="0"/>
        <w:spacing w:line="300" w:lineRule="exact"/>
        <w:rPr>
          <w:rFonts w:ascii="Times New Roman" w:hAnsi="Times New Roman"/>
          <w:kern w:val="0"/>
          <w:sz w:val="24"/>
        </w:rPr>
      </w:pPr>
    </w:p>
    <w:sectPr w:rsidR="008E58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980E" w14:textId="77777777" w:rsidR="00121974" w:rsidRDefault="00121974">
      <w:r>
        <w:separator/>
      </w:r>
    </w:p>
  </w:endnote>
  <w:endnote w:type="continuationSeparator" w:id="0">
    <w:p w14:paraId="66EFB2AB" w14:textId="77777777" w:rsidR="00121974" w:rsidRDefault="0012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AB6E" w14:textId="77777777" w:rsidR="008E5803" w:rsidRDefault="008E580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D47B" w14:textId="77777777" w:rsidR="008E5803" w:rsidRDefault="008E580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2494" w14:textId="77777777" w:rsidR="008E5803" w:rsidRDefault="008E58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2F45" w14:textId="77777777" w:rsidR="00121974" w:rsidRDefault="00121974">
      <w:r>
        <w:separator/>
      </w:r>
    </w:p>
  </w:footnote>
  <w:footnote w:type="continuationSeparator" w:id="0">
    <w:p w14:paraId="487B6743" w14:textId="77777777" w:rsidR="00121974" w:rsidRDefault="00121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8A98" w14:textId="77777777" w:rsidR="008E5803" w:rsidRDefault="00000000">
    <w:pPr>
      <w:pStyle w:val="a5"/>
    </w:pPr>
    <w:r>
      <w:pict w14:anchorId="2B454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109079" o:spid="_x0000_s1026"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0A34" w14:textId="77777777" w:rsidR="008E5803" w:rsidRDefault="00000000">
    <w:pPr>
      <w:pStyle w:val="a5"/>
    </w:pPr>
    <w:r>
      <w:pict w14:anchorId="4F119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109080" o:spid="_x0000_s1027"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318A" w14:textId="77777777" w:rsidR="008E5803" w:rsidRDefault="00000000">
    <w:pPr>
      <w:pStyle w:val="a5"/>
    </w:pPr>
    <w:r>
      <w:pict w14:anchorId="32497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109078" o:spid="_x0000_s1025"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77AE11"/>
    <w:multiLevelType w:val="multilevel"/>
    <w:tmpl w:val="C277AE11"/>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18393E58"/>
    <w:multiLevelType w:val="singleLevel"/>
    <w:tmpl w:val="18393E58"/>
    <w:lvl w:ilvl="0">
      <w:start w:val="1"/>
      <w:numFmt w:val="decimal"/>
      <w:suff w:val="space"/>
      <w:lvlText w:val="[%1]"/>
      <w:lvlJc w:val="left"/>
    </w:lvl>
  </w:abstractNum>
  <w:num w:numId="1" w16cid:durableId="1526675435">
    <w:abstractNumId w:val="0"/>
  </w:num>
  <w:num w:numId="2" w16cid:durableId="80760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2ARImZkYWBkaGJko6SsGpxcWZ+XkgBSa1AO8i9/EsAAAA"/>
  </w:docVars>
  <w:rsids>
    <w:rsidRoot w:val="13605A9A"/>
    <w:rsid w:val="000D2791"/>
    <w:rsid w:val="00121974"/>
    <w:rsid w:val="00264FFC"/>
    <w:rsid w:val="00394784"/>
    <w:rsid w:val="00410DDA"/>
    <w:rsid w:val="00454698"/>
    <w:rsid w:val="004A0EC2"/>
    <w:rsid w:val="004F2B1D"/>
    <w:rsid w:val="00546CF5"/>
    <w:rsid w:val="005D0782"/>
    <w:rsid w:val="005D262D"/>
    <w:rsid w:val="006E2581"/>
    <w:rsid w:val="00841E13"/>
    <w:rsid w:val="008E5803"/>
    <w:rsid w:val="0096545F"/>
    <w:rsid w:val="00BA4503"/>
    <w:rsid w:val="00BF28A8"/>
    <w:rsid w:val="00C47DAE"/>
    <w:rsid w:val="00C60575"/>
    <w:rsid w:val="00D314A0"/>
    <w:rsid w:val="00DE5532"/>
    <w:rsid w:val="00E02B59"/>
    <w:rsid w:val="00E1770A"/>
    <w:rsid w:val="00E24F3C"/>
    <w:rsid w:val="00E56854"/>
    <w:rsid w:val="00F11C7A"/>
    <w:rsid w:val="00F47EF2"/>
    <w:rsid w:val="00F84C17"/>
    <w:rsid w:val="00FA1924"/>
    <w:rsid w:val="00FC55C2"/>
    <w:rsid w:val="13605A9A"/>
    <w:rsid w:val="416C5E78"/>
    <w:rsid w:val="47B66919"/>
    <w:rsid w:val="68005C8B"/>
    <w:rsid w:val="7F08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CFF2D"/>
  <w15:docId w15:val="{DA168F62-2EDE-4F7C-8755-2D522C72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680"/>
        <w:tab w:val="right" w:pos="9360"/>
      </w:tabs>
    </w:pPr>
  </w:style>
  <w:style w:type="paragraph" w:styleId="a5">
    <w:name w:val="header"/>
    <w:basedOn w:val="a"/>
    <w:link w:val="a6"/>
    <w:pPr>
      <w:tabs>
        <w:tab w:val="center" w:pos="4680"/>
        <w:tab w:val="right" w:pos="9360"/>
      </w:tabs>
    </w:pPr>
  </w:style>
  <w:style w:type="character" w:styleId="a7">
    <w:name w:val="Hyperlink"/>
    <w:qFormat/>
    <w:rPr>
      <w:color w:val="0000FF"/>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qFormat/>
    <w:rPr>
      <w:rFonts w:asciiTheme="minorHAnsi" w:eastAsiaTheme="minorEastAsia" w:hAnsiTheme="minorHAnsi" w:cstheme="minorBidi"/>
      <w:kern w:val="2"/>
      <w:sz w:val="21"/>
      <w:szCs w:val="24"/>
    </w:rPr>
  </w:style>
  <w:style w:type="character" w:customStyle="1" w:styleId="a4">
    <w:name w:val="页脚 字符"/>
    <w:basedOn w:val="a0"/>
    <w:link w:val="a3"/>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3331</Words>
  <Characters>20354</Characters>
  <Application>Microsoft Office Word</Application>
  <DocSecurity>0</DocSecurity>
  <Lines>313</Lines>
  <Paragraphs>64</Paragraphs>
  <ScaleCrop>false</ScaleCrop>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李安利</dc:creator>
  <cp:lastModifiedBy>B13133</cp:lastModifiedBy>
  <cp:revision>19</cp:revision>
  <dcterms:created xsi:type="dcterms:W3CDTF">2025-06-13T13:59:00Z</dcterms:created>
  <dcterms:modified xsi:type="dcterms:W3CDTF">2025-08-02T12:12:00Z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EF1E8312BDE847528EBD6837C1C805B2_13</vt:lpwstr>
  </property>
  <property fmtid="{D5CDD505-2E9C-101B-9397-08002B2CF9AE}" pid="4" name="KSOTemplateDocerSaveRecord">
    <vt:lpwstr>eyJoZGlkIjoiZGI5ZWYzYzM0Zjg1ZWQxYjc1ZWI2ODdhMjJmNTFhNjEiLCJ1c2VySWQiOiIxMTIyNzg4NjAxIn0=</vt:lpwstr>
  </property>
  <property fmtid="{D5CDD505-2E9C-101B-9397-08002B2CF9AE}" pid="5" name="GrammarlyDocumentId">
    <vt:lpwstr>cc1c8258-3bdf-413d-b976-16bf4c8559d8</vt:lpwstr>
  </property>
</Properties>
</file>